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2F97" w:rsidRPr="00707927" w:rsidP="00782F97">
      <w:pPr>
        <w:pStyle w:val="Heading1"/>
        <w:jc w:val="center"/>
        <w:rPr>
          <w:rFonts w:ascii="Times New Roman" w:eastAsia="Times New Roman" w:hAnsi="Times New Roman" w:cs="Times New Roman"/>
          <w:lang w:bidi="ar-SA"/>
        </w:rPr>
      </w:pPr>
      <w:r w:rsidRPr="00707927">
        <w:rPr>
          <w:rFonts w:ascii="Times New Roman" w:hAnsi="Times New Roman" w:cs="Times New Roman"/>
          <w:color w:val="000000"/>
        </w:rPr>
        <w:t>SUPPORTING STATEMENT</w:t>
      </w:r>
    </w:p>
    <w:p w:rsidR="00782F97" w:rsidRPr="00707927" w:rsidP="00782F97">
      <w:pPr>
        <w:pStyle w:val="NormalWeb"/>
        <w:spacing w:before="22" w:beforeAutospacing="0" w:after="0" w:afterAutospacing="0"/>
        <w:ind w:firstLine="14"/>
        <w:jc w:val="center"/>
      </w:pPr>
      <w:r w:rsidRPr="00707927">
        <w:rPr>
          <w:b/>
          <w:bCs/>
          <w:color w:val="000000"/>
        </w:rPr>
        <w:t>U.S. Department of Commerce</w:t>
      </w:r>
    </w:p>
    <w:p w:rsidR="00782F97" w:rsidRPr="00707927" w:rsidP="00782F97">
      <w:pPr>
        <w:pStyle w:val="NormalWeb"/>
        <w:spacing w:before="22" w:beforeAutospacing="0" w:after="0" w:afterAutospacing="0"/>
        <w:ind w:firstLine="14"/>
        <w:jc w:val="center"/>
      </w:pPr>
      <w:r w:rsidRPr="00707927">
        <w:rPr>
          <w:b/>
          <w:bCs/>
          <w:color w:val="000000"/>
        </w:rPr>
        <w:t>National Oceanic &amp; Atmospheric Administration</w:t>
      </w:r>
    </w:p>
    <w:p w:rsidR="00707927" w:rsidRPr="00707927" w:rsidP="00782F97">
      <w:pPr>
        <w:pStyle w:val="NormalWeb"/>
        <w:spacing w:before="0" w:beforeAutospacing="0" w:after="0" w:afterAutospacing="0"/>
        <w:ind w:left="-6" w:hanging="6"/>
        <w:jc w:val="center"/>
        <w:rPr>
          <w:b/>
          <w:color w:val="000000"/>
          <w:shd w:val="clear" w:color="auto" w:fill="FFFFFF"/>
        </w:rPr>
      </w:pPr>
      <w:r w:rsidRPr="00707927">
        <w:rPr>
          <w:b/>
          <w:color w:val="000000"/>
          <w:shd w:val="clear" w:color="auto" w:fill="FFFFFF"/>
        </w:rPr>
        <w:t>Submission of Conservation Efforts to Make Listings Unnecessary Under the Endangered Species Act</w:t>
      </w:r>
    </w:p>
    <w:p w:rsidR="00782F97" w:rsidRPr="00707927" w:rsidP="00782F97">
      <w:pPr>
        <w:pStyle w:val="NormalWeb"/>
        <w:spacing w:before="0" w:beforeAutospacing="0" w:after="0" w:afterAutospacing="0"/>
        <w:ind w:left="-6" w:hanging="6"/>
        <w:jc w:val="center"/>
      </w:pPr>
      <w:r w:rsidRPr="00707927">
        <w:rPr>
          <w:b/>
          <w:bCs/>
          <w:color w:val="000000"/>
        </w:rPr>
        <w:t>OMB Control No. 0648-0466</w:t>
      </w:r>
    </w:p>
    <w:p w:rsidR="008E61C9" w:rsidRPr="00BD7237" w:rsidP="00BD7237">
      <w:pPr>
        <w:pStyle w:val="BodyText"/>
        <w:spacing w:before="1"/>
        <w:ind w:left="0"/>
        <w:jc w:val="center"/>
        <w:rPr>
          <w:rFonts w:ascii="Times New Roman" w:hAnsi="Times New Roman" w:cs="Times New Roman"/>
          <w:b/>
        </w:rPr>
      </w:pPr>
    </w:p>
    <w:p w:rsidR="008E61C9" w:rsidRPr="00BD7237" w:rsidP="00BD7237">
      <w:pPr>
        <w:pStyle w:val="Heading1"/>
        <w:spacing w:before="199"/>
        <w:ind w:left="0"/>
        <w:rPr>
          <w:rFonts w:ascii="Times New Roman" w:hAnsi="Times New Roman" w:cs="Times New Roman"/>
        </w:rPr>
      </w:pPr>
      <w:r w:rsidRPr="00BD7237">
        <w:rPr>
          <w:rFonts w:ascii="Times New Roman" w:hAnsi="Times New Roman" w:cs="Times New Roman"/>
        </w:rPr>
        <w:t>Abstract</w:t>
      </w:r>
    </w:p>
    <w:p w:rsidR="00D0619E" w:rsidP="00BD1747">
      <w:pPr>
        <w:rPr>
          <w:rFonts w:ascii="Times New Roman" w:hAnsi="Times New Roman" w:cs="Times New Roman"/>
          <w:sz w:val="24"/>
          <w:szCs w:val="24"/>
        </w:rPr>
      </w:pPr>
    </w:p>
    <w:p w:rsidR="003E2726" w:rsidRPr="00BD1747" w:rsidP="00BD1747">
      <w:pPr>
        <w:rPr>
          <w:rFonts w:ascii="Times New Roman" w:hAnsi="Times New Roman" w:eastAsiaTheme="minorHAnsi" w:cs="Times New Roman"/>
          <w:sz w:val="24"/>
          <w:szCs w:val="24"/>
          <w:lang w:bidi="ar-SA"/>
        </w:rPr>
      </w:pPr>
      <w:r w:rsidRPr="00BD1747">
        <w:rPr>
          <w:rFonts w:ascii="Times New Roman" w:hAnsi="Times New Roman" w:cs="Times New Roman"/>
          <w:sz w:val="24"/>
          <w:szCs w:val="24"/>
        </w:rPr>
        <w:t xml:space="preserve">This request is for extension of a current information collection under the Policy for Evaluation of Conservation Efforts When Making Listing Decisions (PECE), which was finalized </w:t>
      </w:r>
      <w:r w:rsidRPr="00BD1747" w:rsidR="00BE4676">
        <w:rPr>
          <w:rFonts w:ascii="Times New Roman" w:hAnsi="Times New Roman" w:cs="Times New Roman"/>
          <w:sz w:val="24"/>
          <w:szCs w:val="24"/>
        </w:rPr>
        <w:t xml:space="preserve">jointly </w:t>
      </w:r>
      <w:r w:rsidR="00BD1747">
        <w:rPr>
          <w:rFonts w:ascii="Times New Roman" w:hAnsi="Times New Roman" w:cs="Times New Roman"/>
          <w:sz w:val="24"/>
          <w:szCs w:val="24"/>
        </w:rPr>
        <w:t xml:space="preserve">by the </w:t>
      </w:r>
      <w:r w:rsidRPr="00BD1747" w:rsidR="00BD1747">
        <w:rPr>
          <w:rFonts w:ascii="Times New Roman" w:hAnsi="Times New Roman" w:cs="Times New Roman"/>
          <w:sz w:val="24"/>
          <w:szCs w:val="24"/>
        </w:rPr>
        <w:t xml:space="preserve">National Marine Fisheries Service (NMFS) </w:t>
      </w:r>
      <w:r w:rsidR="00D71A84">
        <w:rPr>
          <w:rFonts w:ascii="Times New Roman" w:hAnsi="Times New Roman" w:cs="Times New Roman"/>
          <w:sz w:val="24"/>
          <w:szCs w:val="24"/>
        </w:rPr>
        <w:t>and</w:t>
      </w:r>
      <w:r w:rsidRPr="00BD1747" w:rsidR="00BE4676">
        <w:rPr>
          <w:rFonts w:ascii="Times New Roman" w:hAnsi="Times New Roman" w:cs="Times New Roman"/>
          <w:sz w:val="24"/>
          <w:szCs w:val="24"/>
        </w:rPr>
        <w:t xml:space="preserve"> the U.S. Fish and Wildlife Service (FWS) </w:t>
      </w:r>
      <w:r w:rsidRPr="00BD1747">
        <w:rPr>
          <w:rFonts w:ascii="Times New Roman" w:hAnsi="Times New Roman" w:cs="Times New Roman"/>
          <w:sz w:val="24"/>
          <w:szCs w:val="24"/>
        </w:rPr>
        <w:t>in 2003</w:t>
      </w:r>
      <w:r w:rsidRPr="00BD1747" w:rsidR="00BE4676">
        <w:rPr>
          <w:rFonts w:ascii="Times New Roman" w:hAnsi="Times New Roman" w:cs="Times New Roman"/>
          <w:sz w:val="24"/>
          <w:szCs w:val="24"/>
        </w:rPr>
        <w:t xml:space="preserve"> (see </w:t>
      </w:r>
      <w:hyperlink r:id="rId4" w:history="1">
        <w:r w:rsidRPr="00B01FBD" w:rsidR="00BE4676">
          <w:rPr>
            <w:rStyle w:val="Hyperlink"/>
            <w:rFonts w:ascii="Times New Roman" w:hAnsi="Times New Roman" w:eastAsiaTheme="minorHAnsi" w:cs="Times New Roman"/>
            <w:sz w:val="24"/>
            <w:szCs w:val="24"/>
            <w:lang w:bidi="ar-SA"/>
          </w:rPr>
          <w:t>68 FR 15100, March 28, 2003</w:t>
        </w:r>
      </w:hyperlink>
      <w:r w:rsidRPr="00BD1747" w:rsidR="00BE4676">
        <w:rPr>
          <w:rFonts w:ascii="Times New Roman" w:hAnsi="Times New Roman" w:eastAsiaTheme="minorHAnsi" w:cs="Times New Roman"/>
          <w:sz w:val="24"/>
          <w:szCs w:val="24"/>
          <w:lang w:bidi="ar-SA"/>
        </w:rPr>
        <w:t xml:space="preserve">). There are no changes or revisions to this collection request. </w:t>
      </w:r>
    </w:p>
    <w:p w:rsidR="00BE4676" w:rsidRPr="00BD1747" w:rsidP="00BD1747">
      <w:pPr>
        <w:rPr>
          <w:rFonts w:ascii="Times New Roman" w:hAnsi="Times New Roman" w:eastAsiaTheme="minorHAnsi" w:cs="Times New Roman"/>
          <w:sz w:val="24"/>
          <w:szCs w:val="24"/>
          <w:lang w:bidi="ar-SA"/>
        </w:rPr>
      </w:pPr>
    </w:p>
    <w:p w:rsidR="00BE4676" w:rsidRPr="00D71A84" w:rsidP="00D71A84">
      <w:pPr>
        <w:rPr>
          <w:rFonts w:ascii="Times New Roman" w:hAnsi="Times New Roman" w:cs="Times New Roman"/>
          <w:sz w:val="24"/>
          <w:szCs w:val="24"/>
        </w:rPr>
      </w:pPr>
      <w:r w:rsidRPr="00D71A84">
        <w:rPr>
          <w:rFonts w:ascii="Times New Roman" w:hAnsi="Times New Roman" w:cs="Times New Roman"/>
          <w:sz w:val="24"/>
          <w:szCs w:val="24"/>
        </w:rPr>
        <w:t xml:space="preserve">The Endangered Species Act of 1973, as amended (ESA) (16 U.S.C. 1531 </w:t>
      </w:r>
      <w:r w:rsidRPr="00616C78">
        <w:rPr>
          <w:rFonts w:ascii="Times New Roman" w:hAnsi="Times New Roman" w:cs="Times New Roman"/>
          <w:i/>
          <w:sz w:val="24"/>
          <w:szCs w:val="24"/>
        </w:rPr>
        <w:t>et seq.</w:t>
      </w:r>
      <w:r w:rsidRPr="00D71A84">
        <w:rPr>
          <w:rFonts w:ascii="Times New Roman" w:hAnsi="Times New Roman" w:cs="Times New Roman"/>
          <w:sz w:val="24"/>
          <w:szCs w:val="24"/>
        </w:rPr>
        <w:t>), spe</w:t>
      </w:r>
      <w:r w:rsidRPr="00D71A84" w:rsidR="00D71A84">
        <w:rPr>
          <w:rFonts w:ascii="Times New Roman" w:hAnsi="Times New Roman" w:cs="Times New Roman"/>
          <w:sz w:val="24"/>
          <w:szCs w:val="24"/>
        </w:rPr>
        <w:t xml:space="preserve">cifies the process by which NMFS </w:t>
      </w:r>
      <w:r w:rsidRPr="00D71A84">
        <w:rPr>
          <w:rFonts w:ascii="Times New Roman" w:hAnsi="Times New Roman" w:cs="Times New Roman"/>
          <w:sz w:val="24"/>
          <w:szCs w:val="24"/>
        </w:rPr>
        <w:t xml:space="preserve">and FWS </w:t>
      </w:r>
      <w:r w:rsidRPr="00D71A84" w:rsidR="001479BD">
        <w:rPr>
          <w:rFonts w:ascii="Times New Roman" w:hAnsi="Times New Roman" w:cs="Times New Roman"/>
          <w:sz w:val="24"/>
          <w:szCs w:val="24"/>
        </w:rPr>
        <w:t xml:space="preserve">(the Services) </w:t>
      </w:r>
      <w:r w:rsidRPr="00D71A84">
        <w:rPr>
          <w:rFonts w:ascii="Times New Roman" w:hAnsi="Times New Roman" w:cs="Times New Roman"/>
          <w:sz w:val="24"/>
          <w:szCs w:val="24"/>
        </w:rPr>
        <w:t xml:space="preserve">can list species as threatened or endangered. </w:t>
      </w:r>
      <w:r w:rsidRPr="00D71A84" w:rsidR="001479BD">
        <w:rPr>
          <w:rFonts w:ascii="Times New Roman" w:hAnsi="Times New Roman" w:cs="Times New Roman"/>
          <w:sz w:val="24"/>
          <w:szCs w:val="24"/>
        </w:rPr>
        <w:t>When considering whether to list a species, t</w:t>
      </w:r>
      <w:r w:rsidRPr="00D71A84">
        <w:rPr>
          <w:rFonts w:ascii="Times New Roman" w:hAnsi="Times New Roman" w:cs="Times New Roman"/>
          <w:sz w:val="24"/>
          <w:szCs w:val="24"/>
        </w:rPr>
        <w:t xml:space="preserve">he ESA requires </w:t>
      </w:r>
      <w:r w:rsidRPr="00D71A84" w:rsidR="001479BD">
        <w:rPr>
          <w:rFonts w:ascii="Times New Roman" w:hAnsi="Times New Roman" w:cs="Times New Roman"/>
          <w:sz w:val="24"/>
          <w:szCs w:val="24"/>
        </w:rPr>
        <w:t>the Services</w:t>
      </w:r>
      <w:r w:rsidRPr="00D71A84">
        <w:rPr>
          <w:rFonts w:ascii="Times New Roman" w:hAnsi="Times New Roman" w:cs="Times New Roman"/>
          <w:sz w:val="24"/>
          <w:szCs w:val="24"/>
        </w:rPr>
        <w:t xml:space="preserve"> to take into account “those efforts, if any, being made by any State . . . or any political subdivision of a State . . . to protect such species.” Conservation efforts are often formalized in conservation agr</w:t>
      </w:r>
      <w:r w:rsidRPr="00D71A84">
        <w:rPr>
          <w:rFonts w:ascii="Times New Roman" w:hAnsi="Times New Roman" w:cs="Times New Roman"/>
          <w:sz w:val="24"/>
          <w:szCs w:val="24"/>
        </w:rPr>
        <w:t>eements, conservation plans, management plans, or other similar documents and are often developed with the specific intent of making the listing of species as threatened or endangered unnecessary. Sometimes these ag</w:t>
      </w:r>
      <w:r w:rsidRPr="00D71A84" w:rsidR="00BD1747">
        <w:rPr>
          <w:rFonts w:ascii="Times New Roman" w:hAnsi="Times New Roman" w:cs="Times New Roman"/>
          <w:sz w:val="24"/>
          <w:szCs w:val="24"/>
        </w:rPr>
        <w:t>reements or plans</w:t>
      </w:r>
      <w:r w:rsidR="00D71A84">
        <w:rPr>
          <w:rFonts w:ascii="Times New Roman" w:hAnsi="Times New Roman" w:cs="Times New Roman"/>
          <w:sz w:val="24"/>
          <w:szCs w:val="24"/>
        </w:rPr>
        <w:t xml:space="preserve"> </w:t>
      </w:r>
      <w:r w:rsidRPr="00D71A84" w:rsidR="00BD1747">
        <w:rPr>
          <w:rFonts w:ascii="Times New Roman" w:hAnsi="Times New Roman" w:cs="Times New Roman"/>
          <w:sz w:val="24"/>
          <w:szCs w:val="24"/>
        </w:rPr>
        <w:t>have yet to be</w:t>
      </w:r>
      <w:r w:rsidRPr="00D71A84">
        <w:rPr>
          <w:rFonts w:ascii="Times New Roman" w:hAnsi="Times New Roman" w:cs="Times New Roman"/>
          <w:sz w:val="24"/>
          <w:szCs w:val="24"/>
        </w:rPr>
        <w:t xml:space="preserve"> implemented or </w:t>
      </w:r>
      <w:r w:rsidRPr="00D71A84" w:rsidR="00BD1747">
        <w:rPr>
          <w:rFonts w:ascii="Times New Roman" w:hAnsi="Times New Roman" w:cs="Times New Roman"/>
          <w:sz w:val="24"/>
          <w:szCs w:val="24"/>
        </w:rPr>
        <w:t xml:space="preserve">demonstrate </w:t>
      </w:r>
      <w:r w:rsidRPr="00D71A84">
        <w:rPr>
          <w:rFonts w:ascii="Times New Roman" w:hAnsi="Times New Roman" w:cs="Times New Roman"/>
          <w:sz w:val="24"/>
          <w:szCs w:val="24"/>
        </w:rPr>
        <w:t xml:space="preserve">their </w:t>
      </w:r>
      <w:r w:rsidRPr="00D71A84" w:rsidR="00BD1747">
        <w:rPr>
          <w:rFonts w:ascii="Times New Roman" w:hAnsi="Times New Roman" w:cs="Times New Roman"/>
          <w:sz w:val="24"/>
          <w:szCs w:val="24"/>
        </w:rPr>
        <w:t>effectiveness</w:t>
      </w:r>
      <w:r w:rsidRPr="00D71A84">
        <w:rPr>
          <w:rFonts w:ascii="Times New Roman" w:hAnsi="Times New Roman" w:cs="Times New Roman"/>
          <w:sz w:val="24"/>
          <w:szCs w:val="24"/>
        </w:rPr>
        <w:t xml:space="preserve"> at the time </w:t>
      </w:r>
      <w:r w:rsidRPr="00D71A84" w:rsidR="001479BD">
        <w:rPr>
          <w:rFonts w:ascii="Times New Roman" w:hAnsi="Times New Roman" w:cs="Times New Roman"/>
          <w:sz w:val="24"/>
          <w:szCs w:val="24"/>
        </w:rPr>
        <w:t xml:space="preserve">the Services must make a listing decision. </w:t>
      </w:r>
      <w:r w:rsidR="00D71A84">
        <w:rPr>
          <w:rFonts w:ascii="Times New Roman" w:hAnsi="Times New Roman" w:cs="Times New Roman"/>
          <w:color w:val="000000"/>
          <w:sz w:val="24"/>
          <w:szCs w:val="24"/>
        </w:rPr>
        <w:t>In such instances</w:t>
      </w:r>
      <w:r w:rsidR="009954B9">
        <w:rPr>
          <w:rFonts w:ascii="Times New Roman" w:hAnsi="Times New Roman" w:cs="Times New Roman"/>
          <w:color w:val="000000"/>
          <w:sz w:val="24"/>
          <w:szCs w:val="24"/>
        </w:rPr>
        <w:t>,</w:t>
      </w:r>
      <w:r w:rsidR="00D71A84">
        <w:rPr>
          <w:rFonts w:ascii="Times New Roman" w:hAnsi="Times New Roman" w:cs="Times New Roman"/>
          <w:color w:val="000000"/>
          <w:sz w:val="24"/>
          <w:szCs w:val="24"/>
        </w:rPr>
        <w:t xml:space="preserve"> the Services </w:t>
      </w:r>
      <w:r w:rsidRPr="00D71A84">
        <w:rPr>
          <w:rFonts w:ascii="Times New Roman" w:hAnsi="Times New Roman" w:cs="Times New Roman"/>
          <w:color w:val="000000"/>
          <w:sz w:val="24"/>
          <w:szCs w:val="24"/>
        </w:rPr>
        <w:t>use the criteria identified in the PECE</w:t>
      </w:r>
      <w:r w:rsidR="009954B9">
        <w:rPr>
          <w:rFonts w:ascii="Times New Roman" w:hAnsi="Times New Roman" w:cs="Times New Roman"/>
          <w:color w:val="000000"/>
          <w:sz w:val="24"/>
          <w:szCs w:val="24"/>
        </w:rPr>
        <w:t xml:space="preserve"> to evaluate the conservation efforts. </w:t>
      </w:r>
      <w:r w:rsidRPr="00D71A84">
        <w:rPr>
          <w:rFonts w:ascii="Times New Roman" w:hAnsi="Times New Roman" w:cs="Times New Roman"/>
          <w:color w:val="000000"/>
          <w:sz w:val="24"/>
          <w:szCs w:val="24"/>
        </w:rPr>
        <w:t xml:space="preserve">The development of </w:t>
      </w:r>
      <w:r w:rsidR="009954B9">
        <w:rPr>
          <w:rFonts w:ascii="Times New Roman" w:hAnsi="Times New Roman" w:cs="Times New Roman"/>
          <w:color w:val="000000"/>
          <w:sz w:val="24"/>
          <w:szCs w:val="24"/>
        </w:rPr>
        <w:t xml:space="preserve">such an agreement or plan </w:t>
      </w:r>
      <w:r w:rsidRPr="00D71A84">
        <w:rPr>
          <w:rFonts w:ascii="Times New Roman" w:hAnsi="Times New Roman" w:cs="Times New Roman"/>
          <w:color w:val="000000"/>
          <w:sz w:val="24"/>
          <w:szCs w:val="24"/>
        </w:rPr>
        <w:t>that has the specific intention of making listing unnecessary constitutes</w:t>
      </w:r>
      <w:r w:rsidR="009954B9">
        <w:rPr>
          <w:rFonts w:ascii="Times New Roman" w:hAnsi="Times New Roman" w:cs="Times New Roman"/>
          <w:color w:val="000000"/>
          <w:sz w:val="24"/>
          <w:szCs w:val="24"/>
        </w:rPr>
        <w:t xml:space="preserve"> a new information collection. </w:t>
      </w:r>
      <w:r w:rsidRPr="00D71A84">
        <w:rPr>
          <w:rFonts w:ascii="Times New Roman" w:hAnsi="Times New Roman" w:cs="Times New Roman"/>
          <w:color w:val="000000"/>
          <w:sz w:val="24"/>
          <w:szCs w:val="24"/>
        </w:rPr>
        <w:t>One of the cr</w:t>
      </w:r>
      <w:r w:rsidR="009954B9">
        <w:rPr>
          <w:rFonts w:ascii="Times New Roman" w:hAnsi="Times New Roman" w:cs="Times New Roman"/>
          <w:color w:val="000000"/>
          <w:sz w:val="24"/>
          <w:szCs w:val="24"/>
        </w:rPr>
        <w:t>iteria identified in PECE</w:t>
      </w:r>
      <w:r w:rsidRPr="00D71A84">
        <w:rPr>
          <w:rFonts w:ascii="Times New Roman" w:hAnsi="Times New Roman" w:cs="Times New Roman"/>
          <w:color w:val="000000"/>
          <w:sz w:val="24"/>
          <w:szCs w:val="24"/>
        </w:rPr>
        <w:t xml:space="preserve"> is that such agreements and plans contain a provision for monitoring and reporting the progress and results of </w:t>
      </w:r>
      <w:r w:rsidRPr="00D71A84">
        <w:rPr>
          <w:rFonts w:ascii="Times New Roman" w:hAnsi="Times New Roman" w:cs="Times New Roman"/>
          <w:color w:val="000000"/>
          <w:sz w:val="24"/>
          <w:szCs w:val="24"/>
        </w:rPr>
        <w:t>implementation of conservation efforts. This criterion also constitutes a new information collection, in addition to the agreement.</w:t>
      </w:r>
    </w:p>
    <w:p w:rsidR="00852589" w:rsidP="00BD7237">
      <w:pPr>
        <w:pStyle w:val="Heading1"/>
        <w:spacing w:before="124"/>
        <w:ind w:left="0"/>
        <w:rPr>
          <w:rFonts w:ascii="Times New Roman" w:hAnsi="Times New Roman" w:cs="Times New Roman"/>
        </w:rPr>
      </w:pPr>
    </w:p>
    <w:p w:rsidR="008E61C9" w:rsidRPr="00BD7237" w:rsidP="00BD723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852589" w:rsidP="00852589">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w:t>
      </w:r>
      <w:r w:rsidRPr="00BD7237">
        <w:rPr>
          <w:rFonts w:ascii="Times New Roman" w:hAnsi="Times New Roman" w:cs="Times New Roman"/>
          <w:b/>
          <w:sz w:val="24"/>
          <w:szCs w:val="24"/>
        </w:rPr>
        <w:t>tive requirements that necessitate the collection. Attach a copy of the appropriate section of each statute and regulation mandating or authorizing the collection of information.</w:t>
      </w:r>
    </w:p>
    <w:p w:rsidR="00852589" w:rsidRPr="00852589" w:rsidP="00852589">
      <w:pPr>
        <w:pStyle w:val="NoSpacing"/>
      </w:pPr>
    </w:p>
    <w:p w:rsidR="00930F97" w:rsidP="00930F97">
      <w:pPr>
        <w:pStyle w:val="CM9"/>
        <w:spacing w:line="280" w:lineRule="atLeast"/>
        <w:ind w:right="113"/>
        <w:rPr>
          <w:color w:val="000000"/>
        </w:rPr>
      </w:pPr>
      <w:r>
        <w:rPr>
          <w:color w:val="000000"/>
        </w:rPr>
        <w:t>As noted above, section 4 of the ESA (</w:t>
      </w:r>
      <w:hyperlink r:id="rId5" w:anchor="section-4-determination-of-endangered-species-and-threatened-species" w:history="1">
        <w:r w:rsidRPr="00230615">
          <w:rPr>
            <w:rStyle w:val="Hyperlink"/>
          </w:rPr>
          <w:t>16 U.S.C. 1533</w:t>
        </w:r>
      </w:hyperlink>
      <w:r w:rsidR="00241A6E">
        <w:rPr>
          <w:rStyle w:val="Hyperlink"/>
        </w:rPr>
        <w:t xml:space="preserve">; </w:t>
      </w:r>
      <w:r w:rsidRPr="00241A6E" w:rsidR="00241A6E">
        <w:rPr>
          <w:rStyle w:val="Hyperlink"/>
          <w:color w:val="auto"/>
          <w:u w:val="none"/>
        </w:rPr>
        <w:t>attached</w:t>
      </w:r>
      <w:r>
        <w:rPr>
          <w:color w:val="000000"/>
        </w:rPr>
        <w:t>) requires the Services to consider protective ef</w:t>
      </w:r>
      <w:r>
        <w:rPr>
          <w:color w:val="000000"/>
        </w:rPr>
        <w:t xml:space="preserve">forts when determining whether to list a species. </w:t>
      </w:r>
      <w:r w:rsidR="00A90132">
        <w:rPr>
          <w:color w:val="000000"/>
        </w:rPr>
        <w:t xml:space="preserve">The </w:t>
      </w:r>
      <w:hyperlink r:id="rId4" w:history="1">
        <w:r w:rsidRPr="008A70A9" w:rsidR="00A90132">
          <w:rPr>
            <w:rStyle w:val="Hyperlink"/>
          </w:rPr>
          <w:t>PECE</w:t>
        </w:r>
      </w:hyperlink>
      <w:r w:rsidR="00A90132">
        <w:rPr>
          <w:color w:val="000000"/>
        </w:rPr>
        <w:t xml:space="preserve"> established</w:t>
      </w:r>
      <w:r>
        <w:rPr>
          <w:color w:val="000000"/>
        </w:rPr>
        <w:t xml:space="preserve"> criteria for evaluating the cert</w:t>
      </w:r>
      <w:r>
        <w:rPr>
          <w:color w:val="000000"/>
        </w:rPr>
        <w:t>ainty of implementation and effective</w:t>
      </w:r>
      <w:r w:rsidR="00A90132">
        <w:rPr>
          <w:color w:val="000000"/>
        </w:rPr>
        <w:t>ness of a</w:t>
      </w:r>
      <w:r w:rsidR="00002F64">
        <w:rPr>
          <w:color w:val="000000"/>
        </w:rPr>
        <w:t>s-yet to be implemented or effective</w:t>
      </w:r>
      <w:r w:rsidR="00A90132">
        <w:rPr>
          <w:color w:val="000000"/>
        </w:rPr>
        <w:t xml:space="preserve"> conservation effort</w:t>
      </w:r>
      <w:r w:rsidR="00002F64">
        <w:rPr>
          <w:color w:val="000000"/>
        </w:rPr>
        <w:t>s</w:t>
      </w:r>
      <w:r w:rsidR="00A90132">
        <w:rPr>
          <w:color w:val="000000"/>
        </w:rPr>
        <w:t>. The Services</w:t>
      </w:r>
      <w:r>
        <w:rPr>
          <w:color w:val="000000"/>
        </w:rPr>
        <w:t xml:space="preserve"> developed this policy to ensure consistent and adequate evaluation of </w:t>
      </w:r>
      <w:r w:rsidR="00002F64">
        <w:rPr>
          <w:color w:val="000000"/>
        </w:rPr>
        <w:t xml:space="preserve">such </w:t>
      </w:r>
      <w:r>
        <w:rPr>
          <w:color w:val="000000"/>
        </w:rPr>
        <w:t>agreements and plans in making listing decisions and to help St</w:t>
      </w:r>
      <w:r>
        <w:rPr>
          <w:color w:val="000000"/>
        </w:rPr>
        <w:t xml:space="preserve">ates and other </w:t>
      </w:r>
      <w:r w:rsidR="00541F1A">
        <w:rPr>
          <w:color w:val="000000"/>
        </w:rPr>
        <w:t>interested parties</w:t>
      </w:r>
      <w:r>
        <w:rPr>
          <w:color w:val="000000"/>
        </w:rPr>
        <w:t xml:space="preserve"> develo</w:t>
      </w:r>
      <w:r w:rsidR="00A90132">
        <w:rPr>
          <w:color w:val="000000"/>
        </w:rPr>
        <w:t xml:space="preserve">p agreements and plans that would contribute to making it unnecessary for the Services to list a species under the ESA. </w:t>
      </w:r>
    </w:p>
    <w:p w:rsidR="00930F97" w:rsidP="00002F64">
      <w:pPr>
        <w:pStyle w:val="CM9"/>
        <w:spacing w:line="280" w:lineRule="atLeast"/>
        <w:rPr>
          <w:color w:val="000000"/>
        </w:rPr>
      </w:pPr>
      <w:r>
        <w:rPr>
          <w:color w:val="000000"/>
        </w:rPr>
        <w:t>In addition, the Services include</w:t>
      </w:r>
      <w:r w:rsidR="00230615">
        <w:rPr>
          <w:color w:val="000000"/>
        </w:rPr>
        <w:t>d a criterion in this policy regarding</w:t>
      </w:r>
      <w:r>
        <w:rPr>
          <w:color w:val="000000"/>
        </w:rPr>
        <w:t xml:space="preserve"> </w:t>
      </w:r>
      <w:r w:rsidR="00230615">
        <w:rPr>
          <w:color w:val="000000"/>
        </w:rPr>
        <w:t>monitoring and reporting</w:t>
      </w:r>
      <w:r>
        <w:rPr>
          <w:color w:val="000000"/>
        </w:rPr>
        <w:t>. Conservation professionals have long considered monitoring and reporting to be an essential component of scientifically sound agreements and plans</w:t>
      </w:r>
      <w:r w:rsidR="00002F64">
        <w:rPr>
          <w:color w:val="000000"/>
        </w:rPr>
        <w:t xml:space="preserve">. </w:t>
      </w:r>
      <w:r>
        <w:rPr>
          <w:color w:val="000000"/>
        </w:rPr>
        <w:t>Monitoring is the mechanism for confirming success, detecting failure, and detecting changes in condition</w:t>
      </w:r>
      <w:r>
        <w:rPr>
          <w:color w:val="000000"/>
        </w:rPr>
        <w:t>s requiring modifications to the agreement or plan or possibly em</w:t>
      </w:r>
      <w:r w:rsidR="00002F64">
        <w:rPr>
          <w:color w:val="000000"/>
        </w:rPr>
        <w:t>ergency conservation efforts by the Services</w:t>
      </w:r>
      <w:r>
        <w:rPr>
          <w:color w:val="000000"/>
        </w:rPr>
        <w:t xml:space="preserve">, States, or others. In addition, monitoring is </w:t>
      </w:r>
      <w:r>
        <w:rPr>
          <w:color w:val="000000"/>
        </w:rPr>
        <w:t xml:space="preserve">sometimes incorporated in agreements or plans as part of implementation of experimental measures.  </w:t>
      </w:r>
    </w:p>
    <w:p w:rsidR="001503FE" w:rsidRPr="001503FE" w:rsidP="001503FE">
      <w:pPr>
        <w:rPr>
          <w:lang w:bidi="ar-SA"/>
        </w:rPr>
      </w:pPr>
    </w:p>
    <w:p w:rsidR="008E61C9" w:rsidRPr="001503FE" w:rsidP="001503FE">
      <w:pPr>
        <w:pStyle w:val="Heading1"/>
        <w:numPr>
          <w:ilvl w:val="0"/>
          <w:numId w:val="7"/>
        </w:numPr>
        <w:tabs>
          <w:tab w:val="left" w:pos="360"/>
        </w:tabs>
        <w:spacing w:before="197"/>
        <w:ind w:left="0" w:firstLine="0"/>
        <w:rPr>
          <w:rFonts w:ascii="Times New Roman" w:hAnsi="Times New Roman" w:cs="Times New Roman"/>
        </w:rPr>
      </w:pPr>
      <w:r w:rsidRPr="001503FE">
        <w:rPr>
          <w:rFonts w:ascii="Times New Roman" w:hAnsi="Times New Roman" w:cs="Times New Roman"/>
          <w:bCs w:val="0"/>
        </w:rPr>
        <w:t>Indicate how, by whom, and for what purpose the information is to be used. Except for a</w:t>
      </w:r>
      <w:r w:rsidRPr="001503FE">
        <w:rPr>
          <w:rFonts w:ascii="Times New Roman" w:hAnsi="Times New Roman" w:cs="Times New Roman"/>
        </w:rPr>
        <w:t xml:space="preserve"> </w:t>
      </w:r>
      <w:r w:rsidRPr="001503FE">
        <w:rPr>
          <w:rFonts w:ascii="Times New Roman" w:hAnsi="Times New Roman" w:cs="Times New Roman"/>
          <w:bCs w:val="0"/>
        </w:rPr>
        <w:t>new collection, indicate the actual use the agency has made of the information received from the</w:t>
      </w:r>
      <w:r w:rsidRPr="001503FE">
        <w:rPr>
          <w:rFonts w:ascii="Times New Roman" w:hAnsi="Times New Roman" w:cs="Times New Roman"/>
        </w:rPr>
        <w:t xml:space="preserve"> current</w:t>
      </w:r>
      <w:r w:rsidRPr="001503FE">
        <w:rPr>
          <w:rFonts w:ascii="Times New Roman" w:hAnsi="Times New Roman" w:cs="Times New Roman"/>
          <w:spacing w:val="-1"/>
        </w:rPr>
        <w:t xml:space="preserve"> </w:t>
      </w:r>
      <w:r w:rsidRPr="001503FE">
        <w:rPr>
          <w:rFonts w:ascii="Times New Roman" w:hAnsi="Times New Roman" w:cs="Times New Roman"/>
        </w:rPr>
        <w:t>collection.</w:t>
      </w:r>
    </w:p>
    <w:p w:rsidR="00852589" w:rsidP="00852589">
      <w:pPr>
        <w:pStyle w:val="NoSpacing"/>
      </w:pPr>
    </w:p>
    <w:p w:rsidR="00525B1E" w:rsidP="0056191D">
      <w:pPr>
        <w:pStyle w:val="NormalWeb"/>
        <w:spacing w:before="80" w:beforeAutospacing="0" w:after="0" w:afterAutospacing="0"/>
        <w:textAlignment w:val="baseline"/>
        <w:rPr>
          <w:color w:val="CC0000"/>
        </w:rPr>
      </w:pPr>
      <w:r>
        <w:rPr>
          <w:color w:val="000000"/>
        </w:rPr>
        <w:t xml:space="preserve">The </w:t>
      </w:r>
      <w:r w:rsidR="001D421A">
        <w:rPr>
          <w:color w:val="000000"/>
        </w:rPr>
        <w:t xml:space="preserve">information collected </w:t>
      </w:r>
      <w:r>
        <w:rPr>
          <w:color w:val="000000"/>
        </w:rPr>
        <w:t xml:space="preserve">would be </w:t>
      </w:r>
      <w:r w:rsidR="001D421A">
        <w:rPr>
          <w:color w:val="000000"/>
        </w:rPr>
        <w:t xml:space="preserve">evaluated under the PECE criteria </w:t>
      </w:r>
      <w:r>
        <w:rPr>
          <w:color w:val="000000"/>
        </w:rPr>
        <w:t>by the Services to</w:t>
      </w:r>
      <w:r w:rsidR="00230615">
        <w:rPr>
          <w:color w:val="000000"/>
        </w:rPr>
        <w:t xml:space="preserve"> determine if </w:t>
      </w:r>
      <w:r>
        <w:rPr>
          <w:color w:val="000000"/>
        </w:rPr>
        <w:t xml:space="preserve">the </w:t>
      </w:r>
      <w:r w:rsidR="00230615">
        <w:rPr>
          <w:color w:val="000000"/>
        </w:rPr>
        <w:t xml:space="preserve">particular </w:t>
      </w:r>
      <w:r w:rsidR="001D421A">
        <w:rPr>
          <w:color w:val="000000"/>
        </w:rPr>
        <w:t xml:space="preserve">conservation </w:t>
      </w:r>
      <w:r>
        <w:rPr>
          <w:color w:val="000000"/>
        </w:rPr>
        <w:t xml:space="preserve">plan </w:t>
      </w:r>
      <w:r w:rsidRPr="00241A6E" w:rsidR="00241A6E">
        <w:rPr>
          <w:color w:val="000000"/>
        </w:rPr>
        <w:t>is</w:t>
      </w:r>
      <w:r>
        <w:rPr>
          <w:color w:val="000000"/>
        </w:rPr>
        <w:t xml:space="preserve"> likely to result in making a listing </w:t>
      </w:r>
      <w:r w:rsidR="00E445A3">
        <w:rPr>
          <w:color w:val="000000"/>
        </w:rPr>
        <w:t xml:space="preserve">under the ESA </w:t>
      </w:r>
      <w:r>
        <w:rPr>
          <w:color w:val="000000"/>
        </w:rPr>
        <w:t xml:space="preserve">unnecessary. </w:t>
      </w:r>
      <w:r w:rsidR="00230615">
        <w:rPr>
          <w:color w:val="000000"/>
        </w:rPr>
        <w:t xml:space="preserve">Any entity may develop a conservation plan. </w:t>
      </w:r>
      <w:r>
        <w:rPr>
          <w:color w:val="000000"/>
        </w:rPr>
        <w:t xml:space="preserve">This policy is necessary because </w:t>
      </w:r>
      <w:r w:rsidR="00E445A3">
        <w:rPr>
          <w:color w:val="000000"/>
        </w:rPr>
        <w:t xml:space="preserve">the Services </w:t>
      </w:r>
      <w:r>
        <w:rPr>
          <w:color w:val="000000"/>
        </w:rPr>
        <w:t>did not previously have any express criteria for judging whether a plan would be implemented and would be effective.  We had lost some court cases concerning c</w:t>
      </w:r>
      <w:r w:rsidR="00E445A3">
        <w:rPr>
          <w:color w:val="000000"/>
        </w:rPr>
        <w:t>onservation plans, and several S</w:t>
      </w:r>
      <w:r>
        <w:rPr>
          <w:color w:val="000000"/>
        </w:rPr>
        <w:t xml:space="preserve">tates had requested </w:t>
      </w:r>
      <w:r w:rsidR="00E445A3">
        <w:rPr>
          <w:color w:val="000000"/>
        </w:rPr>
        <w:t>we</w:t>
      </w:r>
      <w:r>
        <w:rPr>
          <w:color w:val="000000"/>
        </w:rPr>
        <w:t xml:space="preserve"> provide some certainty by p</w:t>
      </w:r>
      <w:r w:rsidR="00E445A3">
        <w:rPr>
          <w:color w:val="000000"/>
        </w:rPr>
        <w:t>ublishing the criteria by which the Service would</w:t>
      </w:r>
      <w:r>
        <w:rPr>
          <w:color w:val="000000"/>
        </w:rPr>
        <w:t xml:space="preserve"> evaluate the likelihood of implementation and effectiveness of a conservation effort. The information in a conservation plan that a member of the public submits has utility in that it will be used to determine whether a s</w:t>
      </w:r>
      <w:r>
        <w:rPr>
          <w:color w:val="000000"/>
        </w:rPr>
        <w:t>pecies should be listed as threatened or endangered.</w:t>
      </w:r>
      <w:r w:rsidR="0056191D">
        <w:rPr>
          <w:color w:val="000000"/>
        </w:rPr>
        <w:t xml:space="preserve"> </w:t>
      </w:r>
      <w:r w:rsidRPr="0056191D" w:rsidR="0056191D">
        <w:t>As is it a requirement under section 4 of the ESA to consider protective efforts when making listing determinations, consideration of conservation efforts that have yet to be implemented or demonstrate their effectiveness pursuant to the PECE</w:t>
      </w:r>
      <w:r w:rsidR="0056191D">
        <w:t xml:space="preserve"> must continue, where applicable</w:t>
      </w:r>
      <w:r w:rsidRPr="0056191D" w:rsidR="0056191D">
        <w:t xml:space="preserve">. Therefore, we are extending the current </w:t>
      </w:r>
      <w:r w:rsidR="0056191D">
        <w:t>information collection under PECE.</w:t>
      </w:r>
    </w:p>
    <w:p w:rsidR="0056191D" w:rsidRPr="0056191D" w:rsidP="0056191D">
      <w:pPr>
        <w:pStyle w:val="NormalWeb"/>
        <w:spacing w:before="80" w:beforeAutospacing="0" w:after="0" w:afterAutospacing="0"/>
        <w:textAlignment w:val="baseline"/>
        <w:rPr>
          <w:color w:val="1F497D"/>
        </w:rPr>
      </w:pPr>
    </w:p>
    <w:p w:rsidR="00525B1E" w:rsidP="00525B1E">
      <w:pPr>
        <w:pStyle w:val="CM9"/>
        <w:spacing w:line="280" w:lineRule="atLeast"/>
        <w:ind w:right="113"/>
        <w:rPr>
          <w:color w:val="000000"/>
        </w:rPr>
      </w:pPr>
      <w:r>
        <w:rPr>
          <w:color w:val="000000"/>
        </w:rPr>
        <w:t>The responsibility for monitoring the progress and results of implementation of an agreement or plan is det</w:t>
      </w:r>
      <w:r>
        <w:rPr>
          <w:color w:val="000000"/>
        </w:rPr>
        <w:t xml:space="preserve">ermined and agreed to during the development of the agreement or plan.  In most cases, the State or other entity which is leading development of the agreement or plan will conduct the monitoring.  However, specific efforts may </w:t>
      </w:r>
      <w:r w:rsidR="00E445A3">
        <w:rPr>
          <w:color w:val="000000"/>
        </w:rPr>
        <w:t>be implemented and monitored by the relevant Service</w:t>
      </w:r>
      <w:r>
        <w:rPr>
          <w:color w:val="000000"/>
        </w:rPr>
        <w:t xml:space="preserve">, property owners, or other entities. </w:t>
      </w:r>
    </w:p>
    <w:p w:rsidR="00525B1E" w:rsidP="00525B1E">
      <w:pPr>
        <w:pStyle w:val="CM9"/>
        <w:spacing w:line="280" w:lineRule="atLeast"/>
        <w:rPr>
          <w:color w:val="000000"/>
        </w:rPr>
      </w:pPr>
      <w:r>
        <w:rPr>
          <w:color w:val="000000"/>
        </w:rPr>
        <w:t>The nature of the monitoring and reporting component of an agreement or plan will vary according to the species addressed, land ownership, specific conservation efforts, expertise of participant</w:t>
      </w:r>
      <w:r>
        <w:rPr>
          <w:color w:val="000000"/>
        </w:rPr>
        <w:t>s, and other factors. Monitoring and reporting implementation of some efforts, such as the removal of a structural hazard to the species, may involve a single and simple task documenting the removal of the hazard.  Monitoring of other efforts may involve m</w:t>
      </w:r>
      <w:r>
        <w:rPr>
          <w:color w:val="000000"/>
        </w:rPr>
        <w:t>ore complicated and/or time-consuming efforts; for example, monitoring habitat restoration efforts may involve conducting vegetation and species surve</w:t>
      </w:r>
      <w:r w:rsidR="00230615">
        <w:rPr>
          <w:color w:val="000000"/>
        </w:rPr>
        <w:t xml:space="preserve">ys annually for several years. </w:t>
      </w:r>
      <w:r>
        <w:t xml:space="preserve">In addition, some species are easy to survey while others are difficult. </w:t>
      </w:r>
    </w:p>
    <w:p w:rsidR="0056191D" w:rsidRPr="0056191D" w:rsidP="0056191D">
      <w:pPr>
        <w:pStyle w:val="NormalWeb"/>
        <w:spacing w:before="80" w:beforeAutospacing="0" w:after="0" w:afterAutospacing="0"/>
        <w:textAlignment w:val="baseline"/>
        <w:rPr>
          <w:color w:val="1F497D"/>
        </w:rPr>
      </w:pPr>
      <w:r>
        <w:rPr>
          <w:color w:val="000000"/>
        </w:rPr>
        <w:t>T</w:t>
      </w:r>
      <w:r>
        <w:rPr>
          <w:color w:val="000000"/>
        </w:rPr>
        <w:t>he information collected through</w:t>
      </w:r>
      <w:r w:rsidR="00E445A3">
        <w:rPr>
          <w:color w:val="000000"/>
        </w:rPr>
        <w:t xml:space="preserve"> monitoring is very valuable to the relevant Service</w:t>
      </w:r>
      <w:r>
        <w:rPr>
          <w:color w:val="000000"/>
        </w:rPr>
        <w:t>, the States and other entities implementing agreements and plans, and to others concerned about the welfare of the species covere</w:t>
      </w:r>
      <w:r w:rsidR="00230615">
        <w:rPr>
          <w:color w:val="000000"/>
        </w:rPr>
        <w:t xml:space="preserve">d by the agreements and plans. </w:t>
      </w:r>
      <w:r>
        <w:rPr>
          <w:color w:val="000000"/>
        </w:rPr>
        <w:t>Because the</w:t>
      </w:r>
      <w:r>
        <w:rPr>
          <w:color w:val="000000"/>
        </w:rPr>
        <w:t xml:space="preserve"> effectiveness of conservation efforts is determined through monitoring, monitoring is essential for improving future conservation efforts. </w:t>
      </w:r>
      <w:r w:rsidRPr="0056191D">
        <w:rPr>
          <w:color w:val="CC0000"/>
        </w:rPr>
        <w:t> </w:t>
      </w:r>
    </w:p>
    <w:p w:rsidR="00525B1E" w:rsidP="0056191D">
      <w:pPr>
        <w:pStyle w:val="CM6"/>
        <w:ind w:right="218"/>
      </w:pPr>
    </w:p>
    <w:p w:rsidR="00525B1E" w:rsidP="00525B1E">
      <w:pPr>
        <w:pStyle w:val="Default"/>
        <w:suppressLineNumbers/>
        <w:suppressAutoHyphens/>
      </w:pPr>
      <w:r w:rsidRPr="00391D52">
        <w:t xml:space="preserve">It is anticipated that the information collected (i.e., conservation plan) will be disseminated to the public or </w:t>
      </w:r>
      <w:r w:rsidRPr="00391D52">
        <w:t xml:space="preserve">used to support publicly disseminated information. </w:t>
      </w:r>
      <w:r w:rsidR="00E445A3">
        <w:t>The relevant Service would</w:t>
      </w:r>
      <w:r w:rsidRPr="005F02AF">
        <w:t xml:space="preserve"> retain control over the information and safeguard it from improper access, modification, and destruction, consistent with Federal law and regulations, and</w:t>
      </w:r>
      <w:r w:rsidRPr="00754355">
        <w:rPr>
          <w:lang w:val="en"/>
        </w:rPr>
        <w:t xml:space="preserve"> </w:t>
      </w:r>
      <w:r w:rsidRPr="00391D52">
        <w:t xml:space="preserve">standards for </w:t>
      </w:r>
      <w:r w:rsidRPr="00391D52">
        <w:t>confidentiality, privacy and electronic information. See response to Question 10 of this Supporting Statement for more information on confidentiality and privacy. Prior to dissemination, the information</w:t>
      </w:r>
      <w:r w:rsidR="00F579A1">
        <w:t xml:space="preserve"> would</w:t>
      </w:r>
      <w:r w:rsidRPr="00391D52">
        <w:t xml:space="preserve"> be subjected to quality control measures and a </w:t>
      </w:r>
      <w:r w:rsidRPr="00391D52">
        <w:t xml:space="preserve">pre-dissemination review pursuant to </w:t>
      </w:r>
      <w:r w:rsidRPr="008A70A9">
        <w:t>Section 515 of Public Law 106-554</w:t>
      </w:r>
      <w:r w:rsidR="008A70A9">
        <w:t xml:space="preserve"> (see: </w:t>
      </w:r>
      <w:hyperlink r:id="rId6" w:history="1">
        <w:r w:rsidRPr="002C0FAB" w:rsidR="008A70A9">
          <w:rPr>
            <w:rStyle w:val="Hyperlink"/>
          </w:rPr>
          <w:t>https://www.noaa.gov/organization/information-technology/policy-oversight/information-quality</w:t>
        </w:r>
      </w:hyperlink>
      <w:r w:rsidR="008A70A9">
        <w:t>)</w:t>
      </w:r>
      <w:r w:rsidRPr="00391D52">
        <w:t>.</w:t>
      </w:r>
    </w:p>
    <w:p w:rsidR="008A70A9" w:rsidRPr="00391D52" w:rsidP="00525B1E">
      <w:pPr>
        <w:pStyle w:val="Default"/>
        <w:suppressLineNumbers/>
        <w:suppressAutoHyphens/>
      </w:pPr>
    </w:p>
    <w:p w:rsidR="008E61C9" w:rsidRPr="00BD7237" w:rsidP="00BD7237">
      <w:pPr>
        <w:pStyle w:val="BodyText"/>
        <w:spacing w:before="7"/>
        <w:ind w:left="0"/>
        <w:rPr>
          <w:rFonts w:ascii="Times New Roman" w:hAnsi="Times New Roman" w:cs="Times New Roman"/>
          <w:b/>
        </w:rPr>
      </w:pPr>
    </w:p>
    <w:p w:rsidR="008E61C9" w:rsidRPr="00BD7237" w:rsidP="00BD723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w:t>
      </w:r>
      <w:r w:rsidRPr="00BD7237">
        <w:rPr>
          <w:rFonts w:ascii="Times New Roman" w:hAnsi="Times New Roman" w:cs="Times New Roman"/>
          <w:b/>
          <w:sz w:val="24"/>
          <w:szCs w:val="24"/>
        </w:rPr>
        <w:t>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F579A1" w:rsidP="00852589">
      <w:pPr>
        <w:pStyle w:val="NoSpacing"/>
      </w:pPr>
    </w:p>
    <w:p w:rsidR="00F579A1" w:rsidP="00F579A1">
      <w:pPr>
        <w:pStyle w:val="CM9"/>
        <w:spacing w:line="280" w:lineRule="atLeast"/>
        <w:ind w:right="113"/>
        <w:rPr>
          <w:color w:val="000000"/>
        </w:rPr>
      </w:pPr>
      <w:r>
        <w:rPr>
          <w:color w:val="000000"/>
        </w:rPr>
        <w:t>NMFS does not require, but will accept, plans and reports electron</w:t>
      </w:r>
      <w:r>
        <w:rPr>
          <w:color w:val="000000"/>
        </w:rPr>
        <w:t xml:space="preserve">ically. We have not developed a form to be used for submission of plans or reports. In the past, we have made plans and annual reports from States available through the internet, and plan to continue this practice. </w:t>
      </w:r>
      <w:r w:rsidR="0056191D">
        <w:rPr>
          <w:color w:val="000000"/>
        </w:rPr>
        <w:t xml:space="preserve">We anticipate that most if not all information would be submitted electronically.  </w:t>
      </w:r>
    </w:p>
    <w:p w:rsidR="008E61C9"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r w:rsidR="00F579A1">
        <w:rPr>
          <w:rFonts w:ascii="Times New Roman" w:hAnsi="Times New Roman" w:cs="Times New Roman"/>
          <w:b/>
          <w:sz w:val="24"/>
          <w:szCs w:val="24"/>
        </w:rPr>
        <w:t>.</w:t>
      </w:r>
    </w:p>
    <w:p w:rsidR="00852589" w:rsidP="00852589">
      <w:pPr>
        <w:pStyle w:val="NoSpacing"/>
      </w:pPr>
    </w:p>
    <w:p w:rsidR="00F579A1" w:rsidP="00F579A1">
      <w:pPr>
        <w:pStyle w:val="CM9"/>
        <w:spacing w:line="280" w:lineRule="atLeast"/>
        <w:ind w:right="218"/>
        <w:rPr>
          <w:color w:val="000000"/>
        </w:rPr>
      </w:pPr>
      <w:r>
        <w:rPr>
          <w:color w:val="000000"/>
        </w:rPr>
        <w:t xml:space="preserve">Developing and submitting an </w:t>
      </w:r>
      <w:r>
        <w:rPr>
          <w:color w:val="000000"/>
        </w:rPr>
        <w:t>agreement is necessary in order for NMFS to determine if it meets the cr</w:t>
      </w:r>
      <w:r w:rsidR="00A01C22">
        <w:rPr>
          <w:color w:val="000000"/>
        </w:rPr>
        <w:t xml:space="preserve">iteria included in the policy. </w:t>
      </w:r>
      <w:r>
        <w:rPr>
          <w:color w:val="000000"/>
        </w:rPr>
        <w:t xml:space="preserve">Monitoring individual agreements and plans is necessary because they are species- and site-specific. As a matter of practice, NMFS, as well as the </w:t>
      </w:r>
      <w:r>
        <w:rPr>
          <w:color w:val="000000"/>
        </w:rPr>
        <w:t>developer of an agreement or plan, ensures that there is no duplication of effort within an individual monitoring plan. Sinc</w:t>
      </w:r>
      <w:r w:rsidR="00230615">
        <w:rPr>
          <w:color w:val="000000"/>
        </w:rPr>
        <w:t>e these plans and agreements must be</w:t>
      </w:r>
      <w:r>
        <w:rPr>
          <w:color w:val="000000"/>
        </w:rPr>
        <w:t xml:space="preserve"> submitted to us, we can ensure that duplication is not an issue.</w:t>
      </w:r>
    </w:p>
    <w:p w:rsidR="008E61C9"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w:t>
      </w:r>
      <w:r w:rsidRPr="00BD7237">
        <w:rPr>
          <w:rFonts w:ascii="Times New Roman" w:hAnsi="Times New Roman" w:cs="Times New Roman"/>
          <w:b/>
          <w:sz w:val="24"/>
          <w:szCs w:val="24"/>
        </w:rPr>
        <w:t>on impacts small businesses or other small entities, describe any methods used to minimize burden.</w:t>
      </w:r>
    </w:p>
    <w:p w:rsidR="00852589" w:rsidRPr="00852589" w:rsidP="00852589">
      <w:pPr>
        <w:pStyle w:val="NoSpacing"/>
      </w:pPr>
    </w:p>
    <w:p w:rsidR="00A01C22" w:rsidP="00A01C22">
      <w:pPr>
        <w:pStyle w:val="CM9"/>
        <w:spacing w:line="280" w:lineRule="atLeast"/>
        <w:rPr>
          <w:color w:val="000000"/>
        </w:rPr>
      </w:pPr>
      <w:r>
        <w:rPr>
          <w:color w:val="000000"/>
        </w:rPr>
        <w:t>Although conservation efforts that are capable of making the listing of a species as threatened or endangered unnecessary are usually developed by States or</w:t>
      </w:r>
      <w:r>
        <w:rPr>
          <w:color w:val="000000"/>
        </w:rPr>
        <w:t xml:space="preserve"> other units of government, small businesses or small entities may develop agreements or plans or may agree to implement certain conservation efforts identified</w:t>
      </w:r>
      <w:r w:rsidR="00230615">
        <w:rPr>
          <w:color w:val="000000"/>
        </w:rPr>
        <w:t xml:space="preserve"> in a State agreement or plan. </w:t>
      </w:r>
      <w:r>
        <w:rPr>
          <w:color w:val="000000"/>
        </w:rPr>
        <w:t>However, the burden for developing a plan or monitoring conservat</w:t>
      </w:r>
      <w:r>
        <w:rPr>
          <w:color w:val="000000"/>
        </w:rPr>
        <w:t>ion efforts will be the same for small entities since the purpose of each plan and monitoring is to conserve a species so that it does not require the protections of the ESA. The requirements announced in the policy are the minimum criteria for all efforts</w:t>
      </w:r>
      <w:r>
        <w:rPr>
          <w:color w:val="000000"/>
        </w:rPr>
        <w:t xml:space="preserve">. </w:t>
      </w:r>
    </w:p>
    <w:p w:rsidR="008E61C9"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852589" w:rsidRPr="00BD7237" w:rsidP="00852589">
      <w:pPr>
        <w:pStyle w:val="NoSpacing"/>
      </w:pPr>
    </w:p>
    <w:p w:rsidR="00DB7C94" w:rsidRPr="00DB7C94" w:rsidP="00DB7C94">
      <w:pPr>
        <w:pStyle w:val="CM9"/>
        <w:spacing w:line="280" w:lineRule="atLeast"/>
        <w:ind w:right="113"/>
        <w:rPr>
          <w:color w:val="000000"/>
        </w:rPr>
      </w:pPr>
      <w:r w:rsidRPr="00DB7C94">
        <w:rPr>
          <w:color w:val="000000"/>
        </w:rPr>
        <w:t>If a plan is not developed and submitted, NMFS would no</w:t>
      </w:r>
      <w:r w:rsidRPr="00DB7C94">
        <w:rPr>
          <w:color w:val="000000"/>
        </w:rPr>
        <w:t>t be able to verify that actions are being taken that will contribute to making a listing unnecessary.  If monitoring is not conducted, NMFS would not be able to verify that the conservation efforts are being implemented, or are effective. NMFS may then de</w:t>
      </w:r>
      <w:r w:rsidRPr="00DB7C94">
        <w:rPr>
          <w:color w:val="000000"/>
        </w:rPr>
        <w:t xml:space="preserve">termine that, based on the best available information, listing the species is warranted. </w:t>
      </w:r>
    </w:p>
    <w:p w:rsidR="00DB7C94" w:rsidP="00DB7C94">
      <w:pPr>
        <w:pStyle w:val="BodyText"/>
        <w:spacing w:before="115"/>
        <w:ind w:left="0"/>
        <w:rPr>
          <w:rFonts w:ascii="Times New Roman" w:hAnsi="Times New Roman" w:cs="Times New Roman"/>
          <w:color w:val="000000"/>
        </w:rPr>
      </w:pPr>
      <w:r w:rsidRPr="00DB7C94">
        <w:rPr>
          <w:rFonts w:ascii="Times New Roman" w:hAnsi="Times New Roman" w:cs="Times New Roman"/>
          <w:color w:val="000000"/>
        </w:rPr>
        <w:t>NMFS does not require more monitoring than necessary to accomplish the objective of the plan, which is to be effective. If this level of effort was reduced, the agree</w:t>
      </w:r>
      <w:r w:rsidRPr="00DB7C94">
        <w:rPr>
          <w:rFonts w:ascii="Times New Roman" w:hAnsi="Times New Roman" w:cs="Times New Roman"/>
          <w:color w:val="000000"/>
        </w:rPr>
        <w:t>ment or plan would provide less certainty that the efforts will be effective.</w:t>
      </w:r>
    </w:p>
    <w:p w:rsidR="00DB7C94" w:rsidRPr="00DB7C94" w:rsidP="00DB7C94">
      <w:pPr>
        <w:pStyle w:val="BodyText"/>
        <w:spacing w:before="115"/>
        <w:ind w:left="0"/>
        <w:rPr>
          <w:rFonts w:ascii="Times New Roman" w:hAnsi="Times New Roman" w:cs="Times New Roman"/>
        </w:rPr>
      </w:pPr>
    </w:p>
    <w:p w:rsidR="008E61C9"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r w:rsidR="006A21DC">
        <w:rPr>
          <w:rFonts w:ascii="Times New Roman" w:hAnsi="Times New Roman" w:cs="Times New Roman"/>
          <w:b/>
          <w:sz w:val="24"/>
          <w:szCs w:val="24"/>
        </w:rPr>
        <w:t xml:space="preserve"> </w:t>
      </w:r>
      <w:r w:rsidRPr="006A21DC" w:rsidR="006A21DC">
        <w:rPr>
          <w:rFonts w:ascii="Times New Roman" w:hAnsi="Times New Roman" w:cs="Times New Roman"/>
          <w:b/>
          <w:bCs/>
          <w:color w:val="000000"/>
        </w:rPr>
        <w:t>inconsistent with OMB guidelines</w:t>
      </w:r>
      <w:r w:rsidR="006A21DC">
        <w:rPr>
          <w:rFonts w:ascii="Times New Roman" w:hAnsi="Times New Roman" w:cs="Times New Roman"/>
          <w:b/>
          <w:sz w:val="24"/>
          <w:szCs w:val="24"/>
        </w:rPr>
        <w:t>.</w:t>
      </w:r>
    </w:p>
    <w:p w:rsidR="00852589" w:rsidRPr="00BD7237" w:rsidP="00852589">
      <w:pPr>
        <w:pStyle w:val="NoSpacing"/>
      </w:pPr>
    </w:p>
    <w:p w:rsidR="00DB7C94" w:rsidP="00DB7C94">
      <w:pPr>
        <w:pStyle w:val="CM9"/>
        <w:spacing w:line="280" w:lineRule="atLeast"/>
        <w:rPr>
          <w:color w:val="000000"/>
        </w:rPr>
      </w:pPr>
      <w:r>
        <w:rPr>
          <w:color w:val="000000"/>
        </w:rPr>
        <w:t xml:space="preserve">NMFS </w:t>
      </w:r>
      <w:r w:rsidR="001D253E">
        <w:rPr>
          <w:color w:val="000000"/>
        </w:rPr>
        <w:t>would typically ask</w:t>
      </w:r>
      <w:r>
        <w:rPr>
          <w:color w:val="000000"/>
        </w:rPr>
        <w:t xml:space="preserve"> States and other entities to submit monitoring reports annually, since most monitoring consists of measuring </w:t>
      </w:r>
      <w:r w:rsidR="001D253E">
        <w:rPr>
          <w:color w:val="000000"/>
        </w:rPr>
        <w:t xml:space="preserve">variables or indicators over longer time-periods (e.g., </w:t>
      </w:r>
      <w:r>
        <w:rPr>
          <w:color w:val="000000"/>
        </w:rPr>
        <w:t>annual vegetation growth or population growth</w:t>
      </w:r>
      <w:r w:rsidR="001D253E">
        <w:rPr>
          <w:color w:val="000000"/>
        </w:rPr>
        <w:t>)</w:t>
      </w:r>
      <w:r>
        <w:rPr>
          <w:color w:val="000000"/>
        </w:rPr>
        <w:t xml:space="preserve">. In addition, agreements and plans are </w:t>
      </w:r>
      <w:r w:rsidR="001D253E">
        <w:rPr>
          <w:color w:val="000000"/>
        </w:rPr>
        <w:t xml:space="preserve">likely to be funded on an annual basis. </w:t>
      </w:r>
      <w:r>
        <w:rPr>
          <w:color w:val="000000"/>
        </w:rPr>
        <w:t xml:space="preserve">However, NMFS may ask </w:t>
      </w:r>
      <w:r w:rsidR="001D253E">
        <w:rPr>
          <w:color w:val="000000"/>
        </w:rPr>
        <w:t>that</w:t>
      </w:r>
      <w:r>
        <w:rPr>
          <w:color w:val="000000"/>
        </w:rPr>
        <w:t xml:space="preserve"> certain accomplishments or conditions </w:t>
      </w:r>
      <w:r w:rsidR="001D253E">
        <w:rPr>
          <w:color w:val="000000"/>
        </w:rPr>
        <w:t xml:space="preserve">be reported </w:t>
      </w:r>
      <w:r>
        <w:rPr>
          <w:color w:val="000000"/>
        </w:rPr>
        <w:t xml:space="preserve">before the scheduled submittal of an annual report, such as completion of construction of a habitat feature, the increase in severity of a </w:t>
      </w:r>
      <w:r>
        <w:rPr>
          <w:color w:val="000000"/>
        </w:rPr>
        <w:t xml:space="preserve">threat, the detection of a new threat, and other factors that may have important consequences for the conservation of the species. </w:t>
      </w:r>
    </w:p>
    <w:p w:rsidR="00DB7C94" w:rsidP="00DB7C94">
      <w:pPr>
        <w:pStyle w:val="CM9"/>
        <w:spacing w:line="280" w:lineRule="atLeast"/>
        <w:ind w:right="218"/>
        <w:rPr>
          <w:color w:val="000000"/>
        </w:rPr>
      </w:pPr>
      <w:r>
        <w:rPr>
          <w:color w:val="000000"/>
        </w:rPr>
        <w:t>NMFS does not require States or other entities to retain monitoring reports or data. However, States and other entities gene</w:t>
      </w:r>
      <w:r>
        <w:rPr>
          <w:color w:val="000000"/>
        </w:rPr>
        <w:t xml:space="preserve">rally consider monitoring reports and data as important for planning future conservation actions. Also, State law, regulations, or practices may require State agencies to retain records for auditing purposes. </w:t>
      </w:r>
    </w:p>
    <w:p w:rsidR="008E61C9" w:rsidRPr="00BD723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w:t>
      </w:r>
      <w:r w:rsidRPr="00BD7237">
        <w:rPr>
          <w:rFonts w:ascii="Times New Roman" w:hAnsi="Times New Roman" w:cs="Times New Roman"/>
          <w:b/>
          <w:sz w:val="24"/>
          <w:szCs w:val="24"/>
        </w:rPr>
        <w:t xml:space="preserve"> date and page number of publications in the Federal Register of the agency's notice, required by 5 CFR 1320.8 (d), soliciting comments on the information collection prior to submission to OMB. Summarize public comments received in response to that notice </w:t>
      </w:r>
      <w:r w:rsidRPr="00BD7237">
        <w:rPr>
          <w:rFonts w:ascii="Times New Roman" w:hAnsi="Times New Roman" w:cs="Times New Roman"/>
          <w:b/>
          <w:sz w:val="24"/>
          <w:szCs w:val="24"/>
        </w:rPr>
        <w:t>and describe actions taken by the agency in response to these comments. Specifically address comments received on cost and hour burden.</w:t>
      </w:r>
    </w:p>
    <w:p w:rsidR="00852589" w:rsidP="00852589">
      <w:pPr>
        <w:pStyle w:val="NoSpacing"/>
      </w:pPr>
    </w:p>
    <w:p w:rsidR="0044378B" w:rsidP="00D16896">
      <w:pPr>
        <w:pStyle w:val="NormalWeb"/>
        <w:spacing w:before="161" w:beforeAutospacing="0" w:after="0" w:afterAutospacing="0"/>
        <w:rPr>
          <w:color w:val="000000"/>
        </w:rPr>
      </w:pPr>
      <w:r>
        <w:rPr>
          <w:color w:val="000000"/>
        </w:rPr>
        <w:t>A copy of the</w:t>
      </w:r>
      <w:r w:rsidRPr="00241A6E">
        <w:rPr>
          <w:i/>
          <w:color w:val="000000"/>
        </w:rPr>
        <w:t xml:space="preserve"> </w:t>
      </w:r>
      <w:r w:rsidRPr="00241A6E" w:rsidR="002A452A">
        <w:rPr>
          <w:i/>
          <w:color w:val="000000"/>
        </w:rPr>
        <w:t>Federal Register</w:t>
      </w:r>
      <w:r w:rsidRPr="002A452A" w:rsidR="002A452A">
        <w:rPr>
          <w:color w:val="000000"/>
        </w:rPr>
        <w:t xml:space="preserve"> notice soliciting comment on this information collection was published on S</w:t>
      </w:r>
      <w:r w:rsidR="002A452A">
        <w:rPr>
          <w:color w:val="000000"/>
        </w:rPr>
        <w:t>eptembe</w:t>
      </w:r>
      <w:r>
        <w:rPr>
          <w:color w:val="000000"/>
        </w:rPr>
        <w:t xml:space="preserve">r 30, </w:t>
      </w:r>
      <w:r>
        <w:rPr>
          <w:color w:val="000000"/>
        </w:rPr>
        <w:t xml:space="preserve">2024 </w:t>
      </w:r>
      <w:r>
        <w:rPr>
          <w:color w:val="000000"/>
        </w:rPr>
        <w:t>(89 FR 79528)</w:t>
      </w:r>
      <w:r>
        <w:rPr>
          <w:color w:val="000000"/>
        </w:rPr>
        <w:t xml:space="preserve">. </w:t>
      </w:r>
      <w:r w:rsidR="00026865">
        <w:rPr>
          <w:color w:val="000000"/>
        </w:rPr>
        <w:t>In this notice, we solicited public comment from all interested parties</w:t>
      </w:r>
      <w:r w:rsidR="002A452A">
        <w:rPr>
          <w:color w:val="000000"/>
        </w:rPr>
        <w:t xml:space="preserve">, </w:t>
      </w:r>
      <w:r>
        <w:rPr>
          <w:color w:val="000000"/>
        </w:rPr>
        <w:t xml:space="preserve">and in response, we received one, non-substantive </w:t>
      </w:r>
      <w:r w:rsidR="002A452A">
        <w:rPr>
          <w:color w:val="000000"/>
        </w:rPr>
        <w:t>comment from Jean Public. T</w:t>
      </w:r>
      <w:r w:rsidR="008A46C5">
        <w:rPr>
          <w:color w:val="000000"/>
        </w:rPr>
        <w:t xml:space="preserve">he comment asserted this was useless and wasteful information collection. </w:t>
      </w:r>
      <w:r>
        <w:rPr>
          <w:color w:val="000000"/>
        </w:rPr>
        <w:t>We cannot modify the collection based on this comment. C</w:t>
      </w:r>
      <w:r w:rsidR="008A46C5">
        <w:rPr>
          <w:color w:val="000000"/>
        </w:rPr>
        <w:t>onsideration of protective efforts when making listing determinations under the</w:t>
      </w:r>
      <w:r>
        <w:rPr>
          <w:color w:val="000000"/>
        </w:rPr>
        <w:t xml:space="preserve"> ESA is a statutory requirement, and </w:t>
      </w:r>
      <w:r w:rsidR="008A46C5">
        <w:rPr>
          <w:color w:val="000000"/>
        </w:rPr>
        <w:t xml:space="preserve">requesting information from the public regarding such efforts helps ensure we meet this requirement. </w:t>
      </w:r>
    </w:p>
    <w:p w:rsidR="00D16896" w:rsidRPr="00D16896" w:rsidP="00D16896">
      <w:pPr>
        <w:pStyle w:val="NormalWeb"/>
        <w:spacing w:before="161" w:beforeAutospacing="0" w:after="0" w:afterAutospacing="0"/>
      </w:pPr>
      <w:r>
        <w:rPr>
          <w:color w:val="000000"/>
        </w:rPr>
        <w:t xml:space="preserve">We did not receive any </w:t>
      </w:r>
      <w:r w:rsidR="00026865">
        <w:rPr>
          <w:color w:val="000000"/>
        </w:rPr>
        <w:t xml:space="preserve">feedback or </w:t>
      </w:r>
      <w:r>
        <w:rPr>
          <w:color w:val="000000"/>
        </w:rPr>
        <w:t>c</w:t>
      </w:r>
      <w:r w:rsidR="00AE5BFF">
        <w:rPr>
          <w:color w:val="000000"/>
        </w:rPr>
        <w:t xml:space="preserve">omments regarding </w:t>
      </w:r>
      <w:r>
        <w:rPr>
          <w:color w:val="000000"/>
        </w:rPr>
        <w:t>the cost and burden hour estimate.</w:t>
      </w:r>
      <w:r w:rsidR="00AE5BFF">
        <w:rPr>
          <w:color w:val="000000"/>
        </w:rPr>
        <w:t xml:space="preserve"> Due to the nature of this collection, which hinges on whether and what species are activ</w:t>
      </w:r>
      <w:r w:rsidR="0056191D">
        <w:rPr>
          <w:color w:val="000000"/>
        </w:rPr>
        <w:t>ely under review for listing</w:t>
      </w:r>
      <w:r w:rsidR="00026865">
        <w:rPr>
          <w:color w:val="000000"/>
        </w:rPr>
        <w:t xml:space="preserve"> in the future</w:t>
      </w:r>
      <w:r w:rsidR="0056191D">
        <w:rPr>
          <w:color w:val="000000"/>
        </w:rPr>
        <w:t>, NMFS</w:t>
      </w:r>
      <w:r w:rsidR="00AE5BFF">
        <w:rPr>
          <w:color w:val="000000"/>
        </w:rPr>
        <w:t xml:space="preserve"> </w:t>
      </w:r>
      <w:r w:rsidR="00AE5BFF">
        <w:rPr>
          <w:color w:val="000000"/>
        </w:rPr>
        <w:t xml:space="preserve">did not consult with </w:t>
      </w:r>
      <w:r w:rsidR="00026865">
        <w:rPr>
          <w:color w:val="000000"/>
        </w:rPr>
        <w:t xml:space="preserve">additional </w:t>
      </w:r>
      <w:r w:rsidR="00AE5BFF">
        <w:rPr>
          <w:color w:val="000000"/>
        </w:rPr>
        <w:t xml:space="preserve">stakeholders regarding this information collection to </w:t>
      </w:r>
      <w:r w:rsidR="00AE5BFF">
        <w:t>obtain their views. There are currently no species under review for listing where application of PECE is relevant, and there are no associated forms, reports, conservatio</w:t>
      </w:r>
      <w:r w:rsidR="00AE5BFF">
        <w:t xml:space="preserve">n plans, </w:t>
      </w:r>
      <w:r w:rsidR="00387B5C">
        <w:t>etc. associated with the information collection under this policy</w:t>
      </w:r>
      <w:r w:rsidR="00AE5BFF">
        <w:t xml:space="preserve">. Further, we cannot predict the potential stakeholders that may in the future develop conservation plans for species that are the subject of a </w:t>
      </w:r>
      <w:r w:rsidR="0056191D">
        <w:t xml:space="preserve">potential, </w:t>
      </w:r>
      <w:r w:rsidR="00AE5BFF">
        <w:t xml:space="preserve">future petition for listing. </w:t>
      </w:r>
    </w:p>
    <w:p w:rsidR="00821E34" w:rsidRPr="008A46C5" w:rsidP="008A46C5">
      <w:pPr>
        <w:pStyle w:val="CM9"/>
        <w:spacing w:line="280" w:lineRule="atLeast"/>
        <w:ind w:right="218"/>
        <w:rPr>
          <w:color w:val="000000"/>
        </w:rPr>
      </w:pPr>
    </w:p>
    <w:p w:rsidR="008E61C9" w:rsidRPr="00BD723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4470D4" w:rsidP="004470D4">
      <w:pPr>
        <w:pStyle w:val="CM2"/>
        <w:rPr>
          <w:color w:val="000000"/>
        </w:rPr>
      </w:pPr>
    </w:p>
    <w:p w:rsidR="008E61C9" w:rsidRPr="00821E34" w:rsidP="00821E34">
      <w:pPr>
        <w:pStyle w:val="CM2"/>
        <w:rPr>
          <w:color w:val="000000"/>
        </w:rPr>
        <w:sectPr w:rsidSect="001503FE">
          <w:footerReference w:type="default" r:id="rId7"/>
          <w:pgSz w:w="12240" w:h="15840"/>
          <w:pgMar w:top="810" w:right="1080" w:bottom="1200" w:left="1080" w:header="0" w:footer="1014" w:gutter="0"/>
          <w:cols w:space="720"/>
        </w:sectPr>
      </w:pPr>
      <w:r>
        <w:rPr>
          <w:color w:val="000000"/>
        </w:rPr>
        <w:t>NMFS does not pro</w:t>
      </w:r>
      <w:r>
        <w:rPr>
          <w:color w:val="000000"/>
        </w:rPr>
        <w:t>vide payme</w:t>
      </w:r>
      <w:r w:rsidR="004470D4">
        <w:rPr>
          <w:color w:val="000000"/>
        </w:rPr>
        <w:t>nts or gifts to those</w:t>
      </w:r>
      <w:r>
        <w:rPr>
          <w:color w:val="000000"/>
        </w:rPr>
        <w:t xml:space="preserve"> submitting monitoring reports.</w:t>
      </w:r>
    </w:p>
    <w:p w:rsidR="008E61C9" w:rsidRPr="00821E34" w:rsidP="00821E34">
      <w:pPr>
        <w:pStyle w:val="ListParagraph"/>
        <w:numPr>
          <w:ilvl w:val="0"/>
          <w:numId w:val="7"/>
        </w:numPr>
        <w:tabs>
          <w:tab w:val="left" w:pos="0"/>
        </w:tabs>
        <w:spacing w:before="80"/>
        <w:ind w:left="0" w:firstLine="0"/>
        <w:rPr>
          <w:rFonts w:ascii="Times New Roman" w:hAnsi="Times New Roman" w:cs="Times New Roman"/>
          <w:b/>
          <w:sz w:val="24"/>
          <w:szCs w:val="24"/>
        </w:rPr>
      </w:pPr>
      <w:r w:rsidRPr="00821E34">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w:t>
      </w:r>
      <w:r w:rsidRPr="00821E34">
        <w:rPr>
          <w:rFonts w:ascii="Times New Roman" w:hAnsi="Times New Roman" w:cs="Times New Roman"/>
          <w:b/>
          <w:sz w:val="24"/>
          <w:szCs w:val="24"/>
        </w:rPr>
        <w:t>notice (SORN) or privacy impact assessment (PIA), those should be cited and described here.</w:t>
      </w:r>
    </w:p>
    <w:p w:rsidR="004470D4" w:rsidP="004470D4">
      <w:pPr>
        <w:pStyle w:val="NoSpacing"/>
      </w:pPr>
    </w:p>
    <w:p w:rsidR="004470D4" w:rsidP="004470D4">
      <w:pPr>
        <w:pStyle w:val="CM9"/>
        <w:spacing w:line="280" w:lineRule="atLeast"/>
        <w:rPr>
          <w:color w:val="000000"/>
        </w:rPr>
      </w:pPr>
      <w:r>
        <w:rPr>
          <w:color w:val="000000"/>
        </w:rPr>
        <w:t xml:space="preserve">NMFS </w:t>
      </w:r>
      <w:r w:rsidR="0056191D">
        <w:rPr>
          <w:color w:val="000000"/>
        </w:rPr>
        <w:t>does not plan to collect</w:t>
      </w:r>
      <w:r w:rsidRPr="00DF2D5B" w:rsidR="0056191D">
        <w:t xml:space="preserve"> Personal I</w:t>
      </w:r>
      <w:r w:rsidRPr="00DF2D5B" w:rsidR="00DF2D5B">
        <w:t xml:space="preserve">dentifiable Information (PII) but </w:t>
      </w:r>
      <w:r>
        <w:rPr>
          <w:color w:val="000000"/>
        </w:rPr>
        <w:t xml:space="preserve">has authority to protect confidential information to the extent provided under the </w:t>
      </w:r>
      <w:hyperlink r:id="rId8" w:history="1">
        <w:r w:rsidRPr="00AB4068">
          <w:rPr>
            <w:rStyle w:val="Hyperlink"/>
          </w:rPr>
          <w:t>Freedom of Information Act</w:t>
        </w:r>
      </w:hyperlink>
      <w:r w:rsidR="00924142">
        <w:rPr>
          <w:color w:val="000000"/>
        </w:rPr>
        <w:t xml:space="preserve">. </w:t>
      </w:r>
      <w:r>
        <w:rPr>
          <w:color w:val="000000"/>
        </w:rPr>
        <w:t>How</w:t>
      </w:r>
      <w:r w:rsidR="00924142">
        <w:rPr>
          <w:color w:val="000000"/>
        </w:rPr>
        <w:t>ever, all monitoring reports would be made</w:t>
      </w:r>
      <w:r>
        <w:rPr>
          <w:color w:val="000000"/>
        </w:rPr>
        <w:t xml:space="preserve"> available for public review. Sometimes a State may be concerned about releasing s</w:t>
      </w:r>
      <w:r>
        <w:rPr>
          <w:color w:val="000000"/>
        </w:rPr>
        <w:t>ensitive information</w:t>
      </w:r>
      <w:r w:rsidR="00924142">
        <w:rPr>
          <w:color w:val="000000"/>
        </w:rPr>
        <w:t>,</w:t>
      </w:r>
      <w:r>
        <w:rPr>
          <w:color w:val="000000"/>
        </w:rPr>
        <w:t xml:space="preserve"> such as species</w:t>
      </w:r>
      <w:r w:rsidR="00924142">
        <w:rPr>
          <w:color w:val="000000"/>
        </w:rPr>
        <w:t>’</w:t>
      </w:r>
      <w:r>
        <w:rPr>
          <w:color w:val="000000"/>
        </w:rPr>
        <w:t xml:space="preserve"> locations on private la</w:t>
      </w:r>
      <w:r w:rsidR="00924142">
        <w:rPr>
          <w:color w:val="000000"/>
        </w:rPr>
        <w:t>nds. However, if collecting and/</w:t>
      </w:r>
      <w:r>
        <w:rPr>
          <w:color w:val="000000"/>
        </w:rPr>
        <w:t xml:space="preserve">or reporting sensitive information is necessary for assessing the progress and results of implementation of the agreement or plan, and the State is unwilling or </w:t>
      </w:r>
      <w:r>
        <w:rPr>
          <w:color w:val="000000"/>
        </w:rPr>
        <w:t>legally unable to collect and/or report this information, NMFS may determine that the agreement or plan does not provide a high enough level of certainty that it will be implemented and effective and that, t</w:t>
      </w:r>
      <w:r w:rsidR="00644D81">
        <w:rPr>
          <w:color w:val="000000"/>
        </w:rPr>
        <w:t xml:space="preserve">herefore, listing is warranted. Submission of PII is not requested or required as part of this information collection. If provided voluntarily, it would be stored on </w:t>
      </w:r>
      <w:r w:rsidRPr="00B86D34" w:rsidR="00644D81">
        <w:rPr>
          <w:i/>
          <w:color w:val="000000"/>
        </w:rPr>
        <w:t>regulations.gov</w:t>
      </w:r>
      <w:r w:rsidR="00B86D34">
        <w:rPr>
          <w:color w:val="000000"/>
        </w:rPr>
        <w:t xml:space="preserve"> along with all of the </w:t>
      </w:r>
      <w:r w:rsidR="00644D81">
        <w:rPr>
          <w:color w:val="000000"/>
        </w:rPr>
        <w:t>public submissions</w:t>
      </w:r>
      <w:r w:rsidR="00B86D34">
        <w:rPr>
          <w:color w:val="000000"/>
        </w:rPr>
        <w:t xml:space="preserve"> received on the particular proposed listing rule</w:t>
      </w:r>
      <w:r w:rsidR="00644D81">
        <w:rPr>
          <w:color w:val="000000"/>
        </w:rPr>
        <w:t xml:space="preserve">. </w:t>
      </w:r>
      <w:r w:rsidR="00DF2D5B">
        <w:rPr>
          <w:color w:val="000000"/>
        </w:rPr>
        <w:t xml:space="preserve">NMFS does not intend to use a private vendor to </w:t>
      </w:r>
      <w:r w:rsidR="00644D81">
        <w:rPr>
          <w:color w:val="000000"/>
        </w:rPr>
        <w:t xml:space="preserve">  </w:t>
      </w:r>
      <w:r w:rsidR="00DF2D5B">
        <w:rPr>
          <w:color w:val="000000"/>
        </w:rPr>
        <w:t>handle data collection under this policy.</w:t>
      </w:r>
    </w:p>
    <w:p w:rsidR="008E61C9" w:rsidRPr="00BD723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w:t>
      </w:r>
      <w:r w:rsidRPr="00BD7237">
        <w:rPr>
          <w:rFonts w:ascii="Times New Roman" w:hAnsi="Times New Roman" w:cs="Times New Roman"/>
          <w:b/>
          <w:sz w:val="24"/>
          <w:szCs w:val="24"/>
        </w:rPr>
        <w:t>ification should include the reasons why the agency considers the questions necessary, the specific uses to be made of the information, the explanation to be given to persons from whom the information is requested, and any steps to be taken to obtain their</w:t>
      </w:r>
      <w:r w:rsidRPr="00BD7237">
        <w:rPr>
          <w:rFonts w:ascii="Times New Roman" w:hAnsi="Times New Roman" w:cs="Times New Roman"/>
          <w:b/>
          <w:sz w:val="24"/>
          <w:szCs w:val="24"/>
        </w:rPr>
        <w:t xml:space="preserve"> consent.</w:t>
      </w:r>
    </w:p>
    <w:p w:rsidR="00924142" w:rsidP="00924142">
      <w:pPr>
        <w:tabs>
          <w:tab w:val="left" w:pos="360"/>
        </w:tabs>
        <w:spacing w:before="80"/>
        <w:rPr>
          <w:rFonts w:ascii="Times New Roman" w:hAnsi="Times New Roman" w:cs="Times New Roman"/>
          <w:b/>
          <w:sz w:val="24"/>
          <w:szCs w:val="24"/>
        </w:rPr>
      </w:pPr>
    </w:p>
    <w:p w:rsidR="00462288" w:rsidP="00462288">
      <w:pPr>
        <w:rPr>
          <w:rFonts w:ascii="Times New Roman" w:eastAsia="Times New Roman" w:hAnsi="Times New Roman" w:cs="Times New Roman"/>
          <w:color w:val="000000"/>
          <w:sz w:val="24"/>
          <w:szCs w:val="24"/>
          <w:lang w:bidi="ar-SA"/>
        </w:rPr>
      </w:pPr>
      <w:r w:rsidRPr="00E67D35">
        <w:rPr>
          <w:rFonts w:ascii="Times New Roman" w:eastAsia="Times New Roman" w:hAnsi="Times New Roman" w:cs="Times New Roman"/>
          <w:color w:val="000000"/>
          <w:sz w:val="24"/>
          <w:szCs w:val="24"/>
          <w:lang w:bidi="ar-SA"/>
        </w:rPr>
        <w:t>This information collection does not involve information of a sensitive nature.</w:t>
      </w:r>
    </w:p>
    <w:p w:rsidR="00E67D35" w:rsidRPr="00462288" w:rsidP="00462288">
      <w:pPr>
        <w:rPr>
          <w:lang w:bidi="ar-SA"/>
        </w:rPr>
      </w:pPr>
    </w:p>
    <w:p w:rsidR="008A46C5" w:rsidP="008A46C5">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8A46C5" w:rsidRPr="00BD7237" w:rsidP="008A46C5">
      <w:pPr>
        <w:pStyle w:val="ListParagraph"/>
        <w:tabs>
          <w:tab w:val="left" w:pos="360"/>
        </w:tabs>
        <w:spacing w:before="80"/>
        <w:ind w:left="0" w:firstLine="0"/>
        <w:rPr>
          <w:rFonts w:ascii="Times New Roman" w:hAnsi="Times New Roman" w:cs="Times New Roman"/>
          <w:b/>
          <w:sz w:val="24"/>
          <w:szCs w:val="24"/>
        </w:rPr>
      </w:pPr>
    </w:p>
    <w:p w:rsidR="008A46C5" w:rsidRPr="009B6555" w:rsidP="008A46C5">
      <w:pPr>
        <w:pStyle w:val="CM9"/>
        <w:spacing w:line="280" w:lineRule="atLeast"/>
        <w:ind w:right="218"/>
        <w:rPr>
          <w:color w:val="000000"/>
        </w:rPr>
      </w:pPr>
      <w:r>
        <w:rPr>
          <w:color w:val="000000"/>
        </w:rPr>
        <w:t xml:space="preserve">Since 1997, NMFS has entered into three conservation agreements, which at the time we determined contributed to removing the need to list the covered species as threatened or endangered. </w:t>
      </w:r>
      <w:r w:rsidRPr="009B6555">
        <w:rPr>
          <w:b/>
          <w:color w:val="000000"/>
        </w:rPr>
        <w:t>For purposes of this exercise, we will assume that</w:t>
      </w:r>
      <w:r>
        <w:rPr>
          <w:color w:val="000000"/>
        </w:rPr>
        <w:t xml:space="preserve"> </w:t>
      </w:r>
      <w:r w:rsidRPr="00C94B6B">
        <w:rPr>
          <w:b/>
          <w:color w:val="000000"/>
        </w:rPr>
        <w:t>one agreement will</w:t>
      </w:r>
      <w:r w:rsidRPr="00C94B6B">
        <w:rPr>
          <w:b/>
          <w:color w:val="000000"/>
        </w:rPr>
        <w:t xml:space="preserve"> be developed </w:t>
      </w:r>
      <w:r>
        <w:rPr>
          <w:b/>
          <w:color w:val="000000"/>
        </w:rPr>
        <w:t>over three years</w:t>
      </w:r>
      <w:r>
        <w:rPr>
          <w:color w:val="000000"/>
        </w:rPr>
        <w:t xml:space="preserve"> with the intent of making listing unnecessary and that at it would be successful in making listing unnecessary, and in this case, the States or other entities who develop these agreements will carry through with their monitor</w:t>
      </w:r>
      <w:r>
        <w:rPr>
          <w:color w:val="000000"/>
        </w:rPr>
        <w:t xml:space="preserve">ing commitments in order to keep the covered species off the list. Therefore, we estimate that </w:t>
      </w:r>
      <w:r w:rsidRPr="009B6555">
        <w:rPr>
          <w:color w:val="000000"/>
        </w:rPr>
        <w:t>one successful agreement will be in place over the next three years, with annual monitoring and reporting required.</w:t>
      </w:r>
    </w:p>
    <w:p w:rsidR="008A46C5" w:rsidP="008A46C5">
      <w:pPr>
        <w:pStyle w:val="CM9"/>
        <w:spacing w:line="280" w:lineRule="atLeast"/>
      </w:pPr>
      <w:r>
        <w:rPr>
          <w:color w:val="000000"/>
        </w:rPr>
        <w:t xml:space="preserve">NMFS estimates the States and other entities </w:t>
      </w:r>
      <w:r>
        <w:rPr>
          <w:color w:val="000000"/>
        </w:rPr>
        <w:t>will spend an average of 1,000 to 4,000 person hours, with an average of 2,500 person hours, to complete each agreement or plan that has the intention of making listing unnecessary. This is a one-time burden for each agreement deve</w:t>
      </w:r>
      <w:r w:rsidR="00DF2D5B">
        <w:rPr>
          <w:color w:val="000000"/>
        </w:rPr>
        <w:t>loped. Based on a rate of $75.84</w:t>
      </w:r>
      <w:r>
        <w:rPr>
          <w:color w:val="000000"/>
        </w:rPr>
        <w:t xml:space="preserve"> per hour, we estimate that the cost to a State or other entity to develop the</w:t>
      </w:r>
      <w:r w:rsidR="00DF2D5B">
        <w:rPr>
          <w:color w:val="000000"/>
        </w:rPr>
        <w:t xml:space="preserve"> agreement will average $189,600. Wage rate applied was based on the </w:t>
      </w:r>
      <w:r w:rsidR="00DF2D5B">
        <w:t>U.S. Bureau of Labor Statistics May 2023</w:t>
      </w:r>
      <w:r w:rsidRPr="006D4259" w:rsidR="00DF2D5B">
        <w:t xml:space="preserve"> National Occupational Employment Wage Estimates</w:t>
      </w:r>
      <w:r w:rsidRPr="006D4259" w:rsidR="00DF2D5B">
        <w:rPr>
          <w:b/>
        </w:rPr>
        <w:t xml:space="preserve"> </w:t>
      </w:r>
      <w:r w:rsidR="00DF2D5B">
        <w:t>for</w:t>
      </w:r>
      <w:r w:rsidRPr="000E646B" w:rsidR="00DF2D5B">
        <w:t xml:space="preserve"> the occupational group of Natural Science Manager (11-9121)</w:t>
      </w:r>
      <w:r w:rsidR="00DF2D5B">
        <w:t>.</w:t>
      </w:r>
      <w:r w:rsidR="005F4DB8">
        <w:t xml:space="preserve"> </w:t>
      </w:r>
    </w:p>
    <w:p w:rsidR="00462288" w:rsidP="00462288">
      <w:pPr>
        <w:rPr>
          <w:lang w:bidi="ar-SA"/>
        </w:rPr>
      </w:pPr>
    </w:p>
    <w:p w:rsidR="00462288" w:rsidP="00462288">
      <w:pPr>
        <w:rPr>
          <w:lang w:bidi="ar-SA"/>
        </w:rPr>
      </w:pPr>
    </w:p>
    <w:p w:rsidR="00462288" w:rsidP="00462288">
      <w:pPr>
        <w:rPr>
          <w:lang w:bidi="ar-SA"/>
        </w:rPr>
      </w:pPr>
    </w:p>
    <w:p w:rsidR="00462288" w:rsidP="00462288">
      <w:pPr>
        <w:rPr>
          <w:lang w:bidi="ar-SA"/>
        </w:rPr>
      </w:pPr>
    </w:p>
    <w:p w:rsidR="00462288" w:rsidP="00462288">
      <w:pPr>
        <w:rPr>
          <w:lang w:bidi="ar-SA"/>
        </w:rPr>
        <w:sectPr w:rsidSect="00BD7237">
          <w:pgSz w:w="12240" w:h="15840"/>
          <w:pgMar w:top="640" w:right="1080" w:bottom="1200" w:left="1080" w:header="0" w:footer="1014" w:gutter="0"/>
          <w:cols w:space="720"/>
        </w:sectPr>
      </w:pPr>
    </w:p>
    <w:p w:rsidR="00462288" w:rsidRPr="00462288" w:rsidP="00462288">
      <w:pPr>
        <w:rPr>
          <w:lang w:bidi="ar-SA"/>
        </w:rPr>
      </w:pPr>
    </w:p>
    <w:p w:rsidR="008A46C5" w:rsidP="008A46C5">
      <w:pPr>
        <w:pStyle w:val="CM9"/>
        <w:spacing w:line="280" w:lineRule="atLeast"/>
        <w:ind w:right="218"/>
        <w:rPr>
          <w:color w:val="000000"/>
        </w:rPr>
      </w:pPr>
      <w:r>
        <w:rPr>
          <w:color w:val="000000"/>
        </w:rPr>
        <w:t xml:space="preserve">We further estimate that for the agreements that the States or other entities develop that are successful in precluding listing, they will spend an average of 320 hours to conduct </w:t>
      </w:r>
      <w:r>
        <w:rPr>
          <w:color w:val="000000"/>
        </w:rPr>
        <w:t>the monitoring and 80 hours to prepare a r</w:t>
      </w:r>
      <w:r w:rsidR="00DF2D5B">
        <w:rPr>
          <w:color w:val="000000"/>
        </w:rPr>
        <w:t>eport. Based on a rate of $75.84</w:t>
      </w:r>
      <w:r>
        <w:rPr>
          <w:color w:val="000000"/>
        </w:rPr>
        <w:t xml:space="preserve"> per hour, we estimate the cost to a State or other entity to conduct the monitoring and to prep</w:t>
      </w:r>
      <w:r w:rsidR="00DF2D5B">
        <w:rPr>
          <w:color w:val="000000"/>
        </w:rPr>
        <w:t>are a report to average $24,269 and $6,067</w:t>
      </w:r>
      <w:r w:rsidR="00387B5C">
        <w:rPr>
          <w:color w:val="000000"/>
        </w:rPr>
        <w:t>, respectively</w:t>
      </w:r>
      <w:r>
        <w:rPr>
          <w:color w:val="000000"/>
        </w:rPr>
        <w:t>.</w:t>
      </w:r>
    </w:p>
    <w:p w:rsidR="008A46C5" w:rsidP="008A46C5">
      <w:pPr>
        <w:pStyle w:val="CM9"/>
        <w:spacing w:line="280" w:lineRule="atLeast"/>
      </w:pPr>
      <w:r>
        <w:t>States and other entities of</w:t>
      </w:r>
      <w:r>
        <w:t>ten have management responsibility for the species that become the subject of agreements or plans. States and other entities routinely conduct monitoring and reporting of these species and conservation efforts for these species as a part of on-going manage</w:t>
      </w:r>
      <w:r>
        <w:t>ment. In these cases, monitoring and reporting for purposes of compliance with this policy is not an added burden</w:t>
      </w:r>
      <w:r w:rsidR="00462288">
        <w:t xml:space="preserve"> for the State or other entity.</w:t>
      </w:r>
    </w:p>
    <w:p w:rsidR="00462288" w:rsidP="00462288">
      <w:pPr>
        <w:rPr>
          <w:lang w:bidi="ar-SA"/>
        </w:rPr>
      </w:pPr>
    </w:p>
    <w:p w:rsidR="00462288" w:rsidRPr="009B6555" w:rsidP="00462288">
      <w:pPr>
        <w:pStyle w:val="CM11"/>
        <w:spacing w:line="280" w:lineRule="atLeast"/>
        <w:ind w:right="553"/>
        <w:jc w:val="both"/>
        <w:rPr>
          <w:color w:val="000000"/>
        </w:rPr>
      </w:pPr>
      <w:r>
        <w:rPr>
          <w:color w:val="000000"/>
          <w:u w:val="single"/>
        </w:rPr>
        <w:t>Burden Estimates for Reporting Requirements for the Policy for Evaluation of Conservation Efforts in Making Li</w:t>
      </w:r>
      <w:r>
        <w:rPr>
          <w:color w:val="000000"/>
          <w:u w:val="single"/>
        </w:rPr>
        <w:t>sting Decisions</w:t>
      </w:r>
    </w:p>
    <w:p w:rsidR="00462288" w:rsidP="00462288">
      <w:pPr>
        <w:spacing w:line="259" w:lineRule="auto"/>
        <w:ind w:hanging="43"/>
        <w:jc w:val="center"/>
        <w:rPr>
          <w:rFonts w:ascii="Times New Roman" w:hAnsi="Times New Roman" w:cs="Times New Roman"/>
          <w:b/>
          <w:color w:val="FF0000"/>
          <w:sz w:val="24"/>
          <w:szCs w:val="24"/>
        </w:rPr>
      </w:pPr>
    </w:p>
    <w:tbl>
      <w:tblPr>
        <w:tblW w:w="14415" w:type="dxa"/>
        <w:jc w:val="center"/>
        <w:tblLook w:val="04A0"/>
      </w:tblPr>
      <w:tblGrid>
        <w:gridCol w:w="3560"/>
        <w:gridCol w:w="1945"/>
        <w:gridCol w:w="1441"/>
        <w:gridCol w:w="1349"/>
        <w:gridCol w:w="1170"/>
        <w:gridCol w:w="1080"/>
        <w:gridCol w:w="1137"/>
        <w:gridCol w:w="1066"/>
        <w:gridCol w:w="1667"/>
      </w:tblGrid>
      <w:tr w:rsidTr="00462288">
        <w:tblPrEx>
          <w:tblW w:w="14415" w:type="dxa"/>
          <w:jc w:val="center"/>
          <w:tblLook w:val="04A0"/>
        </w:tblPrEx>
        <w:trPr>
          <w:trHeight w:val="1365"/>
          <w:jc w:val="center"/>
        </w:trPr>
        <w:tc>
          <w:tcPr>
            <w:tcW w:w="356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462288" w:rsidRPr="00D64DF9" w:rsidP="00462288">
            <w:pPr>
              <w:widowControl/>
              <w:autoSpaceDE/>
              <w:autoSpaceDN/>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Information Collection</w:t>
            </w:r>
          </w:p>
        </w:tc>
        <w:tc>
          <w:tcPr>
            <w:tcW w:w="1945" w:type="dxa"/>
            <w:tcBorders>
              <w:top w:val="single" w:sz="8" w:space="0" w:color="auto"/>
              <w:left w:val="nil"/>
              <w:bottom w:val="single" w:sz="8" w:space="0" w:color="auto"/>
              <w:right w:val="single" w:sz="8" w:space="0" w:color="000000"/>
            </w:tcBorders>
            <w:shd w:val="clear" w:color="000000" w:fill="BDD7EE"/>
            <w:vAlign w:val="center"/>
            <w:hideMark/>
          </w:tcPr>
          <w:p w:rsidR="00462288" w:rsidRPr="00D64DF9" w:rsidP="00462288">
            <w:pPr>
              <w:widowControl/>
              <w:autoSpaceDE/>
              <w:autoSpaceDN/>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Type of Respondent (e.g., Occupational Title)</w:t>
            </w:r>
          </w:p>
        </w:tc>
        <w:tc>
          <w:tcPr>
            <w:tcW w:w="1441" w:type="dxa"/>
            <w:tcBorders>
              <w:top w:val="single" w:sz="8" w:space="0" w:color="auto"/>
              <w:left w:val="nil"/>
              <w:bottom w:val="single" w:sz="8" w:space="0" w:color="auto"/>
              <w:right w:val="single" w:sz="8" w:space="0" w:color="000000"/>
            </w:tcBorders>
            <w:shd w:val="clear" w:color="000000" w:fill="BDD7EE"/>
            <w:vAlign w:val="center"/>
            <w:hideMark/>
          </w:tcPr>
          <w:p w:rsidR="00462288" w:rsidRPr="00D64DF9" w:rsidP="00462288">
            <w:pPr>
              <w:widowControl/>
              <w:autoSpaceDE/>
              <w:autoSpaceDN/>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 of Respondents/year</w:t>
            </w:r>
            <w:r w:rsidRPr="00D64DF9">
              <w:rPr>
                <w:rFonts w:ascii="Calibri" w:eastAsia="Times New Roman" w:hAnsi="Calibri" w:cs="Calibri"/>
                <w:b/>
                <w:bCs/>
                <w:color w:val="000000"/>
                <w:sz w:val="16"/>
                <w:szCs w:val="16"/>
                <w:lang w:bidi="ar-SA"/>
              </w:rPr>
              <w:br/>
              <w:t>(a)</w:t>
            </w:r>
          </w:p>
        </w:tc>
        <w:tc>
          <w:tcPr>
            <w:tcW w:w="1349" w:type="dxa"/>
            <w:tcBorders>
              <w:top w:val="single" w:sz="8" w:space="0" w:color="auto"/>
              <w:left w:val="nil"/>
              <w:bottom w:val="single" w:sz="8" w:space="0" w:color="auto"/>
              <w:right w:val="single" w:sz="8" w:space="0" w:color="auto"/>
            </w:tcBorders>
            <w:shd w:val="clear" w:color="000000" w:fill="BDD7EE"/>
            <w:vAlign w:val="center"/>
            <w:hideMark/>
          </w:tcPr>
          <w:p w:rsidR="00462288" w:rsidRPr="00D64DF9" w:rsidP="00462288">
            <w:pPr>
              <w:widowControl/>
              <w:autoSpaceDE/>
              <w:autoSpaceDN/>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Annual # of Responses / Respondent</w:t>
            </w:r>
            <w:r w:rsidRPr="00D64DF9">
              <w:rPr>
                <w:rFonts w:ascii="Calibri" w:eastAsia="Times New Roman" w:hAnsi="Calibri" w:cs="Calibri"/>
                <w:b/>
                <w:bCs/>
                <w:color w:val="000000"/>
                <w:sz w:val="16"/>
                <w:szCs w:val="16"/>
                <w:lang w:bidi="ar-SA"/>
              </w:rPr>
              <w:br/>
              <w:t>(b)</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462288" w:rsidRPr="00D64DF9" w:rsidP="00462288">
            <w:pPr>
              <w:widowControl/>
              <w:autoSpaceDE/>
              <w:autoSpaceDN/>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 xml:space="preserve"> Total # of Annual Responses</w:t>
            </w:r>
            <w:r w:rsidRPr="00D64DF9">
              <w:rPr>
                <w:rFonts w:ascii="Calibri" w:eastAsia="Times New Roman" w:hAnsi="Calibri" w:cs="Calibri"/>
                <w:b/>
                <w:bCs/>
                <w:color w:val="000000"/>
                <w:sz w:val="16"/>
                <w:szCs w:val="16"/>
                <w:lang w:bidi="ar-SA"/>
              </w:rPr>
              <w:br/>
              <w:t>(c) = (a) x (b)</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462288" w:rsidRPr="00D64DF9" w:rsidP="00462288">
            <w:pPr>
              <w:widowControl/>
              <w:autoSpaceDE/>
              <w:autoSpaceDN/>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Burden Hrs / Response</w:t>
            </w:r>
            <w:r w:rsidRPr="00D64DF9">
              <w:rPr>
                <w:rFonts w:ascii="Calibri" w:eastAsia="Times New Roman" w:hAnsi="Calibri" w:cs="Calibri"/>
                <w:b/>
                <w:bCs/>
                <w:color w:val="000000"/>
                <w:sz w:val="16"/>
                <w:szCs w:val="16"/>
                <w:lang w:bidi="ar-SA"/>
              </w:rPr>
              <w:br/>
              <w:t>(d)</w:t>
            </w:r>
          </w:p>
        </w:tc>
        <w:tc>
          <w:tcPr>
            <w:tcW w:w="1137" w:type="dxa"/>
            <w:tcBorders>
              <w:top w:val="single" w:sz="8" w:space="0" w:color="auto"/>
              <w:left w:val="nil"/>
              <w:bottom w:val="single" w:sz="8" w:space="0" w:color="auto"/>
              <w:right w:val="single" w:sz="8" w:space="0" w:color="auto"/>
            </w:tcBorders>
            <w:shd w:val="clear" w:color="000000" w:fill="BDD7EE"/>
            <w:vAlign w:val="center"/>
            <w:hideMark/>
          </w:tcPr>
          <w:p w:rsidR="00462288" w:rsidRPr="00D64DF9" w:rsidP="00462288">
            <w:pPr>
              <w:widowControl/>
              <w:autoSpaceDE/>
              <w:autoSpaceDN/>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Total Annual Burden Hrs</w:t>
            </w:r>
            <w:r w:rsidRPr="00D64DF9">
              <w:rPr>
                <w:rFonts w:ascii="Calibri" w:eastAsia="Times New Roman" w:hAnsi="Calibri" w:cs="Calibri"/>
                <w:b/>
                <w:bCs/>
                <w:color w:val="000000"/>
                <w:sz w:val="16"/>
                <w:szCs w:val="16"/>
                <w:lang w:bidi="ar-SA"/>
              </w:rPr>
              <w:br/>
              <w:t>(e)  = (c)</w:t>
            </w:r>
            <w:r w:rsidRPr="00D64DF9">
              <w:rPr>
                <w:rFonts w:ascii="Calibri" w:eastAsia="Times New Roman" w:hAnsi="Calibri" w:cs="Calibri"/>
                <w:b/>
                <w:bCs/>
                <w:color w:val="000000"/>
                <w:sz w:val="16"/>
                <w:szCs w:val="16"/>
                <w:lang w:bidi="ar-SA"/>
              </w:rPr>
              <w:t xml:space="preserve"> x (d)</w:t>
            </w:r>
          </w:p>
        </w:tc>
        <w:tc>
          <w:tcPr>
            <w:tcW w:w="1066" w:type="dxa"/>
            <w:tcBorders>
              <w:top w:val="single" w:sz="8" w:space="0" w:color="auto"/>
              <w:left w:val="nil"/>
              <w:bottom w:val="single" w:sz="8" w:space="0" w:color="auto"/>
              <w:right w:val="single" w:sz="8" w:space="0" w:color="auto"/>
            </w:tcBorders>
            <w:shd w:val="clear" w:color="000000" w:fill="BDD7EE"/>
            <w:vAlign w:val="center"/>
            <w:hideMark/>
          </w:tcPr>
          <w:p w:rsidR="00462288" w:rsidRPr="00D64DF9" w:rsidP="00462288">
            <w:pPr>
              <w:widowControl/>
              <w:autoSpaceDE/>
              <w:autoSpaceDN/>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Hourly Wage Rate</w:t>
            </w:r>
            <w:r>
              <w:rPr>
                <w:rFonts w:ascii="Calibri" w:eastAsia="Times New Roman" w:hAnsi="Calibri" w:cs="Calibri"/>
                <w:b/>
                <w:bCs/>
                <w:color w:val="000000"/>
                <w:sz w:val="16"/>
                <w:szCs w:val="16"/>
                <w:lang w:bidi="ar-SA"/>
              </w:rPr>
              <w:t>*</w:t>
            </w:r>
            <w:r w:rsidRPr="00D64DF9">
              <w:rPr>
                <w:rFonts w:ascii="Calibri" w:eastAsia="Times New Roman" w:hAnsi="Calibri" w:cs="Calibri"/>
                <w:b/>
                <w:bCs/>
                <w:color w:val="000000"/>
                <w:sz w:val="16"/>
                <w:szCs w:val="16"/>
                <w:lang w:bidi="ar-SA"/>
              </w:rPr>
              <w:t xml:space="preserve">  (for Type of Respondent)</w:t>
            </w:r>
            <w:r w:rsidRPr="00D64DF9">
              <w:rPr>
                <w:rFonts w:ascii="Calibri" w:eastAsia="Times New Roman" w:hAnsi="Calibri" w:cs="Calibri"/>
                <w:b/>
                <w:bCs/>
                <w:color w:val="000000"/>
                <w:sz w:val="16"/>
                <w:szCs w:val="16"/>
                <w:lang w:bidi="ar-SA"/>
              </w:rPr>
              <w:br/>
              <w:t>(f)</w:t>
            </w:r>
          </w:p>
        </w:tc>
        <w:tc>
          <w:tcPr>
            <w:tcW w:w="1667" w:type="dxa"/>
            <w:tcBorders>
              <w:top w:val="single" w:sz="8" w:space="0" w:color="auto"/>
              <w:left w:val="nil"/>
              <w:bottom w:val="single" w:sz="8" w:space="0" w:color="auto"/>
              <w:right w:val="single" w:sz="8" w:space="0" w:color="auto"/>
            </w:tcBorders>
            <w:shd w:val="clear" w:color="000000" w:fill="BDD7EE"/>
            <w:vAlign w:val="center"/>
            <w:hideMark/>
          </w:tcPr>
          <w:p w:rsidR="00462288" w:rsidRPr="00D64DF9" w:rsidP="00462288">
            <w:pPr>
              <w:widowControl/>
              <w:autoSpaceDE/>
              <w:autoSpaceDN/>
              <w:rPr>
                <w:rFonts w:ascii="Calibri" w:eastAsia="Times New Roman" w:hAnsi="Calibri" w:cs="Calibri"/>
                <w:b/>
                <w:bCs/>
                <w:color w:val="000000"/>
                <w:sz w:val="16"/>
                <w:szCs w:val="16"/>
                <w:lang w:bidi="ar-SA"/>
              </w:rPr>
            </w:pPr>
            <w:r w:rsidRPr="00D64DF9">
              <w:rPr>
                <w:rFonts w:ascii="Calibri" w:eastAsia="Times New Roman" w:hAnsi="Calibri" w:cs="Calibri"/>
                <w:b/>
                <w:bCs/>
                <w:color w:val="000000"/>
                <w:sz w:val="16"/>
                <w:szCs w:val="16"/>
                <w:lang w:bidi="ar-SA"/>
              </w:rPr>
              <w:t>Total Annual Wage Burden Costs</w:t>
            </w:r>
            <w:r w:rsidRPr="00D64DF9">
              <w:rPr>
                <w:rFonts w:ascii="Calibri" w:eastAsia="Times New Roman" w:hAnsi="Calibri" w:cs="Calibri"/>
                <w:b/>
                <w:bCs/>
                <w:color w:val="000000"/>
                <w:sz w:val="16"/>
                <w:szCs w:val="16"/>
                <w:lang w:bidi="ar-SA"/>
              </w:rPr>
              <w:br/>
              <w:t>(g) = (e) x (f)</w:t>
            </w:r>
          </w:p>
        </w:tc>
      </w:tr>
      <w:tr w:rsidTr="00462288">
        <w:tblPrEx>
          <w:tblW w:w="14415" w:type="dxa"/>
          <w:jc w:val="center"/>
          <w:tblLook w:val="04A0"/>
        </w:tblPrEx>
        <w:trPr>
          <w:trHeight w:val="300"/>
          <w:jc w:val="center"/>
        </w:trPr>
        <w:tc>
          <w:tcPr>
            <w:tcW w:w="3560" w:type="dxa"/>
            <w:tcBorders>
              <w:top w:val="nil"/>
              <w:left w:val="single" w:sz="8" w:space="0" w:color="auto"/>
              <w:bottom w:val="single" w:sz="4" w:space="0" w:color="auto"/>
              <w:right w:val="single" w:sz="4" w:space="0" w:color="auto"/>
            </w:tcBorders>
            <w:shd w:val="clear" w:color="auto" w:fill="auto"/>
            <w:vAlign w:val="center"/>
            <w:hideMark/>
          </w:tcPr>
          <w:p w:rsidR="00462288" w:rsidRPr="00AD48FF" w:rsidP="00462288">
            <w:pPr>
              <w:pStyle w:val="Default"/>
              <w:keepNext/>
              <w:widowControl/>
              <w:rPr>
                <w:sz w:val="20"/>
                <w:szCs w:val="20"/>
              </w:rPr>
            </w:pPr>
            <w:r w:rsidRPr="00AD48FF">
              <w:rPr>
                <w:sz w:val="20"/>
                <w:szCs w:val="20"/>
              </w:rPr>
              <w:t>Developing agreement with intent to preclude listing (one</w:t>
            </w:r>
            <w:r>
              <w:rPr>
                <w:sz w:val="20"/>
                <w:szCs w:val="20"/>
              </w:rPr>
              <w:t>-</w:t>
            </w:r>
            <w:r w:rsidRPr="00AD48FF">
              <w:rPr>
                <w:sz w:val="20"/>
                <w:szCs w:val="20"/>
              </w:rPr>
              <w:t xml:space="preserve">time burden) </w:t>
            </w:r>
          </w:p>
        </w:tc>
        <w:tc>
          <w:tcPr>
            <w:tcW w:w="1945" w:type="dxa"/>
            <w:tcBorders>
              <w:top w:val="nil"/>
              <w:left w:val="nil"/>
              <w:bottom w:val="single" w:sz="4" w:space="0" w:color="auto"/>
              <w:right w:val="single" w:sz="4" w:space="0" w:color="auto"/>
            </w:tcBorders>
            <w:shd w:val="clear" w:color="auto" w:fill="auto"/>
            <w:vAlign w:val="bottom"/>
            <w:hideMark/>
          </w:tcPr>
          <w:p w:rsidR="00462288" w:rsidRPr="00297F72" w:rsidP="00462288">
            <w:pPr>
              <w:widowControl/>
              <w:autoSpaceDE/>
              <w:autoSpaceDN/>
              <w:jc w:val="center"/>
              <w:rPr>
                <w:rFonts w:ascii="Calibri" w:eastAsia="Times New Roman" w:hAnsi="Calibri" w:cs="Calibri"/>
                <w:color w:val="000000"/>
                <w:sz w:val="16"/>
                <w:szCs w:val="16"/>
                <w:lang w:bidi="ar-SA"/>
              </w:rPr>
            </w:pPr>
            <w:r w:rsidRPr="00297F72">
              <w:rPr>
                <w:rFonts w:ascii="Times New Roman" w:hAnsi="Times New Roman" w:cs="Times New Roman"/>
                <w:sz w:val="16"/>
                <w:szCs w:val="16"/>
              </w:rPr>
              <w:t>Natural Science Manager (11-9121)</w:t>
            </w:r>
            <w:r w:rsidRPr="00297F72">
              <w:rPr>
                <w:rFonts w:ascii="Calibri" w:eastAsia="Times New Roman" w:hAnsi="Calibri" w:cs="Calibri"/>
                <w:color w:val="000000"/>
                <w:sz w:val="16"/>
                <w:szCs w:val="16"/>
                <w:lang w:bidi="ar-SA"/>
              </w:rPr>
              <w:t> </w:t>
            </w:r>
          </w:p>
        </w:tc>
        <w:tc>
          <w:tcPr>
            <w:tcW w:w="1441"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jc w:val="center"/>
              <w:rPr>
                <w:sz w:val="20"/>
                <w:szCs w:val="20"/>
              </w:rPr>
            </w:pPr>
            <w:r w:rsidRPr="00AD48FF">
              <w:rPr>
                <w:sz w:val="20"/>
                <w:szCs w:val="20"/>
              </w:rPr>
              <w:t>1</w:t>
            </w:r>
          </w:p>
        </w:tc>
        <w:tc>
          <w:tcPr>
            <w:tcW w:w="1349"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jc w:val="center"/>
              <w:rPr>
                <w:sz w:val="20"/>
                <w:szCs w:val="20"/>
              </w:rPr>
            </w:pPr>
            <w:r w:rsidRPr="00AD48FF">
              <w:rPr>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jc w:val="center"/>
              <w:rPr>
                <w:sz w:val="20"/>
                <w:szCs w:val="20"/>
              </w:rPr>
            </w:pPr>
            <w:r w:rsidRPr="00AD48FF">
              <w:rPr>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ind w:right="177"/>
              <w:jc w:val="right"/>
              <w:rPr>
                <w:sz w:val="20"/>
                <w:szCs w:val="20"/>
              </w:rPr>
            </w:pPr>
            <w:r w:rsidRPr="00AD48FF">
              <w:rPr>
                <w:sz w:val="20"/>
                <w:szCs w:val="20"/>
              </w:rPr>
              <w:t xml:space="preserve">2,500 </w:t>
            </w:r>
          </w:p>
        </w:tc>
        <w:tc>
          <w:tcPr>
            <w:tcW w:w="1137"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ind w:right="177"/>
              <w:jc w:val="right"/>
              <w:rPr>
                <w:sz w:val="20"/>
                <w:szCs w:val="20"/>
              </w:rPr>
            </w:pPr>
            <w:r w:rsidRPr="00AD48FF">
              <w:rPr>
                <w:sz w:val="20"/>
                <w:szCs w:val="20"/>
              </w:rPr>
              <w:t xml:space="preserve">2,500 </w:t>
            </w:r>
          </w:p>
        </w:tc>
        <w:tc>
          <w:tcPr>
            <w:tcW w:w="1066" w:type="dxa"/>
            <w:tcBorders>
              <w:top w:val="nil"/>
              <w:left w:val="nil"/>
              <w:bottom w:val="single" w:sz="4" w:space="0" w:color="auto"/>
              <w:right w:val="single" w:sz="4" w:space="0" w:color="auto"/>
            </w:tcBorders>
            <w:shd w:val="clear" w:color="auto" w:fill="auto"/>
            <w:noWrap/>
            <w:vAlign w:val="center"/>
            <w:hideMark/>
          </w:tcPr>
          <w:p w:rsidR="00462288" w:rsidRPr="009B7897" w:rsidP="00462288">
            <w:pPr>
              <w:widowControl/>
              <w:autoSpaceDE/>
              <w:autoSpaceDN/>
              <w:jc w:val="center"/>
              <w:rPr>
                <w:rFonts w:ascii="Times New Roman" w:eastAsia="Times New Roman" w:hAnsi="Times New Roman" w:cs="Times New Roman"/>
                <w:color w:val="000000"/>
                <w:sz w:val="20"/>
                <w:szCs w:val="20"/>
                <w:lang w:bidi="ar-SA"/>
              </w:rPr>
            </w:pPr>
            <w:r w:rsidRPr="009B7897">
              <w:rPr>
                <w:rFonts w:ascii="Times New Roman" w:eastAsia="Times New Roman" w:hAnsi="Times New Roman" w:cs="Times New Roman"/>
                <w:color w:val="000000"/>
                <w:sz w:val="20"/>
                <w:szCs w:val="20"/>
                <w:lang w:bidi="ar-SA"/>
              </w:rPr>
              <w:t>$</w:t>
            </w:r>
            <w:r>
              <w:rPr>
                <w:rFonts w:ascii="Times New Roman" w:eastAsia="Times New Roman" w:hAnsi="Times New Roman" w:cs="Times New Roman"/>
                <w:color w:val="000000"/>
                <w:sz w:val="20"/>
                <w:szCs w:val="20"/>
                <w:lang w:bidi="ar-SA"/>
              </w:rPr>
              <w:t>75.84</w:t>
            </w:r>
          </w:p>
        </w:tc>
        <w:tc>
          <w:tcPr>
            <w:tcW w:w="1667" w:type="dxa"/>
            <w:tcBorders>
              <w:top w:val="nil"/>
              <w:left w:val="nil"/>
              <w:bottom w:val="single" w:sz="4" w:space="0" w:color="auto"/>
              <w:right w:val="single" w:sz="8" w:space="0" w:color="auto"/>
            </w:tcBorders>
            <w:shd w:val="clear" w:color="auto" w:fill="auto"/>
            <w:noWrap/>
            <w:vAlign w:val="center"/>
            <w:hideMark/>
          </w:tcPr>
          <w:p w:rsidR="00462288" w:rsidRPr="009B7897" w:rsidP="00462288">
            <w:pPr>
              <w:widowControl/>
              <w:autoSpaceDE/>
              <w:autoSpaceDN/>
              <w:jc w:val="center"/>
              <w:rPr>
                <w:rFonts w:ascii="Times New Roman" w:eastAsia="Times New Roman" w:hAnsi="Times New Roman" w:cs="Times New Roman"/>
                <w:color w:val="000000"/>
                <w:sz w:val="20"/>
                <w:szCs w:val="20"/>
                <w:lang w:bidi="ar-SA"/>
              </w:rPr>
            </w:pPr>
            <w:r w:rsidRPr="009B7897">
              <w:rPr>
                <w:rFonts w:ascii="Times New Roman" w:eastAsia="Times New Roman" w:hAnsi="Times New Roman" w:cs="Times New Roman"/>
                <w:color w:val="000000"/>
                <w:sz w:val="20"/>
                <w:szCs w:val="20"/>
                <w:lang w:bidi="ar-SA"/>
              </w:rPr>
              <w:t>$</w:t>
            </w:r>
            <w:r>
              <w:rPr>
                <w:rFonts w:ascii="Times New Roman" w:eastAsia="Times New Roman" w:hAnsi="Times New Roman" w:cs="Times New Roman"/>
                <w:color w:val="000000"/>
                <w:sz w:val="20"/>
                <w:szCs w:val="20"/>
                <w:lang w:bidi="ar-SA"/>
              </w:rPr>
              <w:t>189,600</w:t>
            </w:r>
          </w:p>
        </w:tc>
      </w:tr>
      <w:tr w:rsidTr="00462288">
        <w:tblPrEx>
          <w:tblW w:w="14415" w:type="dxa"/>
          <w:jc w:val="center"/>
          <w:tblLook w:val="04A0"/>
        </w:tblPrEx>
        <w:trPr>
          <w:trHeight w:val="300"/>
          <w:jc w:val="center"/>
        </w:trPr>
        <w:tc>
          <w:tcPr>
            <w:tcW w:w="3560" w:type="dxa"/>
            <w:tcBorders>
              <w:top w:val="nil"/>
              <w:left w:val="single" w:sz="8" w:space="0" w:color="auto"/>
              <w:bottom w:val="single" w:sz="4" w:space="0" w:color="auto"/>
              <w:right w:val="single" w:sz="4" w:space="0" w:color="auto"/>
            </w:tcBorders>
            <w:shd w:val="clear" w:color="auto" w:fill="auto"/>
            <w:vAlign w:val="center"/>
            <w:hideMark/>
          </w:tcPr>
          <w:p w:rsidR="00462288" w:rsidRPr="00AD48FF" w:rsidP="00462288">
            <w:pPr>
              <w:pStyle w:val="Default"/>
              <w:keepNext/>
              <w:widowControl/>
              <w:rPr>
                <w:sz w:val="20"/>
                <w:szCs w:val="20"/>
              </w:rPr>
            </w:pPr>
            <w:r w:rsidRPr="00AD48FF">
              <w:rPr>
                <w:sz w:val="20"/>
                <w:szCs w:val="20"/>
              </w:rPr>
              <w:t xml:space="preserve">Monitoring (annual) </w:t>
            </w:r>
          </w:p>
        </w:tc>
        <w:tc>
          <w:tcPr>
            <w:tcW w:w="1945" w:type="dxa"/>
            <w:tcBorders>
              <w:top w:val="nil"/>
              <w:left w:val="nil"/>
              <w:bottom w:val="single" w:sz="4" w:space="0" w:color="auto"/>
              <w:right w:val="single" w:sz="4" w:space="0" w:color="auto"/>
            </w:tcBorders>
            <w:shd w:val="clear" w:color="auto" w:fill="auto"/>
            <w:vAlign w:val="bottom"/>
            <w:hideMark/>
          </w:tcPr>
          <w:p w:rsidR="00462288" w:rsidRPr="00297F72" w:rsidP="00462288">
            <w:pPr>
              <w:widowControl/>
              <w:autoSpaceDE/>
              <w:autoSpaceDN/>
              <w:jc w:val="center"/>
              <w:rPr>
                <w:rFonts w:ascii="Calibri" w:eastAsia="Times New Roman" w:hAnsi="Calibri" w:cs="Calibri"/>
                <w:color w:val="000000"/>
                <w:sz w:val="16"/>
                <w:szCs w:val="16"/>
                <w:lang w:bidi="ar-SA"/>
              </w:rPr>
            </w:pPr>
            <w:r w:rsidRPr="00297F72">
              <w:rPr>
                <w:rFonts w:ascii="Times New Roman" w:hAnsi="Times New Roman" w:cs="Times New Roman"/>
                <w:sz w:val="16"/>
                <w:szCs w:val="16"/>
              </w:rPr>
              <w:t>Natural Science Manager (11-9121)</w:t>
            </w:r>
            <w:r w:rsidRPr="00297F72">
              <w:rPr>
                <w:rFonts w:ascii="Calibri" w:eastAsia="Times New Roman" w:hAnsi="Calibri" w:cs="Calibri"/>
                <w:color w:val="000000"/>
                <w:sz w:val="16"/>
                <w:szCs w:val="16"/>
                <w:lang w:bidi="ar-SA"/>
              </w:rPr>
              <w:t> </w:t>
            </w:r>
          </w:p>
        </w:tc>
        <w:tc>
          <w:tcPr>
            <w:tcW w:w="1441"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jc w:val="center"/>
              <w:rPr>
                <w:sz w:val="20"/>
                <w:szCs w:val="20"/>
              </w:rPr>
            </w:pPr>
            <w:r>
              <w:rPr>
                <w:sz w:val="20"/>
                <w:szCs w:val="20"/>
              </w:rPr>
              <w:t>1</w:t>
            </w:r>
          </w:p>
        </w:tc>
        <w:tc>
          <w:tcPr>
            <w:tcW w:w="1349"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jc w:val="center"/>
              <w:rPr>
                <w:sz w:val="20"/>
                <w:szCs w:val="20"/>
              </w:rPr>
            </w:pPr>
            <w:r>
              <w:rPr>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jc w:val="center"/>
              <w:rPr>
                <w:sz w:val="20"/>
                <w:szCs w:val="20"/>
              </w:rPr>
            </w:pPr>
            <w:r>
              <w:rPr>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ind w:right="177"/>
              <w:jc w:val="right"/>
              <w:rPr>
                <w:sz w:val="20"/>
                <w:szCs w:val="20"/>
              </w:rPr>
            </w:pPr>
            <w:r w:rsidRPr="00AD48FF">
              <w:rPr>
                <w:sz w:val="20"/>
                <w:szCs w:val="20"/>
              </w:rPr>
              <w:t xml:space="preserve">320 </w:t>
            </w:r>
          </w:p>
        </w:tc>
        <w:tc>
          <w:tcPr>
            <w:tcW w:w="1137"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ind w:right="177"/>
              <w:jc w:val="right"/>
              <w:rPr>
                <w:sz w:val="20"/>
                <w:szCs w:val="20"/>
              </w:rPr>
            </w:pPr>
            <w:r w:rsidRPr="00AD48FF">
              <w:rPr>
                <w:sz w:val="20"/>
                <w:szCs w:val="20"/>
              </w:rPr>
              <w:t xml:space="preserve">320 </w:t>
            </w:r>
          </w:p>
        </w:tc>
        <w:tc>
          <w:tcPr>
            <w:tcW w:w="1066" w:type="dxa"/>
            <w:tcBorders>
              <w:top w:val="nil"/>
              <w:left w:val="nil"/>
              <w:bottom w:val="single" w:sz="4" w:space="0" w:color="auto"/>
              <w:right w:val="single" w:sz="4" w:space="0" w:color="auto"/>
            </w:tcBorders>
            <w:shd w:val="clear" w:color="auto" w:fill="auto"/>
            <w:noWrap/>
            <w:vAlign w:val="center"/>
            <w:hideMark/>
          </w:tcPr>
          <w:p w:rsidR="00462288" w:rsidRPr="009B7897" w:rsidP="00462288">
            <w:pPr>
              <w:widowControl/>
              <w:autoSpaceDE/>
              <w:autoSpaceDN/>
              <w:jc w:val="center"/>
              <w:rPr>
                <w:rFonts w:ascii="Times New Roman" w:eastAsia="Times New Roman" w:hAnsi="Times New Roman" w:cs="Times New Roman"/>
                <w:color w:val="000000"/>
                <w:sz w:val="20"/>
                <w:szCs w:val="20"/>
                <w:lang w:bidi="ar-SA"/>
              </w:rPr>
            </w:pPr>
            <w:r w:rsidRPr="009B7897">
              <w:rPr>
                <w:rFonts w:ascii="Times New Roman" w:eastAsia="Times New Roman" w:hAnsi="Times New Roman" w:cs="Times New Roman"/>
                <w:color w:val="000000"/>
                <w:sz w:val="20"/>
                <w:szCs w:val="20"/>
                <w:lang w:bidi="ar-SA"/>
              </w:rPr>
              <w:t>$</w:t>
            </w:r>
            <w:r>
              <w:rPr>
                <w:rFonts w:ascii="Times New Roman" w:eastAsia="Times New Roman" w:hAnsi="Times New Roman" w:cs="Times New Roman"/>
                <w:color w:val="000000"/>
                <w:sz w:val="20"/>
                <w:szCs w:val="20"/>
                <w:lang w:bidi="ar-SA"/>
              </w:rPr>
              <w:t>75.84</w:t>
            </w:r>
          </w:p>
        </w:tc>
        <w:tc>
          <w:tcPr>
            <w:tcW w:w="1667" w:type="dxa"/>
            <w:tcBorders>
              <w:top w:val="nil"/>
              <w:left w:val="nil"/>
              <w:bottom w:val="single" w:sz="4" w:space="0" w:color="auto"/>
              <w:right w:val="single" w:sz="8" w:space="0" w:color="auto"/>
            </w:tcBorders>
            <w:shd w:val="clear" w:color="auto" w:fill="auto"/>
            <w:noWrap/>
            <w:vAlign w:val="center"/>
            <w:hideMark/>
          </w:tcPr>
          <w:p w:rsidR="00462288" w:rsidRPr="009B7897" w:rsidP="00462288">
            <w:pPr>
              <w:widowControl/>
              <w:autoSpaceDE/>
              <w:autoSpaceDN/>
              <w:jc w:val="center"/>
              <w:rPr>
                <w:rFonts w:ascii="Times New Roman" w:eastAsia="Times New Roman" w:hAnsi="Times New Roman" w:cs="Times New Roman"/>
                <w:color w:val="000000"/>
                <w:sz w:val="20"/>
                <w:szCs w:val="20"/>
                <w:lang w:bidi="ar-SA"/>
              </w:rPr>
            </w:pPr>
            <w:r w:rsidRPr="009B7897">
              <w:rPr>
                <w:rFonts w:ascii="Times New Roman" w:eastAsia="Times New Roman" w:hAnsi="Times New Roman" w:cs="Times New Roman"/>
                <w:color w:val="000000"/>
                <w:sz w:val="20"/>
                <w:szCs w:val="20"/>
                <w:lang w:bidi="ar-SA"/>
              </w:rPr>
              <w:t>$</w:t>
            </w:r>
            <w:r>
              <w:rPr>
                <w:rFonts w:ascii="Times New Roman" w:eastAsia="Times New Roman" w:hAnsi="Times New Roman" w:cs="Times New Roman"/>
                <w:color w:val="000000"/>
                <w:sz w:val="20"/>
                <w:szCs w:val="20"/>
                <w:lang w:bidi="ar-SA"/>
              </w:rPr>
              <w:t>24,269</w:t>
            </w:r>
          </w:p>
        </w:tc>
      </w:tr>
      <w:tr w:rsidTr="00462288">
        <w:tblPrEx>
          <w:tblW w:w="14415" w:type="dxa"/>
          <w:jc w:val="center"/>
          <w:tblLook w:val="04A0"/>
        </w:tblPrEx>
        <w:trPr>
          <w:trHeight w:val="300"/>
          <w:jc w:val="center"/>
        </w:trPr>
        <w:tc>
          <w:tcPr>
            <w:tcW w:w="3560" w:type="dxa"/>
            <w:tcBorders>
              <w:top w:val="nil"/>
              <w:left w:val="single" w:sz="8" w:space="0" w:color="auto"/>
              <w:bottom w:val="single" w:sz="4" w:space="0" w:color="auto"/>
              <w:right w:val="single" w:sz="4" w:space="0" w:color="auto"/>
            </w:tcBorders>
            <w:shd w:val="clear" w:color="auto" w:fill="auto"/>
            <w:vAlign w:val="center"/>
            <w:hideMark/>
          </w:tcPr>
          <w:p w:rsidR="00462288" w:rsidRPr="00AD48FF" w:rsidP="00462288">
            <w:pPr>
              <w:pStyle w:val="Default"/>
              <w:keepNext/>
              <w:widowControl/>
              <w:rPr>
                <w:sz w:val="20"/>
                <w:szCs w:val="20"/>
              </w:rPr>
            </w:pPr>
            <w:r w:rsidRPr="00AD48FF">
              <w:rPr>
                <w:sz w:val="20"/>
                <w:szCs w:val="20"/>
              </w:rPr>
              <w:t xml:space="preserve">Report preparation (annual) </w:t>
            </w:r>
          </w:p>
        </w:tc>
        <w:tc>
          <w:tcPr>
            <w:tcW w:w="1945" w:type="dxa"/>
            <w:tcBorders>
              <w:top w:val="nil"/>
              <w:left w:val="nil"/>
              <w:bottom w:val="single" w:sz="4" w:space="0" w:color="auto"/>
              <w:right w:val="single" w:sz="4" w:space="0" w:color="auto"/>
            </w:tcBorders>
            <w:shd w:val="clear" w:color="auto" w:fill="auto"/>
            <w:vAlign w:val="bottom"/>
            <w:hideMark/>
          </w:tcPr>
          <w:p w:rsidR="00462288" w:rsidRPr="00297F72" w:rsidP="00462288">
            <w:pPr>
              <w:widowControl/>
              <w:autoSpaceDE/>
              <w:autoSpaceDN/>
              <w:jc w:val="center"/>
              <w:rPr>
                <w:rFonts w:ascii="Calibri" w:eastAsia="Times New Roman" w:hAnsi="Calibri" w:cs="Calibri"/>
                <w:color w:val="000000"/>
                <w:sz w:val="16"/>
                <w:szCs w:val="16"/>
                <w:lang w:bidi="ar-SA"/>
              </w:rPr>
            </w:pPr>
            <w:r w:rsidRPr="00297F72">
              <w:rPr>
                <w:rFonts w:ascii="Times New Roman" w:hAnsi="Times New Roman" w:cs="Times New Roman"/>
                <w:sz w:val="16"/>
                <w:szCs w:val="16"/>
              </w:rPr>
              <w:t>Natural Science Manager (11-9121)</w:t>
            </w:r>
            <w:r w:rsidRPr="00297F72">
              <w:rPr>
                <w:rFonts w:ascii="Calibri" w:eastAsia="Times New Roman" w:hAnsi="Calibri" w:cs="Calibri"/>
                <w:color w:val="000000"/>
                <w:sz w:val="16"/>
                <w:szCs w:val="16"/>
                <w:lang w:bidi="ar-SA"/>
              </w:rPr>
              <w:t> </w:t>
            </w:r>
          </w:p>
        </w:tc>
        <w:tc>
          <w:tcPr>
            <w:tcW w:w="1441"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jc w:val="center"/>
              <w:rPr>
                <w:sz w:val="20"/>
                <w:szCs w:val="20"/>
              </w:rPr>
            </w:pPr>
            <w:r>
              <w:rPr>
                <w:sz w:val="20"/>
                <w:szCs w:val="20"/>
              </w:rPr>
              <w:t>1</w:t>
            </w:r>
          </w:p>
        </w:tc>
        <w:tc>
          <w:tcPr>
            <w:tcW w:w="1349"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jc w:val="center"/>
              <w:rPr>
                <w:sz w:val="20"/>
                <w:szCs w:val="20"/>
              </w:rPr>
            </w:pPr>
            <w:r>
              <w:rPr>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jc w:val="center"/>
              <w:rPr>
                <w:sz w:val="20"/>
                <w:szCs w:val="20"/>
              </w:rPr>
            </w:pPr>
            <w:r>
              <w:rPr>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ind w:right="177"/>
              <w:jc w:val="right"/>
              <w:rPr>
                <w:sz w:val="20"/>
                <w:szCs w:val="20"/>
              </w:rPr>
            </w:pPr>
            <w:r w:rsidRPr="00AD48FF">
              <w:rPr>
                <w:sz w:val="20"/>
                <w:szCs w:val="20"/>
              </w:rPr>
              <w:t>80</w:t>
            </w:r>
          </w:p>
        </w:tc>
        <w:tc>
          <w:tcPr>
            <w:tcW w:w="1137" w:type="dxa"/>
            <w:tcBorders>
              <w:top w:val="nil"/>
              <w:left w:val="nil"/>
              <w:bottom w:val="single" w:sz="4" w:space="0" w:color="auto"/>
              <w:right w:val="single" w:sz="4" w:space="0" w:color="auto"/>
            </w:tcBorders>
            <w:shd w:val="clear" w:color="auto" w:fill="auto"/>
            <w:vAlign w:val="center"/>
            <w:hideMark/>
          </w:tcPr>
          <w:p w:rsidR="00462288" w:rsidRPr="00AD48FF" w:rsidP="00462288">
            <w:pPr>
              <w:pStyle w:val="Default"/>
              <w:keepNext/>
              <w:widowControl/>
              <w:ind w:right="177"/>
              <w:jc w:val="right"/>
              <w:rPr>
                <w:sz w:val="20"/>
                <w:szCs w:val="20"/>
              </w:rPr>
            </w:pPr>
            <w:r w:rsidRPr="00AD48FF">
              <w:rPr>
                <w:sz w:val="20"/>
                <w:szCs w:val="20"/>
              </w:rPr>
              <w:t>80</w:t>
            </w:r>
          </w:p>
        </w:tc>
        <w:tc>
          <w:tcPr>
            <w:tcW w:w="1066" w:type="dxa"/>
            <w:tcBorders>
              <w:top w:val="nil"/>
              <w:left w:val="nil"/>
              <w:bottom w:val="single" w:sz="4" w:space="0" w:color="auto"/>
              <w:right w:val="single" w:sz="4" w:space="0" w:color="auto"/>
            </w:tcBorders>
            <w:shd w:val="clear" w:color="auto" w:fill="auto"/>
            <w:noWrap/>
            <w:vAlign w:val="center"/>
            <w:hideMark/>
          </w:tcPr>
          <w:p w:rsidR="00462288" w:rsidRPr="009B7897" w:rsidP="00462288">
            <w:pPr>
              <w:widowControl/>
              <w:autoSpaceDE/>
              <w:autoSpaceDN/>
              <w:jc w:val="center"/>
              <w:rPr>
                <w:rFonts w:ascii="Times New Roman" w:eastAsia="Times New Roman" w:hAnsi="Times New Roman" w:cs="Times New Roman"/>
                <w:color w:val="000000"/>
                <w:sz w:val="20"/>
                <w:szCs w:val="20"/>
                <w:lang w:bidi="ar-SA"/>
              </w:rPr>
            </w:pPr>
            <w:r w:rsidRPr="009B7897">
              <w:rPr>
                <w:rFonts w:ascii="Times New Roman" w:eastAsia="Times New Roman" w:hAnsi="Times New Roman" w:cs="Times New Roman"/>
                <w:color w:val="000000"/>
                <w:sz w:val="20"/>
                <w:szCs w:val="20"/>
                <w:lang w:bidi="ar-SA"/>
              </w:rPr>
              <w:t>$</w:t>
            </w:r>
            <w:r>
              <w:rPr>
                <w:rFonts w:ascii="Times New Roman" w:eastAsia="Times New Roman" w:hAnsi="Times New Roman" w:cs="Times New Roman"/>
                <w:color w:val="000000"/>
                <w:sz w:val="20"/>
                <w:szCs w:val="20"/>
                <w:lang w:bidi="ar-SA"/>
              </w:rPr>
              <w:t>75.84</w:t>
            </w:r>
          </w:p>
        </w:tc>
        <w:tc>
          <w:tcPr>
            <w:tcW w:w="1667" w:type="dxa"/>
            <w:tcBorders>
              <w:top w:val="nil"/>
              <w:left w:val="nil"/>
              <w:bottom w:val="single" w:sz="4" w:space="0" w:color="auto"/>
              <w:right w:val="single" w:sz="8" w:space="0" w:color="auto"/>
            </w:tcBorders>
            <w:shd w:val="clear" w:color="auto" w:fill="auto"/>
            <w:noWrap/>
            <w:vAlign w:val="center"/>
            <w:hideMark/>
          </w:tcPr>
          <w:p w:rsidR="00462288" w:rsidRPr="009B7897" w:rsidP="00462288">
            <w:pPr>
              <w:widowControl/>
              <w:autoSpaceDE/>
              <w:autoSpaceDN/>
              <w:jc w:val="center"/>
              <w:rPr>
                <w:rFonts w:ascii="Times New Roman" w:eastAsia="Times New Roman" w:hAnsi="Times New Roman" w:cs="Times New Roman"/>
                <w:color w:val="000000"/>
                <w:sz w:val="20"/>
                <w:szCs w:val="20"/>
                <w:lang w:bidi="ar-SA"/>
              </w:rPr>
            </w:pPr>
            <w:r w:rsidRPr="009B7897">
              <w:rPr>
                <w:rFonts w:ascii="Times New Roman" w:eastAsia="Times New Roman" w:hAnsi="Times New Roman" w:cs="Times New Roman"/>
                <w:color w:val="000000"/>
                <w:sz w:val="20"/>
                <w:szCs w:val="20"/>
                <w:lang w:bidi="ar-SA"/>
              </w:rPr>
              <w:t>$</w:t>
            </w:r>
            <w:r>
              <w:rPr>
                <w:rFonts w:ascii="Times New Roman" w:eastAsia="Times New Roman" w:hAnsi="Times New Roman" w:cs="Times New Roman"/>
                <w:color w:val="000000"/>
                <w:sz w:val="20"/>
                <w:szCs w:val="20"/>
                <w:lang w:bidi="ar-SA"/>
              </w:rPr>
              <w:t>6,067</w:t>
            </w:r>
          </w:p>
        </w:tc>
      </w:tr>
      <w:tr w:rsidTr="00462288">
        <w:tblPrEx>
          <w:tblW w:w="14415" w:type="dxa"/>
          <w:jc w:val="center"/>
          <w:tblLook w:val="04A0"/>
        </w:tblPrEx>
        <w:trPr>
          <w:trHeight w:val="615"/>
          <w:jc w:val="center"/>
        </w:trPr>
        <w:tc>
          <w:tcPr>
            <w:tcW w:w="3560" w:type="dxa"/>
            <w:tcBorders>
              <w:top w:val="nil"/>
              <w:left w:val="single" w:sz="8" w:space="0" w:color="auto"/>
              <w:bottom w:val="single" w:sz="8" w:space="0" w:color="auto"/>
              <w:right w:val="single" w:sz="8" w:space="0" w:color="auto"/>
            </w:tcBorders>
            <w:shd w:val="clear" w:color="000000" w:fill="DDEBF7"/>
            <w:noWrap/>
            <w:vAlign w:val="bottom"/>
            <w:hideMark/>
          </w:tcPr>
          <w:p w:rsidR="00462288" w:rsidRPr="00D64DF9" w:rsidP="007D16B1">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Totals</w:t>
            </w:r>
          </w:p>
        </w:tc>
        <w:tc>
          <w:tcPr>
            <w:tcW w:w="1945" w:type="dxa"/>
            <w:tcBorders>
              <w:top w:val="nil"/>
              <w:left w:val="nil"/>
              <w:bottom w:val="single" w:sz="8" w:space="0" w:color="auto"/>
              <w:right w:val="single" w:sz="8" w:space="0" w:color="auto"/>
            </w:tcBorders>
            <w:shd w:val="clear" w:color="000000" w:fill="000000"/>
            <w:noWrap/>
            <w:vAlign w:val="bottom"/>
            <w:hideMark/>
          </w:tcPr>
          <w:p w:rsidR="00462288" w:rsidRPr="00D64DF9" w:rsidP="007D16B1">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441" w:type="dxa"/>
            <w:tcBorders>
              <w:top w:val="nil"/>
              <w:left w:val="nil"/>
              <w:bottom w:val="single" w:sz="8" w:space="0" w:color="auto"/>
              <w:right w:val="single" w:sz="8" w:space="0" w:color="auto"/>
            </w:tcBorders>
            <w:shd w:val="clear" w:color="000000" w:fill="000000"/>
            <w:noWrap/>
            <w:vAlign w:val="bottom"/>
            <w:hideMark/>
          </w:tcPr>
          <w:p w:rsidR="00462288" w:rsidRPr="00D64DF9" w:rsidP="007D16B1">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349" w:type="dxa"/>
            <w:tcBorders>
              <w:top w:val="nil"/>
              <w:left w:val="nil"/>
              <w:bottom w:val="single" w:sz="8" w:space="0" w:color="auto"/>
              <w:right w:val="single" w:sz="8" w:space="0" w:color="auto"/>
            </w:tcBorders>
            <w:shd w:val="clear" w:color="000000" w:fill="000000"/>
            <w:noWrap/>
            <w:vAlign w:val="bottom"/>
            <w:hideMark/>
          </w:tcPr>
          <w:p w:rsidR="00462288" w:rsidRPr="00D64DF9" w:rsidP="007D16B1">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170" w:type="dxa"/>
            <w:tcBorders>
              <w:top w:val="nil"/>
              <w:left w:val="nil"/>
              <w:bottom w:val="single" w:sz="8" w:space="0" w:color="auto"/>
              <w:right w:val="single" w:sz="8" w:space="0" w:color="auto"/>
            </w:tcBorders>
            <w:shd w:val="clear" w:color="000000" w:fill="DDEBF7"/>
            <w:noWrap/>
            <w:vAlign w:val="bottom"/>
            <w:hideMark/>
          </w:tcPr>
          <w:p w:rsidR="00462288" w:rsidRPr="00D64DF9" w:rsidP="007D16B1">
            <w:pPr>
              <w:widowControl/>
              <w:autoSpaceDE/>
              <w:autoSpaceDN/>
              <w:jc w:val="center"/>
              <w:rPr>
                <w:rFonts w:ascii="Calibri" w:eastAsia="Times New Roman" w:hAnsi="Calibri" w:cs="Calibri"/>
                <w:b/>
                <w:bCs/>
                <w:color w:val="000000"/>
                <w:lang w:bidi="ar-SA"/>
              </w:rPr>
            </w:pPr>
            <w:r>
              <w:rPr>
                <w:rFonts w:ascii="Calibri" w:eastAsia="Times New Roman" w:hAnsi="Calibri" w:cs="Calibri"/>
                <w:b/>
                <w:bCs/>
                <w:color w:val="000000"/>
                <w:lang w:bidi="ar-SA"/>
              </w:rPr>
              <w:t>3</w:t>
            </w:r>
          </w:p>
        </w:tc>
        <w:tc>
          <w:tcPr>
            <w:tcW w:w="1080" w:type="dxa"/>
            <w:tcBorders>
              <w:top w:val="nil"/>
              <w:left w:val="nil"/>
              <w:bottom w:val="single" w:sz="8" w:space="0" w:color="auto"/>
              <w:right w:val="single" w:sz="8" w:space="0" w:color="auto"/>
            </w:tcBorders>
            <w:shd w:val="clear" w:color="000000" w:fill="000000"/>
            <w:noWrap/>
            <w:vAlign w:val="bottom"/>
            <w:hideMark/>
          </w:tcPr>
          <w:p w:rsidR="00462288" w:rsidRPr="00D64DF9" w:rsidP="007D16B1">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137" w:type="dxa"/>
            <w:tcBorders>
              <w:top w:val="nil"/>
              <w:left w:val="nil"/>
              <w:bottom w:val="single" w:sz="8" w:space="0" w:color="auto"/>
              <w:right w:val="single" w:sz="8" w:space="0" w:color="auto"/>
            </w:tcBorders>
            <w:shd w:val="clear" w:color="000000" w:fill="DDEBF7"/>
            <w:noWrap/>
            <w:vAlign w:val="bottom"/>
            <w:hideMark/>
          </w:tcPr>
          <w:p w:rsidR="00462288" w:rsidRPr="00D64DF9" w:rsidP="007D16B1">
            <w:pPr>
              <w:widowControl/>
              <w:autoSpaceDE/>
              <w:autoSpaceDN/>
              <w:jc w:val="center"/>
              <w:rPr>
                <w:rFonts w:ascii="Calibri" w:eastAsia="Times New Roman" w:hAnsi="Calibri" w:cs="Calibri"/>
                <w:b/>
                <w:bCs/>
                <w:color w:val="000000"/>
                <w:lang w:bidi="ar-SA"/>
              </w:rPr>
            </w:pPr>
            <w:r>
              <w:rPr>
                <w:rFonts w:ascii="Calibri" w:eastAsia="Times New Roman" w:hAnsi="Calibri" w:cs="Calibri"/>
                <w:b/>
                <w:bCs/>
                <w:color w:val="000000"/>
                <w:lang w:bidi="ar-SA"/>
              </w:rPr>
              <w:fldChar w:fldCharType="begin"/>
            </w:r>
            <w:r>
              <w:rPr>
                <w:rFonts w:ascii="Calibri" w:eastAsia="Times New Roman" w:hAnsi="Calibri" w:cs="Calibri"/>
                <w:b/>
                <w:bCs/>
                <w:color w:val="000000"/>
                <w:lang w:bidi="ar-SA"/>
              </w:rPr>
              <w:instrText xml:space="preserve"> =SUM(ABOVE) </w:instrText>
            </w:r>
            <w:r>
              <w:rPr>
                <w:rFonts w:ascii="Calibri" w:eastAsia="Times New Roman" w:hAnsi="Calibri" w:cs="Calibri"/>
                <w:b/>
                <w:bCs/>
                <w:color w:val="000000"/>
                <w:lang w:bidi="ar-SA"/>
              </w:rPr>
              <w:fldChar w:fldCharType="separate"/>
            </w:r>
            <w:r>
              <w:rPr>
                <w:rFonts w:ascii="Calibri" w:eastAsia="Times New Roman" w:hAnsi="Calibri" w:cs="Calibri"/>
                <w:b/>
                <w:bCs/>
                <w:noProof/>
                <w:color w:val="000000"/>
                <w:lang w:bidi="ar-SA"/>
              </w:rPr>
              <w:t>2,900</w:t>
            </w:r>
            <w:r>
              <w:rPr>
                <w:rFonts w:ascii="Calibri" w:eastAsia="Times New Roman" w:hAnsi="Calibri" w:cs="Calibri"/>
                <w:b/>
                <w:bCs/>
                <w:color w:val="000000"/>
                <w:lang w:bidi="ar-SA"/>
              </w:rPr>
              <w:fldChar w:fldCharType="end"/>
            </w:r>
          </w:p>
        </w:tc>
        <w:tc>
          <w:tcPr>
            <w:tcW w:w="1066" w:type="dxa"/>
            <w:tcBorders>
              <w:top w:val="nil"/>
              <w:left w:val="nil"/>
              <w:bottom w:val="single" w:sz="8" w:space="0" w:color="auto"/>
              <w:right w:val="single" w:sz="8" w:space="0" w:color="auto"/>
            </w:tcBorders>
            <w:shd w:val="clear" w:color="000000" w:fill="000000"/>
            <w:noWrap/>
            <w:vAlign w:val="bottom"/>
            <w:hideMark/>
          </w:tcPr>
          <w:p w:rsidR="00462288" w:rsidRPr="00D64DF9" w:rsidP="007D16B1">
            <w:pPr>
              <w:widowControl/>
              <w:autoSpaceDE/>
              <w:autoSpaceDN/>
              <w:rPr>
                <w:rFonts w:ascii="Calibri" w:eastAsia="Times New Roman" w:hAnsi="Calibri" w:cs="Calibri"/>
                <w:b/>
                <w:bCs/>
                <w:color w:val="000000"/>
                <w:lang w:bidi="ar-SA"/>
              </w:rPr>
            </w:pPr>
            <w:r w:rsidRPr="00D64DF9">
              <w:rPr>
                <w:rFonts w:ascii="Calibri" w:eastAsia="Times New Roman" w:hAnsi="Calibri" w:cs="Calibri"/>
                <w:b/>
                <w:bCs/>
                <w:color w:val="000000"/>
                <w:lang w:bidi="ar-SA"/>
              </w:rPr>
              <w:t> </w:t>
            </w:r>
          </w:p>
        </w:tc>
        <w:tc>
          <w:tcPr>
            <w:tcW w:w="1667" w:type="dxa"/>
            <w:tcBorders>
              <w:top w:val="nil"/>
              <w:left w:val="nil"/>
              <w:bottom w:val="single" w:sz="8" w:space="0" w:color="auto"/>
              <w:right w:val="single" w:sz="8" w:space="0" w:color="auto"/>
            </w:tcBorders>
            <w:shd w:val="clear" w:color="000000" w:fill="DDEBF7"/>
            <w:noWrap/>
            <w:vAlign w:val="bottom"/>
            <w:hideMark/>
          </w:tcPr>
          <w:p w:rsidR="00462288" w:rsidRPr="00D64DF9" w:rsidP="007D16B1">
            <w:pPr>
              <w:widowControl/>
              <w:autoSpaceDE/>
              <w:autoSpaceDN/>
              <w:jc w:val="center"/>
              <w:rPr>
                <w:rFonts w:ascii="Calibri" w:eastAsia="Times New Roman" w:hAnsi="Calibri" w:cs="Calibri"/>
                <w:b/>
                <w:bCs/>
                <w:color w:val="000000"/>
                <w:lang w:bidi="ar-SA"/>
              </w:rPr>
            </w:pPr>
            <w:r>
              <w:rPr>
                <w:rFonts w:ascii="Calibri" w:eastAsia="Times New Roman" w:hAnsi="Calibri" w:cs="Calibri"/>
                <w:b/>
                <w:bCs/>
                <w:color w:val="000000"/>
                <w:lang w:bidi="ar-SA"/>
              </w:rPr>
              <w:t>219,936</w:t>
            </w:r>
          </w:p>
        </w:tc>
      </w:tr>
    </w:tbl>
    <w:p w:rsidR="00462288" w:rsidRPr="00462288" w:rsidP="00462288">
      <w:pPr>
        <w:rPr>
          <w:lang w:bidi="ar-SA"/>
        </w:rPr>
        <w:sectPr w:rsidSect="00462288">
          <w:pgSz w:w="15840" w:h="12240" w:orient="landscape"/>
          <w:pgMar w:top="1080" w:right="634" w:bottom="1080" w:left="1195" w:header="0" w:footer="1008" w:gutter="0"/>
          <w:cols w:space="720"/>
        </w:sectPr>
      </w:pPr>
      <w:r>
        <w:rPr>
          <w:rFonts w:ascii="Times New Roman" w:hAnsi="Times New Roman" w:cs="Times New Roman"/>
          <w:b/>
          <w:sz w:val="24"/>
          <w:szCs w:val="24"/>
        </w:rPr>
        <w:t>*</w:t>
      </w:r>
      <w:r>
        <w:rPr>
          <w:rFonts w:ascii="Times New Roman" w:hAnsi="Times New Roman" w:cs="Times New Roman"/>
        </w:rPr>
        <w:t>Median</w:t>
      </w:r>
      <w:r w:rsidRPr="006D4259">
        <w:rPr>
          <w:rFonts w:ascii="Times New Roman" w:hAnsi="Times New Roman" w:cs="Times New Roman"/>
        </w:rPr>
        <w:t xml:space="preserve"> wage </w:t>
      </w:r>
      <w:r>
        <w:rPr>
          <w:rFonts w:ascii="Times New Roman" w:hAnsi="Times New Roman" w:cs="Times New Roman"/>
        </w:rPr>
        <w:t xml:space="preserve">data </w:t>
      </w:r>
      <w:r w:rsidRPr="006D4259">
        <w:rPr>
          <w:rFonts w:ascii="Times New Roman" w:hAnsi="Times New Roman" w:cs="Times New Roman"/>
        </w:rPr>
        <w:t xml:space="preserve">obtained from the </w:t>
      </w:r>
      <w:r>
        <w:rPr>
          <w:rFonts w:ascii="Times New Roman" w:hAnsi="Times New Roman" w:cs="Times New Roman"/>
        </w:rPr>
        <w:t>U.S. Bureau of Labor Statistics May 2023</w:t>
      </w:r>
      <w:r w:rsidRPr="006D4259">
        <w:rPr>
          <w:rFonts w:ascii="Times New Roman" w:hAnsi="Times New Roman" w:cs="Times New Roman"/>
        </w:rPr>
        <w:t xml:space="preserve"> National Occupational Employment Wage Estimates</w:t>
      </w:r>
      <w:r w:rsidRPr="006D4259">
        <w:rPr>
          <w:rFonts w:ascii="Times New Roman" w:hAnsi="Times New Roman" w:cs="Times New Roman"/>
          <w:b/>
        </w:rPr>
        <w:t xml:space="preserve"> </w:t>
      </w:r>
      <w:r>
        <w:rPr>
          <w:rFonts w:ascii="Times New Roman" w:hAnsi="Times New Roman" w:cs="Times New Roman"/>
        </w:rPr>
        <w:t>for</w:t>
      </w:r>
      <w:r w:rsidRPr="000E646B">
        <w:rPr>
          <w:rFonts w:ascii="Times New Roman" w:hAnsi="Times New Roman" w:cs="Times New Roman"/>
        </w:rPr>
        <w:t xml:space="preserve"> the occupational group of Natural Science Manager (11-9121).</w:t>
      </w:r>
    </w:p>
    <w:p w:rsidR="008E61C9"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an estimate for the total annual cost burden to respondents</w:t>
      </w:r>
      <w:r w:rsidRPr="00BD7237">
        <w:rPr>
          <w:rFonts w:ascii="Times New Roman" w:hAnsi="Times New Roman" w:cs="Times New Roman"/>
          <w:b/>
          <w:sz w:val="24"/>
          <w:szCs w:val="24"/>
        </w:rPr>
        <w:t xml:space="preserve"> or record keepers resulting from the collection of information. (Do not include the cost of any hour burden already reflected on the burden worksheet).</w:t>
      </w:r>
    </w:p>
    <w:p w:rsidR="00E120EA" w:rsidP="00E120EA">
      <w:pPr>
        <w:tabs>
          <w:tab w:val="left" w:pos="360"/>
        </w:tabs>
        <w:spacing w:before="80"/>
        <w:rPr>
          <w:rFonts w:ascii="Times New Roman" w:hAnsi="Times New Roman" w:cs="Times New Roman"/>
          <w:b/>
          <w:sz w:val="24"/>
          <w:szCs w:val="24"/>
        </w:rPr>
      </w:pPr>
    </w:p>
    <w:p w:rsidR="00E06E89" w:rsidP="005829BD">
      <w:pPr>
        <w:pStyle w:val="NoSpacing"/>
      </w:pPr>
      <w:bookmarkStart w:id="0" w:name="_GoBack"/>
      <w:bookmarkEnd w:id="0"/>
    </w:p>
    <w:p w:rsidR="008E61C9" w:rsidP="00805641">
      <w:pPr>
        <w:pStyle w:val="CM9"/>
        <w:spacing w:line="280" w:lineRule="atLeast"/>
        <w:ind w:right="218"/>
        <w:rPr>
          <w:bCs/>
        </w:rPr>
      </w:pPr>
      <w:r>
        <w:t xml:space="preserve">We do not anticipate any costs to applicants beyond those described above except for copying </w:t>
      </w:r>
      <w:r w:rsidR="005829BD">
        <w:t>and mailing plans and reports should the option of submitting materials electronically not be used. We estimate that each plan would</w:t>
      </w:r>
      <w:r>
        <w:t xml:space="preserve"> cost about $50.00 for copying and mai</w:t>
      </w:r>
      <w:r w:rsidR="005829BD">
        <w:t>ling and each annual report would</w:t>
      </w:r>
      <w:r>
        <w:t xml:space="preserve"> cost about $50.00 for copying and mailing with a total a</w:t>
      </w:r>
      <w:r>
        <w:t xml:space="preserve">nnual cost of about $100.00 (one plan and one </w:t>
      </w:r>
      <w:r w:rsidR="005829BD">
        <w:t>report).</w:t>
      </w:r>
      <w:r w:rsidR="005F4DB8">
        <w:t xml:space="preserve"> </w:t>
      </w:r>
      <w:r w:rsidRPr="005F4DB8" w:rsidR="005F4DB8">
        <w:rPr>
          <w:bCs/>
        </w:rPr>
        <w:t>There are no capital costs or operating and maintenance costs associated with this information collection.</w:t>
      </w:r>
    </w:p>
    <w:tbl>
      <w:tblPr>
        <w:tblW w:w="9073" w:type="dxa"/>
        <w:jc w:val="center"/>
        <w:tblLook w:val="04A0"/>
      </w:tblPr>
      <w:tblGrid>
        <w:gridCol w:w="2239"/>
        <w:gridCol w:w="1508"/>
        <w:gridCol w:w="1418"/>
        <w:gridCol w:w="1280"/>
        <w:gridCol w:w="1418"/>
        <w:gridCol w:w="1210"/>
      </w:tblGrid>
      <w:tr w:rsidTr="00E73CE2">
        <w:tblPrEx>
          <w:tblW w:w="9073" w:type="dxa"/>
          <w:jc w:val="center"/>
          <w:tblLook w:val="04A0"/>
        </w:tblPrEx>
        <w:trPr>
          <w:trHeight w:val="874"/>
          <w:jc w:val="center"/>
        </w:trPr>
        <w:tc>
          <w:tcPr>
            <w:tcW w:w="2239"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E73CE2" w:rsidRPr="00265A26" w:rsidP="007D16B1">
            <w:pPr>
              <w:widowControl/>
              <w:autoSpaceDE/>
              <w:autoSpaceDN/>
              <w:jc w:val="center"/>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Information Collection</w:t>
            </w:r>
          </w:p>
        </w:tc>
        <w:tc>
          <w:tcPr>
            <w:tcW w:w="1508" w:type="dxa"/>
            <w:tcBorders>
              <w:top w:val="single" w:sz="8" w:space="0" w:color="auto"/>
              <w:left w:val="nil"/>
              <w:bottom w:val="single" w:sz="8" w:space="0" w:color="auto"/>
              <w:right w:val="single" w:sz="8" w:space="0" w:color="000000"/>
            </w:tcBorders>
            <w:shd w:val="clear" w:color="000000" w:fill="BDD7EE"/>
            <w:vAlign w:val="center"/>
            <w:hideMark/>
          </w:tcPr>
          <w:p w:rsidR="00E73CE2" w:rsidRPr="00265A26" w:rsidP="007D16B1">
            <w:pPr>
              <w:widowControl/>
              <w:autoSpaceDE/>
              <w:autoSpaceDN/>
              <w:jc w:val="center"/>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 of Respondents</w:t>
            </w:r>
            <w:r w:rsidRPr="00265A26">
              <w:rPr>
                <w:rFonts w:ascii="Calibri" w:eastAsia="Times New Roman" w:hAnsi="Calibri" w:cs="Calibri"/>
                <w:b/>
                <w:bCs/>
                <w:color w:val="000000"/>
                <w:sz w:val="16"/>
                <w:szCs w:val="16"/>
                <w:lang w:bidi="ar-SA"/>
              </w:rPr>
              <w:br/>
              <w:t>(a)</w:t>
            </w:r>
          </w:p>
        </w:tc>
        <w:tc>
          <w:tcPr>
            <w:tcW w:w="1418" w:type="dxa"/>
            <w:tcBorders>
              <w:top w:val="single" w:sz="8" w:space="0" w:color="auto"/>
              <w:left w:val="nil"/>
              <w:bottom w:val="single" w:sz="8" w:space="0" w:color="auto"/>
              <w:right w:val="single" w:sz="8" w:space="0" w:color="auto"/>
            </w:tcBorders>
            <w:shd w:val="clear" w:color="000000" w:fill="BDD7EE"/>
            <w:vAlign w:val="center"/>
            <w:hideMark/>
          </w:tcPr>
          <w:p w:rsidR="00E73CE2" w:rsidRPr="00265A26" w:rsidP="007D16B1">
            <w:pPr>
              <w:widowControl/>
              <w:autoSpaceDE/>
              <w:autoSpaceDN/>
              <w:jc w:val="center"/>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Annual # of Responses / Respondent</w:t>
            </w:r>
            <w:r w:rsidRPr="00265A26">
              <w:rPr>
                <w:rFonts w:ascii="Calibri" w:eastAsia="Times New Roman" w:hAnsi="Calibri" w:cs="Calibri"/>
                <w:b/>
                <w:bCs/>
                <w:color w:val="000000"/>
                <w:sz w:val="16"/>
                <w:szCs w:val="16"/>
                <w:lang w:bidi="ar-SA"/>
              </w:rPr>
              <w:br/>
              <w:t>(b)</w:t>
            </w:r>
          </w:p>
        </w:tc>
        <w:tc>
          <w:tcPr>
            <w:tcW w:w="1280" w:type="dxa"/>
            <w:tcBorders>
              <w:top w:val="single" w:sz="8" w:space="0" w:color="auto"/>
              <w:left w:val="nil"/>
              <w:bottom w:val="single" w:sz="8" w:space="0" w:color="auto"/>
              <w:right w:val="single" w:sz="8" w:space="0" w:color="auto"/>
            </w:tcBorders>
            <w:shd w:val="clear" w:color="000000" w:fill="BDD7EE"/>
            <w:vAlign w:val="center"/>
            <w:hideMark/>
          </w:tcPr>
          <w:p w:rsidR="00E73CE2" w:rsidRPr="00265A26" w:rsidP="007D16B1">
            <w:pPr>
              <w:widowControl/>
              <w:autoSpaceDE/>
              <w:autoSpaceDN/>
              <w:jc w:val="center"/>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 xml:space="preserve"> Total # of</w:t>
            </w:r>
            <w:r w:rsidRPr="00265A26">
              <w:rPr>
                <w:rFonts w:ascii="Calibri" w:eastAsia="Times New Roman" w:hAnsi="Calibri" w:cs="Calibri"/>
                <w:b/>
                <w:bCs/>
                <w:color w:val="000000"/>
                <w:sz w:val="16"/>
                <w:szCs w:val="16"/>
                <w:lang w:bidi="ar-SA"/>
              </w:rPr>
              <w:t xml:space="preserve"> Annual Responses</w:t>
            </w:r>
            <w:r w:rsidRPr="00265A26">
              <w:rPr>
                <w:rFonts w:ascii="Calibri" w:eastAsia="Times New Roman" w:hAnsi="Calibri" w:cs="Calibri"/>
                <w:b/>
                <w:bCs/>
                <w:color w:val="000000"/>
                <w:sz w:val="16"/>
                <w:szCs w:val="16"/>
                <w:lang w:bidi="ar-SA"/>
              </w:rPr>
              <w:br/>
              <w:t>(c) = (a) x (b)</w:t>
            </w:r>
          </w:p>
        </w:tc>
        <w:tc>
          <w:tcPr>
            <w:tcW w:w="1418" w:type="dxa"/>
            <w:tcBorders>
              <w:top w:val="single" w:sz="8" w:space="0" w:color="auto"/>
              <w:left w:val="nil"/>
              <w:bottom w:val="single" w:sz="8" w:space="0" w:color="auto"/>
              <w:right w:val="single" w:sz="8" w:space="0" w:color="auto"/>
            </w:tcBorders>
            <w:shd w:val="clear" w:color="000000" w:fill="BDD7EE"/>
            <w:vAlign w:val="center"/>
            <w:hideMark/>
          </w:tcPr>
          <w:p w:rsidR="00E73CE2" w:rsidRPr="00265A26" w:rsidP="007D16B1">
            <w:pPr>
              <w:widowControl/>
              <w:autoSpaceDE/>
              <w:autoSpaceDN/>
              <w:jc w:val="center"/>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Cost Burden / Respondent</w:t>
            </w:r>
            <w:r w:rsidRPr="00265A26">
              <w:rPr>
                <w:rFonts w:ascii="Calibri" w:eastAsia="Times New Roman" w:hAnsi="Calibri" w:cs="Calibri"/>
                <w:b/>
                <w:bCs/>
                <w:color w:val="000000"/>
                <w:sz w:val="16"/>
                <w:szCs w:val="16"/>
                <w:lang w:bidi="ar-SA"/>
              </w:rPr>
              <w:br/>
              <w:t>(h)</w:t>
            </w:r>
          </w:p>
        </w:tc>
        <w:tc>
          <w:tcPr>
            <w:tcW w:w="1210" w:type="dxa"/>
            <w:tcBorders>
              <w:top w:val="single" w:sz="8" w:space="0" w:color="auto"/>
              <w:left w:val="nil"/>
              <w:bottom w:val="single" w:sz="8" w:space="0" w:color="auto"/>
              <w:right w:val="single" w:sz="8" w:space="0" w:color="auto"/>
            </w:tcBorders>
            <w:shd w:val="clear" w:color="000000" w:fill="BDD7EE"/>
            <w:vAlign w:val="center"/>
            <w:hideMark/>
          </w:tcPr>
          <w:p w:rsidR="00E73CE2" w:rsidRPr="00265A26" w:rsidP="007D16B1">
            <w:pPr>
              <w:widowControl/>
              <w:autoSpaceDE/>
              <w:autoSpaceDN/>
              <w:jc w:val="center"/>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Total Annual Cost Burden</w:t>
            </w:r>
            <w:r w:rsidRPr="00265A26">
              <w:rPr>
                <w:rFonts w:ascii="Calibri" w:eastAsia="Times New Roman" w:hAnsi="Calibri" w:cs="Calibri"/>
                <w:b/>
                <w:bCs/>
                <w:color w:val="000000"/>
                <w:sz w:val="16"/>
                <w:szCs w:val="16"/>
                <w:lang w:bidi="ar-SA"/>
              </w:rPr>
              <w:br/>
              <w:t>(i) = (c) x (h)</w:t>
            </w:r>
          </w:p>
        </w:tc>
      </w:tr>
      <w:tr w:rsidTr="00E73CE2">
        <w:tblPrEx>
          <w:tblW w:w="9073" w:type="dxa"/>
          <w:jc w:val="center"/>
          <w:tblLook w:val="04A0"/>
        </w:tblPrEx>
        <w:trPr>
          <w:trHeight w:val="298"/>
          <w:jc w:val="center"/>
        </w:trPr>
        <w:tc>
          <w:tcPr>
            <w:tcW w:w="2239" w:type="dxa"/>
            <w:tcBorders>
              <w:top w:val="nil"/>
              <w:left w:val="single" w:sz="4" w:space="0" w:color="auto"/>
              <w:bottom w:val="single" w:sz="4" w:space="0" w:color="auto"/>
              <w:right w:val="single" w:sz="4" w:space="0" w:color="auto"/>
            </w:tcBorders>
            <w:shd w:val="clear" w:color="auto" w:fill="auto"/>
            <w:vAlign w:val="center"/>
            <w:hideMark/>
          </w:tcPr>
          <w:p w:rsidR="00E73CE2" w:rsidRPr="00AD48FF" w:rsidP="007D16B1">
            <w:pPr>
              <w:pStyle w:val="Default"/>
              <w:keepNext/>
              <w:widowControl/>
              <w:rPr>
                <w:sz w:val="20"/>
                <w:szCs w:val="20"/>
              </w:rPr>
            </w:pPr>
            <w:r w:rsidRPr="00AD48FF">
              <w:rPr>
                <w:sz w:val="20"/>
                <w:szCs w:val="20"/>
              </w:rPr>
              <w:t xml:space="preserve">Developing agreement with intent to preclude listing (onetime burden) </w:t>
            </w:r>
          </w:p>
        </w:tc>
        <w:tc>
          <w:tcPr>
            <w:tcW w:w="1508" w:type="dxa"/>
            <w:tcBorders>
              <w:top w:val="nil"/>
              <w:left w:val="nil"/>
              <w:bottom w:val="single" w:sz="4" w:space="0" w:color="auto"/>
              <w:right w:val="single" w:sz="4" w:space="0" w:color="auto"/>
            </w:tcBorders>
            <w:shd w:val="clear" w:color="000000" w:fill="FFFFFF"/>
            <w:vAlign w:val="center"/>
            <w:hideMark/>
          </w:tcPr>
          <w:p w:rsidR="00E73CE2" w:rsidRPr="00AD48FF" w:rsidP="007D16B1">
            <w:pPr>
              <w:pStyle w:val="Default"/>
              <w:keepNext/>
              <w:widowControl/>
              <w:jc w:val="center"/>
              <w:rPr>
                <w:sz w:val="20"/>
                <w:szCs w:val="20"/>
              </w:rPr>
            </w:pPr>
            <w:r w:rsidRPr="00AD48FF">
              <w:rPr>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rsidR="00E73CE2" w:rsidRPr="00AD48FF" w:rsidP="007D16B1">
            <w:pPr>
              <w:pStyle w:val="Default"/>
              <w:keepNext/>
              <w:widowControl/>
              <w:jc w:val="center"/>
              <w:rPr>
                <w:sz w:val="20"/>
                <w:szCs w:val="20"/>
              </w:rPr>
            </w:pPr>
            <w:r w:rsidRPr="00AD48FF">
              <w:rPr>
                <w:sz w:val="20"/>
                <w:szCs w:val="20"/>
              </w:rPr>
              <w:t>1</w:t>
            </w:r>
          </w:p>
        </w:tc>
        <w:tc>
          <w:tcPr>
            <w:tcW w:w="1280" w:type="dxa"/>
            <w:tcBorders>
              <w:top w:val="nil"/>
              <w:left w:val="nil"/>
              <w:bottom w:val="single" w:sz="4" w:space="0" w:color="auto"/>
              <w:right w:val="single" w:sz="4" w:space="0" w:color="auto"/>
            </w:tcBorders>
            <w:shd w:val="clear" w:color="000000" w:fill="FFFFFF"/>
            <w:vAlign w:val="center"/>
            <w:hideMark/>
          </w:tcPr>
          <w:p w:rsidR="00E73CE2" w:rsidRPr="00AD48FF" w:rsidP="007D16B1">
            <w:pPr>
              <w:pStyle w:val="Default"/>
              <w:keepNext/>
              <w:widowControl/>
              <w:jc w:val="center"/>
              <w:rPr>
                <w:sz w:val="20"/>
                <w:szCs w:val="20"/>
              </w:rPr>
            </w:pPr>
            <w:r w:rsidRPr="00AD48FF">
              <w:rPr>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rsidR="00E73CE2" w:rsidRPr="00265A26" w:rsidP="007D16B1">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$50</w:t>
            </w:r>
            <w:r w:rsidRPr="00265A26">
              <w:rPr>
                <w:rFonts w:ascii="Calibri" w:eastAsia="Times New Roman" w:hAnsi="Calibri" w:cs="Calibri"/>
                <w:color w:val="000000"/>
                <w:sz w:val="16"/>
                <w:szCs w:val="16"/>
                <w:lang w:bidi="ar-SA"/>
              </w:rPr>
              <w:t> </w:t>
            </w:r>
          </w:p>
        </w:tc>
        <w:tc>
          <w:tcPr>
            <w:tcW w:w="1210" w:type="dxa"/>
            <w:tcBorders>
              <w:top w:val="nil"/>
              <w:left w:val="nil"/>
              <w:bottom w:val="single" w:sz="4" w:space="0" w:color="auto"/>
              <w:right w:val="single" w:sz="8" w:space="0" w:color="auto"/>
            </w:tcBorders>
            <w:shd w:val="clear" w:color="000000" w:fill="FFFFFF"/>
            <w:vAlign w:val="center"/>
            <w:hideMark/>
          </w:tcPr>
          <w:p w:rsidR="00E73CE2" w:rsidRPr="00265A26" w:rsidP="007D16B1">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$50</w:t>
            </w:r>
          </w:p>
        </w:tc>
      </w:tr>
      <w:tr w:rsidTr="00E73CE2">
        <w:tblPrEx>
          <w:tblW w:w="9073" w:type="dxa"/>
          <w:jc w:val="center"/>
          <w:tblLook w:val="04A0"/>
        </w:tblPrEx>
        <w:trPr>
          <w:trHeight w:val="298"/>
          <w:jc w:val="center"/>
        </w:trPr>
        <w:tc>
          <w:tcPr>
            <w:tcW w:w="2239" w:type="dxa"/>
            <w:tcBorders>
              <w:top w:val="nil"/>
              <w:left w:val="single" w:sz="4" w:space="0" w:color="auto"/>
              <w:bottom w:val="single" w:sz="4" w:space="0" w:color="auto"/>
              <w:right w:val="single" w:sz="4" w:space="0" w:color="auto"/>
            </w:tcBorders>
            <w:shd w:val="clear" w:color="auto" w:fill="auto"/>
            <w:vAlign w:val="center"/>
            <w:hideMark/>
          </w:tcPr>
          <w:p w:rsidR="00E73CE2" w:rsidRPr="00AD48FF" w:rsidP="007D16B1">
            <w:pPr>
              <w:pStyle w:val="Default"/>
              <w:keepNext/>
              <w:widowControl/>
              <w:rPr>
                <w:sz w:val="20"/>
                <w:szCs w:val="20"/>
              </w:rPr>
            </w:pPr>
            <w:r w:rsidRPr="00AD48FF">
              <w:rPr>
                <w:sz w:val="20"/>
                <w:szCs w:val="20"/>
              </w:rPr>
              <w:t xml:space="preserve">Monitoring (annual) </w:t>
            </w:r>
          </w:p>
        </w:tc>
        <w:tc>
          <w:tcPr>
            <w:tcW w:w="1508" w:type="dxa"/>
            <w:tcBorders>
              <w:top w:val="nil"/>
              <w:left w:val="nil"/>
              <w:bottom w:val="single" w:sz="4" w:space="0" w:color="auto"/>
              <w:right w:val="single" w:sz="4" w:space="0" w:color="auto"/>
            </w:tcBorders>
            <w:shd w:val="clear" w:color="000000" w:fill="FFFFFF"/>
            <w:vAlign w:val="center"/>
            <w:hideMark/>
          </w:tcPr>
          <w:p w:rsidR="00E73CE2" w:rsidRPr="00AD48FF" w:rsidP="007D16B1">
            <w:pPr>
              <w:pStyle w:val="Default"/>
              <w:keepNext/>
              <w:widowControl/>
              <w:jc w:val="center"/>
              <w:rPr>
                <w:sz w:val="20"/>
                <w:szCs w:val="20"/>
              </w:rPr>
            </w:pPr>
            <w:r>
              <w:rPr>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rsidR="00E73CE2" w:rsidRPr="00AD48FF" w:rsidP="007D16B1">
            <w:pPr>
              <w:pStyle w:val="Default"/>
              <w:keepNext/>
              <w:widowControl/>
              <w:jc w:val="center"/>
              <w:rPr>
                <w:sz w:val="20"/>
                <w:szCs w:val="20"/>
              </w:rPr>
            </w:pPr>
            <w:r>
              <w:rPr>
                <w:sz w:val="20"/>
                <w:szCs w:val="20"/>
              </w:rPr>
              <w:t>1</w:t>
            </w:r>
          </w:p>
        </w:tc>
        <w:tc>
          <w:tcPr>
            <w:tcW w:w="1280" w:type="dxa"/>
            <w:tcBorders>
              <w:top w:val="nil"/>
              <w:left w:val="nil"/>
              <w:bottom w:val="single" w:sz="4" w:space="0" w:color="auto"/>
              <w:right w:val="single" w:sz="4" w:space="0" w:color="auto"/>
            </w:tcBorders>
            <w:shd w:val="clear" w:color="000000" w:fill="FFFFFF"/>
            <w:vAlign w:val="center"/>
            <w:hideMark/>
          </w:tcPr>
          <w:p w:rsidR="00E73CE2" w:rsidRPr="00AD48FF" w:rsidP="007D16B1">
            <w:pPr>
              <w:pStyle w:val="Default"/>
              <w:keepNext/>
              <w:widowControl/>
              <w:jc w:val="center"/>
              <w:rPr>
                <w:sz w:val="20"/>
                <w:szCs w:val="20"/>
              </w:rPr>
            </w:pPr>
            <w:r>
              <w:rPr>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rsidR="00E73CE2" w:rsidRPr="00265A26" w:rsidP="007D16B1">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0</w:t>
            </w:r>
            <w:r w:rsidRPr="00265A26">
              <w:rPr>
                <w:rFonts w:ascii="Calibri" w:eastAsia="Times New Roman" w:hAnsi="Calibri" w:cs="Calibri"/>
                <w:color w:val="000000"/>
                <w:sz w:val="16"/>
                <w:szCs w:val="16"/>
                <w:lang w:bidi="ar-SA"/>
              </w:rPr>
              <w:t> </w:t>
            </w:r>
          </w:p>
        </w:tc>
        <w:tc>
          <w:tcPr>
            <w:tcW w:w="1210" w:type="dxa"/>
            <w:tcBorders>
              <w:top w:val="nil"/>
              <w:left w:val="nil"/>
              <w:bottom w:val="single" w:sz="4" w:space="0" w:color="auto"/>
              <w:right w:val="single" w:sz="8" w:space="0" w:color="auto"/>
            </w:tcBorders>
            <w:shd w:val="clear" w:color="000000" w:fill="FFFFFF"/>
            <w:vAlign w:val="center"/>
            <w:hideMark/>
          </w:tcPr>
          <w:p w:rsidR="00E73CE2" w:rsidRPr="00265A26" w:rsidP="007D16B1">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0</w:t>
            </w:r>
            <w:r w:rsidRPr="00265A26">
              <w:rPr>
                <w:rFonts w:ascii="Calibri" w:eastAsia="Times New Roman" w:hAnsi="Calibri" w:cs="Calibri"/>
                <w:color w:val="000000"/>
                <w:sz w:val="16"/>
                <w:szCs w:val="16"/>
                <w:lang w:bidi="ar-SA"/>
              </w:rPr>
              <w:t> </w:t>
            </w:r>
          </w:p>
        </w:tc>
      </w:tr>
      <w:tr w:rsidTr="00E73CE2">
        <w:tblPrEx>
          <w:tblW w:w="9073" w:type="dxa"/>
          <w:jc w:val="center"/>
          <w:tblLook w:val="04A0"/>
        </w:tblPrEx>
        <w:trPr>
          <w:trHeight w:val="298"/>
          <w:jc w:val="center"/>
        </w:trPr>
        <w:tc>
          <w:tcPr>
            <w:tcW w:w="2239" w:type="dxa"/>
            <w:tcBorders>
              <w:top w:val="nil"/>
              <w:left w:val="single" w:sz="4" w:space="0" w:color="auto"/>
              <w:bottom w:val="single" w:sz="4" w:space="0" w:color="auto"/>
              <w:right w:val="single" w:sz="4" w:space="0" w:color="auto"/>
            </w:tcBorders>
            <w:shd w:val="clear" w:color="auto" w:fill="auto"/>
            <w:vAlign w:val="center"/>
            <w:hideMark/>
          </w:tcPr>
          <w:p w:rsidR="00E73CE2" w:rsidRPr="00AD48FF" w:rsidP="007D16B1">
            <w:pPr>
              <w:pStyle w:val="Default"/>
              <w:keepNext/>
              <w:widowControl/>
              <w:rPr>
                <w:sz w:val="20"/>
                <w:szCs w:val="20"/>
              </w:rPr>
            </w:pPr>
            <w:r w:rsidRPr="00AD48FF">
              <w:rPr>
                <w:sz w:val="20"/>
                <w:szCs w:val="20"/>
              </w:rPr>
              <w:t xml:space="preserve">Report preparation (annual) </w:t>
            </w:r>
          </w:p>
        </w:tc>
        <w:tc>
          <w:tcPr>
            <w:tcW w:w="1508" w:type="dxa"/>
            <w:tcBorders>
              <w:top w:val="nil"/>
              <w:left w:val="nil"/>
              <w:bottom w:val="single" w:sz="4" w:space="0" w:color="auto"/>
              <w:right w:val="single" w:sz="4" w:space="0" w:color="auto"/>
            </w:tcBorders>
            <w:shd w:val="clear" w:color="000000" w:fill="FFFFFF"/>
            <w:vAlign w:val="center"/>
            <w:hideMark/>
          </w:tcPr>
          <w:p w:rsidR="00E73CE2" w:rsidRPr="00AD48FF" w:rsidP="007D16B1">
            <w:pPr>
              <w:pStyle w:val="Default"/>
              <w:keepNext/>
              <w:widowControl/>
              <w:jc w:val="center"/>
              <w:rPr>
                <w:sz w:val="20"/>
                <w:szCs w:val="20"/>
              </w:rPr>
            </w:pPr>
            <w:r>
              <w:rPr>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rsidR="00E73CE2" w:rsidRPr="00AD48FF" w:rsidP="007D16B1">
            <w:pPr>
              <w:pStyle w:val="Default"/>
              <w:keepNext/>
              <w:widowControl/>
              <w:jc w:val="center"/>
              <w:rPr>
                <w:sz w:val="20"/>
                <w:szCs w:val="20"/>
              </w:rPr>
            </w:pPr>
            <w:r>
              <w:rPr>
                <w:sz w:val="20"/>
                <w:szCs w:val="20"/>
              </w:rPr>
              <w:t>1</w:t>
            </w:r>
          </w:p>
        </w:tc>
        <w:tc>
          <w:tcPr>
            <w:tcW w:w="1280" w:type="dxa"/>
            <w:tcBorders>
              <w:top w:val="nil"/>
              <w:left w:val="nil"/>
              <w:bottom w:val="single" w:sz="4" w:space="0" w:color="auto"/>
              <w:right w:val="single" w:sz="4" w:space="0" w:color="auto"/>
            </w:tcBorders>
            <w:shd w:val="clear" w:color="000000" w:fill="FFFFFF"/>
            <w:vAlign w:val="center"/>
            <w:hideMark/>
          </w:tcPr>
          <w:p w:rsidR="00E73CE2" w:rsidRPr="00AD48FF" w:rsidP="007D16B1">
            <w:pPr>
              <w:pStyle w:val="Default"/>
              <w:keepNext/>
              <w:widowControl/>
              <w:jc w:val="center"/>
              <w:rPr>
                <w:sz w:val="20"/>
                <w:szCs w:val="20"/>
              </w:rPr>
            </w:pPr>
            <w:r>
              <w:rPr>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rsidR="00E73CE2" w:rsidRPr="00265A26" w:rsidP="007D16B1">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$50</w:t>
            </w:r>
            <w:r w:rsidRPr="00265A26">
              <w:rPr>
                <w:rFonts w:ascii="Calibri" w:eastAsia="Times New Roman" w:hAnsi="Calibri" w:cs="Calibri"/>
                <w:color w:val="000000"/>
                <w:sz w:val="16"/>
                <w:szCs w:val="16"/>
                <w:lang w:bidi="ar-SA"/>
              </w:rPr>
              <w:t> </w:t>
            </w:r>
          </w:p>
        </w:tc>
        <w:tc>
          <w:tcPr>
            <w:tcW w:w="1210" w:type="dxa"/>
            <w:tcBorders>
              <w:top w:val="nil"/>
              <w:left w:val="nil"/>
              <w:bottom w:val="single" w:sz="4" w:space="0" w:color="auto"/>
              <w:right w:val="single" w:sz="8" w:space="0" w:color="auto"/>
            </w:tcBorders>
            <w:shd w:val="clear" w:color="000000" w:fill="FFFFFF"/>
            <w:vAlign w:val="center"/>
            <w:hideMark/>
          </w:tcPr>
          <w:p w:rsidR="00E73CE2" w:rsidRPr="00265A26" w:rsidP="007D16B1">
            <w:pPr>
              <w:widowControl/>
              <w:autoSpaceDE/>
              <w:autoSpaceDN/>
              <w:jc w:val="right"/>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$50</w:t>
            </w:r>
          </w:p>
        </w:tc>
      </w:tr>
      <w:tr w:rsidTr="00E73CE2">
        <w:tblPrEx>
          <w:tblW w:w="9073" w:type="dxa"/>
          <w:jc w:val="center"/>
          <w:tblLook w:val="04A0"/>
        </w:tblPrEx>
        <w:trPr>
          <w:trHeight w:val="308"/>
          <w:jc w:val="center"/>
        </w:trPr>
        <w:tc>
          <w:tcPr>
            <w:tcW w:w="2239"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E73CE2" w:rsidRPr="00265A26" w:rsidP="007D16B1">
            <w:pPr>
              <w:widowControl/>
              <w:autoSpaceDE/>
              <w:autoSpaceDN/>
              <w:jc w:val="right"/>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TOTALS</w:t>
            </w:r>
          </w:p>
        </w:tc>
        <w:tc>
          <w:tcPr>
            <w:tcW w:w="1508" w:type="dxa"/>
            <w:tcBorders>
              <w:top w:val="single" w:sz="8" w:space="0" w:color="auto"/>
              <w:left w:val="nil"/>
              <w:bottom w:val="single" w:sz="8" w:space="0" w:color="auto"/>
              <w:right w:val="single" w:sz="4" w:space="0" w:color="auto"/>
            </w:tcBorders>
            <w:shd w:val="clear" w:color="000000" w:fill="DDEBF7"/>
            <w:vAlign w:val="center"/>
            <w:hideMark/>
          </w:tcPr>
          <w:p w:rsidR="00E73CE2" w:rsidRPr="00265A26" w:rsidP="007D16B1">
            <w:pPr>
              <w:widowControl/>
              <w:autoSpaceDE/>
              <w:autoSpaceDN/>
              <w:jc w:val="right"/>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 </w:t>
            </w:r>
          </w:p>
        </w:tc>
        <w:tc>
          <w:tcPr>
            <w:tcW w:w="1418" w:type="dxa"/>
            <w:tcBorders>
              <w:top w:val="single" w:sz="8" w:space="0" w:color="auto"/>
              <w:left w:val="nil"/>
              <w:bottom w:val="single" w:sz="8" w:space="0" w:color="auto"/>
              <w:right w:val="single" w:sz="4" w:space="0" w:color="auto"/>
            </w:tcBorders>
            <w:shd w:val="clear" w:color="000000" w:fill="DDEBF7"/>
            <w:vAlign w:val="center"/>
            <w:hideMark/>
          </w:tcPr>
          <w:p w:rsidR="00E73CE2" w:rsidRPr="00265A26" w:rsidP="007D16B1">
            <w:pPr>
              <w:widowControl/>
              <w:autoSpaceDE/>
              <w:autoSpaceDN/>
              <w:jc w:val="right"/>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 </w:t>
            </w:r>
          </w:p>
        </w:tc>
        <w:tc>
          <w:tcPr>
            <w:tcW w:w="1280" w:type="dxa"/>
            <w:tcBorders>
              <w:top w:val="single" w:sz="8" w:space="0" w:color="auto"/>
              <w:left w:val="nil"/>
              <w:bottom w:val="single" w:sz="8" w:space="0" w:color="auto"/>
              <w:right w:val="single" w:sz="4" w:space="0" w:color="auto"/>
            </w:tcBorders>
            <w:shd w:val="clear" w:color="000000" w:fill="DDEBF7"/>
            <w:vAlign w:val="center"/>
            <w:hideMark/>
          </w:tcPr>
          <w:p w:rsidR="00E73CE2" w:rsidRPr="00265A26" w:rsidP="007D16B1">
            <w:pPr>
              <w:widowControl/>
              <w:autoSpaceDE/>
              <w:autoSpaceDN/>
              <w:jc w:val="right"/>
              <w:rPr>
                <w:rFonts w:ascii="Calibri" w:eastAsia="Times New Roman" w:hAnsi="Calibri" w:cs="Calibri"/>
                <w:b/>
                <w:bCs/>
                <w:color w:val="000000"/>
                <w:sz w:val="16"/>
                <w:szCs w:val="16"/>
                <w:lang w:bidi="ar-SA"/>
              </w:rPr>
            </w:pPr>
            <w:r>
              <w:rPr>
                <w:rFonts w:ascii="Calibri" w:eastAsia="Times New Roman" w:hAnsi="Calibri" w:cs="Calibri"/>
                <w:b/>
                <w:bCs/>
                <w:color w:val="000000"/>
                <w:sz w:val="16"/>
                <w:szCs w:val="16"/>
                <w:lang w:bidi="ar-SA"/>
              </w:rPr>
              <w:t>3</w:t>
            </w:r>
            <w:r w:rsidRPr="00265A26">
              <w:rPr>
                <w:rFonts w:ascii="Calibri" w:eastAsia="Times New Roman" w:hAnsi="Calibri" w:cs="Calibri"/>
                <w:b/>
                <w:bCs/>
                <w:color w:val="000000"/>
                <w:sz w:val="16"/>
                <w:szCs w:val="16"/>
                <w:lang w:bidi="ar-SA"/>
              </w:rPr>
              <w:t xml:space="preserve">   </w:t>
            </w:r>
          </w:p>
        </w:tc>
        <w:tc>
          <w:tcPr>
            <w:tcW w:w="1418" w:type="dxa"/>
            <w:tcBorders>
              <w:top w:val="single" w:sz="8" w:space="0" w:color="auto"/>
              <w:left w:val="nil"/>
              <w:bottom w:val="single" w:sz="8" w:space="0" w:color="auto"/>
              <w:right w:val="single" w:sz="4" w:space="0" w:color="auto"/>
            </w:tcBorders>
            <w:shd w:val="clear" w:color="000000" w:fill="DDEBF7"/>
            <w:vAlign w:val="center"/>
            <w:hideMark/>
          </w:tcPr>
          <w:p w:rsidR="00E73CE2" w:rsidRPr="00265A26" w:rsidP="007D16B1">
            <w:pPr>
              <w:widowControl/>
              <w:autoSpaceDE/>
              <w:autoSpaceDN/>
              <w:jc w:val="right"/>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 </w:t>
            </w:r>
          </w:p>
        </w:tc>
        <w:tc>
          <w:tcPr>
            <w:tcW w:w="1210" w:type="dxa"/>
            <w:tcBorders>
              <w:top w:val="single" w:sz="8" w:space="0" w:color="auto"/>
              <w:left w:val="nil"/>
              <w:bottom w:val="single" w:sz="8" w:space="0" w:color="auto"/>
              <w:right w:val="single" w:sz="8" w:space="0" w:color="auto"/>
            </w:tcBorders>
            <w:shd w:val="clear" w:color="000000" w:fill="DDEBF7"/>
            <w:vAlign w:val="center"/>
            <w:hideMark/>
          </w:tcPr>
          <w:p w:rsidR="00E73CE2" w:rsidRPr="00265A26" w:rsidP="007D16B1">
            <w:pPr>
              <w:widowControl/>
              <w:autoSpaceDE/>
              <w:autoSpaceDN/>
              <w:jc w:val="right"/>
              <w:rPr>
                <w:rFonts w:ascii="Calibri" w:eastAsia="Times New Roman" w:hAnsi="Calibri" w:cs="Calibri"/>
                <w:b/>
                <w:bCs/>
                <w:color w:val="000000"/>
                <w:sz w:val="16"/>
                <w:szCs w:val="16"/>
                <w:lang w:bidi="ar-SA"/>
              </w:rPr>
            </w:pPr>
            <w:r>
              <w:rPr>
                <w:rFonts w:ascii="Calibri" w:eastAsia="Times New Roman" w:hAnsi="Calibri" w:cs="Calibri"/>
                <w:b/>
                <w:bCs/>
                <w:color w:val="000000"/>
                <w:sz w:val="16"/>
                <w:szCs w:val="16"/>
                <w:lang w:bidi="ar-SA"/>
              </w:rPr>
              <w:t>$100</w:t>
            </w:r>
            <w:r w:rsidRPr="00265A26">
              <w:rPr>
                <w:rFonts w:ascii="Calibri" w:eastAsia="Times New Roman" w:hAnsi="Calibri" w:cs="Calibri"/>
                <w:b/>
                <w:bCs/>
                <w:color w:val="000000"/>
                <w:sz w:val="16"/>
                <w:szCs w:val="16"/>
                <w:lang w:bidi="ar-SA"/>
              </w:rPr>
              <w:t xml:space="preserve">   </w:t>
            </w:r>
          </w:p>
        </w:tc>
      </w:tr>
    </w:tbl>
    <w:p w:rsidR="00E73CE2" w:rsidP="00E73CE2">
      <w:pPr>
        <w:rPr>
          <w:lang w:bidi="ar-SA"/>
        </w:rPr>
      </w:pPr>
    </w:p>
    <w:p w:rsidR="00E73CE2" w:rsidP="00E73CE2">
      <w:pPr>
        <w:rPr>
          <w:lang w:bidi="ar-SA"/>
        </w:rPr>
      </w:pPr>
    </w:p>
    <w:p w:rsidR="00E73CE2" w:rsidRPr="00E73CE2" w:rsidP="00E73CE2">
      <w:pPr>
        <w:rPr>
          <w:lang w:bidi="ar-SA"/>
        </w:rPr>
      </w:pPr>
    </w:p>
    <w:p w:rsidR="008E61C9" w:rsidRPr="00BD723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4F5545">
        <w:rPr>
          <w:rFonts w:ascii="Times New Roman" w:hAnsi="Times New Roman" w:cs="Times New Roman"/>
          <w:b/>
          <w:sz w:val="24"/>
          <w:szCs w:val="24"/>
        </w:rPr>
        <w:t>Provide estimates</w:t>
      </w:r>
      <w:r w:rsidRPr="00BD7237">
        <w:rPr>
          <w:rFonts w:ascii="Times New Roman" w:hAnsi="Times New Roman" w:cs="Times New Roman"/>
          <w:b/>
          <w:sz w:val="24"/>
          <w:szCs w:val="24"/>
        </w:rPr>
        <w:t xml:space="preserve"> of annualized cost to the Federal government. Also, provide a description of the method used to estimate cost, which should include quantification of hours, operational expenses (such as equipment, overhead, printing, and support staff), and any other exp</w:t>
      </w:r>
      <w:r w:rsidRPr="00BD7237">
        <w:rPr>
          <w:rFonts w:ascii="Times New Roman" w:hAnsi="Times New Roman" w:cs="Times New Roman"/>
          <w:b/>
          <w:sz w:val="24"/>
          <w:szCs w:val="24"/>
        </w:rPr>
        <w:t>ense that would not have been incurred without this collection of information.</w:t>
      </w:r>
    </w:p>
    <w:p w:rsidR="005829BD" w:rsidP="005829BD">
      <w:pPr>
        <w:pStyle w:val="NoSpacing"/>
      </w:pPr>
    </w:p>
    <w:p w:rsidR="00E73CE2" w:rsidP="00E73CE2">
      <w:pPr>
        <w:pStyle w:val="CM9"/>
        <w:spacing w:line="280" w:lineRule="atLeast"/>
      </w:pPr>
      <w:r>
        <w:t xml:space="preserve">NMFS estimates it would take an average of 160 hours for NMFS to review each agreement or plan.  Therefore, the annual burden to NMFS resulting from one entity submitting </w:t>
      </w:r>
      <w:r>
        <w:t>agreements or plans with the intention of precluding the need to list a species totals is also 160. NMFS estimates it will take an average of 2 hours per report for NMFS to review the monitoring informa</w:t>
      </w:r>
      <w:r w:rsidR="00BA2C99">
        <w:t xml:space="preserve">tion collected on the species. </w:t>
      </w:r>
      <w:r>
        <w:t>Therefore, the annual b</w:t>
      </w:r>
      <w:r>
        <w:t xml:space="preserve">urden to NMFS resulting from one entity reporting information annually totals 2 </w:t>
      </w:r>
      <w:r w:rsidR="00BA2C99">
        <w:t xml:space="preserve">hours. </w:t>
      </w:r>
      <w:r w:rsidR="0044378B">
        <w:t xml:space="preserve"> The OPM General Schedule wage rate for a GS-12 Step 1, Rest of U.S. locality</w:t>
      </w:r>
      <w:r>
        <w:t xml:space="preserve"> (</w:t>
      </w:r>
      <w:hyperlink r:id="rId9" w:history="1">
        <w:r w:rsidRPr="008529A6">
          <w:rPr>
            <w:rStyle w:val="Hyperlink"/>
          </w:rPr>
          <w:t>https://www.opm.gov/policy-data-oversight/pay-leave/salaries-wages/salary-tables/pdf/2025/RUS.pdf</w:t>
        </w:r>
      </w:hyperlink>
      <w:r>
        <w:t xml:space="preserve">) </w:t>
      </w:r>
      <w:r w:rsidR="0044378B">
        <w:t xml:space="preserve"> was used to determine the base salary</w:t>
      </w:r>
      <w:r>
        <w:t xml:space="preserve"> since NOAA staff are geographically dispersed</w:t>
      </w:r>
      <w:r w:rsidR="0044378B">
        <w:t xml:space="preserve">.  A 1.5 multiplier was used to calculate the loaded salary.  </w:t>
      </w:r>
      <w:r>
        <w:t xml:space="preserve"> </w:t>
      </w:r>
    </w:p>
    <w:tbl>
      <w:tblPr>
        <w:tblW w:w="9646" w:type="dxa"/>
        <w:jc w:val="center"/>
        <w:tblLook w:val="04A0"/>
      </w:tblPr>
      <w:tblGrid>
        <w:gridCol w:w="2245"/>
        <w:gridCol w:w="1471"/>
        <w:gridCol w:w="1496"/>
        <w:gridCol w:w="1447"/>
        <w:gridCol w:w="1671"/>
        <w:gridCol w:w="1316"/>
      </w:tblGrid>
      <w:tr w:rsidTr="00E73CE2">
        <w:tblPrEx>
          <w:tblW w:w="9646" w:type="dxa"/>
          <w:jc w:val="center"/>
          <w:tblLook w:val="04A0"/>
        </w:tblPrEx>
        <w:trPr>
          <w:trHeight w:val="470"/>
          <w:jc w:val="center"/>
        </w:trPr>
        <w:tc>
          <w:tcPr>
            <w:tcW w:w="2245" w:type="dxa"/>
            <w:tcBorders>
              <w:top w:val="single" w:sz="8" w:space="0" w:color="auto"/>
              <w:left w:val="single" w:sz="8" w:space="0" w:color="auto"/>
              <w:bottom w:val="nil"/>
              <w:right w:val="single" w:sz="8" w:space="0" w:color="auto"/>
            </w:tcBorders>
            <w:shd w:val="clear" w:color="000000" w:fill="BDD7EE"/>
            <w:vAlign w:val="center"/>
            <w:hideMark/>
          </w:tcPr>
          <w:p w:rsidR="00E73CE2" w:rsidRPr="00265A26" w:rsidP="007D16B1">
            <w:pPr>
              <w:widowControl/>
              <w:autoSpaceDE/>
              <w:autoSpaceDN/>
              <w:jc w:val="center"/>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Cost Descriptions</w:t>
            </w:r>
          </w:p>
        </w:tc>
        <w:tc>
          <w:tcPr>
            <w:tcW w:w="1471" w:type="dxa"/>
            <w:tcBorders>
              <w:top w:val="single" w:sz="8" w:space="0" w:color="auto"/>
              <w:left w:val="nil"/>
              <w:bottom w:val="nil"/>
              <w:right w:val="single" w:sz="8" w:space="0" w:color="auto"/>
            </w:tcBorders>
            <w:shd w:val="clear" w:color="000000" w:fill="BDD7EE"/>
            <w:vAlign w:val="center"/>
            <w:hideMark/>
          </w:tcPr>
          <w:p w:rsidR="00E73CE2" w:rsidRPr="00265A26" w:rsidP="007D16B1">
            <w:pPr>
              <w:widowControl/>
              <w:autoSpaceDE/>
              <w:autoSpaceDN/>
              <w:jc w:val="center"/>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Grade/Step</w:t>
            </w:r>
          </w:p>
        </w:tc>
        <w:tc>
          <w:tcPr>
            <w:tcW w:w="1496" w:type="dxa"/>
            <w:tcBorders>
              <w:top w:val="single" w:sz="8" w:space="0" w:color="auto"/>
              <w:left w:val="nil"/>
              <w:bottom w:val="nil"/>
              <w:right w:val="single" w:sz="8" w:space="0" w:color="auto"/>
            </w:tcBorders>
            <w:shd w:val="clear" w:color="000000" w:fill="BDD7EE"/>
            <w:vAlign w:val="center"/>
            <w:hideMark/>
          </w:tcPr>
          <w:p w:rsidR="00E73CE2" w:rsidRPr="00265A26" w:rsidP="007D16B1">
            <w:pPr>
              <w:widowControl/>
              <w:autoSpaceDE/>
              <w:autoSpaceDN/>
              <w:jc w:val="center"/>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Loaded Salary /Cost</w:t>
            </w:r>
          </w:p>
        </w:tc>
        <w:tc>
          <w:tcPr>
            <w:tcW w:w="1447" w:type="dxa"/>
            <w:tcBorders>
              <w:top w:val="single" w:sz="8" w:space="0" w:color="auto"/>
              <w:left w:val="nil"/>
              <w:bottom w:val="nil"/>
              <w:right w:val="single" w:sz="8" w:space="0" w:color="auto"/>
            </w:tcBorders>
            <w:shd w:val="clear" w:color="000000" w:fill="BDD7EE"/>
            <w:vAlign w:val="center"/>
            <w:hideMark/>
          </w:tcPr>
          <w:p w:rsidR="00E73CE2" w:rsidRPr="00265A26" w:rsidP="007D16B1">
            <w:pPr>
              <w:widowControl/>
              <w:autoSpaceDE/>
              <w:autoSpaceDN/>
              <w:jc w:val="center"/>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 of</w:t>
            </w:r>
            <w:r w:rsidRPr="00265A26">
              <w:rPr>
                <w:rFonts w:ascii="Calibri" w:eastAsia="Times New Roman" w:hAnsi="Calibri" w:cs="Calibri"/>
                <w:b/>
                <w:bCs/>
                <w:color w:val="000000"/>
                <w:sz w:val="16"/>
                <w:szCs w:val="16"/>
                <w:lang w:bidi="ar-SA"/>
              </w:rPr>
              <w:t xml:space="preserve"> Effort</w:t>
            </w:r>
          </w:p>
        </w:tc>
        <w:tc>
          <w:tcPr>
            <w:tcW w:w="1671" w:type="dxa"/>
            <w:tcBorders>
              <w:top w:val="single" w:sz="8" w:space="0" w:color="auto"/>
              <w:left w:val="nil"/>
              <w:bottom w:val="nil"/>
              <w:right w:val="single" w:sz="8" w:space="0" w:color="auto"/>
            </w:tcBorders>
            <w:shd w:val="clear" w:color="000000" w:fill="BDD7EE"/>
            <w:vAlign w:val="center"/>
            <w:hideMark/>
          </w:tcPr>
          <w:p w:rsidR="00E73CE2" w:rsidRPr="00265A26" w:rsidP="007D16B1">
            <w:pPr>
              <w:widowControl/>
              <w:autoSpaceDE/>
              <w:autoSpaceDN/>
              <w:jc w:val="center"/>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Fringe (if Applicable)</w:t>
            </w:r>
          </w:p>
        </w:tc>
        <w:tc>
          <w:tcPr>
            <w:tcW w:w="1316" w:type="dxa"/>
            <w:tcBorders>
              <w:top w:val="single" w:sz="8" w:space="0" w:color="auto"/>
              <w:left w:val="nil"/>
              <w:bottom w:val="nil"/>
              <w:right w:val="single" w:sz="8" w:space="0" w:color="auto"/>
            </w:tcBorders>
            <w:shd w:val="clear" w:color="000000" w:fill="BDD7EE"/>
            <w:vAlign w:val="center"/>
            <w:hideMark/>
          </w:tcPr>
          <w:p w:rsidR="00E73CE2" w:rsidRPr="00265A26" w:rsidP="007D16B1">
            <w:pPr>
              <w:widowControl/>
              <w:autoSpaceDE/>
              <w:autoSpaceDN/>
              <w:jc w:val="center"/>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Total Cost to Government</w:t>
            </w:r>
          </w:p>
        </w:tc>
      </w:tr>
      <w:tr w:rsidTr="00E73CE2">
        <w:tblPrEx>
          <w:tblW w:w="9646" w:type="dxa"/>
          <w:jc w:val="center"/>
          <w:tblLook w:val="04A0"/>
        </w:tblPrEx>
        <w:trPr>
          <w:trHeight w:val="324"/>
          <w:jc w:val="center"/>
        </w:trPr>
        <w:tc>
          <w:tcPr>
            <w:tcW w:w="2245"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E73CE2" w:rsidRPr="00265A26" w:rsidP="007D16B1">
            <w:pPr>
              <w:widowControl/>
              <w:autoSpaceDE/>
              <w:autoSpaceDN/>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Federal Oversight</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GS12/1</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w:t>
            </w:r>
            <w:r w:rsidR="0044378B">
              <w:rPr>
                <w:rFonts w:ascii="Calibri" w:eastAsia="Times New Roman" w:hAnsi="Calibri" w:cs="Calibri"/>
                <w:color w:val="000000"/>
                <w:sz w:val="16"/>
                <w:szCs w:val="16"/>
                <w:lang w:bidi="ar-SA"/>
              </w:rPr>
              <w:t>132,932</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r>
              <w:rPr>
                <w:rFonts w:ascii="Calibri" w:eastAsia="Times New Roman" w:hAnsi="Calibri" w:cs="Calibri"/>
                <w:color w:val="000000"/>
                <w:sz w:val="16"/>
                <w:szCs w:val="16"/>
                <w:lang w:bidi="ar-SA"/>
              </w:rPr>
              <w:t>8%</w:t>
            </w:r>
          </w:p>
        </w:tc>
        <w:tc>
          <w:tcPr>
            <w:tcW w:w="1671" w:type="dxa"/>
            <w:tcBorders>
              <w:top w:val="single" w:sz="4" w:space="0" w:color="auto"/>
              <w:left w:val="nil"/>
              <w:bottom w:val="single" w:sz="4" w:space="0" w:color="auto"/>
              <w:right w:val="single" w:sz="4" w:space="0" w:color="auto"/>
            </w:tcBorders>
            <w:shd w:val="clear" w:color="000000" w:fill="808080"/>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316" w:type="dxa"/>
            <w:tcBorders>
              <w:top w:val="single" w:sz="4" w:space="0" w:color="auto"/>
              <w:left w:val="nil"/>
              <w:bottom w:val="single" w:sz="4" w:space="0" w:color="auto"/>
              <w:right w:val="single" w:sz="8" w:space="0" w:color="auto"/>
            </w:tcBorders>
            <w:shd w:val="clear" w:color="auto" w:fill="auto"/>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Pr>
                <w:rFonts w:ascii="Calibri" w:eastAsia="Times New Roman" w:hAnsi="Calibri" w:cs="Calibri"/>
                <w:color w:val="000000"/>
                <w:sz w:val="16"/>
                <w:szCs w:val="16"/>
                <w:lang w:bidi="ar-SA"/>
              </w:rPr>
              <w:t>10,635</w:t>
            </w:r>
          </w:p>
        </w:tc>
      </w:tr>
      <w:tr w:rsidTr="00E73CE2">
        <w:tblPrEx>
          <w:tblW w:w="9646" w:type="dxa"/>
          <w:jc w:val="center"/>
          <w:tblLook w:val="04A0"/>
        </w:tblPrEx>
        <w:trPr>
          <w:trHeight w:val="324"/>
          <w:jc w:val="center"/>
        </w:trPr>
        <w:tc>
          <w:tcPr>
            <w:tcW w:w="2245" w:type="dxa"/>
            <w:tcBorders>
              <w:top w:val="nil"/>
              <w:left w:val="single" w:sz="8" w:space="0" w:color="auto"/>
              <w:bottom w:val="single" w:sz="4" w:space="0" w:color="auto"/>
              <w:right w:val="single" w:sz="8" w:space="0" w:color="auto"/>
            </w:tcBorders>
            <w:shd w:val="clear" w:color="auto" w:fill="auto"/>
            <w:vAlign w:val="bottom"/>
            <w:hideMark/>
          </w:tcPr>
          <w:p w:rsidR="00E73CE2" w:rsidRPr="00265A26" w:rsidP="007D16B1">
            <w:pPr>
              <w:widowControl/>
              <w:autoSpaceDE/>
              <w:autoSpaceDN/>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Contractor Cost</w:t>
            </w:r>
          </w:p>
        </w:tc>
        <w:tc>
          <w:tcPr>
            <w:tcW w:w="1471" w:type="dxa"/>
            <w:tcBorders>
              <w:top w:val="nil"/>
              <w:left w:val="nil"/>
              <w:bottom w:val="single" w:sz="4" w:space="0" w:color="auto"/>
              <w:right w:val="single" w:sz="4" w:space="0" w:color="auto"/>
            </w:tcBorders>
            <w:shd w:val="clear" w:color="000000" w:fill="808080"/>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auto" w:fill="auto"/>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447" w:type="dxa"/>
            <w:tcBorders>
              <w:top w:val="nil"/>
              <w:left w:val="nil"/>
              <w:bottom w:val="single" w:sz="4" w:space="0" w:color="auto"/>
              <w:right w:val="single" w:sz="4" w:space="0" w:color="auto"/>
            </w:tcBorders>
            <w:shd w:val="clear" w:color="auto" w:fill="auto"/>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671" w:type="dxa"/>
            <w:tcBorders>
              <w:top w:val="nil"/>
              <w:left w:val="nil"/>
              <w:bottom w:val="single" w:sz="4" w:space="0" w:color="auto"/>
              <w:right w:val="single" w:sz="4" w:space="0" w:color="auto"/>
            </w:tcBorders>
            <w:shd w:val="clear" w:color="auto" w:fill="auto"/>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316" w:type="dxa"/>
            <w:tcBorders>
              <w:top w:val="nil"/>
              <w:left w:val="nil"/>
              <w:bottom w:val="single" w:sz="4" w:space="0" w:color="auto"/>
              <w:right w:val="single" w:sz="8" w:space="0" w:color="auto"/>
            </w:tcBorders>
            <w:shd w:val="clear" w:color="auto" w:fill="auto"/>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r>
      <w:tr w:rsidTr="00E73CE2">
        <w:tblPrEx>
          <w:tblW w:w="9646" w:type="dxa"/>
          <w:jc w:val="center"/>
          <w:tblLook w:val="04A0"/>
        </w:tblPrEx>
        <w:trPr>
          <w:trHeight w:val="324"/>
          <w:jc w:val="center"/>
        </w:trPr>
        <w:tc>
          <w:tcPr>
            <w:tcW w:w="2245" w:type="dxa"/>
            <w:tcBorders>
              <w:top w:val="nil"/>
              <w:left w:val="single" w:sz="8" w:space="0" w:color="auto"/>
              <w:bottom w:val="single" w:sz="4" w:space="0" w:color="auto"/>
              <w:right w:val="single" w:sz="8" w:space="0" w:color="auto"/>
            </w:tcBorders>
            <w:shd w:val="clear" w:color="auto" w:fill="auto"/>
            <w:noWrap/>
            <w:vAlign w:val="bottom"/>
            <w:hideMark/>
          </w:tcPr>
          <w:p w:rsidR="00E73CE2" w:rsidRPr="00265A26" w:rsidP="007D16B1">
            <w:pPr>
              <w:widowControl/>
              <w:autoSpaceDE/>
              <w:autoSpaceDN/>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Travel</w:t>
            </w:r>
          </w:p>
        </w:tc>
        <w:tc>
          <w:tcPr>
            <w:tcW w:w="1471" w:type="dxa"/>
            <w:tcBorders>
              <w:top w:val="nil"/>
              <w:left w:val="nil"/>
              <w:bottom w:val="single" w:sz="4" w:space="0" w:color="auto"/>
              <w:right w:val="single" w:sz="4" w:space="0" w:color="auto"/>
            </w:tcBorders>
            <w:shd w:val="clear" w:color="000000" w:fill="808080"/>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808080"/>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447" w:type="dxa"/>
            <w:tcBorders>
              <w:top w:val="nil"/>
              <w:left w:val="nil"/>
              <w:bottom w:val="single" w:sz="4" w:space="0" w:color="auto"/>
              <w:right w:val="single" w:sz="4" w:space="0" w:color="auto"/>
            </w:tcBorders>
            <w:shd w:val="clear" w:color="000000" w:fill="808080"/>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671" w:type="dxa"/>
            <w:tcBorders>
              <w:top w:val="nil"/>
              <w:left w:val="nil"/>
              <w:bottom w:val="single" w:sz="4" w:space="0" w:color="auto"/>
              <w:right w:val="single" w:sz="4" w:space="0" w:color="auto"/>
            </w:tcBorders>
            <w:shd w:val="clear" w:color="000000" w:fill="808080"/>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316" w:type="dxa"/>
            <w:tcBorders>
              <w:top w:val="nil"/>
              <w:left w:val="nil"/>
              <w:bottom w:val="single" w:sz="4" w:space="0" w:color="auto"/>
              <w:right w:val="single" w:sz="8" w:space="0" w:color="auto"/>
            </w:tcBorders>
            <w:shd w:val="clear" w:color="auto" w:fill="auto"/>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r>
      <w:tr w:rsidTr="00AE5BFF">
        <w:tblPrEx>
          <w:tblW w:w="9646" w:type="dxa"/>
          <w:jc w:val="center"/>
          <w:tblLook w:val="04A0"/>
        </w:tblPrEx>
        <w:trPr>
          <w:trHeight w:val="292"/>
          <w:jc w:val="center"/>
        </w:trPr>
        <w:tc>
          <w:tcPr>
            <w:tcW w:w="2245" w:type="dxa"/>
            <w:tcBorders>
              <w:top w:val="nil"/>
              <w:left w:val="single" w:sz="8" w:space="0" w:color="auto"/>
              <w:bottom w:val="nil"/>
              <w:right w:val="single" w:sz="8" w:space="0" w:color="auto"/>
            </w:tcBorders>
            <w:shd w:val="clear" w:color="auto" w:fill="auto"/>
            <w:vAlign w:val="center"/>
            <w:hideMark/>
          </w:tcPr>
          <w:p w:rsidR="00E73CE2" w:rsidRPr="00265A26" w:rsidP="007D16B1">
            <w:pPr>
              <w:widowControl/>
              <w:autoSpaceDE/>
              <w:autoSpaceDN/>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 xml:space="preserve">Other Costs: </w:t>
            </w:r>
          </w:p>
        </w:tc>
        <w:tc>
          <w:tcPr>
            <w:tcW w:w="1471" w:type="dxa"/>
            <w:tcBorders>
              <w:top w:val="nil"/>
              <w:left w:val="nil"/>
              <w:bottom w:val="single" w:sz="4" w:space="0" w:color="auto"/>
              <w:right w:val="single" w:sz="4" w:space="0" w:color="auto"/>
            </w:tcBorders>
            <w:shd w:val="clear" w:color="000000" w:fill="808080"/>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496" w:type="dxa"/>
            <w:tcBorders>
              <w:top w:val="nil"/>
              <w:left w:val="nil"/>
              <w:bottom w:val="single" w:sz="4" w:space="0" w:color="auto"/>
              <w:right w:val="single" w:sz="4" w:space="0" w:color="auto"/>
            </w:tcBorders>
            <w:shd w:val="clear" w:color="000000" w:fill="808080"/>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447" w:type="dxa"/>
            <w:tcBorders>
              <w:top w:val="nil"/>
              <w:left w:val="nil"/>
              <w:bottom w:val="single" w:sz="4" w:space="0" w:color="auto"/>
              <w:right w:val="single" w:sz="4" w:space="0" w:color="auto"/>
            </w:tcBorders>
            <w:shd w:val="clear" w:color="000000" w:fill="808080"/>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671" w:type="dxa"/>
            <w:tcBorders>
              <w:top w:val="nil"/>
              <w:left w:val="nil"/>
              <w:bottom w:val="single" w:sz="4" w:space="0" w:color="auto"/>
              <w:right w:val="single" w:sz="4" w:space="0" w:color="auto"/>
            </w:tcBorders>
            <w:shd w:val="clear" w:color="000000" w:fill="808080"/>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316" w:type="dxa"/>
            <w:tcBorders>
              <w:top w:val="nil"/>
              <w:left w:val="nil"/>
              <w:bottom w:val="single" w:sz="4" w:space="0" w:color="auto"/>
              <w:right w:val="single" w:sz="8" w:space="0" w:color="auto"/>
            </w:tcBorders>
            <w:shd w:val="clear" w:color="auto" w:fill="auto"/>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r>
      <w:tr w:rsidTr="00E73CE2">
        <w:tblPrEx>
          <w:tblW w:w="9646" w:type="dxa"/>
          <w:jc w:val="center"/>
          <w:tblLook w:val="04A0"/>
        </w:tblPrEx>
        <w:trPr>
          <w:trHeight w:val="335"/>
          <w:jc w:val="center"/>
        </w:trPr>
        <w:tc>
          <w:tcPr>
            <w:tcW w:w="2245"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E73CE2" w:rsidRPr="00265A26" w:rsidP="007D16B1">
            <w:pPr>
              <w:widowControl/>
              <w:autoSpaceDE/>
              <w:autoSpaceDN/>
              <w:rPr>
                <w:rFonts w:ascii="Calibri" w:eastAsia="Times New Roman" w:hAnsi="Calibri" w:cs="Calibri"/>
                <w:b/>
                <w:bCs/>
                <w:color w:val="000000"/>
                <w:sz w:val="16"/>
                <w:szCs w:val="16"/>
                <w:lang w:bidi="ar-SA"/>
              </w:rPr>
            </w:pPr>
            <w:r w:rsidRPr="00265A26">
              <w:rPr>
                <w:rFonts w:ascii="Calibri" w:eastAsia="Times New Roman" w:hAnsi="Calibri" w:cs="Calibri"/>
                <w:b/>
                <w:bCs/>
                <w:color w:val="000000"/>
                <w:sz w:val="16"/>
                <w:szCs w:val="16"/>
                <w:lang w:bidi="ar-SA"/>
              </w:rPr>
              <w:t>TOTAL</w:t>
            </w:r>
          </w:p>
        </w:tc>
        <w:tc>
          <w:tcPr>
            <w:tcW w:w="1471" w:type="dxa"/>
            <w:tcBorders>
              <w:top w:val="single" w:sz="8" w:space="0" w:color="auto"/>
              <w:left w:val="nil"/>
              <w:bottom w:val="single" w:sz="8" w:space="0" w:color="auto"/>
              <w:right w:val="single" w:sz="8" w:space="0" w:color="auto"/>
            </w:tcBorders>
            <w:shd w:val="clear" w:color="000000" w:fill="808080"/>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496" w:type="dxa"/>
            <w:tcBorders>
              <w:top w:val="single" w:sz="8" w:space="0" w:color="auto"/>
              <w:left w:val="nil"/>
              <w:bottom w:val="single" w:sz="8" w:space="0" w:color="auto"/>
              <w:right w:val="single" w:sz="8" w:space="0" w:color="auto"/>
            </w:tcBorders>
            <w:shd w:val="clear" w:color="000000" w:fill="DDEBF7"/>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447" w:type="dxa"/>
            <w:tcBorders>
              <w:top w:val="single" w:sz="8" w:space="0" w:color="auto"/>
              <w:left w:val="nil"/>
              <w:bottom w:val="single" w:sz="8" w:space="0" w:color="auto"/>
              <w:right w:val="single" w:sz="8" w:space="0" w:color="auto"/>
            </w:tcBorders>
            <w:shd w:val="clear" w:color="000000" w:fill="757171"/>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671" w:type="dxa"/>
            <w:tcBorders>
              <w:top w:val="single" w:sz="8" w:space="0" w:color="auto"/>
              <w:left w:val="nil"/>
              <w:bottom w:val="single" w:sz="8" w:space="0" w:color="auto"/>
              <w:right w:val="single" w:sz="8" w:space="0" w:color="auto"/>
            </w:tcBorders>
            <w:shd w:val="clear" w:color="000000" w:fill="DDEBF7"/>
            <w:noWrap/>
            <w:vAlign w:val="bottom"/>
            <w:hideMark/>
          </w:tcPr>
          <w:p w:rsidR="00E73CE2" w:rsidRPr="00265A26" w:rsidP="007D16B1">
            <w:pPr>
              <w:widowControl/>
              <w:autoSpaceDE/>
              <w:autoSpaceDN/>
              <w:rPr>
                <w:rFonts w:ascii="Calibri" w:eastAsia="Times New Roman" w:hAnsi="Calibri" w:cs="Calibri"/>
                <w:color w:val="000000"/>
                <w:sz w:val="16"/>
                <w:szCs w:val="16"/>
                <w:lang w:bidi="ar-SA"/>
              </w:rPr>
            </w:pPr>
            <w:r w:rsidRPr="00265A26">
              <w:rPr>
                <w:rFonts w:ascii="Calibri" w:eastAsia="Times New Roman" w:hAnsi="Calibri" w:cs="Calibri"/>
                <w:color w:val="000000"/>
                <w:sz w:val="16"/>
                <w:szCs w:val="16"/>
                <w:lang w:bidi="ar-SA"/>
              </w:rPr>
              <w:t> </w:t>
            </w:r>
          </w:p>
        </w:tc>
        <w:tc>
          <w:tcPr>
            <w:tcW w:w="1316" w:type="dxa"/>
            <w:tcBorders>
              <w:top w:val="single" w:sz="8" w:space="0" w:color="auto"/>
              <w:left w:val="nil"/>
              <w:bottom w:val="single" w:sz="8" w:space="0" w:color="auto"/>
              <w:right w:val="single" w:sz="8" w:space="0" w:color="auto"/>
            </w:tcBorders>
            <w:shd w:val="clear" w:color="000000" w:fill="DDEBF7"/>
            <w:noWrap/>
            <w:vAlign w:val="bottom"/>
            <w:hideMark/>
          </w:tcPr>
          <w:p w:rsidR="00E73CE2" w:rsidRPr="00AE5BFF" w:rsidP="00C37FB0">
            <w:pPr>
              <w:widowControl/>
              <w:autoSpaceDE/>
              <w:autoSpaceDN/>
              <w:rPr>
                <w:rFonts w:ascii="Calibri" w:eastAsia="Times New Roman" w:hAnsi="Calibri" w:cs="Calibri"/>
                <w:b/>
                <w:color w:val="000000"/>
                <w:sz w:val="16"/>
                <w:szCs w:val="16"/>
                <w:lang w:bidi="ar-SA"/>
              </w:rPr>
            </w:pPr>
            <w:r w:rsidRPr="00AE5BFF">
              <w:rPr>
                <w:rFonts w:ascii="Calibri" w:eastAsia="Times New Roman" w:hAnsi="Calibri" w:cs="Calibri"/>
                <w:b/>
                <w:color w:val="000000"/>
                <w:sz w:val="16"/>
                <w:szCs w:val="16"/>
                <w:lang w:bidi="ar-SA"/>
              </w:rPr>
              <w:t> </w:t>
            </w:r>
            <w:r w:rsidRPr="00AE5BFF">
              <w:rPr>
                <w:rFonts w:ascii="Calibri" w:eastAsia="Times New Roman" w:hAnsi="Calibri" w:cs="Calibri"/>
                <w:b/>
                <w:color w:val="000000"/>
                <w:sz w:val="16"/>
                <w:szCs w:val="16"/>
                <w:lang w:bidi="ar-SA"/>
              </w:rPr>
              <w:t>$10,635</w:t>
            </w:r>
          </w:p>
        </w:tc>
      </w:tr>
    </w:tbl>
    <w:p w:rsidR="00E73CE2" w:rsidP="00E73CE2">
      <w:pPr>
        <w:rPr>
          <w:lang w:bidi="ar-SA"/>
        </w:rPr>
      </w:pPr>
    </w:p>
    <w:p w:rsidR="00E120EA" w:rsidP="00E73CE2">
      <w:pPr>
        <w:rPr>
          <w:lang w:bidi="ar-SA"/>
        </w:rPr>
      </w:pPr>
    </w:p>
    <w:p w:rsidR="00E120EA" w:rsidP="00E73CE2">
      <w:pPr>
        <w:rPr>
          <w:lang w:bidi="ar-SA"/>
        </w:rPr>
      </w:pPr>
    </w:p>
    <w:p w:rsidR="00E120EA" w:rsidP="00E73CE2">
      <w:pPr>
        <w:rPr>
          <w:lang w:bidi="ar-SA"/>
        </w:rPr>
      </w:pPr>
    </w:p>
    <w:p w:rsidR="00E120EA" w:rsidRPr="00E73CE2" w:rsidP="00E73CE2">
      <w:pPr>
        <w:rPr>
          <w:lang w:bidi="ar-SA"/>
        </w:rPr>
      </w:pPr>
    </w:p>
    <w:p w:rsidR="008E61C9" w:rsidRPr="00BD723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DF0CE3" w:rsidRPr="00D2166C" w:rsidP="00D2166C">
      <w:pPr>
        <w:spacing w:before="161"/>
        <w:rPr>
          <w:rFonts w:ascii="Times New Roman" w:hAnsi="Times New Roman" w:cs="Times New Roman"/>
          <w:sz w:val="24"/>
          <w:szCs w:val="24"/>
        </w:rPr>
      </w:pPr>
      <w:r w:rsidRPr="00D2166C">
        <w:rPr>
          <w:rFonts w:ascii="Times New Roman" w:hAnsi="Times New Roman" w:cs="Times New Roman"/>
          <w:sz w:val="24"/>
          <w:szCs w:val="24"/>
        </w:rPr>
        <w:t>There are no changes to the information collecti</w:t>
      </w:r>
      <w:r w:rsidRPr="00D2166C" w:rsidR="00D2166C">
        <w:rPr>
          <w:rFonts w:ascii="Times New Roman" w:hAnsi="Times New Roman" w:cs="Times New Roman"/>
          <w:sz w:val="24"/>
          <w:szCs w:val="24"/>
        </w:rPr>
        <w:t>on since the last OMB approval.</w:t>
      </w:r>
    </w:p>
    <w:p w:rsidR="00DF0CE3" w:rsidRPr="00BD7237" w:rsidP="00BD7237">
      <w:pPr>
        <w:pStyle w:val="BodyText"/>
        <w:spacing w:before="7"/>
        <w:ind w:left="0"/>
        <w:rPr>
          <w:rFonts w:ascii="Times New Roman" w:hAnsi="Times New Roman" w:cs="Times New Roman"/>
          <w:b/>
        </w:rPr>
      </w:pPr>
    </w:p>
    <w:p w:rsidR="008E61C9"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387B5C">
        <w:rPr>
          <w:rFonts w:ascii="Times New Roman" w:hAnsi="Times New Roman" w:cs="Times New Roman"/>
          <w:b/>
          <w:sz w:val="24"/>
          <w:szCs w:val="24"/>
        </w:rPr>
        <w:t>For collections of information whose results will be published,</w:t>
      </w:r>
      <w:r w:rsidRPr="00387B5C">
        <w:rPr>
          <w:rFonts w:ascii="Times New Roman" w:hAnsi="Times New Roman" w:cs="Times New Roman"/>
          <w:b/>
          <w:sz w:val="24"/>
          <w:szCs w:val="24"/>
        </w:rPr>
        <w:t xml:space="preserve"> outline plans for tabulation and publication. Address any comple</w:t>
      </w:r>
      <w:r w:rsidRPr="00BD7237">
        <w:rPr>
          <w:rFonts w:ascii="Times New Roman" w:hAnsi="Times New Roman" w:cs="Times New Roman"/>
          <w:b/>
          <w:sz w:val="24"/>
          <w:szCs w:val="24"/>
        </w:rPr>
        <w:t>x analytical techniques that will be used. Provide the time schedule for the entire project, including beginning and ending dates of the collection of information, completion of report, publi</w:t>
      </w:r>
      <w:r w:rsidRPr="00BD7237">
        <w:rPr>
          <w:rFonts w:ascii="Times New Roman" w:hAnsi="Times New Roman" w:cs="Times New Roman"/>
          <w:b/>
          <w:sz w:val="24"/>
          <w:szCs w:val="24"/>
        </w:rPr>
        <w:t>cation dates, and other actions.</w:t>
      </w:r>
    </w:p>
    <w:p w:rsidR="00D2166C" w:rsidP="00D2166C">
      <w:pPr>
        <w:pStyle w:val="NoSpacing"/>
      </w:pPr>
    </w:p>
    <w:p w:rsidR="009E3E7E" w:rsidP="009E3E7E">
      <w:pPr>
        <w:pStyle w:val="CM9"/>
        <w:spacing w:line="280" w:lineRule="atLeast"/>
        <w:ind w:right="218"/>
      </w:pPr>
      <w:r>
        <w:t xml:space="preserve">Depending on public interest, publication of plans and reports may be made available through the </w:t>
      </w:r>
      <w:r w:rsidRPr="00D2166C">
        <w:rPr>
          <w:i/>
        </w:rPr>
        <w:t>Federal Register</w:t>
      </w:r>
      <w:r>
        <w:t xml:space="preserve"> or the </w:t>
      </w:r>
      <w:r w:rsidR="00805641">
        <w:t>internet</w:t>
      </w:r>
      <w:r>
        <w:t xml:space="preserve">. </w:t>
      </w:r>
      <w:r w:rsidR="00387B5C">
        <w:t>The timeline associated with information collection, review, and publication is dictated by the process and timelines required in section 4 of the ESA (16 U.S.C. 1533). Specifically, from the date of receipt of a petition to list a species under the ESA, the Service</w:t>
      </w:r>
      <w:r w:rsidR="00D5160A">
        <w:t xml:space="preserve">s have 12-months to complete a listing determination. Should that determination result in a proposed rule to list a species, the Services then have an additional 12-months to publish a final rule. However, should the Services determine that listing is not warranted, this decision is the final agency action on the petition. Proposed rules, final rules, and not-warranted decisions are all published in the </w:t>
      </w:r>
      <w:r w:rsidRPr="00D5160A" w:rsidR="00D5160A">
        <w:rPr>
          <w:i/>
        </w:rPr>
        <w:t>Federal Register</w:t>
      </w:r>
      <w:r w:rsidR="00D5160A">
        <w:t xml:space="preserve">. </w:t>
      </w:r>
    </w:p>
    <w:p w:rsidR="009E3E7E" w:rsidP="009E3E7E">
      <w:pPr>
        <w:rPr>
          <w:rFonts w:ascii="Times New Roman" w:eastAsia="Times New Roman" w:hAnsi="Times New Roman" w:cs="Times New Roman"/>
          <w:sz w:val="24"/>
          <w:szCs w:val="24"/>
          <w:lang w:bidi="ar-SA"/>
        </w:rPr>
      </w:pPr>
      <w:r>
        <w:rPr>
          <w:color w:val="2F5496"/>
        </w:rPr>
        <w:t>I</w:t>
      </w:r>
      <w:r w:rsidRPr="009E3E7E">
        <w:rPr>
          <w:rFonts w:ascii="Times New Roman" w:eastAsia="Times New Roman" w:hAnsi="Times New Roman" w:cs="Times New Roman"/>
          <w:sz w:val="24"/>
          <w:szCs w:val="24"/>
          <w:lang w:bidi="ar-SA"/>
        </w:rPr>
        <w:t>t is anticipated that the information collected will be disseminated to the public or used to support publicly disseminated information</w:t>
      </w:r>
      <w:r>
        <w:rPr>
          <w:rFonts w:ascii="Times New Roman" w:eastAsia="Times New Roman" w:hAnsi="Times New Roman" w:cs="Times New Roman"/>
          <w:sz w:val="24"/>
          <w:szCs w:val="24"/>
          <w:lang w:bidi="ar-SA"/>
        </w:rPr>
        <w:t xml:space="preserve"> (</w:t>
      </w:r>
      <w:r w:rsidRPr="009E3E7E">
        <w:rPr>
          <w:rFonts w:ascii="Times New Roman" w:eastAsia="Times New Roman" w:hAnsi="Times New Roman" w:cs="Times New Roman"/>
          <w:i/>
          <w:sz w:val="24"/>
          <w:szCs w:val="24"/>
          <w:lang w:bidi="ar-SA"/>
        </w:rPr>
        <w:t>i.e</w:t>
      </w:r>
      <w:r>
        <w:rPr>
          <w:rFonts w:ascii="Times New Roman" w:eastAsia="Times New Roman" w:hAnsi="Times New Roman" w:cs="Times New Roman"/>
          <w:sz w:val="24"/>
          <w:szCs w:val="24"/>
          <w:lang w:bidi="ar-SA"/>
        </w:rPr>
        <w:t xml:space="preserve">. a status review report </w:t>
      </w:r>
      <w:r>
        <w:rPr>
          <w:rFonts w:ascii="Times New Roman" w:eastAsia="Times New Roman" w:hAnsi="Times New Roman" w:cs="Times New Roman"/>
          <w:sz w:val="24"/>
          <w:szCs w:val="24"/>
          <w:lang w:bidi="ar-SA"/>
        </w:rPr>
        <w:t>and Federal Register notices associated with the listing determination or rule)</w:t>
      </w:r>
      <w:r w:rsidRPr="009E3E7E">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The NMFS</w:t>
      </w:r>
      <w:r w:rsidRPr="009E3E7E">
        <w:rPr>
          <w:rFonts w:ascii="Times New Roman" w:eastAsia="Times New Roman" w:hAnsi="Times New Roman" w:cs="Times New Roman"/>
          <w:sz w:val="24"/>
          <w:szCs w:val="24"/>
          <w:lang w:bidi="ar-SA"/>
        </w:rPr>
        <w:t xml:space="preserve"> will retain control over the information and safeguard it from improper access, modification, and destruction, consistent with NOAA standards for confidentiality, pri</w:t>
      </w:r>
      <w:r w:rsidRPr="009E3E7E">
        <w:rPr>
          <w:rFonts w:ascii="Times New Roman" w:eastAsia="Times New Roman" w:hAnsi="Times New Roman" w:cs="Times New Roman"/>
          <w:sz w:val="24"/>
          <w:szCs w:val="24"/>
          <w:lang w:bidi="ar-SA"/>
        </w:rPr>
        <w:t>vacy, and electronic information. See response to Question 10 of this Supporting Statement for more information on confidentiality and privacy. The information collection is designed to yield data that meet all applicable information quality guidelines. Pr</w:t>
      </w:r>
      <w:r w:rsidRPr="009E3E7E">
        <w:rPr>
          <w:rFonts w:ascii="Times New Roman" w:eastAsia="Times New Roman" w:hAnsi="Times New Roman" w:cs="Times New Roman"/>
          <w:sz w:val="24"/>
          <w:szCs w:val="24"/>
          <w:lang w:bidi="ar-SA"/>
        </w:rPr>
        <w:t>ior to dissemination, the information will be subjected to quality control measures and a pre-dissemination review pursuant to Section 515 of Public Law 106-554.</w:t>
      </w:r>
    </w:p>
    <w:p w:rsidR="009E3E7E" w:rsidRPr="009E3E7E" w:rsidP="009E3E7E">
      <w:pPr>
        <w:rPr>
          <w:rFonts w:ascii="Times New Roman" w:eastAsia="Times New Roman" w:hAnsi="Times New Roman" w:cs="Times New Roman"/>
          <w:sz w:val="24"/>
          <w:szCs w:val="24"/>
          <w:lang w:bidi="ar-SA"/>
        </w:rPr>
      </w:pPr>
    </w:p>
    <w:p w:rsidR="008E61C9" w:rsidRPr="00BD723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w:t>
      </w:r>
      <w:r w:rsidRPr="00BD7237">
        <w:rPr>
          <w:rFonts w:ascii="Times New Roman" w:hAnsi="Times New Roman" w:cs="Times New Roman"/>
          <w:b/>
          <w:sz w:val="24"/>
          <w:szCs w:val="24"/>
        </w:rPr>
        <w:t>llection, explain the reasons that display would be inappropriate.</w:t>
      </w:r>
    </w:p>
    <w:p w:rsidR="00BF29AF" w:rsidP="00BF29AF">
      <w:pPr>
        <w:pStyle w:val="BodyText"/>
        <w:ind w:left="0"/>
        <w:rPr>
          <w:rFonts w:ascii="Times New Roman" w:hAnsi="Times New Roman" w:cs="Times New Roman"/>
          <w:i/>
          <w:color w:val="2F5496"/>
        </w:rPr>
      </w:pPr>
      <w:r>
        <w:rPr>
          <w:rFonts w:ascii="Times New Roman" w:hAnsi="Times New Roman" w:cs="Times New Roman"/>
        </w:rPr>
        <w:t>This collection does not have any forms on which to display the expiration date.</w:t>
      </w:r>
      <w:r w:rsidRPr="00D2166C">
        <w:rPr>
          <w:rFonts w:ascii="Times New Roman" w:hAnsi="Times New Roman" w:cs="Times New Roman"/>
        </w:rPr>
        <w:t xml:space="preserve"> </w:t>
      </w:r>
    </w:p>
    <w:p w:rsidR="00805641">
      <w:pPr>
        <w:rPr>
          <w:rFonts w:ascii="Times New Roman" w:hAnsi="Times New Roman" w:cs="Times New Roman"/>
          <w:i/>
          <w:color w:val="2F5496"/>
          <w:sz w:val="24"/>
          <w:szCs w:val="24"/>
        </w:rPr>
      </w:pPr>
    </w:p>
    <w:p w:rsidR="00805641" w:rsidP="00805641">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w:t>
      </w:r>
      <w:r>
        <w:rPr>
          <w:rFonts w:ascii="Times New Roman" w:hAnsi="Times New Roman" w:cs="Times New Roman"/>
          <w:b/>
          <w:sz w:val="24"/>
          <w:szCs w:val="24"/>
        </w:rPr>
        <w:t>n</w:t>
      </w:r>
      <w:r>
        <w:rPr>
          <w:rFonts w:ascii="Times New Roman" w:hAnsi="Times New Roman" w:cs="Times New Roman"/>
          <w:b/>
          <w:sz w:val="24"/>
          <w:szCs w:val="24"/>
        </w:rPr>
        <w:t xml:space="preserve"> Act Submissions.”</w:t>
      </w:r>
    </w:p>
    <w:p w:rsidR="00805641" w:rsidP="00805641">
      <w:pPr>
        <w:pStyle w:val="NoSpacing"/>
      </w:pPr>
    </w:p>
    <w:p w:rsidR="0058118D" w:rsidRPr="00254571" w:rsidP="0058118D">
      <w:pPr>
        <w:spacing w:before="221" w:line="259" w:lineRule="auto"/>
        <w:jc w:val="both"/>
        <w:rPr>
          <w:rFonts w:ascii="Times New Roman" w:hAnsi="Times New Roman" w:cs="Times New Roman"/>
          <w:sz w:val="24"/>
          <w:szCs w:val="24"/>
        </w:rPr>
      </w:pPr>
      <w:r w:rsidRPr="00254571">
        <w:rPr>
          <w:rFonts w:ascii="Times New Roman" w:hAnsi="Times New Roman" w:cs="Times New Roman"/>
          <w:sz w:val="24"/>
          <w:szCs w:val="24"/>
        </w:rPr>
        <w:t xml:space="preserve">The agency certifies compliance with </w:t>
      </w:r>
      <w:hyperlink r:id="rId10">
        <w:r w:rsidRPr="00254571">
          <w:rPr>
            <w:rFonts w:ascii="Times New Roman" w:hAnsi="Times New Roman" w:cs="Times New Roman"/>
            <w:color w:val="0563C1"/>
            <w:sz w:val="24"/>
            <w:szCs w:val="24"/>
            <w:u w:val="thick" w:color="0563C1"/>
          </w:rPr>
          <w:t>5 CFR 1320.9</w:t>
        </w:r>
        <w:r w:rsidRPr="00254571">
          <w:rPr>
            <w:rFonts w:ascii="Times New Roman" w:hAnsi="Times New Roman" w:cs="Times New Roman"/>
            <w:color w:val="0563C1"/>
            <w:sz w:val="24"/>
            <w:szCs w:val="24"/>
          </w:rPr>
          <w:t xml:space="preserve"> </w:t>
        </w:r>
      </w:hyperlink>
      <w:r w:rsidRPr="00254571">
        <w:rPr>
          <w:rFonts w:ascii="Times New Roman" w:hAnsi="Times New Roman" w:cs="Times New Roman"/>
          <w:sz w:val="24"/>
          <w:szCs w:val="24"/>
        </w:rPr>
        <w:t xml:space="preserve">and the related provisions of </w:t>
      </w:r>
      <w:hyperlink r:id="rId11">
        <w:r w:rsidRPr="00254571">
          <w:rPr>
            <w:rFonts w:ascii="Times New Roman" w:hAnsi="Times New Roman" w:cs="Times New Roman"/>
            <w:color w:val="0563C1"/>
            <w:sz w:val="24"/>
            <w:szCs w:val="24"/>
            <w:u w:val="thick" w:color="0563C1"/>
          </w:rPr>
          <w:t>5</w:t>
        </w:r>
        <w:r w:rsidRPr="00254571">
          <w:rPr>
            <w:rFonts w:ascii="Times New Roman" w:hAnsi="Times New Roman" w:cs="Times New Roman"/>
            <w:color w:val="0563C1"/>
            <w:spacing w:val="-42"/>
            <w:sz w:val="24"/>
            <w:szCs w:val="24"/>
            <w:u w:val="thick" w:color="0563C1"/>
          </w:rPr>
          <w:t xml:space="preserve"> </w:t>
        </w:r>
        <w:r w:rsidRPr="00254571">
          <w:rPr>
            <w:rFonts w:ascii="Times New Roman" w:hAnsi="Times New Roman" w:cs="Times New Roman"/>
            <w:color w:val="0563C1"/>
            <w:sz w:val="24"/>
            <w:szCs w:val="24"/>
            <w:u w:val="thick" w:color="0563C1"/>
          </w:rPr>
          <w:t>CFR</w:t>
        </w:r>
      </w:hyperlink>
      <w:r w:rsidRPr="00254571">
        <w:rPr>
          <w:rFonts w:ascii="Times New Roman" w:hAnsi="Times New Roman" w:cs="Times New Roman"/>
          <w:color w:val="0563C1"/>
          <w:sz w:val="24"/>
          <w:szCs w:val="24"/>
        </w:rPr>
        <w:t xml:space="preserve"> </w:t>
      </w:r>
      <w:hyperlink r:id="rId11">
        <w:r w:rsidRPr="00254571">
          <w:rPr>
            <w:rFonts w:ascii="Times New Roman" w:hAnsi="Times New Roman" w:cs="Times New Roman"/>
            <w:color w:val="0563C1"/>
            <w:sz w:val="24"/>
            <w:szCs w:val="24"/>
            <w:u w:val="thick" w:color="0563C1"/>
          </w:rPr>
          <w:t>1320.8(b)(3)</w:t>
        </w:r>
      </w:hyperlink>
      <w:r w:rsidRPr="00254571">
        <w:rPr>
          <w:rFonts w:ascii="Times New Roman" w:hAnsi="Times New Roman" w:cs="Times New Roman"/>
          <w:sz w:val="24"/>
          <w:szCs w:val="24"/>
        </w:rPr>
        <w:t>.</w:t>
      </w:r>
    </w:p>
    <w:p w:rsidR="00EB7BB5" w:rsidRPr="00462288" w:rsidP="0058118D">
      <w:pPr>
        <w:rPr>
          <w:rFonts w:ascii="Times New Roman" w:hAnsi="Times New Roman" w:cs="Times New Roman"/>
          <w:i/>
          <w:color w:val="2F5496"/>
          <w:sz w:val="24"/>
          <w:szCs w:val="24"/>
        </w:rPr>
      </w:pPr>
    </w:p>
    <w:sectPr w:rsidSect="00E73CE2">
      <w:pgSz w:w="12240" w:h="15840"/>
      <w:pgMar w:top="634" w:right="1080" w:bottom="1195" w:left="1080" w:header="0" w:footer="10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6CD">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3">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7">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4A770E16"/>
    <w:multiLevelType w:val="multilevel"/>
    <w:tmpl w:val="3A4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4B60D9"/>
    <w:multiLevelType w:val="hybridMultilevel"/>
    <w:tmpl w:val="3F70FD70"/>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1">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2">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3">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4">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5">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11"/>
  </w:num>
  <w:num w:numId="2">
    <w:abstractNumId w:val="2"/>
  </w:num>
  <w:num w:numId="3">
    <w:abstractNumId w:val="13"/>
  </w:num>
  <w:num w:numId="4">
    <w:abstractNumId w:val="3"/>
  </w:num>
  <w:num w:numId="5">
    <w:abstractNumId w:val="6"/>
  </w:num>
  <w:num w:numId="6">
    <w:abstractNumId w:val="7"/>
  </w:num>
  <w:num w:numId="7">
    <w:abstractNumId w:val="4"/>
  </w:num>
  <w:num w:numId="8">
    <w:abstractNumId w:val="1"/>
  </w:num>
  <w:num w:numId="9">
    <w:abstractNumId w:val="8"/>
  </w:num>
  <w:num w:numId="10">
    <w:abstractNumId w:val="14"/>
  </w:num>
  <w:num w:numId="11">
    <w:abstractNumId w:val="5"/>
  </w:num>
  <w:num w:numId="12">
    <w:abstractNumId w:val="12"/>
  </w:num>
  <w:num w:numId="13">
    <w:abstractNumId w:val="0"/>
  </w:num>
  <w:num w:numId="14">
    <w:abstractNumId w:val="15"/>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C9"/>
    <w:rsid w:val="0000252F"/>
    <w:rsid w:val="00002F64"/>
    <w:rsid w:val="00003165"/>
    <w:rsid w:val="00026865"/>
    <w:rsid w:val="00092CB1"/>
    <w:rsid w:val="00097BED"/>
    <w:rsid w:val="000E646B"/>
    <w:rsid w:val="000F0BFB"/>
    <w:rsid w:val="00115034"/>
    <w:rsid w:val="00132BC8"/>
    <w:rsid w:val="001477A3"/>
    <w:rsid w:val="001479BD"/>
    <w:rsid w:val="001503FE"/>
    <w:rsid w:val="001D253E"/>
    <w:rsid w:val="001D421A"/>
    <w:rsid w:val="00223F3D"/>
    <w:rsid w:val="00230615"/>
    <w:rsid w:val="00241A6E"/>
    <w:rsid w:val="00254571"/>
    <w:rsid w:val="00265A26"/>
    <w:rsid w:val="002966CD"/>
    <w:rsid w:val="00297F72"/>
    <w:rsid w:val="002A452A"/>
    <w:rsid w:val="002C0FAB"/>
    <w:rsid w:val="002E013B"/>
    <w:rsid w:val="00307F5A"/>
    <w:rsid w:val="0037393F"/>
    <w:rsid w:val="00387B5C"/>
    <w:rsid w:val="00391D52"/>
    <w:rsid w:val="003E2726"/>
    <w:rsid w:val="0044378B"/>
    <w:rsid w:val="004470D4"/>
    <w:rsid w:val="00462288"/>
    <w:rsid w:val="004C4050"/>
    <w:rsid w:val="004F32E9"/>
    <w:rsid w:val="004F5545"/>
    <w:rsid w:val="0050663C"/>
    <w:rsid w:val="00525B1E"/>
    <w:rsid w:val="00541F1A"/>
    <w:rsid w:val="0056191D"/>
    <w:rsid w:val="0058118D"/>
    <w:rsid w:val="005829BD"/>
    <w:rsid w:val="005F02AF"/>
    <w:rsid w:val="005F4DB8"/>
    <w:rsid w:val="00616C78"/>
    <w:rsid w:val="00644D81"/>
    <w:rsid w:val="006A21DC"/>
    <w:rsid w:val="006C1AEA"/>
    <w:rsid w:val="006D4259"/>
    <w:rsid w:val="006E4340"/>
    <w:rsid w:val="00707927"/>
    <w:rsid w:val="00754355"/>
    <w:rsid w:val="0076603A"/>
    <w:rsid w:val="00782F97"/>
    <w:rsid w:val="007D16B1"/>
    <w:rsid w:val="00805641"/>
    <w:rsid w:val="00811ADF"/>
    <w:rsid w:val="00821E34"/>
    <w:rsid w:val="0082262E"/>
    <w:rsid w:val="00852589"/>
    <w:rsid w:val="008529A6"/>
    <w:rsid w:val="0086401A"/>
    <w:rsid w:val="008A362F"/>
    <w:rsid w:val="008A46C5"/>
    <w:rsid w:val="008A70A9"/>
    <w:rsid w:val="008E61C9"/>
    <w:rsid w:val="00924142"/>
    <w:rsid w:val="00930F97"/>
    <w:rsid w:val="009954B9"/>
    <w:rsid w:val="009B116F"/>
    <w:rsid w:val="009B6555"/>
    <w:rsid w:val="009B7897"/>
    <w:rsid w:val="009C713E"/>
    <w:rsid w:val="009E3E7E"/>
    <w:rsid w:val="009F7E55"/>
    <w:rsid w:val="00A01C22"/>
    <w:rsid w:val="00A060DA"/>
    <w:rsid w:val="00A7750D"/>
    <w:rsid w:val="00A90132"/>
    <w:rsid w:val="00AB4068"/>
    <w:rsid w:val="00AC2332"/>
    <w:rsid w:val="00AD1431"/>
    <w:rsid w:val="00AD441D"/>
    <w:rsid w:val="00AD48FF"/>
    <w:rsid w:val="00AE5BFF"/>
    <w:rsid w:val="00B01FBD"/>
    <w:rsid w:val="00B461B6"/>
    <w:rsid w:val="00B86D34"/>
    <w:rsid w:val="00B87A29"/>
    <w:rsid w:val="00BA2C99"/>
    <w:rsid w:val="00BD1747"/>
    <w:rsid w:val="00BD7237"/>
    <w:rsid w:val="00BE4676"/>
    <w:rsid w:val="00BF29AF"/>
    <w:rsid w:val="00C37FB0"/>
    <w:rsid w:val="00C459FF"/>
    <w:rsid w:val="00C94B6B"/>
    <w:rsid w:val="00CC3B4D"/>
    <w:rsid w:val="00CF2424"/>
    <w:rsid w:val="00D0619E"/>
    <w:rsid w:val="00D16896"/>
    <w:rsid w:val="00D16BD5"/>
    <w:rsid w:val="00D2166C"/>
    <w:rsid w:val="00D5160A"/>
    <w:rsid w:val="00D64DF9"/>
    <w:rsid w:val="00D71A84"/>
    <w:rsid w:val="00DB7C94"/>
    <w:rsid w:val="00DF0CE3"/>
    <w:rsid w:val="00DF2D5B"/>
    <w:rsid w:val="00E06E89"/>
    <w:rsid w:val="00E120EA"/>
    <w:rsid w:val="00E445A3"/>
    <w:rsid w:val="00E67D35"/>
    <w:rsid w:val="00E73CE2"/>
    <w:rsid w:val="00EA79E9"/>
    <w:rsid w:val="00EB7BB5"/>
    <w:rsid w:val="00EE1596"/>
    <w:rsid w:val="00F02EC8"/>
    <w:rsid w:val="00F579A1"/>
    <w:rsid w:val="00F60F98"/>
    <w:rsid w:val="00F61B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8B5C67"/>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customStyle="1" w:styleId="CM9">
    <w:name w:val="CM9"/>
    <w:basedOn w:val="Normal"/>
    <w:next w:val="Normal"/>
    <w:uiPriority w:val="99"/>
    <w:rsid w:val="003E2726"/>
    <w:pPr>
      <w:adjustRightInd w:val="0"/>
      <w:spacing w:after="280"/>
    </w:pPr>
    <w:rPr>
      <w:rFonts w:ascii="Times New Roman" w:eastAsia="Times New Roman" w:hAnsi="Times New Roman" w:cs="Times New Roman"/>
      <w:sz w:val="24"/>
      <w:szCs w:val="24"/>
      <w:lang w:bidi="ar-SA"/>
    </w:rPr>
  </w:style>
  <w:style w:type="character" w:styleId="Hyperlink">
    <w:name w:val="Hyperlink"/>
    <w:uiPriority w:val="99"/>
    <w:rsid w:val="003E2726"/>
    <w:rPr>
      <w:color w:val="0000FF"/>
      <w:u w:val="single"/>
    </w:rPr>
  </w:style>
  <w:style w:type="paragraph" w:customStyle="1" w:styleId="Default">
    <w:name w:val="Default"/>
    <w:uiPriority w:val="99"/>
    <w:rsid w:val="00525B1E"/>
    <w:pPr>
      <w:adjustRightInd w:val="0"/>
    </w:pPr>
    <w:rPr>
      <w:rFonts w:ascii="Times New Roman" w:eastAsia="Times New Roman" w:hAnsi="Times New Roman" w:cs="Times New Roman"/>
      <w:color w:val="000000"/>
      <w:sz w:val="24"/>
      <w:szCs w:val="24"/>
    </w:rPr>
  </w:style>
  <w:style w:type="paragraph" w:customStyle="1" w:styleId="CM6">
    <w:name w:val="CM6"/>
    <w:basedOn w:val="Default"/>
    <w:next w:val="Default"/>
    <w:uiPriority w:val="99"/>
    <w:rsid w:val="00525B1E"/>
    <w:pPr>
      <w:spacing w:line="280" w:lineRule="atLeast"/>
    </w:pPr>
    <w:rPr>
      <w:color w:val="auto"/>
    </w:rPr>
  </w:style>
  <w:style w:type="paragraph" w:styleId="NoSpacing">
    <w:name w:val="No Spacing"/>
    <w:uiPriority w:val="1"/>
    <w:qFormat/>
    <w:rsid w:val="00852589"/>
    <w:rPr>
      <w:rFonts w:ascii="Arial" w:eastAsia="Arial" w:hAnsi="Arial" w:cs="Arial"/>
      <w:lang w:bidi="en-US"/>
    </w:rPr>
  </w:style>
  <w:style w:type="paragraph" w:customStyle="1" w:styleId="CM2">
    <w:name w:val="CM2"/>
    <w:basedOn w:val="Default"/>
    <w:next w:val="Default"/>
    <w:uiPriority w:val="99"/>
    <w:rsid w:val="004470D4"/>
    <w:pPr>
      <w:spacing w:line="280" w:lineRule="atLeast"/>
    </w:pPr>
    <w:rPr>
      <w:color w:val="auto"/>
    </w:rPr>
  </w:style>
  <w:style w:type="character" w:styleId="FollowedHyperlink">
    <w:name w:val="FollowedHyperlink"/>
    <w:basedOn w:val="DefaultParagraphFont"/>
    <w:uiPriority w:val="99"/>
    <w:semiHidden/>
    <w:unhideWhenUsed/>
    <w:rsid w:val="00924142"/>
    <w:rPr>
      <w:color w:val="800080" w:themeColor="followedHyperlink"/>
      <w:u w:val="single"/>
    </w:rPr>
  </w:style>
  <w:style w:type="paragraph" w:customStyle="1" w:styleId="CM11">
    <w:name w:val="CM11"/>
    <w:basedOn w:val="Default"/>
    <w:next w:val="Default"/>
    <w:uiPriority w:val="99"/>
    <w:rsid w:val="00811ADF"/>
    <w:pPr>
      <w:spacing w:after="365"/>
    </w:pPr>
    <w:rPr>
      <w:color w:val="auto"/>
    </w:rPr>
  </w:style>
  <w:style w:type="paragraph" w:styleId="Header">
    <w:name w:val="header"/>
    <w:basedOn w:val="Normal"/>
    <w:link w:val="HeaderChar"/>
    <w:uiPriority w:val="99"/>
    <w:unhideWhenUsed/>
    <w:rsid w:val="00B01FBD"/>
    <w:pPr>
      <w:tabs>
        <w:tab w:val="center" w:pos="4680"/>
        <w:tab w:val="right" w:pos="9360"/>
      </w:tabs>
    </w:pPr>
  </w:style>
  <w:style w:type="character" w:customStyle="1" w:styleId="HeaderChar">
    <w:name w:val="Header Char"/>
    <w:basedOn w:val="DefaultParagraphFont"/>
    <w:link w:val="Header"/>
    <w:uiPriority w:val="99"/>
    <w:rsid w:val="00B01FBD"/>
    <w:rPr>
      <w:rFonts w:ascii="Arial" w:eastAsia="Arial" w:hAnsi="Arial" w:cs="Arial"/>
      <w:lang w:bidi="en-US"/>
    </w:rPr>
  </w:style>
  <w:style w:type="paragraph" w:styleId="Footer">
    <w:name w:val="footer"/>
    <w:basedOn w:val="Normal"/>
    <w:link w:val="FooterChar"/>
    <w:uiPriority w:val="99"/>
    <w:unhideWhenUsed/>
    <w:rsid w:val="00B01FBD"/>
    <w:pPr>
      <w:tabs>
        <w:tab w:val="center" w:pos="4680"/>
        <w:tab w:val="right" w:pos="9360"/>
      </w:tabs>
    </w:pPr>
  </w:style>
  <w:style w:type="character" w:customStyle="1" w:styleId="FooterChar">
    <w:name w:val="Footer Char"/>
    <w:basedOn w:val="DefaultParagraphFont"/>
    <w:link w:val="Footer"/>
    <w:uiPriority w:val="99"/>
    <w:rsid w:val="00B01FBD"/>
    <w:rPr>
      <w:rFonts w:ascii="Arial" w:eastAsia="Arial" w:hAnsi="Arial" w:cs="Arial"/>
      <w:lang w:bidi="en-US"/>
    </w:rPr>
  </w:style>
  <w:style w:type="paragraph" w:styleId="NormalWeb">
    <w:name w:val="Normal (Web)"/>
    <w:basedOn w:val="Normal"/>
    <w:uiPriority w:val="99"/>
    <w:unhideWhenUsed/>
    <w:rsid w:val="00D1689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AE5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03/03/28/03-7364/policy-for-evaluation-of-conservation-efforts-when-making-listing-decisions" TargetMode="External" /><Relationship Id="rId5" Type="http://schemas.openxmlformats.org/officeDocument/2006/relationships/hyperlink" Target="https://www.fisheries.noaa.gov/national/endangered-species-conservation/endangered-species-act" TargetMode="External" /><Relationship Id="rId6" Type="http://schemas.openxmlformats.org/officeDocument/2006/relationships/hyperlink" Target="https://www.noaa.gov/organization/information-technology/policy-oversight/information-quality" TargetMode="External" /><Relationship Id="rId7" Type="http://schemas.openxmlformats.org/officeDocument/2006/relationships/footer" Target="footer1.xml" /><Relationship Id="rId8" Type="http://schemas.openxmlformats.org/officeDocument/2006/relationships/hyperlink" Target="http://www.justice.gov/sites/default/files/oip/legacy/2014/07/23/amended-foia-redlined.pdf" TargetMode="External" /><Relationship Id="rId9" Type="http://schemas.openxmlformats.org/officeDocument/2006/relationships/hyperlink" Target="https://www.opm.gov/policy-data-oversight/pay-leave/salaries-wages/salary-tables/pdf/2025/RU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3753</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3</cp:revision>
  <dcterms:created xsi:type="dcterms:W3CDTF">2025-02-07T19:20:00Z</dcterms:created>
  <dcterms:modified xsi:type="dcterms:W3CDTF">2025-02-07T19:34:00Z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