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72D0D" w14:paraId="1C5F63CF" w14:textId="77777777">
      <w:pPr>
        <w:pStyle w:val="Heading1"/>
        <w:ind w:left="0"/>
        <w:jc w:val="center"/>
      </w:pPr>
      <w:r>
        <w:t>SUPPORTING STATEMENT</w:t>
      </w:r>
    </w:p>
    <w:p w:rsidR="00F72D0D" w14:paraId="1284CA5A" w14:textId="77777777">
      <w:pPr>
        <w:spacing w:before="22" w:line="259" w:lineRule="auto"/>
        <w:ind w:firstLine="14"/>
        <w:jc w:val="center"/>
        <w:rPr>
          <w:b/>
        </w:rPr>
      </w:pPr>
      <w:r>
        <w:rPr>
          <w:b/>
        </w:rPr>
        <w:t>U.S. Department of Commerce</w:t>
      </w:r>
    </w:p>
    <w:p w:rsidR="00F72D0D" w14:paraId="0B53A37C" w14:textId="77777777">
      <w:pPr>
        <w:spacing w:before="22" w:line="259" w:lineRule="auto"/>
        <w:ind w:firstLine="14"/>
        <w:jc w:val="center"/>
        <w:rPr>
          <w:b/>
        </w:rPr>
      </w:pPr>
      <w:r>
        <w:rPr>
          <w:b/>
        </w:rPr>
        <w:t>National Oceanic &amp; Atmospheric Administration</w:t>
      </w:r>
    </w:p>
    <w:p w:rsidR="00BD2483" w14:paraId="50EB33E0" w14:textId="77777777">
      <w:pPr>
        <w:spacing w:line="259" w:lineRule="auto"/>
        <w:ind w:hanging="6"/>
        <w:jc w:val="center"/>
        <w:rPr>
          <w:b/>
        </w:rPr>
      </w:pPr>
      <w:r w:rsidRPr="00BD2483">
        <w:rPr>
          <w:b/>
        </w:rPr>
        <w:t>Aleutian Islands Pollock Fishery Requirements</w:t>
      </w:r>
    </w:p>
    <w:p w:rsidR="00F72D0D" w14:paraId="59BA5A2A" w14:textId="019875C8">
      <w:pPr>
        <w:spacing w:line="259" w:lineRule="auto"/>
        <w:ind w:hanging="6"/>
        <w:jc w:val="center"/>
        <w:rPr>
          <w:b/>
        </w:rPr>
      </w:pPr>
      <w:r>
        <w:rPr>
          <w:b/>
        </w:rPr>
        <w:t>OMB Control No. 0648-</w:t>
      </w:r>
      <w:r w:rsidR="00595919">
        <w:rPr>
          <w:b/>
        </w:rPr>
        <w:t>0513</w:t>
      </w:r>
    </w:p>
    <w:p w:rsidR="00F72D0D" w14:paraId="5D21D54C" w14:textId="77777777">
      <w:pPr>
        <w:pBdr>
          <w:top w:val="nil"/>
          <w:left w:val="nil"/>
          <w:bottom w:val="nil"/>
          <w:right w:val="nil"/>
          <w:between w:val="nil"/>
        </w:pBdr>
        <w:spacing w:before="1"/>
        <w:jc w:val="center"/>
        <w:rPr>
          <w:b/>
          <w:color w:val="000000"/>
        </w:rPr>
      </w:pPr>
    </w:p>
    <w:p w:rsidR="00F72D0D" w:rsidP="006566C2" w14:paraId="1340F721" w14:textId="4DE507D2">
      <w:pPr>
        <w:widowControl/>
        <w:spacing w:before="1" w:line="398" w:lineRule="auto"/>
        <w:rPr>
          <w:b/>
        </w:rPr>
      </w:pPr>
      <w:r>
        <w:rPr>
          <w:b/>
          <w:color w:val="000000"/>
        </w:rPr>
        <w:t>SUPPORTING STATEMENT PART A</w:t>
      </w:r>
      <w:r>
        <w:rPr>
          <w:b/>
          <w:color w:val="1F497D"/>
        </w:rPr>
        <w:t xml:space="preserve"> </w:t>
      </w:r>
    </w:p>
    <w:p w:rsidR="00F72D0D" w:rsidP="006566C2" w14:paraId="3E55724C" w14:textId="77777777">
      <w:pPr>
        <w:pStyle w:val="Heading1"/>
        <w:widowControl/>
        <w:spacing w:before="199"/>
        <w:ind w:left="0"/>
      </w:pPr>
      <w:r>
        <w:t>Abstract</w:t>
      </w:r>
    </w:p>
    <w:p w:rsidR="00CD31BF" w:rsidP="00A01F2D" w14:paraId="28424A32" w14:textId="77777777">
      <w:pPr>
        <w:widowControl/>
      </w:pPr>
    </w:p>
    <w:p w:rsidR="008F6C2B" w:rsidP="00A01F2D" w14:paraId="1F102D1E" w14:textId="6F928203">
      <w:pPr>
        <w:widowControl/>
      </w:pPr>
      <w:r w:rsidRPr="00713BC9">
        <w:t xml:space="preserve">The National Marine Fisheries Service (NMFS), Alaska Regional Office, </w:t>
      </w:r>
      <w:r>
        <w:t>requests extension of this</w:t>
      </w:r>
      <w:r w:rsidRPr="00713BC9">
        <w:t xml:space="preserve"> currently approved information collection</w:t>
      </w:r>
      <w:r w:rsidR="00A01F2D">
        <w:t>.</w:t>
      </w:r>
      <w:r w:rsidRPr="00713BC9">
        <w:t xml:space="preserve"> </w:t>
      </w:r>
      <w:r w:rsidRPr="00BD2483" w:rsidR="00BD2483">
        <w:t>No changes were made to this collection other than</w:t>
      </w:r>
      <w:r w:rsidR="00DF7CD5">
        <w:t xml:space="preserve"> updating the hourly wage</w:t>
      </w:r>
      <w:r w:rsidRPr="00BD2483" w:rsidR="00BD2483">
        <w:t xml:space="preserve"> </w:t>
      </w:r>
      <w:r w:rsidR="00DF7CD5">
        <w:t xml:space="preserve">rate to use </w:t>
      </w:r>
      <w:r w:rsidRPr="00DF7CD5" w:rsidR="00DF7CD5">
        <w:t>the most current rate available and to improve consistency in the rates used for the same respondent types in NMFS Alaska Region information collections.</w:t>
      </w:r>
    </w:p>
    <w:p w:rsidR="00BD2483" w:rsidP="00A01F2D" w14:paraId="78DFBEDB" w14:textId="77777777">
      <w:pPr>
        <w:widowControl/>
      </w:pPr>
    </w:p>
    <w:p w:rsidR="00F83AE0" w:rsidP="00A01F2D" w14:paraId="10CEC179" w14:textId="5DC79B8A">
      <w:pPr>
        <w:widowControl/>
      </w:pPr>
      <w:r>
        <w:t xml:space="preserve">This information collection is </w:t>
      </w:r>
      <w:r w:rsidRPr="00713BC9">
        <w:t>for the annual participant</w:t>
      </w:r>
      <w:r>
        <w:t xml:space="preserve"> letter</w:t>
      </w:r>
      <w:r w:rsidRPr="00713BC9">
        <w:t xml:space="preserve"> for the Aleutian Islands</w:t>
      </w:r>
      <w:r>
        <w:t xml:space="preserve"> (AI)</w:t>
      </w:r>
      <w:r w:rsidRPr="00713BC9">
        <w:t xml:space="preserve"> pollock fishery.</w:t>
      </w:r>
      <w:r>
        <w:t xml:space="preserve"> </w:t>
      </w:r>
      <w:r>
        <w:t xml:space="preserve">The Aleut Corporation’s AI pollock fishery is set up so that harvesting pollock in the AI directed pollock fishery and processing pollock taken in the AI directed pollock fishery are authorized only for those harvesters and processors that are selected by The Aleut Corporation. </w:t>
      </w:r>
      <w:r>
        <w:t>The Aleut Corporation is required by Federal regulations to provide its selected harvesters and processors to NMFS for approval.</w:t>
      </w:r>
    </w:p>
    <w:p w:rsidR="00F83AE0" w:rsidP="00A01F2D" w14:paraId="4A4098A8" w14:textId="77777777">
      <w:pPr>
        <w:widowControl/>
      </w:pPr>
    </w:p>
    <w:p w:rsidR="008F6C2B" w:rsidP="00A01F2D" w14:paraId="19D29C10" w14:textId="4DA6F10C">
      <w:pPr>
        <w:widowControl/>
      </w:pPr>
      <w:r>
        <w:t xml:space="preserve">The purpose of </w:t>
      </w:r>
      <w:r w:rsidRPr="00144CBC" w:rsidR="00144CBC">
        <w:t xml:space="preserve">the annual AI pollock fishery letter participant letter </w:t>
      </w:r>
      <w:r>
        <w:t xml:space="preserve">is for NMFS to obtain the list of vessels and processors selected by The Aleut Corporation to harvest and process its annual AI pollock allocation. </w:t>
      </w:r>
      <w:r w:rsidRPr="008F6C2B">
        <w:t xml:space="preserve">NMFS uses this information to manage the AI pollock fishery. </w:t>
      </w:r>
      <w:r>
        <w:t>Without this information, NMFS would not know the participants selected by The Aleut Corporation and harvest rates could not be determined, which may result in allocations being exceeded.</w:t>
      </w:r>
    </w:p>
    <w:p w:rsidR="00BE731A" w:rsidP="00A01F2D" w14:paraId="7A8A27F2" w14:textId="77777777">
      <w:pPr>
        <w:widowControl/>
        <w:rPr>
          <w:b/>
        </w:rPr>
      </w:pPr>
    </w:p>
    <w:p w:rsidR="00F72D0D" w:rsidP="00A01F2D" w14:paraId="212B574B" w14:textId="31B3FB02">
      <w:pPr>
        <w:pStyle w:val="Heading1"/>
        <w:widowControl/>
        <w:spacing w:before="0"/>
        <w:ind w:left="0"/>
      </w:pPr>
      <w:r>
        <w:t>Justification</w:t>
      </w:r>
    </w:p>
    <w:p w:rsidR="00A01F2D" w:rsidP="00A01F2D" w14:paraId="60B13F3C" w14:textId="77777777">
      <w:pPr>
        <w:pStyle w:val="Heading1"/>
        <w:widowControl/>
        <w:spacing w:before="0"/>
        <w:ind w:left="0"/>
      </w:pPr>
    </w:p>
    <w:p w:rsidR="00F72D0D" w:rsidP="00A01F2D" w14:paraId="16C08CC6"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66AAB" w:rsidP="00A01F2D" w14:paraId="65DEF227" w14:textId="77777777">
      <w:pPr>
        <w:widowControl/>
        <w:rPr>
          <w:bCs/>
        </w:rPr>
      </w:pPr>
    </w:p>
    <w:p w:rsidR="00131514" w:rsidRPr="00713BC9" w:rsidP="00A01F2D" w14:paraId="534DE758" w14:textId="5A90F656">
      <w:pPr>
        <w:widowControl/>
      </w:pPr>
      <w:r w:rsidRPr="00713BC9">
        <w:rPr>
          <w:bCs/>
        </w:rPr>
        <w:t>The Magnuson-Stevens Fishery Conservation and Management Act (</w:t>
      </w:r>
      <w:r w:rsidRPr="00415B47" w:rsidR="00415B47">
        <w:rPr>
          <w:bCs/>
        </w:rPr>
        <w:t>Magnuson-Stevens Act</w:t>
      </w:r>
      <w:r>
        <w:rPr>
          <w:bCs/>
        </w:rPr>
        <w:t>;</w:t>
      </w:r>
      <w:r w:rsidRPr="00713BC9">
        <w:rPr>
          <w:bCs/>
        </w:rPr>
        <w:t xml:space="preserve"> </w:t>
      </w:r>
      <w:bookmarkStart w:id="0" w:name="OLE_LINK3"/>
      <w:bookmarkStart w:id="1" w:name="OLE_LINK4"/>
      <w:r w:rsidRPr="00713BC9">
        <w:t>16 U.S.C. 1801</w:t>
      </w:r>
      <w:bookmarkEnd w:id="0"/>
      <w:bookmarkEnd w:id="1"/>
      <w:r w:rsidRPr="00713BC9">
        <w:t xml:space="preserve"> </w:t>
      </w:r>
      <w:r>
        <w:rPr>
          <w:i/>
          <w:iCs/>
        </w:rPr>
        <w:t>et seq</w:t>
      </w:r>
      <w:r w:rsidRPr="00584DE2">
        <w:rPr>
          <w:iCs/>
        </w:rPr>
        <w:t>.)</w:t>
      </w:r>
      <w:r w:rsidRPr="00713BC9">
        <w:rPr>
          <w:i/>
          <w:iCs/>
        </w:rPr>
        <w:t xml:space="preserve"> </w:t>
      </w:r>
      <w:r w:rsidRPr="00713BC9">
        <w:rPr>
          <w:bCs/>
        </w:rPr>
        <w:t>authorizes the North Pacific Fishery Management Council to prepare and amend fishery management plans for any fishery in waters under its jurisdiction.</w:t>
      </w:r>
      <w:r>
        <w:rPr>
          <w:rStyle w:val="FootnoteReference"/>
          <w:bCs/>
        </w:rPr>
        <w:footnoteReference w:id="2"/>
      </w:r>
      <w:r w:rsidRPr="00713BC9">
        <w:rPr>
          <w:bCs/>
        </w:rPr>
        <w:t xml:space="preserve"> </w:t>
      </w:r>
      <w:r>
        <w:rPr>
          <w:bCs/>
        </w:rPr>
        <w:t>NMFS</w:t>
      </w:r>
      <w:r w:rsidRPr="00DA6413">
        <w:rPr>
          <w:bCs/>
        </w:rPr>
        <w:t>, Alaska Region</w:t>
      </w:r>
      <w:r w:rsidRPr="00713BC9">
        <w:rPr>
          <w:bCs/>
        </w:rPr>
        <w:t xml:space="preserve">, manages </w:t>
      </w:r>
      <w:r w:rsidR="00366AAB">
        <w:rPr>
          <w:bCs/>
        </w:rPr>
        <w:t xml:space="preserve">the </w:t>
      </w:r>
      <w:r w:rsidRPr="00713BC9">
        <w:rPr>
          <w:bCs/>
        </w:rPr>
        <w:t>groundfish</w:t>
      </w:r>
      <w:r w:rsidR="00366AAB">
        <w:rPr>
          <w:bCs/>
        </w:rPr>
        <w:t xml:space="preserve"> fisheries</w:t>
      </w:r>
      <w:r w:rsidRPr="00713BC9">
        <w:rPr>
          <w:bCs/>
        </w:rPr>
        <w:t xml:space="preserve"> in the exclusive economic zone </w:t>
      </w:r>
      <w:r w:rsidR="00366AAB">
        <w:rPr>
          <w:bCs/>
        </w:rPr>
        <w:t>of the Bering Sea and Aleutian Islands management are</w:t>
      </w:r>
      <w:r w:rsidR="00F83AE0">
        <w:rPr>
          <w:bCs/>
        </w:rPr>
        <w:t>a</w:t>
      </w:r>
      <w:r w:rsidRPr="00713BC9">
        <w:rPr>
          <w:bCs/>
        </w:rPr>
        <w:t xml:space="preserve"> under the </w:t>
      </w:r>
      <w:r w:rsidRPr="00713BC9">
        <w:t xml:space="preserve">Fishery Management Plan for Groundfish of the Bering Sea and Aleutian Islands Management Area (FMP). </w:t>
      </w:r>
    </w:p>
    <w:p w:rsidR="00131514" w:rsidRPr="00713BC9" w:rsidP="00A01F2D" w14:paraId="6EB0F900" w14:textId="77777777">
      <w:pPr>
        <w:widowControl/>
      </w:pPr>
    </w:p>
    <w:p w:rsidR="00131514" w:rsidRPr="00713BC9" w:rsidP="00A01F2D" w14:paraId="164D73A2" w14:textId="2B14AC9E">
      <w:pPr>
        <w:widowControl/>
        <w:rPr>
          <w:color w:val="000000"/>
        </w:rPr>
      </w:pPr>
      <w:r>
        <w:t xml:space="preserve">In 2005, </w:t>
      </w:r>
      <w:r w:rsidRPr="00713BC9">
        <w:t>Amendment 82 to the FMP established a framework for the management of the Aleutian Islands subarea</w:t>
      </w:r>
      <w:r>
        <w:t xml:space="preserve"> (AI) directed pollock fishery.</w:t>
      </w:r>
      <w:r w:rsidRPr="005C069C">
        <w:t xml:space="preserve"> </w:t>
      </w:r>
      <w:r>
        <w:t>A</w:t>
      </w:r>
      <w:r w:rsidRPr="005C069C">
        <w:t xml:space="preserve">mendment </w:t>
      </w:r>
      <w:r>
        <w:t xml:space="preserve">82 </w:t>
      </w:r>
      <w:r w:rsidRPr="005C069C">
        <w:t>implement</w:t>
      </w:r>
      <w:r>
        <w:t>ed</w:t>
      </w:r>
      <w:r w:rsidRPr="005C069C">
        <w:t xml:space="preserve"> a provision of the </w:t>
      </w:r>
      <w:r w:rsidRPr="00415B47" w:rsidR="00415B47">
        <w:t>Consolidated Appropriations Act of 2004</w:t>
      </w:r>
      <w:r w:rsidRPr="005C069C">
        <w:t xml:space="preserve"> (Publi</w:t>
      </w:r>
      <w:r>
        <w:t xml:space="preserve">c Law 108–199, Sec. 803) that </w:t>
      </w:r>
      <w:r w:rsidRPr="005C069C">
        <w:t xml:space="preserve">requires the AI directed pollock fishery be allocated to </w:t>
      </w:r>
      <w:r>
        <w:t>T</w:t>
      </w:r>
      <w:r w:rsidRPr="005C069C">
        <w:t xml:space="preserve">he Aleut Corporation for the purpose of economic development in </w:t>
      </w:r>
      <w:r w:rsidRPr="005C069C">
        <w:t>Adak, Alaska.</w:t>
      </w:r>
      <w:r>
        <w:rPr>
          <w:rStyle w:val="FootnoteReference"/>
        </w:rPr>
        <w:footnoteReference w:id="3"/>
      </w:r>
      <w:r>
        <w:t xml:space="preserve"> </w:t>
      </w:r>
      <w:r w:rsidRPr="00713BC9">
        <w:rPr>
          <w:color w:val="000000"/>
        </w:rPr>
        <w:t xml:space="preserve">The Aleut Corporation is identified in Pub. L. 108–199 as a business incorporated pursuant to the Alaska Native Claims Settlement Act (43 U.S.C. 1601 </w:t>
      </w:r>
      <w:r w:rsidRPr="00713BC9">
        <w:rPr>
          <w:i/>
          <w:color w:val="000000"/>
        </w:rPr>
        <w:t>et seq</w:t>
      </w:r>
      <w:r w:rsidRPr="00713BC9">
        <w:rPr>
          <w:color w:val="000000"/>
        </w:rPr>
        <w:t xml:space="preserve">.). </w:t>
      </w:r>
    </w:p>
    <w:p w:rsidR="00131514" w:rsidP="00A01F2D" w14:paraId="3459C06E" w14:textId="77777777">
      <w:pPr>
        <w:widowControl/>
      </w:pPr>
    </w:p>
    <w:p w:rsidR="00131514" w:rsidRPr="006223F7" w:rsidP="00A01F2D" w14:paraId="1B9FDFE3" w14:textId="365D00BE">
      <w:pPr>
        <w:widowControl/>
        <w:rPr>
          <w:iCs/>
          <w:color w:val="000000"/>
          <w:shd w:val="clear" w:color="auto" w:fill="FFFFFF"/>
        </w:rPr>
      </w:pPr>
      <w:r>
        <w:rPr>
          <w:iCs/>
          <w:color w:val="000000"/>
          <w:shd w:val="clear" w:color="auto" w:fill="FFFFFF"/>
        </w:rPr>
        <w:t xml:space="preserve">Federal regulations at </w:t>
      </w:r>
      <w:r w:rsidRPr="00415B47" w:rsidR="00415B47">
        <w:rPr>
          <w:iCs/>
          <w:shd w:val="clear" w:color="auto" w:fill="FFFFFF"/>
        </w:rPr>
        <w:t>50 CFR 679.4(m)</w:t>
      </w:r>
      <w:r>
        <w:rPr>
          <w:iCs/>
          <w:color w:val="000000"/>
          <w:shd w:val="clear" w:color="auto" w:fill="FFFFFF"/>
        </w:rPr>
        <w:t xml:space="preserve"> authorize h</w:t>
      </w:r>
      <w:r w:rsidRPr="006223F7">
        <w:rPr>
          <w:iCs/>
          <w:color w:val="000000"/>
          <w:shd w:val="clear" w:color="auto" w:fill="FFFFFF"/>
        </w:rPr>
        <w:t>arvesting pollock in the AI directed pollock fishery and processing pollock taken in the</w:t>
      </w:r>
      <w:r>
        <w:rPr>
          <w:iCs/>
          <w:color w:val="000000"/>
          <w:shd w:val="clear" w:color="auto" w:fill="FFFFFF"/>
        </w:rPr>
        <w:t xml:space="preserve"> AI directed pollock fishery </w:t>
      </w:r>
      <w:r w:rsidRPr="006223F7">
        <w:rPr>
          <w:iCs/>
          <w:color w:val="000000"/>
          <w:shd w:val="clear" w:color="auto" w:fill="FFFFFF"/>
        </w:rPr>
        <w:t xml:space="preserve">only for those harvesters and processors that are selected by </w:t>
      </w:r>
      <w:r>
        <w:rPr>
          <w:iCs/>
          <w:color w:val="000000"/>
          <w:shd w:val="clear" w:color="auto" w:fill="FFFFFF"/>
        </w:rPr>
        <w:t>The</w:t>
      </w:r>
      <w:r w:rsidRPr="006223F7">
        <w:rPr>
          <w:iCs/>
          <w:color w:val="000000"/>
          <w:shd w:val="clear" w:color="auto" w:fill="FFFFFF"/>
        </w:rPr>
        <w:t xml:space="preserve"> Aleut Corporation and approved by the Regional Administrator.</w:t>
      </w:r>
      <w:r>
        <w:rPr>
          <w:rStyle w:val="FootnoteReference"/>
          <w:iCs/>
          <w:color w:val="000000"/>
          <w:shd w:val="clear" w:color="auto" w:fill="FFFFFF"/>
        </w:rPr>
        <w:footnoteReference w:id="4"/>
      </w:r>
      <w:r>
        <w:rPr>
          <w:iCs/>
          <w:color w:val="000000"/>
          <w:shd w:val="clear" w:color="auto" w:fill="FFFFFF"/>
        </w:rPr>
        <w:t xml:space="preserve"> </w:t>
      </w:r>
      <w:r w:rsidRPr="003D397F">
        <w:rPr>
          <w:iCs/>
          <w:color w:val="000000"/>
          <w:shd w:val="clear" w:color="auto" w:fill="FFFFFF"/>
        </w:rPr>
        <w:t xml:space="preserve">The Aleut Corporation is required at </w:t>
      </w:r>
      <w:r w:rsidRPr="00415B47" w:rsidR="00415B47">
        <w:rPr>
          <w:iCs/>
          <w:shd w:val="clear" w:color="auto" w:fill="FFFFFF"/>
        </w:rPr>
        <w:t>§ 679.4(m</w:t>
      </w:r>
      <w:r w:rsidRPr="00415B47" w:rsidR="00415B47">
        <w:rPr>
          <w:iCs/>
          <w:shd w:val="clear" w:color="auto" w:fill="FFFFFF"/>
        </w:rPr>
        <w:t>)(</w:t>
      </w:r>
      <w:r w:rsidRPr="00415B47" w:rsidR="00415B47">
        <w:rPr>
          <w:iCs/>
          <w:shd w:val="clear" w:color="auto" w:fill="FFFFFF"/>
        </w:rPr>
        <w:t>2)</w:t>
      </w:r>
      <w:r w:rsidRPr="003D397F">
        <w:rPr>
          <w:iCs/>
          <w:color w:val="000000"/>
          <w:shd w:val="clear" w:color="auto" w:fill="FFFFFF"/>
        </w:rPr>
        <w:t xml:space="preserve"> to provide its selected harvesters and processors to NMFS for approval.</w:t>
      </w:r>
      <w:r w:rsidRPr="00D56D20" w:rsidR="00D56D20">
        <w:t xml:space="preserve"> </w:t>
      </w:r>
      <w:r w:rsidR="00D56D20">
        <w:rPr>
          <w:iCs/>
          <w:color w:val="000000"/>
          <w:shd w:val="clear" w:color="auto" w:fill="FFFFFF"/>
        </w:rPr>
        <w:t>T</w:t>
      </w:r>
      <w:r w:rsidRPr="00D56D20" w:rsidR="00D56D20">
        <w:rPr>
          <w:iCs/>
          <w:color w:val="000000"/>
          <w:shd w:val="clear" w:color="auto" w:fill="FFFFFF"/>
        </w:rPr>
        <w:t xml:space="preserve">his information </w:t>
      </w:r>
      <w:r w:rsidR="00D56D20">
        <w:rPr>
          <w:iCs/>
          <w:color w:val="000000"/>
          <w:shd w:val="clear" w:color="auto" w:fill="FFFFFF"/>
        </w:rPr>
        <w:t xml:space="preserve">is necessary </w:t>
      </w:r>
      <w:r w:rsidR="006263CF">
        <w:rPr>
          <w:iCs/>
          <w:color w:val="000000"/>
          <w:shd w:val="clear" w:color="auto" w:fill="FFFFFF"/>
        </w:rPr>
        <w:t xml:space="preserve">for NMFS </w:t>
      </w:r>
      <w:r w:rsidRPr="00D56D20" w:rsidR="00D56D20">
        <w:rPr>
          <w:iCs/>
          <w:color w:val="000000"/>
          <w:shd w:val="clear" w:color="auto" w:fill="FFFFFF"/>
        </w:rPr>
        <w:t xml:space="preserve">to manage the AI pollock fishery. Without this information, NMFS would not know the participants selected by The Aleut Corporation and could not determine harvest rates, which may result in allocations </w:t>
      </w:r>
      <w:r w:rsidRPr="00D56D20" w:rsidR="00D56D20">
        <w:rPr>
          <w:iCs/>
          <w:color w:val="000000"/>
          <w:shd w:val="clear" w:color="auto" w:fill="FFFFFF"/>
        </w:rPr>
        <w:t>being exceeded</w:t>
      </w:r>
      <w:r w:rsidRPr="00D56D20" w:rsidR="00D56D20">
        <w:rPr>
          <w:iCs/>
          <w:color w:val="000000"/>
          <w:shd w:val="clear" w:color="auto" w:fill="FFFFFF"/>
        </w:rPr>
        <w:t>.</w:t>
      </w:r>
    </w:p>
    <w:p w:rsidR="00CB1D8F" w:rsidP="00A01F2D" w14:paraId="4A551B3E" w14:textId="77777777">
      <w:pPr>
        <w:widowControl/>
      </w:pPr>
    </w:p>
    <w:p w:rsidR="00CB1D8F" w:rsidP="00A01F2D" w14:paraId="550567BA" w14:textId="03F79B79">
      <w:pPr>
        <w:widowControl/>
      </w:pPr>
      <w:r w:rsidRPr="00713BC9">
        <w:t xml:space="preserve">More information on the AI pollock fishery </w:t>
      </w:r>
      <w:r>
        <w:t>is provided</w:t>
      </w:r>
      <w:r>
        <w:t xml:space="preserve"> on</w:t>
      </w:r>
      <w:r w:rsidRPr="00DA6413">
        <w:t xml:space="preserve"> the </w:t>
      </w:r>
      <w:r w:rsidRPr="00713BC9">
        <w:t>NMFS Alaska Region</w:t>
      </w:r>
      <w:r>
        <w:t xml:space="preserve"> website </w:t>
      </w:r>
      <w:r w:rsidRPr="00CB1D8F">
        <w:t xml:space="preserve">at </w:t>
      </w:r>
      <w:hyperlink r:id="rId7" w:history="1">
        <w:r w:rsidRPr="00415B47">
          <w:rPr>
            <w:color w:val="0000FF"/>
            <w:u w:val="single"/>
          </w:rPr>
          <w:t>https://www.fisheries.noaa.gov/alaska/sustainable-fisheries/aleutian-islands-pollock-fishery-alaska</w:t>
        </w:r>
      </w:hyperlink>
      <w:r w:rsidRPr="00713BC9">
        <w:t>.</w:t>
      </w:r>
    </w:p>
    <w:p w:rsidR="006A210D" w:rsidRPr="00713BC9" w:rsidP="00A01F2D" w14:paraId="7435EC51" w14:textId="77777777">
      <w:pPr>
        <w:widowControl/>
      </w:pPr>
    </w:p>
    <w:p w:rsidR="00F72D0D" w:rsidP="00A01F2D" w14:paraId="3E0AA099" w14:textId="77777777">
      <w:pPr>
        <w:pStyle w:val="Heading1"/>
        <w:widowControl/>
        <w:numPr>
          <w:ilvl w:val="0"/>
          <w:numId w:val="4"/>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144CBC" w:rsidP="00A01F2D" w14:paraId="419929B5" w14:textId="45AE4154">
      <w:pPr>
        <w:widowControl/>
        <w:rPr>
          <w:b/>
        </w:rPr>
      </w:pPr>
    </w:p>
    <w:p w:rsidR="00D56D20" w:rsidP="00A01F2D" w14:paraId="1C3C2D5B" w14:textId="65EAC9FD">
      <w:pPr>
        <w:widowControl/>
      </w:pPr>
      <w:r w:rsidRPr="00D56D20">
        <w:t xml:space="preserve">The purpose of </w:t>
      </w:r>
      <w:r w:rsidR="00B90719">
        <w:t xml:space="preserve">the </w:t>
      </w:r>
      <w:r w:rsidRPr="00B90719" w:rsidR="00B90719">
        <w:t xml:space="preserve">AI </w:t>
      </w:r>
      <w:r w:rsidRPr="00B90719" w:rsidR="00B90719">
        <w:t>pollock fishery participant letter</w:t>
      </w:r>
      <w:r w:rsidRPr="00B90719" w:rsidR="00B90719">
        <w:t xml:space="preserve"> </w:t>
      </w:r>
      <w:r w:rsidRPr="00D56D20">
        <w:t xml:space="preserve">is for NMFS to obtain the list of vessels and processors selected by The Aleut Corporation to harvest and process its annual AI pollock allocation. </w:t>
      </w:r>
      <w:r w:rsidRPr="00D56D20">
        <w:t>NMFS uses this information to manage the AI pollock fishery</w:t>
      </w:r>
      <w:r>
        <w:t xml:space="preserve"> and will continue this use of the information</w:t>
      </w:r>
      <w:r w:rsidRPr="00D56D20">
        <w:t>.</w:t>
      </w:r>
      <w:r w:rsidRPr="00D56D20">
        <w:t xml:space="preserve"> Without this information, NMFS would not know the participants selected by The Aleut Corporation </w:t>
      </w:r>
      <w:r w:rsidR="00A65765">
        <w:t xml:space="preserve">for the AI directed pollock fishery </w:t>
      </w:r>
      <w:r w:rsidRPr="00D56D20">
        <w:t xml:space="preserve">and could not determine harvest rates, which may result in allocations </w:t>
      </w:r>
      <w:r w:rsidRPr="00D56D20">
        <w:t>being exceeded</w:t>
      </w:r>
      <w:r w:rsidRPr="00D56D20">
        <w:t>.</w:t>
      </w:r>
      <w:r w:rsidR="00EB734C">
        <w:t xml:space="preserve"> </w:t>
      </w:r>
      <w:r w:rsidR="005F4E9E">
        <w:t xml:space="preserve">Information from this collection </w:t>
      </w:r>
      <w:r w:rsidR="005F4E9E">
        <w:t>is shared</w:t>
      </w:r>
      <w:r w:rsidR="005F4E9E">
        <w:t xml:space="preserve"> outside the Federal Government with the general public and fishery management partners. </w:t>
      </w:r>
      <w:r w:rsidR="00EB734C">
        <w:t xml:space="preserve">Regulations for this letter are </w:t>
      </w:r>
      <w:r w:rsidRPr="00EB734C" w:rsidR="00EB734C">
        <w:t>at 50 CFR 679.4(m).</w:t>
      </w:r>
    </w:p>
    <w:p w:rsidR="00D56D20" w:rsidP="00A01F2D" w14:paraId="26CA6964" w14:textId="77777777">
      <w:pPr>
        <w:widowControl/>
      </w:pPr>
    </w:p>
    <w:p w:rsidR="00D56D20" w:rsidP="00A01F2D" w14:paraId="73651301" w14:textId="31F9F98B">
      <w:pPr>
        <w:widowControl/>
      </w:pPr>
      <w:r>
        <w:t xml:space="preserve">No changes </w:t>
      </w:r>
      <w:r>
        <w:t>have been made</w:t>
      </w:r>
      <w:r>
        <w:t xml:space="preserve"> to this collection since it was last extended in 2021. During the 2021 extension, the </w:t>
      </w:r>
      <w:r>
        <w:t xml:space="preserve">supporting statement was </w:t>
      </w:r>
      <w:r>
        <w:t xml:space="preserve">revised </w:t>
      </w:r>
      <w:r>
        <w:t xml:space="preserve">to show that the information </w:t>
      </w:r>
      <w:r>
        <w:t>may</w:t>
      </w:r>
      <w:r>
        <w:t xml:space="preserve"> be submitted electronically because there is no regulatory requirement </w:t>
      </w:r>
      <w:r w:rsidR="00A65765">
        <w:t xml:space="preserve">requiring </w:t>
      </w:r>
      <w:r>
        <w:t xml:space="preserve">an original signature and no reason an original signature is needed. </w:t>
      </w:r>
    </w:p>
    <w:p w:rsidR="00131514" w:rsidRPr="00713BC9" w:rsidP="00A01F2D" w14:paraId="6E0E4D16" w14:textId="77777777">
      <w:pPr>
        <w:widowControl/>
      </w:pPr>
    </w:p>
    <w:p w:rsidR="00996716" w:rsidP="00A01F2D" w14:paraId="40496961" w14:textId="5C6DD048">
      <w:pPr>
        <w:widowControl/>
      </w:pPr>
      <w:r>
        <w:t xml:space="preserve">There is no form for this collection. The information </w:t>
      </w:r>
      <w:r>
        <w:t>may be submitted</w:t>
      </w:r>
      <w:r>
        <w:t xml:space="preserve"> by mail, delivery, email, or fax. The Aleut Corporation has submitted this letter by email. </w:t>
      </w:r>
    </w:p>
    <w:p w:rsidR="00996716" w:rsidP="00A01F2D" w14:paraId="37019925" w14:textId="77777777">
      <w:pPr>
        <w:widowControl/>
      </w:pPr>
    </w:p>
    <w:p w:rsidR="00B226AD" w:rsidP="00A01F2D" w14:paraId="6A37F928" w14:textId="30277727">
      <w:pPr>
        <w:widowControl/>
        <w:pBdr>
          <w:top w:val="nil"/>
          <w:left w:val="nil"/>
          <w:bottom w:val="nil"/>
          <w:right w:val="nil"/>
          <w:between w:val="nil"/>
        </w:pBdr>
        <w:tabs>
          <w:tab w:val="left" w:pos="360"/>
        </w:tabs>
        <w:rPr>
          <w:color w:val="000000"/>
        </w:rPr>
      </w:pPr>
      <w:r>
        <w:t>A</w:t>
      </w:r>
      <w:r w:rsidRPr="00713BC9">
        <w:t xml:space="preserve"> representative of </w:t>
      </w:r>
      <w:r>
        <w:t>The</w:t>
      </w:r>
      <w:r w:rsidRPr="00713BC9">
        <w:t xml:space="preserve"> Aleut Corporation </w:t>
      </w:r>
      <w:r>
        <w:t xml:space="preserve">submits the </w:t>
      </w:r>
      <w:r w:rsidR="00D56D20">
        <w:t xml:space="preserve">AI </w:t>
      </w:r>
      <w:r w:rsidR="00D56D20">
        <w:t xml:space="preserve">pollock fishery </w:t>
      </w:r>
      <w:r>
        <w:t>participant</w:t>
      </w:r>
      <w:r w:rsidRPr="00713BC9">
        <w:t xml:space="preserve"> letter</w:t>
      </w:r>
      <w:r w:rsidRPr="00713BC9">
        <w:t xml:space="preserve"> to NMFS</w:t>
      </w:r>
      <w:r>
        <w:t>.</w:t>
      </w:r>
      <w:r w:rsidRPr="00713BC9">
        <w:t xml:space="preserve"> </w:t>
      </w:r>
      <w:r w:rsidRPr="00713BC9" w:rsidR="00D56D20">
        <w:t xml:space="preserve">The </w:t>
      </w:r>
      <w:r w:rsidR="00996716">
        <w:t>information</w:t>
      </w:r>
      <w:r w:rsidRPr="00B86059" w:rsidR="00D56D20">
        <w:t xml:space="preserve"> </w:t>
      </w:r>
      <w:r w:rsidRPr="00713BC9" w:rsidR="00D56D20">
        <w:t xml:space="preserve">may be </w:t>
      </w:r>
      <w:r w:rsidR="00D56D20">
        <w:t>submitted</w:t>
      </w:r>
      <w:r w:rsidRPr="00713BC9" w:rsidR="00D56D20">
        <w:t xml:space="preserve"> at any time during the fishing year, but must be submitted </w:t>
      </w:r>
      <w:r w:rsidR="00D56D20">
        <w:t xml:space="preserve">each year </w:t>
      </w:r>
      <w:r w:rsidRPr="00713BC9" w:rsidR="00D56D20">
        <w:t xml:space="preserve">at least 14 days before harvesting pollock or processing pollock </w:t>
      </w:r>
      <w:r w:rsidR="00EB734C">
        <w:t xml:space="preserve">begins </w:t>
      </w:r>
      <w:r w:rsidRPr="00713BC9" w:rsidR="00D56D20">
        <w:t>in the AI directed pollock fishery.</w:t>
      </w:r>
      <w:r w:rsidR="00144CBC">
        <w:t xml:space="preserve"> </w:t>
      </w:r>
      <w:r w:rsidR="00996716">
        <w:t xml:space="preserve">The Aleut Corporation does not submit information </w:t>
      </w:r>
      <w:r w:rsidRPr="00EF1ADB" w:rsidR="00EF1ADB">
        <w:t xml:space="preserve">in years that </w:t>
      </w:r>
      <w:r w:rsidR="00996716">
        <w:t>it</w:t>
      </w:r>
      <w:r w:rsidRPr="00EF1ADB" w:rsidR="00EF1ADB">
        <w:t xml:space="preserve"> will not be harvesting or processing pollock in the AI directed fishery. </w:t>
      </w:r>
      <w:r>
        <w:rPr>
          <w:color w:val="000000"/>
        </w:rPr>
        <w:t xml:space="preserve">The Aleut Corporation has not submitted a list of participants since 2020 because no directed fishing for AI pollock allocated to The Aleut Corporation has occurred since the </w:t>
      </w:r>
      <w:r>
        <w:rPr>
          <w:color w:val="000000"/>
        </w:rPr>
        <w:t>2020 fishing</w:t>
      </w:r>
      <w:r>
        <w:rPr>
          <w:color w:val="000000"/>
        </w:rPr>
        <w:t xml:space="preserve"> year.  </w:t>
      </w:r>
    </w:p>
    <w:p w:rsidR="00144CBC" w:rsidP="00A01F2D" w14:paraId="7D08C6C9" w14:textId="6D3509EC">
      <w:pPr>
        <w:widowControl/>
      </w:pPr>
    </w:p>
    <w:p w:rsidR="00131514" w:rsidRPr="00713BC9" w:rsidP="00A01F2D" w14:paraId="2B6A631B" w14:textId="04A234A8">
      <w:pPr>
        <w:keepNext/>
        <w:widowControl/>
      </w:pPr>
      <w:r>
        <w:t>The participant letter lists the</w:t>
      </w:r>
      <w:r w:rsidRPr="00713BC9">
        <w:t xml:space="preserve"> </w:t>
      </w:r>
      <w:r>
        <w:t xml:space="preserve">vessels and processors selected by The Aleut Corporation </w:t>
      </w:r>
      <w:r w:rsidRPr="00713BC9">
        <w:t xml:space="preserve">for participation in the AI directed pollock fishery. </w:t>
      </w:r>
      <w:r w:rsidRPr="00713BC9">
        <w:t xml:space="preserve">The </w:t>
      </w:r>
      <w:r w:rsidRPr="00B86059">
        <w:t xml:space="preserve">participant letter </w:t>
      </w:r>
      <w:r w:rsidRPr="00713BC9">
        <w:t>must contain the following information</w:t>
      </w:r>
      <w:r w:rsidR="004204D0">
        <w:t>, which is listed in 50</w:t>
      </w:r>
      <w:r w:rsidR="004204D0">
        <w:rPr>
          <w:iCs/>
          <w:shd w:val="clear" w:color="auto" w:fill="FFFFFF"/>
        </w:rPr>
        <w:t xml:space="preserve"> CFR</w:t>
      </w:r>
      <w:r w:rsidRPr="00EB734C">
        <w:rPr>
          <w:iCs/>
          <w:shd w:val="clear" w:color="auto" w:fill="FFFFFF"/>
        </w:rPr>
        <w:t xml:space="preserve"> 679.4(m</w:t>
      </w:r>
      <w:r w:rsidRPr="00EB734C">
        <w:rPr>
          <w:iCs/>
          <w:shd w:val="clear" w:color="auto" w:fill="FFFFFF"/>
        </w:rPr>
        <w:t>)(</w:t>
      </w:r>
      <w:r w:rsidRPr="00EB734C">
        <w:rPr>
          <w:iCs/>
          <w:shd w:val="clear" w:color="auto" w:fill="FFFFFF"/>
        </w:rPr>
        <w:t>2)</w:t>
      </w:r>
      <w:r w:rsidRPr="00D71BEE">
        <w:t>:</w:t>
      </w:r>
      <w:r>
        <w:rPr>
          <w:rStyle w:val="FootnoteReference"/>
        </w:rPr>
        <w:footnoteReference w:id="5"/>
      </w:r>
    </w:p>
    <w:p w:rsidR="00131514" w:rsidRPr="00713BC9" w:rsidP="00A01F2D" w14:paraId="2B68D9A7" w14:textId="77777777">
      <w:pPr>
        <w:widowControl/>
        <w:numPr>
          <w:ilvl w:val="0"/>
          <w:numId w:val="13"/>
        </w:numPr>
        <w:contextualSpacing/>
      </w:pPr>
      <w:r w:rsidRPr="00713BC9">
        <w:t>names of the vessels and processors selected for participation;</w:t>
      </w:r>
    </w:p>
    <w:p w:rsidR="00131514" w:rsidRPr="00713BC9" w:rsidP="00A01F2D" w14:paraId="7072A326" w14:textId="77777777">
      <w:pPr>
        <w:widowControl/>
        <w:numPr>
          <w:ilvl w:val="0"/>
          <w:numId w:val="13"/>
        </w:numPr>
        <w:contextualSpacing/>
      </w:pPr>
      <w:r w:rsidRPr="00713BC9">
        <w:t>Federal fisheries permit numbers or Federal processor permit numbers of the participants; and</w:t>
      </w:r>
    </w:p>
    <w:p w:rsidR="00131514" w:rsidRPr="00713BC9" w:rsidP="00A01F2D" w14:paraId="78E9CD95" w14:textId="5DCACE65">
      <w:pPr>
        <w:widowControl/>
        <w:numPr>
          <w:ilvl w:val="0"/>
          <w:numId w:val="13"/>
        </w:numPr>
        <w:contextualSpacing/>
      </w:pPr>
      <w:r w:rsidRPr="00713BC9">
        <w:t>fishing</w:t>
      </w:r>
      <w:r w:rsidRPr="00713BC9">
        <w:t xml:space="preserve"> year for which </w:t>
      </w:r>
      <w:r w:rsidR="004204D0">
        <w:t xml:space="preserve">the </w:t>
      </w:r>
      <w:r w:rsidRPr="00713BC9">
        <w:t>approval</w:t>
      </w:r>
      <w:r w:rsidR="004204D0">
        <w:t xml:space="preserve"> to participate</w:t>
      </w:r>
      <w:r w:rsidRPr="00713BC9">
        <w:t xml:space="preserve"> is requested.</w:t>
      </w:r>
    </w:p>
    <w:p w:rsidR="00131514" w:rsidRPr="00713BC9" w:rsidP="00A01F2D" w14:paraId="3C80B2CF" w14:textId="77777777">
      <w:pPr>
        <w:widowControl/>
      </w:pPr>
    </w:p>
    <w:p w:rsidR="00131514" w:rsidRPr="00713BC9" w:rsidP="00A01F2D" w14:paraId="30587569" w14:textId="3B121ADC">
      <w:pPr>
        <w:widowControl/>
      </w:pPr>
      <w:r w:rsidRPr="00713BC9">
        <w:t xml:space="preserve">NMFS reviews this list and approves or disapproves each participant. NMFS provides </w:t>
      </w:r>
      <w:r>
        <w:t>The</w:t>
      </w:r>
      <w:r w:rsidRPr="00713BC9">
        <w:t xml:space="preserve"> Aleut Corporation the list of approved participants and the date when participation in the AI directed pollock fishery may </w:t>
      </w:r>
      <w:r w:rsidR="00EB734C">
        <w:t>begin</w:t>
      </w:r>
      <w:r w:rsidRPr="00713BC9">
        <w:t xml:space="preserve">. </w:t>
      </w:r>
    </w:p>
    <w:p w:rsidR="00131514" w:rsidRPr="00713BC9" w:rsidP="00A01F2D" w14:paraId="4C9CF830" w14:textId="77777777">
      <w:pPr>
        <w:widowControl/>
      </w:pPr>
    </w:p>
    <w:p w:rsidR="00EB734C" w:rsidP="00A01F2D" w14:paraId="1751941C" w14:textId="2C61772A">
      <w:pPr>
        <w:widowControl/>
      </w:pPr>
      <w:r w:rsidRPr="00713BC9">
        <w:t xml:space="preserve">The Aleut Corporation provides each approved participant </w:t>
      </w:r>
      <w:r>
        <w:t xml:space="preserve">with </w:t>
      </w:r>
      <w:r w:rsidRPr="00713BC9">
        <w:t>a copy of NMFS’ approval letter before harvesting or processing occurs</w:t>
      </w:r>
      <w:r>
        <w:t xml:space="preserve"> (</w:t>
      </w:r>
      <w:r w:rsidRPr="00D71BEE" w:rsidR="00B90719">
        <w:t>§ 679.4(m</w:t>
      </w:r>
      <w:r w:rsidRPr="00D71BEE" w:rsidR="00B90719">
        <w:t>)(</w:t>
      </w:r>
      <w:r w:rsidRPr="00D71BEE" w:rsidR="00B90719">
        <w:t>3)(iii)</w:t>
      </w:r>
      <w:r>
        <w:t>)</w:t>
      </w:r>
      <w:r w:rsidRPr="00713BC9">
        <w:t>.</w:t>
      </w:r>
      <w:r>
        <w:rPr>
          <w:rStyle w:val="FootnoteReference"/>
        </w:rPr>
        <w:footnoteReference w:id="6"/>
      </w:r>
      <w:r w:rsidRPr="00713BC9">
        <w:t xml:space="preserve"> A copy of this letter must be on board </w:t>
      </w:r>
      <w:r>
        <w:t xml:space="preserve">each </w:t>
      </w:r>
      <w:r w:rsidRPr="00713BC9">
        <w:t xml:space="preserve">vessel </w:t>
      </w:r>
      <w:r>
        <w:t xml:space="preserve">or </w:t>
      </w:r>
      <w:r w:rsidRPr="00713BC9">
        <w:t xml:space="preserve">retained on site at </w:t>
      </w:r>
      <w:r>
        <w:t>each</w:t>
      </w:r>
      <w:r w:rsidRPr="00713BC9">
        <w:t xml:space="preserve"> </w:t>
      </w:r>
      <w:r w:rsidRPr="00456DAC">
        <w:t>shoreside processor or stationary floating processor</w:t>
      </w:r>
      <w:r>
        <w:t xml:space="preserve"> </w:t>
      </w:r>
      <w:r w:rsidRPr="00713BC9">
        <w:t>at all times, and must be presented for inspection upon the request of any authorized officer</w:t>
      </w:r>
      <w:r>
        <w:t xml:space="preserve"> (</w:t>
      </w:r>
      <w:r w:rsidRPr="00D71BEE" w:rsidR="00B90719">
        <w:t>§ 679.4(m)(3)(iv)</w:t>
      </w:r>
      <w:r>
        <w:t>)</w:t>
      </w:r>
      <w:r w:rsidRPr="00713BC9">
        <w:t>.</w:t>
      </w:r>
      <w:r>
        <w:rPr>
          <w:rStyle w:val="FootnoteReference"/>
        </w:rPr>
        <w:footnoteReference w:id="7"/>
      </w:r>
    </w:p>
    <w:p w:rsidR="00131514" w:rsidRPr="00713BC9" w:rsidP="00A01F2D" w14:paraId="3CEA285F" w14:textId="1A645D07">
      <w:pPr>
        <w:widowControl/>
      </w:pPr>
      <w:r w:rsidRPr="00713BC9">
        <w:t xml:space="preserve"> </w:t>
      </w:r>
    </w:p>
    <w:p w:rsidR="00F72D0D" w:rsidP="00A01F2D" w14:paraId="71D8FF5D"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1514" w:rsidP="00A01F2D" w14:paraId="2FB36492" w14:textId="2CF2DDAD">
      <w:pPr>
        <w:widowControl/>
        <w:rPr>
          <w:b/>
        </w:rPr>
      </w:pPr>
    </w:p>
    <w:p w:rsidR="00131514" w:rsidRPr="00713BC9" w:rsidP="00A01F2D" w14:paraId="45291144" w14:textId="65D3F52C">
      <w:pPr>
        <w:widowControl/>
      </w:pPr>
      <w:r>
        <w:t>The Aleut Corporation submit</w:t>
      </w:r>
      <w:r w:rsidR="00D71BEE">
        <w:t>s</w:t>
      </w:r>
      <w:r>
        <w:t xml:space="preserve"> </w:t>
      </w:r>
      <w:r w:rsidR="00EA4D03">
        <w:t>the information</w:t>
      </w:r>
      <w:r>
        <w:t xml:space="preserve"> to NMFS </w:t>
      </w:r>
      <w:r w:rsidR="00D71BEE">
        <w:t xml:space="preserve">electronically </w:t>
      </w:r>
      <w:r>
        <w:t xml:space="preserve">by email. </w:t>
      </w:r>
      <w:r w:rsidRPr="00713BC9">
        <w:t xml:space="preserve">The Aleut Corporation distributes copies of NMFS’ approval letter to participating vessels and processors as proof of approval to participate in the AI pollock fishery. </w:t>
      </w:r>
      <w:r w:rsidR="00EA4D03">
        <w:t>The c</w:t>
      </w:r>
      <w:r w:rsidRPr="00713BC9">
        <w:t>opies</w:t>
      </w:r>
      <w:r>
        <w:t xml:space="preserve"> </w:t>
      </w:r>
      <w:r w:rsidRPr="00713BC9">
        <w:t xml:space="preserve">may be </w:t>
      </w:r>
      <w:r w:rsidR="00EA4D03">
        <w:t>distributed</w:t>
      </w:r>
      <w:r w:rsidRPr="00713BC9" w:rsidR="00EA4D03">
        <w:t xml:space="preserve"> </w:t>
      </w:r>
      <w:r w:rsidRPr="00713BC9">
        <w:t>to the participants by email</w:t>
      </w:r>
      <w:r w:rsidR="00EA4D03">
        <w:t>,</w:t>
      </w:r>
      <w:r w:rsidRPr="00713BC9">
        <w:t xml:space="preserve"> but must be printed by the participants and available in hard copy format for inspection on the request of any authorized officer.</w:t>
      </w:r>
    </w:p>
    <w:p w:rsidR="00131514" w:rsidP="00A01F2D" w14:paraId="2ECAFE4F" w14:textId="77777777">
      <w:pPr>
        <w:widowControl/>
        <w:rPr>
          <w:b/>
        </w:rPr>
      </w:pPr>
    </w:p>
    <w:p w:rsidR="00F72D0D" w:rsidP="00A01F2D" w14:paraId="39A63925"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31514" w:rsidP="00A01F2D" w14:paraId="2E9F3801" w14:textId="77777777">
      <w:pPr>
        <w:widowControl/>
        <w:pBdr>
          <w:top w:val="nil"/>
          <w:left w:val="nil"/>
          <w:bottom w:val="nil"/>
          <w:right w:val="nil"/>
          <w:between w:val="nil"/>
        </w:pBdr>
      </w:pPr>
    </w:p>
    <w:p w:rsidR="00131514" w:rsidRPr="00683556" w:rsidP="00A01F2D" w14:paraId="38192E6B" w14:textId="0122C9AA">
      <w:pPr>
        <w:widowControl/>
        <w:pBdr>
          <w:top w:val="nil"/>
          <w:left w:val="nil"/>
          <w:bottom w:val="nil"/>
          <w:right w:val="nil"/>
          <w:between w:val="nil"/>
        </w:pBdr>
      </w:pPr>
      <w:r w:rsidRPr="00683556">
        <w:t>None of the information collected as part of this information collection duplicates other collections. This information collection is part of a specialized and technical program that is not like any other.</w:t>
      </w:r>
    </w:p>
    <w:p w:rsidR="00B62FE3" w:rsidP="00A01F2D" w14:paraId="622D9842" w14:textId="77777777">
      <w:pPr>
        <w:widowControl/>
        <w:rPr>
          <w:rFonts w:eastAsia="Calibri"/>
        </w:rPr>
      </w:pPr>
    </w:p>
    <w:p w:rsidR="00B62FE3" w:rsidRPr="00B62FE3" w:rsidP="00A01F2D" w14:paraId="71C55850" w14:textId="2B1510AD">
      <w:pPr>
        <w:widowControl/>
        <w:rPr>
          <w:rFonts w:eastAsia="Calibri"/>
        </w:rPr>
      </w:pPr>
      <w:r w:rsidRPr="00B62FE3">
        <w:rPr>
          <w:rFonts w:eastAsia="Calibri"/>
        </w:rPr>
        <w:t xml:space="preserve">In general, Alaska Region information collections </w:t>
      </w:r>
      <w:r w:rsidRPr="00B62FE3">
        <w:rPr>
          <w:rFonts w:eastAsia="Calibri"/>
        </w:rPr>
        <w:t>are prepared and reviewed by staff familiar with all of the information collection requirements for the region</w:t>
      </w:r>
      <w:r w:rsidRPr="00B62FE3">
        <w:rPr>
          <w:rFonts w:eastAsia="Calibri"/>
        </w:rPr>
        <w:t>.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131514" w:rsidP="00A01F2D" w14:paraId="72B2D7EF" w14:textId="77777777">
      <w:pPr>
        <w:widowControl/>
        <w:pBdr>
          <w:top w:val="nil"/>
          <w:left w:val="nil"/>
          <w:bottom w:val="nil"/>
          <w:right w:val="nil"/>
          <w:between w:val="nil"/>
        </w:pBdr>
        <w:rPr>
          <w:color w:val="1F497D"/>
        </w:rPr>
      </w:pPr>
    </w:p>
    <w:p w:rsidR="00F72D0D" w:rsidP="00A01F2D" w14:paraId="2C2E66EB"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E044CA" w:rsidP="00A01F2D" w14:paraId="60B0C5CE" w14:textId="77777777">
      <w:pPr>
        <w:widowControl/>
        <w:pBdr>
          <w:top w:val="nil"/>
          <w:left w:val="nil"/>
          <w:bottom w:val="nil"/>
          <w:right w:val="nil"/>
          <w:between w:val="nil"/>
        </w:pBdr>
      </w:pPr>
    </w:p>
    <w:p w:rsidR="00131514" w:rsidRPr="00683556" w:rsidP="00A01F2D" w14:paraId="63365004" w14:textId="30950A16">
      <w:pPr>
        <w:widowControl/>
        <w:pBdr>
          <w:top w:val="nil"/>
          <w:left w:val="nil"/>
          <w:bottom w:val="nil"/>
          <w:right w:val="nil"/>
          <w:between w:val="nil"/>
        </w:pBdr>
      </w:pPr>
      <w:r>
        <w:t xml:space="preserve">This information collection does not </w:t>
      </w:r>
      <w:r>
        <w:t>impact</w:t>
      </w:r>
      <w:r>
        <w:t xml:space="preserve"> small businesses or other small entities. The Aleut Corporation, which is the sole respondent for this collection, is a large entity under U.S. Small Business Administration criteria. </w:t>
      </w:r>
      <w:r w:rsidRPr="00683556">
        <w:t>NMFS attempts to minimize the burden of this collection</w:t>
      </w:r>
      <w:r>
        <w:t xml:space="preserve"> on The Aleut Corporation</w:t>
      </w:r>
      <w:r w:rsidRPr="00683556">
        <w:t xml:space="preserve"> by collecting only information necessary to manage the AI pollock fishery.</w:t>
      </w:r>
    </w:p>
    <w:p w:rsidR="00131514" w:rsidP="00A01F2D" w14:paraId="52658731" w14:textId="77777777">
      <w:pPr>
        <w:widowControl/>
        <w:pBdr>
          <w:top w:val="nil"/>
          <w:left w:val="nil"/>
          <w:bottom w:val="nil"/>
          <w:right w:val="nil"/>
          <w:between w:val="nil"/>
        </w:pBdr>
        <w:rPr>
          <w:color w:val="000000"/>
        </w:rPr>
      </w:pPr>
    </w:p>
    <w:p w:rsidR="00F72D0D" w:rsidP="00A01F2D" w14:paraId="28D037AC"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131514" w:rsidP="00A01F2D" w14:paraId="6DADB193" w14:textId="77777777">
      <w:pPr>
        <w:widowControl/>
        <w:pBdr>
          <w:top w:val="nil"/>
          <w:left w:val="nil"/>
          <w:bottom w:val="nil"/>
          <w:right w:val="nil"/>
          <w:between w:val="nil"/>
        </w:pBdr>
      </w:pPr>
    </w:p>
    <w:p w:rsidR="00131514" w:rsidRPr="00683556" w:rsidP="00A01F2D" w14:paraId="62345E02" w14:textId="04473141">
      <w:pPr>
        <w:widowControl/>
        <w:pBdr>
          <w:top w:val="nil"/>
          <w:left w:val="nil"/>
          <w:bottom w:val="nil"/>
          <w:right w:val="nil"/>
          <w:between w:val="nil"/>
        </w:pBdr>
      </w:pPr>
      <w:r>
        <w:t>Federal regulations require The</w:t>
      </w:r>
      <w:r w:rsidRPr="00983350">
        <w:t xml:space="preserve"> Aleut Corporation </w:t>
      </w:r>
      <w:r w:rsidRPr="00983350">
        <w:t xml:space="preserve">to </w:t>
      </w:r>
      <w:r>
        <w:t xml:space="preserve">annually </w:t>
      </w:r>
      <w:r w:rsidRPr="00983350">
        <w:t>provide</w:t>
      </w:r>
      <w:r w:rsidRPr="00983350">
        <w:t xml:space="preserve"> its selected harvesters and processors to NMFS for approval.</w:t>
      </w:r>
      <w:r>
        <w:t xml:space="preserve"> </w:t>
      </w:r>
      <w:r w:rsidRPr="00683556">
        <w:t xml:space="preserve">NMFS would be unable to manage the AI pollock fishery or carry out the mandates of the Magnuson-Stevens Act if this collection </w:t>
      </w:r>
      <w:r w:rsidRPr="00683556">
        <w:t>were not conducted</w:t>
      </w:r>
      <w:r w:rsidRPr="00683556">
        <w:t xml:space="preserve"> or were conducted less frequently. </w:t>
      </w:r>
      <w:r w:rsidR="004D7576">
        <w:t>Without this collection, NMFS would not know t</w:t>
      </w:r>
      <w:r w:rsidRPr="00683556" w:rsidR="004D7576">
        <w:t xml:space="preserve">he </w:t>
      </w:r>
      <w:r w:rsidRPr="00683556">
        <w:t xml:space="preserve">participants selected by </w:t>
      </w:r>
      <w:r>
        <w:t>The</w:t>
      </w:r>
      <w:r w:rsidRPr="00683556">
        <w:t xml:space="preserve"> Aleut Corporation </w:t>
      </w:r>
      <w:r w:rsidR="004D7576">
        <w:t xml:space="preserve">for participation in the AI pollock fishery </w:t>
      </w:r>
      <w:r w:rsidRPr="00683556">
        <w:t xml:space="preserve">and harvest rates could not be determined, which may result in allocations </w:t>
      </w:r>
      <w:r w:rsidRPr="00683556">
        <w:t>being exceeded</w:t>
      </w:r>
      <w:r w:rsidRPr="00683556">
        <w:t>.</w:t>
      </w:r>
    </w:p>
    <w:p w:rsidR="00131514" w:rsidP="00A01F2D" w14:paraId="3B7DDE66" w14:textId="77777777">
      <w:pPr>
        <w:widowControl/>
        <w:pBdr>
          <w:top w:val="nil"/>
          <w:left w:val="nil"/>
          <w:bottom w:val="nil"/>
          <w:right w:val="nil"/>
          <w:between w:val="nil"/>
        </w:pBdr>
        <w:rPr>
          <w:color w:val="000000"/>
        </w:rPr>
      </w:pPr>
    </w:p>
    <w:p w:rsidR="00F72D0D" w:rsidP="00A01F2D" w14:paraId="7DC175CF"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131514" w:rsidP="00A01F2D" w14:paraId="14474E64" w14:textId="010A034B">
      <w:pPr>
        <w:widowControl/>
        <w:pBdr>
          <w:top w:val="nil"/>
          <w:left w:val="nil"/>
          <w:bottom w:val="nil"/>
          <w:right w:val="nil"/>
          <w:between w:val="nil"/>
        </w:pBdr>
        <w:rPr>
          <w:color w:val="2F5496"/>
        </w:rPr>
      </w:pPr>
    </w:p>
    <w:p w:rsidR="007A417B" w:rsidP="00A01F2D" w14:paraId="5C2DABD6" w14:textId="77777777">
      <w:pPr>
        <w:widowControl/>
        <w:pBdr>
          <w:top w:val="nil"/>
          <w:left w:val="nil"/>
          <w:bottom w:val="nil"/>
          <w:right w:val="nil"/>
          <w:between w:val="nil"/>
        </w:pBdr>
      </w:pPr>
      <w:r w:rsidRPr="00B744B6">
        <w:t xml:space="preserve">This collection </w:t>
      </w:r>
      <w:r w:rsidRPr="00B744B6">
        <w:t>is conducted</w:t>
      </w:r>
      <w:r w:rsidRPr="00B744B6">
        <w:t xml:space="preserve"> in a manner that is consistent with OMB guidelines.</w:t>
      </w:r>
    </w:p>
    <w:p w:rsidR="007A417B" w:rsidP="006566C2" w14:paraId="5F261020" w14:textId="77777777">
      <w:pPr>
        <w:pStyle w:val="ListParagraph"/>
        <w:widowControl/>
        <w:numPr>
          <w:ilvl w:val="0"/>
          <w:numId w:val="15"/>
        </w:numPr>
        <w:pBdr>
          <w:top w:val="nil"/>
          <w:left w:val="nil"/>
          <w:bottom w:val="nil"/>
          <w:right w:val="nil"/>
          <w:between w:val="nil"/>
        </w:pBdr>
        <w:spacing w:after="120"/>
      </w:pPr>
      <w:r>
        <w:t>This collection does not require respondents to report information to the agency more often than quarterly.</w:t>
      </w:r>
    </w:p>
    <w:p w:rsidR="007A417B" w:rsidP="006566C2" w14:paraId="52457E3B" w14:textId="77777777">
      <w:pPr>
        <w:pStyle w:val="ListParagraph"/>
        <w:widowControl/>
        <w:numPr>
          <w:ilvl w:val="0"/>
          <w:numId w:val="14"/>
        </w:numPr>
        <w:pBdr>
          <w:top w:val="nil"/>
          <w:left w:val="nil"/>
          <w:bottom w:val="nil"/>
          <w:right w:val="nil"/>
          <w:between w:val="nil"/>
        </w:pBdr>
        <w:spacing w:before="120"/>
      </w:pPr>
      <w:r>
        <w:t>This collection does not require respondents to prepare a written response to a collection of information in fewer than 30 days after receipt of it.</w:t>
      </w:r>
    </w:p>
    <w:p w:rsidR="007A417B" w:rsidP="006566C2" w14:paraId="4F0878C5" w14:textId="77777777">
      <w:pPr>
        <w:pStyle w:val="ListParagraph"/>
        <w:widowControl/>
        <w:numPr>
          <w:ilvl w:val="0"/>
          <w:numId w:val="14"/>
        </w:numPr>
        <w:pBdr>
          <w:top w:val="nil"/>
          <w:left w:val="nil"/>
          <w:bottom w:val="nil"/>
          <w:right w:val="nil"/>
          <w:between w:val="nil"/>
        </w:pBdr>
        <w:spacing w:before="120"/>
      </w:pPr>
      <w:r>
        <w:t>This collection does not require respondents to submit more than an original and two copies of any document.</w:t>
      </w:r>
    </w:p>
    <w:p w:rsidR="007A417B" w:rsidP="006566C2" w14:paraId="130E0785" w14:textId="77777777">
      <w:pPr>
        <w:pStyle w:val="ListParagraph"/>
        <w:widowControl/>
        <w:numPr>
          <w:ilvl w:val="0"/>
          <w:numId w:val="14"/>
        </w:numPr>
        <w:pBdr>
          <w:top w:val="nil"/>
          <w:left w:val="nil"/>
          <w:bottom w:val="nil"/>
          <w:right w:val="nil"/>
          <w:between w:val="nil"/>
        </w:pBdr>
        <w:spacing w:before="120"/>
      </w:pPr>
      <w:r>
        <w:t>This collection does not require respondents to retain records, other than health, medical, government contract, grant-in- aid, or tax records for more than three years.</w:t>
      </w:r>
    </w:p>
    <w:p w:rsidR="007A417B" w:rsidP="006566C2" w14:paraId="1C4326A7" w14:textId="77777777">
      <w:pPr>
        <w:pStyle w:val="ListParagraph"/>
        <w:widowControl/>
        <w:numPr>
          <w:ilvl w:val="0"/>
          <w:numId w:val="14"/>
        </w:numPr>
        <w:pBdr>
          <w:top w:val="nil"/>
          <w:left w:val="nil"/>
          <w:bottom w:val="nil"/>
          <w:right w:val="nil"/>
          <w:between w:val="nil"/>
        </w:pBdr>
        <w:spacing w:before="120"/>
      </w:pPr>
      <w:r>
        <w:t xml:space="preserve">This collection is not in connection with a statistical </w:t>
      </w:r>
      <w:r>
        <w:t>survey, that</w:t>
      </w:r>
      <w:r>
        <w:t xml:space="preserve"> is not designed to produce valid and reliable results that can be generalized to the universe of study.</w:t>
      </w:r>
      <w:r>
        <w:tab/>
      </w:r>
    </w:p>
    <w:p w:rsidR="007A417B" w:rsidP="006566C2" w14:paraId="572E8406" w14:textId="77777777">
      <w:pPr>
        <w:pStyle w:val="ListParagraph"/>
        <w:widowControl/>
        <w:numPr>
          <w:ilvl w:val="0"/>
          <w:numId w:val="14"/>
        </w:numPr>
        <w:pBdr>
          <w:top w:val="nil"/>
          <w:left w:val="nil"/>
          <w:bottom w:val="nil"/>
          <w:right w:val="nil"/>
          <w:between w:val="nil"/>
        </w:pBdr>
        <w:spacing w:before="120"/>
      </w:pPr>
      <w:r>
        <w:t xml:space="preserve">This collection does not require the use of a statistical data classification that </w:t>
      </w:r>
      <w:r>
        <w:t>has not been reviewed and approved by OMB</w:t>
      </w:r>
      <w:r>
        <w:t>.</w:t>
      </w:r>
    </w:p>
    <w:p w:rsidR="007A417B" w:rsidP="006566C2" w14:paraId="2E8BAC3A" w14:textId="77777777">
      <w:pPr>
        <w:pStyle w:val="ListParagraph"/>
        <w:widowControl/>
        <w:numPr>
          <w:ilvl w:val="0"/>
          <w:numId w:val="14"/>
        </w:numPr>
        <w:pBdr>
          <w:top w:val="nil"/>
          <w:left w:val="nil"/>
          <w:bottom w:val="nil"/>
          <w:right w:val="nil"/>
          <w:between w:val="nil"/>
        </w:pBdr>
        <w:spacing w:before="120"/>
      </w:pPr>
      <w:r>
        <w:t xml:space="preserve">This collection does not include a pledge of confidentiality that </w:t>
      </w:r>
      <w:r>
        <w:t>is not supported</w:t>
      </w:r>
      <w: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7A417B" w:rsidP="006566C2" w14:paraId="3F5B02F0" w14:textId="77777777">
      <w:pPr>
        <w:pStyle w:val="ListParagraph"/>
        <w:widowControl/>
        <w:numPr>
          <w:ilvl w:val="0"/>
          <w:numId w:val="14"/>
        </w:numPr>
        <w:pBdr>
          <w:top w:val="nil"/>
          <w:left w:val="nil"/>
          <w:bottom w:val="nil"/>
          <w:right w:val="nil"/>
          <w:between w:val="nil"/>
        </w:pBdr>
        <w:spacing w:before="120"/>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131514" w:rsidP="006566C2" w14:paraId="69C76DE8" w14:textId="77777777">
      <w:pPr>
        <w:widowControl/>
        <w:pBdr>
          <w:top w:val="nil"/>
          <w:left w:val="nil"/>
          <w:bottom w:val="nil"/>
          <w:right w:val="nil"/>
          <w:between w:val="nil"/>
        </w:pBdr>
        <w:rPr>
          <w:color w:val="000000"/>
        </w:rPr>
      </w:pPr>
    </w:p>
    <w:p w:rsidR="00F72D0D" w:rsidP="006566C2" w14:paraId="6A47E70A"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2D0D" w:rsidP="006566C2" w14:paraId="39CFF274" w14:textId="36AC83B0">
      <w:pPr>
        <w:widowControl/>
        <w:pBdr>
          <w:top w:val="nil"/>
          <w:left w:val="nil"/>
          <w:bottom w:val="nil"/>
          <w:right w:val="nil"/>
          <w:between w:val="nil"/>
        </w:pBdr>
        <w:rPr>
          <w:color w:val="000000"/>
        </w:rPr>
      </w:pPr>
    </w:p>
    <w:p w:rsidR="00131514" w:rsidP="006566C2" w14:paraId="1344BEA6" w14:textId="299820DF">
      <w:pPr>
        <w:widowControl/>
        <w:pBdr>
          <w:top w:val="nil"/>
          <w:left w:val="nil"/>
          <w:bottom w:val="nil"/>
          <w:right w:val="nil"/>
          <w:between w:val="nil"/>
        </w:pBdr>
        <w:rPr>
          <w:color w:val="000000"/>
        </w:rPr>
      </w:pPr>
      <w:r w:rsidRPr="00044872">
        <w:t xml:space="preserve">A </w:t>
      </w:r>
      <w:r w:rsidRPr="00044872">
        <w:rPr>
          <w:i/>
        </w:rPr>
        <w:t>Federal Register</w:t>
      </w:r>
      <w:r w:rsidRPr="00044872">
        <w:t xml:space="preserve"> Notice published on </w:t>
      </w:r>
      <w:r w:rsidR="0001269C">
        <w:t>December 5, 2024</w:t>
      </w:r>
      <w:r w:rsidRPr="00044872">
        <w:t xml:space="preserve"> (</w:t>
      </w:r>
      <w:r w:rsidRPr="0001269C" w:rsidR="0001269C">
        <w:t>89 FR 96642</w:t>
      </w:r>
      <w:r>
        <w:t>)</w:t>
      </w:r>
      <w:r w:rsidRPr="00044872">
        <w:t>, that solicited public comments.</w:t>
      </w:r>
      <w:r>
        <w:rPr>
          <w:rStyle w:val="FootnoteReference"/>
        </w:rPr>
        <w:footnoteReference w:id="8"/>
      </w:r>
      <w:r w:rsidRPr="00044872">
        <w:t xml:space="preserve"> In addition to the </w:t>
      </w:r>
      <w:r w:rsidRPr="00044872">
        <w:rPr>
          <w:i/>
        </w:rPr>
        <w:t>Federal Register</w:t>
      </w:r>
      <w:r w:rsidRPr="00044872">
        <w:t xml:space="preserve"> notice,</w:t>
      </w:r>
      <w:r>
        <w:t xml:space="preserve"> NMFS </w:t>
      </w:r>
      <w:r w:rsidRPr="000F5B74">
        <w:t xml:space="preserve">contacted </w:t>
      </w:r>
      <w:r>
        <w:t>The</w:t>
      </w:r>
      <w:r w:rsidRPr="000F5B74">
        <w:t xml:space="preserve"> Aleut Corporation, the sole respondent for this collection</w:t>
      </w:r>
      <w:r>
        <w:t>,</w:t>
      </w:r>
      <w:r w:rsidRPr="000F5B74">
        <w:t xml:space="preserve"> </w:t>
      </w:r>
      <w:r w:rsidRPr="00044872">
        <w:t xml:space="preserve">to obtain </w:t>
      </w:r>
      <w:r>
        <w:t>its</w:t>
      </w:r>
      <w:r w:rsidRPr="00044872">
        <w:t xml:space="preserve"> views on the availability of data</w:t>
      </w:r>
      <w:r w:rsidR="007A417B">
        <w:t>;</w:t>
      </w:r>
      <w:r w:rsidRPr="00044872">
        <w:t xml:space="preserve"> frequency of collection</w:t>
      </w:r>
      <w:r w:rsidR="007A417B">
        <w:t>;</w:t>
      </w:r>
      <w:r w:rsidRPr="00044872">
        <w:t xml:space="preserve"> the clarity of instructions and recordkeeping, disclosure, or reporting format</w:t>
      </w:r>
      <w:r w:rsidR="007A417B">
        <w:t>;</w:t>
      </w:r>
      <w:r w:rsidRPr="00044872">
        <w:t xml:space="preserve"> and on the data elements to be </w:t>
      </w:r>
      <w:r w:rsidRPr="00044872">
        <w:t>recorded</w:t>
      </w:r>
      <w:r w:rsidRPr="00044872">
        <w:t xml:space="preserve">, disclosed, or reported. </w:t>
      </w:r>
      <w:r w:rsidRPr="00E373F3">
        <w:t xml:space="preserve">No comments </w:t>
      </w:r>
      <w:r w:rsidRPr="00E373F3">
        <w:t>were received</w:t>
      </w:r>
      <w:r w:rsidRPr="00E373F3">
        <w:t xml:space="preserve"> from the </w:t>
      </w:r>
      <w:r w:rsidRPr="00F24AD3">
        <w:rPr>
          <w:i/>
        </w:rPr>
        <w:t>Federal Register</w:t>
      </w:r>
      <w:r w:rsidRPr="00E373F3">
        <w:t xml:space="preserve"> notice </w:t>
      </w:r>
      <w:r>
        <w:t xml:space="preserve">or from The Aleut Corporation </w:t>
      </w:r>
      <w:r w:rsidRPr="00E373F3">
        <w:t>in response to our inquiries</w:t>
      </w:r>
      <w:r>
        <w:t>.</w:t>
      </w:r>
    </w:p>
    <w:p w:rsidR="00131514" w:rsidP="006566C2" w14:paraId="7F4852DB" w14:textId="77777777">
      <w:pPr>
        <w:widowControl/>
        <w:pBdr>
          <w:top w:val="nil"/>
          <w:left w:val="nil"/>
          <w:bottom w:val="nil"/>
          <w:right w:val="nil"/>
          <w:between w:val="nil"/>
        </w:pBdr>
        <w:rPr>
          <w:color w:val="000000"/>
        </w:rPr>
      </w:pPr>
    </w:p>
    <w:p w:rsidR="00F72D0D" w:rsidP="006566C2" w14:paraId="79952F6B"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131514" w:rsidP="006566C2" w14:paraId="6354331C" w14:textId="77777777">
      <w:pPr>
        <w:widowControl/>
        <w:pBdr>
          <w:top w:val="nil"/>
          <w:left w:val="nil"/>
          <w:bottom w:val="nil"/>
          <w:right w:val="nil"/>
          <w:between w:val="nil"/>
        </w:pBdr>
        <w:rPr>
          <w:color w:val="000000"/>
        </w:rPr>
      </w:pPr>
    </w:p>
    <w:p w:rsidR="00131514" w:rsidP="006566C2" w14:paraId="1EF299A2" w14:textId="0A9DD07E">
      <w:pPr>
        <w:widowControl/>
        <w:pBdr>
          <w:top w:val="nil"/>
          <w:left w:val="nil"/>
          <w:bottom w:val="nil"/>
          <w:right w:val="nil"/>
          <w:between w:val="nil"/>
        </w:pBdr>
        <w:rPr>
          <w:color w:val="000000"/>
        </w:rPr>
      </w:pPr>
      <w:r w:rsidRPr="00D514A3">
        <w:rPr>
          <w:color w:val="000000"/>
        </w:rPr>
        <w:t xml:space="preserve">No payment or gift </w:t>
      </w:r>
      <w:r w:rsidRPr="00D514A3">
        <w:rPr>
          <w:color w:val="000000"/>
        </w:rPr>
        <w:t>is provided</w:t>
      </w:r>
      <w:r w:rsidRPr="00D514A3">
        <w:rPr>
          <w:color w:val="000000"/>
        </w:rPr>
        <w:t xml:space="preserve"> under this program.</w:t>
      </w:r>
    </w:p>
    <w:p w:rsidR="00131514" w:rsidP="006566C2" w14:paraId="3A1B9EF4" w14:textId="64E2E81C">
      <w:pPr>
        <w:widowControl/>
        <w:pBdr>
          <w:top w:val="nil"/>
          <w:left w:val="nil"/>
          <w:bottom w:val="nil"/>
          <w:right w:val="nil"/>
          <w:between w:val="nil"/>
        </w:pBdr>
        <w:rPr>
          <w:color w:val="2F5496"/>
        </w:rPr>
      </w:pPr>
    </w:p>
    <w:p w:rsidR="00F72D0D" w:rsidP="006566C2" w14:paraId="71F76D67"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E044CA" w:rsidP="006566C2" w14:paraId="326C2653" w14:textId="77777777">
      <w:pPr>
        <w:widowControl/>
        <w:tabs>
          <w:tab w:val="left" w:pos="360"/>
          <w:tab w:val="left" w:pos="720"/>
          <w:tab w:val="left" w:pos="1080"/>
          <w:tab w:val="left" w:pos="1440"/>
        </w:tabs>
      </w:pPr>
    </w:p>
    <w:p w:rsidR="00131514" w:rsidRPr="00B87DCA" w:rsidP="006566C2" w14:paraId="57161109" w14:textId="7B101114">
      <w:pPr>
        <w:widowControl/>
        <w:tabs>
          <w:tab w:val="left" w:pos="360"/>
          <w:tab w:val="left" w:pos="720"/>
          <w:tab w:val="left" w:pos="1080"/>
          <w:tab w:val="left" w:pos="1440"/>
        </w:tabs>
      </w:pPr>
      <w:r w:rsidRPr="00B87DCA">
        <w:t xml:space="preserve">All information collections by NMFS, Alaska Region, are protected under confidentiality provisions of section 402(b) of the Magnuson-Stevens Act as amended in 2006 (16 U.S.C. 1801, </w:t>
      </w:r>
      <w:r w:rsidRPr="00B87DCA">
        <w:rPr>
          <w:i/>
          <w:iCs/>
        </w:rPr>
        <w:t>et seq</w:t>
      </w:r>
      <w:r w:rsidRPr="00B87DCA">
        <w:t xml:space="preserve">.) and under </w:t>
      </w:r>
      <w:r w:rsidRPr="0059740D" w:rsidR="0059740D">
        <w:t>NOAA Administrative Order 216-100</w:t>
      </w:r>
      <w:r w:rsidRPr="00B87DCA">
        <w:t>, which sets forth procedures to protect confidentiality of fishery statistics.</w:t>
      </w:r>
      <w:r>
        <w:rPr>
          <w:rStyle w:val="FootnoteReference"/>
        </w:rPr>
        <w:footnoteReference w:id="9"/>
      </w:r>
      <w:r w:rsidRPr="00B87DCA">
        <w:t xml:space="preserve"> </w:t>
      </w:r>
    </w:p>
    <w:p w:rsidR="00131514" w:rsidRPr="00B87DCA" w:rsidP="006566C2" w14:paraId="0498644F" w14:textId="77777777">
      <w:pPr>
        <w:widowControl/>
        <w:tabs>
          <w:tab w:val="left" w:pos="360"/>
          <w:tab w:val="left" w:pos="720"/>
          <w:tab w:val="left" w:pos="1080"/>
          <w:tab w:val="left" w:pos="1440"/>
        </w:tabs>
      </w:pPr>
    </w:p>
    <w:p w:rsidR="00131514" w:rsidRPr="00B87DCA" w:rsidP="006566C2" w14:paraId="654CDC99" w14:textId="360EA725">
      <w:pPr>
        <w:widowControl/>
      </w:pPr>
      <w:r w:rsidRPr="00B87DCA">
        <w:t xml:space="preserve">The System of Records Notice that covers this information collection is </w:t>
      </w:r>
      <w:r w:rsidRPr="0059740D" w:rsidR="0059740D">
        <w:t>COMMERCE/NOAA-19, Permits and Registrations for United States Federally Regulated Fisheries</w:t>
      </w:r>
      <w:r w:rsidRPr="00B87DCA">
        <w:t>.</w:t>
      </w:r>
      <w:r>
        <w:rPr>
          <w:rStyle w:val="FootnoteReference"/>
        </w:rPr>
        <w:footnoteReference w:id="10"/>
      </w:r>
      <w:r w:rsidRPr="00B87DCA">
        <w:t xml:space="preserve"> An amended Privacy Act system of records notice was published in the </w:t>
      </w:r>
      <w:r w:rsidRPr="00B87DCA">
        <w:rPr>
          <w:i/>
        </w:rPr>
        <w:t>Federal Register</w:t>
      </w:r>
      <w:r w:rsidRPr="00B87DCA">
        <w:t xml:space="preserve"> on August 7, 2015 (80 FR 47457), and became effective September 15, 2015 (80 FR 55327).</w:t>
      </w:r>
    </w:p>
    <w:p w:rsidR="00131514" w:rsidP="006566C2" w14:paraId="50B7D8BC" w14:textId="77777777">
      <w:pPr>
        <w:widowControl/>
        <w:pBdr>
          <w:top w:val="nil"/>
          <w:left w:val="nil"/>
          <w:bottom w:val="nil"/>
          <w:right w:val="nil"/>
          <w:between w:val="nil"/>
        </w:pBdr>
      </w:pPr>
    </w:p>
    <w:p w:rsidR="00131514" w:rsidP="006566C2" w14:paraId="38028781" w14:textId="62CD0F8F">
      <w:pPr>
        <w:widowControl/>
        <w:pBdr>
          <w:top w:val="nil"/>
          <w:left w:val="nil"/>
          <w:bottom w:val="nil"/>
          <w:right w:val="nil"/>
          <w:between w:val="nil"/>
        </w:pBdr>
      </w:pPr>
      <w:r w:rsidRPr="00B87DCA">
        <w:t>The Privacy Impact Assessment that covers this information collection is NOAA NMFS Alaska Region Local Area Network (NOAA4700).</w:t>
      </w:r>
      <w:r>
        <w:rPr>
          <w:rStyle w:val="FootnoteReference"/>
        </w:rPr>
        <w:footnoteReference w:id="11"/>
      </w:r>
    </w:p>
    <w:p w:rsidR="00777B69" w:rsidRPr="00B87DCA" w:rsidP="006566C2" w14:paraId="6FDAC6A0" w14:textId="77777777">
      <w:pPr>
        <w:widowControl/>
        <w:pBdr>
          <w:top w:val="nil"/>
          <w:left w:val="nil"/>
          <w:bottom w:val="nil"/>
          <w:right w:val="nil"/>
          <w:between w:val="nil"/>
        </w:pBdr>
      </w:pPr>
    </w:p>
    <w:p w:rsidR="00F72D0D" w:rsidP="006566C2" w14:paraId="0F796F5F"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F72D0D" w:rsidP="006566C2" w14:paraId="65AC23FE" w14:textId="52342A8A">
      <w:pPr>
        <w:widowControl/>
        <w:rPr>
          <w:color w:val="2F5496"/>
        </w:rPr>
      </w:pPr>
    </w:p>
    <w:p w:rsidR="00131514" w:rsidRPr="006C641E" w:rsidP="006566C2" w14:paraId="5ECAB18A" w14:textId="77777777">
      <w:pPr>
        <w:widowControl/>
        <w:pBdr>
          <w:top w:val="nil"/>
          <w:left w:val="nil"/>
          <w:bottom w:val="nil"/>
          <w:right w:val="nil"/>
          <w:between w:val="nil"/>
        </w:pBdr>
        <w:tabs>
          <w:tab w:val="left" w:pos="360"/>
        </w:tabs>
        <w:rPr>
          <w:color w:val="000000"/>
        </w:rPr>
      </w:pPr>
      <w:r w:rsidRPr="006C641E">
        <w:rPr>
          <w:color w:val="000000"/>
        </w:rPr>
        <w:t>This information collection does not involve information of a sensitive nature.</w:t>
      </w:r>
    </w:p>
    <w:p w:rsidR="00F72D0D" w:rsidRPr="0059740D" w:rsidP="006566C2" w14:paraId="17EDBC50" w14:textId="77777777">
      <w:pPr>
        <w:widowControl/>
      </w:pPr>
    </w:p>
    <w:p w:rsidR="00F72D0D" w:rsidP="006566C2" w14:paraId="165E1844"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CD31BF" w:rsidP="006566C2" w14:paraId="5CFB51E1" w14:textId="2DD0A8D3">
      <w:pPr>
        <w:widowControl/>
      </w:pPr>
    </w:p>
    <w:p w:rsidR="007C5F69" w:rsidRPr="00E97D42" w:rsidP="006566C2" w14:paraId="41ACDDE5" w14:textId="674AF207">
      <w:pPr>
        <w:widowControl/>
      </w:pPr>
      <w:r w:rsidRPr="00346FCF">
        <w:t>The Aleut Corporation is the only respondent</w:t>
      </w:r>
      <w:r w:rsidR="00674CDD">
        <w:t xml:space="preserve"> for this collection</w:t>
      </w:r>
      <w:r w:rsidRPr="00346FCF">
        <w:t>.</w:t>
      </w:r>
      <w:r w:rsidRPr="007C5F69">
        <w:t xml:space="preserve"> </w:t>
      </w:r>
      <w:r w:rsidR="00A01F2D">
        <w:t>The hourly wage</w:t>
      </w:r>
      <w:r w:rsidRPr="00B0772D" w:rsidR="00A01F2D">
        <w:t xml:space="preserve"> rate </w:t>
      </w:r>
      <w:r w:rsidR="00A01F2D">
        <w:t>was</w:t>
      </w:r>
      <w:r w:rsidRPr="00B0772D" w:rsidR="00A01F2D">
        <w:t xml:space="preserve"> updated to use the most current rate available (May 202</w:t>
      </w:r>
      <w:r w:rsidR="00A01F2D">
        <w:t>3</w:t>
      </w:r>
      <w:r w:rsidRPr="00B0772D" w:rsidR="00A01F2D">
        <w:t>)</w:t>
      </w:r>
      <w:r w:rsidR="00A01F2D">
        <w:t xml:space="preserve"> from the </w:t>
      </w:r>
      <w:r w:rsidRPr="00A01F2D" w:rsidR="00A01F2D">
        <w:t>U. S. Bureau of Labor Statistics (BLS</w:t>
      </w:r>
      <w:r w:rsidR="00A01F2D">
        <w:t>)</w:t>
      </w:r>
      <w:r w:rsidRPr="00A01F2D" w:rsidR="00A01F2D">
        <w:t xml:space="preserve"> </w:t>
      </w:r>
      <w:r w:rsidR="00A01F2D">
        <w:t xml:space="preserve">and to improve consistency in the rates used for the same respondent types in NMFS Alaska Region information collections. </w:t>
      </w:r>
      <w:r>
        <w:t>The</w:t>
      </w:r>
      <w:r w:rsidR="00674CDD">
        <w:t xml:space="preserve"> hourly wage</w:t>
      </w:r>
      <w:r>
        <w:t xml:space="preserve"> rate </w:t>
      </w:r>
      <w:r w:rsidR="00A01F2D">
        <w:t>uses</w:t>
      </w:r>
      <w:r>
        <w:t xml:space="preserve"> the</w:t>
      </w:r>
      <w:r w:rsidRPr="00E97D42">
        <w:t xml:space="preserve"> </w:t>
      </w:r>
      <w:r>
        <w:t xml:space="preserve">BLS mean </w:t>
      </w:r>
      <w:r w:rsidRPr="004C13EA">
        <w:t>hour</w:t>
      </w:r>
      <w:r>
        <w:t>ly</w:t>
      </w:r>
      <w:r w:rsidRPr="004C13EA">
        <w:t xml:space="preserve"> wage for </w:t>
      </w:r>
      <w:r w:rsidRPr="004C13EA">
        <w:rPr>
          <w:rStyle w:val="CommentReference"/>
          <w:sz w:val="24"/>
          <w:szCs w:val="24"/>
        </w:rPr>
        <w:t xml:space="preserve">Occupation Code </w:t>
      </w:r>
      <w:r>
        <w:rPr>
          <w:rStyle w:val="CommentReference"/>
          <w:sz w:val="24"/>
          <w:szCs w:val="24"/>
        </w:rPr>
        <w:t>11-9121</w:t>
      </w:r>
      <w:r w:rsidRPr="004C13EA">
        <w:rPr>
          <w:rStyle w:val="CommentReference"/>
          <w:sz w:val="24"/>
          <w:szCs w:val="24"/>
        </w:rPr>
        <w:t xml:space="preserve"> (</w:t>
      </w:r>
      <w:r>
        <w:rPr>
          <w:rStyle w:val="CommentReference"/>
          <w:sz w:val="24"/>
          <w:szCs w:val="24"/>
        </w:rPr>
        <w:t xml:space="preserve">Natural Sciences Managers; </w:t>
      </w:r>
      <w:hyperlink r:id="rId8" w:history="1">
        <w:r w:rsidRPr="00B0772D">
          <w:rPr>
            <w:rStyle w:val="Hyperlink"/>
          </w:rPr>
          <w:t>https://www.bls.gov/oes/current/oes_ak.htm</w:t>
        </w:r>
      </w:hyperlink>
      <w:r w:rsidRPr="00B0772D">
        <w:rPr>
          <w:rStyle w:val="CommentReference"/>
          <w:sz w:val="24"/>
          <w:szCs w:val="24"/>
        </w:rPr>
        <w:t>) for Alaska.</w:t>
      </w:r>
      <w:r w:rsidR="00A01F2D">
        <w:t xml:space="preserve"> </w:t>
      </w:r>
    </w:p>
    <w:p w:rsidR="00F72D0D" w:rsidRPr="00131514" w:rsidP="006566C2" w14:paraId="27D6D00E" w14:textId="77777777">
      <w:pPr>
        <w:widowControl/>
        <w:ind w:hanging="43"/>
        <w:rPr>
          <w:b/>
        </w:rPr>
      </w:pPr>
    </w:p>
    <w:tbl>
      <w:tblPr>
        <w:tblStyle w:val="a0"/>
        <w:tblW w:w="10821" w:type="dxa"/>
        <w:jc w:val="center"/>
        <w:tblLayout w:type="fixed"/>
        <w:tblLook w:val="0400"/>
      </w:tblPr>
      <w:tblGrid>
        <w:gridCol w:w="1630"/>
        <w:gridCol w:w="1373"/>
        <w:gridCol w:w="1307"/>
        <w:gridCol w:w="1241"/>
        <w:gridCol w:w="1054"/>
        <w:gridCol w:w="966"/>
        <w:gridCol w:w="878"/>
        <w:gridCol w:w="1230"/>
        <w:gridCol w:w="1142"/>
      </w:tblGrid>
      <w:tr w14:paraId="48B05233" w14:textId="77777777" w:rsidTr="00A01F2D">
        <w:tblPrEx>
          <w:tblW w:w="10821" w:type="dxa"/>
          <w:jc w:val="center"/>
          <w:tblLayout w:type="fixed"/>
          <w:tblLook w:val="0400"/>
        </w:tblPrEx>
        <w:trPr>
          <w:trHeight w:val="1014"/>
          <w:jc w:val="center"/>
        </w:trPr>
        <w:tc>
          <w:tcPr>
            <w:tcW w:w="163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2D0D" w:rsidRPr="00B2581E" w:rsidP="006566C2" w14:paraId="76F87EF3" w14:textId="77777777">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Information Collection</w:t>
            </w:r>
          </w:p>
        </w:tc>
        <w:tc>
          <w:tcPr>
            <w:tcW w:w="1373"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362B36A0" w14:textId="77777777">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Type of Respondent (e.g., Occupational Title)</w:t>
            </w:r>
          </w:p>
        </w:tc>
        <w:tc>
          <w:tcPr>
            <w:tcW w:w="1307"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32DB65D4" w14:textId="6C01D1CC">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 of Respondents/year</w:t>
            </w:r>
            <w:r w:rsidRPr="00B2581E">
              <w:rPr>
                <w:rFonts w:ascii="Calibri" w:eastAsia="Calibri" w:hAnsi="Calibri" w:cs="Calibri"/>
                <w:b/>
                <w:color w:val="000000"/>
                <w:sz w:val="18"/>
                <w:szCs w:val="18"/>
              </w:rPr>
              <w:br/>
              <w:t>(a)</w:t>
            </w:r>
          </w:p>
        </w:tc>
        <w:tc>
          <w:tcPr>
            <w:tcW w:w="1241"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25DE375B" w14:textId="77777777">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Annual # of Responses / Respondent</w:t>
            </w:r>
            <w:r w:rsidRPr="00B2581E">
              <w:rPr>
                <w:rFonts w:ascii="Calibri" w:eastAsia="Calibri" w:hAnsi="Calibri" w:cs="Calibri"/>
                <w:b/>
                <w:color w:val="000000"/>
                <w:sz w:val="18"/>
                <w:szCs w:val="18"/>
              </w:rPr>
              <w:br/>
              <w:t>(b)</w:t>
            </w:r>
          </w:p>
        </w:tc>
        <w:tc>
          <w:tcPr>
            <w:tcW w:w="1054"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58FE6085" w14:textId="3C8F693D">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Total # of Annual Responses</w:t>
            </w:r>
            <w:r w:rsidRPr="00B2581E">
              <w:rPr>
                <w:rFonts w:ascii="Calibri" w:eastAsia="Calibri" w:hAnsi="Calibri" w:cs="Calibri"/>
                <w:b/>
                <w:color w:val="000000"/>
                <w:sz w:val="18"/>
                <w:szCs w:val="18"/>
              </w:rPr>
              <w:br/>
              <w:t>(c) = (a) x (b)</w:t>
            </w:r>
          </w:p>
        </w:tc>
        <w:tc>
          <w:tcPr>
            <w:tcW w:w="966"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31C9AC94" w14:textId="77777777">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Burden Hrs / Response</w:t>
            </w:r>
            <w:r w:rsidRPr="00B2581E">
              <w:rPr>
                <w:rFonts w:ascii="Calibri" w:eastAsia="Calibri" w:hAnsi="Calibri" w:cs="Calibri"/>
                <w:b/>
                <w:color w:val="000000"/>
                <w:sz w:val="18"/>
                <w:szCs w:val="18"/>
              </w:rPr>
              <w:br/>
              <w:t>(d)</w:t>
            </w:r>
          </w:p>
        </w:tc>
        <w:tc>
          <w:tcPr>
            <w:tcW w:w="878"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20EE7093" w14:textId="10BFB20B">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Total Annual Burden Hrs</w:t>
            </w:r>
            <w:r w:rsidR="00B2581E">
              <w:rPr>
                <w:rFonts w:ascii="Calibri" w:eastAsia="Calibri" w:hAnsi="Calibri" w:cs="Calibri"/>
                <w:b/>
                <w:color w:val="000000"/>
                <w:sz w:val="18"/>
                <w:szCs w:val="18"/>
              </w:rPr>
              <w:br/>
              <w:t>(e</w:t>
            </w:r>
            <w:r w:rsidRPr="00B2581E">
              <w:rPr>
                <w:rFonts w:ascii="Calibri" w:eastAsia="Calibri" w:hAnsi="Calibri" w:cs="Calibri"/>
                <w:b/>
                <w:color w:val="000000"/>
                <w:sz w:val="18"/>
                <w:szCs w:val="18"/>
              </w:rPr>
              <w:t xml:space="preserve">  = (c) x (d)</w:t>
            </w:r>
          </w:p>
        </w:tc>
        <w:tc>
          <w:tcPr>
            <w:tcW w:w="1230"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766183D4" w14:textId="16C73D56">
            <w:pPr>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H</w:t>
            </w:r>
            <w:r w:rsidR="00B2581E">
              <w:rPr>
                <w:rFonts w:ascii="Calibri" w:eastAsia="Calibri" w:hAnsi="Calibri" w:cs="Calibri"/>
                <w:b/>
                <w:color w:val="000000"/>
                <w:sz w:val="18"/>
                <w:szCs w:val="18"/>
              </w:rPr>
              <w:t>ourly Wage Rate</w:t>
            </w:r>
            <w:r w:rsidRPr="00B2581E">
              <w:rPr>
                <w:rFonts w:ascii="Calibri" w:eastAsia="Calibri" w:hAnsi="Calibri" w:cs="Calibri"/>
                <w:b/>
                <w:color w:val="000000"/>
                <w:sz w:val="18"/>
                <w:szCs w:val="18"/>
              </w:rPr>
              <w:t xml:space="preserve"> (for Type of Respondent)</w:t>
            </w:r>
            <w:r w:rsidRPr="00B2581E">
              <w:rPr>
                <w:rFonts w:ascii="Calibri" w:eastAsia="Calibri" w:hAnsi="Calibri" w:cs="Calibri"/>
                <w:b/>
                <w:color w:val="000000"/>
                <w:sz w:val="18"/>
                <w:szCs w:val="18"/>
              </w:rPr>
              <w:br/>
              <w:t>(f)</w:t>
            </w:r>
          </w:p>
        </w:tc>
        <w:tc>
          <w:tcPr>
            <w:tcW w:w="1142"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160B4059" w14:textId="77777777">
            <w:pPr>
              <w:widowControl/>
              <w:ind w:right="-30"/>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Total Annual Wage Burden Costs</w:t>
            </w:r>
            <w:r w:rsidRPr="00B2581E">
              <w:rPr>
                <w:rFonts w:ascii="Calibri" w:eastAsia="Calibri" w:hAnsi="Calibri" w:cs="Calibri"/>
                <w:b/>
                <w:color w:val="000000"/>
                <w:sz w:val="18"/>
                <w:szCs w:val="18"/>
              </w:rPr>
              <w:br/>
              <w:t>(g) = (e) x (f)</w:t>
            </w:r>
          </w:p>
        </w:tc>
      </w:tr>
      <w:tr w14:paraId="3DC64155" w14:textId="77777777" w:rsidTr="00A01F2D">
        <w:tblPrEx>
          <w:tblW w:w="10821" w:type="dxa"/>
          <w:jc w:val="center"/>
          <w:tblLayout w:type="fixed"/>
          <w:tblLook w:val="0400"/>
        </w:tblPrEx>
        <w:trPr>
          <w:trHeight w:val="855"/>
          <w:jc w:val="center"/>
        </w:trPr>
        <w:tc>
          <w:tcPr>
            <w:tcW w:w="1630" w:type="dxa"/>
            <w:tcBorders>
              <w:top w:val="nil"/>
              <w:left w:val="single" w:sz="8" w:space="0" w:color="000000"/>
              <w:bottom w:val="single" w:sz="4" w:space="0" w:color="000000"/>
              <w:right w:val="single" w:sz="4" w:space="0" w:color="000000"/>
            </w:tcBorders>
            <w:shd w:val="clear" w:color="auto" w:fill="auto"/>
            <w:vAlign w:val="center"/>
          </w:tcPr>
          <w:p w:rsidR="00131514" w:rsidP="006566C2" w14:paraId="2F4E4D63" w14:textId="77A95198">
            <w:pPr>
              <w:widowControl/>
              <w:jc w:val="center"/>
              <w:rPr>
                <w:rFonts w:ascii="Calibri" w:eastAsia="Calibri" w:hAnsi="Calibri" w:cs="Calibri"/>
                <w:color w:val="000000"/>
                <w:sz w:val="16"/>
                <w:szCs w:val="16"/>
              </w:rPr>
            </w:pPr>
            <w:r w:rsidRPr="004177ED">
              <w:rPr>
                <w:rFonts w:ascii="Calibri" w:eastAsia="Calibri" w:hAnsi="Calibri" w:cs="Calibri"/>
                <w:color w:val="000000"/>
                <w:sz w:val="18"/>
                <w:szCs w:val="18"/>
              </w:rPr>
              <w:t>Annual Aleutian Islands Pollock Fishery Participant Letter</w:t>
            </w:r>
          </w:p>
        </w:tc>
        <w:tc>
          <w:tcPr>
            <w:tcW w:w="1373" w:type="dxa"/>
            <w:tcBorders>
              <w:top w:val="nil"/>
              <w:left w:val="nil"/>
              <w:bottom w:val="single" w:sz="4" w:space="0" w:color="000000"/>
              <w:right w:val="single" w:sz="4" w:space="0" w:color="000000"/>
            </w:tcBorders>
            <w:shd w:val="clear" w:color="auto" w:fill="auto"/>
            <w:vAlign w:val="center"/>
          </w:tcPr>
          <w:p w:rsidR="00131514" w:rsidP="006566C2" w14:paraId="69FBA727" w14:textId="2A192858">
            <w:pPr>
              <w:widowControl/>
              <w:jc w:val="center"/>
              <w:rPr>
                <w:rFonts w:ascii="Calibri" w:eastAsia="Calibri" w:hAnsi="Calibri" w:cs="Calibri"/>
                <w:color w:val="000000"/>
                <w:sz w:val="16"/>
                <w:szCs w:val="16"/>
              </w:rPr>
            </w:pPr>
            <w:r>
              <w:rPr>
                <w:rFonts w:ascii="Calibri" w:eastAsia="Calibri" w:hAnsi="Calibri" w:cs="Calibri"/>
                <w:color w:val="000000"/>
                <w:sz w:val="18"/>
                <w:szCs w:val="18"/>
              </w:rPr>
              <w:t>representative of The Aleut Corporation</w:t>
            </w:r>
          </w:p>
        </w:tc>
        <w:tc>
          <w:tcPr>
            <w:tcW w:w="1307" w:type="dxa"/>
            <w:tcBorders>
              <w:top w:val="nil"/>
              <w:left w:val="nil"/>
              <w:bottom w:val="single" w:sz="4" w:space="0" w:color="000000"/>
              <w:right w:val="single" w:sz="4" w:space="0" w:color="000000"/>
            </w:tcBorders>
            <w:shd w:val="clear" w:color="auto" w:fill="auto"/>
            <w:vAlign w:val="center"/>
          </w:tcPr>
          <w:p w:rsidR="00131514" w:rsidP="006566C2" w14:paraId="76487B5A" w14:textId="4908E654">
            <w:pPr>
              <w:widowControl/>
              <w:jc w:val="center"/>
              <w:rPr>
                <w:rFonts w:ascii="Calibri" w:eastAsia="Calibri" w:hAnsi="Calibri" w:cs="Calibri"/>
                <w:color w:val="000000"/>
                <w:sz w:val="16"/>
                <w:szCs w:val="16"/>
              </w:rPr>
            </w:pPr>
            <w:r w:rsidRPr="004177ED">
              <w:rPr>
                <w:rFonts w:ascii="Calibri" w:eastAsia="Calibri" w:hAnsi="Calibri" w:cs="Calibri"/>
                <w:color w:val="000000"/>
                <w:sz w:val="18"/>
                <w:szCs w:val="18"/>
              </w:rPr>
              <w:t>1</w:t>
            </w:r>
          </w:p>
        </w:tc>
        <w:tc>
          <w:tcPr>
            <w:tcW w:w="1241" w:type="dxa"/>
            <w:tcBorders>
              <w:top w:val="nil"/>
              <w:left w:val="nil"/>
              <w:bottom w:val="single" w:sz="4" w:space="0" w:color="000000"/>
              <w:right w:val="single" w:sz="4" w:space="0" w:color="000000"/>
            </w:tcBorders>
            <w:shd w:val="clear" w:color="auto" w:fill="auto"/>
            <w:vAlign w:val="center"/>
          </w:tcPr>
          <w:p w:rsidR="00131514" w:rsidP="006566C2" w14:paraId="55B11305" w14:textId="3DEDD8CA">
            <w:pPr>
              <w:widowControl/>
              <w:jc w:val="center"/>
              <w:rPr>
                <w:rFonts w:ascii="Calibri" w:eastAsia="Calibri" w:hAnsi="Calibri" w:cs="Calibri"/>
                <w:color w:val="000000"/>
                <w:sz w:val="16"/>
                <w:szCs w:val="16"/>
              </w:rPr>
            </w:pPr>
            <w:r w:rsidRPr="004177ED">
              <w:rPr>
                <w:rFonts w:ascii="Calibri" w:eastAsia="Calibri" w:hAnsi="Calibri" w:cs="Calibri"/>
                <w:color w:val="000000"/>
                <w:sz w:val="18"/>
                <w:szCs w:val="18"/>
              </w:rPr>
              <w:t>1</w:t>
            </w:r>
          </w:p>
        </w:tc>
        <w:tc>
          <w:tcPr>
            <w:tcW w:w="1054" w:type="dxa"/>
            <w:tcBorders>
              <w:top w:val="nil"/>
              <w:left w:val="nil"/>
              <w:bottom w:val="single" w:sz="4" w:space="0" w:color="000000"/>
              <w:right w:val="single" w:sz="4" w:space="0" w:color="000000"/>
            </w:tcBorders>
            <w:shd w:val="clear" w:color="auto" w:fill="auto"/>
            <w:vAlign w:val="center"/>
          </w:tcPr>
          <w:p w:rsidR="00131514" w:rsidP="006566C2" w14:paraId="0533933E" w14:textId="42BDDE4A">
            <w:pPr>
              <w:widowControl/>
              <w:jc w:val="center"/>
              <w:rPr>
                <w:rFonts w:ascii="Calibri" w:eastAsia="Calibri" w:hAnsi="Calibri" w:cs="Calibri"/>
                <w:color w:val="000000"/>
                <w:sz w:val="16"/>
                <w:szCs w:val="16"/>
              </w:rPr>
            </w:pPr>
            <w:r w:rsidRPr="004177ED">
              <w:rPr>
                <w:rFonts w:ascii="Calibri" w:eastAsia="Calibri" w:hAnsi="Calibri" w:cs="Calibri"/>
                <w:color w:val="000000"/>
                <w:sz w:val="18"/>
                <w:szCs w:val="18"/>
              </w:rPr>
              <w:t>1</w:t>
            </w:r>
          </w:p>
        </w:tc>
        <w:tc>
          <w:tcPr>
            <w:tcW w:w="966" w:type="dxa"/>
            <w:tcBorders>
              <w:top w:val="nil"/>
              <w:left w:val="nil"/>
              <w:bottom w:val="single" w:sz="4" w:space="0" w:color="000000"/>
              <w:right w:val="single" w:sz="4" w:space="0" w:color="000000"/>
            </w:tcBorders>
            <w:shd w:val="clear" w:color="auto" w:fill="auto"/>
            <w:vAlign w:val="center"/>
          </w:tcPr>
          <w:p w:rsidR="00131514" w:rsidP="006566C2" w14:paraId="26A45EA2" w14:textId="5319420E">
            <w:pPr>
              <w:widowControl/>
              <w:jc w:val="center"/>
              <w:rPr>
                <w:rFonts w:ascii="Calibri" w:eastAsia="Calibri" w:hAnsi="Calibri" w:cs="Calibri"/>
                <w:color w:val="000000"/>
                <w:sz w:val="16"/>
                <w:szCs w:val="16"/>
              </w:rPr>
            </w:pPr>
            <w:r>
              <w:rPr>
                <w:rFonts w:ascii="Calibri" w:eastAsia="Calibri" w:hAnsi="Calibri" w:cs="Calibri"/>
                <w:color w:val="000000"/>
                <w:sz w:val="18"/>
                <w:szCs w:val="18"/>
              </w:rPr>
              <w:t>16</w:t>
            </w:r>
            <w:bookmarkStart w:id="2" w:name="_GoBack"/>
            <w:bookmarkEnd w:id="2"/>
          </w:p>
        </w:tc>
        <w:tc>
          <w:tcPr>
            <w:tcW w:w="878" w:type="dxa"/>
            <w:tcBorders>
              <w:top w:val="nil"/>
              <w:left w:val="nil"/>
              <w:bottom w:val="single" w:sz="4" w:space="0" w:color="000000"/>
              <w:right w:val="single" w:sz="4" w:space="0" w:color="000000"/>
            </w:tcBorders>
            <w:shd w:val="clear" w:color="auto" w:fill="auto"/>
            <w:vAlign w:val="center"/>
          </w:tcPr>
          <w:p w:rsidR="00131514" w:rsidP="006566C2" w14:paraId="0ACF2DAB" w14:textId="2C6998A6">
            <w:pPr>
              <w:widowControl/>
              <w:jc w:val="center"/>
              <w:rPr>
                <w:rFonts w:ascii="Calibri" w:eastAsia="Calibri" w:hAnsi="Calibri" w:cs="Calibri"/>
                <w:color w:val="000000"/>
                <w:sz w:val="16"/>
                <w:szCs w:val="16"/>
              </w:rPr>
            </w:pPr>
            <w:r>
              <w:rPr>
                <w:rFonts w:ascii="Calibri" w:eastAsia="Calibri" w:hAnsi="Calibri" w:cs="Calibri"/>
                <w:color w:val="000000"/>
                <w:sz w:val="18"/>
                <w:szCs w:val="18"/>
              </w:rPr>
              <w:t xml:space="preserve">16 </w:t>
            </w:r>
          </w:p>
        </w:tc>
        <w:tc>
          <w:tcPr>
            <w:tcW w:w="1230" w:type="dxa"/>
            <w:tcBorders>
              <w:top w:val="nil"/>
              <w:left w:val="nil"/>
              <w:bottom w:val="single" w:sz="4" w:space="0" w:color="000000"/>
              <w:right w:val="single" w:sz="4" w:space="0" w:color="000000"/>
            </w:tcBorders>
            <w:shd w:val="clear" w:color="auto" w:fill="auto"/>
            <w:vAlign w:val="center"/>
          </w:tcPr>
          <w:p w:rsidR="00131514" w:rsidP="006566C2" w14:paraId="4917B12B" w14:textId="2CE8F1D4">
            <w:pPr>
              <w:widowControl/>
              <w:jc w:val="center"/>
              <w:rPr>
                <w:rFonts w:ascii="Calibri" w:eastAsia="Calibri" w:hAnsi="Calibri" w:cs="Calibri"/>
                <w:color w:val="000000"/>
                <w:sz w:val="16"/>
                <w:szCs w:val="16"/>
              </w:rPr>
            </w:pPr>
            <w:r>
              <w:rPr>
                <w:rFonts w:ascii="Calibri" w:eastAsia="Calibri" w:hAnsi="Calibri" w:cs="Calibri"/>
                <w:color w:val="000000"/>
                <w:sz w:val="18"/>
                <w:szCs w:val="18"/>
              </w:rPr>
              <w:t>$</w:t>
            </w:r>
            <w:r w:rsidR="007C5F69">
              <w:rPr>
                <w:rFonts w:ascii="Calibri" w:eastAsia="Calibri" w:hAnsi="Calibri" w:cs="Calibri"/>
                <w:color w:val="000000"/>
                <w:sz w:val="18"/>
                <w:szCs w:val="18"/>
              </w:rPr>
              <w:t>57.28</w:t>
            </w:r>
          </w:p>
        </w:tc>
        <w:tc>
          <w:tcPr>
            <w:tcW w:w="1142" w:type="dxa"/>
            <w:tcBorders>
              <w:top w:val="nil"/>
              <w:left w:val="nil"/>
              <w:bottom w:val="single" w:sz="4" w:space="0" w:color="000000"/>
              <w:right w:val="single" w:sz="8" w:space="0" w:color="000000"/>
            </w:tcBorders>
            <w:shd w:val="clear" w:color="auto" w:fill="auto"/>
            <w:vAlign w:val="center"/>
          </w:tcPr>
          <w:p w:rsidR="00131514" w:rsidP="006566C2" w14:paraId="2CF4935E" w14:textId="7F922D93">
            <w:pPr>
              <w:widowControl/>
              <w:jc w:val="center"/>
              <w:rPr>
                <w:rFonts w:ascii="Calibri" w:eastAsia="Calibri" w:hAnsi="Calibri" w:cs="Calibri"/>
                <w:color w:val="000000"/>
                <w:sz w:val="16"/>
                <w:szCs w:val="16"/>
              </w:rPr>
            </w:pPr>
            <w:r>
              <w:rPr>
                <w:rFonts w:ascii="Calibri" w:eastAsia="Calibri" w:hAnsi="Calibri" w:cs="Calibri"/>
                <w:color w:val="000000"/>
                <w:sz w:val="18"/>
                <w:szCs w:val="18"/>
              </w:rPr>
              <w:t>$</w:t>
            </w:r>
            <w:r w:rsidR="007C5F69">
              <w:rPr>
                <w:rFonts w:ascii="Calibri" w:eastAsia="Calibri" w:hAnsi="Calibri" w:cs="Calibri"/>
                <w:color w:val="000000"/>
                <w:sz w:val="18"/>
                <w:szCs w:val="18"/>
              </w:rPr>
              <w:t>916</w:t>
            </w:r>
          </w:p>
        </w:tc>
      </w:tr>
      <w:tr w14:paraId="66FEB002" w14:textId="77777777" w:rsidTr="00A01F2D">
        <w:tblPrEx>
          <w:tblW w:w="10821" w:type="dxa"/>
          <w:jc w:val="center"/>
          <w:tblLayout w:type="fixed"/>
          <w:tblLook w:val="0400"/>
        </w:tblPrEx>
        <w:trPr>
          <w:trHeight w:val="404"/>
          <w:jc w:val="center"/>
        </w:trPr>
        <w:tc>
          <w:tcPr>
            <w:tcW w:w="1630" w:type="dxa"/>
            <w:tcBorders>
              <w:top w:val="nil"/>
              <w:left w:val="single" w:sz="8" w:space="0" w:color="000000"/>
              <w:bottom w:val="single" w:sz="8" w:space="0" w:color="000000"/>
              <w:right w:val="single" w:sz="8" w:space="0" w:color="000000"/>
            </w:tcBorders>
            <w:shd w:val="clear" w:color="auto" w:fill="DDEBF7"/>
            <w:vAlign w:val="center"/>
          </w:tcPr>
          <w:p w:rsidR="00F72D0D" w:rsidRPr="00E7683F" w:rsidP="006566C2" w14:paraId="19410607" w14:textId="77777777">
            <w:pPr>
              <w:widowControl/>
              <w:jc w:val="center"/>
              <w:rPr>
                <w:rFonts w:ascii="Calibri" w:eastAsia="Calibri" w:hAnsi="Calibri" w:cs="Calibri"/>
                <w:b/>
                <w:color w:val="000000"/>
                <w:sz w:val="22"/>
                <w:szCs w:val="22"/>
              </w:rPr>
            </w:pPr>
            <w:r w:rsidRPr="00E7683F">
              <w:rPr>
                <w:rFonts w:ascii="Calibri" w:eastAsia="Calibri" w:hAnsi="Calibri" w:cs="Calibri"/>
                <w:b/>
                <w:color w:val="000000"/>
                <w:sz w:val="22"/>
                <w:szCs w:val="22"/>
              </w:rPr>
              <w:t>Totals</w:t>
            </w:r>
          </w:p>
        </w:tc>
        <w:tc>
          <w:tcPr>
            <w:tcW w:w="1373" w:type="dxa"/>
            <w:tcBorders>
              <w:top w:val="nil"/>
              <w:left w:val="nil"/>
              <w:bottom w:val="single" w:sz="8" w:space="0" w:color="000000"/>
              <w:right w:val="single" w:sz="8" w:space="0" w:color="000000"/>
            </w:tcBorders>
            <w:shd w:val="clear" w:color="auto" w:fill="000000"/>
            <w:vAlign w:val="center"/>
          </w:tcPr>
          <w:p w:rsidR="00F72D0D" w:rsidRPr="00E7683F" w:rsidP="006566C2" w14:paraId="6E90FA74" w14:textId="48C2BA8E">
            <w:pPr>
              <w:widowControl/>
              <w:jc w:val="center"/>
              <w:rPr>
                <w:rFonts w:ascii="Calibri" w:eastAsia="Calibri" w:hAnsi="Calibri" w:cs="Calibri"/>
                <w:b/>
                <w:color w:val="000000"/>
                <w:sz w:val="22"/>
                <w:szCs w:val="22"/>
              </w:rPr>
            </w:pPr>
          </w:p>
        </w:tc>
        <w:tc>
          <w:tcPr>
            <w:tcW w:w="1307" w:type="dxa"/>
            <w:tcBorders>
              <w:top w:val="nil"/>
              <w:left w:val="nil"/>
              <w:bottom w:val="single" w:sz="8" w:space="0" w:color="000000"/>
              <w:right w:val="single" w:sz="8" w:space="0" w:color="000000"/>
            </w:tcBorders>
            <w:shd w:val="clear" w:color="auto" w:fill="000000"/>
            <w:vAlign w:val="center"/>
          </w:tcPr>
          <w:p w:rsidR="00F72D0D" w:rsidRPr="00E7683F" w:rsidP="006566C2" w14:paraId="4AE53205" w14:textId="717BBB11">
            <w:pPr>
              <w:widowControl/>
              <w:jc w:val="center"/>
              <w:rPr>
                <w:rFonts w:ascii="Calibri" w:eastAsia="Calibri" w:hAnsi="Calibri" w:cs="Calibri"/>
                <w:b/>
                <w:color w:val="000000"/>
                <w:sz w:val="22"/>
                <w:szCs w:val="22"/>
              </w:rPr>
            </w:pPr>
          </w:p>
        </w:tc>
        <w:tc>
          <w:tcPr>
            <w:tcW w:w="1241" w:type="dxa"/>
            <w:tcBorders>
              <w:top w:val="nil"/>
              <w:left w:val="nil"/>
              <w:bottom w:val="single" w:sz="8" w:space="0" w:color="000000"/>
              <w:right w:val="single" w:sz="8" w:space="0" w:color="000000"/>
            </w:tcBorders>
            <w:shd w:val="clear" w:color="auto" w:fill="000000"/>
            <w:vAlign w:val="center"/>
          </w:tcPr>
          <w:p w:rsidR="00F72D0D" w:rsidRPr="00E7683F" w:rsidP="006566C2" w14:paraId="55BCC9A6" w14:textId="32C46114">
            <w:pPr>
              <w:widowControl/>
              <w:jc w:val="center"/>
              <w:rPr>
                <w:rFonts w:ascii="Calibri" w:eastAsia="Calibri" w:hAnsi="Calibri" w:cs="Calibri"/>
                <w:b/>
                <w:color w:val="000000"/>
                <w:sz w:val="22"/>
                <w:szCs w:val="22"/>
              </w:rPr>
            </w:pPr>
          </w:p>
        </w:tc>
        <w:tc>
          <w:tcPr>
            <w:tcW w:w="1054" w:type="dxa"/>
            <w:tcBorders>
              <w:top w:val="nil"/>
              <w:left w:val="nil"/>
              <w:bottom w:val="single" w:sz="8" w:space="0" w:color="000000"/>
              <w:right w:val="single" w:sz="8" w:space="0" w:color="000000"/>
            </w:tcBorders>
            <w:shd w:val="clear" w:color="auto" w:fill="DDEBF7"/>
            <w:vAlign w:val="center"/>
          </w:tcPr>
          <w:p w:rsidR="00F72D0D" w:rsidRPr="00E7683F" w:rsidP="006566C2" w14:paraId="4690CB5B" w14:textId="32CD174E">
            <w:pPr>
              <w:widowControl/>
              <w:jc w:val="center"/>
              <w:rPr>
                <w:rFonts w:ascii="Calibri" w:eastAsia="Calibri" w:hAnsi="Calibri" w:cs="Calibri"/>
                <w:b/>
                <w:color w:val="000000"/>
                <w:sz w:val="22"/>
                <w:szCs w:val="22"/>
              </w:rPr>
            </w:pPr>
            <w:r w:rsidRPr="00E7683F">
              <w:rPr>
                <w:rFonts w:ascii="Calibri" w:eastAsia="Calibri" w:hAnsi="Calibri" w:cs="Calibri"/>
                <w:b/>
                <w:color w:val="000000"/>
                <w:sz w:val="22"/>
                <w:szCs w:val="22"/>
              </w:rPr>
              <w:t>1</w:t>
            </w:r>
          </w:p>
        </w:tc>
        <w:tc>
          <w:tcPr>
            <w:tcW w:w="966" w:type="dxa"/>
            <w:tcBorders>
              <w:top w:val="nil"/>
              <w:left w:val="nil"/>
              <w:bottom w:val="single" w:sz="8" w:space="0" w:color="000000"/>
              <w:right w:val="single" w:sz="8" w:space="0" w:color="000000"/>
            </w:tcBorders>
            <w:shd w:val="clear" w:color="auto" w:fill="000000"/>
            <w:vAlign w:val="center"/>
          </w:tcPr>
          <w:p w:rsidR="00F72D0D" w:rsidRPr="00E7683F" w:rsidP="006566C2" w14:paraId="3BD64B09" w14:textId="0103D96A">
            <w:pPr>
              <w:widowControl/>
              <w:jc w:val="center"/>
              <w:rPr>
                <w:rFonts w:ascii="Calibri" w:eastAsia="Calibri" w:hAnsi="Calibri" w:cs="Calibri"/>
                <w:b/>
                <w:color w:val="000000"/>
                <w:sz w:val="22"/>
                <w:szCs w:val="22"/>
              </w:rPr>
            </w:pPr>
          </w:p>
        </w:tc>
        <w:tc>
          <w:tcPr>
            <w:tcW w:w="878" w:type="dxa"/>
            <w:tcBorders>
              <w:top w:val="nil"/>
              <w:left w:val="nil"/>
              <w:bottom w:val="single" w:sz="8" w:space="0" w:color="000000"/>
              <w:right w:val="single" w:sz="8" w:space="0" w:color="000000"/>
            </w:tcBorders>
            <w:shd w:val="clear" w:color="auto" w:fill="DDEBF7"/>
            <w:vAlign w:val="center"/>
          </w:tcPr>
          <w:p w:rsidR="00F72D0D" w:rsidRPr="00E7683F" w:rsidP="006566C2" w14:paraId="27095E1B" w14:textId="0BB87554">
            <w:pPr>
              <w:widowControl/>
              <w:jc w:val="center"/>
              <w:rPr>
                <w:rFonts w:ascii="Calibri" w:eastAsia="Calibri" w:hAnsi="Calibri" w:cs="Calibri"/>
                <w:b/>
                <w:color w:val="000000"/>
                <w:sz w:val="22"/>
                <w:szCs w:val="22"/>
              </w:rPr>
            </w:pPr>
            <w:r w:rsidRPr="00E7683F">
              <w:rPr>
                <w:rFonts w:ascii="Calibri" w:eastAsia="Calibri" w:hAnsi="Calibri" w:cs="Calibri"/>
                <w:b/>
                <w:color w:val="000000"/>
                <w:sz w:val="22"/>
                <w:szCs w:val="22"/>
              </w:rPr>
              <w:t>16</w:t>
            </w:r>
          </w:p>
        </w:tc>
        <w:tc>
          <w:tcPr>
            <w:tcW w:w="1230" w:type="dxa"/>
            <w:tcBorders>
              <w:top w:val="nil"/>
              <w:left w:val="nil"/>
              <w:bottom w:val="single" w:sz="8" w:space="0" w:color="000000"/>
              <w:right w:val="single" w:sz="8" w:space="0" w:color="000000"/>
            </w:tcBorders>
            <w:shd w:val="clear" w:color="auto" w:fill="000000"/>
            <w:vAlign w:val="center"/>
          </w:tcPr>
          <w:p w:rsidR="00F72D0D" w:rsidRPr="00E7683F" w:rsidP="006566C2" w14:paraId="2D6BF060" w14:textId="3E79C560">
            <w:pPr>
              <w:widowControl/>
              <w:jc w:val="center"/>
              <w:rPr>
                <w:rFonts w:ascii="Calibri" w:eastAsia="Calibri" w:hAnsi="Calibri" w:cs="Calibri"/>
                <w:b/>
                <w:color w:val="000000"/>
                <w:sz w:val="22"/>
                <w:szCs w:val="22"/>
              </w:rPr>
            </w:pPr>
          </w:p>
        </w:tc>
        <w:tc>
          <w:tcPr>
            <w:tcW w:w="1142" w:type="dxa"/>
            <w:tcBorders>
              <w:top w:val="nil"/>
              <w:left w:val="nil"/>
              <w:bottom w:val="single" w:sz="8" w:space="0" w:color="000000"/>
              <w:right w:val="single" w:sz="8" w:space="0" w:color="000000"/>
            </w:tcBorders>
            <w:shd w:val="clear" w:color="auto" w:fill="DDEBF7"/>
            <w:vAlign w:val="center"/>
          </w:tcPr>
          <w:p w:rsidR="00F72D0D" w:rsidRPr="00E7683F" w:rsidP="006566C2" w14:paraId="20F1600E" w14:textId="25EB5F42">
            <w:pPr>
              <w:widowControl/>
              <w:jc w:val="center"/>
              <w:rPr>
                <w:rFonts w:ascii="Calibri" w:eastAsia="Calibri" w:hAnsi="Calibri" w:cs="Calibri"/>
                <w:b/>
                <w:color w:val="000000"/>
                <w:sz w:val="22"/>
                <w:szCs w:val="22"/>
              </w:rPr>
            </w:pPr>
            <w:r w:rsidRPr="00E7683F">
              <w:rPr>
                <w:rFonts w:ascii="Calibri" w:eastAsia="Calibri" w:hAnsi="Calibri" w:cs="Calibri"/>
                <w:b/>
                <w:color w:val="000000"/>
                <w:sz w:val="22"/>
                <w:szCs w:val="22"/>
              </w:rPr>
              <w:t>$</w:t>
            </w:r>
            <w:r w:rsidRPr="00E7683F" w:rsidR="007C5F69">
              <w:rPr>
                <w:rFonts w:ascii="Calibri" w:eastAsia="Calibri" w:hAnsi="Calibri" w:cs="Calibri"/>
                <w:b/>
                <w:color w:val="000000"/>
                <w:sz w:val="22"/>
                <w:szCs w:val="22"/>
              </w:rPr>
              <w:t>916</w:t>
            </w:r>
          </w:p>
        </w:tc>
      </w:tr>
    </w:tbl>
    <w:p w:rsidR="00F72D0D" w:rsidRPr="00103E50" w:rsidP="006566C2" w14:paraId="3893D33C" w14:textId="2D34BA91">
      <w:pPr>
        <w:widowControl/>
        <w:ind w:hanging="43"/>
      </w:pPr>
    </w:p>
    <w:p w:rsidR="00E044CA" w:rsidRPr="00103E50" w:rsidP="006566C2" w14:paraId="5AE623E4" w14:textId="77777777">
      <w:pPr>
        <w:widowControl/>
        <w:ind w:hanging="43"/>
      </w:pPr>
    </w:p>
    <w:p w:rsidR="00F72D0D" w:rsidRPr="00984EAE" w:rsidP="006566C2" w14:paraId="1A1B7C04" w14:textId="77777777">
      <w:pPr>
        <w:widowControl/>
        <w:numPr>
          <w:ilvl w:val="0"/>
          <w:numId w:val="4"/>
        </w:numPr>
        <w:pBdr>
          <w:top w:val="nil"/>
          <w:left w:val="nil"/>
          <w:bottom w:val="nil"/>
          <w:right w:val="nil"/>
          <w:between w:val="nil"/>
        </w:pBdr>
        <w:tabs>
          <w:tab w:val="left" w:pos="360"/>
        </w:tabs>
        <w:ind w:left="0" w:firstLine="0"/>
        <w:rPr>
          <w:b/>
          <w:color w:val="000000"/>
        </w:rPr>
      </w:pPr>
      <w:r w:rsidRPr="00984EAE">
        <w:rPr>
          <w:b/>
          <w:color w:val="000000"/>
        </w:rPr>
        <w:t>Provide an estimate for the total annual cost burden to respondents or record keepers resulting from the collection of information. (Do not include the cost of any hour burden already reflected on the burden worksheet).</w:t>
      </w:r>
    </w:p>
    <w:p w:rsidR="00F5767C" w:rsidRPr="00E044CA" w:rsidP="00CD31BF" w14:paraId="146BAA6B" w14:textId="77777777">
      <w:pPr>
        <w:widowControl/>
        <w:pBdr>
          <w:top w:val="nil"/>
          <w:left w:val="nil"/>
          <w:bottom w:val="nil"/>
          <w:right w:val="nil"/>
          <w:between w:val="nil"/>
        </w:pBdr>
        <w:rPr>
          <w:color w:val="000000"/>
        </w:rPr>
      </w:pPr>
    </w:p>
    <w:p w:rsidR="00F92B9B" w:rsidP="006566C2" w14:paraId="12CFC5AB" w14:textId="4607B920">
      <w:pPr>
        <w:widowControl/>
        <w:pBdr>
          <w:top w:val="nil"/>
          <w:left w:val="nil"/>
          <w:bottom w:val="nil"/>
          <w:right w:val="nil"/>
          <w:between w:val="nil"/>
        </w:pBdr>
        <w:rPr>
          <w:color w:val="000000"/>
        </w:rPr>
      </w:pPr>
      <w:r w:rsidRPr="0091682B">
        <w:rPr>
          <w:color w:val="000000"/>
        </w:rPr>
        <w:t>Operating costs account for the typical inclusive general office services packages that include expenses for email, fax, copying, mailing, printing, and internet.</w:t>
      </w:r>
    </w:p>
    <w:p w:rsidR="00E044CA" w:rsidRPr="0091682B" w:rsidP="006566C2" w14:paraId="3155D73E" w14:textId="77777777">
      <w:pPr>
        <w:widowControl/>
        <w:pBdr>
          <w:top w:val="nil"/>
          <w:left w:val="nil"/>
          <w:bottom w:val="nil"/>
          <w:right w:val="nil"/>
          <w:between w:val="nil"/>
        </w:pBdr>
        <w:rPr>
          <w:color w:val="000000"/>
        </w:rPr>
      </w:pPr>
    </w:p>
    <w:tbl>
      <w:tblPr>
        <w:tblStyle w:val="a1"/>
        <w:tblW w:w="10275" w:type="dxa"/>
        <w:tblInd w:w="-140" w:type="dxa"/>
        <w:tblLayout w:type="fixed"/>
        <w:tblLook w:val="0400"/>
      </w:tblPr>
      <w:tblGrid>
        <w:gridCol w:w="2560"/>
        <w:gridCol w:w="1350"/>
        <w:gridCol w:w="1350"/>
        <w:gridCol w:w="1620"/>
        <w:gridCol w:w="1865"/>
        <w:gridCol w:w="1530"/>
      </w:tblGrid>
      <w:tr w14:paraId="6DC6289B" w14:textId="77777777" w:rsidTr="00BC310E">
        <w:tblPrEx>
          <w:tblW w:w="10275" w:type="dxa"/>
          <w:tblInd w:w="-140" w:type="dxa"/>
          <w:tblLayout w:type="fixed"/>
          <w:tblLook w:val="0400"/>
        </w:tblPrEx>
        <w:trPr>
          <w:trHeight w:val="915"/>
        </w:trPr>
        <w:tc>
          <w:tcPr>
            <w:tcW w:w="25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2D0D" w:rsidRPr="00B2581E" w:rsidP="006566C2" w14:paraId="47E0867D" w14:textId="77777777">
            <w:pPr>
              <w:keepNext/>
              <w:keepLines/>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0B944B59" w14:textId="77777777">
            <w:pPr>
              <w:keepNext/>
              <w:keepLines/>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 of Respondents/year</w:t>
            </w:r>
            <w:r w:rsidRPr="00B2581E">
              <w:rPr>
                <w:rFonts w:ascii="Calibri" w:eastAsia="Calibri" w:hAnsi="Calibri" w:cs="Calibri"/>
                <w:b/>
                <w:color w:val="000000"/>
                <w:sz w:val="18"/>
                <w:szCs w:val="18"/>
              </w:rPr>
              <w:br/>
              <w:t>(a)</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531B3D6B" w14:textId="77777777">
            <w:pPr>
              <w:keepNext/>
              <w:keepLines/>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Annual # of Responses / Respondent</w:t>
            </w:r>
            <w:r w:rsidRPr="00B2581E">
              <w:rPr>
                <w:rFonts w:ascii="Calibri" w:eastAsia="Calibri" w:hAnsi="Calibri" w:cs="Calibri"/>
                <w:b/>
                <w:color w:val="000000"/>
                <w:sz w:val="18"/>
                <w:szCs w:val="18"/>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57101287" w14:textId="77777777">
            <w:pPr>
              <w:keepNext/>
              <w:keepLines/>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 xml:space="preserve"> Total # of Annual Responses</w:t>
            </w:r>
            <w:r w:rsidRPr="00B2581E">
              <w:rPr>
                <w:rFonts w:ascii="Calibri" w:eastAsia="Calibri" w:hAnsi="Calibri" w:cs="Calibri"/>
                <w:b/>
                <w:color w:val="000000"/>
                <w:sz w:val="18"/>
                <w:szCs w:val="18"/>
              </w:rPr>
              <w:br/>
              <w:t>(c) = (a) x (b)</w:t>
            </w:r>
          </w:p>
        </w:tc>
        <w:tc>
          <w:tcPr>
            <w:tcW w:w="1865"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1EA3AB06" w14:textId="77777777">
            <w:pPr>
              <w:keepNext/>
              <w:keepLines/>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Cost Burden / Respondent</w:t>
            </w:r>
            <w:r w:rsidRPr="00B2581E">
              <w:rPr>
                <w:rFonts w:ascii="Calibri" w:eastAsia="Calibri" w:hAnsi="Calibri" w:cs="Calibri"/>
                <w:b/>
                <w:color w:val="000000"/>
                <w:sz w:val="18"/>
                <w:szCs w:val="18"/>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F72D0D" w:rsidRPr="00B2581E" w:rsidP="006566C2" w14:paraId="07E4C0D4" w14:textId="77777777">
            <w:pPr>
              <w:keepNext/>
              <w:keepLines/>
              <w:widowControl/>
              <w:jc w:val="center"/>
              <w:rPr>
                <w:rFonts w:ascii="Calibri" w:eastAsia="Calibri" w:hAnsi="Calibri" w:cs="Calibri"/>
                <w:b/>
                <w:color w:val="000000"/>
                <w:sz w:val="18"/>
                <w:szCs w:val="18"/>
              </w:rPr>
            </w:pPr>
            <w:r w:rsidRPr="00B2581E">
              <w:rPr>
                <w:rFonts w:ascii="Calibri" w:eastAsia="Calibri" w:hAnsi="Calibri" w:cs="Calibri"/>
                <w:b/>
                <w:color w:val="000000"/>
                <w:sz w:val="18"/>
                <w:szCs w:val="18"/>
              </w:rPr>
              <w:t>Total Annual Cost Burden</w:t>
            </w:r>
            <w:r w:rsidRPr="00B2581E">
              <w:rPr>
                <w:rFonts w:ascii="Calibri" w:eastAsia="Calibri" w:hAnsi="Calibri" w:cs="Calibri"/>
                <w:b/>
                <w:color w:val="000000"/>
                <w:sz w:val="18"/>
                <w:szCs w:val="18"/>
              </w:rPr>
              <w:br/>
              <w:t>(i) = (c) x (h)</w:t>
            </w:r>
          </w:p>
        </w:tc>
      </w:tr>
      <w:tr w14:paraId="5B7303DB" w14:textId="77777777" w:rsidTr="00BC310E">
        <w:tblPrEx>
          <w:tblW w:w="10275" w:type="dxa"/>
          <w:tblInd w:w="-140" w:type="dxa"/>
          <w:tblLayout w:type="fixed"/>
          <w:tblLook w:val="0400"/>
        </w:tblPrEx>
        <w:trPr>
          <w:trHeight w:val="300"/>
        </w:trPr>
        <w:tc>
          <w:tcPr>
            <w:tcW w:w="2560" w:type="dxa"/>
            <w:tcBorders>
              <w:top w:val="nil"/>
              <w:left w:val="single" w:sz="4" w:space="0" w:color="000000"/>
              <w:bottom w:val="single" w:sz="4" w:space="0" w:color="000000"/>
              <w:right w:val="single" w:sz="4" w:space="0" w:color="000000"/>
            </w:tcBorders>
            <w:shd w:val="clear" w:color="auto" w:fill="auto"/>
            <w:vAlign w:val="center"/>
          </w:tcPr>
          <w:p w:rsidR="00F92B9B" w:rsidP="006566C2" w14:paraId="6610A6DC" w14:textId="63EE8580">
            <w:pPr>
              <w:keepNext/>
              <w:keepLines/>
              <w:widowControl/>
              <w:rPr>
                <w:rFonts w:ascii="Calibri" w:eastAsia="Calibri" w:hAnsi="Calibri" w:cs="Calibri"/>
                <w:color w:val="000000"/>
                <w:sz w:val="16"/>
                <w:szCs w:val="16"/>
              </w:rPr>
            </w:pPr>
            <w:r w:rsidRPr="007E387B">
              <w:rPr>
                <w:rFonts w:ascii="Calibri" w:eastAsia="Calibri" w:hAnsi="Calibri" w:cs="Calibri"/>
                <w:color w:val="000000"/>
                <w:sz w:val="18"/>
                <w:szCs w:val="18"/>
              </w:rPr>
              <w:t>Annual Aleutian Islands Pollock Fishery Participant Letter</w:t>
            </w:r>
          </w:p>
        </w:tc>
        <w:tc>
          <w:tcPr>
            <w:tcW w:w="1350" w:type="dxa"/>
            <w:tcBorders>
              <w:top w:val="nil"/>
              <w:left w:val="nil"/>
              <w:bottom w:val="single" w:sz="4" w:space="0" w:color="000000"/>
              <w:right w:val="single" w:sz="4" w:space="0" w:color="000000"/>
            </w:tcBorders>
            <w:shd w:val="clear" w:color="auto" w:fill="FFFFFF"/>
            <w:vAlign w:val="center"/>
          </w:tcPr>
          <w:p w:rsidR="00F92B9B" w:rsidP="006566C2" w14:paraId="27DE3D22" w14:textId="03C8493A">
            <w:pPr>
              <w:keepNext/>
              <w:keepLines/>
              <w:widowControl/>
              <w:jc w:val="right"/>
              <w:rPr>
                <w:rFonts w:ascii="Calibri" w:eastAsia="Calibri" w:hAnsi="Calibri" w:cs="Calibri"/>
                <w:color w:val="000000"/>
                <w:sz w:val="16"/>
                <w:szCs w:val="16"/>
              </w:rPr>
            </w:pPr>
            <w:r w:rsidRPr="007E387B">
              <w:rPr>
                <w:rFonts w:ascii="Calibri" w:eastAsia="Calibri" w:hAnsi="Calibri" w:cs="Calibri"/>
                <w:color w:val="000000"/>
                <w:sz w:val="18"/>
                <w:szCs w:val="18"/>
              </w:rPr>
              <w:t>1</w:t>
            </w:r>
          </w:p>
        </w:tc>
        <w:tc>
          <w:tcPr>
            <w:tcW w:w="1350" w:type="dxa"/>
            <w:tcBorders>
              <w:top w:val="nil"/>
              <w:left w:val="nil"/>
              <w:bottom w:val="single" w:sz="4" w:space="0" w:color="000000"/>
              <w:right w:val="single" w:sz="4" w:space="0" w:color="000000"/>
            </w:tcBorders>
            <w:shd w:val="clear" w:color="auto" w:fill="FFFFFF"/>
            <w:vAlign w:val="center"/>
          </w:tcPr>
          <w:p w:rsidR="00F92B9B" w:rsidP="006566C2" w14:paraId="13DC1AD2" w14:textId="694A8F88">
            <w:pPr>
              <w:keepNext/>
              <w:keepLines/>
              <w:widowControl/>
              <w:jc w:val="right"/>
              <w:rPr>
                <w:rFonts w:ascii="Calibri" w:eastAsia="Calibri" w:hAnsi="Calibri" w:cs="Calibri"/>
                <w:color w:val="000000"/>
                <w:sz w:val="16"/>
                <w:szCs w:val="16"/>
              </w:rPr>
            </w:pPr>
            <w:r w:rsidRPr="007E387B">
              <w:rPr>
                <w:rFonts w:ascii="Calibri" w:eastAsia="Calibri" w:hAnsi="Calibri" w:cs="Calibri"/>
                <w:color w:val="000000"/>
                <w:sz w:val="18"/>
                <w:szCs w:val="18"/>
              </w:rPr>
              <w:t>1</w:t>
            </w:r>
          </w:p>
        </w:tc>
        <w:tc>
          <w:tcPr>
            <w:tcW w:w="1620" w:type="dxa"/>
            <w:tcBorders>
              <w:top w:val="nil"/>
              <w:left w:val="nil"/>
              <w:bottom w:val="single" w:sz="4" w:space="0" w:color="000000"/>
              <w:right w:val="single" w:sz="4" w:space="0" w:color="000000"/>
            </w:tcBorders>
            <w:shd w:val="clear" w:color="auto" w:fill="FFFFFF"/>
            <w:vAlign w:val="center"/>
          </w:tcPr>
          <w:p w:rsidR="00F92B9B" w:rsidP="006566C2" w14:paraId="7DFD991E" w14:textId="52437C4B">
            <w:pPr>
              <w:keepNext/>
              <w:keepLines/>
              <w:widowControl/>
              <w:jc w:val="right"/>
              <w:rPr>
                <w:rFonts w:ascii="Calibri" w:eastAsia="Calibri" w:hAnsi="Calibri" w:cs="Calibri"/>
                <w:color w:val="000000"/>
                <w:sz w:val="16"/>
                <w:szCs w:val="16"/>
              </w:rPr>
            </w:pPr>
            <w:r w:rsidRPr="007E387B">
              <w:rPr>
                <w:rFonts w:ascii="Calibri" w:eastAsia="Calibri" w:hAnsi="Calibri" w:cs="Calibri"/>
                <w:color w:val="000000"/>
                <w:sz w:val="18"/>
                <w:szCs w:val="18"/>
              </w:rPr>
              <w:t>1</w:t>
            </w:r>
          </w:p>
        </w:tc>
        <w:tc>
          <w:tcPr>
            <w:tcW w:w="1865" w:type="dxa"/>
            <w:tcBorders>
              <w:top w:val="nil"/>
              <w:left w:val="nil"/>
              <w:bottom w:val="single" w:sz="4" w:space="0" w:color="000000"/>
              <w:right w:val="single" w:sz="4" w:space="0" w:color="000000"/>
            </w:tcBorders>
            <w:shd w:val="clear" w:color="auto" w:fill="FFFFFF"/>
            <w:vAlign w:val="center"/>
          </w:tcPr>
          <w:p w:rsidR="00F92B9B" w:rsidP="006566C2" w14:paraId="04E801E6" w14:textId="76B0B853">
            <w:pPr>
              <w:keepNext/>
              <w:keepLines/>
              <w:widowControl/>
              <w:jc w:val="right"/>
              <w:rPr>
                <w:rFonts w:ascii="Calibri" w:eastAsia="Calibri" w:hAnsi="Calibri" w:cs="Calibri"/>
                <w:color w:val="000000"/>
                <w:sz w:val="16"/>
                <w:szCs w:val="16"/>
              </w:rPr>
            </w:pPr>
            <w:r w:rsidRPr="007E387B">
              <w:rPr>
                <w:rFonts w:ascii="Calibri" w:eastAsia="Calibri" w:hAnsi="Calibri" w:cs="Calibri"/>
                <w:color w:val="000000"/>
                <w:sz w:val="18"/>
                <w:szCs w:val="18"/>
              </w:rPr>
              <w:t xml:space="preserve">Operating costs </w:t>
            </w:r>
            <w:r w:rsidR="00BA0045">
              <w:rPr>
                <w:rFonts w:ascii="Calibri" w:eastAsia="Calibri" w:hAnsi="Calibri" w:cs="Calibri"/>
                <w:color w:val="000000"/>
                <w:sz w:val="18"/>
                <w:szCs w:val="18"/>
              </w:rPr>
              <w:t>–</w:t>
            </w:r>
            <w:r w:rsidRPr="007E387B">
              <w:rPr>
                <w:rFonts w:ascii="Calibri" w:eastAsia="Calibri" w:hAnsi="Calibri" w:cs="Calibri"/>
                <w:color w:val="000000"/>
                <w:sz w:val="18"/>
                <w:szCs w:val="18"/>
              </w:rPr>
              <w:t xml:space="preserve"> $5</w:t>
            </w:r>
          </w:p>
        </w:tc>
        <w:tc>
          <w:tcPr>
            <w:tcW w:w="1530" w:type="dxa"/>
            <w:tcBorders>
              <w:top w:val="nil"/>
              <w:left w:val="nil"/>
              <w:bottom w:val="single" w:sz="4" w:space="0" w:color="000000"/>
              <w:right w:val="single" w:sz="8" w:space="0" w:color="000000"/>
            </w:tcBorders>
            <w:shd w:val="clear" w:color="auto" w:fill="FFFFFF"/>
            <w:vAlign w:val="center"/>
          </w:tcPr>
          <w:p w:rsidR="00F92B9B" w:rsidP="006566C2" w14:paraId="539D7A8B" w14:textId="1811EABC">
            <w:pPr>
              <w:keepNext/>
              <w:keepLines/>
              <w:widowControl/>
              <w:jc w:val="right"/>
              <w:rPr>
                <w:rFonts w:ascii="Calibri" w:eastAsia="Calibri" w:hAnsi="Calibri" w:cs="Calibri"/>
                <w:color w:val="000000"/>
                <w:sz w:val="16"/>
                <w:szCs w:val="16"/>
              </w:rPr>
            </w:pPr>
            <w:r w:rsidRPr="007E387B">
              <w:rPr>
                <w:rFonts w:ascii="Calibri" w:eastAsia="Calibri" w:hAnsi="Calibri" w:cs="Calibri"/>
                <w:color w:val="000000"/>
                <w:sz w:val="18"/>
                <w:szCs w:val="18"/>
              </w:rPr>
              <w:t>$5</w:t>
            </w:r>
          </w:p>
        </w:tc>
      </w:tr>
      <w:tr w14:paraId="274CA39C" w14:textId="77777777" w:rsidTr="00BC310E">
        <w:tblPrEx>
          <w:tblW w:w="10275" w:type="dxa"/>
          <w:tblInd w:w="-140" w:type="dxa"/>
          <w:tblLayout w:type="fixed"/>
          <w:tblLook w:val="0400"/>
        </w:tblPrEx>
        <w:trPr>
          <w:trHeight w:val="438"/>
        </w:trPr>
        <w:tc>
          <w:tcPr>
            <w:tcW w:w="256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F72D0D" w:rsidRPr="00B2581E" w:rsidP="006566C2" w14:paraId="0971296C" w14:textId="77777777">
            <w:pPr>
              <w:keepNext/>
              <w:keepLines/>
              <w:widowControl/>
              <w:jc w:val="right"/>
              <w:rPr>
                <w:rFonts w:ascii="Calibri" w:eastAsia="Calibri" w:hAnsi="Calibri" w:cs="Calibri"/>
                <w:b/>
                <w:color w:val="000000"/>
              </w:rPr>
            </w:pPr>
            <w:r w:rsidRPr="00B2581E">
              <w:rPr>
                <w:rFonts w:ascii="Calibri" w:eastAsia="Calibri" w:hAnsi="Calibri" w:cs="Calibri"/>
                <w:b/>
                <w:color w:val="000000"/>
              </w:rPr>
              <w:t>TOTALS</w:t>
            </w: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F72D0D" w:rsidRPr="00B2581E" w:rsidP="006566C2" w14:paraId="554EC204" w14:textId="0B98ABD4">
            <w:pPr>
              <w:keepNext/>
              <w:keepLines/>
              <w:widowControl/>
              <w:jc w:val="right"/>
              <w:rPr>
                <w:rFonts w:ascii="Calibri" w:eastAsia="Calibri" w:hAnsi="Calibri" w:cs="Calibri"/>
                <w:b/>
                <w:color w:val="000000"/>
              </w:rPr>
            </w:pPr>
            <w:r w:rsidRPr="00B2581E">
              <w:rPr>
                <w:rFonts w:ascii="Calibri" w:eastAsia="Calibri" w:hAnsi="Calibri" w:cs="Calibri"/>
                <w:b/>
                <w:color w:val="000000"/>
              </w:rPr>
              <w:t>1</w:t>
            </w:r>
            <w:r w:rsidRPr="00B2581E" w:rsidR="007F48A1">
              <w:rPr>
                <w:rFonts w:ascii="Calibri" w:eastAsia="Calibri" w:hAnsi="Calibri" w:cs="Calibri"/>
                <w:b/>
                <w:color w:val="000000"/>
              </w:rPr>
              <w:t> </w:t>
            </w:r>
          </w:p>
        </w:tc>
        <w:tc>
          <w:tcPr>
            <w:tcW w:w="1350" w:type="dxa"/>
            <w:tcBorders>
              <w:top w:val="single" w:sz="8" w:space="0" w:color="000000"/>
              <w:left w:val="nil"/>
              <w:bottom w:val="single" w:sz="8" w:space="0" w:color="000000"/>
              <w:right w:val="single" w:sz="4" w:space="0" w:color="000000"/>
            </w:tcBorders>
            <w:shd w:val="clear" w:color="auto" w:fill="000000" w:themeFill="text1"/>
            <w:vAlign w:val="center"/>
          </w:tcPr>
          <w:p w:rsidR="00F72D0D" w:rsidRPr="00B2581E" w:rsidP="006566C2" w14:paraId="4975EC9E" w14:textId="77777777">
            <w:pPr>
              <w:keepNext/>
              <w:keepLines/>
              <w:widowControl/>
              <w:jc w:val="right"/>
              <w:rPr>
                <w:rFonts w:ascii="Calibri" w:eastAsia="Calibri" w:hAnsi="Calibri" w:cs="Calibri"/>
                <w:b/>
                <w:color w:val="000000"/>
              </w:rPr>
            </w:pPr>
            <w:r w:rsidRPr="00B2581E">
              <w:rPr>
                <w:rFonts w:ascii="Calibri" w:eastAsia="Calibri" w:hAnsi="Calibri" w:cs="Calibri"/>
                <w:b/>
                <w:color w:val="000000"/>
              </w:rPr>
              <w:t>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F72D0D" w:rsidRPr="00B2581E" w:rsidP="006566C2" w14:paraId="4C034915" w14:textId="1FBE4228">
            <w:pPr>
              <w:keepNext/>
              <w:keepLines/>
              <w:widowControl/>
              <w:jc w:val="right"/>
              <w:rPr>
                <w:rFonts w:ascii="Calibri" w:eastAsia="Calibri" w:hAnsi="Calibri" w:cs="Calibri"/>
                <w:b/>
                <w:color w:val="000000"/>
              </w:rPr>
            </w:pPr>
            <w:r w:rsidRPr="00B2581E">
              <w:rPr>
                <w:rFonts w:ascii="Calibri" w:eastAsia="Calibri" w:hAnsi="Calibri" w:cs="Calibri"/>
                <w:b/>
                <w:color w:val="000000"/>
              </w:rPr>
              <w:t>1</w:t>
            </w:r>
            <w:r w:rsidRPr="00B2581E" w:rsidR="007F48A1">
              <w:rPr>
                <w:rFonts w:ascii="Calibri" w:eastAsia="Calibri" w:hAnsi="Calibri" w:cs="Calibri"/>
                <w:b/>
                <w:color w:val="000000"/>
              </w:rPr>
              <w:t xml:space="preserve">   </w:t>
            </w:r>
          </w:p>
        </w:tc>
        <w:tc>
          <w:tcPr>
            <w:tcW w:w="1865" w:type="dxa"/>
            <w:tcBorders>
              <w:top w:val="single" w:sz="8" w:space="0" w:color="000000"/>
              <w:left w:val="nil"/>
              <w:bottom w:val="single" w:sz="8" w:space="0" w:color="000000"/>
              <w:right w:val="single" w:sz="4" w:space="0" w:color="000000"/>
            </w:tcBorders>
            <w:shd w:val="clear" w:color="auto" w:fill="000000" w:themeFill="text1"/>
            <w:vAlign w:val="center"/>
          </w:tcPr>
          <w:p w:rsidR="00F72D0D" w:rsidRPr="00B2581E" w:rsidP="006566C2" w14:paraId="351782BF" w14:textId="2C79612F">
            <w:pPr>
              <w:keepNext/>
              <w:keepLines/>
              <w:widowControl/>
              <w:jc w:val="right"/>
              <w:rPr>
                <w:rFonts w:ascii="Calibri" w:eastAsia="Calibri" w:hAnsi="Calibri" w:cs="Calibri"/>
                <w:b/>
                <w:color w:val="000000"/>
              </w:rPr>
            </w:pP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F72D0D" w:rsidRPr="00B2581E" w:rsidP="006566C2" w14:paraId="61FFA43D" w14:textId="48128A1E">
            <w:pPr>
              <w:keepNext/>
              <w:keepLines/>
              <w:widowControl/>
              <w:jc w:val="right"/>
              <w:rPr>
                <w:rFonts w:ascii="Calibri" w:eastAsia="Calibri" w:hAnsi="Calibri" w:cs="Calibri"/>
                <w:b/>
                <w:color w:val="000000"/>
              </w:rPr>
            </w:pPr>
            <w:r w:rsidRPr="00B2581E">
              <w:rPr>
                <w:rFonts w:ascii="Calibri" w:eastAsia="Calibri" w:hAnsi="Calibri" w:cs="Calibri"/>
                <w:b/>
                <w:color w:val="000000"/>
              </w:rPr>
              <w:t>$5</w:t>
            </w:r>
            <w:r w:rsidRPr="00B2581E" w:rsidR="007F48A1">
              <w:rPr>
                <w:rFonts w:ascii="Calibri" w:eastAsia="Calibri" w:hAnsi="Calibri" w:cs="Calibri"/>
                <w:b/>
                <w:color w:val="000000"/>
              </w:rPr>
              <w:t xml:space="preserve">  </w:t>
            </w:r>
          </w:p>
        </w:tc>
      </w:tr>
    </w:tbl>
    <w:p w:rsidR="00F72D0D" w:rsidP="00A01F2D" w14:paraId="422D5D48" w14:textId="6861CDEF">
      <w:pPr>
        <w:widowControl/>
        <w:pBdr>
          <w:top w:val="nil"/>
          <w:left w:val="nil"/>
          <w:bottom w:val="nil"/>
          <w:right w:val="nil"/>
          <w:between w:val="nil"/>
        </w:pBdr>
        <w:rPr>
          <w:color w:val="000000"/>
        </w:rPr>
      </w:pPr>
    </w:p>
    <w:p w:rsidR="003B3B89" w:rsidRPr="00E044CA" w:rsidP="00A01F2D" w14:paraId="0B2640D0" w14:textId="77777777">
      <w:pPr>
        <w:widowControl/>
        <w:pBdr>
          <w:top w:val="nil"/>
          <w:left w:val="nil"/>
          <w:bottom w:val="nil"/>
          <w:right w:val="nil"/>
          <w:between w:val="nil"/>
        </w:pBdr>
        <w:rPr>
          <w:color w:val="000000"/>
        </w:rPr>
      </w:pPr>
    </w:p>
    <w:p w:rsidR="00F72D0D" w:rsidP="00A01F2D" w14:paraId="5A3B3469"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568D5" w:rsidP="00A01F2D" w14:paraId="26F0A73B" w14:textId="77777777">
      <w:pPr>
        <w:widowControl/>
        <w:pBdr>
          <w:top w:val="nil"/>
          <w:left w:val="nil"/>
          <w:bottom w:val="nil"/>
          <w:right w:val="nil"/>
          <w:between w:val="nil"/>
        </w:pBdr>
        <w:tabs>
          <w:tab w:val="left" w:pos="360"/>
        </w:tabs>
        <w:rPr>
          <w:color w:val="000000"/>
        </w:rPr>
      </w:pPr>
    </w:p>
    <w:p w:rsidR="002E48A7" w:rsidP="00A01F2D" w14:paraId="7A8A93F9" w14:textId="77777777">
      <w:pPr>
        <w:widowControl/>
        <w:pBdr>
          <w:top w:val="nil"/>
          <w:left w:val="nil"/>
          <w:bottom w:val="nil"/>
          <w:right w:val="nil"/>
          <w:between w:val="nil"/>
        </w:pBdr>
        <w:tabs>
          <w:tab w:val="left" w:pos="360"/>
        </w:tabs>
        <w:rPr>
          <w:color w:val="000000"/>
        </w:rPr>
      </w:pPr>
      <w:r w:rsidRPr="00C15295">
        <w:rPr>
          <w:color w:val="000000"/>
        </w:rPr>
        <w:t xml:space="preserve">A cost recovery program is in effect for the AI pollock fishery. Cost recovery </w:t>
      </w:r>
      <w:r w:rsidRPr="00C15295">
        <w:rPr>
          <w:color w:val="000000"/>
        </w:rPr>
        <w:t>is authorized</w:t>
      </w:r>
      <w:r w:rsidRPr="00C15295">
        <w:rPr>
          <w:color w:val="000000"/>
        </w:rPr>
        <w:t xml:space="preserve"> under OMB </w:t>
      </w:r>
      <w:r>
        <w:rPr>
          <w:color w:val="000000"/>
        </w:rPr>
        <w:t>C</w:t>
      </w:r>
      <w:r w:rsidRPr="00C15295">
        <w:rPr>
          <w:color w:val="000000"/>
        </w:rPr>
        <w:t xml:space="preserve">ontrol </w:t>
      </w:r>
      <w:r>
        <w:rPr>
          <w:color w:val="000000"/>
        </w:rPr>
        <w:t>N</w:t>
      </w:r>
      <w:r w:rsidRPr="00C15295">
        <w:rPr>
          <w:color w:val="000000"/>
        </w:rPr>
        <w:t>umber 0648-0711.</w:t>
      </w:r>
      <w:r w:rsidR="00441657">
        <w:rPr>
          <w:color w:val="000000"/>
        </w:rPr>
        <w:t xml:space="preserve"> </w:t>
      </w:r>
    </w:p>
    <w:p w:rsidR="002E48A7" w:rsidP="00A01F2D" w14:paraId="087C280F" w14:textId="77777777">
      <w:pPr>
        <w:widowControl/>
        <w:pBdr>
          <w:top w:val="nil"/>
          <w:left w:val="nil"/>
          <w:bottom w:val="nil"/>
          <w:right w:val="nil"/>
          <w:between w:val="nil"/>
        </w:pBdr>
        <w:tabs>
          <w:tab w:val="left" w:pos="360"/>
        </w:tabs>
        <w:rPr>
          <w:color w:val="000000"/>
        </w:rPr>
      </w:pPr>
    </w:p>
    <w:p w:rsidR="00441657" w:rsidP="00A01F2D" w14:paraId="02F6C6AF" w14:textId="45CA0CCD">
      <w:pPr>
        <w:widowControl/>
        <w:pBdr>
          <w:top w:val="nil"/>
          <w:left w:val="nil"/>
          <w:bottom w:val="nil"/>
          <w:right w:val="nil"/>
          <w:between w:val="nil"/>
        </w:pBdr>
        <w:tabs>
          <w:tab w:val="left" w:pos="360"/>
        </w:tabs>
        <w:rPr>
          <w:color w:val="000000"/>
        </w:rPr>
      </w:pPr>
      <w:r w:rsidRPr="00C15295">
        <w:rPr>
          <w:color w:val="000000"/>
        </w:rPr>
        <w:t xml:space="preserve">Under this cost recovery program, NMFS </w:t>
      </w:r>
      <w:r w:rsidRPr="00C15295">
        <w:rPr>
          <w:color w:val="000000"/>
        </w:rPr>
        <w:t>is authorized</w:t>
      </w:r>
      <w:r w:rsidRPr="00C15295">
        <w:rPr>
          <w:color w:val="000000"/>
        </w:rPr>
        <w:t xml:space="preserve"> to collect direct program costs from </w:t>
      </w:r>
      <w:r w:rsidR="00B4781E">
        <w:rPr>
          <w:color w:val="000000"/>
        </w:rPr>
        <w:t>The Aleut</w:t>
      </w:r>
      <w:r>
        <w:rPr>
          <w:color w:val="000000"/>
        </w:rPr>
        <w:t xml:space="preserve"> Corporation. </w:t>
      </w:r>
      <w:r w:rsidRPr="002E48A7" w:rsidR="002E48A7">
        <w:rPr>
          <w:color w:val="000000"/>
        </w:rPr>
        <w:t xml:space="preserve">Therefore, the information collection requirements of the </w:t>
      </w:r>
      <w:r w:rsidR="002E48A7">
        <w:rPr>
          <w:color w:val="000000"/>
        </w:rPr>
        <w:t xml:space="preserve">AI pollock fishery </w:t>
      </w:r>
      <w:r w:rsidRPr="002E48A7" w:rsidR="002E48A7">
        <w:rPr>
          <w:color w:val="000000"/>
        </w:rPr>
        <w:t xml:space="preserve">do not impose a cost on the Federal government. </w:t>
      </w:r>
      <w:r w:rsidRPr="00441657" w:rsidR="002E48A7">
        <w:rPr>
          <w:color w:val="000000"/>
        </w:rPr>
        <w:t xml:space="preserve">Direct program costs are the costs NMFS incurs to manage, collect data from, and enforce the AI pollock fishery.  </w:t>
      </w:r>
    </w:p>
    <w:p w:rsidR="002E48A7" w:rsidP="00A01F2D" w14:paraId="1730BF40" w14:textId="1D2AE369">
      <w:pPr>
        <w:widowControl/>
        <w:pBdr>
          <w:top w:val="nil"/>
          <w:left w:val="nil"/>
          <w:bottom w:val="nil"/>
          <w:right w:val="nil"/>
          <w:between w:val="nil"/>
        </w:pBdr>
        <w:tabs>
          <w:tab w:val="left" w:pos="360"/>
        </w:tabs>
        <w:rPr>
          <w:color w:val="000000"/>
        </w:rPr>
      </w:pPr>
    </w:p>
    <w:p w:rsidR="005C14A1" w:rsidP="00A01F2D" w14:paraId="4659D9F2" w14:textId="33C3AAE0">
      <w:pPr>
        <w:widowControl/>
        <w:pBdr>
          <w:top w:val="nil"/>
          <w:left w:val="nil"/>
          <w:bottom w:val="nil"/>
          <w:right w:val="nil"/>
          <w:between w:val="nil"/>
        </w:pBdr>
        <w:tabs>
          <w:tab w:val="left" w:pos="360"/>
        </w:tabs>
        <w:rPr>
          <w:color w:val="000000"/>
        </w:rPr>
      </w:pPr>
      <w:r>
        <w:rPr>
          <w:color w:val="000000"/>
        </w:rPr>
        <w:t>The Aleut Corporation has not submitted a list of participants since 2020 because n</w:t>
      </w:r>
      <w:r>
        <w:rPr>
          <w:color w:val="000000"/>
        </w:rPr>
        <w:t xml:space="preserve">o directed fishing for AI pollock allocated to The Aleut Corporation has occurred since the </w:t>
      </w:r>
      <w:r>
        <w:rPr>
          <w:color w:val="000000"/>
        </w:rPr>
        <w:t>2020 fishing</w:t>
      </w:r>
      <w:r>
        <w:rPr>
          <w:color w:val="000000"/>
        </w:rPr>
        <w:t xml:space="preserve"> year</w:t>
      </w:r>
      <w:r>
        <w:rPr>
          <w:color w:val="000000"/>
        </w:rPr>
        <w:t xml:space="preserve">. </w:t>
      </w:r>
      <w:r>
        <w:rPr>
          <w:color w:val="000000"/>
        </w:rPr>
        <w:t xml:space="preserve"> </w:t>
      </w:r>
    </w:p>
    <w:p w:rsidR="002E48A7" w:rsidP="00A01F2D" w14:paraId="1162FB14" w14:textId="77777777">
      <w:pPr>
        <w:widowControl/>
        <w:pBdr>
          <w:top w:val="nil"/>
          <w:left w:val="nil"/>
          <w:bottom w:val="nil"/>
          <w:right w:val="nil"/>
          <w:between w:val="nil"/>
        </w:pBdr>
        <w:tabs>
          <w:tab w:val="left" w:pos="360"/>
        </w:tabs>
        <w:rPr>
          <w:color w:val="000000"/>
        </w:rPr>
      </w:pPr>
    </w:p>
    <w:p w:rsidR="00F72D0D" w:rsidP="00A01F2D" w14:paraId="142A3A08"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F72D0D" w:rsidP="00A01F2D" w14:paraId="12FE4AFB" w14:textId="685C7279">
      <w:pPr>
        <w:widowControl/>
        <w:pBdr>
          <w:top w:val="nil"/>
          <w:left w:val="nil"/>
          <w:bottom w:val="nil"/>
          <w:right w:val="nil"/>
          <w:between w:val="nil"/>
        </w:pBdr>
        <w:rPr>
          <w:b/>
          <w:color w:val="000000"/>
        </w:rPr>
      </w:pPr>
    </w:p>
    <w:p w:rsidR="007568D5" w:rsidP="00A01F2D" w14:paraId="5AF63F76" w14:textId="3A2F992C">
      <w:pPr>
        <w:widowControl/>
        <w:pBdr>
          <w:top w:val="nil"/>
          <w:left w:val="nil"/>
          <w:bottom w:val="nil"/>
          <w:right w:val="nil"/>
          <w:between w:val="nil"/>
        </w:pBdr>
        <w:rPr>
          <w:color w:val="000000"/>
        </w:rPr>
      </w:pPr>
      <w:r w:rsidRPr="0089316E">
        <w:rPr>
          <w:color w:val="000000"/>
        </w:rPr>
        <w:t>There are no changes to the information collection since the last OMB approval</w:t>
      </w:r>
      <w:r>
        <w:rPr>
          <w:color w:val="000000"/>
        </w:rPr>
        <w:t>.</w:t>
      </w:r>
    </w:p>
    <w:p w:rsidR="0089316E" w:rsidP="00A01F2D" w14:paraId="52990753" w14:textId="77777777">
      <w:pPr>
        <w:widowControl/>
        <w:pBdr>
          <w:top w:val="nil"/>
          <w:left w:val="nil"/>
          <w:bottom w:val="nil"/>
          <w:right w:val="nil"/>
          <w:between w:val="nil"/>
        </w:pBdr>
        <w:rPr>
          <w:b/>
          <w:color w:val="000000"/>
        </w:rPr>
      </w:pPr>
    </w:p>
    <w:p w:rsidR="00F72D0D" w:rsidP="00A01F2D" w14:paraId="741A4573"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452185" w:rsidP="00A01F2D" w14:paraId="5F4FCDB5" w14:textId="77777777">
      <w:pPr>
        <w:widowControl/>
        <w:tabs>
          <w:tab w:val="left" w:pos="360"/>
          <w:tab w:val="left" w:pos="720"/>
          <w:tab w:val="left" w:pos="1080"/>
          <w:tab w:val="left" w:pos="1440"/>
        </w:tabs>
      </w:pPr>
    </w:p>
    <w:p w:rsidR="004556CC" w:rsidP="00A01F2D" w14:paraId="01B05BF1" w14:textId="5894CB80">
      <w:pPr>
        <w:widowControl/>
        <w:tabs>
          <w:tab w:val="left" w:pos="360"/>
          <w:tab w:val="left" w:pos="720"/>
          <w:tab w:val="left" w:pos="1080"/>
          <w:tab w:val="left" w:pos="1440"/>
        </w:tabs>
      </w:pPr>
      <w:r w:rsidRPr="001E1E4D">
        <w:t xml:space="preserve">It </w:t>
      </w:r>
      <w:r w:rsidRPr="001E1E4D">
        <w:t>is anticipated</w:t>
      </w:r>
      <w:r w:rsidRPr="001E1E4D">
        <w:t xml:space="preserve">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This information collection </w:t>
      </w:r>
      <w:r w:rsidRPr="001E1E4D">
        <w:t>is designed</w:t>
      </w:r>
      <w:r w:rsidRPr="001E1E4D">
        <w:t xml:space="preserve"> to yield data that meet all applicable information quality guidelines. Prior to dissemination, the information </w:t>
      </w:r>
      <w:r w:rsidRPr="001E1E4D">
        <w:t>will be subjected</w:t>
      </w:r>
      <w:r w:rsidRPr="001E1E4D">
        <w:t xml:space="preserve"> to quality control measures and a pre-dissemination review pursuant to Section 515 of Public Law 106-554.</w:t>
      </w:r>
    </w:p>
    <w:p w:rsidR="00452185" w:rsidP="00A01F2D" w14:paraId="3631473B" w14:textId="77777777">
      <w:pPr>
        <w:widowControl/>
        <w:tabs>
          <w:tab w:val="left" w:pos="360"/>
          <w:tab w:val="left" w:pos="720"/>
          <w:tab w:val="left" w:pos="1080"/>
          <w:tab w:val="left" w:pos="1440"/>
        </w:tabs>
      </w:pPr>
    </w:p>
    <w:p w:rsidR="00452185" w:rsidP="00A01F2D" w14:paraId="30FB7A5E" w14:textId="21E3AB59">
      <w:pPr>
        <w:widowControl/>
        <w:tabs>
          <w:tab w:val="left" w:pos="360"/>
          <w:tab w:val="left" w:pos="720"/>
          <w:tab w:val="left" w:pos="1080"/>
          <w:tab w:val="left" w:pos="1440"/>
        </w:tabs>
      </w:pPr>
      <w:r w:rsidRPr="000C0E4A">
        <w:t xml:space="preserve">The list of approved harvesters and processors selected by </w:t>
      </w:r>
      <w:r>
        <w:t>The</w:t>
      </w:r>
      <w:r w:rsidRPr="000C0E4A">
        <w:t xml:space="preserve"> Aleut Corporation and approved by the Regional Administrator </w:t>
      </w:r>
      <w:r w:rsidRPr="000C0E4A">
        <w:t>is posted</w:t>
      </w:r>
      <w:r w:rsidRPr="000C0E4A">
        <w:t xml:space="preserve"> </w:t>
      </w:r>
      <w:r>
        <w:t xml:space="preserve">on </w:t>
      </w:r>
      <w:r w:rsidRPr="000C0E4A">
        <w:t>the NMFS Alaska Region</w:t>
      </w:r>
      <w:r>
        <w:t xml:space="preserve"> website</w:t>
      </w:r>
      <w:r w:rsidR="001E1E4D">
        <w:t xml:space="preserve"> at </w:t>
      </w:r>
    </w:p>
    <w:p w:rsidR="007568D5" w:rsidRPr="000C0E4A" w:rsidP="00A01F2D" w14:paraId="2797643B" w14:textId="2B3BD231">
      <w:pPr>
        <w:keepNext/>
        <w:widowControl/>
        <w:tabs>
          <w:tab w:val="left" w:pos="360"/>
          <w:tab w:val="left" w:pos="720"/>
          <w:tab w:val="left" w:pos="1080"/>
          <w:tab w:val="left" w:pos="1440"/>
        </w:tabs>
      </w:pPr>
      <w:hyperlink r:id="rId9" w:history="1">
        <w:r w:rsidRPr="001E1E4D" w:rsidR="001E1E4D">
          <w:rPr>
            <w:rStyle w:val="Hyperlink"/>
          </w:rPr>
          <w:t>https://www.fisheries.noaa.gov/alaska/commercial-fishing/permits-and-licenses-issued-alaska</w:t>
        </w:r>
      </w:hyperlink>
      <w:r w:rsidRPr="000C0E4A">
        <w:t>.</w:t>
      </w:r>
    </w:p>
    <w:p w:rsidR="007568D5" w:rsidP="00A01F2D" w14:paraId="37856E37" w14:textId="10EB93D5">
      <w:pPr>
        <w:widowControl/>
        <w:rPr>
          <w:color w:val="2F5496"/>
        </w:rPr>
      </w:pPr>
    </w:p>
    <w:p w:rsidR="00F72D0D" w:rsidP="00A01F2D" w14:paraId="7C4F7044" w14:textId="77777777">
      <w:pPr>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452185" w:rsidP="00A01F2D" w14:paraId="1F7C3881" w14:textId="77777777">
      <w:pPr>
        <w:widowControl/>
      </w:pPr>
    </w:p>
    <w:p w:rsidR="007568D5" w:rsidRPr="001155B8" w:rsidP="00A01F2D" w14:paraId="25CACA63" w14:textId="78563D57">
      <w:pPr>
        <w:widowControl/>
      </w:pPr>
      <w:r w:rsidRPr="001155B8">
        <w:t xml:space="preserve">There </w:t>
      </w:r>
      <w:r>
        <w:t>is</w:t>
      </w:r>
      <w:r w:rsidRPr="001155B8">
        <w:t xml:space="preserve"> no form associated with this information collection</w:t>
      </w:r>
      <w:r w:rsidR="00497469">
        <w:t xml:space="preserve"> on which to display the OMB expiration date</w:t>
      </w:r>
      <w:r w:rsidRPr="001155B8">
        <w:t xml:space="preserve">. The information </w:t>
      </w:r>
      <w:r w:rsidRPr="001155B8">
        <w:t>is submitted</w:t>
      </w:r>
      <w:r w:rsidRPr="001155B8">
        <w:t xml:space="preserve"> in a letter, and no specific format is required.</w:t>
      </w:r>
    </w:p>
    <w:p w:rsidR="007568D5" w:rsidRPr="007568D5" w:rsidP="00A01F2D" w14:paraId="41974118" w14:textId="16532E14">
      <w:pPr>
        <w:widowControl/>
      </w:pPr>
    </w:p>
    <w:p w:rsidR="00F72D0D" w:rsidP="00A01F2D" w14:paraId="4FF823E4" w14:textId="6D760084">
      <w:pPr>
        <w:widowControl/>
        <w:numPr>
          <w:ilvl w:val="0"/>
          <w:numId w:val="4"/>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E044CA" w:rsidP="00A01F2D" w14:paraId="3CA0A6A1" w14:textId="77777777">
      <w:pPr>
        <w:widowControl/>
        <w:spacing w:line="259" w:lineRule="auto"/>
        <w:jc w:val="both"/>
      </w:pPr>
    </w:p>
    <w:p w:rsidR="00497469" w:rsidP="00A01F2D" w14:paraId="27B567C9" w14:textId="20717BA2">
      <w:pPr>
        <w:widowControl/>
        <w:spacing w:line="259" w:lineRule="auto"/>
        <w:jc w:val="both"/>
      </w:pPr>
      <w:r>
        <w:t xml:space="preserve">The agency certifies compliance with </w:t>
      </w:r>
      <w:hyperlink r:id="rId10">
        <w:r>
          <w:rPr>
            <w:color w:val="0563C1"/>
            <w:u w:val="single"/>
          </w:rPr>
          <w:t>5 CFR 1320.9</w:t>
        </w:r>
      </w:hyperlink>
      <w:hyperlink r:id="rId10">
        <w:r>
          <w:rPr>
            <w:color w:val="0563C1"/>
          </w:rPr>
          <w:t xml:space="preserve"> </w:t>
        </w:r>
      </w:hyperlink>
      <w:r>
        <w:t xml:space="preserve">and the related provisions of </w:t>
      </w:r>
      <w:hyperlink r:id="rId11">
        <w:r>
          <w:rPr>
            <w:color w:val="0563C1"/>
            <w:u w:val="single"/>
          </w:rPr>
          <w:t>5 CFR</w:t>
        </w:r>
      </w:hyperlink>
      <w:r>
        <w:rPr>
          <w:color w:val="0563C1"/>
        </w:rPr>
        <w:t xml:space="preserve"> </w:t>
      </w:r>
      <w:hyperlink r:id="rId11">
        <w:r>
          <w:rPr>
            <w:color w:val="0563C1"/>
            <w:u w:val="single"/>
          </w:rPr>
          <w:t>1320.8(b)(3)</w:t>
        </w:r>
      </w:hyperlink>
      <w:r>
        <w:t>.</w:t>
      </w:r>
    </w:p>
    <w:p w:rsidR="00F72D0D" w:rsidP="006566C2" w14:paraId="67772A47" w14:textId="77777777">
      <w:pPr>
        <w:widowControl/>
        <w:spacing w:before="221" w:line="259" w:lineRule="auto"/>
        <w:jc w:val="both"/>
      </w:pPr>
    </w:p>
    <w:sectPr w:rsidSect="00984EAE">
      <w:footerReference w:type="default" r:id="rId12"/>
      <w:pgSz w:w="12240" w:h="15840"/>
      <w:pgMar w:top="1080" w:right="1080" w:bottom="1440"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20700621"/>
      <w:docPartObj>
        <w:docPartGallery w:val="Page Numbers (Bottom of Page)"/>
        <w:docPartUnique/>
      </w:docPartObj>
    </w:sdtPr>
    <w:sdtEndPr>
      <w:rPr>
        <w:noProof/>
      </w:rPr>
    </w:sdtEndPr>
    <w:sdtContent>
      <w:p w:rsidR="00BA0045" w14:paraId="15C6FA36" w14:textId="202F4294">
        <w:pPr>
          <w:pStyle w:val="Footer"/>
          <w:jc w:val="center"/>
        </w:pPr>
        <w:r>
          <w:fldChar w:fldCharType="begin"/>
        </w:r>
        <w:r>
          <w:instrText xml:space="preserve"> PAGE   \* MERGEFORMAT </w:instrText>
        </w:r>
        <w:r>
          <w:fldChar w:fldCharType="separate"/>
        </w:r>
        <w:r w:rsidR="005A2FAD">
          <w:rPr>
            <w:noProof/>
          </w:rPr>
          <w:t>6</w:t>
        </w:r>
        <w:r>
          <w:rPr>
            <w:noProof/>
          </w:rPr>
          <w:fldChar w:fldCharType="end"/>
        </w:r>
      </w:p>
    </w:sdtContent>
  </w:sdt>
  <w:p w:rsidR="00BA0045" w14:paraId="3330A26F"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77CE4" w14:paraId="18B495EC" w14:textId="77777777">
      <w:r>
        <w:separator/>
      </w:r>
    </w:p>
  </w:footnote>
  <w:footnote w:type="continuationSeparator" w:id="1">
    <w:p w:rsidR="00D77CE4" w14:paraId="01428EA3" w14:textId="77777777">
      <w:r>
        <w:continuationSeparator/>
      </w:r>
    </w:p>
  </w:footnote>
  <w:footnote w:id="2">
    <w:p w:rsidR="00BA0045" w14:paraId="63A7AF9D" w14:textId="05C376D7">
      <w:pPr>
        <w:pStyle w:val="FootnoteText"/>
      </w:pPr>
      <w:r>
        <w:rPr>
          <w:rStyle w:val="FootnoteReference"/>
        </w:rPr>
        <w:footnoteRef/>
      </w:r>
      <w:r>
        <w:t xml:space="preserve"> </w:t>
      </w:r>
      <w:hyperlink r:id="rId1" w:history="1">
        <w:r w:rsidRPr="006A210D">
          <w:rPr>
            <w:rStyle w:val="Hyperlink"/>
          </w:rPr>
          <w:t>https://www.fisheries.noaa.gov/resource/document/magnuson-stevens-fishery-conservation-and-management-act</w:t>
        </w:r>
      </w:hyperlink>
    </w:p>
  </w:footnote>
  <w:footnote w:id="3">
    <w:p w:rsidR="00BA0045" w14:paraId="4F8118EC" w14:textId="242CD5DD">
      <w:pPr>
        <w:pStyle w:val="FootnoteText"/>
      </w:pPr>
      <w:r>
        <w:rPr>
          <w:rStyle w:val="FootnoteReference"/>
        </w:rPr>
        <w:footnoteRef/>
      </w:r>
      <w:r>
        <w:t xml:space="preserve"> </w:t>
      </w:r>
      <w:hyperlink r:id="rId2" w:anchor="page=106" w:history="1">
        <w:r w:rsidRPr="007775D3">
          <w:rPr>
            <w:rStyle w:val="Hyperlink"/>
          </w:rPr>
          <w:t>https://www.congress.gov/108/plaws/publ199/PLAW-108publ199.pdf#page=106</w:t>
        </w:r>
      </w:hyperlink>
    </w:p>
  </w:footnote>
  <w:footnote w:id="4">
    <w:p w:rsidR="00BA0045" w14:paraId="363BDB7B" w14:textId="0F9F50CB">
      <w:pPr>
        <w:pStyle w:val="FootnoteText"/>
      </w:pPr>
      <w:r>
        <w:rPr>
          <w:rStyle w:val="FootnoteReference"/>
        </w:rPr>
        <w:footnoteRef/>
      </w:r>
      <w:r>
        <w:t xml:space="preserve"> </w:t>
      </w:r>
      <w:hyperlink r:id="rId3" w:anchor="p-679.4(m)" w:history="1">
        <w:r>
          <w:rPr>
            <w:rStyle w:val="Hyperlink"/>
            <w:shd w:val="clear" w:color="auto" w:fill="FFFFFF"/>
          </w:rPr>
          <w:t>https://www.ecfr.gov/current/title-50/chapter-VI/part-679/subpart-A/section-679.4#p-679.4(m)</w:t>
        </w:r>
      </w:hyperlink>
    </w:p>
  </w:footnote>
  <w:footnote w:id="5">
    <w:p w:rsidR="00BA0045" w14:paraId="387CC89A" w14:textId="7E45E5A1">
      <w:pPr>
        <w:pStyle w:val="FootnoteText"/>
      </w:pPr>
      <w:r>
        <w:rPr>
          <w:rStyle w:val="FootnoteReference"/>
        </w:rPr>
        <w:footnoteRef/>
      </w:r>
      <w:r>
        <w:t xml:space="preserve"> </w:t>
      </w:r>
      <w:hyperlink r:id="rId4" w:history="1">
        <w:r w:rsidRPr="004204D0">
          <w:rPr>
            <w:rStyle w:val="Hyperlink"/>
          </w:rPr>
          <w:t>https://www.ecfr.gov/current/title-50/part-679/section-679.4#p-679.4(m)(2)</w:t>
        </w:r>
      </w:hyperlink>
    </w:p>
  </w:footnote>
  <w:footnote w:id="6">
    <w:p w:rsidR="00BA0045" w14:paraId="613AEF2D" w14:textId="63A70B08">
      <w:pPr>
        <w:pStyle w:val="FootnoteText"/>
      </w:pPr>
      <w:r>
        <w:rPr>
          <w:rStyle w:val="FootnoteReference"/>
        </w:rPr>
        <w:footnoteRef/>
      </w:r>
      <w:r>
        <w:t xml:space="preserve"> </w:t>
      </w:r>
      <w:hyperlink r:id="rId5" w:history="1">
        <w:r w:rsidRPr="004204D0">
          <w:rPr>
            <w:rStyle w:val="Hyperlink"/>
          </w:rPr>
          <w:t>https://www.ecfr.gov/current/title-50/part-679/section-679.4#p-679.4(m)(3)(iii)</w:t>
        </w:r>
      </w:hyperlink>
    </w:p>
  </w:footnote>
  <w:footnote w:id="7">
    <w:p w:rsidR="00BA0045" w14:paraId="32254B91" w14:textId="7DC53DC7">
      <w:pPr>
        <w:pStyle w:val="FootnoteText"/>
      </w:pPr>
      <w:r>
        <w:rPr>
          <w:rStyle w:val="FootnoteReference"/>
        </w:rPr>
        <w:footnoteRef/>
      </w:r>
      <w:r>
        <w:t xml:space="preserve"> </w:t>
      </w:r>
      <w:hyperlink r:id="rId6" w:history="1">
        <w:r w:rsidRPr="004204D0">
          <w:rPr>
            <w:rStyle w:val="Hyperlink"/>
          </w:rPr>
          <w:t>https://www.ecfr.gov/current/title-50/part-679/section-679.4#p-679.4(m)(3)(iv)</w:t>
        </w:r>
      </w:hyperlink>
    </w:p>
  </w:footnote>
  <w:footnote w:id="8">
    <w:p w:rsidR="00BA0045" w14:paraId="4C31D68A" w14:textId="481A5324">
      <w:pPr>
        <w:pStyle w:val="FootnoteText"/>
      </w:pPr>
      <w:r>
        <w:rPr>
          <w:rStyle w:val="FootnoteReference"/>
        </w:rPr>
        <w:footnoteRef/>
      </w:r>
      <w:r>
        <w:t xml:space="preserve"> </w:t>
      </w:r>
      <w:hyperlink r:id="rId7" w:history="1">
        <w:r w:rsidRPr="0001269C">
          <w:rPr>
            <w:rStyle w:val="Hyperlink"/>
          </w:rPr>
          <w:t>https://www.federalregister.gov/documents/2024/12/05/2024-28460/agency-information-collection-activities-submission-to-the-office-of-management-and-budget-omb-for</w:t>
        </w:r>
      </w:hyperlink>
    </w:p>
  </w:footnote>
  <w:footnote w:id="9">
    <w:p w:rsidR="00BA0045" w14:paraId="7983FC85" w14:textId="0044F0EB">
      <w:pPr>
        <w:pStyle w:val="FootnoteText"/>
      </w:pPr>
      <w:r>
        <w:rPr>
          <w:rStyle w:val="FootnoteReference"/>
        </w:rPr>
        <w:footnoteRef/>
      </w:r>
      <w:r>
        <w:t xml:space="preserve"> </w:t>
      </w:r>
      <w:hyperlink r:id="rId8" w:history="1">
        <w:r w:rsidRPr="0059740D">
          <w:rPr>
            <w:rStyle w:val="Hyperlink"/>
          </w:rPr>
          <w:t>https://www.noaa.gov/organization/administration/nao-216-100-protection-of-confidential-fisheries-statistics</w:t>
        </w:r>
      </w:hyperlink>
    </w:p>
  </w:footnote>
  <w:footnote w:id="10">
    <w:p w:rsidR="00BA0045" w14:paraId="7F3A8C2E" w14:textId="59DC255C">
      <w:pPr>
        <w:pStyle w:val="FootnoteText"/>
      </w:pPr>
      <w:r>
        <w:rPr>
          <w:rStyle w:val="FootnoteReference"/>
        </w:rPr>
        <w:footnoteRef/>
      </w:r>
      <w:r>
        <w:t xml:space="preserve"> </w:t>
      </w:r>
      <w:hyperlink r:id="rId9" w:history="1">
        <w:r w:rsidRPr="0059740D">
          <w:rPr>
            <w:rStyle w:val="Hyperlink"/>
          </w:rPr>
          <w:t>https://www.commerce.gov/opog/privacy-privacy-act/system-records-notices/system-records-notices-commerce-noaa-19</w:t>
        </w:r>
      </w:hyperlink>
    </w:p>
  </w:footnote>
  <w:footnote w:id="11">
    <w:p w:rsidR="00BA0045" w14:paraId="2538CAA8" w14:textId="78A5FB93">
      <w:pPr>
        <w:pStyle w:val="FootnoteText"/>
      </w:pPr>
      <w:r>
        <w:rPr>
          <w:rStyle w:val="FootnoteReference"/>
        </w:rPr>
        <w:footnoteRef/>
      </w:r>
      <w:r>
        <w:t xml:space="preserve"> </w:t>
      </w:r>
      <w:hyperlink r:id="rId10" w:history="1">
        <w:r w:rsidRPr="0059740D">
          <w:rPr>
            <w:rStyle w:val="Hyperlink"/>
          </w:rPr>
          <w:t>https://www.commerce.gov/sites/default/files/2024-03/NOAA4700-PIA-FY24_SAOP_Approved_Delegated.pdf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0144E1"/>
    <w:multiLevelType w:val="hybridMultilevel"/>
    <w:tmpl w:val="6A688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DD3EB7"/>
    <w:multiLevelType w:val="multilevel"/>
    <w:tmpl w:val="4EFCA4B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0FBE2F3E"/>
    <w:multiLevelType w:val="hybridMultilevel"/>
    <w:tmpl w:val="299C9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6B10FE"/>
    <w:multiLevelType w:val="multilevel"/>
    <w:tmpl w:val="2CC4C18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4">
    <w:nsid w:val="28463462"/>
    <w:multiLevelType w:val="multilevel"/>
    <w:tmpl w:val="B2AC196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8A16B81"/>
    <w:multiLevelType w:val="multilevel"/>
    <w:tmpl w:val="074071E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320C2930"/>
    <w:multiLevelType w:val="hybridMultilevel"/>
    <w:tmpl w:val="A6488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75298"/>
    <w:multiLevelType w:val="multilevel"/>
    <w:tmpl w:val="A368442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8">
    <w:nsid w:val="64F83B7E"/>
    <w:multiLevelType w:val="multilevel"/>
    <w:tmpl w:val="192616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686E1011"/>
    <w:multiLevelType w:val="multilevel"/>
    <w:tmpl w:val="383A97B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6CE30BB3"/>
    <w:multiLevelType w:val="multilevel"/>
    <w:tmpl w:val="2034D1B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6DDE3642"/>
    <w:multiLevelType w:val="multilevel"/>
    <w:tmpl w:val="9668A5F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2">
    <w:nsid w:val="6FA017DC"/>
    <w:multiLevelType w:val="multilevel"/>
    <w:tmpl w:val="F10C0F1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3">
    <w:nsid w:val="70FD7D27"/>
    <w:multiLevelType w:val="multilevel"/>
    <w:tmpl w:val="47A2799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4">
    <w:nsid w:val="7D8E04E7"/>
    <w:multiLevelType w:val="multilevel"/>
    <w:tmpl w:val="A82E8D3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abstractNumId w:val="12"/>
  </w:num>
  <w:num w:numId="2">
    <w:abstractNumId w:val="14"/>
  </w:num>
  <w:num w:numId="3">
    <w:abstractNumId w:val="8"/>
  </w:num>
  <w:num w:numId="4">
    <w:abstractNumId w:val="3"/>
  </w:num>
  <w:num w:numId="5">
    <w:abstractNumId w:val="1"/>
  </w:num>
  <w:num w:numId="6">
    <w:abstractNumId w:val="13"/>
  </w:num>
  <w:num w:numId="7">
    <w:abstractNumId w:val="4"/>
  </w:num>
  <w:num w:numId="8">
    <w:abstractNumId w:val="9"/>
  </w:num>
  <w:num w:numId="9">
    <w:abstractNumId w:val="5"/>
  </w:num>
  <w:num w:numId="10">
    <w:abstractNumId w:val="7"/>
  </w:num>
  <w:num w:numId="11">
    <w:abstractNumId w:val="10"/>
  </w:num>
  <w:num w:numId="12">
    <w:abstractNumId w:val="11"/>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5"/>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0D"/>
    <w:rsid w:val="0001269C"/>
    <w:rsid w:val="00020BA3"/>
    <w:rsid w:val="00042A6B"/>
    <w:rsid w:val="00044872"/>
    <w:rsid w:val="000B3965"/>
    <w:rsid w:val="000C0E4A"/>
    <w:rsid w:val="000F5B74"/>
    <w:rsid w:val="00103E50"/>
    <w:rsid w:val="001155B8"/>
    <w:rsid w:val="00131514"/>
    <w:rsid w:val="00144CBC"/>
    <w:rsid w:val="001A11EF"/>
    <w:rsid w:val="001D171A"/>
    <w:rsid w:val="001E1E4D"/>
    <w:rsid w:val="002416BE"/>
    <w:rsid w:val="002B231D"/>
    <w:rsid w:val="002E48A7"/>
    <w:rsid w:val="002F248F"/>
    <w:rsid w:val="003100E0"/>
    <w:rsid w:val="00314D7F"/>
    <w:rsid w:val="00343C1F"/>
    <w:rsid w:val="00346FCF"/>
    <w:rsid w:val="00352E1C"/>
    <w:rsid w:val="00366AAB"/>
    <w:rsid w:val="003B3B89"/>
    <w:rsid w:val="003B4579"/>
    <w:rsid w:val="003D397F"/>
    <w:rsid w:val="003D7134"/>
    <w:rsid w:val="00415B47"/>
    <w:rsid w:val="004177ED"/>
    <w:rsid w:val="004204D0"/>
    <w:rsid w:val="00441657"/>
    <w:rsid w:val="00452185"/>
    <w:rsid w:val="004556CC"/>
    <w:rsid w:val="00456DAC"/>
    <w:rsid w:val="00497469"/>
    <w:rsid w:val="004C13EA"/>
    <w:rsid w:val="004D7576"/>
    <w:rsid w:val="004E5A8F"/>
    <w:rsid w:val="004E5E3F"/>
    <w:rsid w:val="00500AF1"/>
    <w:rsid w:val="0050540F"/>
    <w:rsid w:val="00530896"/>
    <w:rsid w:val="0056103A"/>
    <w:rsid w:val="00566BB4"/>
    <w:rsid w:val="00584DE2"/>
    <w:rsid w:val="00595863"/>
    <w:rsid w:val="00595919"/>
    <w:rsid w:val="0059740D"/>
    <w:rsid w:val="005A2FAD"/>
    <w:rsid w:val="005A5221"/>
    <w:rsid w:val="005B73EC"/>
    <w:rsid w:val="005C069C"/>
    <w:rsid w:val="005C14A1"/>
    <w:rsid w:val="005F4E9E"/>
    <w:rsid w:val="00613EA6"/>
    <w:rsid w:val="006223F7"/>
    <w:rsid w:val="006263CF"/>
    <w:rsid w:val="006374FF"/>
    <w:rsid w:val="006566C2"/>
    <w:rsid w:val="00674CDD"/>
    <w:rsid w:val="00677116"/>
    <w:rsid w:val="00683556"/>
    <w:rsid w:val="006A210D"/>
    <w:rsid w:val="006C5706"/>
    <w:rsid w:val="006C641E"/>
    <w:rsid w:val="00713BC9"/>
    <w:rsid w:val="0071756C"/>
    <w:rsid w:val="00735204"/>
    <w:rsid w:val="00744EB8"/>
    <w:rsid w:val="007520AD"/>
    <w:rsid w:val="007568D5"/>
    <w:rsid w:val="007775D3"/>
    <w:rsid w:val="00777B69"/>
    <w:rsid w:val="007A417B"/>
    <w:rsid w:val="007C33E5"/>
    <w:rsid w:val="007C5F69"/>
    <w:rsid w:val="007E387B"/>
    <w:rsid w:val="007F48A1"/>
    <w:rsid w:val="008244CC"/>
    <w:rsid w:val="0088472D"/>
    <w:rsid w:val="008917F7"/>
    <w:rsid w:val="0089316E"/>
    <w:rsid w:val="008F6C2B"/>
    <w:rsid w:val="0091682B"/>
    <w:rsid w:val="00955223"/>
    <w:rsid w:val="00983350"/>
    <w:rsid w:val="00984EAE"/>
    <w:rsid w:val="00996716"/>
    <w:rsid w:val="00A01F2D"/>
    <w:rsid w:val="00A65765"/>
    <w:rsid w:val="00A77E19"/>
    <w:rsid w:val="00AB045E"/>
    <w:rsid w:val="00B0772D"/>
    <w:rsid w:val="00B226AD"/>
    <w:rsid w:val="00B2581E"/>
    <w:rsid w:val="00B4781E"/>
    <w:rsid w:val="00B62FE3"/>
    <w:rsid w:val="00B744B6"/>
    <w:rsid w:val="00B86059"/>
    <w:rsid w:val="00B87DCA"/>
    <w:rsid w:val="00B90719"/>
    <w:rsid w:val="00B96300"/>
    <w:rsid w:val="00B976DF"/>
    <w:rsid w:val="00BA0045"/>
    <w:rsid w:val="00BB0CC9"/>
    <w:rsid w:val="00BB3B92"/>
    <w:rsid w:val="00BC310E"/>
    <w:rsid w:val="00BD2483"/>
    <w:rsid w:val="00BE731A"/>
    <w:rsid w:val="00C12BD3"/>
    <w:rsid w:val="00C15295"/>
    <w:rsid w:val="00C232CC"/>
    <w:rsid w:val="00CB1D8F"/>
    <w:rsid w:val="00CD31BF"/>
    <w:rsid w:val="00CD7357"/>
    <w:rsid w:val="00D1321E"/>
    <w:rsid w:val="00D514A3"/>
    <w:rsid w:val="00D56D20"/>
    <w:rsid w:val="00D66D75"/>
    <w:rsid w:val="00D71BEE"/>
    <w:rsid w:val="00D77CE4"/>
    <w:rsid w:val="00DA6413"/>
    <w:rsid w:val="00DB0BAD"/>
    <w:rsid w:val="00DD11FE"/>
    <w:rsid w:val="00DF6DBE"/>
    <w:rsid w:val="00DF7CD5"/>
    <w:rsid w:val="00E00B73"/>
    <w:rsid w:val="00E044CA"/>
    <w:rsid w:val="00E04892"/>
    <w:rsid w:val="00E373F3"/>
    <w:rsid w:val="00E7683F"/>
    <w:rsid w:val="00E941EE"/>
    <w:rsid w:val="00E97D42"/>
    <w:rsid w:val="00EA4D03"/>
    <w:rsid w:val="00EB734C"/>
    <w:rsid w:val="00ED725F"/>
    <w:rsid w:val="00EF1ADB"/>
    <w:rsid w:val="00F24AD3"/>
    <w:rsid w:val="00F5452E"/>
    <w:rsid w:val="00F5767C"/>
    <w:rsid w:val="00F72D0D"/>
    <w:rsid w:val="00F83AE0"/>
    <w:rsid w:val="00F92B9B"/>
    <w:rsid w:val="00FE5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921AC"/>
  <w15:docId w15:val="{D07FE330-9BE4-452D-A5F8-7EFC38D1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BE731A"/>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BE731A"/>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415B47"/>
    <w:rPr>
      <w:sz w:val="20"/>
      <w:szCs w:val="20"/>
    </w:rPr>
  </w:style>
  <w:style w:type="character" w:customStyle="1" w:styleId="FootnoteTextChar">
    <w:name w:val="Footnote Text Char"/>
    <w:basedOn w:val="DefaultParagraphFont"/>
    <w:link w:val="FootnoteText"/>
    <w:uiPriority w:val="99"/>
    <w:semiHidden/>
    <w:rsid w:val="00415B47"/>
    <w:rPr>
      <w:sz w:val="20"/>
      <w:szCs w:val="20"/>
    </w:rPr>
  </w:style>
  <w:style w:type="character" w:styleId="FootnoteReference">
    <w:name w:val="footnote reference"/>
    <w:basedOn w:val="DefaultParagraphFont"/>
    <w:uiPriority w:val="99"/>
    <w:semiHidden/>
    <w:unhideWhenUsed/>
    <w:rsid w:val="00415B47"/>
    <w:rPr>
      <w:vertAlign w:val="superscript"/>
    </w:rPr>
  </w:style>
  <w:style w:type="paragraph" w:styleId="Revision">
    <w:name w:val="Revision"/>
    <w:hidden/>
    <w:uiPriority w:val="99"/>
    <w:semiHidden/>
    <w:rsid w:val="00D71BEE"/>
    <w:pPr>
      <w:widowControl/>
    </w:pPr>
  </w:style>
  <w:style w:type="character" w:styleId="Emphasis">
    <w:name w:val="Emphasis"/>
    <w:basedOn w:val="DefaultParagraphFont"/>
    <w:uiPriority w:val="20"/>
    <w:qFormat/>
    <w:rsid w:val="00314D7F"/>
    <w:rPr>
      <w:i/>
      <w:iCs/>
    </w:rPr>
  </w:style>
  <w:style w:type="character" w:customStyle="1" w:styleId="UnresolvedMention">
    <w:name w:val="Unresolved Mention"/>
    <w:basedOn w:val="DefaultParagraphFont"/>
    <w:uiPriority w:val="99"/>
    <w:semiHidden/>
    <w:unhideWhenUsed/>
    <w:rsid w:val="00DD1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alaska/sustainable-fisheries/aleutian-islands-pollock-fishery-alaska" TargetMode="External" /><Relationship Id="rId8" Type="http://schemas.openxmlformats.org/officeDocument/2006/relationships/hyperlink" Target="https://www.bls.gov/oes/current/oes_ak.htm" TargetMode="External" /><Relationship Id="rId9" Type="http://schemas.openxmlformats.org/officeDocument/2006/relationships/hyperlink" Target="https://www.fisheries.noaa.gov/alaska/commercial-fishing/permits-and-licenses-issued-alask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resource/document/magnuson-stevens-fishery-conservation-and-management-act" TargetMode="External" /><Relationship Id="rId10" Type="http://schemas.openxmlformats.org/officeDocument/2006/relationships/hyperlink" Target="https://www.commerce.gov/sites/default/files/2024-03/NOAA4700-PIA-FY24_SAOP_Approved_Delegated.pdf" TargetMode="External" /><Relationship Id="rId2" Type="http://schemas.openxmlformats.org/officeDocument/2006/relationships/hyperlink" Target="https://www.congress.gov/108/plaws/publ199/PLAW-108publ199.pdf" TargetMode="External" /><Relationship Id="rId3" Type="http://schemas.openxmlformats.org/officeDocument/2006/relationships/hyperlink" Target="https://www.ecfr.gov/current/title-50/chapter-VI/part-679/subpart-A/section-679.4" TargetMode="External" /><Relationship Id="rId4" Type="http://schemas.openxmlformats.org/officeDocument/2006/relationships/hyperlink" Target="https://www.ecfr.gov/current/title-50/part-679/section-679.4%23p-679.4(m)(2)" TargetMode="External" /><Relationship Id="rId5" Type="http://schemas.openxmlformats.org/officeDocument/2006/relationships/hyperlink" Target="https://www.ecfr.gov/current/title-50/part-679/section-679.4%23p-679.4(m)(3)(iii)" TargetMode="External" /><Relationship Id="rId6" Type="http://schemas.openxmlformats.org/officeDocument/2006/relationships/hyperlink" Target="https://www.ecfr.gov/current/title-50/part-679/section-679.4%23p-679.4(m)(3)(iv)" TargetMode="External" /><Relationship Id="rId7" Type="http://schemas.openxmlformats.org/officeDocument/2006/relationships/hyperlink" Target="https://www.federalregister.gov/documents/2024/12/05/2024-28460/agency-information-collection-activities-submission-to-the-office-of-management-and-budget-omb-for" TargetMode="External" /><Relationship Id="rId8" Type="http://schemas.openxmlformats.org/officeDocument/2006/relationships/hyperlink" Target="https://www.noaa.gov/organization/administration/nao-216-100-protection-of-confidential-fisheries-statistics" TargetMode="External" /><Relationship Id="rId9" Type="http://schemas.openxmlformats.org/officeDocument/2006/relationships/hyperlink" Target="https://www.commerce.gov/opog/privacy-privacy-act/system-records-notices/system-records-notices-commerce-noaa-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0A975E-D503-44AF-8B87-01FC74E5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12</cp:revision>
  <dcterms:created xsi:type="dcterms:W3CDTF">2025-01-15T22:09:00Z</dcterms:created>
  <dcterms:modified xsi:type="dcterms:W3CDTF">2025-02-19T17:12:00Z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