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67C05" w:rsidP="00F560BC">
      <w:pPr>
        <w:pBdr>
          <w:top w:val="nil"/>
          <w:left w:val="nil"/>
          <w:bottom w:val="nil"/>
          <w:right w:val="nil"/>
          <w:between w:val="nil"/>
        </w:pBdr>
        <w:rPr>
          <w:b/>
          <w:color w:val="000000"/>
          <w:sz w:val="26"/>
          <w:szCs w:val="26"/>
        </w:rPr>
      </w:pPr>
    </w:p>
    <w:p w:rsidR="00776BA6" w:rsidRPr="00EB1440" w:rsidP="00517398">
      <w:pPr>
        <w:pStyle w:val="NoSpacing"/>
        <w:jc w:val="center"/>
        <w:rPr>
          <w:b/>
          <w:sz w:val="24"/>
          <w:szCs w:val="24"/>
        </w:rPr>
      </w:pPr>
      <w:r w:rsidRPr="00EB1440">
        <w:rPr>
          <w:b/>
          <w:sz w:val="24"/>
          <w:szCs w:val="24"/>
        </w:rPr>
        <w:t xml:space="preserve">SUPPORTING </w:t>
      </w:r>
      <w:r w:rsidRPr="00EB1440" w:rsidR="00517398">
        <w:rPr>
          <w:b/>
          <w:sz w:val="24"/>
          <w:szCs w:val="24"/>
        </w:rPr>
        <w:t>STATEMENT</w:t>
      </w:r>
      <w:r w:rsidRPr="00EB1440">
        <w:rPr>
          <w:b/>
          <w:sz w:val="24"/>
          <w:szCs w:val="24"/>
        </w:rPr>
        <w:t xml:space="preserve"> A</w:t>
      </w:r>
    </w:p>
    <w:p w:rsidR="00776BA6" w:rsidRPr="0042467E" w:rsidP="00517398">
      <w:pPr>
        <w:pStyle w:val="NoSpacing"/>
        <w:jc w:val="center"/>
        <w:rPr>
          <w:b/>
          <w:sz w:val="24"/>
          <w:szCs w:val="24"/>
        </w:rPr>
      </w:pPr>
      <w:r w:rsidRPr="0042467E">
        <w:rPr>
          <w:b/>
          <w:bCs/>
          <w:sz w:val="24"/>
          <w:szCs w:val="24"/>
        </w:rPr>
        <w:t>U.S. Department of Commerce</w:t>
      </w:r>
    </w:p>
    <w:p w:rsidR="00776BA6" w:rsidRPr="0042467E" w:rsidP="00517398">
      <w:pPr>
        <w:pStyle w:val="NoSpacing"/>
        <w:jc w:val="center"/>
        <w:rPr>
          <w:b/>
          <w:sz w:val="24"/>
          <w:szCs w:val="24"/>
        </w:rPr>
      </w:pPr>
      <w:r w:rsidRPr="0042467E">
        <w:rPr>
          <w:b/>
          <w:bCs/>
          <w:sz w:val="24"/>
          <w:szCs w:val="24"/>
        </w:rPr>
        <w:t>National Oceanic &amp; Atmospheric Administration</w:t>
      </w:r>
    </w:p>
    <w:p w:rsidR="000A0547" w:rsidRPr="0042467E" w:rsidP="00517398">
      <w:pPr>
        <w:pStyle w:val="NoSpacing"/>
        <w:jc w:val="center"/>
        <w:rPr>
          <w:b/>
          <w:sz w:val="24"/>
          <w:szCs w:val="24"/>
        </w:rPr>
      </w:pPr>
      <w:r w:rsidRPr="0042467E">
        <w:rPr>
          <w:b/>
          <w:sz w:val="24"/>
          <w:szCs w:val="24"/>
        </w:rPr>
        <w:t>Evaluation of SE Catch Shares Programs</w:t>
      </w:r>
    </w:p>
    <w:p w:rsidR="00776BA6" w:rsidRPr="0042467E" w:rsidP="00517398">
      <w:pPr>
        <w:pStyle w:val="NoSpacing"/>
        <w:jc w:val="center"/>
        <w:rPr>
          <w:b/>
          <w:sz w:val="24"/>
          <w:szCs w:val="24"/>
        </w:rPr>
      </w:pPr>
      <w:r w:rsidRPr="0042467E">
        <w:rPr>
          <w:b/>
          <w:bCs/>
          <w:sz w:val="24"/>
          <w:szCs w:val="24"/>
        </w:rPr>
        <w:t xml:space="preserve">OMB Control No. </w:t>
      </w:r>
      <w:r w:rsidRPr="0042467E" w:rsidR="00517398">
        <w:rPr>
          <w:b/>
          <w:bCs/>
          <w:color w:val="222222"/>
          <w:sz w:val="24"/>
          <w:szCs w:val="24"/>
          <w:shd w:val="clear" w:color="auto" w:fill="FFFFFF"/>
        </w:rPr>
        <w:t>0648-</w:t>
      </w:r>
      <w:r w:rsidR="00D96008">
        <w:rPr>
          <w:b/>
          <w:bCs/>
          <w:color w:val="222222"/>
          <w:sz w:val="24"/>
          <w:szCs w:val="24"/>
          <w:shd w:val="clear" w:color="auto" w:fill="FFFFFF"/>
        </w:rPr>
        <w:t>XXXX</w:t>
      </w:r>
    </w:p>
    <w:p w:rsidR="00776BA6" w:rsidRPr="0042467E" w:rsidP="00517398">
      <w:pPr>
        <w:pBdr>
          <w:top w:val="nil"/>
          <w:left w:val="nil"/>
          <w:bottom w:val="nil"/>
          <w:right w:val="nil"/>
          <w:between w:val="nil"/>
        </w:pBdr>
        <w:rPr>
          <w:b/>
          <w:color w:val="000000"/>
          <w:sz w:val="26"/>
          <w:szCs w:val="26"/>
        </w:rPr>
      </w:pPr>
    </w:p>
    <w:p w:rsidR="00D67C05" w:rsidRPr="0042467E" w:rsidP="00517398">
      <w:pPr>
        <w:pBdr>
          <w:top w:val="nil"/>
          <w:left w:val="nil"/>
          <w:bottom w:val="nil"/>
          <w:right w:val="nil"/>
          <w:between w:val="nil"/>
        </w:pBdr>
        <w:spacing w:before="7"/>
        <w:rPr>
          <w:b/>
          <w:color w:val="000000"/>
        </w:rPr>
      </w:pPr>
    </w:p>
    <w:p w:rsidR="00D67C05" w:rsidRPr="0042467E" w:rsidP="00F560BC">
      <w:pPr>
        <w:rPr>
          <w:b/>
          <w:sz w:val="24"/>
          <w:szCs w:val="24"/>
        </w:rPr>
      </w:pPr>
      <w:r w:rsidRPr="0042467E">
        <w:rPr>
          <w:b/>
          <w:sz w:val="24"/>
          <w:szCs w:val="24"/>
        </w:rPr>
        <w:t>ABSTRACT</w:t>
      </w:r>
    </w:p>
    <w:p w:rsidR="007654DD" w:rsidRPr="0042467E" w:rsidP="00A54983">
      <w:pPr>
        <w:jc w:val="both"/>
        <w:rPr>
          <w:sz w:val="24"/>
          <w:szCs w:val="24"/>
        </w:rPr>
      </w:pPr>
    </w:p>
    <w:p w:rsidR="00AF5FDC" w:rsidRPr="0042467E" w:rsidP="00A54983">
      <w:pPr>
        <w:jc w:val="both"/>
        <w:rPr>
          <w:sz w:val="24"/>
          <w:szCs w:val="24"/>
        </w:rPr>
      </w:pPr>
      <w:r w:rsidRPr="0042467E">
        <w:rPr>
          <w:sz w:val="24"/>
          <w:szCs w:val="24"/>
        </w:rPr>
        <w:t xml:space="preserve">This is a request for a new collection. </w:t>
      </w:r>
      <w:r w:rsidRPr="0042467E" w:rsidR="00A54983">
        <w:rPr>
          <w:sz w:val="24"/>
          <w:szCs w:val="24"/>
        </w:rPr>
        <w:t xml:space="preserve">The </w:t>
      </w:r>
      <w:r w:rsidRPr="0042467E" w:rsidR="00D97BEC">
        <w:rPr>
          <w:sz w:val="24"/>
          <w:szCs w:val="24"/>
        </w:rPr>
        <w:t>National Oceanic and Atmospheric Administration’s (NOAA) National Marine Fisheries Service (NMFS or NOAA Fisheries)</w:t>
      </w:r>
      <w:r w:rsidRPr="0042467E" w:rsidR="00A54983">
        <w:rPr>
          <w:sz w:val="24"/>
          <w:szCs w:val="24"/>
        </w:rPr>
        <w:t xml:space="preserve"> proposes to conduct a </w:t>
      </w:r>
      <w:r w:rsidRPr="0042467E" w:rsidR="00092EB7">
        <w:rPr>
          <w:color w:val="000000"/>
          <w:sz w:val="24"/>
          <w:szCs w:val="24"/>
        </w:rPr>
        <w:t xml:space="preserve">data collection </w:t>
      </w:r>
      <w:r>
        <w:rPr>
          <w:color w:val="000000"/>
          <w:sz w:val="24"/>
          <w:szCs w:val="24"/>
        </w:rPr>
        <w:t>i</w:t>
      </w:r>
      <w:r w:rsidR="007F1D88">
        <w:rPr>
          <w:color w:val="000000"/>
          <w:sz w:val="24"/>
          <w:szCs w:val="24"/>
        </w:rPr>
        <w:t>ntended</w:t>
      </w:r>
      <w:r w:rsidRPr="0042467E" w:rsidR="00092EB7">
        <w:rPr>
          <w:color w:val="000000"/>
          <w:sz w:val="24"/>
          <w:szCs w:val="24"/>
        </w:rPr>
        <w:t xml:space="preserve"> to assist in the</w:t>
      </w:r>
      <w:r w:rsidRPr="0042467E" w:rsidR="00351031">
        <w:rPr>
          <w:color w:val="000000"/>
          <w:sz w:val="24"/>
          <w:szCs w:val="24"/>
        </w:rPr>
        <w:t xml:space="preserve"> mandatory</w:t>
      </w:r>
      <w:r w:rsidRPr="0042467E" w:rsidR="00092EB7">
        <w:rPr>
          <w:color w:val="000000"/>
          <w:sz w:val="24"/>
          <w:szCs w:val="24"/>
        </w:rPr>
        <w:t xml:space="preserve"> evaluation of the red snapper and grouper-tilefish Individual Fishing Quota (IFQs) programs</w:t>
      </w:r>
      <w:r w:rsidR="00CB58C1">
        <w:rPr>
          <w:color w:val="000000"/>
          <w:sz w:val="24"/>
          <w:szCs w:val="24"/>
        </w:rPr>
        <w:t xml:space="preserve"> in the Southeast </w:t>
      </w:r>
      <w:r w:rsidR="00D10EC0">
        <w:rPr>
          <w:color w:val="000000"/>
          <w:sz w:val="24"/>
          <w:szCs w:val="24"/>
        </w:rPr>
        <w:t xml:space="preserve">Region of the </w:t>
      </w:r>
      <w:r w:rsidR="00CB58C1">
        <w:rPr>
          <w:color w:val="000000"/>
          <w:sz w:val="24"/>
          <w:szCs w:val="24"/>
        </w:rPr>
        <w:t>United States</w:t>
      </w:r>
      <w:r w:rsidRPr="0042467E" w:rsidR="00092EB7">
        <w:rPr>
          <w:color w:val="000000"/>
          <w:sz w:val="24"/>
          <w:szCs w:val="24"/>
        </w:rPr>
        <w:t>.</w:t>
      </w:r>
      <w:r w:rsidRPr="0042467E" w:rsidR="00241CC3">
        <w:rPr>
          <w:sz w:val="24"/>
          <w:szCs w:val="24"/>
        </w:rPr>
        <w:t xml:space="preserve"> </w:t>
      </w:r>
      <w:r w:rsidRPr="0042467E" w:rsidR="00BC66F1">
        <w:rPr>
          <w:sz w:val="24"/>
          <w:szCs w:val="24"/>
        </w:rPr>
        <w:t>Congress requires this evaluation</w:t>
      </w:r>
      <w:r w:rsidRPr="0042467E" w:rsidR="00550EF1">
        <w:rPr>
          <w:sz w:val="24"/>
          <w:szCs w:val="24"/>
        </w:rPr>
        <w:t xml:space="preserve"> every 5 to 7 years, as stipulated in the Magnuson-Stevens Fishery Conservation and Management Act (MSA) and its subsequent reauthorizations.</w:t>
      </w:r>
    </w:p>
    <w:p w:rsidR="00AF5FDC" w:rsidRPr="0042467E" w:rsidP="00A54983">
      <w:pPr>
        <w:jc w:val="both"/>
        <w:rPr>
          <w:sz w:val="24"/>
          <w:szCs w:val="24"/>
        </w:rPr>
      </w:pPr>
    </w:p>
    <w:p w:rsidR="00EB3D76" w:rsidRPr="0042467E" w:rsidP="00A54983">
      <w:pPr>
        <w:jc w:val="both"/>
        <w:rPr>
          <w:sz w:val="24"/>
          <w:szCs w:val="24"/>
        </w:rPr>
      </w:pPr>
      <w:r w:rsidRPr="0042467E">
        <w:rPr>
          <w:sz w:val="24"/>
          <w:szCs w:val="24"/>
        </w:rPr>
        <w:t xml:space="preserve">The survey will gather information on demographics, </w:t>
      </w:r>
      <w:r w:rsidRPr="0042467E" w:rsidR="00792F26">
        <w:rPr>
          <w:sz w:val="24"/>
          <w:szCs w:val="24"/>
        </w:rPr>
        <w:t>knowledge and transparency about IFQ transactions</w:t>
      </w:r>
      <w:r w:rsidRPr="0042467E">
        <w:rPr>
          <w:sz w:val="24"/>
          <w:szCs w:val="24"/>
        </w:rPr>
        <w:t xml:space="preserve">, barriers </w:t>
      </w:r>
      <w:r w:rsidRPr="0042467E" w:rsidR="00792F26">
        <w:rPr>
          <w:sz w:val="24"/>
          <w:szCs w:val="24"/>
        </w:rPr>
        <w:t>obtaining and selling</w:t>
      </w:r>
      <w:r w:rsidRPr="0042467E">
        <w:rPr>
          <w:sz w:val="24"/>
          <w:szCs w:val="24"/>
        </w:rPr>
        <w:t xml:space="preserve"> IFQ </w:t>
      </w:r>
      <w:r w:rsidRPr="0042467E" w:rsidR="00792F26">
        <w:rPr>
          <w:sz w:val="24"/>
          <w:szCs w:val="24"/>
        </w:rPr>
        <w:t>share and allocation</w:t>
      </w:r>
      <w:r w:rsidRPr="0042467E">
        <w:rPr>
          <w:sz w:val="24"/>
          <w:szCs w:val="24"/>
        </w:rPr>
        <w:t>, social networks' role in the fishery, multi-activity engagement</w:t>
      </w:r>
      <w:r w:rsidRPr="0042467E" w:rsidR="00792F26">
        <w:rPr>
          <w:sz w:val="24"/>
          <w:szCs w:val="24"/>
        </w:rPr>
        <w:t xml:space="preserve"> within the IFQ program value chain</w:t>
      </w:r>
      <w:r w:rsidRPr="0042467E">
        <w:rPr>
          <w:sz w:val="24"/>
          <w:szCs w:val="24"/>
        </w:rPr>
        <w:t xml:space="preserve">, and factors influencing discarding practices. </w:t>
      </w:r>
    </w:p>
    <w:p w:rsidR="00792F26" w:rsidRPr="0042467E" w:rsidP="00A54983">
      <w:pPr>
        <w:jc w:val="both"/>
        <w:rPr>
          <w:sz w:val="24"/>
          <w:szCs w:val="24"/>
        </w:rPr>
      </w:pPr>
    </w:p>
    <w:p w:rsidR="00EB3D76" w:rsidRPr="0042467E" w:rsidP="00A54983">
      <w:pPr>
        <w:jc w:val="both"/>
        <w:rPr>
          <w:sz w:val="24"/>
          <w:szCs w:val="24"/>
        </w:rPr>
      </w:pPr>
      <w:r w:rsidRPr="0042467E">
        <w:rPr>
          <w:sz w:val="24"/>
          <w:szCs w:val="24"/>
        </w:rPr>
        <w:t>The collected data will support mandatory periodic evaluations of these catch share programs, inform fishery management plan amendments, and enhance socio-economic analyses of regulatory proposals. This research aims to strengthen fishery management decision-making and fulfill legal mandates under various statutes, including the Magnuson-Stevens Fishery Conservation and Management Act</w:t>
      </w:r>
      <w:r>
        <w:rPr>
          <w:sz w:val="24"/>
          <w:szCs w:val="24"/>
        </w:rPr>
        <w:t xml:space="preserve"> and</w:t>
      </w:r>
      <w:r w:rsidRPr="0042467E">
        <w:rPr>
          <w:sz w:val="24"/>
          <w:szCs w:val="24"/>
        </w:rPr>
        <w:t xml:space="preserve"> Executive Order 12866</w:t>
      </w:r>
      <w:r>
        <w:rPr>
          <w:sz w:val="24"/>
          <w:szCs w:val="24"/>
        </w:rPr>
        <w:t>.</w:t>
      </w:r>
    </w:p>
    <w:p w:rsidR="00792F26" w:rsidRPr="0042467E" w:rsidP="00A54983">
      <w:pPr>
        <w:jc w:val="both"/>
        <w:rPr>
          <w:sz w:val="24"/>
          <w:szCs w:val="24"/>
        </w:rPr>
      </w:pPr>
    </w:p>
    <w:p w:rsidR="00D67C05" w:rsidRPr="0042467E" w:rsidP="00F560BC">
      <w:pPr>
        <w:pStyle w:val="Heading1"/>
        <w:numPr>
          <w:ilvl w:val="0"/>
          <w:numId w:val="10"/>
        </w:numPr>
        <w:tabs>
          <w:tab w:val="left" w:pos="1424"/>
        </w:tabs>
      </w:pPr>
      <w:r w:rsidRPr="0042467E">
        <w:t>JUSTIFICATION</w:t>
      </w:r>
    </w:p>
    <w:p w:rsidR="00D67C05" w:rsidRPr="0042467E" w:rsidP="00F560BC">
      <w:pPr>
        <w:pBdr>
          <w:top w:val="nil"/>
          <w:left w:val="nil"/>
          <w:bottom w:val="nil"/>
          <w:right w:val="nil"/>
          <w:between w:val="nil"/>
        </w:pBdr>
        <w:rPr>
          <w:b/>
          <w:color w:val="000000"/>
          <w:sz w:val="24"/>
          <w:szCs w:val="24"/>
        </w:rPr>
      </w:pPr>
    </w:p>
    <w:p w:rsidR="00D67C05" w:rsidRPr="0042467E" w:rsidP="00F560BC">
      <w:pPr>
        <w:numPr>
          <w:ilvl w:val="0"/>
          <w:numId w:val="15"/>
        </w:numPr>
        <w:pBdr>
          <w:top w:val="nil"/>
          <w:left w:val="nil"/>
          <w:bottom w:val="nil"/>
          <w:right w:val="nil"/>
          <w:between w:val="nil"/>
        </w:pBdr>
        <w:tabs>
          <w:tab w:val="left" w:pos="1371"/>
        </w:tabs>
        <w:rPr>
          <w:b/>
          <w:color w:val="000000"/>
          <w:sz w:val="24"/>
          <w:szCs w:val="24"/>
        </w:rPr>
      </w:pPr>
      <w:r w:rsidRPr="0042467E">
        <w:rPr>
          <w:b/>
          <w:color w:val="00000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024D2" w:rsidRPr="0042467E" w:rsidP="00B024D2">
      <w:pPr>
        <w:pBdr>
          <w:top w:val="nil"/>
          <w:left w:val="nil"/>
          <w:bottom w:val="nil"/>
          <w:right w:val="nil"/>
          <w:between w:val="nil"/>
        </w:pBdr>
        <w:tabs>
          <w:tab w:val="left" w:pos="1371"/>
        </w:tabs>
        <w:rPr>
          <w:b/>
          <w:color w:val="000000"/>
          <w:sz w:val="24"/>
          <w:szCs w:val="24"/>
        </w:rPr>
      </w:pPr>
    </w:p>
    <w:p w:rsidR="00EE214A" w:rsidRPr="0042467E" w:rsidP="007E324A">
      <w:pPr>
        <w:pBdr>
          <w:top w:val="nil"/>
          <w:left w:val="nil"/>
          <w:bottom w:val="nil"/>
          <w:right w:val="nil"/>
          <w:between w:val="nil"/>
        </w:pBdr>
        <w:spacing w:before="6"/>
        <w:jc w:val="both"/>
        <w:rPr>
          <w:color w:val="000000"/>
          <w:sz w:val="24"/>
          <w:szCs w:val="24"/>
        </w:rPr>
      </w:pPr>
      <w:r w:rsidRPr="0042467E">
        <w:rPr>
          <w:color w:val="000000"/>
          <w:sz w:val="24"/>
          <w:szCs w:val="24"/>
        </w:rPr>
        <w:t xml:space="preserve">The purpose of this information collection </w:t>
      </w:r>
      <w:r w:rsidRPr="0042467E" w:rsidR="007E0A02">
        <w:rPr>
          <w:color w:val="000000"/>
          <w:sz w:val="24"/>
          <w:szCs w:val="24"/>
        </w:rPr>
        <w:t xml:space="preserve">assist in the </w:t>
      </w:r>
      <w:r w:rsidRPr="0042467E" w:rsidR="00E35102">
        <w:rPr>
          <w:color w:val="000000"/>
          <w:sz w:val="24"/>
          <w:szCs w:val="24"/>
        </w:rPr>
        <w:t xml:space="preserve">evaluation of the performance of the red snapper and grouper-tilefish </w:t>
      </w:r>
      <w:r w:rsidRPr="0042467E" w:rsidR="00B95704">
        <w:rPr>
          <w:color w:val="000000"/>
          <w:sz w:val="24"/>
          <w:szCs w:val="24"/>
        </w:rPr>
        <w:t>Individual Fishing Quota (</w:t>
      </w:r>
      <w:r w:rsidRPr="0042467E" w:rsidR="00FD4623">
        <w:rPr>
          <w:color w:val="000000"/>
          <w:sz w:val="24"/>
          <w:szCs w:val="24"/>
        </w:rPr>
        <w:t xml:space="preserve">RS and GT </w:t>
      </w:r>
      <w:r w:rsidRPr="0042467E" w:rsidR="00E35102">
        <w:rPr>
          <w:color w:val="000000"/>
          <w:sz w:val="24"/>
          <w:szCs w:val="24"/>
        </w:rPr>
        <w:t>IFQs</w:t>
      </w:r>
      <w:r w:rsidRPr="0042467E" w:rsidR="00B95704">
        <w:rPr>
          <w:color w:val="000000"/>
          <w:sz w:val="24"/>
          <w:szCs w:val="24"/>
        </w:rPr>
        <w:t>)</w:t>
      </w:r>
      <w:r w:rsidRPr="0042467E" w:rsidR="00E35102">
        <w:rPr>
          <w:color w:val="000000"/>
          <w:sz w:val="24"/>
          <w:szCs w:val="24"/>
        </w:rPr>
        <w:t xml:space="preserve"> programs</w:t>
      </w:r>
      <w:r w:rsidR="00CB58C1">
        <w:rPr>
          <w:color w:val="000000"/>
          <w:sz w:val="24"/>
          <w:szCs w:val="24"/>
        </w:rPr>
        <w:t xml:space="preserve"> in the Southeast</w:t>
      </w:r>
      <w:r w:rsidR="00D10EC0">
        <w:rPr>
          <w:color w:val="000000"/>
          <w:sz w:val="24"/>
          <w:szCs w:val="24"/>
        </w:rPr>
        <w:t xml:space="preserve"> Region of the</w:t>
      </w:r>
      <w:r w:rsidR="00CB58C1">
        <w:rPr>
          <w:color w:val="000000"/>
          <w:sz w:val="24"/>
          <w:szCs w:val="24"/>
        </w:rPr>
        <w:t xml:space="preserve"> United States</w:t>
      </w:r>
      <w:r w:rsidRPr="0042467E" w:rsidR="00E35102">
        <w:rPr>
          <w:color w:val="000000"/>
          <w:sz w:val="24"/>
          <w:szCs w:val="24"/>
        </w:rPr>
        <w:t>.</w:t>
      </w:r>
      <w:r w:rsidRPr="0042467E" w:rsidR="00E35102">
        <w:rPr>
          <w:sz w:val="24"/>
          <w:szCs w:val="24"/>
        </w:rPr>
        <w:t xml:space="preserve"> </w:t>
      </w:r>
      <w:r w:rsidRPr="0042467E" w:rsidR="00E35102">
        <w:rPr>
          <w:color w:val="000000"/>
          <w:sz w:val="24"/>
          <w:szCs w:val="24"/>
        </w:rPr>
        <w:t xml:space="preserve">The </w:t>
      </w:r>
      <w:r w:rsidRPr="0042467E" w:rsidR="007E324A">
        <w:rPr>
          <w:sz w:val="24"/>
          <w:szCs w:val="24"/>
        </w:rPr>
        <w:t xml:space="preserve">Magnuson-Stevens Fishery Conservation and Management </w:t>
      </w:r>
      <w:r w:rsidRPr="006F4F87" w:rsidR="007E324A">
        <w:rPr>
          <w:sz w:val="24"/>
          <w:szCs w:val="24"/>
        </w:rPr>
        <w:t>Act (</w:t>
      </w:r>
      <w:r w:rsidRPr="0042467E" w:rsidR="00E35102">
        <w:rPr>
          <w:color w:val="000000"/>
          <w:sz w:val="24"/>
          <w:szCs w:val="24"/>
        </w:rPr>
        <w:t>MSA</w:t>
      </w:r>
      <w:r w:rsidRPr="0042467E" w:rsidR="007E324A">
        <w:rPr>
          <w:color w:val="000000"/>
          <w:sz w:val="24"/>
          <w:szCs w:val="24"/>
        </w:rPr>
        <w:t>)</w:t>
      </w:r>
      <w:r w:rsidRPr="0042467E" w:rsidR="00E35102">
        <w:rPr>
          <w:color w:val="000000"/>
          <w:sz w:val="24"/>
          <w:szCs w:val="24"/>
        </w:rPr>
        <w:t xml:space="preserve"> mandates that</w:t>
      </w:r>
      <w:r w:rsidRPr="0042467E" w:rsidR="00D97BEC">
        <w:rPr>
          <w:color w:val="000000"/>
          <w:sz w:val="24"/>
          <w:szCs w:val="24"/>
        </w:rPr>
        <w:t xml:space="preserve"> the</w:t>
      </w:r>
      <w:r w:rsidRPr="0042467E" w:rsidR="00E35102">
        <w:rPr>
          <w:color w:val="000000"/>
          <w:sz w:val="24"/>
          <w:szCs w:val="24"/>
        </w:rPr>
        <w:t xml:space="preserve"> </w:t>
      </w:r>
      <w:r w:rsidRPr="0042467E" w:rsidR="00D97BEC">
        <w:rPr>
          <w:sz w:val="24"/>
          <w:szCs w:val="24"/>
        </w:rPr>
        <w:t xml:space="preserve">National Oceanic and Atmospheric Administration’s (NOAA) National Marine Fisheries Service (NMFS or NOAA Fisheries) </w:t>
      </w:r>
      <w:r w:rsidRPr="0042467E" w:rsidR="00E35102">
        <w:rPr>
          <w:color w:val="000000"/>
          <w:sz w:val="24"/>
          <w:szCs w:val="24"/>
        </w:rPr>
        <w:t xml:space="preserve"> and the regional fishery management councils review catch share programs to ensure they meet their biological, economic, and </w:t>
      </w:r>
      <w:r w:rsidRPr="0042467E" w:rsidR="00656250">
        <w:rPr>
          <w:color w:val="000000"/>
          <w:sz w:val="24"/>
          <w:szCs w:val="24"/>
        </w:rPr>
        <w:t>social</w:t>
      </w:r>
      <w:r w:rsidRPr="0042467E" w:rsidR="00E35102">
        <w:rPr>
          <w:color w:val="000000"/>
          <w:sz w:val="24"/>
          <w:szCs w:val="24"/>
        </w:rPr>
        <w:t xml:space="preserve"> goals. This review must occur five years after the program starts and every seven years </w:t>
      </w:r>
      <w:r w:rsidRPr="0042467E" w:rsidR="00AC4B52">
        <w:rPr>
          <w:sz w:val="24"/>
          <w:szCs w:val="24"/>
        </w:rPr>
        <w:t>(16 U.S.C. § 1853a(c</w:t>
      </w:r>
      <w:r w:rsidRPr="0042467E" w:rsidR="00EB1440">
        <w:rPr>
          <w:sz w:val="24"/>
          <w:szCs w:val="24"/>
        </w:rPr>
        <w:t>) (</w:t>
      </w:r>
      <w:r w:rsidRPr="0042467E" w:rsidR="00AC4B52">
        <w:rPr>
          <w:sz w:val="24"/>
          <w:szCs w:val="24"/>
        </w:rPr>
        <w:t>1)(G))</w:t>
      </w:r>
    </w:p>
    <w:p w:rsidR="00EE214A" w:rsidRPr="0042467E" w:rsidP="007E324A">
      <w:pPr>
        <w:pBdr>
          <w:top w:val="nil"/>
          <w:left w:val="nil"/>
          <w:bottom w:val="nil"/>
          <w:right w:val="nil"/>
          <w:between w:val="nil"/>
        </w:pBdr>
        <w:spacing w:before="6"/>
        <w:jc w:val="both"/>
        <w:rPr>
          <w:color w:val="000000"/>
          <w:sz w:val="24"/>
          <w:szCs w:val="24"/>
        </w:rPr>
      </w:pPr>
    </w:p>
    <w:p w:rsidR="00D67C05" w:rsidRPr="0042467E" w:rsidP="007E324A">
      <w:pPr>
        <w:pBdr>
          <w:top w:val="nil"/>
          <w:left w:val="nil"/>
          <w:bottom w:val="nil"/>
          <w:right w:val="nil"/>
          <w:between w:val="nil"/>
        </w:pBdr>
        <w:spacing w:before="6"/>
        <w:jc w:val="both"/>
        <w:rPr>
          <w:color w:val="000000"/>
          <w:sz w:val="24"/>
          <w:szCs w:val="24"/>
        </w:rPr>
      </w:pPr>
      <w:r w:rsidRPr="0042467E">
        <w:rPr>
          <w:color w:val="000000"/>
          <w:sz w:val="24"/>
          <w:szCs w:val="24"/>
        </w:rPr>
        <w:t xml:space="preserve">In addition, </w:t>
      </w:r>
      <w:r w:rsidRPr="0042467E" w:rsidR="00EE214A">
        <w:rPr>
          <w:color w:val="000000"/>
          <w:sz w:val="24"/>
          <w:szCs w:val="24"/>
        </w:rPr>
        <w:t>NOAA</w:t>
      </w:r>
      <w:r w:rsidRPr="0042467E" w:rsidR="00B3702B">
        <w:rPr>
          <w:color w:val="000000"/>
          <w:sz w:val="24"/>
          <w:szCs w:val="24"/>
        </w:rPr>
        <w:t xml:space="preserve"> needs the </w:t>
      </w:r>
      <w:r w:rsidRPr="0042467E" w:rsidR="00B3702B">
        <w:rPr>
          <w:sz w:val="24"/>
          <w:szCs w:val="24"/>
        </w:rPr>
        <w:t>social and economic data</w:t>
      </w:r>
      <w:r w:rsidRPr="0042467E" w:rsidR="00B3702B">
        <w:rPr>
          <w:color w:val="000000"/>
          <w:sz w:val="24"/>
          <w:szCs w:val="24"/>
        </w:rPr>
        <w:t xml:space="preserve"> included in this information collection to be capable of more than cursory efforts to comply with or support the following laws, Executive </w:t>
      </w:r>
      <w:r w:rsidRPr="0042467E" w:rsidR="00B3702B">
        <w:rPr>
          <w:color w:val="000000"/>
          <w:sz w:val="24"/>
          <w:szCs w:val="24"/>
        </w:rPr>
        <w:t xml:space="preserve">Orders (EOs) and NOAA Fisheries strategies and policies, which require </w:t>
      </w:r>
      <w:r w:rsidRPr="0042467E" w:rsidR="00B3702B">
        <w:rPr>
          <w:sz w:val="24"/>
          <w:szCs w:val="24"/>
        </w:rPr>
        <w:t>social and economic data</w:t>
      </w:r>
      <w:r w:rsidRPr="0042467E" w:rsidR="00B3702B">
        <w:rPr>
          <w:color w:val="000000"/>
          <w:sz w:val="24"/>
          <w:szCs w:val="24"/>
        </w:rPr>
        <w:t xml:space="preserve"> and analyses. See Appendix A for a discussion of their requirements for </w:t>
      </w:r>
      <w:r w:rsidRPr="0042467E" w:rsidR="00B3702B">
        <w:rPr>
          <w:sz w:val="24"/>
          <w:szCs w:val="24"/>
        </w:rPr>
        <w:t>social and economic data</w:t>
      </w:r>
      <w:r w:rsidRPr="0042467E" w:rsidR="00B3702B">
        <w:rPr>
          <w:color w:val="000000"/>
          <w:sz w:val="24"/>
          <w:szCs w:val="24"/>
        </w:rPr>
        <w:t xml:space="preserve"> and analyses.</w:t>
      </w:r>
    </w:p>
    <w:p w:rsidR="00D67C05" w:rsidRPr="0042467E" w:rsidP="00F560BC">
      <w:pPr>
        <w:rPr>
          <w:sz w:val="24"/>
          <w:szCs w:val="24"/>
        </w:rPr>
      </w:pPr>
    </w:p>
    <w:p w:rsidR="00D67C05" w:rsidRPr="0042467E" w:rsidP="00F560BC">
      <w:pPr>
        <w:numPr>
          <w:ilvl w:val="0"/>
          <w:numId w:val="17"/>
        </w:numPr>
        <w:pBdr>
          <w:top w:val="nil"/>
          <w:left w:val="nil"/>
          <w:bottom w:val="nil"/>
          <w:right w:val="nil"/>
          <w:between w:val="nil"/>
        </w:pBdr>
        <w:rPr>
          <w:color w:val="000000"/>
          <w:sz w:val="24"/>
          <w:szCs w:val="24"/>
        </w:rPr>
      </w:pPr>
      <w:r w:rsidRPr="0042467E">
        <w:rPr>
          <w:color w:val="000000"/>
          <w:sz w:val="24"/>
          <w:szCs w:val="24"/>
        </w:rPr>
        <w:t xml:space="preserve">The </w:t>
      </w:r>
      <w:hyperlink r:id="rId6">
        <w:r w:rsidRPr="0042467E">
          <w:rPr>
            <w:color w:val="0000FF"/>
            <w:sz w:val="24"/>
            <w:szCs w:val="24"/>
            <w:u w:val="single"/>
          </w:rPr>
          <w:t>Magnuson-Stevens Fishery Conservation and Management Act</w:t>
        </w:r>
      </w:hyperlink>
      <w:r w:rsidRPr="0042467E">
        <w:rPr>
          <w:color w:val="000000"/>
          <w:sz w:val="24"/>
          <w:szCs w:val="24"/>
        </w:rPr>
        <w:t xml:space="preserve"> (MSA)</w:t>
      </w:r>
    </w:p>
    <w:p w:rsidR="00D67C05" w:rsidRPr="0042467E" w:rsidP="00F560BC">
      <w:pPr>
        <w:numPr>
          <w:ilvl w:val="0"/>
          <w:numId w:val="17"/>
        </w:numPr>
        <w:pBdr>
          <w:top w:val="nil"/>
          <w:left w:val="nil"/>
          <w:bottom w:val="nil"/>
          <w:right w:val="nil"/>
          <w:between w:val="nil"/>
        </w:pBdr>
        <w:rPr>
          <w:color w:val="000000"/>
          <w:sz w:val="24"/>
          <w:szCs w:val="24"/>
        </w:rPr>
      </w:pPr>
      <w:r w:rsidRPr="0042467E">
        <w:rPr>
          <w:color w:val="000000"/>
          <w:sz w:val="24"/>
          <w:szCs w:val="24"/>
        </w:rPr>
        <w:t xml:space="preserve">The </w:t>
      </w:r>
      <w:hyperlink r:id="rId7">
        <w:r w:rsidRPr="0042467E">
          <w:rPr>
            <w:color w:val="0000FF"/>
            <w:sz w:val="24"/>
            <w:szCs w:val="24"/>
            <w:u w:val="single"/>
          </w:rPr>
          <w:t>National Environmental Policy Act</w:t>
        </w:r>
      </w:hyperlink>
      <w:r w:rsidRPr="0042467E">
        <w:rPr>
          <w:color w:val="000000"/>
          <w:sz w:val="24"/>
          <w:szCs w:val="24"/>
        </w:rPr>
        <w:t xml:space="preserve"> (NEPA) </w:t>
      </w:r>
    </w:p>
    <w:p w:rsidR="00D67C05" w:rsidRPr="0042467E" w:rsidP="00F560BC">
      <w:pPr>
        <w:numPr>
          <w:ilvl w:val="0"/>
          <w:numId w:val="17"/>
        </w:numPr>
        <w:pBdr>
          <w:top w:val="nil"/>
          <w:left w:val="nil"/>
          <w:bottom w:val="nil"/>
          <w:right w:val="nil"/>
          <w:between w:val="nil"/>
        </w:pBdr>
        <w:rPr>
          <w:color w:val="000000"/>
          <w:sz w:val="24"/>
          <w:szCs w:val="24"/>
        </w:rPr>
      </w:pPr>
      <w:r w:rsidRPr="0042467E">
        <w:rPr>
          <w:color w:val="000000"/>
          <w:sz w:val="24"/>
          <w:szCs w:val="24"/>
        </w:rPr>
        <w:t xml:space="preserve">The </w:t>
      </w:r>
      <w:hyperlink r:id="rId8">
        <w:r w:rsidRPr="0042467E">
          <w:rPr>
            <w:color w:val="0000FF"/>
            <w:sz w:val="24"/>
            <w:szCs w:val="24"/>
            <w:u w:val="single"/>
          </w:rPr>
          <w:t>Regulatory Flexibility Act</w:t>
        </w:r>
      </w:hyperlink>
      <w:r w:rsidRPr="0042467E">
        <w:rPr>
          <w:color w:val="000000"/>
          <w:sz w:val="24"/>
          <w:szCs w:val="24"/>
        </w:rPr>
        <w:t xml:space="preserve"> (RFA)</w:t>
      </w:r>
    </w:p>
    <w:p w:rsidR="00D67C05" w:rsidRPr="0042467E" w:rsidP="00F560BC">
      <w:pPr>
        <w:numPr>
          <w:ilvl w:val="0"/>
          <w:numId w:val="17"/>
        </w:numPr>
        <w:pBdr>
          <w:top w:val="nil"/>
          <w:left w:val="nil"/>
          <w:bottom w:val="nil"/>
          <w:right w:val="nil"/>
          <w:between w:val="nil"/>
        </w:pBdr>
        <w:rPr>
          <w:color w:val="000000"/>
          <w:sz w:val="24"/>
          <w:szCs w:val="24"/>
        </w:rPr>
      </w:pPr>
      <w:hyperlink r:id="rId9">
        <w:r w:rsidRPr="0042467E" w:rsidR="00174DE5">
          <w:rPr>
            <w:color w:val="0000FF"/>
            <w:sz w:val="24"/>
            <w:szCs w:val="24"/>
            <w:u w:val="single"/>
          </w:rPr>
          <w:t>EO 13771</w:t>
        </w:r>
      </w:hyperlink>
      <w:r w:rsidRPr="0042467E" w:rsidR="00174DE5">
        <w:rPr>
          <w:color w:val="000000"/>
          <w:sz w:val="24"/>
          <w:szCs w:val="24"/>
        </w:rPr>
        <w:t xml:space="preserve"> (Reducing Regulation and Controlling Regulatory Costs)</w:t>
      </w:r>
    </w:p>
    <w:p w:rsidR="00D67C05" w:rsidRPr="0042467E" w:rsidP="00F560BC">
      <w:pPr>
        <w:numPr>
          <w:ilvl w:val="0"/>
          <w:numId w:val="17"/>
        </w:numPr>
        <w:pBdr>
          <w:top w:val="nil"/>
          <w:left w:val="nil"/>
          <w:bottom w:val="nil"/>
          <w:right w:val="nil"/>
          <w:between w:val="nil"/>
        </w:pBdr>
        <w:rPr>
          <w:color w:val="000000"/>
          <w:sz w:val="24"/>
          <w:szCs w:val="24"/>
        </w:rPr>
      </w:pPr>
      <w:r w:rsidRPr="0042467E">
        <w:rPr>
          <w:color w:val="000000"/>
          <w:sz w:val="24"/>
          <w:szCs w:val="24"/>
        </w:rPr>
        <w:t xml:space="preserve">The </w:t>
      </w:r>
      <w:hyperlink r:id="rId10">
        <w:r w:rsidRPr="0042467E">
          <w:rPr>
            <w:color w:val="0000FF"/>
            <w:sz w:val="24"/>
            <w:szCs w:val="24"/>
            <w:u w:val="single"/>
          </w:rPr>
          <w:t>NOAA Fisheries Guidelines for Assessment of the Social Impact of Fishery Management Actions</w:t>
        </w:r>
      </w:hyperlink>
    </w:p>
    <w:p w:rsidR="00D67C05" w:rsidRPr="0042467E" w:rsidP="00F560BC">
      <w:pPr>
        <w:numPr>
          <w:ilvl w:val="0"/>
          <w:numId w:val="17"/>
        </w:numPr>
        <w:pBdr>
          <w:top w:val="nil"/>
          <w:left w:val="nil"/>
          <w:bottom w:val="nil"/>
          <w:right w:val="nil"/>
          <w:between w:val="nil"/>
        </w:pBdr>
        <w:rPr>
          <w:color w:val="000000"/>
          <w:sz w:val="24"/>
          <w:szCs w:val="24"/>
        </w:rPr>
      </w:pPr>
      <w:r w:rsidRPr="0042467E">
        <w:rPr>
          <w:color w:val="000000"/>
          <w:sz w:val="24"/>
          <w:szCs w:val="24"/>
        </w:rPr>
        <w:t xml:space="preserve">The </w:t>
      </w:r>
      <w:hyperlink r:id="rId11">
        <w:r w:rsidRPr="0042467E">
          <w:rPr>
            <w:color w:val="0000FF"/>
            <w:sz w:val="24"/>
            <w:szCs w:val="24"/>
            <w:u w:val="single"/>
          </w:rPr>
          <w:t>NOAA Fisheries Guidelines for Economic Reviews of Regulatory Actions</w:t>
        </w:r>
      </w:hyperlink>
    </w:p>
    <w:p w:rsidR="00D67C05" w:rsidRPr="0042467E" w:rsidP="00F560BC">
      <w:pPr>
        <w:numPr>
          <w:ilvl w:val="0"/>
          <w:numId w:val="17"/>
        </w:numPr>
        <w:pBdr>
          <w:top w:val="nil"/>
          <w:left w:val="nil"/>
          <w:bottom w:val="nil"/>
          <w:right w:val="nil"/>
          <w:between w:val="nil"/>
        </w:pBdr>
        <w:rPr>
          <w:color w:val="000000"/>
          <w:sz w:val="24"/>
          <w:szCs w:val="24"/>
        </w:rPr>
      </w:pPr>
      <w:r w:rsidRPr="0042467E">
        <w:rPr>
          <w:color w:val="000000"/>
          <w:sz w:val="24"/>
          <w:szCs w:val="24"/>
        </w:rPr>
        <w:t xml:space="preserve">The </w:t>
      </w:r>
      <w:hyperlink r:id="rId12">
        <w:r w:rsidRPr="0042467E">
          <w:rPr>
            <w:color w:val="0000FF"/>
            <w:sz w:val="24"/>
            <w:szCs w:val="24"/>
            <w:u w:val="single"/>
          </w:rPr>
          <w:t>NOAA Fisheries National Bycatch Reduction Strategy</w:t>
        </w:r>
      </w:hyperlink>
    </w:p>
    <w:p w:rsidR="00D67C05" w:rsidRPr="0042467E" w:rsidP="00F560BC">
      <w:pPr>
        <w:numPr>
          <w:ilvl w:val="0"/>
          <w:numId w:val="17"/>
        </w:numPr>
        <w:pBdr>
          <w:top w:val="nil"/>
          <w:left w:val="nil"/>
          <w:bottom w:val="nil"/>
          <w:right w:val="nil"/>
          <w:between w:val="nil"/>
        </w:pBdr>
        <w:rPr>
          <w:color w:val="000000"/>
          <w:sz w:val="24"/>
          <w:szCs w:val="24"/>
        </w:rPr>
      </w:pPr>
      <w:hyperlink r:id="rId13">
        <w:r w:rsidRPr="0042467E" w:rsidR="00174DE5">
          <w:rPr>
            <w:color w:val="0000FF"/>
            <w:sz w:val="24"/>
            <w:szCs w:val="24"/>
            <w:u w:val="single"/>
          </w:rPr>
          <w:t>NOAA’s Catch Share Policy</w:t>
        </w:r>
      </w:hyperlink>
    </w:p>
    <w:p w:rsidR="00203D0D" w:rsidRPr="0042467E" w:rsidP="00B024D2">
      <w:pPr>
        <w:jc w:val="both"/>
        <w:rPr>
          <w:sz w:val="24"/>
          <w:szCs w:val="24"/>
        </w:rPr>
      </w:pPr>
    </w:p>
    <w:p w:rsidR="00D67C05" w:rsidRPr="0042467E" w:rsidP="00B024D2">
      <w:pPr>
        <w:jc w:val="both"/>
        <w:rPr>
          <w:sz w:val="24"/>
          <w:szCs w:val="24"/>
        </w:rPr>
      </w:pPr>
      <w:r w:rsidRPr="0042467E">
        <w:rPr>
          <w:sz w:val="24"/>
          <w:szCs w:val="24"/>
        </w:rPr>
        <w:t xml:space="preserve">NMFS and the Regional Fishery Management Councils need these data to support fishery management social impact assessments and analyses. The explicit Magnuson-Stevens Fishery Conservation and Management (MSA) authority to collect social and economic data is discussed in Section 1.4. Information Collection of Appendix A. </w:t>
      </w:r>
    </w:p>
    <w:p w:rsidR="00656250" w:rsidRPr="0042467E" w:rsidP="00B024D2">
      <w:pPr>
        <w:jc w:val="both"/>
        <w:rPr>
          <w:sz w:val="24"/>
          <w:szCs w:val="24"/>
        </w:rPr>
      </w:pPr>
    </w:p>
    <w:p w:rsidR="00B95704" w:rsidRPr="0042467E" w:rsidP="00B024D2">
      <w:pPr>
        <w:jc w:val="both"/>
        <w:rPr>
          <w:sz w:val="24"/>
          <w:szCs w:val="24"/>
        </w:rPr>
      </w:pPr>
      <w:r w:rsidRPr="0042467E">
        <w:rPr>
          <w:color w:val="111111"/>
          <w:sz w:val="24"/>
          <w:szCs w:val="24"/>
          <w:shd w:val="clear" w:color="auto" w:fill="FFFFFF"/>
        </w:rPr>
        <w:t xml:space="preserve">At present, there </w:t>
      </w:r>
      <w:r w:rsidRPr="0042467E" w:rsidR="005F2B20">
        <w:rPr>
          <w:color w:val="111111"/>
          <w:sz w:val="24"/>
          <w:szCs w:val="24"/>
          <w:shd w:val="clear" w:color="auto" w:fill="FFFFFF"/>
        </w:rPr>
        <w:t>are</w:t>
      </w:r>
      <w:r w:rsidRPr="0042467E" w:rsidR="00E647ED">
        <w:rPr>
          <w:color w:val="111111"/>
          <w:sz w:val="24"/>
          <w:szCs w:val="24"/>
          <w:shd w:val="clear" w:color="auto" w:fill="FFFFFF"/>
        </w:rPr>
        <w:t xml:space="preserve"> no current</w:t>
      </w:r>
      <w:r w:rsidRPr="0042467E">
        <w:rPr>
          <w:color w:val="111111"/>
          <w:sz w:val="24"/>
          <w:szCs w:val="24"/>
          <w:shd w:val="clear" w:color="auto" w:fill="FFFFFF"/>
        </w:rPr>
        <w:t xml:space="preserve"> socio-economic data available to monitor and assess the social impacts of fishery management policies and decisions over time. </w:t>
      </w:r>
      <w:r w:rsidRPr="0042467E">
        <w:rPr>
          <w:sz w:val="24"/>
          <w:szCs w:val="24"/>
        </w:rPr>
        <w:t>Earlier efforts were focused on the previous IFQ reviews (</w:t>
      </w:r>
      <w:r w:rsidRPr="0042467E">
        <w:rPr>
          <w:color w:val="222222"/>
          <w:sz w:val="24"/>
          <w:szCs w:val="24"/>
          <w:shd w:val="clear" w:color="auto" w:fill="FFFFFF"/>
        </w:rPr>
        <w:t>Tokotch</w:t>
      </w:r>
      <w:r w:rsidRPr="0042467E">
        <w:rPr>
          <w:sz w:val="24"/>
          <w:szCs w:val="24"/>
        </w:rPr>
        <w:t xml:space="preserve"> et al., 2012; Griffith et al, 2016). </w:t>
      </w:r>
      <w:r w:rsidRPr="0042467E">
        <w:rPr>
          <w:color w:val="111111"/>
          <w:sz w:val="24"/>
          <w:szCs w:val="24"/>
          <w:shd w:val="clear" w:color="auto" w:fill="FFFFFF"/>
        </w:rPr>
        <w:t>Understanding how these policies and programs affect the social and economic characteristics of those involved in commercial fisheries and fishing communities is crucial for effective management strategies.</w:t>
      </w:r>
    </w:p>
    <w:p w:rsidR="00D67C05" w:rsidRPr="0042467E" w:rsidP="00B024D2">
      <w:pPr>
        <w:jc w:val="both"/>
        <w:rPr>
          <w:sz w:val="24"/>
          <w:szCs w:val="24"/>
        </w:rPr>
      </w:pPr>
      <w:r w:rsidRPr="0042467E">
        <w:rPr>
          <w:sz w:val="24"/>
          <w:szCs w:val="24"/>
        </w:rPr>
        <w:t xml:space="preserve"> </w:t>
      </w:r>
    </w:p>
    <w:p w:rsidR="00D67C05" w:rsidRPr="0042467E" w:rsidP="00F560BC">
      <w:pPr>
        <w:pStyle w:val="Heading1"/>
        <w:numPr>
          <w:ilvl w:val="0"/>
          <w:numId w:val="15"/>
        </w:numPr>
        <w:tabs>
          <w:tab w:val="left" w:pos="1320"/>
        </w:tabs>
        <w:spacing w:before="197"/>
      </w:pPr>
      <w:r w:rsidRPr="0042467E">
        <w:t>Indicate how, by whom, how frequently, and for what purpose the information will be used. Except for a new collection, indicate the actual use the agency has made of the information received from the current collection.</w:t>
      </w:r>
    </w:p>
    <w:p w:rsidR="00D67C05" w:rsidRPr="0042467E" w:rsidP="00F560BC">
      <w:pPr>
        <w:pBdr>
          <w:top w:val="nil"/>
          <w:left w:val="nil"/>
          <w:bottom w:val="nil"/>
          <w:right w:val="nil"/>
          <w:between w:val="nil"/>
        </w:pBdr>
        <w:spacing w:before="9"/>
        <w:rPr>
          <w:b/>
          <w:color w:val="000000"/>
          <w:sz w:val="15"/>
          <w:szCs w:val="15"/>
        </w:rPr>
      </w:pPr>
    </w:p>
    <w:p w:rsidR="00D67C05" w:rsidRPr="0042467E" w:rsidP="00F560BC">
      <w:pPr>
        <w:pBdr>
          <w:top w:val="nil"/>
          <w:left w:val="nil"/>
          <w:bottom w:val="nil"/>
          <w:right w:val="nil"/>
          <w:between w:val="nil"/>
        </w:pBdr>
        <w:rPr>
          <w:sz w:val="24"/>
          <w:szCs w:val="24"/>
          <w:u w:val="single"/>
        </w:rPr>
      </w:pPr>
      <w:r w:rsidRPr="0042467E">
        <w:rPr>
          <w:sz w:val="24"/>
          <w:szCs w:val="24"/>
          <w:u w:val="single"/>
        </w:rPr>
        <w:t>How will this information be collected?</w:t>
      </w:r>
    </w:p>
    <w:p w:rsidR="00C3569A" w:rsidRPr="0042467E" w:rsidP="00F560BC">
      <w:pPr>
        <w:pBdr>
          <w:top w:val="nil"/>
          <w:left w:val="nil"/>
          <w:bottom w:val="nil"/>
          <w:right w:val="nil"/>
          <w:between w:val="nil"/>
        </w:pBdr>
        <w:rPr>
          <w:sz w:val="24"/>
          <w:szCs w:val="24"/>
          <w:u w:val="single"/>
        </w:rPr>
      </w:pPr>
    </w:p>
    <w:p w:rsidR="006570FD" w:rsidRPr="0042467E" w:rsidP="006570FD">
      <w:pPr>
        <w:pBdr>
          <w:top w:val="nil"/>
          <w:left w:val="nil"/>
          <w:bottom w:val="nil"/>
          <w:right w:val="nil"/>
          <w:between w:val="nil"/>
        </w:pBdr>
        <w:spacing w:before="5"/>
        <w:jc w:val="both"/>
        <w:rPr>
          <w:color w:val="111111"/>
          <w:sz w:val="24"/>
          <w:szCs w:val="24"/>
          <w:shd w:val="clear" w:color="auto" w:fill="FFFFFF"/>
        </w:rPr>
      </w:pPr>
      <w:r w:rsidRPr="0042467E">
        <w:rPr>
          <w:color w:val="111111"/>
          <w:sz w:val="24"/>
          <w:szCs w:val="24"/>
          <w:shd w:val="clear" w:color="auto" w:fill="FFFFFF"/>
        </w:rPr>
        <w:t>Th</w:t>
      </w:r>
      <w:r w:rsidRPr="0042467E" w:rsidR="001E4BDB">
        <w:rPr>
          <w:color w:val="111111"/>
          <w:sz w:val="24"/>
          <w:szCs w:val="24"/>
          <w:shd w:val="clear" w:color="auto" w:fill="FFFFFF"/>
        </w:rPr>
        <w:t>is information will be collecte</w:t>
      </w:r>
      <w:r w:rsidRPr="0042467E" w:rsidR="00BE1F0B">
        <w:rPr>
          <w:color w:val="111111"/>
          <w:sz w:val="24"/>
          <w:szCs w:val="24"/>
          <w:shd w:val="clear" w:color="auto" w:fill="FFFFFF"/>
        </w:rPr>
        <w:t>d</w:t>
      </w:r>
      <w:r w:rsidRPr="0042467E">
        <w:rPr>
          <w:color w:val="111111"/>
          <w:sz w:val="24"/>
          <w:szCs w:val="24"/>
          <w:shd w:val="clear" w:color="auto" w:fill="FFFFFF"/>
        </w:rPr>
        <w:t xml:space="preserve"> </w:t>
      </w:r>
      <w:r w:rsidRPr="0042467E" w:rsidR="00875E24">
        <w:rPr>
          <w:color w:val="111111"/>
          <w:sz w:val="24"/>
          <w:szCs w:val="24"/>
          <w:shd w:val="clear" w:color="auto" w:fill="FFFFFF"/>
        </w:rPr>
        <w:t xml:space="preserve">mainly </w:t>
      </w:r>
      <w:r w:rsidRPr="0042467E">
        <w:rPr>
          <w:color w:val="111111"/>
          <w:sz w:val="24"/>
          <w:szCs w:val="24"/>
          <w:shd w:val="clear" w:color="auto" w:fill="FFFFFF"/>
        </w:rPr>
        <w:t xml:space="preserve">through online surveys. </w:t>
      </w:r>
    </w:p>
    <w:p w:rsidR="006570FD" w:rsidRPr="0042467E" w:rsidP="006570FD">
      <w:pPr>
        <w:pBdr>
          <w:top w:val="nil"/>
          <w:left w:val="nil"/>
          <w:bottom w:val="nil"/>
          <w:right w:val="nil"/>
          <w:between w:val="nil"/>
        </w:pBdr>
        <w:spacing w:before="5"/>
        <w:jc w:val="both"/>
        <w:rPr>
          <w:color w:val="111111"/>
          <w:sz w:val="24"/>
          <w:szCs w:val="24"/>
          <w:shd w:val="clear" w:color="auto" w:fill="FFFFFF"/>
        </w:rPr>
      </w:pPr>
    </w:p>
    <w:p w:rsidR="006570FD" w:rsidRPr="0042467E" w:rsidP="006570FD">
      <w:pPr>
        <w:pBdr>
          <w:top w:val="nil"/>
          <w:left w:val="nil"/>
          <w:bottom w:val="nil"/>
          <w:right w:val="nil"/>
          <w:between w:val="nil"/>
        </w:pBdr>
        <w:spacing w:before="5"/>
        <w:jc w:val="both"/>
        <w:rPr>
          <w:color w:val="111111"/>
          <w:sz w:val="24"/>
          <w:szCs w:val="24"/>
          <w:shd w:val="clear" w:color="auto" w:fill="FFFFFF"/>
        </w:rPr>
      </w:pPr>
      <w:r w:rsidRPr="0042467E">
        <w:rPr>
          <w:color w:val="111111"/>
          <w:sz w:val="24"/>
          <w:szCs w:val="24"/>
          <w:shd w:val="clear" w:color="auto" w:fill="FFFFFF"/>
        </w:rPr>
        <w:t>IFQ participants are generally comfortable with technology, as they submit their transactions electronically. Therefore, the survey will be conducted via the internet</w:t>
      </w:r>
      <w:r w:rsidRPr="0042467E" w:rsidR="006A0D45">
        <w:rPr>
          <w:color w:val="111111"/>
          <w:sz w:val="24"/>
          <w:szCs w:val="24"/>
          <w:shd w:val="clear" w:color="auto" w:fill="FFFFFF"/>
        </w:rPr>
        <w:t xml:space="preserve">. </w:t>
      </w:r>
      <w:r w:rsidRPr="0042467E">
        <w:rPr>
          <w:color w:val="111111"/>
          <w:sz w:val="24"/>
          <w:szCs w:val="24"/>
          <w:shd w:val="clear" w:color="auto" w:fill="FFFFFF"/>
        </w:rPr>
        <w:t>Respondents will be asked to complete the survey online using a unique login. If they prefer not to complete the survey online, a hard copy will be mailed to them, along with a pre-paid return envelope for their convenience.</w:t>
      </w:r>
    </w:p>
    <w:p w:rsidR="00D67C05" w:rsidRPr="0042467E" w:rsidP="00F560BC">
      <w:pPr>
        <w:pBdr>
          <w:top w:val="nil"/>
          <w:left w:val="nil"/>
          <w:bottom w:val="nil"/>
          <w:right w:val="nil"/>
          <w:between w:val="nil"/>
        </w:pBdr>
        <w:spacing w:before="5"/>
        <w:rPr>
          <w:color w:val="000000"/>
          <w:sz w:val="24"/>
          <w:szCs w:val="24"/>
        </w:rPr>
      </w:pPr>
      <w:r w:rsidRPr="0042467E">
        <w:rPr>
          <w:rFonts w:ascii="Segoe UI" w:hAnsi="Segoe UI" w:cs="Segoe UI"/>
          <w:color w:val="111111"/>
          <w:sz w:val="24"/>
          <w:szCs w:val="24"/>
          <w:shd w:val="clear" w:color="auto" w:fill="FFFFFF"/>
        </w:rPr>
        <w:t xml:space="preserve"> </w:t>
      </w:r>
    </w:p>
    <w:p w:rsidR="00E452BC" w:rsidRPr="0042467E" w:rsidP="00F560BC">
      <w:pPr>
        <w:pBdr>
          <w:top w:val="nil"/>
          <w:left w:val="nil"/>
          <w:bottom w:val="nil"/>
          <w:right w:val="nil"/>
          <w:between w:val="nil"/>
        </w:pBdr>
        <w:rPr>
          <w:sz w:val="24"/>
          <w:szCs w:val="24"/>
          <w:u w:val="single"/>
        </w:rPr>
      </w:pPr>
    </w:p>
    <w:p w:rsidR="00E452BC" w:rsidRPr="0042467E" w:rsidP="00F560BC">
      <w:pPr>
        <w:pBdr>
          <w:top w:val="nil"/>
          <w:left w:val="nil"/>
          <w:bottom w:val="nil"/>
          <w:right w:val="nil"/>
          <w:between w:val="nil"/>
        </w:pBdr>
        <w:rPr>
          <w:sz w:val="24"/>
          <w:szCs w:val="24"/>
          <w:u w:val="single"/>
        </w:rPr>
      </w:pPr>
      <w:r w:rsidRPr="0042467E">
        <w:rPr>
          <w:sz w:val="24"/>
          <w:szCs w:val="24"/>
          <w:u w:val="single"/>
        </w:rPr>
        <w:t>By whom</w:t>
      </w:r>
      <w:r w:rsidRPr="0042467E" w:rsidR="001B7E01">
        <w:rPr>
          <w:sz w:val="24"/>
          <w:szCs w:val="24"/>
          <w:u w:val="single"/>
        </w:rPr>
        <w:t xml:space="preserve"> and how frequently</w:t>
      </w:r>
      <w:r w:rsidRPr="0042467E">
        <w:rPr>
          <w:sz w:val="24"/>
          <w:szCs w:val="24"/>
          <w:u w:val="single"/>
        </w:rPr>
        <w:t xml:space="preserve"> will the information be collected?</w:t>
      </w:r>
    </w:p>
    <w:p w:rsidR="00E452BC" w:rsidRPr="0042467E" w:rsidP="00F560BC">
      <w:pPr>
        <w:pBdr>
          <w:top w:val="nil"/>
          <w:left w:val="nil"/>
          <w:bottom w:val="nil"/>
          <w:right w:val="nil"/>
          <w:between w:val="nil"/>
        </w:pBdr>
        <w:rPr>
          <w:sz w:val="24"/>
          <w:szCs w:val="24"/>
          <w:u w:val="single"/>
        </w:rPr>
      </w:pPr>
    </w:p>
    <w:p w:rsidR="00E452BC" w:rsidRPr="0042467E" w:rsidP="001B7E01">
      <w:pPr>
        <w:pBdr>
          <w:top w:val="nil"/>
          <w:left w:val="nil"/>
          <w:bottom w:val="nil"/>
          <w:right w:val="nil"/>
          <w:between w:val="nil"/>
        </w:pBdr>
        <w:jc w:val="both"/>
        <w:rPr>
          <w:sz w:val="24"/>
          <w:szCs w:val="24"/>
          <w:u w:val="single"/>
        </w:rPr>
      </w:pPr>
      <w:r w:rsidRPr="0042467E">
        <w:rPr>
          <w:color w:val="111111"/>
          <w:sz w:val="24"/>
          <w:szCs w:val="24"/>
          <w:shd w:val="clear" w:color="auto" w:fill="FFFFFF"/>
        </w:rPr>
        <w:t xml:space="preserve">One-time, voluntary surveys will be used to collect the information required </w:t>
      </w:r>
      <w:r w:rsidRPr="0042467E" w:rsidR="007502E3">
        <w:rPr>
          <w:color w:val="111111"/>
          <w:sz w:val="24"/>
          <w:szCs w:val="24"/>
          <w:shd w:val="clear" w:color="auto" w:fill="FFFFFF"/>
        </w:rPr>
        <w:t>this</w:t>
      </w:r>
      <w:r w:rsidRPr="0042467E">
        <w:rPr>
          <w:color w:val="111111"/>
          <w:sz w:val="24"/>
          <w:szCs w:val="24"/>
          <w:shd w:val="clear" w:color="auto" w:fill="FFFFFF"/>
        </w:rPr>
        <w:t xml:space="preserve"> review</w:t>
      </w:r>
      <w:r w:rsidRPr="0042467E" w:rsidR="007502E3">
        <w:rPr>
          <w:color w:val="111111"/>
          <w:sz w:val="24"/>
          <w:szCs w:val="24"/>
          <w:shd w:val="clear" w:color="auto" w:fill="FFFFFF"/>
        </w:rPr>
        <w:t xml:space="preserve"> mandated by Congress</w:t>
      </w:r>
      <w:r w:rsidRPr="0042467E">
        <w:rPr>
          <w:color w:val="111111"/>
          <w:sz w:val="24"/>
          <w:szCs w:val="24"/>
          <w:shd w:val="clear" w:color="auto" w:fill="FFFFFF"/>
        </w:rPr>
        <w:t>. This will be a collaborative effort between N</w:t>
      </w:r>
      <w:r w:rsidRPr="0042467E" w:rsidR="00D97BEC">
        <w:rPr>
          <w:color w:val="111111"/>
          <w:sz w:val="24"/>
          <w:szCs w:val="24"/>
          <w:shd w:val="clear" w:color="auto" w:fill="FFFFFF"/>
        </w:rPr>
        <w:t>MFS</w:t>
      </w:r>
      <w:r w:rsidRPr="0042467E">
        <w:rPr>
          <w:color w:val="111111"/>
          <w:sz w:val="24"/>
          <w:szCs w:val="24"/>
          <w:shd w:val="clear" w:color="auto" w:fill="FFFFFF"/>
        </w:rPr>
        <w:t xml:space="preserve"> and a contractor (to be determined), who </w:t>
      </w:r>
      <w:r w:rsidRPr="0042467E" w:rsidR="007502E3">
        <w:rPr>
          <w:color w:val="111111"/>
          <w:sz w:val="24"/>
          <w:szCs w:val="24"/>
          <w:shd w:val="clear" w:color="auto" w:fill="FFFFFF"/>
        </w:rPr>
        <w:t>will have</w:t>
      </w:r>
      <w:r w:rsidRPr="0042467E">
        <w:rPr>
          <w:color w:val="111111"/>
          <w:sz w:val="24"/>
          <w:szCs w:val="24"/>
          <w:shd w:val="clear" w:color="auto" w:fill="FFFFFF"/>
        </w:rPr>
        <w:t xml:space="preserve"> extensive experience in conducting large-scale online surveys. The contractor’s expertise will ensure the efficient and accurate collection of data, which is critical for assessing the </w:t>
      </w:r>
      <w:r w:rsidRPr="0042467E" w:rsidR="00903DAB">
        <w:rPr>
          <w:color w:val="111111"/>
          <w:sz w:val="24"/>
          <w:szCs w:val="24"/>
          <w:shd w:val="clear" w:color="auto" w:fill="FFFFFF"/>
        </w:rPr>
        <w:t>performance</w:t>
      </w:r>
      <w:r w:rsidRPr="0042467E">
        <w:rPr>
          <w:color w:val="111111"/>
          <w:sz w:val="24"/>
          <w:szCs w:val="24"/>
          <w:shd w:val="clear" w:color="auto" w:fill="FFFFFF"/>
        </w:rPr>
        <w:t xml:space="preserve"> of the catch share programs.</w:t>
      </w:r>
    </w:p>
    <w:p w:rsidR="00E452BC" w:rsidRPr="0042467E" w:rsidP="00F560BC">
      <w:pPr>
        <w:pBdr>
          <w:top w:val="nil"/>
          <w:left w:val="nil"/>
          <w:bottom w:val="nil"/>
          <w:right w:val="nil"/>
          <w:between w:val="nil"/>
        </w:pBdr>
        <w:rPr>
          <w:sz w:val="24"/>
          <w:szCs w:val="24"/>
          <w:u w:val="single"/>
        </w:rPr>
      </w:pPr>
      <w:r w:rsidRPr="0042467E">
        <w:rPr>
          <w:sz w:val="24"/>
          <w:szCs w:val="24"/>
          <w:u w:val="single"/>
        </w:rPr>
        <w:t xml:space="preserve"> </w:t>
      </w:r>
    </w:p>
    <w:p w:rsidR="00D67C05" w:rsidRPr="0042467E" w:rsidP="00F560BC">
      <w:pPr>
        <w:pBdr>
          <w:top w:val="nil"/>
          <w:left w:val="nil"/>
          <w:bottom w:val="nil"/>
          <w:right w:val="nil"/>
          <w:between w:val="nil"/>
        </w:pBdr>
        <w:rPr>
          <w:sz w:val="24"/>
          <w:szCs w:val="24"/>
          <w:u w:val="single"/>
        </w:rPr>
      </w:pPr>
      <w:r w:rsidRPr="0042467E">
        <w:rPr>
          <w:sz w:val="24"/>
          <w:szCs w:val="24"/>
          <w:u w:val="single"/>
        </w:rPr>
        <w:t>From whom will the information be collected?</w:t>
      </w:r>
    </w:p>
    <w:p w:rsidR="00C173F6" w:rsidRPr="0042467E" w:rsidP="00F560BC">
      <w:pPr>
        <w:pBdr>
          <w:top w:val="nil"/>
          <w:left w:val="nil"/>
          <w:bottom w:val="nil"/>
          <w:right w:val="nil"/>
          <w:between w:val="nil"/>
        </w:pBdr>
        <w:rPr>
          <w:sz w:val="24"/>
          <w:szCs w:val="24"/>
          <w:u w:val="single"/>
        </w:rPr>
      </w:pPr>
    </w:p>
    <w:p w:rsidR="00C173F6" w:rsidRPr="0042467E" w:rsidP="00F560BC">
      <w:pPr>
        <w:pBdr>
          <w:top w:val="nil"/>
          <w:left w:val="nil"/>
          <w:bottom w:val="nil"/>
          <w:right w:val="nil"/>
          <w:between w:val="nil"/>
        </w:pBdr>
        <w:spacing w:before="90" w:line="242" w:lineRule="auto"/>
        <w:rPr>
          <w:color w:val="111111"/>
          <w:sz w:val="24"/>
          <w:szCs w:val="24"/>
          <w:shd w:val="clear" w:color="auto" w:fill="FFFFFF"/>
        </w:rPr>
      </w:pPr>
      <w:r w:rsidRPr="0042467E">
        <w:rPr>
          <w:color w:val="111111"/>
          <w:sz w:val="24"/>
          <w:szCs w:val="24"/>
          <w:shd w:val="clear" w:color="auto" w:fill="FFFFFF"/>
        </w:rPr>
        <w:t>This survey aims to gather information from</w:t>
      </w:r>
      <w:r w:rsidRPr="0042467E" w:rsidR="007502E3">
        <w:rPr>
          <w:color w:val="111111"/>
          <w:sz w:val="24"/>
          <w:szCs w:val="24"/>
          <w:shd w:val="clear" w:color="auto" w:fill="FFFFFF"/>
        </w:rPr>
        <w:t xml:space="preserve"> commercial</w:t>
      </w:r>
      <w:r w:rsidRPr="0042467E">
        <w:rPr>
          <w:color w:val="111111"/>
          <w:sz w:val="24"/>
          <w:szCs w:val="24"/>
          <w:shd w:val="clear" w:color="auto" w:fill="FFFFFF"/>
        </w:rPr>
        <w:t xml:space="preserve"> fishers</w:t>
      </w:r>
      <w:r w:rsidRPr="0042467E" w:rsidR="001E4BDB">
        <w:rPr>
          <w:color w:val="111111"/>
          <w:sz w:val="24"/>
          <w:szCs w:val="24"/>
          <w:shd w:val="clear" w:color="auto" w:fill="FFFFFF"/>
        </w:rPr>
        <w:t>,</w:t>
      </w:r>
      <w:r w:rsidRPr="0042467E">
        <w:rPr>
          <w:color w:val="111111"/>
          <w:sz w:val="24"/>
          <w:szCs w:val="24"/>
          <w:shd w:val="clear" w:color="auto" w:fill="FFFFFF"/>
        </w:rPr>
        <w:t xml:space="preserve"> who</w:t>
      </w:r>
      <w:r w:rsidRPr="0042467E" w:rsidR="001E4BDB">
        <w:rPr>
          <w:color w:val="111111"/>
          <w:sz w:val="24"/>
          <w:szCs w:val="24"/>
          <w:shd w:val="clear" w:color="auto" w:fill="FFFFFF"/>
        </w:rPr>
        <w:t xml:space="preserve"> have IFQ shareholders accounts.</w:t>
      </w:r>
    </w:p>
    <w:p w:rsidR="00D67C05" w:rsidRPr="0042467E" w:rsidP="00F560BC">
      <w:pPr>
        <w:pBdr>
          <w:top w:val="nil"/>
          <w:left w:val="nil"/>
          <w:bottom w:val="nil"/>
          <w:right w:val="nil"/>
          <w:between w:val="nil"/>
        </w:pBdr>
        <w:spacing w:before="90" w:line="242" w:lineRule="auto"/>
        <w:rPr>
          <w:color w:val="000000"/>
          <w:sz w:val="24"/>
          <w:szCs w:val="24"/>
        </w:rPr>
      </w:pPr>
      <w:r w:rsidRPr="0042467E">
        <w:rPr>
          <w:color w:val="000000"/>
          <w:sz w:val="24"/>
          <w:szCs w:val="24"/>
        </w:rPr>
        <w:t xml:space="preserve"> </w:t>
      </w:r>
    </w:p>
    <w:p w:rsidR="00D67C05" w:rsidRPr="0042467E" w:rsidP="00F560BC">
      <w:pPr>
        <w:pBdr>
          <w:top w:val="nil"/>
          <w:left w:val="nil"/>
          <w:bottom w:val="nil"/>
          <w:right w:val="nil"/>
          <w:between w:val="nil"/>
        </w:pBdr>
        <w:rPr>
          <w:sz w:val="24"/>
          <w:szCs w:val="24"/>
          <w:u w:val="single"/>
        </w:rPr>
      </w:pPr>
      <w:r w:rsidRPr="0042467E">
        <w:rPr>
          <w:sz w:val="24"/>
          <w:szCs w:val="24"/>
          <w:u w:val="single"/>
        </w:rPr>
        <w:t xml:space="preserve">What will this information be used for? </w:t>
      </w:r>
    </w:p>
    <w:p w:rsidR="00CE2440" w:rsidRPr="0042467E" w:rsidP="00F560BC">
      <w:pPr>
        <w:pBdr>
          <w:top w:val="nil"/>
          <w:left w:val="nil"/>
          <w:bottom w:val="nil"/>
          <w:right w:val="nil"/>
          <w:between w:val="nil"/>
        </w:pBdr>
        <w:rPr>
          <w:sz w:val="24"/>
          <w:szCs w:val="24"/>
          <w:u w:val="single"/>
        </w:rPr>
      </w:pPr>
    </w:p>
    <w:p w:rsidR="0007554F" w:rsidRPr="0042467E" w:rsidP="0007554F">
      <w:pPr>
        <w:pBdr>
          <w:top w:val="nil"/>
          <w:left w:val="nil"/>
          <w:bottom w:val="nil"/>
          <w:right w:val="nil"/>
          <w:between w:val="nil"/>
        </w:pBdr>
        <w:spacing w:before="90" w:line="242" w:lineRule="auto"/>
        <w:jc w:val="both"/>
        <w:rPr>
          <w:color w:val="111111"/>
          <w:sz w:val="24"/>
          <w:szCs w:val="24"/>
          <w:shd w:val="clear" w:color="auto" w:fill="FFFFFF"/>
        </w:rPr>
      </w:pPr>
      <w:r w:rsidRPr="0042467E">
        <w:rPr>
          <w:color w:val="111111"/>
          <w:sz w:val="24"/>
          <w:szCs w:val="24"/>
          <w:shd w:val="clear" w:color="auto" w:fill="FFFFFF"/>
        </w:rPr>
        <w:t xml:space="preserve">The data collected will primarily be used </w:t>
      </w:r>
      <w:r w:rsidRPr="0042467E" w:rsidR="001E4BDB">
        <w:rPr>
          <w:color w:val="111111"/>
          <w:sz w:val="24"/>
          <w:szCs w:val="24"/>
          <w:shd w:val="clear" w:color="auto" w:fill="FFFFFF"/>
        </w:rPr>
        <w:t>to satisfy the MSA</w:t>
      </w:r>
      <w:r w:rsidRPr="0042467E" w:rsidR="00E012BB">
        <w:rPr>
          <w:color w:val="111111"/>
          <w:sz w:val="24"/>
          <w:szCs w:val="24"/>
          <w:shd w:val="clear" w:color="auto" w:fill="FFFFFF"/>
        </w:rPr>
        <w:t>-</w:t>
      </w:r>
      <w:r w:rsidRPr="0042467E" w:rsidR="001E4BDB">
        <w:rPr>
          <w:color w:val="111111"/>
          <w:sz w:val="24"/>
          <w:szCs w:val="24"/>
          <w:shd w:val="clear" w:color="auto" w:fill="FFFFFF"/>
        </w:rPr>
        <w:t xml:space="preserve">mandated assessment </w:t>
      </w:r>
      <w:r w:rsidRPr="0042467E">
        <w:rPr>
          <w:color w:val="111111"/>
          <w:sz w:val="24"/>
          <w:szCs w:val="24"/>
          <w:shd w:val="clear" w:color="auto" w:fill="FFFFFF"/>
        </w:rPr>
        <w:t xml:space="preserve">of the </w:t>
      </w:r>
      <w:r w:rsidRPr="0042467E" w:rsidR="001E4BDB">
        <w:rPr>
          <w:color w:val="111111"/>
          <w:sz w:val="24"/>
          <w:szCs w:val="24"/>
          <w:shd w:val="clear" w:color="auto" w:fill="FFFFFF"/>
        </w:rPr>
        <w:t xml:space="preserve">performance of the </w:t>
      </w:r>
      <w:r w:rsidRPr="0042467E" w:rsidR="00FD4623">
        <w:rPr>
          <w:color w:val="000000"/>
          <w:sz w:val="24"/>
          <w:szCs w:val="24"/>
        </w:rPr>
        <w:t>RS and GT IFQs</w:t>
      </w:r>
      <w:r w:rsidRPr="0042467E" w:rsidR="00FD4623">
        <w:rPr>
          <w:color w:val="111111"/>
          <w:sz w:val="24"/>
          <w:szCs w:val="24"/>
          <w:shd w:val="clear" w:color="auto" w:fill="FFFFFF"/>
        </w:rPr>
        <w:t xml:space="preserve"> </w:t>
      </w:r>
      <w:r w:rsidRPr="0042467E">
        <w:rPr>
          <w:color w:val="111111"/>
          <w:sz w:val="24"/>
          <w:szCs w:val="24"/>
          <w:shd w:val="clear" w:color="auto" w:fill="FFFFFF"/>
        </w:rPr>
        <w:t xml:space="preserve">programs. The </w:t>
      </w:r>
      <w:r w:rsidR="001F164E">
        <w:rPr>
          <w:color w:val="111111"/>
          <w:sz w:val="24"/>
          <w:szCs w:val="24"/>
          <w:shd w:val="clear" w:color="auto" w:fill="FFFFFF"/>
        </w:rPr>
        <w:t>regional</w:t>
      </w:r>
      <w:r w:rsidRPr="0042467E">
        <w:rPr>
          <w:color w:val="111111"/>
          <w:sz w:val="24"/>
          <w:szCs w:val="24"/>
          <w:shd w:val="clear" w:color="auto" w:fill="FFFFFF"/>
        </w:rPr>
        <w:t xml:space="preserve"> Fishery Management Council </w:t>
      </w:r>
      <w:r w:rsidR="001F164E">
        <w:rPr>
          <w:color w:val="111111"/>
          <w:sz w:val="24"/>
          <w:szCs w:val="24"/>
          <w:shd w:val="clear" w:color="auto" w:fill="FFFFFF"/>
        </w:rPr>
        <w:t>(</w:t>
      </w:r>
      <w:r w:rsidRPr="0042467E" w:rsidR="00073876">
        <w:rPr>
          <w:color w:val="111111"/>
          <w:sz w:val="24"/>
          <w:szCs w:val="24"/>
          <w:shd w:val="clear" w:color="auto" w:fill="FFFFFF"/>
        </w:rPr>
        <w:t xml:space="preserve">FMC) </w:t>
      </w:r>
      <w:r w:rsidRPr="0042467E">
        <w:rPr>
          <w:color w:val="111111"/>
          <w:sz w:val="24"/>
          <w:szCs w:val="24"/>
          <w:shd w:val="clear" w:color="auto" w:fill="FFFFFF"/>
        </w:rPr>
        <w:t xml:space="preserve">and </w:t>
      </w:r>
      <w:r w:rsidRPr="0042467E" w:rsidR="00D97BEC">
        <w:rPr>
          <w:color w:val="111111"/>
          <w:sz w:val="24"/>
          <w:szCs w:val="24"/>
          <w:shd w:val="clear" w:color="auto" w:fill="FFFFFF"/>
        </w:rPr>
        <w:t>NMFS</w:t>
      </w:r>
      <w:r w:rsidRPr="0042467E">
        <w:rPr>
          <w:color w:val="111111"/>
          <w:sz w:val="24"/>
          <w:szCs w:val="24"/>
          <w:shd w:val="clear" w:color="auto" w:fill="FFFFFF"/>
        </w:rPr>
        <w:t xml:space="preserve"> are particularly interested in understanding the barriers to participation and entry into the program, as well as how the program affects discarding behavior. These data are essential to meet the requirements of the MSA</w:t>
      </w:r>
      <w:r w:rsidRPr="0042467E" w:rsidR="00E012BB">
        <w:rPr>
          <w:color w:val="111111"/>
          <w:sz w:val="24"/>
          <w:szCs w:val="24"/>
          <w:shd w:val="clear" w:color="auto" w:fill="FFFFFF"/>
        </w:rPr>
        <w:t xml:space="preserve"> and NOAA Fisheries National Bycatch Reduction Strategy.</w:t>
      </w:r>
      <w:r w:rsidRPr="0042467E">
        <w:rPr>
          <w:color w:val="111111"/>
          <w:sz w:val="24"/>
          <w:szCs w:val="24"/>
          <w:shd w:val="clear" w:color="auto" w:fill="FFFFFF"/>
        </w:rPr>
        <w:t xml:space="preserve"> Additionally, the data will provide valuable insights for developing management actions aimed at improving access and minimizing discarding, and to inform the decision-making processes of the </w:t>
      </w:r>
      <w:r w:rsidR="00F83830">
        <w:rPr>
          <w:color w:val="111111"/>
          <w:sz w:val="24"/>
          <w:szCs w:val="24"/>
          <w:shd w:val="clear" w:color="auto" w:fill="FFFFFF"/>
        </w:rPr>
        <w:t xml:space="preserve">regional </w:t>
      </w:r>
      <w:r w:rsidR="00D747B9">
        <w:rPr>
          <w:color w:val="111111"/>
          <w:sz w:val="24"/>
          <w:szCs w:val="24"/>
          <w:shd w:val="clear" w:color="auto" w:fill="FFFFFF"/>
        </w:rPr>
        <w:t>FMC</w:t>
      </w:r>
      <w:r w:rsidRPr="0042467E">
        <w:rPr>
          <w:color w:val="111111"/>
          <w:sz w:val="24"/>
          <w:szCs w:val="24"/>
          <w:shd w:val="clear" w:color="auto" w:fill="FFFFFF"/>
        </w:rPr>
        <w:t xml:space="preserve"> and NOAA.</w:t>
      </w:r>
    </w:p>
    <w:p w:rsidR="00D67C05" w:rsidRPr="0042467E" w:rsidP="0007554F">
      <w:pPr>
        <w:pBdr>
          <w:top w:val="nil"/>
          <w:left w:val="nil"/>
          <w:bottom w:val="nil"/>
          <w:right w:val="nil"/>
          <w:between w:val="nil"/>
        </w:pBdr>
        <w:rPr>
          <w:sz w:val="24"/>
          <w:szCs w:val="24"/>
          <w:u w:val="single"/>
        </w:rPr>
      </w:pPr>
    </w:p>
    <w:p w:rsidR="00D67C05" w:rsidRPr="0042467E" w:rsidP="00F560BC">
      <w:pPr>
        <w:rPr>
          <w:sz w:val="24"/>
          <w:szCs w:val="24"/>
        </w:rPr>
      </w:pPr>
      <w:r w:rsidRPr="0042467E">
        <w:rPr>
          <w:sz w:val="24"/>
          <w:szCs w:val="24"/>
          <w:u w:val="single"/>
        </w:rPr>
        <w:t>What type of information will be collected?</w:t>
      </w:r>
    </w:p>
    <w:p w:rsidR="00D67C05" w:rsidRPr="0042467E" w:rsidP="00F560BC">
      <w:pPr>
        <w:pBdr>
          <w:top w:val="nil"/>
          <w:left w:val="nil"/>
          <w:bottom w:val="nil"/>
          <w:right w:val="nil"/>
          <w:between w:val="nil"/>
        </w:pBdr>
        <w:spacing w:before="90" w:line="242" w:lineRule="auto"/>
        <w:rPr>
          <w:color w:val="000000"/>
          <w:sz w:val="24"/>
          <w:szCs w:val="24"/>
        </w:rPr>
      </w:pPr>
      <w:r w:rsidRPr="0042467E">
        <w:rPr>
          <w:color w:val="000000"/>
          <w:sz w:val="24"/>
          <w:szCs w:val="24"/>
        </w:rPr>
        <w:t>The survey is organized into sections to help guide the collection of data. In what follows, we provide a brief description of the information being requested from the survey respondents and the reasons for collecting this information.</w:t>
      </w:r>
    </w:p>
    <w:p w:rsidR="00AE125C" w:rsidRPr="0042467E" w:rsidP="00F560BC">
      <w:pPr>
        <w:pBdr>
          <w:top w:val="nil"/>
          <w:left w:val="nil"/>
          <w:bottom w:val="nil"/>
          <w:right w:val="nil"/>
          <w:between w:val="nil"/>
        </w:pBdr>
        <w:spacing w:before="90" w:line="242" w:lineRule="auto"/>
        <w:rPr>
          <w:color w:val="000000"/>
          <w:sz w:val="24"/>
          <w:szCs w:val="24"/>
        </w:rPr>
      </w:pPr>
    </w:p>
    <w:p w:rsidR="00B40C5F" w:rsidRPr="0042467E" w:rsidP="00B40C5F">
      <w:pPr>
        <w:pBdr>
          <w:top w:val="nil"/>
          <w:left w:val="nil"/>
          <w:bottom w:val="nil"/>
          <w:right w:val="nil"/>
          <w:between w:val="nil"/>
        </w:pBdr>
        <w:spacing w:before="90" w:line="242" w:lineRule="auto"/>
        <w:rPr>
          <w:i/>
          <w:color w:val="000000"/>
          <w:sz w:val="24"/>
          <w:szCs w:val="24"/>
        </w:rPr>
      </w:pPr>
      <w:r w:rsidRPr="0042467E">
        <w:rPr>
          <w:i/>
          <w:color w:val="000000"/>
          <w:sz w:val="24"/>
          <w:szCs w:val="24"/>
        </w:rPr>
        <w:t>Background and IFQ Account Information</w:t>
      </w:r>
    </w:p>
    <w:p w:rsidR="00F76B06" w:rsidRPr="0042467E" w:rsidP="00B40C5F">
      <w:pPr>
        <w:pBdr>
          <w:top w:val="nil"/>
          <w:left w:val="nil"/>
          <w:bottom w:val="nil"/>
          <w:right w:val="nil"/>
          <w:between w:val="nil"/>
        </w:pBdr>
        <w:spacing w:before="90" w:line="242" w:lineRule="auto"/>
        <w:jc w:val="both"/>
        <w:rPr>
          <w:color w:val="000000"/>
          <w:sz w:val="24"/>
          <w:szCs w:val="24"/>
        </w:rPr>
      </w:pPr>
      <w:r w:rsidRPr="0042467E">
        <w:rPr>
          <w:color w:val="000000"/>
          <w:sz w:val="24"/>
          <w:szCs w:val="24"/>
        </w:rPr>
        <w:t>The survey</w:t>
      </w:r>
      <w:r w:rsidRPr="0042467E" w:rsidR="00295FFD">
        <w:rPr>
          <w:color w:val="000000"/>
          <w:sz w:val="24"/>
          <w:szCs w:val="24"/>
        </w:rPr>
        <w:t xml:space="preserve"> will gather</w:t>
      </w:r>
      <w:r w:rsidRPr="0042467E">
        <w:rPr>
          <w:color w:val="000000"/>
          <w:sz w:val="24"/>
          <w:szCs w:val="24"/>
        </w:rPr>
        <w:t xml:space="preserve"> details on User IDs for IFQ shareholder accounts, whether respondents own </w:t>
      </w:r>
      <w:r w:rsidRPr="0042467E" w:rsidR="00295FFD">
        <w:rPr>
          <w:color w:val="000000"/>
          <w:sz w:val="24"/>
          <w:szCs w:val="24"/>
        </w:rPr>
        <w:t xml:space="preserve">IFQ shares, and if the also </w:t>
      </w:r>
      <w:r w:rsidRPr="0042467E">
        <w:rPr>
          <w:color w:val="000000"/>
          <w:sz w:val="24"/>
          <w:szCs w:val="24"/>
        </w:rPr>
        <w:t xml:space="preserve">have an IFQ Dealer account. This </w:t>
      </w:r>
      <w:r w:rsidRPr="0042467E" w:rsidR="003E6C51">
        <w:rPr>
          <w:color w:val="000000"/>
          <w:sz w:val="24"/>
          <w:szCs w:val="24"/>
        </w:rPr>
        <w:t>data</w:t>
      </w:r>
      <w:r w:rsidRPr="0042467E">
        <w:rPr>
          <w:color w:val="000000"/>
          <w:sz w:val="24"/>
          <w:szCs w:val="24"/>
        </w:rPr>
        <w:t xml:space="preserve"> is crucial for assessing the level of vertical integration in the industry.</w:t>
      </w:r>
      <w:r w:rsidRPr="0042467E">
        <w:rPr>
          <w:sz w:val="24"/>
          <w:szCs w:val="24"/>
        </w:rPr>
        <w:t xml:space="preserve"> Identifying participants who have both shareholder and dealer accounts, reveals the extent of vertical integration within the industry. This information is vital for assessing market dynamics and potential impacts on competition.</w:t>
      </w:r>
      <w:r w:rsidRPr="0042467E" w:rsidR="00EE3DBA">
        <w:rPr>
          <w:sz w:val="24"/>
          <w:szCs w:val="24"/>
        </w:rPr>
        <w:t xml:space="preserve"> </w:t>
      </w:r>
      <w:r w:rsidRPr="0042467E">
        <w:rPr>
          <w:sz w:val="24"/>
          <w:szCs w:val="24"/>
        </w:rPr>
        <w:t>Tracking these details over time enables managers to monitor trends in ownership patterns and industry structure, providing insights into the long-term effects of the IFQ program on fishery participation and economic efficiency.</w:t>
      </w:r>
      <w:r w:rsidRPr="0042467E">
        <w:t xml:space="preserve"> </w:t>
      </w:r>
    </w:p>
    <w:p w:rsidR="00B40C5F" w:rsidRPr="0042467E" w:rsidP="00B40C5F">
      <w:pPr>
        <w:pBdr>
          <w:top w:val="nil"/>
          <w:left w:val="nil"/>
          <w:bottom w:val="nil"/>
          <w:right w:val="nil"/>
          <w:between w:val="nil"/>
        </w:pBdr>
        <w:spacing w:before="90" w:line="242" w:lineRule="auto"/>
        <w:jc w:val="both"/>
        <w:rPr>
          <w:color w:val="000000"/>
          <w:sz w:val="24"/>
          <w:szCs w:val="24"/>
        </w:rPr>
      </w:pPr>
    </w:p>
    <w:p w:rsidR="00F76B06" w:rsidRPr="0042467E" w:rsidP="00B40C5F">
      <w:pPr>
        <w:pBdr>
          <w:top w:val="nil"/>
          <w:left w:val="nil"/>
          <w:bottom w:val="nil"/>
          <w:right w:val="nil"/>
          <w:between w:val="nil"/>
        </w:pBdr>
        <w:spacing w:before="90" w:line="242" w:lineRule="auto"/>
        <w:jc w:val="both"/>
        <w:rPr>
          <w:i/>
          <w:color w:val="000000"/>
          <w:sz w:val="24"/>
          <w:szCs w:val="24"/>
        </w:rPr>
      </w:pPr>
      <w:r w:rsidRPr="0042467E">
        <w:rPr>
          <w:i/>
          <w:color w:val="000000"/>
          <w:sz w:val="24"/>
          <w:szCs w:val="24"/>
        </w:rPr>
        <w:t>Knowledge and Transparenc</w:t>
      </w:r>
      <w:r w:rsidRPr="0042467E" w:rsidR="006E2291">
        <w:rPr>
          <w:i/>
          <w:color w:val="000000"/>
          <w:sz w:val="24"/>
          <w:szCs w:val="24"/>
        </w:rPr>
        <w:t>y about IFQ</w:t>
      </w:r>
      <w:r w:rsidRPr="0042467E" w:rsidR="00B40C5F">
        <w:rPr>
          <w:i/>
          <w:color w:val="000000"/>
          <w:sz w:val="24"/>
          <w:szCs w:val="24"/>
        </w:rPr>
        <w:t xml:space="preserve"> Transactions</w:t>
      </w:r>
    </w:p>
    <w:p w:rsidR="00F76B06" w:rsidRPr="0042467E" w:rsidP="00EE3DBA">
      <w:pPr>
        <w:pBdr>
          <w:top w:val="nil"/>
          <w:left w:val="nil"/>
          <w:bottom w:val="nil"/>
          <w:right w:val="nil"/>
          <w:between w:val="nil"/>
        </w:pBdr>
        <w:spacing w:before="90" w:line="242" w:lineRule="auto"/>
        <w:jc w:val="both"/>
        <w:rPr>
          <w:sz w:val="24"/>
          <w:szCs w:val="24"/>
        </w:rPr>
      </w:pPr>
      <w:r w:rsidRPr="0042467E">
        <w:rPr>
          <w:color w:val="000000"/>
          <w:sz w:val="24"/>
          <w:szCs w:val="24"/>
        </w:rPr>
        <w:t xml:space="preserve">These questions examine participants' experiences </w:t>
      </w:r>
      <w:r w:rsidRPr="0042467E" w:rsidR="006E2291">
        <w:rPr>
          <w:color w:val="000000"/>
          <w:sz w:val="24"/>
          <w:szCs w:val="24"/>
        </w:rPr>
        <w:t>about</w:t>
      </w:r>
      <w:r w:rsidRPr="0042467E">
        <w:rPr>
          <w:color w:val="000000"/>
          <w:sz w:val="24"/>
          <w:szCs w:val="24"/>
        </w:rPr>
        <w:t xml:space="preserve"> finding information </w:t>
      </w:r>
      <w:r w:rsidRPr="0042467E" w:rsidR="006E2291">
        <w:rPr>
          <w:color w:val="000000"/>
          <w:sz w:val="24"/>
          <w:szCs w:val="24"/>
        </w:rPr>
        <w:t>when</w:t>
      </w:r>
      <w:r w:rsidRPr="0042467E">
        <w:rPr>
          <w:color w:val="000000"/>
          <w:sz w:val="24"/>
          <w:szCs w:val="24"/>
        </w:rPr>
        <w:t xml:space="preserve"> buy</w:t>
      </w:r>
      <w:r w:rsidRPr="0042467E" w:rsidR="006E2291">
        <w:rPr>
          <w:color w:val="000000"/>
          <w:sz w:val="24"/>
          <w:szCs w:val="24"/>
        </w:rPr>
        <w:t>ing</w:t>
      </w:r>
      <w:r w:rsidRPr="0042467E">
        <w:rPr>
          <w:color w:val="000000"/>
          <w:sz w:val="24"/>
          <w:szCs w:val="24"/>
        </w:rPr>
        <w:t xml:space="preserve"> or sell</w:t>
      </w:r>
      <w:r w:rsidRPr="0042467E" w:rsidR="006E2291">
        <w:rPr>
          <w:color w:val="000000"/>
          <w:sz w:val="24"/>
          <w:szCs w:val="24"/>
        </w:rPr>
        <w:t>ing</w:t>
      </w:r>
      <w:r w:rsidRPr="0042467E">
        <w:rPr>
          <w:color w:val="000000"/>
          <w:sz w:val="24"/>
          <w:szCs w:val="24"/>
        </w:rPr>
        <w:t xml:space="preserve"> IFQ shares and allocation, their satisfaction with market transparency, and their</w:t>
      </w:r>
      <w:r w:rsidRPr="0042467E" w:rsidR="006E2291">
        <w:rPr>
          <w:color w:val="000000"/>
          <w:sz w:val="24"/>
          <w:szCs w:val="24"/>
        </w:rPr>
        <w:t xml:space="preserve"> primary</w:t>
      </w:r>
      <w:r w:rsidRPr="0042467E">
        <w:rPr>
          <w:color w:val="000000"/>
          <w:sz w:val="24"/>
          <w:szCs w:val="24"/>
        </w:rPr>
        <w:t xml:space="preserve"> sources of information. </w:t>
      </w:r>
      <w:r w:rsidRPr="0042467E" w:rsidR="0013151C">
        <w:rPr>
          <w:color w:val="000000"/>
          <w:sz w:val="24"/>
          <w:szCs w:val="24"/>
        </w:rPr>
        <w:t xml:space="preserve">Collecting this data is essential to evaluate the </w:t>
      </w:r>
      <w:r w:rsidRPr="0042467E" w:rsidR="006E2291">
        <w:rPr>
          <w:color w:val="000000"/>
          <w:sz w:val="24"/>
          <w:szCs w:val="24"/>
        </w:rPr>
        <w:t xml:space="preserve">transparency and </w:t>
      </w:r>
      <w:r w:rsidRPr="0042467E" w:rsidR="0013151C">
        <w:rPr>
          <w:color w:val="000000"/>
          <w:sz w:val="24"/>
          <w:szCs w:val="24"/>
        </w:rPr>
        <w:t>efficiency</w:t>
      </w:r>
      <w:r w:rsidRPr="0042467E" w:rsidR="00274AE5">
        <w:rPr>
          <w:color w:val="000000"/>
          <w:sz w:val="24"/>
          <w:szCs w:val="24"/>
        </w:rPr>
        <w:t xml:space="preserve"> </w:t>
      </w:r>
      <w:r w:rsidRPr="0042467E" w:rsidR="0013151C">
        <w:rPr>
          <w:color w:val="000000"/>
          <w:sz w:val="24"/>
          <w:szCs w:val="24"/>
        </w:rPr>
        <w:t>of the quota market</w:t>
      </w:r>
      <w:r w:rsidRPr="0042467E" w:rsidR="00274AE5">
        <w:rPr>
          <w:color w:val="000000"/>
          <w:sz w:val="24"/>
          <w:szCs w:val="24"/>
        </w:rPr>
        <w:t>s</w:t>
      </w:r>
      <w:r w:rsidRPr="0042467E" w:rsidR="0013151C">
        <w:rPr>
          <w:color w:val="000000"/>
          <w:sz w:val="24"/>
          <w:szCs w:val="24"/>
        </w:rPr>
        <w:t xml:space="preserve">, a critical aspect of catch share program success. </w:t>
      </w:r>
      <w:r w:rsidRPr="0042467E">
        <w:rPr>
          <w:color w:val="000000"/>
          <w:sz w:val="24"/>
          <w:szCs w:val="24"/>
        </w:rPr>
        <w:t xml:space="preserve">This data is </w:t>
      </w:r>
      <w:r w:rsidRPr="0042467E" w:rsidR="00295FFD">
        <w:rPr>
          <w:color w:val="000000"/>
          <w:sz w:val="24"/>
          <w:szCs w:val="24"/>
        </w:rPr>
        <w:t xml:space="preserve">important </w:t>
      </w:r>
      <w:r w:rsidRPr="0042467E">
        <w:rPr>
          <w:color w:val="000000"/>
          <w:sz w:val="24"/>
          <w:szCs w:val="24"/>
        </w:rPr>
        <w:t>for several reasons</w:t>
      </w:r>
      <w:r w:rsidRPr="0042467E" w:rsidR="00EE3DBA">
        <w:rPr>
          <w:color w:val="000000"/>
          <w:sz w:val="24"/>
          <w:szCs w:val="24"/>
        </w:rPr>
        <w:t>. First</w:t>
      </w:r>
      <w:r w:rsidRPr="0042467E" w:rsidR="00EB1440">
        <w:rPr>
          <w:color w:val="000000"/>
          <w:sz w:val="24"/>
          <w:szCs w:val="24"/>
        </w:rPr>
        <w:t>, it</w:t>
      </w:r>
      <w:r w:rsidRPr="0042467E" w:rsidR="00274AE5">
        <w:rPr>
          <w:sz w:val="24"/>
          <w:szCs w:val="24"/>
        </w:rPr>
        <w:t xml:space="preserve"> helps gauge quota market performance, as lack of knowledge in thinly traded markets can lead to inaccurate share valuation and inefficient resource allocation</w:t>
      </w:r>
      <w:r w:rsidRPr="0042467E" w:rsidR="0074630B">
        <w:rPr>
          <w:sz w:val="24"/>
          <w:szCs w:val="24"/>
        </w:rPr>
        <w:t xml:space="preserve">. </w:t>
      </w:r>
      <w:r w:rsidRPr="0042467E" w:rsidR="00EE3DBA">
        <w:rPr>
          <w:color w:val="000000"/>
          <w:sz w:val="24"/>
          <w:szCs w:val="24"/>
        </w:rPr>
        <w:t>Second, it</w:t>
      </w:r>
      <w:r w:rsidRPr="0042467E" w:rsidR="00274AE5">
        <w:rPr>
          <w:color w:val="000000"/>
          <w:sz w:val="24"/>
          <w:szCs w:val="24"/>
        </w:rPr>
        <w:t xml:space="preserve"> helps</w:t>
      </w:r>
      <w:r w:rsidRPr="0042467E" w:rsidR="00EE3DBA">
        <w:rPr>
          <w:color w:val="000000"/>
          <w:sz w:val="24"/>
          <w:szCs w:val="24"/>
        </w:rPr>
        <w:t xml:space="preserve"> </w:t>
      </w:r>
      <w:r w:rsidRPr="0042467E">
        <w:rPr>
          <w:color w:val="000000"/>
          <w:sz w:val="24"/>
          <w:szCs w:val="24"/>
        </w:rPr>
        <w:t>identif</w:t>
      </w:r>
      <w:r w:rsidRPr="0042467E" w:rsidR="00274AE5">
        <w:rPr>
          <w:color w:val="000000"/>
          <w:sz w:val="24"/>
          <w:szCs w:val="24"/>
        </w:rPr>
        <w:t>y</w:t>
      </w:r>
      <w:r w:rsidRPr="0042467E">
        <w:rPr>
          <w:color w:val="000000"/>
          <w:sz w:val="24"/>
          <w:szCs w:val="24"/>
        </w:rPr>
        <w:t xml:space="preserve"> challenges in accessing market information.</w:t>
      </w:r>
      <w:r w:rsidRPr="0042467E" w:rsidR="00EE3DBA">
        <w:rPr>
          <w:color w:val="000000"/>
          <w:sz w:val="24"/>
          <w:szCs w:val="24"/>
        </w:rPr>
        <w:t xml:space="preserve"> Third, it </w:t>
      </w:r>
      <w:r w:rsidRPr="0042467E">
        <w:rPr>
          <w:color w:val="000000"/>
          <w:sz w:val="24"/>
          <w:szCs w:val="24"/>
        </w:rPr>
        <w:t>reveals potential inequities in information access among different groups, which is essential for ensuring fair participation,</w:t>
      </w:r>
      <w:r w:rsidRPr="0042467E" w:rsidR="00EE3DBA">
        <w:rPr>
          <w:color w:val="000000"/>
          <w:sz w:val="24"/>
          <w:szCs w:val="24"/>
        </w:rPr>
        <w:t xml:space="preserve"> Transparency in the quota market is crucial for maintaining stakeholder confidence in the IFQ program. Last, i</w:t>
      </w:r>
      <w:r w:rsidRPr="0042467E">
        <w:rPr>
          <w:color w:val="000000"/>
          <w:sz w:val="24"/>
          <w:szCs w:val="24"/>
        </w:rPr>
        <w:t xml:space="preserve">t provides valuable insights for policymakers and program managers to refine the </w:t>
      </w:r>
      <w:r w:rsidRPr="0042467E">
        <w:rPr>
          <w:color w:val="000000"/>
          <w:sz w:val="24"/>
          <w:szCs w:val="24"/>
        </w:rPr>
        <w:t>IFQ program, enhancing its effectiveness and fairness</w:t>
      </w:r>
      <w:r w:rsidRPr="0042467E" w:rsidR="00274AE5">
        <w:rPr>
          <w:color w:val="000000"/>
          <w:sz w:val="24"/>
          <w:szCs w:val="24"/>
        </w:rPr>
        <w:t>.</w:t>
      </w:r>
    </w:p>
    <w:p w:rsidR="00B40C5F" w:rsidRPr="0042467E" w:rsidP="00B40C5F">
      <w:pPr>
        <w:pBdr>
          <w:top w:val="nil"/>
          <w:left w:val="nil"/>
          <w:bottom w:val="nil"/>
          <w:right w:val="nil"/>
          <w:between w:val="nil"/>
        </w:pBdr>
        <w:spacing w:before="90" w:line="242" w:lineRule="auto"/>
        <w:jc w:val="both"/>
        <w:rPr>
          <w:color w:val="000000"/>
          <w:sz w:val="24"/>
          <w:szCs w:val="24"/>
        </w:rPr>
      </w:pPr>
    </w:p>
    <w:p w:rsidR="00E62262" w:rsidRPr="0042467E" w:rsidP="00E62262">
      <w:pPr>
        <w:pBdr>
          <w:top w:val="nil"/>
          <w:left w:val="nil"/>
          <w:bottom w:val="nil"/>
          <w:right w:val="nil"/>
          <w:between w:val="nil"/>
        </w:pBdr>
        <w:spacing w:before="90" w:line="242" w:lineRule="auto"/>
        <w:jc w:val="both"/>
        <w:rPr>
          <w:i/>
          <w:color w:val="000000"/>
          <w:sz w:val="24"/>
          <w:szCs w:val="24"/>
        </w:rPr>
      </w:pPr>
      <w:r w:rsidRPr="0042467E">
        <w:rPr>
          <w:i/>
          <w:color w:val="000000"/>
          <w:sz w:val="24"/>
          <w:szCs w:val="24"/>
        </w:rPr>
        <w:t xml:space="preserve"> Challenges in Obtaining Shares and Allocation</w:t>
      </w:r>
    </w:p>
    <w:p w:rsidR="00E62262" w:rsidRPr="0042467E" w:rsidP="00E62262">
      <w:pPr>
        <w:pBdr>
          <w:top w:val="nil"/>
          <w:left w:val="nil"/>
          <w:bottom w:val="nil"/>
          <w:right w:val="nil"/>
          <w:between w:val="nil"/>
        </w:pBdr>
        <w:spacing w:before="90" w:line="242" w:lineRule="auto"/>
        <w:jc w:val="both"/>
        <w:rPr>
          <w:color w:val="000000"/>
          <w:sz w:val="24"/>
          <w:szCs w:val="24"/>
        </w:rPr>
      </w:pPr>
      <w:r w:rsidRPr="0042467E">
        <w:rPr>
          <w:color w:val="000000"/>
          <w:sz w:val="24"/>
          <w:szCs w:val="24"/>
        </w:rPr>
        <w:t>These questions</w:t>
      </w:r>
      <w:r w:rsidRPr="0042467E" w:rsidR="00295FFD">
        <w:rPr>
          <w:color w:val="000000"/>
          <w:sz w:val="24"/>
          <w:szCs w:val="24"/>
        </w:rPr>
        <w:t xml:space="preserve"> will</w:t>
      </w:r>
      <w:r w:rsidRPr="0042467E">
        <w:rPr>
          <w:color w:val="000000"/>
          <w:sz w:val="24"/>
          <w:szCs w:val="24"/>
        </w:rPr>
        <w:t xml:space="preserve"> explore the top reasons affecting willingness and ability to buy IFQ shares and allocation, availability of allocation throughout the year, and how allocation is typically offered for purchase. This information is critical for several reasons. First, it helps identify barriers to entry and participation in the IFQ program. Understanding what factors limit or encourage purchases can reveal issues that may prevent new entrants or smaller operators from fully participating. Second, data on allocation availability timing provides insights into market dynamics and potential seasonal constraints. This can highlight whether the program is meeting its goal of providing flexible access to fishing opportunities year-round. Third, information on how allocation is offered (e.g., in flexible amounts, fixed blocks, or bundled with other categories) reveals the market's structure and potential limitations. This can indicate whether the current system favors certain types of participants over others.</w:t>
      </w:r>
    </w:p>
    <w:p w:rsidR="00E62262" w:rsidRPr="0042467E" w:rsidP="00E62262">
      <w:pPr>
        <w:pBdr>
          <w:top w:val="nil"/>
          <w:left w:val="nil"/>
          <w:bottom w:val="nil"/>
          <w:right w:val="nil"/>
          <w:between w:val="nil"/>
        </w:pBdr>
        <w:spacing w:before="90" w:line="242" w:lineRule="auto"/>
        <w:jc w:val="both"/>
        <w:rPr>
          <w:i/>
          <w:color w:val="000000"/>
          <w:sz w:val="24"/>
          <w:szCs w:val="24"/>
        </w:rPr>
      </w:pPr>
    </w:p>
    <w:p w:rsidR="00E62262" w:rsidRPr="0042467E" w:rsidP="000208A2">
      <w:pPr>
        <w:pBdr>
          <w:top w:val="nil"/>
          <w:left w:val="nil"/>
          <w:bottom w:val="nil"/>
          <w:right w:val="nil"/>
          <w:between w:val="nil"/>
        </w:pBdr>
        <w:spacing w:before="90" w:line="242" w:lineRule="auto"/>
        <w:jc w:val="both"/>
        <w:rPr>
          <w:color w:val="000000"/>
          <w:sz w:val="24"/>
          <w:szCs w:val="24"/>
        </w:rPr>
      </w:pPr>
      <w:r w:rsidRPr="0042467E">
        <w:rPr>
          <w:color w:val="000000"/>
          <w:sz w:val="24"/>
          <w:szCs w:val="24"/>
        </w:rPr>
        <w:t xml:space="preserve">The survey will also inquire on attempts to obtain loans for purchasing IFQ shares, including sources of loans and reasons for not seeking loans. </w:t>
      </w:r>
      <w:r w:rsidRPr="0042467E" w:rsidR="000208A2">
        <w:rPr>
          <w:color w:val="000000"/>
          <w:sz w:val="24"/>
          <w:szCs w:val="24"/>
        </w:rPr>
        <w:t>Knowledge ab</w:t>
      </w:r>
      <w:r>
        <w:rPr>
          <w:color w:val="000000"/>
          <w:sz w:val="24"/>
          <w:szCs w:val="24"/>
        </w:rPr>
        <w:t>out</w:t>
      </w:r>
      <w:r w:rsidRPr="0042467E">
        <w:rPr>
          <w:color w:val="000000"/>
          <w:sz w:val="24"/>
          <w:szCs w:val="24"/>
        </w:rPr>
        <w:t xml:space="preserve"> financing options and challenges is important for evaluating the accessibility of the program to different participants and its impact on industry consolidation.</w:t>
      </w:r>
      <w:r w:rsidRPr="0042467E" w:rsidR="000208A2">
        <w:rPr>
          <w:color w:val="000000"/>
          <w:sz w:val="24"/>
          <w:szCs w:val="24"/>
        </w:rPr>
        <w:t xml:space="preserve"> Understanding financing options and challenges is vital for several reasons. First, this data helps evaluate the accessibility of the IFQ program to various participants. If many respondents report difficulties in securing loans, it may indicate that the program is not accessible to all potential buyers, particularly smaller operators or new entrants. Second, insights into why some individuals do not seek loans can reveal systemic issues within the financing landscape. For instance, if many participants cite unfavorable loan terms or a lack of awareness about available options, this information can guide efforts to improve financial support mechanisms. Third, </w:t>
      </w:r>
      <w:r w:rsidRPr="0042467E" w:rsidR="00EB1440">
        <w:rPr>
          <w:color w:val="000000"/>
          <w:sz w:val="24"/>
          <w:szCs w:val="24"/>
        </w:rPr>
        <w:t>understanding-financing</w:t>
      </w:r>
      <w:r w:rsidRPr="0042467E" w:rsidR="000208A2">
        <w:rPr>
          <w:color w:val="000000"/>
          <w:sz w:val="24"/>
          <w:szCs w:val="24"/>
        </w:rPr>
        <w:t xml:space="preserve"> challenges is essential for assessing the impact of the IFQ program on industry consolidation. If only a few large entities can secure loans easily, it may lead to increased market concentration and reduced competition, undermining the program's goals of promoting equitable access to fishing opportunities.</w:t>
      </w:r>
    </w:p>
    <w:p w:rsidR="000208A2" w:rsidRPr="0042467E" w:rsidP="00E62262">
      <w:pPr>
        <w:pBdr>
          <w:top w:val="nil"/>
          <w:left w:val="nil"/>
          <w:bottom w:val="nil"/>
          <w:right w:val="nil"/>
          <w:between w:val="nil"/>
        </w:pBdr>
        <w:spacing w:before="90" w:line="242" w:lineRule="auto"/>
        <w:jc w:val="both"/>
        <w:rPr>
          <w:color w:val="000000"/>
          <w:sz w:val="24"/>
          <w:szCs w:val="24"/>
        </w:rPr>
      </w:pPr>
    </w:p>
    <w:p w:rsidR="00E62262" w:rsidRPr="0042467E" w:rsidP="00E62262">
      <w:pPr>
        <w:pBdr>
          <w:top w:val="nil"/>
          <w:left w:val="nil"/>
          <w:bottom w:val="nil"/>
          <w:right w:val="nil"/>
          <w:between w:val="nil"/>
        </w:pBdr>
        <w:spacing w:before="90" w:line="242" w:lineRule="auto"/>
        <w:jc w:val="both"/>
        <w:rPr>
          <w:i/>
          <w:color w:val="000000"/>
          <w:sz w:val="24"/>
          <w:szCs w:val="24"/>
        </w:rPr>
      </w:pPr>
      <w:r w:rsidRPr="0042467E">
        <w:rPr>
          <w:i/>
          <w:color w:val="000000"/>
          <w:sz w:val="24"/>
          <w:szCs w:val="24"/>
        </w:rPr>
        <w:t>Engagement and Social Networks</w:t>
      </w:r>
    </w:p>
    <w:p w:rsidR="00E62262" w:rsidRPr="0042467E" w:rsidP="00363242">
      <w:pPr>
        <w:pBdr>
          <w:top w:val="nil"/>
          <w:left w:val="nil"/>
          <w:bottom w:val="nil"/>
          <w:right w:val="nil"/>
          <w:between w:val="nil"/>
        </w:pBdr>
        <w:spacing w:before="90" w:line="242" w:lineRule="auto"/>
        <w:jc w:val="both"/>
        <w:rPr>
          <w:color w:val="000000"/>
          <w:sz w:val="24"/>
          <w:szCs w:val="24"/>
        </w:rPr>
      </w:pPr>
      <w:r w:rsidRPr="0042467E">
        <w:rPr>
          <w:color w:val="000000"/>
          <w:sz w:val="24"/>
          <w:szCs w:val="24"/>
        </w:rPr>
        <w:t xml:space="preserve">The survey </w:t>
      </w:r>
      <w:r w:rsidRPr="0042467E" w:rsidR="00295FFD">
        <w:rPr>
          <w:color w:val="000000"/>
          <w:sz w:val="24"/>
          <w:szCs w:val="24"/>
        </w:rPr>
        <w:t>will also ask</w:t>
      </w:r>
      <w:r w:rsidRPr="0042467E">
        <w:rPr>
          <w:color w:val="000000"/>
          <w:sz w:val="24"/>
          <w:szCs w:val="24"/>
        </w:rPr>
        <w:t xml:space="preserve"> </w:t>
      </w:r>
      <w:r w:rsidRPr="0042467E" w:rsidR="009D6C43">
        <w:rPr>
          <w:color w:val="000000"/>
          <w:sz w:val="24"/>
          <w:szCs w:val="24"/>
        </w:rPr>
        <w:t>from whom they</w:t>
      </w:r>
      <w:r w:rsidRPr="0042467E">
        <w:rPr>
          <w:color w:val="000000"/>
          <w:sz w:val="24"/>
          <w:szCs w:val="24"/>
        </w:rPr>
        <w:t xml:space="preserve"> acquire IFQ shares and allocation, </w:t>
      </w:r>
      <w:r w:rsidRPr="0042467E" w:rsidR="009D6C43">
        <w:rPr>
          <w:color w:val="000000"/>
          <w:sz w:val="24"/>
          <w:szCs w:val="24"/>
        </w:rPr>
        <w:t>challenges sourcing</w:t>
      </w:r>
      <w:r w:rsidRPr="0042467E">
        <w:rPr>
          <w:color w:val="000000"/>
          <w:sz w:val="24"/>
          <w:szCs w:val="24"/>
        </w:rPr>
        <w:t xml:space="preserve"> shares and allocation</w:t>
      </w:r>
      <w:r w:rsidRPr="0042467E" w:rsidR="009D6C43">
        <w:rPr>
          <w:color w:val="000000"/>
          <w:sz w:val="24"/>
          <w:szCs w:val="24"/>
        </w:rPr>
        <w:t xml:space="preserve"> locally</w:t>
      </w:r>
      <w:r w:rsidRPr="0042467E">
        <w:rPr>
          <w:color w:val="000000"/>
          <w:sz w:val="24"/>
          <w:szCs w:val="24"/>
        </w:rPr>
        <w:t>, and factors influencing choice of IFQ dealers for selling catch. This data helps assess the social dynamics and power relationships within the fishery, which are important indicators of the program's impact on fishing communities.</w:t>
      </w:r>
      <w:r w:rsidRPr="0042467E" w:rsidR="00363242">
        <w:t xml:space="preserve"> </w:t>
      </w:r>
      <w:r w:rsidRPr="0042467E" w:rsidR="00363242">
        <w:rPr>
          <w:color w:val="000000"/>
          <w:sz w:val="24"/>
          <w:szCs w:val="24"/>
        </w:rPr>
        <w:t xml:space="preserve">If a few </w:t>
      </w:r>
      <w:r w:rsidRPr="0042467E" w:rsidR="009D6C43">
        <w:rPr>
          <w:color w:val="000000"/>
          <w:sz w:val="24"/>
          <w:szCs w:val="24"/>
        </w:rPr>
        <w:t>players</w:t>
      </w:r>
      <w:r w:rsidRPr="0042467E" w:rsidR="00363242">
        <w:rPr>
          <w:color w:val="000000"/>
          <w:sz w:val="24"/>
          <w:szCs w:val="24"/>
        </w:rPr>
        <w:t xml:space="preserve"> dominate the market, it may indicate an imbalance that could </w:t>
      </w:r>
      <w:r w:rsidRPr="0042467E" w:rsidR="00EB1440">
        <w:rPr>
          <w:color w:val="000000"/>
          <w:sz w:val="24"/>
          <w:szCs w:val="24"/>
        </w:rPr>
        <w:t>affect</w:t>
      </w:r>
      <w:r w:rsidRPr="0042467E" w:rsidR="00363242">
        <w:rPr>
          <w:color w:val="000000"/>
          <w:sz w:val="24"/>
          <w:szCs w:val="24"/>
        </w:rPr>
        <w:t xml:space="preserve"> competition and fairness within the catch share program.</w:t>
      </w:r>
    </w:p>
    <w:p w:rsidR="00104CC8" w:rsidRPr="0042467E" w:rsidP="00E62262">
      <w:pPr>
        <w:pBdr>
          <w:top w:val="nil"/>
          <w:left w:val="nil"/>
          <w:bottom w:val="nil"/>
          <w:right w:val="nil"/>
          <w:between w:val="nil"/>
        </w:pBdr>
        <w:spacing w:before="90" w:line="242" w:lineRule="auto"/>
        <w:jc w:val="both"/>
        <w:rPr>
          <w:color w:val="000000"/>
          <w:sz w:val="24"/>
          <w:szCs w:val="24"/>
        </w:rPr>
      </w:pPr>
    </w:p>
    <w:p w:rsidR="00E62262" w:rsidRPr="0042467E" w:rsidP="00E62262">
      <w:pPr>
        <w:pBdr>
          <w:top w:val="nil"/>
          <w:left w:val="nil"/>
          <w:bottom w:val="nil"/>
          <w:right w:val="nil"/>
          <w:between w:val="nil"/>
        </w:pBdr>
        <w:spacing w:before="90" w:line="242" w:lineRule="auto"/>
        <w:jc w:val="both"/>
        <w:rPr>
          <w:i/>
          <w:color w:val="000000"/>
          <w:sz w:val="24"/>
          <w:szCs w:val="24"/>
        </w:rPr>
      </w:pPr>
      <w:r w:rsidRPr="0042467E">
        <w:rPr>
          <w:i/>
          <w:color w:val="000000"/>
          <w:sz w:val="24"/>
          <w:szCs w:val="24"/>
        </w:rPr>
        <w:t>Vertical Integration and Industry Relationships</w:t>
      </w:r>
    </w:p>
    <w:p w:rsidR="00E62262" w:rsidRPr="0042467E" w:rsidP="00363242">
      <w:pPr>
        <w:pBdr>
          <w:top w:val="nil"/>
          <w:left w:val="nil"/>
          <w:bottom w:val="nil"/>
          <w:right w:val="nil"/>
          <w:between w:val="nil"/>
        </w:pBdr>
        <w:spacing w:before="90" w:line="242" w:lineRule="auto"/>
        <w:jc w:val="both"/>
        <w:rPr>
          <w:color w:val="000000"/>
          <w:sz w:val="24"/>
          <w:szCs w:val="24"/>
        </w:rPr>
      </w:pPr>
      <w:r w:rsidRPr="0042467E">
        <w:rPr>
          <w:color w:val="000000"/>
          <w:sz w:val="24"/>
          <w:szCs w:val="24"/>
        </w:rPr>
        <w:t xml:space="preserve">These questions examine engagement in multiple activities within the IFQ program, reasons for such engagement, and how the IFQ program has affected relationships within the industry. This information is crucial for understanding the economic structure of the fishery and evaluating whether the catch share program is promoting efficiency or leading to undesirable levels of market </w:t>
      </w:r>
      <w:r w:rsidRPr="0042467E">
        <w:rPr>
          <w:color w:val="000000"/>
          <w:sz w:val="24"/>
          <w:szCs w:val="24"/>
        </w:rPr>
        <w:t>concentration.</w:t>
      </w:r>
      <w:r w:rsidRPr="0042467E">
        <w:t xml:space="preserve"> </w:t>
      </w:r>
      <w:r w:rsidRPr="0042467E">
        <w:rPr>
          <w:color w:val="000000"/>
          <w:sz w:val="24"/>
          <w:szCs w:val="24"/>
        </w:rPr>
        <w:t>This information is valuable for several reasons. First, understanding the various roles participants play—whether as fishermen, dealers, processors, or retailers—provides insights into the economic structure of the fishery. This helps managers assess how well the catch share program is functioning and whether it is fostering a diverse and competitive market. Second, identifying the motivations for engaging in multiple activities can reveal whether the program promotes operational efficiency or if it leads to undesirable levels of market concentration. For instance, if a few entities dominate multiple roles within the supply chain, it may hinder competition and negatively impact smaller operators.</w:t>
      </w:r>
    </w:p>
    <w:p w:rsidR="00363242" w:rsidRPr="0042467E" w:rsidP="00E62262">
      <w:pPr>
        <w:pBdr>
          <w:top w:val="nil"/>
          <w:left w:val="nil"/>
          <w:bottom w:val="nil"/>
          <w:right w:val="nil"/>
          <w:between w:val="nil"/>
        </w:pBdr>
        <w:spacing w:before="90" w:line="242" w:lineRule="auto"/>
        <w:jc w:val="both"/>
        <w:rPr>
          <w:color w:val="000000"/>
          <w:sz w:val="24"/>
          <w:szCs w:val="24"/>
        </w:rPr>
      </w:pPr>
    </w:p>
    <w:p w:rsidR="00E62262" w:rsidRPr="0042467E" w:rsidP="00E62262">
      <w:pPr>
        <w:pBdr>
          <w:top w:val="nil"/>
          <w:left w:val="nil"/>
          <w:bottom w:val="nil"/>
          <w:right w:val="nil"/>
          <w:between w:val="nil"/>
        </w:pBdr>
        <w:spacing w:before="90" w:line="242" w:lineRule="auto"/>
        <w:jc w:val="both"/>
        <w:rPr>
          <w:i/>
          <w:color w:val="000000"/>
          <w:sz w:val="24"/>
          <w:szCs w:val="24"/>
        </w:rPr>
      </w:pPr>
      <w:r w:rsidRPr="0042467E">
        <w:rPr>
          <w:i/>
          <w:color w:val="000000"/>
          <w:sz w:val="24"/>
          <w:szCs w:val="24"/>
        </w:rPr>
        <w:t>Discarding Practices</w:t>
      </w:r>
    </w:p>
    <w:p w:rsidR="00E62262" w:rsidRPr="0042467E" w:rsidP="00363242">
      <w:pPr>
        <w:pBdr>
          <w:top w:val="nil"/>
          <w:left w:val="nil"/>
          <w:bottom w:val="nil"/>
          <w:right w:val="nil"/>
          <w:between w:val="nil"/>
        </w:pBdr>
        <w:spacing w:before="90" w:line="242" w:lineRule="auto"/>
        <w:jc w:val="both"/>
        <w:rPr>
          <w:color w:val="000000"/>
          <w:sz w:val="24"/>
          <w:szCs w:val="24"/>
        </w:rPr>
      </w:pPr>
      <w:r w:rsidRPr="0042467E">
        <w:rPr>
          <w:color w:val="000000"/>
          <w:sz w:val="24"/>
          <w:szCs w:val="24"/>
        </w:rPr>
        <w:t>In addition, the survey will gather data on discarding of IFQ species, reasons for discarding, and the impact of the IFQ program on discarding practices. This information is vital for assessing the ecological performance of the catch share program, particularly its effectiveness in reducing bycatch and promoting sustainable fishing practices.</w:t>
      </w:r>
      <w:r w:rsidRPr="0042467E" w:rsidR="00363242">
        <w:t xml:space="preserve"> </w:t>
      </w:r>
      <w:r w:rsidRPr="0042467E" w:rsidR="009D6C43">
        <w:rPr>
          <w:color w:val="000000"/>
          <w:sz w:val="24"/>
          <w:szCs w:val="24"/>
        </w:rPr>
        <w:t>It</w:t>
      </w:r>
      <w:r w:rsidRPr="0042467E" w:rsidR="00363242">
        <w:rPr>
          <w:color w:val="000000"/>
          <w:sz w:val="24"/>
          <w:szCs w:val="24"/>
        </w:rPr>
        <w:t xml:space="preserve"> helps managers evaluate whether the program effectively reduces unnecessary waste and promotes sustainable fishing practices. </w:t>
      </w:r>
      <w:r w:rsidRPr="0042467E" w:rsidR="009D6C43">
        <w:rPr>
          <w:color w:val="000000"/>
          <w:sz w:val="24"/>
          <w:szCs w:val="24"/>
        </w:rPr>
        <w:t xml:space="preserve"> </w:t>
      </w:r>
    </w:p>
    <w:p w:rsidR="00363242" w:rsidRPr="0042467E" w:rsidP="00E62262">
      <w:pPr>
        <w:pBdr>
          <w:top w:val="nil"/>
          <w:left w:val="nil"/>
          <w:bottom w:val="nil"/>
          <w:right w:val="nil"/>
          <w:between w:val="nil"/>
        </w:pBdr>
        <w:spacing w:before="90" w:line="242" w:lineRule="auto"/>
        <w:jc w:val="both"/>
        <w:rPr>
          <w:color w:val="000000"/>
          <w:sz w:val="24"/>
          <w:szCs w:val="24"/>
        </w:rPr>
      </w:pPr>
    </w:p>
    <w:p w:rsidR="00E62262" w:rsidRPr="0042467E" w:rsidP="00E62262">
      <w:pPr>
        <w:pBdr>
          <w:top w:val="nil"/>
          <w:left w:val="nil"/>
          <w:bottom w:val="nil"/>
          <w:right w:val="nil"/>
          <w:between w:val="nil"/>
        </w:pBdr>
        <w:spacing w:before="90" w:line="242" w:lineRule="auto"/>
        <w:jc w:val="both"/>
        <w:rPr>
          <w:i/>
          <w:color w:val="000000"/>
          <w:sz w:val="24"/>
          <w:szCs w:val="24"/>
        </w:rPr>
      </w:pPr>
      <w:r w:rsidRPr="0042467E">
        <w:rPr>
          <w:i/>
          <w:color w:val="000000"/>
          <w:sz w:val="24"/>
          <w:szCs w:val="24"/>
        </w:rPr>
        <w:t>Demographics</w:t>
      </w:r>
    </w:p>
    <w:p w:rsidR="00363242" w:rsidRPr="0042467E" w:rsidP="00E62262">
      <w:pPr>
        <w:pBdr>
          <w:top w:val="nil"/>
          <w:left w:val="nil"/>
          <w:bottom w:val="nil"/>
          <w:right w:val="nil"/>
          <w:between w:val="nil"/>
        </w:pBdr>
        <w:spacing w:before="90" w:line="242" w:lineRule="auto"/>
        <w:jc w:val="both"/>
        <w:rPr>
          <w:color w:val="000000"/>
          <w:sz w:val="24"/>
          <w:szCs w:val="24"/>
        </w:rPr>
      </w:pPr>
      <w:r w:rsidRPr="0042467E">
        <w:rPr>
          <w:color w:val="000000"/>
          <w:sz w:val="24"/>
          <w:szCs w:val="24"/>
        </w:rPr>
        <w:t xml:space="preserve">Basic demographic information </w:t>
      </w:r>
      <w:r w:rsidRPr="0042467E" w:rsidR="00A018C5">
        <w:rPr>
          <w:color w:val="000000"/>
          <w:sz w:val="24"/>
          <w:szCs w:val="24"/>
        </w:rPr>
        <w:t>about</w:t>
      </w:r>
      <w:r w:rsidRPr="0042467E">
        <w:rPr>
          <w:color w:val="000000"/>
          <w:sz w:val="24"/>
          <w:szCs w:val="24"/>
        </w:rPr>
        <w:t xml:space="preserve"> race</w:t>
      </w:r>
      <w:r w:rsidRPr="0042467E" w:rsidR="00A018C5">
        <w:rPr>
          <w:color w:val="000000"/>
          <w:sz w:val="24"/>
          <w:szCs w:val="24"/>
        </w:rPr>
        <w:t xml:space="preserve"> and/or</w:t>
      </w:r>
      <w:r w:rsidRPr="0042467E">
        <w:rPr>
          <w:color w:val="000000"/>
          <w:sz w:val="24"/>
          <w:szCs w:val="24"/>
        </w:rPr>
        <w:t xml:space="preserve"> ethnicity </w:t>
      </w:r>
      <w:r w:rsidRPr="0042467E" w:rsidR="00295FFD">
        <w:rPr>
          <w:color w:val="000000"/>
          <w:sz w:val="24"/>
          <w:szCs w:val="24"/>
        </w:rPr>
        <w:t>will also be</w:t>
      </w:r>
      <w:r w:rsidRPr="0042467E">
        <w:rPr>
          <w:color w:val="000000"/>
          <w:sz w:val="24"/>
          <w:szCs w:val="24"/>
        </w:rPr>
        <w:t xml:space="preserve"> collected. This data is essential for evaluating the distributional impacts of the catch share program and ensuring that it does not disproportionately affect or exclude certain groups</w:t>
      </w:r>
      <w:r w:rsidRPr="0042467E" w:rsidR="00A018C5">
        <w:rPr>
          <w:color w:val="000000"/>
          <w:sz w:val="24"/>
          <w:szCs w:val="24"/>
        </w:rPr>
        <w:t>.</w:t>
      </w:r>
    </w:p>
    <w:p w:rsidR="00A018C5" w:rsidRPr="0042467E" w:rsidP="00E62262">
      <w:pPr>
        <w:pBdr>
          <w:top w:val="nil"/>
          <w:left w:val="nil"/>
          <w:bottom w:val="nil"/>
          <w:right w:val="nil"/>
          <w:between w:val="nil"/>
        </w:pBdr>
        <w:spacing w:before="90" w:line="242" w:lineRule="auto"/>
        <w:jc w:val="both"/>
        <w:rPr>
          <w:color w:val="000000"/>
          <w:sz w:val="24"/>
          <w:szCs w:val="24"/>
        </w:rPr>
      </w:pPr>
    </w:p>
    <w:p w:rsidR="00D67C05" w:rsidRPr="0042467E" w:rsidP="00F560BC">
      <w:pPr>
        <w:pBdr>
          <w:top w:val="nil"/>
          <w:left w:val="nil"/>
          <w:bottom w:val="nil"/>
          <w:right w:val="nil"/>
          <w:between w:val="nil"/>
        </w:pBdr>
        <w:rPr>
          <w:sz w:val="24"/>
          <w:szCs w:val="24"/>
          <w:u w:val="single"/>
        </w:rPr>
      </w:pPr>
      <w:r w:rsidRPr="0042467E">
        <w:rPr>
          <w:sz w:val="24"/>
          <w:szCs w:val="24"/>
          <w:u w:val="single"/>
        </w:rPr>
        <w:t xml:space="preserve">Does the respondent have multiple options for providing information? </w:t>
      </w:r>
    </w:p>
    <w:p w:rsidR="00D67C05" w:rsidRPr="0042467E" w:rsidP="00F560BC">
      <w:pPr>
        <w:pBdr>
          <w:top w:val="nil"/>
          <w:left w:val="nil"/>
          <w:bottom w:val="nil"/>
          <w:right w:val="nil"/>
          <w:between w:val="nil"/>
        </w:pBdr>
        <w:rPr>
          <w:sz w:val="24"/>
          <w:szCs w:val="24"/>
          <w:u w:val="single"/>
        </w:rPr>
      </w:pPr>
    </w:p>
    <w:p w:rsidR="00574DA5" w:rsidRPr="0042467E" w:rsidP="00574DA5">
      <w:pPr>
        <w:pBdr>
          <w:top w:val="nil"/>
          <w:left w:val="nil"/>
          <w:bottom w:val="nil"/>
          <w:right w:val="nil"/>
          <w:between w:val="nil"/>
        </w:pBdr>
        <w:spacing w:before="5"/>
        <w:jc w:val="both"/>
        <w:rPr>
          <w:color w:val="111111"/>
          <w:sz w:val="24"/>
          <w:szCs w:val="24"/>
          <w:shd w:val="clear" w:color="auto" w:fill="FFFFFF"/>
        </w:rPr>
      </w:pPr>
      <w:r w:rsidRPr="0042467E">
        <w:rPr>
          <w:color w:val="242424"/>
          <w:sz w:val="24"/>
          <w:szCs w:val="24"/>
          <w:shd w:val="clear" w:color="auto" w:fill="FFFFFF"/>
        </w:rPr>
        <w:t>The</w:t>
      </w:r>
      <w:r w:rsidRPr="0042467E" w:rsidR="00557918">
        <w:rPr>
          <w:color w:val="242424"/>
          <w:sz w:val="24"/>
          <w:szCs w:val="24"/>
          <w:shd w:val="clear" w:color="auto" w:fill="FFFFFF"/>
        </w:rPr>
        <w:t xml:space="preserve"> contractor will administer this survey online. However, if fishers </w:t>
      </w:r>
      <w:r w:rsidRPr="0042467E">
        <w:rPr>
          <w:color w:val="242424"/>
          <w:sz w:val="24"/>
          <w:szCs w:val="24"/>
          <w:shd w:val="clear" w:color="auto" w:fill="FFFFFF"/>
        </w:rPr>
        <w:t xml:space="preserve">prefer </w:t>
      </w:r>
      <w:r w:rsidRPr="0042467E">
        <w:rPr>
          <w:color w:val="111111"/>
          <w:sz w:val="24"/>
          <w:szCs w:val="24"/>
          <w:shd w:val="clear" w:color="auto" w:fill="FFFFFF"/>
        </w:rPr>
        <w:t>not to complete the survey online, a hard copy will be mailed to them, along with a pre-paid return envelope for their convenience.</w:t>
      </w:r>
    </w:p>
    <w:p w:rsidR="00D67C05" w:rsidRPr="0042467E" w:rsidP="00F560BC">
      <w:pPr>
        <w:pBdr>
          <w:top w:val="nil"/>
          <w:left w:val="nil"/>
          <w:bottom w:val="nil"/>
          <w:right w:val="nil"/>
          <w:between w:val="nil"/>
        </w:pBdr>
        <w:rPr>
          <w:sz w:val="24"/>
          <w:szCs w:val="24"/>
        </w:rPr>
      </w:pPr>
    </w:p>
    <w:p w:rsidR="00D67C05" w:rsidRPr="0042467E" w:rsidP="00F560BC">
      <w:pPr>
        <w:pBdr>
          <w:top w:val="nil"/>
          <w:left w:val="nil"/>
          <w:bottom w:val="nil"/>
          <w:right w:val="nil"/>
          <w:between w:val="nil"/>
        </w:pBdr>
        <w:rPr>
          <w:sz w:val="24"/>
          <w:szCs w:val="24"/>
          <w:u w:val="single"/>
        </w:rPr>
      </w:pPr>
      <w:r w:rsidRPr="0042467E">
        <w:rPr>
          <w:sz w:val="24"/>
          <w:szCs w:val="24"/>
          <w:u w:val="single"/>
        </w:rPr>
        <w:t>Frequency of information collection?</w:t>
      </w:r>
    </w:p>
    <w:p w:rsidR="00D67C05" w:rsidRPr="0042467E" w:rsidP="00F560BC">
      <w:pPr>
        <w:pBdr>
          <w:top w:val="nil"/>
          <w:left w:val="nil"/>
          <w:bottom w:val="nil"/>
          <w:right w:val="nil"/>
          <w:between w:val="nil"/>
        </w:pBdr>
        <w:rPr>
          <w:sz w:val="24"/>
          <w:szCs w:val="24"/>
        </w:rPr>
      </w:pPr>
    </w:p>
    <w:p w:rsidR="00557918" w:rsidRPr="0042467E" w:rsidP="00F560BC">
      <w:pPr>
        <w:pBdr>
          <w:top w:val="nil"/>
          <w:left w:val="nil"/>
          <w:bottom w:val="nil"/>
          <w:right w:val="nil"/>
          <w:between w:val="nil"/>
        </w:pBdr>
        <w:rPr>
          <w:sz w:val="24"/>
          <w:szCs w:val="24"/>
        </w:rPr>
      </w:pPr>
      <w:r w:rsidRPr="0042467E">
        <w:rPr>
          <w:sz w:val="24"/>
          <w:szCs w:val="24"/>
        </w:rPr>
        <w:t xml:space="preserve">The MSA requires </w:t>
      </w:r>
      <w:r w:rsidRPr="0042467E" w:rsidR="00130052">
        <w:rPr>
          <w:sz w:val="24"/>
          <w:szCs w:val="24"/>
        </w:rPr>
        <w:t xml:space="preserve">NOAA and the </w:t>
      </w:r>
      <w:r w:rsidR="00F83830">
        <w:rPr>
          <w:sz w:val="24"/>
          <w:szCs w:val="24"/>
        </w:rPr>
        <w:t xml:space="preserve">regional </w:t>
      </w:r>
      <w:r w:rsidR="00D747B9">
        <w:rPr>
          <w:color w:val="111111"/>
          <w:sz w:val="24"/>
          <w:szCs w:val="24"/>
          <w:shd w:val="clear" w:color="auto" w:fill="FFFFFF"/>
        </w:rPr>
        <w:t>FMC</w:t>
      </w:r>
      <w:r w:rsidRPr="0042467E" w:rsidR="00130052">
        <w:rPr>
          <w:sz w:val="24"/>
          <w:szCs w:val="24"/>
        </w:rPr>
        <w:t xml:space="preserve"> to conduct </w:t>
      </w:r>
      <w:r w:rsidRPr="0042467E">
        <w:rPr>
          <w:sz w:val="24"/>
          <w:szCs w:val="24"/>
        </w:rPr>
        <w:t>an evaluation of the performance of the catch share programs every 7 years</w:t>
      </w:r>
      <w:r w:rsidRPr="0042467E" w:rsidR="00D41898">
        <w:rPr>
          <w:sz w:val="24"/>
          <w:szCs w:val="24"/>
        </w:rPr>
        <w:t xml:space="preserve"> after the initial evaluation of the program</w:t>
      </w:r>
      <w:r w:rsidRPr="0042467E">
        <w:rPr>
          <w:sz w:val="24"/>
          <w:szCs w:val="24"/>
        </w:rPr>
        <w:t>.</w:t>
      </w:r>
    </w:p>
    <w:p w:rsidR="00D67C05" w:rsidRPr="0042467E" w:rsidP="00F560BC">
      <w:pPr>
        <w:pBdr>
          <w:top w:val="nil"/>
          <w:left w:val="nil"/>
          <w:bottom w:val="nil"/>
          <w:right w:val="nil"/>
          <w:between w:val="nil"/>
        </w:pBdr>
        <w:rPr>
          <w:sz w:val="24"/>
          <w:szCs w:val="24"/>
        </w:rPr>
      </w:pPr>
    </w:p>
    <w:p w:rsidR="00D67C05" w:rsidRPr="0042467E" w:rsidP="00F560BC">
      <w:pPr>
        <w:rPr>
          <w:sz w:val="16"/>
          <w:szCs w:val="16"/>
        </w:rPr>
      </w:pPr>
      <w:r w:rsidRPr="0042467E">
        <w:rPr>
          <w:sz w:val="24"/>
          <w:szCs w:val="24"/>
          <w:u w:val="single"/>
        </w:rPr>
        <w:t>Data use and public dissemination</w:t>
      </w:r>
    </w:p>
    <w:p w:rsidR="00FC0DDC" w:rsidRPr="0042467E" w:rsidP="00793BD3">
      <w:pPr>
        <w:spacing w:before="90"/>
        <w:jc w:val="both"/>
        <w:rPr>
          <w:sz w:val="24"/>
          <w:szCs w:val="24"/>
        </w:rPr>
      </w:pPr>
      <w:r w:rsidRPr="0042467E">
        <w:rPr>
          <w:sz w:val="24"/>
          <w:szCs w:val="24"/>
        </w:rPr>
        <w:t>NMFS</w:t>
      </w:r>
      <w:r w:rsidRPr="0042467E" w:rsidR="00073876">
        <w:rPr>
          <w:sz w:val="24"/>
          <w:szCs w:val="24"/>
        </w:rPr>
        <w:t xml:space="preserve"> and the </w:t>
      </w:r>
      <w:r w:rsidR="00F83830">
        <w:rPr>
          <w:sz w:val="24"/>
          <w:szCs w:val="24"/>
        </w:rPr>
        <w:t xml:space="preserve">regional </w:t>
      </w:r>
      <w:r w:rsidR="00D747B9">
        <w:rPr>
          <w:color w:val="111111"/>
          <w:sz w:val="24"/>
          <w:szCs w:val="24"/>
          <w:shd w:val="clear" w:color="auto" w:fill="FFFFFF"/>
        </w:rPr>
        <w:t>FMC</w:t>
      </w:r>
      <w:r w:rsidRPr="0042467E" w:rsidR="00073876">
        <w:rPr>
          <w:sz w:val="24"/>
          <w:szCs w:val="24"/>
        </w:rPr>
        <w:t xml:space="preserve"> </w:t>
      </w:r>
      <w:r w:rsidRPr="0042467E" w:rsidR="00B3702B">
        <w:rPr>
          <w:sz w:val="24"/>
          <w:szCs w:val="24"/>
        </w:rPr>
        <w:t>will</w:t>
      </w:r>
      <w:r w:rsidRPr="0042467E" w:rsidR="00793BD3">
        <w:rPr>
          <w:sz w:val="24"/>
          <w:szCs w:val="24"/>
        </w:rPr>
        <w:t xml:space="preserve"> use</w:t>
      </w:r>
      <w:r w:rsidRPr="0042467E">
        <w:rPr>
          <w:sz w:val="24"/>
          <w:szCs w:val="24"/>
        </w:rPr>
        <w:t xml:space="preserve"> the data collected</w:t>
      </w:r>
      <w:r w:rsidRPr="0042467E" w:rsidR="00793BD3">
        <w:rPr>
          <w:sz w:val="24"/>
          <w:szCs w:val="24"/>
        </w:rPr>
        <w:t xml:space="preserve"> </w:t>
      </w:r>
      <w:r w:rsidRPr="0042467E">
        <w:rPr>
          <w:sz w:val="24"/>
          <w:szCs w:val="24"/>
        </w:rPr>
        <w:t xml:space="preserve">for program evaluation and decision-making. As noted above, the MSA requires the NMFS and </w:t>
      </w:r>
      <w:r w:rsidR="00F83830">
        <w:rPr>
          <w:sz w:val="24"/>
          <w:szCs w:val="24"/>
        </w:rPr>
        <w:t>regional</w:t>
      </w:r>
      <w:r w:rsidRPr="0042467E">
        <w:rPr>
          <w:sz w:val="24"/>
          <w:szCs w:val="24"/>
        </w:rPr>
        <w:t xml:space="preserve"> Fishery Management Councils to conduct periodic evaluations of their catch share programs. NMFS and the </w:t>
      </w:r>
      <w:r w:rsidR="00D747B9">
        <w:rPr>
          <w:color w:val="111111"/>
          <w:sz w:val="24"/>
          <w:szCs w:val="24"/>
          <w:shd w:val="clear" w:color="auto" w:fill="FFFFFF"/>
        </w:rPr>
        <w:t>FMC</w:t>
      </w:r>
      <w:r w:rsidRPr="0042467E">
        <w:rPr>
          <w:sz w:val="24"/>
          <w:szCs w:val="24"/>
        </w:rPr>
        <w:t xml:space="preserve"> will</w:t>
      </w:r>
      <w:r w:rsidRPr="0042467E" w:rsidR="00793BD3">
        <w:rPr>
          <w:sz w:val="24"/>
          <w:szCs w:val="24"/>
        </w:rPr>
        <w:t xml:space="preserve"> </w:t>
      </w:r>
      <w:r w:rsidRPr="0042467E" w:rsidR="00B3702B">
        <w:rPr>
          <w:sz w:val="24"/>
          <w:szCs w:val="24"/>
        </w:rPr>
        <w:t>publicly disseminat</w:t>
      </w:r>
      <w:r w:rsidRPr="0042467E" w:rsidR="00793BD3">
        <w:rPr>
          <w:sz w:val="24"/>
          <w:szCs w:val="24"/>
        </w:rPr>
        <w:t>e aggregate</w:t>
      </w:r>
      <w:r w:rsidRPr="0042467E">
        <w:rPr>
          <w:sz w:val="24"/>
          <w:szCs w:val="24"/>
        </w:rPr>
        <w:t>d</w:t>
      </w:r>
      <w:r w:rsidRPr="0042467E" w:rsidR="00793BD3">
        <w:rPr>
          <w:sz w:val="24"/>
          <w:szCs w:val="24"/>
        </w:rPr>
        <w:t xml:space="preserve"> </w:t>
      </w:r>
      <w:r w:rsidRPr="0042467E">
        <w:rPr>
          <w:sz w:val="24"/>
          <w:szCs w:val="24"/>
        </w:rPr>
        <w:t>summary results of the data collected</w:t>
      </w:r>
      <w:r w:rsidRPr="0042467E" w:rsidR="00B3702B">
        <w:rPr>
          <w:sz w:val="24"/>
          <w:szCs w:val="24"/>
        </w:rPr>
        <w:t xml:space="preserve">. </w:t>
      </w:r>
    </w:p>
    <w:p w:rsidR="00FC0DDC" w:rsidRPr="0042467E" w:rsidP="00793BD3">
      <w:pPr>
        <w:spacing w:before="90"/>
        <w:jc w:val="both"/>
        <w:rPr>
          <w:sz w:val="24"/>
          <w:szCs w:val="24"/>
        </w:rPr>
      </w:pPr>
    </w:p>
    <w:p w:rsidR="00D67C05" w:rsidRPr="0042467E" w:rsidP="00793BD3">
      <w:pPr>
        <w:spacing w:before="90"/>
        <w:jc w:val="both"/>
        <w:rPr>
          <w:sz w:val="24"/>
          <w:szCs w:val="24"/>
        </w:rPr>
      </w:pPr>
      <w:r w:rsidRPr="0042467E">
        <w:rPr>
          <w:sz w:val="24"/>
          <w:szCs w:val="24"/>
        </w:rPr>
        <w:t>NMFS</w:t>
      </w:r>
      <w:r w:rsidRPr="0042467E" w:rsidR="00D97BEC">
        <w:rPr>
          <w:sz w:val="24"/>
          <w:szCs w:val="24"/>
        </w:rPr>
        <w:t xml:space="preserve"> </w:t>
      </w:r>
      <w:r w:rsidRPr="0042467E" w:rsidR="00B3702B">
        <w:rPr>
          <w:sz w:val="24"/>
          <w:szCs w:val="24"/>
        </w:rPr>
        <w:t xml:space="preserve">will retain control over the information and safeguard it from improper access, modification, and destruction, consistent with NOAA standards for privacy, electronic information, and records management. This information collection is designed to yield data that meet all applicable information quality guidelines. Prior to dissemination, the information will be subjected to quality control measures and a pre-dissemination review pursuant to </w:t>
      </w:r>
      <w:hyperlink r:id="rId14">
        <w:r w:rsidRPr="0042467E" w:rsidR="00B3702B">
          <w:rPr>
            <w:color w:val="0000FF"/>
            <w:sz w:val="24"/>
            <w:szCs w:val="24"/>
            <w:u w:val="single"/>
          </w:rPr>
          <w:t xml:space="preserve">Section 515 of </w:t>
        </w:r>
        <w:r w:rsidRPr="0042467E" w:rsidR="00B3702B">
          <w:rPr>
            <w:color w:val="0000FF"/>
            <w:sz w:val="24"/>
            <w:szCs w:val="24"/>
            <w:u w:val="single"/>
          </w:rPr>
          <w:t>Public Law 106-554</w:t>
        </w:r>
      </w:hyperlink>
      <w:r w:rsidRPr="0042467E" w:rsidR="00B3702B">
        <w:rPr>
          <w:sz w:val="24"/>
          <w:szCs w:val="24"/>
        </w:rPr>
        <w:t>.</w:t>
      </w:r>
    </w:p>
    <w:p w:rsidR="00D67C05" w:rsidRPr="0042467E" w:rsidP="00F560BC">
      <w:pPr>
        <w:spacing w:before="90"/>
        <w:ind w:left="1080"/>
        <w:rPr>
          <w:sz w:val="24"/>
          <w:szCs w:val="24"/>
        </w:rPr>
      </w:pPr>
    </w:p>
    <w:p w:rsidR="00D67C05" w:rsidRPr="0042467E" w:rsidP="00F560BC">
      <w:pPr>
        <w:spacing w:before="90"/>
        <w:rPr>
          <w:sz w:val="24"/>
          <w:szCs w:val="24"/>
          <w:u w:val="single"/>
        </w:rPr>
      </w:pPr>
      <w:r w:rsidRPr="0042467E">
        <w:rPr>
          <w:sz w:val="24"/>
          <w:szCs w:val="24"/>
          <w:u w:val="single"/>
        </w:rPr>
        <w:t>Data sharing</w:t>
      </w:r>
    </w:p>
    <w:p w:rsidR="00AF4963" w:rsidRPr="0042467E" w:rsidP="00F560BC">
      <w:pPr>
        <w:spacing w:before="90"/>
        <w:rPr>
          <w:sz w:val="24"/>
          <w:szCs w:val="24"/>
        </w:rPr>
      </w:pPr>
    </w:p>
    <w:p w:rsidR="00D67C05" w:rsidRPr="0042467E" w:rsidP="00AF4963">
      <w:pPr>
        <w:spacing w:before="90"/>
        <w:jc w:val="both"/>
        <w:rPr>
          <w:sz w:val="24"/>
          <w:szCs w:val="24"/>
        </w:rPr>
      </w:pPr>
      <w:r w:rsidRPr="0042467E">
        <w:rPr>
          <w:sz w:val="24"/>
          <w:szCs w:val="24"/>
        </w:rPr>
        <w:t>NMFS</w:t>
      </w:r>
      <w:r w:rsidRPr="0042467E" w:rsidR="00B3702B">
        <w:rPr>
          <w:sz w:val="24"/>
          <w:szCs w:val="24"/>
        </w:rPr>
        <w:t xml:space="preserve"> will share summaries of the data with other organizations inside and outside the Department of Commerce or the government. NMFS will not share data from individual respondents unless it determines there are adequate mechanisms and agreements to protect the confidentiality of the data from individual respondents when the responses are not anonymous. </w:t>
      </w:r>
    </w:p>
    <w:p w:rsidR="00D67C05" w:rsidRPr="0042467E" w:rsidP="00F560BC">
      <w:pPr>
        <w:spacing w:before="90"/>
        <w:ind w:left="1080"/>
        <w:rPr>
          <w:sz w:val="24"/>
          <w:szCs w:val="24"/>
        </w:rPr>
      </w:pPr>
    </w:p>
    <w:p w:rsidR="00D67C05" w:rsidRPr="0042467E" w:rsidP="00F560BC">
      <w:pPr>
        <w:pBdr>
          <w:top w:val="nil"/>
          <w:left w:val="nil"/>
          <w:bottom w:val="nil"/>
          <w:right w:val="nil"/>
          <w:between w:val="nil"/>
        </w:pBdr>
        <w:spacing w:before="90"/>
        <w:rPr>
          <w:sz w:val="24"/>
          <w:szCs w:val="24"/>
          <w:u w:val="single"/>
        </w:rPr>
      </w:pPr>
      <w:r w:rsidRPr="0042467E">
        <w:rPr>
          <w:sz w:val="24"/>
          <w:szCs w:val="24"/>
          <w:u w:val="single"/>
        </w:rPr>
        <w:t>Have the collection requirements changed over time?</w:t>
      </w:r>
    </w:p>
    <w:p w:rsidR="00AF4963" w:rsidRPr="0042467E" w:rsidP="00F560BC">
      <w:pPr>
        <w:pBdr>
          <w:top w:val="nil"/>
          <w:left w:val="nil"/>
          <w:bottom w:val="nil"/>
          <w:right w:val="nil"/>
          <w:between w:val="nil"/>
        </w:pBdr>
        <w:spacing w:before="90"/>
        <w:rPr>
          <w:sz w:val="24"/>
          <w:szCs w:val="24"/>
          <w:u w:val="single"/>
        </w:rPr>
      </w:pPr>
    </w:p>
    <w:p w:rsidR="00793BD3" w:rsidRPr="0042467E" w:rsidP="00F560BC">
      <w:pPr>
        <w:pBdr>
          <w:top w:val="nil"/>
          <w:left w:val="nil"/>
          <w:bottom w:val="nil"/>
          <w:right w:val="nil"/>
          <w:between w:val="nil"/>
        </w:pBdr>
        <w:spacing w:before="90"/>
        <w:rPr>
          <w:sz w:val="24"/>
          <w:szCs w:val="24"/>
        </w:rPr>
      </w:pPr>
      <w:r w:rsidRPr="0042467E">
        <w:rPr>
          <w:sz w:val="24"/>
          <w:szCs w:val="24"/>
        </w:rPr>
        <w:t xml:space="preserve">The overall collection requirements have not changed. </w:t>
      </w:r>
    </w:p>
    <w:p w:rsidR="00D67C05" w:rsidRPr="0042467E" w:rsidP="00F560BC">
      <w:pPr>
        <w:pBdr>
          <w:top w:val="nil"/>
          <w:left w:val="nil"/>
          <w:bottom w:val="nil"/>
          <w:right w:val="nil"/>
          <w:between w:val="nil"/>
        </w:pBdr>
        <w:spacing w:before="90"/>
        <w:ind w:left="1080"/>
        <w:rPr>
          <w:sz w:val="24"/>
          <w:szCs w:val="24"/>
          <w:u w:val="single"/>
        </w:rPr>
      </w:pPr>
    </w:p>
    <w:p w:rsidR="00D67C05" w:rsidRPr="0042467E" w:rsidP="00F560BC">
      <w:pPr>
        <w:pStyle w:val="Heading1"/>
        <w:numPr>
          <w:ilvl w:val="0"/>
          <w:numId w:val="15"/>
        </w:numPr>
        <w:tabs>
          <w:tab w:val="left" w:pos="1320"/>
        </w:tabs>
        <w:spacing w:before="90"/>
      </w:pPr>
      <w:r w:rsidRPr="0042467E">
        <w:t xml:space="preserve">Describe whether, and to what extent, the collection of information involves the use of automated, electronic, mechanical, or other technological techniques or other forms of information technology, </w:t>
      </w:r>
      <w:r w:rsidRPr="0042467E">
        <w:rPr>
          <w:color w:val="000000"/>
        </w:rPr>
        <w:t>e.g. permitting electronic submission of responses, and the basis for the decision for adopting this means of collection. Also, describe any consideration of using information technology to reduce burden.</w:t>
      </w:r>
    </w:p>
    <w:p w:rsidR="00D67C05" w:rsidRPr="0042467E" w:rsidP="00F560BC">
      <w:pPr>
        <w:pBdr>
          <w:top w:val="nil"/>
          <w:left w:val="nil"/>
          <w:bottom w:val="nil"/>
          <w:right w:val="nil"/>
          <w:between w:val="nil"/>
        </w:pBdr>
        <w:spacing w:before="7"/>
        <w:rPr>
          <w:b/>
          <w:color w:val="000000"/>
          <w:sz w:val="24"/>
          <w:szCs w:val="24"/>
        </w:rPr>
      </w:pPr>
    </w:p>
    <w:p w:rsidR="00041486" w:rsidRPr="0042467E" w:rsidP="00041486">
      <w:pPr>
        <w:pStyle w:val="NormalWeb"/>
        <w:shd w:val="clear" w:color="auto" w:fill="FFFFFF"/>
        <w:spacing w:after="240"/>
        <w:jc w:val="both"/>
        <w:rPr>
          <w:color w:val="242424"/>
        </w:rPr>
      </w:pPr>
      <w:r w:rsidRPr="0042467E">
        <w:rPr>
          <w:color w:val="242424"/>
        </w:rPr>
        <w:t xml:space="preserve">For this information collection, </w:t>
      </w:r>
      <w:r w:rsidR="002903C4">
        <w:rPr>
          <w:color w:val="242424"/>
        </w:rPr>
        <w:t>w</w:t>
      </w:r>
      <w:r w:rsidRPr="0042467E">
        <w:rPr>
          <w:color w:val="242424"/>
        </w:rPr>
        <w:t>e plan to use an electronic data collection method, which significantly reduces the burden on both respondents and the agency. For respondents, it shortens interview duration and eliminates the need for follow-up clarifications. For the agency, it streamlines data entry, reduces errors, and accelerates the analysis process.</w:t>
      </w:r>
    </w:p>
    <w:p w:rsidR="006D4664" w:rsidRPr="0042467E" w:rsidP="00041486">
      <w:pPr>
        <w:pStyle w:val="NormalWeb"/>
        <w:shd w:val="clear" w:color="auto" w:fill="FFFFFF"/>
        <w:spacing w:after="240"/>
        <w:jc w:val="both"/>
        <w:rPr>
          <w:color w:val="242424"/>
        </w:rPr>
      </w:pPr>
      <w:r w:rsidRPr="0042467E">
        <w:rPr>
          <w:color w:val="242424"/>
        </w:rPr>
        <w:t>We estimate that approximately 90-95% of the interviews will be conducted using electronic devices, with the remaining 5-10% potentially conducted via paper forms in cases of respondent preference.</w:t>
      </w:r>
    </w:p>
    <w:p w:rsidR="00A01CF7" w:rsidRPr="0042467E" w:rsidP="005D6A68">
      <w:pPr>
        <w:pStyle w:val="NormalWeb"/>
        <w:shd w:val="clear" w:color="auto" w:fill="FFFFFF"/>
        <w:spacing w:after="240"/>
        <w:jc w:val="both"/>
        <w:rPr>
          <w:color w:val="242424"/>
        </w:rPr>
      </w:pPr>
      <w:r w:rsidRPr="007F1D88">
        <w:rPr>
          <w:color w:val="242424"/>
        </w:rPr>
        <w:t>The selected</w:t>
      </w:r>
      <w:r w:rsidRPr="007F1D88" w:rsidR="00DC3CE8">
        <w:rPr>
          <w:color w:val="242424"/>
        </w:rPr>
        <w:t xml:space="preserve"> contractor</w:t>
      </w:r>
      <w:r w:rsidRPr="007F1D88">
        <w:rPr>
          <w:color w:val="242424"/>
        </w:rPr>
        <w:t xml:space="preserve"> (to be determined)</w:t>
      </w:r>
      <w:r w:rsidRPr="007F1D88" w:rsidR="00DC3CE8">
        <w:rPr>
          <w:color w:val="242424"/>
        </w:rPr>
        <w:t xml:space="preserve"> will administer this OMB-approved survey online, likely using commercially available software like Qualtrics. </w:t>
      </w:r>
      <w:r w:rsidRPr="007F1D88">
        <w:rPr>
          <w:color w:val="242424"/>
        </w:rPr>
        <w:t xml:space="preserve">Most </w:t>
      </w:r>
      <w:r w:rsidRPr="007F1D88" w:rsidR="00DC3CE8">
        <w:rPr>
          <w:color w:val="242424"/>
        </w:rPr>
        <w:t xml:space="preserve">IFQ participants, who are generally comfortable with </w:t>
      </w:r>
      <w:r w:rsidRPr="007F1D88" w:rsidR="00936EC6">
        <w:rPr>
          <w:color w:val="242424"/>
        </w:rPr>
        <w:t xml:space="preserve">internet </w:t>
      </w:r>
      <w:r w:rsidRPr="007F1D88" w:rsidR="00DC3CE8">
        <w:rPr>
          <w:color w:val="242424"/>
        </w:rPr>
        <w:t>technology</w:t>
      </w:r>
      <w:r w:rsidRPr="007F1D88">
        <w:rPr>
          <w:color w:val="242424"/>
        </w:rPr>
        <w:t xml:space="preserve"> because they report their IFQ transactions online</w:t>
      </w:r>
      <w:r w:rsidRPr="007F1D88" w:rsidR="00DC3CE8">
        <w:rPr>
          <w:color w:val="242424"/>
        </w:rPr>
        <w:t>, will complete the</w:t>
      </w:r>
      <w:r w:rsidRPr="007F1D88" w:rsidR="00936EC6">
        <w:rPr>
          <w:color w:val="242424"/>
        </w:rPr>
        <w:t xml:space="preserve"> online</w:t>
      </w:r>
      <w:r w:rsidRPr="007F1D88" w:rsidR="00DC3CE8">
        <w:rPr>
          <w:color w:val="242424"/>
        </w:rPr>
        <w:t xml:space="preserve"> survey using a unique login. When possible, the contractor will use skip logic to shorten the survey by removing unnecessary questions, leading to higher completion rates and </w:t>
      </w:r>
      <w:r w:rsidRPr="007F1D88" w:rsidR="00EB1440">
        <w:rPr>
          <w:color w:val="242424"/>
        </w:rPr>
        <w:t>more responses that are thoughtful</w:t>
      </w:r>
      <w:r w:rsidRPr="007F1D88" w:rsidR="00DC3CE8">
        <w:rPr>
          <w:color w:val="242424"/>
        </w:rPr>
        <w:t xml:space="preserve">. </w:t>
      </w:r>
      <w:r w:rsidRPr="007F1D88" w:rsidR="007F1D88">
        <w:t>This approach will reduce respondent fatigue and improve the overall quality of the data collected.</w:t>
      </w:r>
      <w:r w:rsidR="007F1D88">
        <w:rPr>
          <w:color w:val="242424"/>
        </w:rPr>
        <w:t xml:space="preserve"> </w:t>
      </w:r>
      <w:r w:rsidRPr="0042467E" w:rsidR="00DC3CE8">
        <w:rPr>
          <w:color w:val="242424"/>
        </w:rPr>
        <w:t>If participants prefer not to complete the survey online, a hard copy will be mailed to them with a pre-paid return envelope.</w:t>
      </w:r>
      <w:r w:rsidRPr="0042467E" w:rsidR="005D6A68">
        <w:rPr>
          <w:color w:val="242424"/>
        </w:rPr>
        <w:t xml:space="preserve"> </w:t>
      </w:r>
    </w:p>
    <w:p w:rsidR="00DC3CE8" w:rsidRPr="0042467E" w:rsidP="00A01CF7">
      <w:pPr>
        <w:pStyle w:val="NormalWeb"/>
        <w:shd w:val="clear" w:color="auto" w:fill="FFFFFF"/>
        <w:spacing w:before="0" w:beforeAutospacing="0" w:after="240" w:afterAutospacing="0"/>
        <w:jc w:val="both"/>
        <w:rPr>
          <w:color w:val="242424"/>
        </w:rPr>
      </w:pPr>
      <w:r w:rsidRPr="0042467E">
        <w:rPr>
          <w:color w:val="242424"/>
        </w:rPr>
        <w:t xml:space="preserve">We also plan to make the OMB-approved survey instrument available online on NMFS websites for outreach and information purposes. A report summarizing the aggregated results will be available on NMFS and </w:t>
      </w:r>
      <w:r w:rsidR="00F83830">
        <w:rPr>
          <w:color w:val="242424"/>
        </w:rPr>
        <w:t xml:space="preserve">the regional </w:t>
      </w:r>
      <w:r w:rsidR="00D747B9">
        <w:rPr>
          <w:color w:val="242424"/>
        </w:rPr>
        <w:t>FMC</w:t>
      </w:r>
      <w:r w:rsidRPr="0042467E">
        <w:rPr>
          <w:color w:val="242424"/>
        </w:rPr>
        <w:t xml:space="preserve"> websites once data collection and analysis are completed.</w:t>
      </w:r>
    </w:p>
    <w:p w:rsidR="00D26FDD" w:rsidRPr="0042467E" w:rsidP="001F1B81">
      <w:pPr>
        <w:pStyle w:val="NormalWeb"/>
        <w:shd w:val="clear" w:color="auto" w:fill="FFFFFF"/>
        <w:spacing w:after="240"/>
        <w:jc w:val="both"/>
        <w:rPr>
          <w:color w:val="242424"/>
        </w:rPr>
      </w:pPr>
      <w:r w:rsidRPr="0042467E">
        <w:rPr>
          <w:color w:val="242424"/>
        </w:rPr>
        <w:t>This approach to data collection aligns with the Government Paperwork Elimination Act (GPEA) by</w:t>
      </w:r>
      <w:r w:rsidRPr="0042467E" w:rsidR="001F1B81">
        <w:rPr>
          <w:color w:val="242424"/>
        </w:rPr>
        <w:t xml:space="preserve"> </w:t>
      </w:r>
      <w:r w:rsidRPr="0042467E">
        <w:rPr>
          <w:color w:val="242424"/>
        </w:rPr>
        <w:t xml:space="preserve">leveraging electronic methods where feasible while acknowledging </w:t>
      </w:r>
      <w:r w:rsidRPr="0042467E" w:rsidR="001F1B81">
        <w:rPr>
          <w:color w:val="242424"/>
        </w:rPr>
        <w:t xml:space="preserve">that some respondents may select </w:t>
      </w:r>
      <w:r w:rsidRPr="0042467E" w:rsidR="00EB1440">
        <w:rPr>
          <w:color w:val="242424"/>
        </w:rPr>
        <w:t>hard copies</w:t>
      </w:r>
      <w:r w:rsidRPr="0042467E" w:rsidR="001F1B81">
        <w:rPr>
          <w:color w:val="242424"/>
        </w:rPr>
        <w:t xml:space="preserve"> of the survey as their preferred option.</w:t>
      </w:r>
    </w:p>
    <w:p w:rsidR="00D67C05" w:rsidRPr="0042467E" w:rsidP="00F560BC">
      <w:pPr>
        <w:pBdr>
          <w:top w:val="nil"/>
          <w:left w:val="nil"/>
          <w:bottom w:val="nil"/>
          <w:right w:val="nil"/>
          <w:between w:val="nil"/>
        </w:pBdr>
        <w:spacing w:before="3"/>
        <w:rPr>
          <w:color w:val="000000"/>
          <w:sz w:val="24"/>
          <w:szCs w:val="24"/>
        </w:rPr>
      </w:pPr>
    </w:p>
    <w:p w:rsidR="00D67C05" w:rsidRPr="0042467E" w:rsidP="00295314">
      <w:pPr>
        <w:pStyle w:val="Heading1"/>
        <w:numPr>
          <w:ilvl w:val="0"/>
          <w:numId w:val="15"/>
        </w:numPr>
        <w:tabs>
          <w:tab w:val="left" w:pos="1320"/>
        </w:tabs>
      </w:pPr>
      <w:r w:rsidRPr="0042467E">
        <w:t xml:space="preserve">Describe efforts to identify duplication. </w:t>
      </w:r>
      <w:r w:rsidRPr="0042467E">
        <w:rPr>
          <w:color w:val="000000"/>
        </w:rPr>
        <w:t>Show specifically why any similar information already available cannot be used or modified for use for the purposes described in Question 2.</w:t>
      </w:r>
    </w:p>
    <w:p w:rsidR="00295314" w:rsidRPr="0042467E" w:rsidP="00F560BC">
      <w:pPr>
        <w:pBdr>
          <w:top w:val="nil"/>
          <w:left w:val="nil"/>
          <w:bottom w:val="nil"/>
          <w:right w:val="nil"/>
          <w:between w:val="nil"/>
        </w:pBdr>
        <w:spacing w:before="9"/>
        <w:rPr>
          <w:color w:val="000000"/>
          <w:sz w:val="24"/>
          <w:szCs w:val="24"/>
        </w:rPr>
      </w:pPr>
    </w:p>
    <w:p w:rsidR="00295314" w:rsidRPr="0042467E" w:rsidP="00295314">
      <w:pPr>
        <w:pBdr>
          <w:top w:val="nil"/>
          <w:left w:val="nil"/>
          <w:bottom w:val="nil"/>
          <w:right w:val="nil"/>
          <w:between w:val="nil"/>
        </w:pBdr>
        <w:spacing w:before="9"/>
        <w:jc w:val="both"/>
        <w:rPr>
          <w:color w:val="242424"/>
          <w:sz w:val="24"/>
          <w:szCs w:val="24"/>
          <w:shd w:val="clear" w:color="auto" w:fill="FFFFFF"/>
        </w:rPr>
      </w:pPr>
      <w:r w:rsidRPr="0042467E">
        <w:rPr>
          <w:color w:val="242424"/>
          <w:sz w:val="24"/>
          <w:szCs w:val="24"/>
          <w:shd w:val="clear" w:color="auto" w:fill="FFFFFF"/>
        </w:rPr>
        <w:t>We are unaware of any other data collection efforts that would duplicate our</w:t>
      </w:r>
      <w:r w:rsidRPr="0042467E" w:rsidR="00C72F53">
        <w:rPr>
          <w:color w:val="242424"/>
          <w:sz w:val="24"/>
          <w:szCs w:val="24"/>
          <w:shd w:val="clear" w:color="auto" w:fill="FFFFFF"/>
        </w:rPr>
        <w:t xml:space="preserve"> proposed</w:t>
      </w:r>
      <w:r w:rsidRPr="0042467E">
        <w:rPr>
          <w:color w:val="242424"/>
          <w:sz w:val="24"/>
          <w:szCs w:val="24"/>
          <w:shd w:val="clear" w:color="auto" w:fill="FFFFFF"/>
        </w:rPr>
        <w:t xml:space="preserve"> work. However, we acknowledge previous evaluations of the IFQ program. For instance, Tokotch et al. (2012) conducted a mail-out survey to document the perceptions of fishers, seafood wholesalers, fisheries managers, and academics r</w:t>
      </w:r>
      <w:r w:rsidR="00D747B9">
        <w:rPr>
          <w:color w:val="242424"/>
          <w:sz w:val="24"/>
          <w:szCs w:val="24"/>
          <w:shd w:val="clear" w:color="auto" w:fill="FFFFFF"/>
        </w:rPr>
        <w:t xml:space="preserve">egarding the (northern) </w:t>
      </w:r>
      <w:r w:rsidR="00EB1440">
        <w:rPr>
          <w:color w:val="242424"/>
          <w:sz w:val="24"/>
          <w:szCs w:val="24"/>
          <w:shd w:val="clear" w:color="auto" w:fill="FFFFFF"/>
        </w:rPr>
        <w:t xml:space="preserve">Gulf </w:t>
      </w:r>
      <w:r w:rsidRPr="0042467E" w:rsidR="00EB1440">
        <w:rPr>
          <w:color w:val="242424"/>
          <w:sz w:val="24"/>
          <w:szCs w:val="24"/>
          <w:shd w:val="clear" w:color="auto" w:fill="FFFFFF"/>
        </w:rPr>
        <w:t>grouper</w:t>
      </w:r>
      <w:r w:rsidRPr="0042467E">
        <w:rPr>
          <w:color w:val="242424"/>
          <w:sz w:val="24"/>
          <w:szCs w:val="24"/>
          <w:shd w:val="clear" w:color="auto" w:fill="FFFFFF"/>
        </w:rPr>
        <w:t xml:space="preserve"> and tilefish IFQ program at its inception in 2010. Similarly, Griffith et al. (2016) assessed the socio-economic performance of the grouper and tilefish IFQ program using various methods, including windshield surveys and in-person interviews. Unfortunately, these studies are now outdated and do not address recent management concerns such as those discussed in Question 2 (e.g., transactional transparency, </w:t>
      </w:r>
      <w:r w:rsidRPr="0042467E" w:rsidR="00C72F53">
        <w:rPr>
          <w:color w:val="242424"/>
          <w:sz w:val="24"/>
          <w:szCs w:val="24"/>
          <w:shd w:val="clear" w:color="auto" w:fill="FFFFFF"/>
        </w:rPr>
        <w:t>barriers to entry and participation</w:t>
      </w:r>
      <w:r w:rsidRPr="0042467E">
        <w:rPr>
          <w:color w:val="242424"/>
          <w:sz w:val="24"/>
          <w:szCs w:val="24"/>
          <w:shd w:val="clear" w:color="auto" w:fill="FFFFFF"/>
        </w:rPr>
        <w:t xml:space="preserve">, </w:t>
      </w:r>
      <w:r w:rsidRPr="0042467E" w:rsidR="00C72F53">
        <w:rPr>
          <w:color w:val="242424"/>
          <w:sz w:val="24"/>
          <w:szCs w:val="24"/>
          <w:shd w:val="clear" w:color="auto" w:fill="FFFFFF"/>
        </w:rPr>
        <w:t xml:space="preserve">extent of </w:t>
      </w:r>
      <w:r w:rsidRPr="0042467E">
        <w:rPr>
          <w:color w:val="242424"/>
          <w:sz w:val="24"/>
          <w:szCs w:val="24"/>
          <w:shd w:val="clear" w:color="auto" w:fill="FFFFFF"/>
        </w:rPr>
        <w:t xml:space="preserve">vertical integration, </w:t>
      </w:r>
      <w:r w:rsidRPr="0042467E" w:rsidR="00C72F53">
        <w:rPr>
          <w:color w:val="242424"/>
          <w:sz w:val="24"/>
          <w:szCs w:val="24"/>
          <w:shd w:val="clear" w:color="auto" w:fill="FFFFFF"/>
        </w:rPr>
        <w:t xml:space="preserve">by-catch and </w:t>
      </w:r>
      <w:r w:rsidRPr="0042467E">
        <w:rPr>
          <w:color w:val="242424"/>
          <w:sz w:val="24"/>
          <w:szCs w:val="24"/>
          <w:shd w:val="clear" w:color="auto" w:fill="FFFFFF"/>
        </w:rPr>
        <w:t>discarding, etc.).</w:t>
      </w:r>
    </w:p>
    <w:p w:rsidR="00C72F53" w:rsidRPr="0042467E" w:rsidP="00295314">
      <w:pPr>
        <w:pBdr>
          <w:top w:val="nil"/>
          <w:left w:val="nil"/>
          <w:bottom w:val="nil"/>
          <w:right w:val="nil"/>
          <w:between w:val="nil"/>
        </w:pBdr>
        <w:spacing w:before="9"/>
        <w:jc w:val="both"/>
        <w:rPr>
          <w:color w:val="000000"/>
          <w:sz w:val="24"/>
          <w:szCs w:val="24"/>
        </w:rPr>
      </w:pPr>
    </w:p>
    <w:p w:rsidR="00D67C05" w:rsidRPr="0042467E" w:rsidP="00F560BC">
      <w:pPr>
        <w:pBdr>
          <w:top w:val="nil"/>
          <w:left w:val="nil"/>
          <w:bottom w:val="nil"/>
          <w:right w:val="nil"/>
          <w:between w:val="nil"/>
        </w:pBdr>
        <w:spacing w:before="9"/>
        <w:rPr>
          <w:sz w:val="24"/>
          <w:szCs w:val="24"/>
        </w:rPr>
      </w:pPr>
    </w:p>
    <w:p w:rsidR="00D67C05" w:rsidRPr="0042467E" w:rsidP="00F560BC">
      <w:pPr>
        <w:pStyle w:val="Heading1"/>
        <w:numPr>
          <w:ilvl w:val="0"/>
          <w:numId w:val="15"/>
        </w:numPr>
        <w:tabs>
          <w:tab w:val="left" w:pos="1320"/>
        </w:tabs>
      </w:pPr>
      <w:r w:rsidRPr="0042467E">
        <w:t>If the collection of information involves small businesses or other small entities, describe the methods used to minimize burden.</w:t>
      </w:r>
    </w:p>
    <w:p w:rsidR="00D67C05" w:rsidRPr="0042467E" w:rsidP="00F560BC">
      <w:pPr>
        <w:pBdr>
          <w:top w:val="nil"/>
          <w:left w:val="nil"/>
          <w:bottom w:val="nil"/>
          <w:right w:val="nil"/>
          <w:between w:val="nil"/>
        </w:pBdr>
        <w:spacing w:before="9"/>
        <w:rPr>
          <w:b/>
          <w:color w:val="000000"/>
          <w:sz w:val="15"/>
          <w:szCs w:val="15"/>
        </w:rPr>
      </w:pPr>
    </w:p>
    <w:p w:rsidR="003C2626" w:rsidRPr="0042467E" w:rsidP="003C2626">
      <w:pPr>
        <w:pStyle w:val="NormalWeb"/>
        <w:shd w:val="clear" w:color="auto" w:fill="FFFFFF"/>
        <w:spacing w:after="240"/>
        <w:jc w:val="both"/>
        <w:rPr>
          <w:color w:val="242424"/>
        </w:rPr>
      </w:pPr>
      <w:r w:rsidRPr="0042467E">
        <w:rPr>
          <w:color w:val="242424"/>
        </w:rPr>
        <w:t>To alleviate the burden on small businesses and other small entities, NMFS will implement several strategies. First, the surveys will be voluntary, allowing small business owners to choose whether to participate based on their availability and willingness.</w:t>
      </w:r>
    </w:p>
    <w:p w:rsidR="00EA2BCB" w:rsidRPr="0042467E" w:rsidP="00EA2BCB">
      <w:pPr>
        <w:pStyle w:val="NormalWeb"/>
        <w:shd w:val="clear" w:color="auto" w:fill="FFFFFF"/>
        <w:spacing w:before="0" w:beforeAutospacing="0" w:after="240" w:afterAutospacing="0"/>
        <w:jc w:val="both"/>
        <w:rPr>
          <w:color w:val="242424"/>
        </w:rPr>
      </w:pPr>
      <w:r w:rsidRPr="0042467E">
        <w:rPr>
          <w:color w:val="242424"/>
        </w:rPr>
        <w:t xml:space="preserve">Second, the survey is designed to collect only the essential information, ensuring minimal disruption to participants' activities. Skip logic will be employed to streamline the survey flow, thereby reducing redundant questions and enhancing efficiency. Respondents will have the option to request a hardcopy of the survey if they prefer not to complete it electronically. NMFS will engage contractors with extensive experience in conducting large-scale interviews. </w:t>
      </w:r>
    </w:p>
    <w:p w:rsidR="00763AC6" w:rsidRPr="0042467E" w:rsidP="00763AC6">
      <w:pPr>
        <w:pStyle w:val="NormalWeb"/>
        <w:shd w:val="clear" w:color="auto" w:fill="FFFFFF"/>
        <w:spacing w:after="240"/>
        <w:jc w:val="both"/>
        <w:rPr>
          <w:color w:val="242424"/>
        </w:rPr>
      </w:pPr>
      <w:r w:rsidRPr="0042467E">
        <w:rPr>
          <w:color w:val="242424"/>
        </w:rPr>
        <w:t>Third, we plan to conduct a number of outreach activities (i.e., presentations) to raise awareness about the survey and its importance, which can help small business owners understand the value of their participation and potentially increase voluntary response rates.</w:t>
      </w:r>
    </w:p>
    <w:p w:rsidR="00EA2BCB" w:rsidRPr="0042467E" w:rsidP="00EA2BCB">
      <w:pPr>
        <w:pStyle w:val="NormalWeb"/>
        <w:shd w:val="clear" w:color="auto" w:fill="FFFFFF"/>
        <w:spacing w:before="0" w:beforeAutospacing="0" w:after="240" w:afterAutospacing="0"/>
        <w:jc w:val="both"/>
        <w:rPr>
          <w:color w:val="242424"/>
        </w:rPr>
      </w:pPr>
      <w:r w:rsidRPr="0042467E">
        <w:rPr>
          <w:color w:val="242424"/>
        </w:rPr>
        <w:t>By implementing these measures, NMFS aims to minimize the burden on small businesses and other small entities while ensuring the collection of high-quality data.</w:t>
      </w:r>
    </w:p>
    <w:p w:rsidR="00D67C05" w:rsidRPr="0042467E" w:rsidP="00F560BC">
      <w:pPr>
        <w:pBdr>
          <w:top w:val="nil"/>
          <w:left w:val="nil"/>
          <w:bottom w:val="nil"/>
          <w:right w:val="nil"/>
          <w:between w:val="nil"/>
        </w:pBdr>
        <w:spacing w:before="90"/>
        <w:ind w:left="1080"/>
        <w:rPr>
          <w:color w:val="000000"/>
          <w:sz w:val="24"/>
          <w:szCs w:val="24"/>
        </w:rPr>
      </w:pPr>
    </w:p>
    <w:p w:rsidR="00D67C05" w:rsidRPr="0042467E" w:rsidP="00F560BC">
      <w:pPr>
        <w:pStyle w:val="Heading1"/>
        <w:numPr>
          <w:ilvl w:val="0"/>
          <w:numId w:val="15"/>
        </w:numPr>
        <w:tabs>
          <w:tab w:val="left" w:pos="1320"/>
        </w:tabs>
        <w:spacing w:line="237" w:lineRule="auto"/>
      </w:pPr>
      <w:r w:rsidRPr="0042467E">
        <w:t>Describe the consequences to the Federal program or policy activities if the collection is not conducted or is conducted less frequently,</w:t>
      </w:r>
      <w:r w:rsidRPr="0042467E">
        <w:rPr>
          <w:color w:val="000000"/>
        </w:rPr>
        <w:t xml:space="preserve"> as well as any technical or legal obstacles to reducing burden.</w:t>
      </w:r>
    </w:p>
    <w:p w:rsidR="00D67C05" w:rsidRPr="0042467E" w:rsidP="00F560BC">
      <w:pPr>
        <w:pBdr>
          <w:top w:val="nil"/>
          <w:left w:val="nil"/>
          <w:bottom w:val="nil"/>
          <w:right w:val="nil"/>
          <w:between w:val="nil"/>
        </w:pBdr>
        <w:spacing w:before="10"/>
        <w:rPr>
          <w:b/>
          <w:color w:val="000000"/>
          <w:sz w:val="15"/>
          <w:szCs w:val="15"/>
        </w:rPr>
      </w:pPr>
    </w:p>
    <w:p w:rsidR="002B2923" w:rsidRPr="0042467E" w:rsidP="002B2923">
      <w:pPr>
        <w:pBdr>
          <w:top w:val="nil"/>
          <w:left w:val="nil"/>
          <w:bottom w:val="nil"/>
          <w:right w:val="nil"/>
          <w:between w:val="nil"/>
        </w:pBdr>
        <w:spacing w:before="90"/>
        <w:jc w:val="both"/>
        <w:rPr>
          <w:sz w:val="24"/>
          <w:szCs w:val="24"/>
        </w:rPr>
      </w:pPr>
      <w:r w:rsidRPr="0042467E">
        <w:rPr>
          <w:sz w:val="24"/>
          <w:szCs w:val="24"/>
        </w:rPr>
        <w:t xml:space="preserve">Failing to conduct this data collection or reducing its frequency would have numerous adverse </w:t>
      </w:r>
      <w:r w:rsidRPr="0042467E">
        <w:rPr>
          <w:sz w:val="24"/>
          <w:szCs w:val="24"/>
        </w:rPr>
        <w:t xml:space="preserve">effects on the management of fisheries resources. It would significantly impair the ability of NMFS and the </w:t>
      </w:r>
      <w:r w:rsidR="00F83830">
        <w:rPr>
          <w:sz w:val="24"/>
          <w:szCs w:val="24"/>
        </w:rPr>
        <w:t xml:space="preserve">regional </w:t>
      </w:r>
      <w:r w:rsidR="00D747B9">
        <w:rPr>
          <w:sz w:val="24"/>
          <w:szCs w:val="24"/>
        </w:rPr>
        <w:t>FMC</w:t>
      </w:r>
      <w:r w:rsidRPr="0042467E">
        <w:rPr>
          <w:sz w:val="24"/>
          <w:szCs w:val="24"/>
        </w:rPr>
        <w:t xml:space="preserve"> to effectively monitor and assess the performance of the RS and GT IFQ programs</w:t>
      </w:r>
      <w:r w:rsidRPr="0042467E" w:rsidR="008A1E1C">
        <w:rPr>
          <w:sz w:val="24"/>
          <w:szCs w:val="24"/>
        </w:rPr>
        <w:t>, which was mandated by Congress</w:t>
      </w:r>
      <w:r w:rsidRPr="0042467E">
        <w:rPr>
          <w:sz w:val="24"/>
          <w:szCs w:val="24"/>
        </w:rPr>
        <w:t xml:space="preserve">. </w:t>
      </w:r>
    </w:p>
    <w:p w:rsidR="00D67C05" w:rsidRPr="0042467E" w:rsidP="002B2923">
      <w:pPr>
        <w:pBdr>
          <w:top w:val="nil"/>
          <w:left w:val="nil"/>
          <w:bottom w:val="nil"/>
          <w:right w:val="nil"/>
          <w:between w:val="nil"/>
        </w:pBdr>
        <w:spacing w:before="90"/>
        <w:jc w:val="both"/>
        <w:rPr>
          <w:sz w:val="24"/>
          <w:szCs w:val="24"/>
        </w:rPr>
      </w:pPr>
      <w:r w:rsidRPr="0042467E">
        <w:rPr>
          <w:sz w:val="24"/>
          <w:szCs w:val="24"/>
        </w:rPr>
        <w:t xml:space="preserve">Moreover, inadequate data collection could lead to non-compliance with Congressional acts like the MSA, potentially triggering a cascade of consequences. Legal challenges from stakeholders might </w:t>
      </w:r>
      <w:r w:rsidRPr="0042467E" w:rsidR="008A1E1C">
        <w:rPr>
          <w:sz w:val="24"/>
          <w:szCs w:val="24"/>
        </w:rPr>
        <w:t xml:space="preserve">also </w:t>
      </w:r>
      <w:r w:rsidRPr="0042467E">
        <w:rPr>
          <w:sz w:val="24"/>
          <w:szCs w:val="24"/>
        </w:rPr>
        <w:t xml:space="preserve">arise, resulting in court-ordered actions or injunctions. </w:t>
      </w:r>
      <w:r w:rsidRPr="0042467E" w:rsidR="008A1E1C">
        <w:rPr>
          <w:sz w:val="24"/>
          <w:szCs w:val="24"/>
        </w:rPr>
        <w:t xml:space="preserve">NMFS </w:t>
      </w:r>
      <w:r w:rsidRPr="0042467E">
        <w:rPr>
          <w:sz w:val="24"/>
          <w:szCs w:val="24"/>
        </w:rPr>
        <w:t>could face increased Congressional oversight, including hearings and</w:t>
      </w:r>
      <w:r w:rsidRPr="0042467E" w:rsidR="00270386">
        <w:rPr>
          <w:sz w:val="24"/>
          <w:szCs w:val="24"/>
        </w:rPr>
        <w:t xml:space="preserve"> required make operational </w:t>
      </w:r>
      <w:r w:rsidRPr="0042467E" w:rsidR="00EB1440">
        <w:rPr>
          <w:sz w:val="24"/>
          <w:szCs w:val="24"/>
        </w:rPr>
        <w:t>changes to</w:t>
      </w:r>
      <w:r w:rsidRPr="0042467E" w:rsidR="00270386">
        <w:rPr>
          <w:sz w:val="24"/>
          <w:szCs w:val="24"/>
        </w:rPr>
        <w:t xml:space="preserve"> ensure compliance with mandated responsibilities</w:t>
      </w:r>
      <w:r w:rsidRPr="0042467E">
        <w:rPr>
          <w:sz w:val="24"/>
          <w:szCs w:val="24"/>
        </w:rPr>
        <w:t>. Public trust might</w:t>
      </w:r>
      <w:r w:rsidRPr="0042467E" w:rsidR="008A1E1C">
        <w:rPr>
          <w:sz w:val="24"/>
          <w:szCs w:val="24"/>
        </w:rPr>
        <w:t xml:space="preserve"> also</w:t>
      </w:r>
      <w:r w:rsidRPr="0042467E">
        <w:rPr>
          <w:sz w:val="24"/>
          <w:szCs w:val="24"/>
        </w:rPr>
        <w:t xml:space="preserve"> erode, leading to heightened political scrutiny. Ultimately, this could compromise the agencies' ability to fulfill their mandated responsibilities and maintain the health and sustainability of marine ecosystems.</w:t>
      </w:r>
    </w:p>
    <w:p w:rsidR="00D67C05" w:rsidRPr="0042467E" w:rsidP="00F560BC">
      <w:pPr>
        <w:pBdr>
          <w:top w:val="nil"/>
          <w:left w:val="nil"/>
          <w:bottom w:val="nil"/>
          <w:right w:val="nil"/>
          <w:between w:val="nil"/>
        </w:pBdr>
        <w:spacing w:before="10"/>
        <w:rPr>
          <w:b/>
          <w:sz w:val="15"/>
          <w:szCs w:val="15"/>
        </w:rPr>
      </w:pPr>
    </w:p>
    <w:p w:rsidR="00D67C05" w:rsidRPr="0042467E" w:rsidP="00F560BC">
      <w:pPr>
        <w:numPr>
          <w:ilvl w:val="0"/>
          <w:numId w:val="11"/>
        </w:numPr>
        <w:pBdr>
          <w:top w:val="nil"/>
          <w:left w:val="nil"/>
          <w:bottom w:val="nil"/>
          <w:right w:val="nil"/>
          <w:between w:val="nil"/>
        </w:pBdr>
        <w:tabs>
          <w:tab w:val="left" w:pos="360"/>
        </w:tabs>
        <w:spacing w:before="80"/>
        <w:rPr>
          <w:b/>
          <w:sz w:val="24"/>
          <w:szCs w:val="24"/>
        </w:rPr>
      </w:pPr>
      <w:r w:rsidRPr="0042467E">
        <w:rPr>
          <w:b/>
          <w:sz w:val="24"/>
          <w:szCs w:val="24"/>
        </w:rPr>
        <w:t xml:space="preserve">Explain any special circumstances that would cause an information collection to be conducted in a manner: </w:t>
      </w:r>
    </w:p>
    <w:p w:rsidR="00CC198E" w:rsidRPr="0042467E" w:rsidP="00CC198E">
      <w:pPr>
        <w:pBdr>
          <w:top w:val="nil"/>
          <w:left w:val="nil"/>
          <w:bottom w:val="nil"/>
          <w:right w:val="nil"/>
          <w:between w:val="nil"/>
        </w:pBdr>
        <w:rPr>
          <w:sz w:val="24"/>
          <w:szCs w:val="24"/>
        </w:rPr>
      </w:pPr>
    </w:p>
    <w:p w:rsidR="00BF1B36" w:rsidRPr="0042467E" w:rsidP="00684770">
      <w:pPr>
        <w:pBdr>
          <w:top w:val="nil"/>
          <w:left w:val="nil"/>
          <w:bottom w:val="nil"/>
          <w:right w:val="nil"/>
          <w:between w:val="nil"/>
        </w:pBdr>
        <w:jc w:val="both"/>
        <w:rPr>
          <w:sz w:val="24"/>
          <w:szCs w:val="24"/>
        </w:rPr>
      </w:pPr>
      <w:r w:rsidRPr="0042467E">
        <w:rPr>
          <w:sz w:val="24"/>
          <w:szCs w:val="24"/>
        </w:rPr>
        <w:t>This information collection does not involve any special circumstances that would cause it to be</w:t>
      </w:r>
      <w:r>
        <w:rPr>
          <w:sz w:val="24"/>
          <w:szCs w:val="24"/>
        </w:rPr>
        <w:t xml:space="preserve"> </w:t>
      </w:r>
      <w:r w:rsidRPr="0042467E">
        <w:rPr>
          <w:sz w:val="24"/>
          <w:szCs w:val="24"/>
        </w:rPr>
        <w:t>conducted in a manner inconsistent with OMB guidelines with the exception of the race and ethnicity</w:t>
      </w:r>
      <w:r w:rsidRPr="0042467E" w:rsidR="00B061B3">
        <w:rPr>
          <w:sz w:val="24"/>
          <w:szCs w:val="24"/>
        </w:rPr>
        <w:t xml:space="preserve"> </w:t>
      </w:r>
      <w:r w:rsidRPr="0042467E">
        <w:rPr>
          <w:sz w:val="24"/>
          <w:szCs w:val="24"/>
        </w:rPr>
        <w:t>question.</w:t>
      </w:r>
    </w:p>
    <w:p w:rsidR="00B061B3" w:rsidRPr="0042467E" w:rsidP="00684770">
      <w:pPr>
        <w:pBdr>
          <w:top w:val="nil"/>
          <w:left w:val="nil"/>
          <w:bottom w:val="nil"/>
          <w:right w:val="nil"/>
          <w:between w:val="nil"/>
        </w:pBdr>
        <w:jc w:val="both"/>
        <w:rPr>
          <w:sz w:val="24"/>
          <w:szCs w:val="24"/>
        </w:rPr>
      </w:pPr>
    </w:p>
    <w:p w:rsidR="00BF1B36" w:rsidRPr="0042467E" w:rsidP="00684770">
      <w:pPr>
        <w:pBdr>
          <w:top w:val="nil"/>
          <w:left w:val="nil"/>
          <w:bottom w:val="nil"/>
          <w:right w:val="nil"/>
          <w:between w:val="nil"/>
        </w:pBdr>
        <w:jc w:val="both"/>
        <w:rPr>
          <w:sz w:val="24"/>
          <w:szCs w:val="24"/>
        </w:rPr>
      </w:pPr>
      <w:r w:rsidRPr="0042467E">
        <w:rPr>
          <w:sz w:val="24"/>
          <w:szCs w:val="24"/>
        </w:rPr>
        <w:t>The decision to use the minimum categories only for race and ethnicity data collection is based on the</w:t>
      </w:r>
      <w:r w:rsidRPr="0042467E" w:rsidR="00B061B3">
        <w:rPr>
          <w:sz w:val="24"/>
          <w:szCs w:val="24"/>
        </w:rPr>
        <w:t xml:space="preserve"> </w:t>
      </w:r>
      <w:r w:rsidRPr="0042467E">
        <w:rPr>
          <w:sz w:val="24"/>
          <w:szCs w:val="24"/>
        </w:rPr>
        <w:t>following considerations:</w:t>
      </w:r>
    </w:p>
    <w:p w:rsidR="00B061B3" w:rsidRPr="0042467E" w:rsidP="00684770">
      <w:pPr>
        <w:pBdr>
          <w:top w:val="nil"/>
          <w:left w:val="nil"/>
          <w:bottom w:val="nil"/>
          <w:right w:val="nil"/>
          <w:between w:val="nil"/>
        </w:pBdr>
        <w:jc w:val="both"/>
        <w:rPr>
          <w:sz w:val="24"/>
          <w:szCs w:val="24"/>
        </w:rPr>
      </w:pPr>
    </w:p>
    <w:p w:rsidR="00BF1B36" w:rsidRPr="0042467E" w:rsidP="00684770">
      <w:pPr>
        <w:pBdr>
          <w:top w:val="nil"/>
          <w:left w:val="nil"/>
          <w:bottom w:val="nil"/>
          <w:right w:val="nil"/>
          <w:between w:val="nil"/>
        </w:pBdr>
        <w:jc w:val="both"/>
        <w:rPr>
          <w:sz w:val="24"/>
          <w:szCs w:val="24"/>
        </w:rPr>
      </w:pPr>
      <w:r w:rsidRPr="0042467E">
        <w:rPr>
          <w:sz w:val="24"/>
          <w:szCs w:val="24"/>
        </w:rPr>
        <w:t>a) Limited space on forms: The compact nature of Figure 3 (in Updated Required Statistical</w:t>
      </w:r>
      <w:r>
        <w:rPr>
          <w:sz w:val="24"/>
          <w:szCs w:val="24"/>
        </w:rPr>
        <w:t xml:space="preserve"> </w:t>
      </w:r>
      <w:r w:rsidRPr="0042467E">
        <w:rPr>
          <w:sz w:val="24"/>
          <w:szCs w:val="24"/>
        </w:rPr>
        <w:t>Directive No. 15: Standards for Maintaining, Collecting, and Presenting Federal Data on Race</w:t>
      </w:r>
      <w:r>
        <w:rPr>
          <w:sz w:val="24"/>
          <w:szCs w:val="24"/>
        </w:rPr>
        <w:t xml:space="preserve"> a</w:t>
      </w:r>
      <w:r w:rsidRPr="0042467E">
        <w:rPr>
          <w:sz w:val="24"/>
          <w:szCs w:val="24"/>
        </w:rPr>
        <w:t>nd Ethnicity for Data Elements) makes it suitable for forms where space</w:t>
      </w:r>
      <w:r>
        <w:rPr>
          <w:sz w:val="24"/>
          <w:szCs w:val="24"/>
        </w:rPr>
        <w:t xml:space="preserve"> </w:t>
      </w:r>
      <w:r w:rsidRPr="0042467E">
        <w:rPr>
          <w:sz w:val="24"/>
          <w:szCs w:val="24"/>
        </w:rPr>
        <w:t>is at a premium, allowing for efficient data collection without compromising the overall design</w:t>
      </w:r>
      <w:r>
        <w:rPr>
          <w:sz w:val="24"/>
          <w:szCs w:val="24"/>
        </w:rPr>
        <w:t xml:space="preserve"> </w:t>
      </w:r>
      <w:r w:rsidRPr="0042467E">
        <w:rPr>
          <w:sz w:val="24"/>
          <w:szCs w:val="24"/>
        </w:rPr>
        <w:t>in addition, readability of the document.</w:t>
      </w:r>
    </w:p>
    <w:p w:rsidR="00B061B3" w:rsidRPr="0042467E" w:rsidP="00684770">
      <w:pPr>
        <w:pBdr>
          <w:top w:val="nil"/>
          <w:left w:val="nil"/>
          <w:bottom w:val="nil"/>
          <w:right w:val="nil"/>
          <w:between w:val="nil"/>
        </w:pBdr>
        <w:jc w:val="both"/>
        <w:rPr>
          <w:sz w:val="24"/>
          <w:szCs w:val="24"/>
        </w:rPr>
      </w:pPr>
    </w:p>
    <w:p w:rsidR="00BF1B36" w:rsidRPr="0042467E" w:rsidP="00684770">
      <w:pPr>
        <w:pBdr>
          <w:top w:val="nil"/>
          <w:left w:val="nil"/>
          <w:bottom w:val="nil"/>
          <w:right w:val="nil"/>
          <w:between w:val="nil"/>
        </w:pBdr>
        <w:jc w:val="both"/>
        <w:rPr>
          <w:sz w:val="24"/>
          <w:szCs w:val="24"/>
        </w:rPr>
      </w:pPr>
      <w:r w:rsidRPr="0042467E">
        <w:rPr>
          <w:sz w:val="24"/>
          <w:szCs w:val="24"/>
        </w:rPr>
        <w:t>b) Reduced respondent burden: By presenting only the minimum categories, we minimize the time</w:t>
      </w:r>
      <w:r w:rsidRPr="0042467E" w:rsidR="00B061B3">
        <w:rPr>
          <w:sz w:val="24"/>
          <w:szCs w:val="24"/>
        </w:rPr>
        <w:t xml:space="preserve"> </w:t>
      </w:r>
      <w:r w:rsidRPr="0042467E">
        <w:rPr>
          <w:sz w:val="24"/>
          <w:szCs w:val="24"/>
        </w:rPr>
        <w:t>and cognitive load required for respondents to complete the question, potentially increasing</w:t>
      </w:r>
      <w:r>
        <w:rPr>
          <w:sz w:val="24"/>
          <w:szCs w:val="24"/>
        </w:rPr>
        <w:t xml:space="preserve"> </w:t>
      </w:r>
      <w:r w:rsidRPr="0042467E">
        <w:rPr>
          <w:sz w:val="24"/>
          <w:szCs w:val="24"/>
        </w:rPr>
        <w:t>response rates and data quality.</w:t>
      </w:r>
    </w:p>
    <w:p w:rsidR="00B061B3" w:rsidRPr="0042467E" w:rsidP="00684770">
      <w:pPr>
        <w:pBdr>
          <w:top w:val="nil"/>
          <w:left w:val="nil"/>
          <w:bottom w:val="nil"/>
          <w:right w:val="nil"/>
          <w:between w:val="nil"/>
        </w:pBdr>
        <w:jc w:val="both"/>
        <w:rPr>
          <w:sz w:val="24"/>
          <w:szCs w:val="24"/>
        </w:rPr>
      </w:pPr>
    </w:p>
    <w:p w:rsidR="00BF1B36" w:rsidRPr="0042467E" w:rsidP="00684770">
      <w:pPr>
        <w:pBdr>
          <w:top w:val="nil"/>
          <w:left w:val="nil"/>
          <w:bottom w:val="nil"/>
          <w:right w:val="nil"/>
          <w:between w:val="nil"/>
        </w:pBdr>
        <w:jc w:val="both"/>
        <w:rPr>
          <w:sz w:val="24"/>
          <w:szCs w:val="24"/>
        </w:rPr>
      </w:pPr>
      <w:r w:rsidRPr="0042467E">
        <w:rPr>
          <w:sz w:val="24"/>
          <w:szCs w:val="24"/>
        </w:rPr>
        <w:t>c) Focus on core demographic information</w:t>
      </w:r>
      <w:r w:rsidRPr="0042467E" w:rsidR="00EB1440">
        <w:rPr>
          <w:sz w:val="24"/>
          <w:szCs w:val="24"/>
        </w:rPr>
        <w:t>:</w:t>
      </w:r>
      <w:r w:rsidRPr="0042467E">
        <w:rPr>
          <w:sz w:val="24"/>
          <w:szCs w:val="24"/>
        </w:rPr>
        <w:t xml:space="preserve"> applications, the minimum categories may</w:t>
      </w:r>
      <w:r w:rsidRPr="0042467E" w:rsidR="00B061B3">
        <w:rPr>
          <w:sz w:val="24"/>
          <w:szCs w:val="24"/>
        </w:rPr>
        <w:t xml:space="preserve"> </w:t>
      </w:r>
      <w:r w:rsidRPr="0042467E">
        <w:rPr>
          <w:sz w:val="24"/>
          <w:szCs w:val="24"/>
        </w:rPr>
        <w:t>provide sufficient information to meet program objectives without the need for more</w:t>
      </w:r>
      <w:r w:rsidRPr="0042467E" w:rsidR="00B061B3">
        <w:rPr>
          <w:sz w:val="24"/>
          <w:szCs w:val="24"/>
        </w:rPr>
        <w:t xml:space="preserve"> </w:t>
      </w:r>
      <w:r w:rsidRPr="0042467E">
        <w:rPr>
          <w:sz w:val="24"/>
          <w:szCs w:val="24"/>
        </w:rPr>
        <w:t>granular</w:t>
      </w:r>
      <w:r w:rsidRPr="0042467E" w:rsidR="00B061B3">
        <w:rPr>
          <w:sz w:val="24"/>
          <w:szCs w:val="24"/>
        </w:rPr>
        <w:t xml:space="preserve"> </w:t>
      </w:r>
      <w:r w:rsidRPr="0042467E">
        <w:rPr>
          <w:sz w:val="24"/>
          <w:szCs w:val="24"/>
        </w:rPr>
        <w:t>data.</w:t>
      </w:r>
    </w:p>
    <w:p w:rsidR="00B061B3" w:rsidRPr="0042467E" w:rsidP="00684770">
      <w:pPr>
        <w:pBdr>
          <w:top w:val="nil"/>
          <w:left w:val="nil"/>
          <w:bottom w:val="nil"/>
          <w:right w:val="nil"/>
          <w:between w:val="nil"/>
        </w:pBdr>
        <w:jc w:val="both"/>
        <w:rPr>
          <w:sz w:val="24"/>
          <w:szCs w:val="24"/>
        </w:rPr>
      </w:pPr>
    </w:p>
    <w:p w:rsidR="00BF1B36" w:rsidRPr="0042467E" w:rsidP="00684770">
      <w:pPr>
        <w:pBdr>
          <w:top w:val="nil"/>
          <w:left w:val="nil"/>
          <w:bottom w:val="nil"/>
          <w:right w:val="nil"/>
          <w:between w:val="nil"/>
        </w:pBdr>
        <w:jc w:val="both"/>
        <w:rPr>
          <w:sz w:val="24"/>
          <w:szCs w:val="24"/>
        </w:rPr>
      </w:pPr>
      <w:r w:rsidRPr="0042467E">
        <w:rPr>
          <w:sz w:val="24"/>
          <w:szCs w:val="24"/>
        </w:rPr>
        <w:t>While we recognize the value of more detailed ethnicity data, we believe that for this specific</w:t>
      </w:r>
      <w:r>
        <w:rPr>
          <w:sz w:val="24"/>
          <w:szCs w:val="24"/>
        </w:rPr>
        <w:t xml:space="preserve"> </w:t>
      </w:r>
      <w:r w:rsidRPr="0042467E">
        <w:rPr>
          <w:sz w:val="24"/>
          <w:szCs w:val="24"/>
        </w:rPr>
        <w:t>application, the benefits of using the minimum categories outweigh the potential advantages of more</w:t>
      </w:r>
      <w:r w:rsidRPr="0042467E" w:rsidR="00B061B3">
        <w:rPr>
          <w:sz w:val="24"/>
          <w:szCs w:val="24"/>
        </w:rPr>
        <w:t xml:space="preserve"> </w:t>
      </w:r>
      <w:r w:rsidRPr="0042467E">
        <w:rPr>
          <w:sz w:val="24"/>
          <w:szCs w:val="24"/>
        </w:rPr>
        <w:t>granular data collection. This approach strikes a balance between data utility and practical constraints</w:t>
      </w:r>
      <w:r w:rsidRPr="0042467E" w:rsidR="00B061B3">
        <w:rPr>
          <w:sz w:val="24"/>
          <w:szCs w:val="24"/>
        </w:rPr>
        <w:t xml:space="preserve"> </w:t>
      </w:r>
      <w:r w:rsidRPr="0042467E">
        <w:rPr>
          <w:sz w:val="24"/>
          <w:szCs w:val="24"/>
        </w:rPr>
        <w:t>while still adhering to the updated OMB standards for race and ethnicity data</w:t>
      </w:r>
      <w:r w:rsidRPr="0042467E" w:rsidR="00B061B3">
        <w:rPr>
          <w:sz w:val="24"/>
          <w:szCs w:val="24"/>
        </w:rPr>
        <w:t xml:space="preserve"> </w:t>
      </w:r>
      <w:r w:rsidRPr="0042467E">
        <w:rPr>
          <w:sz w:val="24"/>
          <w:szCs w:val="24"/>
        </w:rPr>
        <w:t>collection.</w:t>
      </w:r>
    </w:p>
    <w:p w:rsidR="00B061B3" w:rsidRPr="0042467E" w:rsidP="00684770">
      <w:pPr>
        <w:pBdr>
          <w:top w:val="nil"/>
          <w:left w:val="nil"/>
          <w:bottom w:val="nil"/>
          <w:right w:val="nil"/>
          <w:between w:val="nil"/>
        </w:pBdr>
        <w:jc w:val="both"/>
        <w:rPr>
          <w:sz w:val="24"/>
          <w:szCs w:val="24"/>
        </w:rPr>
      </w:pPr>
    </w:p>
    <w:p w:rsidR="00684770" w:rsidRPr="0042467E" w:rsidP="00684770">
      <w:pPr>
        <w:pBdr>
          <w:top w:val="nil"/>
          <w:left w:val="nil"/>
          <w:bottom w:val="nil"/>
          <w:right w:val="nil"/>
          <w:between w:val="nil"/>
        </w:pBdr>
        <w:jc w:val="both"/>
        <w:rPr>
          <w:sz w:val="24"/>
          <w:szCs w:val="24"/>
        </w:rPr>
      </w:pPr>
      <w:r w:rsidRPr="0042467E">
        <w:rPr>
          <w:sz w:val="24"/>
          <w:szCs w:val="24"/>
        </w:rPr>
        <w:t>Other than the race and ethnicity question, below find the responses to each of the eight subparts:</w:t>
      </w:r>
    </w:p>
    <w:p w:rsidR="00684770" w:rsidRPr="0042467E" w:rsidP="00684770">
      <w:pPr>
        <w:pBdr>
          <w:top w:val="nil"/>
          <w:left w:val="nil"/>
          <w:bottom w:val="nil"/>
          <w:right w:val="nil"/>
          <w:between w:val="nil"/>
        </w:pBdr>
        <w:jc w:val="both"/>
        <w:rPr>
          <w:sz w:val="24"/>
          <w:szCs w:val="24"/>
        </w:rPr>
      </w:pPr>
    </w:p>
    <w:p w:rsidR="00684770" w:rsidRPr="0042467E" w:rsidP="00684770">
      <w:pPr>
        <w:pStyle w:val="ListParagraph"/>
        <w:numPr>
          <w:ilvl w:val="0"/>
          <w:numId w:val="31"/>
        </w:numPr>
        <w:pBdr>
          <w:top w:val="nil"/>
          <w:left w:val="nil"/>
          <w:bottom w:val="nil"/>
          <w:right w:val="nil"/>
          <w:between w:val="nil"/>
        </w:pBdr>
        <w:jc w:val="both"/>
        <w:rPr>
          <w:sz w:val="24"/>
          <w:szCs w:val="24"/>
        </w:rPr>
      </w:pPr>
      <w:r w:rsidRPr="0042467E">
        <w:rPr>
          <w:sz w:val="24"/>
          <w:szCs w:val="24"/>
        </w:rPr>
        <w:t>The collection does not require respondents to report information to the agency more often than quarterly. The survey is voluntary and conducted on a one-time basis.</w:t>
      </w:r>
    </w:p>
    <w:p w:rsidR="00684770" w:rsidRPr="0042467E" w:rsidP="00684770">
      <w:pPr>
        <w:pStyle w:val="ListParagraph"/>
        <w:pBdr>
          <w:top w:val="nil"/>
          <w:left w:val="nil"/>
          <w:bottom w:val="nil"/>
          <w:right w:val="nil"/>
          <w:between w:val="nil"/>
        </w:pBdr>
        <w:ind w:left="360"/>
        <w:jc w:val="both"/>
        <w:rPr>
          <w:sz w:val="24"/>
          <w:szCs w:val="24"/>
        </w:rPr>
      </w:pPr>
    </w:p>
    <w:p w:rsidR="00684770" w:rsidRPr="0042467E" w:rsidP="00684770">
      <w:pPr>
        <w:pBdr>
          <w:top w:val="nil"/>
          <w:left w:val="nil"/>
          <w:bottom w:val="nil"/>
          <w:right w:val="nil"/>
          <w:between w:val="nil"/>
        </w:pBdr>
        <w:jc w:val="both"/>
        <w:rPr>
          <w:sz w:val="24"/>
          <w:szCs w:val="24"/>
        </w:rPr>
      </w:pPr>
      <w:r w:rsidRPr="0042467E">
        <w:rPr>
          <w:sz w:val="24"/>
          <w:szCs w:val="24"/>
        </w:rPr>
        <w:t>b) Respondents are not required to prepare a written response to the collection in fewer than 30</w:t>
      </w:r>
      <w:r>
        <w:rPr>
          <w:sz w:val="24"/>
          <w:szCs w:val="24"/>
        </w:rPr>
        <w:t xml:space="preserve"> </w:t>
      </w:r>
      <w:r w:rsidRPr="0042467E">
        <w:rPr>
          <w:sz w:val="24"/>
          <w:szCs w:val="24"/>
        </w:rPr>
        <w:t>days after receipt. The voluntary nature of the survey allows respondents to participate at their convenience.</w:t>
      </w:r>
    </w:p>
    <w:p w:rsidR="00684770" w:rsidRPr="0042467E" w:rsidP="00684770">
      <w:pPr>
        <w:pBdr>
          <w:top w:val="nil"/>
          <w:left w:val="nil"/>
          <w:bottom w:val="nil"/>
          <w:right w:val="nil"/>
          <w:between w:val="nil"/>
        </w:pBdr>
        <w:jc w:val="both"/>
        <w:rPr>
          <w:sz w:val="24"/>
          <w:szCs w:val="24"/>
        </w:rPr>
      </w:pPr>
    </w:p>
    <w:p w:rsidR="00684770" w:rsidRPr="0042467E" w:rsidP="00684770">
      <w:pPr>
        <w:pBdr>
          <w:top w:val="nil"/>
          <w:left w:val="nil"/>
          <w:bottom w:val="nil"/>
          <w:right w:val="nil"/>
          <w:between w:val="nil"/>
        </w:pBdr>
        <w:jc w:val="both"/>
        <w:rPr>
          <w:sz w:val="24"/>
          <w:szCs w:val="24"/>
        </w:rPr>
      </w:pPr>
      <w:r w:rsidRPr="0042467E">
        <w:rPr>
          <w:sz w:val="24"/>
          <w:szCs w:val="24"/>
        </w:rPr>
        <w:t>c) The collection does not require respondents to submit more than an original and two copies of</w:t>
      </w:r>
      <w:r>
        <w:rPr>
          <w:sz w:val="24"/>
          <w:szCs w:val="24"/>
        </w:rPr>
        <w:t xml:space="preserve"> </w:t>
      </w:r>
      <w:r w:rsidRPr="0042467E">
        <w:rPr>
          <w:sz w:val="24"/>
          <w:szCs w:val="24"/>
        </w:rPr>
        <w:t>any document. In fact, no document submission is required as part of this voluntary survey.</w:t>
      </w:r>
    </w:p>
    <w:p w:rsidR="00684770" w:rsidRPr="0042467E" w:rsidP="00684770">
      <w:pPr>
        <w:pBdr>
          <w:top w:val="nil"/>
          <w:left w:val="nil"/>
          <w:bottom w:val="nil"/>
          <w:right w:val="nil"/>
          <w:between w:val="nil"/>
        </w:pBdr>
        <w:jc w:val="both"/>
        <w:rPr>
          <w:sz w:val="24"/>
          <w:szCs w:val="24"/>
        </w:rPr>
      </w:pPr>
    </w:p>
    <w:p w:rsidR="00684770" w:rsidRPr="0042467E" w:rsidP="00684770">
      <w:pPr>
        <w:pBdr>
          <w:top w:val="nil"/>
          <w:left w:val="nil"/>
          <w:bottom w:val="nil"/>
          <w:right w:val="nil"/>
          <w:between w:val="nil"/>
        </w:pBdr>
        <w:jc w:val="both"/>
        <w:rPr>
          <w:sz w:val="24"/>
          <w:szCs w:val="24"/>
        </w:rPr>
      </w:pPr>
      <w:r w:rsidRPr="0042467E">
        <w:rPr>
          <w:sz w:val="24"/>
          <w:szCs w:val="24"/>
        </w:rPr>
        <w:t>d) Respondents are not required to retain records for more than three years. The survey does not</w:t>
      </w:r>
      <w:r>
        <w:rPr>
          <w:sz w:val="24"/>
          <w:szCs w:val="24"/>
        </w:rPr>
        <w:t xml:space="preserve"> </w:t>
      </w:r>
      <w:r w:rsidRPr="0042467E">
        <w:rPr>
          <w:sz w:val="24"/>
          <w:szCs w:val="24"/>
        </w:rPr>
        <w:t>involve any record retention requirements.</w:t>
      </w:r>
    </w:p>
    <w:p w:rsidR="00684770" w:rsidRPr="0042467E" w:rsidP="00684770">
      <w:pPr>
        <w:pBdr>
          <w:top w:val="nil"/>
          <w:left w:val="nil"/>
          <w:bottom w:val="nil"/>
          <w:right w:val="nil"/>
          <w:between w:val="nil"/>
        </w:pBdr>
        <w:jc w:val="both"/>
        <w:rPr>
          <w:sz w:val="24"/>
          <w:szCs w:val="24"/>
        </w:rPr>
      </w:pPr>
    </w:p>
    <w:p w:rsidR="00684770" w:rsidP="00684770">
      <w:pPr>
        <w:pBdr>
          <w:top w:val="nil"/>
          <w:left w:val="nil"/>
          <w:bottom w:val="nil"/>
          <w:right w:val="nil"/>
          <w:between w:val="nil"/>
        </w:pBdr>
        <w:jc w:val="both"/>
        <w:rPr>
          <w:sz w:val="24"/>
          <w:szCs w:val="24"/>
        </w:rPr>
      </w:pPr>
      <w:r w:rsidRPr="0042467E">
        <w:rPr>
          <w:sz w:val="24"/>
          <w:szCs w:val="24"/>
        </w:rPr>
        <w:t>e) This statistical survey is designed to produce valid and reliable results that can be generalized to the universe of study. NOAA Fisheries has ensured that the survey methodology meets scientific standards for reliability and validity.</w:t>
      </w:r>
    </w:p>
    <w:p w:rsidR="006F4F87" w:rsidRPr="0042467E" w:rsidP="00684770">
      <w:pPr>
        <w:pBdr>
          <w:top w:val="nil"/>
          <w:left w:val="nil"/>
          <w:bottom w:val="nil"/>
          <w:right w:val="nil"/>
          <w:between w:val="nil"/>
        </w:pBdr>
        <w:jc w:val="both"/>
        <w:rPr>
          <w:sz w:val="24"/>
          <w:szCs w:val="24"/>
        </w:rPr>
      </w:pPr>
    </w:p>
    <w:p w:rsidR="00684770" w:rsidRPr="0042467E" w:rsidP="00684770">
      <w:pPr>
        <w:pBdr>
          <w:top w:val="nil"/>
          <w:left w:val="nil"/>
          <w:bottom w:val="nil"/>
          <w:right w:val="nil"/>
          <w:between w:val="nil"/>
        </w:pBdr>
        <w:jc w:val="both"/>
        <w:rPr>
          <w:sz w:val="24"/>
          <w:szCs w:val="24"/>
        </w:rPr>
      </w:pPr>
      <w:r w:rsidRPr="0042467E">
        <w:rPr>
          <w:sz w:val="24"/>
          <w:szCs w:val="24"/>
        </w:rPr>
        <w:t>f) The collection uses statistical data classifications that have been reviewed and approved by OMB. No unapproved classifications are being used in this survey.</w:t>
      </w:r>
    </w:p>
    <w:p w:rsidR="00684770" w:rsidRPr="0042467E" w:rsidP="00684770">
      <w:pPr>
        <w:pBdr>
          <w:top w:val="nil"/>
          <w:left w:val="nil"/>
          <w:bottom w:val="nil"/>
          <w:right w:val="nil"/>
          <w:between w:val="nil"/>
        </w:pBdr>
        <w:jc w:val="both"/>
        <w:rPr>
          <w:sz w:val="24"/>
          <w:szCs w:val="24"/>
        </w:rPr>
      </w:pPr>
    </w:p>
    <w:p w:rsidR="00684770" w:rsidRPr="0042467E" w:rsidP="00684770">
      <w:pPr>
        <w:pBdr>
          <w:top w:val="nil"/>
          <w:left w:val="nil"/>
          <w:bottom w:val="nil"/>
          <w:right w:val="nil"/>
          <w:between w:val="nil"/>
        </w:pBdr>
        <w:jc w:val="both"/>
        <w:rPr>
          <w:sz w:val="24"/>
          <w:szCs w:val="24"/>
        </w:rPr>
      </w:pPr>
      <w:r w:rsidRPr="0042467E">
        <w:rPr>
          <w:sz w:val="24"/>
          <w:szCs w:val="24"/>
        </w:rPr>
        <w:t>g) The collection includes a pledge of confidentiality that is supported by authority established in</w:t>
      </w:r>
      <w:r>
        <w:rPr>
          <w:sz w:val="24"/>
          <w:szCs w:val="24"/>
        </w:rPr>
        <w:t xml:space="preserve"> </w:t>
      </w:r>
      <w:r w:rsidRPr="0042467E">
        <w:rPr>
          <w:sz w:val="24"/>
          <w:szCs w:val="24"/>
        </w:rPr>
        <w:t>statute or regulation, backed by disclosure and data security policies consistent with the pledge,</w:t>
      </w:r>
      <w:r>
        <w:rPr>
          <w:sz w:val="24"/>
          <w:szCs w:val="24"/>
        </w:rPr>
        <w:t xml:space="preserve"> </w:t>
      </w:r>
      <w:r w:rsidRPr="0042467E">
        <w:rPr>
          <w:sz w:val="24"/>
          <w:szCs w:val="24"/>
        </w:rPr>
        <w:t>in addition, does not unnecessarily impede sharing of data with other agencies for compatible confidential use.</w:t>
      </w:r>
    </w:p>
    <w:p w:rsidR="00684770" w:rsidRPr="0042467E" w:rsidP="00684770">
      <w:pPr>
        <w:pBdr>
          <w:top w:val="nil"/>
          <w:left w:val="nil"/>
          <w:bottom w:val="nil"/>
          <w:right w:val="nil"/>
          <w:between w:val="nil"/>
        </w:pBdr>
        <w:jc w:val="both"/>
        <w:rPr>
          <w:sz w:val="24"/>
          <w:szCs w:val="24"/>
        </w:rPr>
      </w:pPr>
    </w:p>
    <w:p w:rsidR="00394620" w:rsidRPr="0042467E" w:rsidP="00684770">
      <w:pPr>
        <w:pBdr>
          <w:top w:val="nil"/>
          <w:left w:val="nil"/>
          <w:bottom w:val="nil"/>
          <w:right w:val="nil"/>
          <w:between w:val="nil"/>
        </w:pBdr>
        <w:jc w:val="both"/>
        <w:rPr>
          <w:sz w:val="24"/>
          <w:szCs w:val="24"/>
        </w:rPr>
      </w:pPr>
      <w:r w:rsidRPr="0042467E">
        <w:rPr>
          <w:sz w:val="24"/>
          <w:szCs w:val="24"/>
        </w:rPr>
        <w:t>h) The collection does not require respondents to submit proprietary trade secrets or other confidential information. However, NOAA Fisheries has demonstrated that it has instituted procedures to protect any information</w:t>
      </w:r>
      <w:r w:rsidR="00EB1440">
        <w:rPr>
          <w:sz w:val="24"/>
          <w:szCs w:val="24"/>
        </w:rPr>
        <w:t>’s</w:t>
      </w:r>
      <w:r w:rsidRPr="0042467E">
        <w:rPr>
          <w:sz w:val="24"/>
          <w:szCs w:val="24"/>
        </w:rPr>
        <w:t xml:space="preserve"> confidentiality to the extent permitted by law.</w:t>
      </w:r>
    </w:p>
    <w:p w:rsidR="00684770" w:rsidRPr="0042467E" w:rsidP="00684770">
      <w:pPr>
        <w:pBdr>
          <w:top w:val="nil"/>
          <w:left w:val="nil"/>
          <w:bottom w:val="nil"/>
          <w:right w:val="nil"/>
          <w:between w:val="nil"/>
        </w:pBdr>
        <w:jc w:val="both"/>
        <w:rPr>
          <w:sz w:val="24"/>
          <w:szCs w:val="24"/>
        </w:rPr>
      </w:pPr>
    </w:p>
    <w:p w:rsidR="00D67C05" w:rsidRPr="0042467E" w:rsidP="006B394E">
      <w:pPr>
        <w:pBdr>
          <w:top w:val="nil"/>
          <w:left w:val="nil"/>
          <w:bottom w:val="nil"/>
          <w:right w:val="nil"/>
          <w:between w:val="nil"/>
        </w:pBdr>
        <w:spacing w:before="4"/>
        <w:rPr>
          <w:sz w:val="24"/>
          <w:szCs w:val="24"/>
        </w:rPr>
      </w:pPr>
      <w:r w:rsidRPr="0042467E">
        <w:rPr>
          <w:sz w:val="24"/>
          <w:szCs w:val="24"/>
        </w:rPr>
        <w:t>In summary, this voluntary information collection adheres to all OMB guidelines and does not present any special circumstances that would necessitate deviation from these standards.</w:t>
      </w:r>
    </w:p>
    <w:p w:rsidR="006B394E" w:rsidRPr="0042467E" w:rsidP="006B394E">
      <w:pPr>
        <w:pBdr>
          <w:top w:val="nil"/>
          <w:left w:val="nil"/>
          <w:bottom w:val="nil"/>
          <w:right w:val="nil"/>
          <w:between w:val="nil"/>
        </w:pBdr>
        <w:spacing w:before="4"/>
        <w:rPr>
          <w:sz w:val="24"/>
          <w:szCs w:val="24"/>
        </w:rPr>
      </w:pPr>
    </w:p>
    <w:p w:rsidR="00D67C05" w:rsidRPr="0042467E" w:rsidP="00F560BC">
      <w:pPr>
        <w:pStyle w:val="Heading1"/>
        <w:numPr>
          <w:ilvl w:val="0"/>
          <w:numId w:val="16"/>
        </w:numPr>
        <w:tabs>
          <w:tab w:val="left" w:pos="1320"/>
        </w:tabs>
      </w:pPr>
      <w:r w:rsidRPr="0042467E">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67C05" w:rsidRPr="0042467E" w:rsidP="00F560BC">
      <w:pPr>
        <w:pBdr>
          <w:top w:val="nil"/>
          <w:left w:val="nil"/>
          <w:bottom w:val="nil"/>
          <w:right w:val="nil"/>
          <w:between w:val="nil"/>
        </w:pBdr>
        <w:spacing w:before="9"/>
        <w:rPr>
          <w:b/>
          <w:color w:val="000000"/>
          <w:sz w:val="15"/>
          <w:szCs w:val="15"/>
        </w:rPr>
      </w:pPr>
    </w:p>
    <w:p w:rsidR="00D67C05" w:rsidRPr="0042467E" w:rsidP="00BD08D0">
      <w:pPr>
        <w:pBdr>
          <w:top w:val="nil"/>
          <w:left w:val="nil"/>
          <w:bottom w:val="nil"/>
          <w:right w:val="nil"/>
          <w:between w:val="nil"/>
        </w:pBdr>
        <w:spacing w:before="93" w:line="237" w:lineRule="auto"/>
        <w:jc w:val="both"/>
        <w:rPr>
          <w:sz w:val="24"/>
          <w:szCs w:val="24"/>
        </w:rPr>
      </w:pPr>
      <w:r w:rsidRPr="0042467E">
        <w:rPr>
          <w:sz w:val="24"/>
          <w:szCs w:val="24"/>
        </w:rPr>
        <w:t xml:space="preserve">A </w:t>
      </w:r>
      <w:r w:rsidRPr="0042467E">
        <w:rPr>
          <w:sz w:val="24"/>
          <w:szCs w:val="24"/>
          <w:u w:val="single"/>
        </w:rPr>
        <w:t xml:space="preserve">Federal Register </w:t>
      </w:r>
      <w:r w:rsidRPr="0042467E">
        <w:rPr>
          <w:sz w:val="24"/>
          <w:szCs w:val="24"/>
        </w:rPr>
        <w:t xml:space="preserve">Notice published on </w:t>
      </w:r>
      <w:r w:rsidRPr="0042467E" w:rsidR="00C04C75">
        <w:rPr>
          <w:sz w:val="24"/>
          <w:szCs w:val="24"/>
        </w:rPr>
        <w:t>August 9</w:t>
      </w:r>
      <w:r w:rsidRPr="0042467E">
        <w:rPr>
          <w:sz w:val="24"/>
          <w:szCs w:val="24"/>
        </w:rPr>
        <w:t xml:space="preserve">, 2024 (89 FR </w:t>
      </w:r>
      <w:r w:rsidRPr="0042467E" w:rsidR="00BD370C">
        <w:rPr>
          <w:sz w:val="24"/>
          <w:szCs w:val="24"/>
        </w:rPr>
        <w:t>70171</w:t>
      </w:r>
      <w:r w:rsidRPr="0042467E">
        <w:rPr>
          <w:sz w:val="24"/>
          <w:szCs w:val="24"/>
        </w:rPr>
        <w:t>) solicited public comments. We received no comments, which pertained to the PRA requirement of the information collection. NMFS contacted stakeholders outside the agency to obtain their views on the availability of data, frequency of collection, the clarity of instructions and recordkeeping, disclosure, or reporting format, and on the data elements to be recorded, disclosed, or reported. No comments were received.</w:t>
      </w:r>
    </w:p>
    <w:p w:rsidR="00E95784" w:rsidRPr="0042467E" w:rsidP="00BD08D0">
      <w:pPr>
        <w:pBdr>
          <w:top w:val="nil"/>
          <w:left w:val="nil"/>
          <w:bottom w:val="nil"/>
          <w:right w:val="nil"/>
          <w:between w:val="nil"/>
        </w:pBdr>
        <w:spacing w:before="93" w:line="237" w:lineRule="auto"/>
        <w:jc w:val="both"/>
        <w:rPr>
          <w:sz w:val="24"/>
          <w:szCs w:val="24"/>
        </w:rPr>
      </w:pPr>
    </w:p>
    <w:p w:rsidR="007E671E" w:rsidRPr="0042467E" w:rsidP="00BD08D0">
      <w:pPr>
        <w:pBdr>
          <w:top w:val="nil"/>
          <w:left w:val="nil"/>
          <w:bottom w:val="nil"/>
          <w:right w:val="nil"/>
          <w:between w:val="nil"/>
        </w:pBdr>
        <w:spacing w:before="93" w:line="237" w:lineRule="auto"/>
        <w:jc w:val="both"/>
        <w:rPr>
          <w:sz w:val="24"/>
          <w:szCs w:val="24"/>
        </w:rPr>
      </w:pPr>
      <w:r w:rsidRPr="0042467E">
        <w:rPr>
          <w:sz w:val="24"/>
          <w:szCs w:val="24"/>
        </w:rPr>
        <w:t xml:space="preserve">NOAA also consulted with </w:t>
      </w:r>
      <w:r w:rsidRPr="0042467E" w:rsidR="00B25B71">
        <w:rPr>
          <w:sz w:val="24"/>
          <w:szCs w:val="24"/>
        </w:rPr>
        <w:t>2</w:t>
      </w:r>
      <w:r w:rsidRPr="0042467E" w:rsidR="001F71FA">
        <w:rPr>
          <w:color w:val="000000"/>
          <w:sz w:val="24"/>
          <w:szCs w:val="24"/>
        </w:rPr>
        <w:t xml:space="preserve"> non-NOAA</w:t>
      </w:r>
      <w:r w:rsidRPr="0042467E" w:rsidR="00B25B71">
        <w:rPr>
          <w:sz w:val="24"/>
          <w:szCs w:val="24"/>
        </w:rPr>
        <w:t xml:space="preserve"> </w:t>
      </w:r>
      <w:r w:rsidRPr="0042467E">
        <w:rPr>
          <w:sz w:val="24"/>
          <w:szCs w:val="24"/>
        </w:rPr>
        <w:t>stakeholders to obtain their views on the availability of data, frequency of collection, the clarity of instructions and recordkeeping, disclosure, or reporting format (if any), and on the data elements to be recorded, disclosed, or reported.</w:t>
      </w:r>
    </w:p>
    <w:p w:rsidR="00E95784" w:rsidRPr="0042467E" w:rsidP="00BD08D0">
      <w:pPr>
        <w:pBdr>
          <w:top w:val="nil"/>
          <w:left w:val="nil"/>
          <w:bottom w:val="nil"/>
          <w:right w:val="nil"/>
          <w:between w:val="nil"/>
        </w:pBdr>
        <w:spacing w:before="93" w:line="237" w:lineRule="auto"/>
        <w:jc w:val="both"/>
        <w:rPr>
          <w:color w:val="000000"/>
          <w:sz w:val="24"/>
          <w:szCs w:val="24"/>
        </w:rPr>
      </w:pPr>
    </w:p>
    <w:p w:rsidR="00B25B71" w:rsidRPr="0042467E" w:rsidP="00BD08D0">
      <w:pPr>
        <w:pBdr>
          <w:top w:val="nil"/>
          <w:left w:val="nil"/>
          <w:bottom w:val="nil"/>
          <w:right w:val="nil"/>
          <w:between w:val="nil"/>
        </w:pBdr>
        <w:spacing w:before="93" w:line="237" w:lineRule="auto"/>
        <w:jc w:val="both"/>
        <w:rPr>
          <w:color w:val="000000"/>
          <w:sz w:val="24"/>
          <w:szCs w:val="24"/>
        </w:rPr>
      </w:pPr>
      <w:r w:rsidRPr="0042467E">
        <w:rPr>
          <w:color w:val="000000"/>
          <w:sz w:val="24"/>
          <w:szCs w:val="24"/>
        </w:rPr>
        <w:t>Stakeholder 1 (</w:t>
      </w:r>
      <w:r w:rsidR="00D747B9">
        <w:rPr>
          <w:color w:val="000000"/>
          <w:sz w:val="24"/>
          <w:szCs w:val="24"/>
        </w:rPr>
        <w:t>regional</w:t>
      </w:r>
      <w:r w:rsidRPr="0042467E">
        <w:rPr>
          <w:color w:val="000000"/>
          <w:sz w:val="24"/>
          <w:szCs w:val="24"/>
        </w:rPr>
        <w:t xml:space="preserve"> Fishery Management Council) </w:t>
      </w:r>
      <w:r w:rsidRPr="0042467E" w:rsidR="00E95784">
        <w:rPr>
          <w:color w:val="000000"/>
          <w:sz w:val="24"/>
          <w:szCs w:val="24"/>
        </w:rPr>
        <w:t>reported no issues regarding the availability of data, frequency of collection, the clarity of</w:t>
      </w:r>
      <w:r w:rsidRPr="0042467E">
        <w:rPr>
          <w:color w:val="000000"/>
          <w:sz w:val="24"/>
          <w:szCs w:val="24"/>
        </w:rPr>
        <w:t xml:space="preserve"> </w:t>
      </w:r>
      <w:r w:rsidRPr="0042467E" w:rsidR="00E95784">
        <w:rPr>
          <w:color w:val="000000"/>
          <w:sz w:val="24"/>
          <w:szCs w:val="24"/>
        </w:rPr>
        <w:t xml:space="preserve">instructions and reporting format, or the requested data elements. </w:t>
      </w:r>
      <w:r w:rsidRPr="0042467E">
        <w:rPr>
          <w:color w:val="000000"/>
          <w:sz w:val="24"/>
          <w:szCs w:val="24"/>
        </w:rPr>
        <w:t>Staff</w:t>
      </w:r>
      <w:r w:rsidRPr="0042467E" w:rsidR="00E95784">
        <w:rPr>
          <w:color w:val="000000"/>
          <w:sz w:val="24"/>
          <w:szCs w:val="24"/>
        </w:rPr>
        <w:t xml:space="preserve"> </w:t>
      </w:r>
      <w:r w:rsidRPr="0042467E">
        <w:rPr>
          <w:color w:val="000000"/>
          <w:sz w:val="24"/>
          <w:szCs w:val="24"/>
        </w:rPr>
        <w:t>offered no specific comments, but emphasized</w:t>
      </w:r>
      <w:r w:rsidRPr="0042467E" w:rsidR="00E95784">
        <w:rPr>
          <w:color w:val="000000"/>
          <w:sz w:val="24"/>
          <w:szCs w:val="24"/>
        </w:rPr>
        <w:t xml:space="preserve"> the importance</w:t>
      </w:r>
      <w:r w:rsidRPr="0042467E">
        <w:rPr>
          <w:color w:val="000000"/>
          <w:sz w:val="24"/>
          <w:szCs w:val="24"/>
        </w:rPr>
        <w:t>, need, timeliness of this data collection.</w:t>
      </w:r>
    </w:p>
    <w:p w:rsidR="00B25B71" w:rsidRPr="0042467E" w:rsidP="00BD08D0">
      <w:pPr>
        <w:pBdr>
          <w:top w:val="nil"/>
          <w:left w:val="nil"/>
          <w:bottom w:val="nil"/>
          <w:right w:val="nil"/>
          <w:between w:val="nil"/>
        </w:pBdr>
        <w:spacing w:before="93" w:line="237" w:lineRule="auto"/>
        <w:jc w:val="both"/>
        <w:rPr>
          <w:color w:val="000000"/>
          <w:sz w:val="24"/>
          <w:szCs w:val="24"/>
        </w:rPr>
      </w:pPr>
    </w:p>
    <w:p w:rsidR="00E95784" w:rsidRPr="0042467E" w:rsidP="00BD370C">
      <w:pPr>
        <w:pBdr>
          <w:top w:val="nil"/>
          <w:left w:val="nil"/>
          <w:bottom w:val="nil"/>
          <w:right w:val="nil"/>
          <w:between w:val="nil"/>
        </w:pBdr>
        <w:spacing w:before="93" w:line="237" w:lineRule="auto"/>
        <w:jc w:val="both"/>
        <w:rPr>
          <w:color w:val="000000"/>
          <w:sz w:val="24"/>
          <w:szCs w:val="24"/>
        </w:rPr>
      </w:pPr>
      <w:r w:rsidRPr="0042467E">
        <w:rPr>
          <w:color w:val="000000"/>
          <w:sz w:val="24"/>
          <w:szCs w:val="24"/>
        </w:rPr>
        <w:t>W</w:t>
      </w:r>
      <w:r w:rsidRPr="0042467E" w:rsidR="00585F78">
        <w:rPr>
          <w:color w:val="000000"/>
          <w:sz w:val="24"/>
          <w:szCs w:val="24"/>
        </w:rPr>
        <w:t>e also reached to</w:t>
      </w:r>
      <w:r w:rsidRPr="0042467E">
        <w:rPr>
          <w:color w:val="000000"/>
          <w:sz w:val="24"/>
          <w:szCs w:val="24"/>
        </w:rPr>
        <w:t xml:space="preserve"> Stakeholder 2 (Dr. Walter Keithly, Louisiana State University emeritus faculty and</w:t>
      </w:r>
      <w:r w:rsidRPr="0042467E" w:rsidR="00585F78">
        <w:rPr>
          <w:color w:val="000000"/>
          <w:sz w:val="24"/>
          <w:szCs w:val="24"/>
        </w:rPr>
        <w:t xml:space="preserve"> former member of the Statistical and Scientific Committee</w:t>
      </w:r>
      <w:r w:rsidR="00D747B9">
        <w:rPr>
          <w:color w:val="000000"/>
          <w:sz w:val="24"/>
          <w:szCs w:val="24"/>
        </w:rPr>
        <w:t xml:space="preserve"> of the regional</w:t>
      </w:r>
      <w:r w:rsidRPr="0042467E" w:rsidR="00585F78">
        <w:rPr>
          <w:color w:val="000000"/>
          <w:sz w:val="24"/>
          <w:szCs w:val="24"/>
        </w:rPr>
        <w:t xml:space="preserve"> </w:t>
      </w:r>
      <w:r w:rsidR="00D747B9">
        <w:rPr>
          <w:color w:val="000000"/>
          <w:sz w:val="24"/>
          <w:szCs w:val="24"/>
        </w:rPr>
        <w:t>FMC</w:t>
      </w:r>
      <w:r w:rsidRPr="0042467E">
        <w:rPr>
          <w:color w:val="000000"/>
          <w:sz w:val="24"/>
          <w:szCs w:val="24"/>
        </w:rPr>
        <w:t>)</w:t>
      </w:r>
      <w:r w:rsidRPr="0042467E" w:rsidR="00BD08D0">
        <w:rPr>
          <w:color w:val="000000"/>
          <w:sz w:val="24"/>
          <w:szCs w:val="24"/>
        </w:rPr>
        <w:t xml:space="preserve">. Dr. Keithly stated the information sought would be very helpful for the assessment of the IFQ programs. </w:t>
      </w:r>
      <w:r w:rsidRPr="0042467E">
        <w:rPr>
          <w:color w:val="000000"/>
          <w:sz w:val="24"/>
          <w:szCs w:val="24"/>
        </w:rPr>
        <w:t>In response to these consultations, we have maintained the current data collection approach and</w:t>
      </w:r>
      <w:r w:rsidRPr="0042467E" w:rsidR="00BD08D0">
        <w:rPr>
          <w:color w:val="000000"/>
          <w:sz w:val="24"/>
          <w:szCs w:val="24"/>
        </w:rPr>
        <w:t xml:space="preserve"> f</w:t>
      </w:r>
      <w:r w:rsidRPr="0042467E">
        <w:rPr>
          <w:color w:val="000000"/>
          <w:sz w:val="24"/>
          <w:szCs w:val="24"/>
        </w:rPr>
        <w:t>requency, as both stakeholders indicated that the existing methodology is appropriate and valuable for fisheries management in the region.</w:t>
      </w:r>
    </w:p>
    <w:p w:rsidR="00D67C05" w:rsidRPr="0042467E" w:rsidP="00F560BC">
      <w:pPr>
        <w:pBdr>
          <w:top w:val="nil"/>
          <w:left w:val="nil"/>
          <w:bottom w:val="nil"/>
          <w:right w:val="nil"/>
          <w:between w:val="nil"/>
        </w:pBdr>
        <w:spacing w:before="8"/>
        <w:rPr>
          <w:color w:val="000000"/>
          <w:sz w:val="24"/>
          <w:szCs w:val="24"/>
        </w:rPr>
      </w:pPr>
    </w:p>
    <w:p w:rsidR="00D67C05" w:rsidRPr="0042467E" w:rsidP="00F560BC">
      <w:pPr>
        <w:pStyle w:val="Heading1"/>
        <w:numPr>
          <w:ilvl w:val="0"/>
          <w:numId w:val="16"/>
        </w:numPr>
        <w:tabs>
          <w:tab w:val="left" w:pos="1320"/>
        </w:tabs>
        <w:spacing w:line="237" w:lineRule="auto"/>
      </w:pPr>
      <w:r w:rsidRPr="0042467E">
        <w:t>Explain any decisions to provide payments or gifts to respondents, other than remuneration of contractors or grantees.</w:t>
      </w:r>
    </w:p>
    <w:p w:rsidR="00D67C05" w:rsidRPr="0042467E" w:rsidP="00F560BC">
      <w:pPr>
        <w:pBdr>
          <w:top w:val="nil"/>
          <w:left w:val="nil"/>
          <w:bottom w:val="nil"/>
          <w:right w:val="nil"/>
          <w:between w:val="nil"/>
        </w:pBdr>
        <w:spacing w:before="9"/>
        <w:rPr>
          <w:b/>
          <w:color w:val="000000"/>
          <w:sz w:val="15"/>
          <w:szCs w:val="15"/>
        </w:rPr>
      </w:pPr>
    </w:p>
    <w:p w:rsidR="00D67C05" w:rsidRPr="0042467E" w:rsidP="00F560BC">
      <w:pPr>
        <w:pBdr>
          <w:top w:val="nil"/>
          <w:left w:val="nil"/>
          <w:bottom w:val="nil"/>
          <w:right w:val="nil"/>
          <w:between w:val="nil"/>
        </w:pBdr>
        <w:spacing w:before="90"/>
        <w:rPr>
          <w:color w:val="000000"/>
          <w:sz w:val="24"/>
          <w:szCs w:val="24"/>
        </w:rPr>
      </w:pPr>
      <w:r w:rsidRPr="0042467E">
        <w:rPr>
          <w:color w:val="000000"/>
          <w:sz w:val="24"/>
          <w:szCs w:val="24"/>
        </w:rPr>
        <w:t>No payments or gifts will be provided to respondents.</w:t>
      </w:r>
    </w:p>
    <w:p w:rsidR="00D67C05" w:rsidRPr="0042467E" w:rsidP="00F560BC">
      <w:pPr>
        <w:pBdr>
          <w:top w:val="nil"/>
          <w:left w:val="nil"/>
          <w:bottom w:val="nil"/>
          <w:right w:val="nil"/>
          <w:between w:val="nil"/>
        </w:pBdr>
        <w:spacing w:before="90"/>
        <w:ind w:left="1080"/>
        <w:rPr>
          <w:color w:val="000000"/>
          <w:sz w:val="24"/>
          <w:szCs w:val="24"/>
        </w:rPr>
      </w:pPr>
    </w:p>
    <w:p w:rsidR="00D67C05" w:rsidRPr="0042467E" w:rsidP="00F560BC">
      <w:pPr>
        <w:pStyle w:val="Heading1"/>
        <w:numPr>
          <w:ilvl w:val="0"/>
          <w:numId w:val="16"/>
        </w:numPr>
        <w:tabs>
          <w:tab w:val="left" w:pos="1440"/>
        </w:tabs>
        <w:spacing w:before="81" w:line="237" w:lineRule="auto"/>
      </w:pPr>
      <w:r w:rsidRPr="0042467E">
        <w:t>Describe any assurance of confidentiality provided to respondents and the basis for assurance in statute, regulation, or agency policy. If the collection requires a systems of records notice (SORN) or privacy impact assessment (PIA), those should be cited and described here.</w:t>
      </w:r>
    </w:p>
    <w:p w:rsidR="00CA01DE" w:rsidRPr="0042467E" w:rsidP="00CA01DE"/>
    <w:p w:rsidR="003B3FF9" w:rsidRPr="0042467E" w:rsidP="003B3FF9">
      <w:pPr>
        <w:pBdr>
          <w:top w:val="nil"/>
          <w:left w:val="nil"/>
          <w:bottom w:val="nil"/>
          <w:right w:val="nil"/>
          <w:between w:val="nil"/>
        </w:pBdr>
        <w:spacing w:before="90"/>
        <w:jc w:val="both"/>
        <w:rPr>
          <w:sz w:val="24"/>
          <w:szCs w:val="24"/>
        </w:rPr>
      </w:pPr>
      <w:r w:rsidRPr="0042467E">
        <w:rPr>
          <w:sz w:val="24"/>
          <w:szCs w:val="24"/>
        </w:rPr>
        <w:t xml:space="preserve"> To ensure respondent confidentiality, this information collection will adhere to several key protections and legal frameworks. Primarily, the Privacy Act of 1974 (5 U.S.C. 552a) applies, as we will be collecting personally identifiable information. This act prohibits disclosing information without written consent, except under specific statutory exceptions. We will include the appropriate Privacy Act Statement on all forms requesting Social Security Numbers or Taxpayer Identification Numbers. Additionally, Section 402(b) of the Magnuson-Stevens Act as amended in 2006 (16 U.S.C. 1801, et seq.) provides statutory authority for confidentiality for this NMFS information collection. All data collected will be kept anonymous and only released in aggregate statistical form without identifying individual sources. Personal contact information will be separated from survey responses and destroyed after completion.</w:t>
      </w:r>
    </w:p>
    <w:p w:rsidR="003B3FF9" w:rsidRPr="0042467E" w:rsidP="003B3FF9">
      <w:pPr>
        <w:pBdr>
          <w:top w:val="nil"/>
          <w:left w:val="nil"/>
          <w:bottom w:val="nil"/>
          <w:right w:val="nil"/>
          <w:between w:val="nil"/>
        </w:pBdr>
        <w:spacing w:before="90"/>
        <w:jc w:val="both"/>
        <w:rPr>
          <w:sz w:val="24"/>
          <w:szCs w:val="24"/>
        </w:rPr>
      </w:pPr>
      <w:r w:rsidRPr="0042467E">
        <w:rPr>
          <w:sz w:val="24"/>
          <w:szCs w:val="24"/>
        </w:rPr>
        <w:t>For transparency, we will include the following statement on all survey instruments:</w:t>
      </w:r>
    </w:p>
    <w:p w:rsidR="003B3FF9" w:rsidRPr="0042467E" w:rsidP="003B3FF9">
      <w:pPr>
        <w:pBdr>
          <w:top w:val="nil"/>
          <w:left w:val="nil"/>
          <w:bottom w:val="nil"/>
          <w:right w:val="nil"/>
          <w:between w:val="nil"/>
        </w:pBdr>
        <w:spacing w:before="90"/>
        <w:jc w:val="both"/>
        <w:rPr>
          <w:sz w:val="24"/>
          <w:szCs w:val="24"/>
        </w:rPr>
      </w:pPr>
      <w:r w:rsidRPr="0042467E">
        <w:rPr>
          <w:sz w:val="24"/>
          <w:szCs w:val="24"/>
        </w:rPr>
        <w:t>“Data collected will be kept anonymous and will not be released for public use except in aggregate statistical form without identification as to its source. Participation or lack of participation in the survey will remain anonymous. All economic data will be aggregated into statistical form for all reports.”</w:t>
      </w:r>
    </w:p>
    <w:p w:rsidR="003B3FF9" w:rsidRPr="0042467E" w:rsidP="003B3FF9">
      <w:pPr>
        <w:pBdr>
          <w:top w:val="nil"/>
          <w:left w:val="nil"/>
          <w:bottom w:val="nil"/>
          <w:right w:val="nil"/>
          <w:between w:val="nil"/>
        </w:pBdr>
        <w:spacing w:before="90"/>
        <w:jc w:val="both"/>
        <w:rPr>
          <w:sz w:val="24"/>
          <w:szCs w:val="24"/>
        </w:rPr>
      </w:pPr>
      <w:r w:rsidRPr="0042467E">
        <w:rPr>
          <w:sz w:val="24"/>
          <w:szCs w:val="24"/>
        </w:rPr>
        <w:t xml:space="preserve">This collection falls under the COMMERCE/NOAA Privacy Act Systems of Records 6 and 19, which cover Fishermen’s Statistical </w:t>
      </w:r>
      <w:r w:rsidRPr="0042467E" w:rsidR="00EB1440">
        <w:rPr>
          <w:sz w:val="24"/>
          <w:szCs w:val="24"/>
        </w:rPr>
        <w:t>Data, Permits,</w:t>
      </w:r>
      <w:r w:rsidRPr="0042467E">
        <w:rPr>
          <w:sz w:val="24"/>
          <w:szCs w:val="24"/>
        </w:rPr>
        <w:t xml:space="preserve"> and Registrations for United States Federally Regulated Fisheries, respectively. We do not anticipate needing a new System of Records Notice (SORN) or Privacy Impact Assessment (PIA) for this collection.</w:t>
      </w:r>
    </w:p>
    <w:p w:rsidR="00CA01DE" w:rsidRPr="0042467E" w:rsidP="003B3FF9">
      <w:pPr>
        <w:pBdr>
          <w:top w:val="nil"/>
          <w:left w:val="nil"/>
          <w:bottom w:val="nil"/>
          <w:right w:val="nil"/>
          <w:between w:val="nil"/>
        </w:pBdr>
        <w:spacing w:before="90"/>
        <w:jc w:val="both"/>
        <w:rPr>
          <w:sz w:val="24"/>
          <w:szCs w:val="24"/>
        </w:rPr>
      </w:pPr>
      <w:r w:rsidRPr="0042467E">
        <w:rPr>
          <w:sz w:val="24"/>
          <w:szCs w:val="24"/>
        </w:rPr>
        <w:t xml:space="preserve">Additionally, the contractor involved in the data collection, will be required to sign confidentiality pledges to ensure the vendor adheres to our confidentiality standards, participant confidentiality throughout the data collection, analysis, and storage processes. These measures collectively </w:t>
      </w:r>
      <w:r w:rsidRPr="0042467E">
        <w:rPr>
          <w:sz w:val="24"/>
          <w:szCs w:val="24"/>
        </w:rPr>
        <w:t xml:space="preserve">provide strong assurances of confidentiality based on established legal and policy </w:t>
      </w:r>
      <w:r w:rsidRPr="0042467E" w:rsidR="00EB1440">
        <w:rPr>
          <w:sz w:val="24"/>
          <w:szCs w:val="24"/>
        </w:rPr>
        <w:t>frameworks;</w:t>
      </w:r>
      <w:r w:rsidRPr="0042467E">
        <w:rPr>
          <w:sz w:val="24"/>
          <w:szCs w:val="24"/>
        </w:rPr>
        <w:t xml:space="preserve"> ensure respondents can participate with confidence that their information will be protected.</w:t>
      </w:r>
    </w:p>
    <w:p w:rsidR="00D67C05" w:rsidRPr="0042467E" w:rsidP="00F560BC">
      <w:pPr>
        <w:pBdr>
          <w:top w:val="nil"/>
          <w:left w:val="nil"/>
          <w:bottom w:val="nil"/>
          <w:right w:val="nil"/>
          <w:between w:val="nil"/>
        </w:pBdr>
        <w:spacing w:before="8"/>
        <w:rPr>
          <w:color w:val="000000"/>
          <w:sz w:val="24"/>
          <w:szCs w:val="24"/>
        </w:rPr>
      </w:pPr>
    </w:p>
    <w:p w:rsidR="00D67C05" w:rsidRPr="0042467E" w:rsidP="00F560BC">
      <w:pPr>
        <w:pStyle w:val="Heading1"/>
        <w:numPr>
          <w:ilvl w:val="0"/>
          <w:numId w:val="16"/>
        </w:numPr>
        <w:tabs>
          <w:tab w:val="left" w:pos="1440"/>
        </w:tabs>
      </w:pPr>
      <w:r w:rsidRPr="0042467E">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86A07" w:rsidRPr="0042467E" w:rsidP="00C86A07"/>
    <w:p w:rsidR="00B00921" w:rsidRPr="0042467E" w:rsidP="00B00921">
      <w:pPr>
        <w:jc w:val="both"/>
        <w:rPr>
          <w:sz w:val="24"/>
          <w:szCs w:val="24"/>
        </w:rPr>
      </w:pPr>
    </w:p>
    <w:p w:rsidR="00B00921" w:rsidRPr="0042467E" w:rsidP="00B00921">
      <w:pPr>
        <w:jc w:val="both"/>
        <w:rPr>
          <w:sz w:val="24"/>
          <w:szCs w:val="24"/>
        </w:rPr>
      </w:pPr>
      <w:r w:rsidRPr="0042467E">
        <w:rPr>
          <w:sz w:val="24"/>
          <w:szCs w:val="24"/>
        </w:rPr>
        <w:t xml:space="preserve">The information collection includes one potentially sensitive question related to race/ethnicity. </w:t>
      </w:r>
      <w:r w:rsidRPr="0042467E" w:rsidR="00976659">
        <w:rPr>
          <w:sz w:val="24"/>
          <w:szCs w:val="24"/>
        </w:rPr>
        <w:t xml:space="preserve"> </w:t>
      </w:r>
    </w:p>
    <w:p w:rsidR="00B00921" w:rsidRPr="0042467E" w:rsidP="00B00921">
      <w:pPr>
        <w:jc w:val="both"/>
        <w:rPr>
          <w:sz w:val="24"/>
          <w:szCs w:val="24"/>
        </w:rPr>
      </w:pPr>
    </w:p>
    <w:p w:rsidR="00B00921" w:rsidRPr="0042467E" w:rsidP="00B00921">
      <w:pPr>
        <w:jc w:val="both"/>
        <w:rPr>
          <w:sz w:val="24"/>
          <w:szCs w:val="24"/>
        </w:rPr>
      </w:pPr>
      <w:r w:rsidRPr="0042467E">
        <w:rPr>
          <w:sz w:val="24"/>
          <w:szCs w:val="24"/>
        </w:rPr>
        <w:t>This question is included to analyze potential differences in outcomes or experiences across demographic groups. Race and ethnicity data are necessary for analyzing social and economic impacts on communities as required by National Standard 8 of the MSA [MSA Section 301(a)(8))].</w:t>
      </w:r>
    </w:p>
    <w:p w:rsidR="00B00921" w:rsidRPr="0042467E" w:rsidP="00B00921">
      <w:pPr>
        <w:jc w:val="both"/>
        <w:rPr>
          <w:sz w:val="24"/>
          <w:szCs w:val="24"/>
        </w:rPr>
      </w:pPr>
    </w:p>
    <w:p w:rsidR="00B00921" w:rsidRPr="0042467E" w:rsidP="00B00921">
      <w:pPr>
        <w:jc w:val="both"/>
        <w:rPr>
          <w:sz w:val="24"/>
          <w:szCs w:val="24"/>
        </w:rPr>
      </w:pPr>
      <w:r w:rsidRPr="0042467E">
        <w:rPr>
          <w:sz w:val="24"/>
          <w:szCs w:val="24"/>
        </w:rPr>
        <w:t>It is important to note that the question on race/ethnicity follows</w:t>
      </w:r>
      <w:r w:rsidR="009D7FC0">
        <w:rPr>
          <w:sz w:val="24"/>
          <w:szCs w:val="24"/>
        </w:rPr>
        <w:t xml:space="preserve"> the r</w:t>
      </w:r>
      <w:r w:rsidRPr="0042467E">
        <w:rPr>
          <w:sz w:val="24"/>
          <w:szCs w:val="24"/>
        </w:rPr>
        <w:t>evisions to OMB’s Statistical Policy Directive No. 15: Standards for Maintaining, Collecting, and Presenting Federal Data on Race and Ethnicity. This ensures consistency and comparability with other federal data collection efforts.</w:t>
      </w:r>
    </w:p>
    <w:p w:rsidR="00976659" w:rsidRPr="0042467E" w:rsidP="00B00921">
      <w:pPr>
        <w:jc w:val="both"/>
        <w:rPr>
          <w:sz w:val="24"/>
          <w:szCs w:val="24"/>
        </w:rPr>
      </w:pPr>
    </w:p>
    <w:p w:rsidR="00B00921" w:rsidRPr="0042467E" w:rsidP="00B00921">
      <w:pPr>
        <w:jc w:val="both"/>
        <w:rPr>
          <w:sz w:val="24"/>
          <w:szCs w:val="24"/>
        </w:rPr>
      </w:pPr>
      <w:r w:rsidRPr="0042467E">
        <w:rPr>
          <w:sz w:val="24"/>
          <w:szCs w:val="24"/>
        </w:rPr>
        <w:t>By collecting this sensitive information, NMFS can conduct comprehensive</w:t>
      </w:r>
      <w:r w:rsidRPr="0042467E" w:rsidR="00976659">
        <w:rPr>
          <w:sz w:val="24"/>
          <w:szCs w:val="24"/>
        </w:rPr>
        <w:t xml:space="preserve"> </w:t>
      </w:r>
      <w:r w:rsidRPr="0042467E">
        <w:rPr>
          <w:sz w:val="24"/>
          <w:szCs w:val="24"/>
        </w:rPr>
        <w:t>social and economic analyses, evaluate the impacts of conservation and management measures</w:t>
      </w:r>
      <w:r w:rsidRPr="0042467E" w:rsidR="00976659">
        <w:rPr>
          <w:sz w:val="24"/>
          <w:szCs w:val="24"/>
        </w:rPr>
        <w:t xml:space="preserve"> such as catch shares</w:t>
      </w:r>
      <w:r w:rsidRPr="0042467E">
        <w:rPr>
          <w:sz w:val="24"/>
          <w:szCs w:val="24"/>
        </w:rPr>
        <w:t xml:space="preserve"> on</w:t>
      </w:r>
      <w:r w:rsidRPr="0042467E" w:rsidR="00976659">
        <w:rPr>
          <w:sz w:val="24"/>
          <w:szCs w:val="24"/>
        </w:rPr>
        <w:t xml:space="preserve"> </w:t>
      </w:r>
      <w:r w:rsidRPr="0042467E">
        <w:rPr>
          <w:sz w:val="24"/>
          <w:szCs w:val="24"/>
        </w:rPr>
        <w:t>diverse communities, and ensure compliance with federal mandates and executive orders.</w:t>
      </w:r>
    </w:p>
    <w:p w:rsidR="00B00921" w:rsidRPr="0042467E" w:rsidP="00B00921">
      <w:pPr>
        <w:jc w:val="both"/>
        <w:rPr>
          <w:sz w:val="24"/>
          <w:szCs w:val="24"/>
        </w:rPr>
      </w:pPr>
    </w:p>
    <w:p w:rsidR="00C86A07" w:rsidRPr="0042467E" w:rsidP="00C86A07">
      <w:pPr>
        <w:jc w:val="both"/>
        <w:rPr>
          <w:sz w:val="24"/>
          <w:szCs w:val="24"/>
        </w:rPr>
      </w:pPr>
      <w:r w:rsidRPr="0042467E">
        <w:rPr>
          <w:sz w:val="24"/>
          <w:szCs w:val="24"/>
        </w:rPr>
        <w:t>To obtain informed consent, we will clearly inform respondents that answering these questions is optional. We will explain our strict data protection measures and assure respondents that their individual responses will remain confidential. The specific uses of this data, as outlined above, will be communicated to respondents. Additionally, respondents will be given the option to skip these questions if they feel uncomfortable answering them.</w:t>
      </w:r>
    </w:p>
    <w:p w:rsidR="00D16277" w:rsidRPr="0042467E" w:rsidP="00C86A07">
      <w:pPr>
        <w:jc w:val="both"/>
        <w:rPr>
          <w:sz w:val="24"/>
          <w:szCs w:val="24"/>
        </w:rPr>
      </w:pPr>
    </w:p>
    <w:p w:rsidR="00D67C05" w:rsidRPr="0042467E" w:rsidP="00D16277">
      <w:pPr>
        <w:jc w:val="both"/>
        <w:rPr>
          <w:sz w:val="24"/>
          <w:szCs w:val="24"/>
        </w:rPr>
      </w:pPr>
      <w:r w:rsidRPr="0042467E">
        <w:rPr>
          <w:sz w:val="24"/>
          <w:szCs w:val="24"/>
        </w:rPr>
        <w:t>By implementing these measures, we aim to collect this sensitive information ethically while respecting respondents' privacy and autonomy. This approach allows us to gather valuable demographic data for analysis and policy development while maintaining transparency and protecting respondents' rights.</w:t>
      </w:r>
    </w:p>
    <w:p w:rsidR="00D67C05" w:rsidRPr="0042467E" w:rsidP="00F560BC">
      <w:pPr>
        <w:rPr>
          <w:sz w:val="24"/>
          <w:szCs w:val="24"/>
        </w:rPr>
      </w:pPr>
      <w:r w:rsidRPr="0042467E">
        <w:br w:type="page"/>
      </w:r>
    </w:p>
    <w:p w:rsidR="00D67C05" w:rsidRPr="0042467E" w:rsidP="00F560BC">
      <w:pPr>
        <w:pStyle w:val="Heading1"/>
        <w:numPr>
          <w:ilvl w:val="0"/>
          <w:numId w:val="16"/>
        </w:numPr>
        <w:tabs>
          <w:tab w:val="left" w:pos="1440"/>
        </w:tabs>
      </w:pPr>
      <w:r w:rsidRPr="0042467E">
        <w:t>Provide an estimate in hours of the burden of the collection of information.</w:t>
      </w:r>
    </w:p>
    <w:p w:rsidR="009D5C4C" w:rsidRPr="0042467E" w:rsidP="009D5C4C"/>
    <w:p w:rsidR="009D5C4C" w:rsidRPr="0042467E" w:rsidP="009D5C4C"/>
    <w:p w:rsidR="003A2DAC" w:rsidRPr="0042467E" w:rsidP="00993CF8">
      <w:pPr>
        <w:jc w:val="both"/>
      </w:pPr>
      <w:r w:rsidRPr="0042467E">
        <w:t>NOAA has estimated that the number of respondents will be 913 and the time per response will be 20 minutes (1/3 hour). Hence, we are requesting 3</w:t>
      </w:r>
      <w:r w:rsidRPr="0042467E" w:rsidR="00993CF8">
        <w:t>10</w:t>
      </w:r>
      <w:r w:rsidRPr="0042467E">
        <w:t xml:space="preserve"> burden hours (Table 1).The 20-minute burden per response includes the time reading of instructions, reviewing the questions, and completing the survey. </w:t>
      </w:r>
    </w:p>
    <w:p w:rsidR="003A2DAC" w:rsidRPr="0042467E" w:rsidP="00993CF8">
      <w:pPr>
        <w:jc w:val="both"/>
      </w:pPr>
    </w:p>
    <w:p w:rsidR="003A2DAC" w:rsidRPr="0042467E" w:rsidP="00993CF8">
      <w:pPr>
        <w:jc w:val="both"/>
      </w:pPr>
      <w:r w:rsidRPr="0042467E">
        <w:t xml:space="preserve">The 20-minute estimate is based on pilot testing with a small sample of fishers (n=8) and considers the time needed for explaining the survey purpose, obtaining consent, and addressing any questions or concerns. </w:t>
      </w:r>
    </w:p>
    <w:p w:rsidR="003A2DAC" w:rsidRPr="0042467E" w:rsidP="009D5C4C"/>
    <w:p w:rsidR="009D5C4C" w:rsidRPr="0042467E" w:rsidP="009D5C4C">
      <w:r w:rsidRPr="0042467E">
        <w:t>Table 1 shows estimates of annualized cost to respondents for the burden hours. The hourly wage rate used ($29.23) is based on the national</w:t>
      </w:r>
      <w:r w:rsidRPr="0042467E" w:rsidR="004C7106">
        <w:t xml:space="preserve"> </w:t>
      </w:r>
      <w:r w:rsidRPr="0042467E">
        <w:t>average for first-line supervisors of farming, fishing, and forestry workers, which we believe best represents the average hourly wage of our</w:t>
      </w:r>
      <w:r w:rsidRPr="0042467E" w:rsidR="004C7106">
        <w:t xml:space="preserve"> </w:t>
      </w:r>
      <w:r w:rsidRPr="0042467E">
        <w:t>respondent population (occupational code 45-1011, see https://www.bls.gov/oes/current/oes_nat.htm#45-0000).</w:t>
      </w:r>
    </w:p>
    <w:p w:rsidR="009D5C4C" w:rsidRPr="0042467E" w:rsidP="009D5C4C"/>
    <w:p w:rsidR="00993CF8" w:rsidRPr="0042467E" w:rsidP="00993CF8">
      <w:pPr>
        <w:pStyle w:val="NormalWeb"/>
        <w:spacing w:before="197" w:beforeAutospacing="0" w:after="0" w:afterAutospacing="0"/>
        <w:jc w:val="both"/>
      </w:pPr>
      <w:r w:rsidRPr="0042467E">
        <w:t>Table 1: Estimates of the Number of Respondents and Burden.</w:t>
      </w:r>
    </w:p>
    <w:p w:rsidR="00993CF8" w:rsidRPr="0042467E" w:rsidP="00993CF8">
      <w:pPr>
        <w:spacing w:line="256" w:lineRule="auto"/>
        <w:ind w:hanging="43"/>
        <w:jc w:val="center"/>
        <w:rPr>
          <w:b/>
          <w:color w:val="FF0000"/>
        </w:rPr>
      </w:pPr>
    </w:p>
    <w:tbl>
      <w:tblPr>
        <w:tblStyle w:val="a0"/>
        <w:tblW w:w="0" w:type="auto"/>
        <w:jc w:val="center"/>
        <w:tblLook w:val="0400"/>
      </w:tblPr>
      <w:tblGrid>
        <w:gridCol w:w="1224"/>
        <w:gridCol w:w="1165"/>
        <w:gridCol w:w="1437"/>
        <w:gridCol w:w="1067"/>
        <w:gridCol w:w="951"/>
        <w:gridCol w:w="873"/>
        <w:gridCol w:w="732"/>
        <w:gridCol w:w="1136"/>
        <w:gridCol w:w="755"/>
      </w:tblGrid>
      <w:tr w:rsidTr="00993CF8">
        <w:tblPrEx>
          <w:tblW w:w="0" w:type="auto"/>
          <w:jc w:val="center"/>
          <w:tblLook w:val="0400"/>
        </w:tblPrEx>
        <w:trPr>
          <w:trHeight w:val="1365"/>
          <w:jc w:val="center"/>
        </w:trPr>
        <w:tc>
          <w:tcPr>
            <w:tcW w:w="0" w:type="auto"/>
            <w:tcBorders>
              <w:top w:val="single" w:sz="8" w:space="0" w:color="000000"/>
              <w:left w:val="single" w:sz="8" w:space="0" w:color="000000"/>
              <w:bottom w:val="single" w:sz="8" w:space="0" w:color="000000"/>
              <w:right w:val="single" w:sz="8" w:space="0" w:color="000000"/>
            </w:tcBorders>
            <w:shd w:val="clear" w:color="auto" w:fill="BDD7EE"/>
            <w:vAlign w:val="center"/>
            <w:hideMark/>
          </w:tcPr>
          <w:p w:rsidR="00993CF8" w:rsidRPr="0042467E">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Information Collection</w:t>
            </w:r>
          </w:p>
        </w:tc>
        <w:tc>
          <w:tcPr>
            <w:tcW w:w="0" w:type="auto"/>
            <w:tcBorders>
              <w:top w:val="single" w:sz="8" w:space="0" w:color="000000"/>
              <w:left w:val="nil"/>
              <w:bottom w:val="single" w:sz="8" w:space="0" w:color="000000"/>
              <w:right w:val="single" w:sz="8" w:space="0" w:color="000000"/>
            </w:tcBorders>
            <w:shd w:val="clear" w:color="auto" w:fill="BDD7EE"/>
            <w:vAlign w:val="center"/>
            <w:hideMark/>
          </w:tcPr>
          <w:p w:rsidR="00993CF8" w:rsidRPr="0042467E">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Type of Respondent (e.g., Occupational Title)</w:t>
            </w:r>
          </w:p>
        </w:tc>
        <w:tc>
          <w:tcPr>
            <w:tcW w:w="0" w:type="auto"/>
            <w:tcBorders>
              <w:top w:val="single" w:sz="8" w:space="0" w:color="000000"/>
              <w:left w:val="nil"/>
              <w:bottom w:val="single" w:sz="8" w:space="0" w:color="000000"/>
              <w:right w:val="single" w:sz="8" w:space="0" w:color="000000"/>
            </w:tcBorders>
            <w:shd w:val="clear" w:color="auto" w:fill="BDD7EE"/>
            <w:vAlign w:val="center"/>
            <w:hideMark/>
          </w:tcPr>
          <w:p w:rsidR="00993CF8" w:rsidRPr="0042467E">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 of Respondents/year</w:t>
            </w:r>
            <w:r w:rsidRPr="0042467E">
              <w:rPr>
                <w:rFonts w:eastAsia="Calibri" w:asciiTheme="majorHAnsi" w:hAnsiTheme="majorHAnsi" w:cstheme="majorHAnsi"/>
                <w:b/>
                <w:color w:val="000000"/>
                <w:sz w:val="16"/>
                <w:szCs w:val="16"/>
              </w:rPr>
              <w:br/>
              <w:t>(a)</w:t>
            </w:r>
          </w:p>
        </w:tc>
        <w:tc>
          <w:tcPr>
            <w:tcW w:w="0" w:type="auto"/>
            <w:tcBorders>
              <w:top w:val="single" w:sz="8" w:space="0" w:color="000000"/>
              <w:left w:val="nil"/>
              <w:bottom w:val="single" w:sz="8" w:space="0" w:color="000000"/>
              <w:right w:val="single" w:sz="8" w:space="0" w:color="000000"/>
            </w:tcBorders>
            <w:shd w:val="clear" w:color="auto" w:fill="BDD7EE"/>
            <w:vAlign w:val="center"/>
            <w:hideMark/>
          </w:tcPr>
          <w:p w:rsidR="00993CF8" w:rsidRPr="0042467E">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Annual # of Responses / Respondent</w:t>
            </w:r>
            <w:r w:rsidRPr="0042467E">
              <w:rPr>
                <w:rFonts w:eastAsia="Calibri" w:asciiTheme="majorHAnsi" w:hAnsiTheme="majorHAnsi" w:cstheme="majorHAnsi"/>
                <w:b/>
                <w:color w:val="000000"/>
                <w:sz w:val="16"/>
                <w:szCs w:val="16"/>
              </w:rPr>
              <w:br/>
              <w:t>(b)</w:t>
            </w:r>
          </w:p>
        </w:tc>
        <w:tc>
          <w:tcPr>
            <w:tcW w:w="0" w:type="auto"/>
            <w:tcBorders>
              <w:top w:val="single" w:sz="8" w:space="0" w:color="000000"/>
              <w:left w:val="nil"/>
              <w:bottom w:val="single" w:sz="8" w:space="0" w:color="000000"/>
              <w:right w:val="single" w:sz="8" w:space="0" w:color="000000"/>
            </w:tcBorders>
            <w:shd w:val="clear" w:color="auto" w:fill="BDD7EE"/>
            <w:vAlign w:val="center"/>
            <w:hideMark/>
          </w:tcPr>
          <w:p w:rsidR="00993CF8" w:rsidRPr="0042467E">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 xml:space="preserve"> Total # of Annual Responses</w:t>
            </w:r>
            <w:r w:rsidRPr="0042467E">
              <w:rPr>
                <w:rFonts w:eastAsia="Calibri" w:asciiTheme="majorHAnsi" w:hAnsiTheme="majorHAnsi" w:cstheme="majorHAnsi"/>
                <w:b/>
                <w:color w:val="000000"/>
                <w:sz w:val="16"/>
                <w:szCs w:val="16"/>
              </w:rPr>
              <w:br/>
              <w:t>(c) = (a) x (b)</w:t>
            </w:r>
          </w:p>
        </w:tc>
        <w:tc>
          <w:tcPr>
            <w:tcW w:w="0" w:type="auto"/>
            <w:tcBorders>
              <w:top w:val="single" w:sz="8" w:space="0" w:color="000000"/>
              <w:left w:val="nil"/>
              <w:bottom w:val="single" w:sz="8" w:space="0" w:color="000000"/>
              <w:right w:val="single" w:sz="8" w:space="0" w:color="000000"/>
            </w:tcBorders>
            <w:shd w:val="clear" w:color="auto" w:fill="BDD7EE"/>
            <w:vAlign w:val="center"/>
            <w:hideMark/>
          </w:tcPr>
          <w:p w:rsidR="00993CF8" w:rsidRPr="0042467E">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Burden Hrs / Response</w:t>
            </w:r>
            <w:r w:rsidRPr="0042467E">
              <w:rPr>
                <w:rFonts w:eastAsia="Calibri" w:asciiTheme="majorHAnsi" w:hAnsiTheme="majorHAnsi" w:cstheme="majorHAnsi"/>
                <w:b/>
                <w:color w:val="000000"/>
                <w:sz w:val="16"/>
                <w:szCs w:val="16"/>
              </w:rPr>
              <w:br/>
              <w:t>(d)</w:t>
            </w:r>
          </w:p>
        </w:tc>
        <w:tc>
          <w:tcPr>
            <w:tcW w:w="0" w:type="auto"/>
            <w:tcBorders>
              <w:top w:val="single" w:sz="8" w:space="0" w:color="000000"/>
              <w:left w:val="nil"/>
              <w:bottom w:val="single" w:sz="8" w:space="0" w:color="000000"/>
              <w:right w:val="single" w:sz="8" w:space="0" w:color="000000"/>
            </w:tcBorders>
            <w:shd w:val="clear" w:color="auto" w:fill="BDD7EE"/>
            <w:vAlign w:val="center"/>
            <w:hideMark/>
          </w:tcPr>
          <w:p w:rsidR="00993CF8" w:rsidRPr="0042467E">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Total Annual Burden Hrs</w:t>
            </w:r>
            <w:r w:rsidRPr="0042467E">
              <w:rPr>
                <w:rFonts w:eastAsia="Calibri" w:asciiTheme="majorHAnsi" w:hAnsiTheme="majorHAnsi" w:cstheme="majorHAnsi"/>
                <w:b/>
                <w:color w:val="000000"/>
                <w:sz w:val="16"/>
                <w:szCs w:val="16"/>
              </w:rPr>
              <w:br/>
              <w:t>(e)  = (c) x (d)</w:t>
            </w:r>
          </w:p>
        </w:tc>
        <w:tc>
          <w:tcPr>
            <w:tcW w:w="0" w:type="auto"/>
            <w:tcBorders>
              <w:top w:val="single" w:sz="8" w:space="0" w:color="000000"/>
              <w:left w:val="nil"/>
              <w:bottom w:val="single" w:sz="8" w:space="0" w:color="000000"/>
              <w:right w:val="single" w:sz="8" w:space="0" w:color="000000"/>
            </w:tcBorders>
            <w:shd w:val="clear" w:color="auto" w:fill="BDD7EE"/>
            <w:vAlign w:val="center"/>
            <w:hideMark/>
          </w:tcPr>
          <w:p w:rsidR="00993CF8" w:rsidRPr="0042467E">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Hourly Wage Rate  (for Type of Respondent)</w:t>
            </w:r>
            <w:r w:rsidRPr="0042467E">
              <w:rPr>
                <w:rFonts w:eastAsia="Calibri" w:asciiTheme="majorHAnsi" w:hAnsiTheme="majorHAnsi" w:cstheme="majorHAnsi"/>
                <w:b/>
                <w:color w:val="000000"/>
                <w:sz w:val="16"/>
                <w:szCs w:val="16"/>
              </w:rPr>
              <w:br/>
              <w:t>(f)</w:t>
            </w:r>
          </w:p>
        </w:tc>
        <w:tc>
          <w:tcPr>
            <w:tcW w:w="0" w:type="auto"/>
            <w:tcBorders>
              <w:top w:val="single" w:sz="8" w:space="0" w:color="000000"/>
              <w:left w:val="nil"/>
              <w:bottom w:val="single" w:sz="8" w:space="0" w:color="000000"/>
              <w:right w:val="single" w:sz="8" w:space="0" w:color="000000"/>
            </w:tcBorders>
            <w:shd w:val="clear" w:color="auto" w:fill="BDD7EE"/>
            <w:vAlign w:val="center"/>
            <w:hideMark/>
          </w:tcPr>
          <w:p w:rsidR="00993CF8" w:rsidRPr="0042467E">
            <w:pPr>
              <w:widowControl/>
              <w:ind w:right="-30"/>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Total Annual Wage Burden Costs</w:t>
            </w:r>
            <w:r w:rsidRPr="0042467E">
              <w:rPr>
                <w:rFonts w:eastAsia="Calibri" w:asciiTheme="majorHAnsi" w:hAnsiTheme="majorHAnsi" w:cstheme="majorHAnsi"/>
                <w:b/>
                <w:color w:val="000000"/>
                <w:sz w:val="16"/>
                <w:szCs w:val="16"/>
              </w:rPr>
              <w:br/>
              <w:t>(g) = (e) x (f)</w:t>
            </w:r>
          </w:p>
        </w:tc>
      </w:tr>
      <w:tr w:rsidTr="00993CF8">
        <w:tblPrEx>
          <w:tblW w:w="0" w:type="auto"/>
          <w:jc w:val="center"/>
          <w:tblLook w:val="0400"/>
        </w:tblPrEx>
        <w:trPr>
          <w:trHeight w:val="300"/>
          <w:jc w:val="center"/>
        </w:trPr>
        <w:tc>
          <w:tcPr>
            <w:tcW w:w="0" w:type="auto"/>
            <w:tcBorders>
              <w:top w:val="nil"/>
              <w:left w:val="single" w:sz="8" w:space="0" w:color="000000"/>
              <w:bottom w:val="single" w:sz="4" w:space="0" w:color="000000"/>
              <w:right w:val="single" w:sz="4" w:space="0" w:color="000000"/>
            </w:tcBorders>
            <w:vAlign w:val="center"/>
            <w:hideMark/>
          </w:tcPr>
          <w:p w:rsidR="00993CF8" w:rsidRPr="0042467E">
            <w:pPr>
              <w:widowControl/>
              <w:jc w:val="center"/>
              <w:rPr>
                <w:rFonts w:eastAsia="Calibri" w:asciiTheme="majorHAnsi" w:hAnsiTheme="majorHAnsi" w:cstheme="majorHAnsi"/>
                <w:b/>
                <w:color w:val="000000"/>
                <w:sz w:val="16"/>
                <w:szCs w:val="16"/>
              </w:rPr>
            </w:pPr>
            <w:r w:rsidRPr="007E52BC">
              <w:rPr>
                <w:rFonts w:eastAsia="Calibri" w:asciiTheme="majorHAnsi" w:hAnsiTheme="majorHAnsi" w:cstheme="majorHAnsi"/>
                <w:b/>
                <w:color w:val="000000"/>
                <w:sz w:val="16"/>
                <w:szCs w:val="16"/>
              </w:rPr>
              <w:t>Red Snapper and Grouper-Tilefish Catch Share Shareholders</w:t>
            </w:r>
            <w:r>
              <w:rPr>
                <w:rFonts w:eastAsia="Calibri" w:asciiTheme="majorHAnsi" w:hAnsiTheme="majorHAnsi" w:cstheme="majorHAnsi"/>
                <w:b/>
                <w:color w:val="000000"/>
                <w:sz w:val="16"/>
                <w:szCs w:val="16"/>
              </w:rPr>
              <w:t xml:space="preserve"> Survey</w:t>
            </w:r>
          </w:p>
        </w:tc>
        <w:tc>
          <w:tcPr>
            <w:tcW w:w="0" w:type="auto"/>
            <w:tcBorders>
              <w:top w:val="nil"/>
              <w:left w:val="nil"/>
              <w:bottom w:val="single" w:sz="4" w:space="0" w:color="000000"/>
              <w:right w:val="single" w:sz="4" w:space="0" w:color="000000"/>
            </w:tcBorders>
            <w:vAlign w:val="center"/>
            <w:hideMark/>
          </w:tcPr>
          <w:p w:rsidR="00993CF8" w:rsidRPr="0042467E">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Fishers</w:t>
            </w:r>
          </w:p>
        </w:tc>
        <w:tc>
          <w:tcPr>
            <w:tcW w:w="0" w:type="auto"/>
            <w:tcBorders>
              <w:top w:val="nil"/>
              <w:left w:val="nil"/>
              <w:bottom w:val="single" w:sz="4" w:space="0" w:color="000000"/>
              <w:right w:val="single" w:sz="4" w:space="0" w:color="000000"/>
            </w:tcBorders>
            <w:vAlign w:val="center"/>
            <w:hideMark/>
          </w:tcPr>
          <w:p w:rsidR="00993CF8" w:rsidRPr="0042467E">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913</w:t>
            </w:r>
          </w:p>
        </w:tc>
        <w:tc>
          <w:tcPr>
            <w:tcW w:w="0" w:type="auto"/>
            <w:tcBorders>
              <w:top w:val="nil"/>
              <w:left w:val="nil"/>
              <w:bottom w:val="single" w:sz="4" w:space="0" w:color="000000"/>
              <w:right w:val="single" w:sz="4" w:space="0" w:color="000000"/>
            </w:tcBorders>
            <w:vAlign w:val="center"/>
            <w:hideMark/>
          </w:tcPr>
          <w:p w:rsidR="00993CF8" w:rsidRPr="0042467E">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1</w:t>
            </w:r>
          </w:p>
        </w:tc>
        <w:tc>
          <w:tcPr>
            <w:tcW w:w="0" w:type="auto"/>
            <w:tcBorders>
              <w:top w:val="nil"/>
              <w:left w:val="nil"/>
              <w:bottom w:val="single" w:sz="4" w:space="0" w:color="000000"/>
              <w:right w:val="single" w:sz="4" w:space="0" w:color="000000"/>
            </w:tcBorders>
            <w:vAlign w:val="center"/>
            <w:hideMark/>
          </w:tcPr>
          <w:p w:rsidR="00993CF8" w:rsidRPr="0042467E">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913</w:t>
            </w:r>
          </w:p>
        </w:tc>
        <w:tc>
          <w:tcPr>
            <w:tcW w:w="0" w:type="auto"/>
            <w:tcBorders>
              <w:top w:val="nil"/>
              <w:left w:val="nil"/>
              <w:bottom w:val="single" w:sz="4" w:space="0" w:color="000000"/>
              <w:right w:val="single" w:sz="4" w:space="0" w:color="000000"/>
            </w:tcBorders>
            <w:vAlign w:val="center"/>
            <w:hideMark/>
          </w:tcPr>
          <w:p w:rsidR="00993CF8" w:rsidRPr="0042467E">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0.34</w:t>
            </w:r>
          </w:p>
        </w:tc>
        <w:tc>
          <w:tcPr>
            <w:tcW w:w="0" w:type="auto"/>
            <w:tcBorders>
              <w:top w:val="nil"/>
              <w:left w:val="nil"/>
              <w:bottom w:val="single" w:sz="4" w:space="0" w:color="000000"/>
              <w:right w:val="single" w:sz="4" w:space="0" w:color="000000"/>
            </w:tcBorders>
            <w:vAlign w:val="center"/>
            <w:hideMark/>
          </w:tcPr>
          <w:p w:rsidR="00993CF8" w:rsidRPr="0042467E">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310</w:t>
            </w:r>
          </w:p>
        </w:tc>
        <w:tc>
          <w:tcPr>
            <w:tcW w:w="0" w:type="auto"/>
            <w:tcBorders>
              <w:top w:val="nil"/>
              <w:left w:val="nil"/>
              <w:bottom w:val="single" w:sz="4" w:space="0" w:color="000000"/>
              <w:right w:val="single" w:sz="4" w:space="0" w:color="000000"/>
            </w:tcBorders>
            <w:vAlign w:val="center"/>
            <w:hideMark/>
          </w:tcPr>
          <w:p w:rsidR="00993CF8" w:rsidRPr="0042467E">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$29.23</w:t>
            </w:r>
          </w:p>
        </w:tc>
        <w:tc>
          <w:tcPr>
            <w:tcW w:w="0" w:type="auto"/>
            <w:tcBorders>
              <w:top w:val="nil"/>
              <w:left w:val="nil"/>
              <w:bottom w:val="single" w:sz="4" w:space="0" w:color="000000"/>
              <w:right w:val="single" w:sz="8" w:space="0" w:color="000000"/>
            </w:tcBorders>
            <w:vAlign w:val="center"/>
            <w:hideMark/>
          </w:tcPr>
          <w:p w:rsidR="00993CF8" w:rsidRPr="0042467E">
            <w:pPr>
              <w:jc w:val="center"/>
              <w:rPr>
                <w:rFonts w:asciiTheme="majorHAnsi" w:hAnsiTheme="majorHAnsi" w:cstheme="majorHAnsi"/>
                <w:b/>
                <w:color w:val="000000"/>
                <w:sz w:val="16"/>
                <w:szCs w:val="16"/>
              </w:rPr>
            </w:pPr>
            <w:r w:rsidRPr="0042467E">
              <w:rPr>
                <w:rFonts w:asciiTheme="majorHAnsi" w:hAnsiTheme="majorHAnsi" w:cstheme="majorHAnsi"/>
                <w:b/>
                <w:color w:val="000000"/>
                <w:sz w:val="16"/>
                <w:szCs w:val="16"/>
              </w:rPr>
              <w:t>$9,074</w:t>
            </w:r>
          </w:p>
        </w:tc>
      </w:tr>
      <w:tr w:rsidTr="00993CF8">
        <w:tblPrEx>
          <w:tblW w:w="0" w:type="auto"/>
          <w:jc w:val="center"/>
          <w:tblLook w:val="0400"/>
        </w:tblPrEx>
        <w:trPr>
          <w:trHeight w:val="615"/>
          <w:jc w:val="center"/>
        </w:trPr>
        <w:tc>
          <w:tcPr>
            <w:tcW w:w="0" w:type="auto"/>
            <w:tcBorders>
              <w:top w:val="nil"/>
              <w:left w:val="single" w:sz="8" w:space="0" w:color="000000"/>
              <w:bottom w:val="single" w:sz="8" w:space="0" w:color="000000"/>
              <w:right w:val="single" w:sz="8" w:space="0" w:color="000000"/>
            </w:tcBorders>
            <w:shd w:val="clear" w:color="auto" w:fill="DDEBF7"/>
            <w:vAlign w:val="center"/>
            <w:hideMark/>
          </w:tcPr>
          <w:p w:rsidR="00993CF8" w:rsidRPr="0042467E" w:rsidP="00993CF8">
            <w:pPr>
              <w:pStyle w:val="NormalWeb"/>
              <w:spacing w:before="0" w:beforeAutospacing="0" w:after="0" w:afterAutospacing="0"/>
              <w:jc w:val="center"/>
              <w:rPr>
                <w:rFonts w:asciiTheme="majorHAnsi" w:hAnsiTheme="majorHAnsi" w:cstheme="majorHAnsi"/>
                <w:b/>
                <w:sz w:val="16"/>
                <w:szCs w:val="16"/>
              </w:rPr>
            </w:pPr>
            <w:r w:rsidRPr="0042467E">
              <w:rPr>
                <w:rFonts w:asciiTheme="majorHAnsi" w:hAnsiTheme="majorHAnsi" w:cstheme="majorHAnsi"/>
                <w:b/>
                <w:bCs/>
                <w:color w:val="000000"/>
                <w:sz w:val="16"/>
                <w:szCs w:val="16"/>
              </w:rPr>
              <w:t>Total</w:t>
            </w:r>
          </w:p>
        </w:tc>
        <w:tc>
          <w:tcPr>
            <w:tcW w:w="0" w:type="auto"/>
            <w:tcBorders>
              <w:top w:val="nil"/>
              <w:left w:val="nil"/>
              <w:bottom w:val="single" w:sz="8" w:space="0" w:color="000000"/>
              <w:right w:val="single" w:sz="8" w:space="0" w:color="000000"/>
            </w:tcBorders>
            <w:shd w:val="clear" w:color="auto" w:fill="000000"/>
            <w:vAlign w:val="center"/>
          </w:tcPr>
          <w:p w:rsidR="00993CF8" w:rsidRPr="0042467E" w:rsidP="00993CF8">
            <w:pPr>
              <w:pStyle w:val="NormalWeb"/>
              <w:spacing w:before="0" w:beforeAutospacing="0" w:after="0" w:afterAutospacing="0"/>
              <w:jc w:val="center"/>
              <w:rPr>
                <w:rFonts w:asciiTheme="majorHAnsi" w:hAnsiTheme="majorHAnsi" w:cstheme="majorHAnsi"/>
                <w:b/>
                <w:sz w:val="16"/>
                <w:szCs w:val="16"/>
              </w:rPr>
            </w:pPr>
          </w:p>
        </w:tc>
        <w:tc>
          <w:tcPr>
            <w:tcW w:w="0" w:type="auto"/>
            <w:tcBorders>
              <w:top w:val="nil"/>
              <w:left w:val="nil"/>
              <w:bottom w:val="single" w:sz="8" w:space="0" w:color="000000"/>
              <w:right w:val="single" w:sz="8" w:space="0" w:color="000000"/>
            </w:tcBorders>
            <w:shd w:val="clear" w:color="auto" w:fill="000000"/>
            <w:vAlign w:val="center"/>
          </w:tcPr>
          <w:p w:rsidR="00993CF8" w:rsidRPr="0042467E" w:rsidP="00993CF8">
            <w:pPr>
              <w:pStyle w:val="NormalWeb"/>
              <w:spacing w:before="0" w:beforeAutospacing="0" w:after="0" w:afterAutospacing="0"/>
              <w:jc w:val="center"/>
              <w:rPr>
                <w:rFonts w:asciiTheme="majorHAnsi" w:hAnsiTheme="majorHAnsi" w:cstheme="majorHAnsi"/>
                <w:b/>
                <w:sz w:val="16"/>
                <w:szCs w:val="16"/>
              </w:rPr>
            </w:pPr>
          </w:p>
        </w:tc>
        <w:tc>
          <w:tcPr>
            <w:tcW w:w="0" w:type="auto"/>
            <w:tcBorders>
              <w:top w:val="nil"/>
              <w:left w:val="nil"/>
              <w:bottom w:val="single" w:sz="8" w:space="0" w:color="000000"/>
              <w:right w:val="single" w:sz="8" w:space="0" w:color="000000"/>
            </w:tcBorders>
            <w:shd w:val="clear" w:color="auto" w:fill="000000"/>
            <w:vAlign w:val="center"/>
          </w:tcPr>
          <w:p w:rsidR="00993CF8" w:rsidRPr="0042467E" w:rsidP="00993CF8">
            <w:pPr>
              <w:pStyle w:val="NormalWeb"/>
              <w:spacing w:before="0" w:beforeAutospacing="0" w:after="0" w:afterAutospacing="0"/>
              <w:jc w:val="center"/>
              <w:rPr>
                <w:rFonts w:asciiTheme="majorHAnsi" w:hAnsiTheme="majorHAnsi" w:cstheme="majorHAnsi"/>
                <w:b/>
                <w:sz w:val="16"/>
                <w:szCs w:val="16"/>
              </w:rPr>
            </w:pPr>
          </w:p>
        </w:tc>
        <w:tc>
          <w:tcPr>
            <w:tcW w:w="0" w:type="auto"/>
            <w:tcBorders>
              <w:top w:val="nil"/>
              <w:left w:val="nil"/>
              <w:bottom w:val="single" w:sz="8" w:space="0" w:color="000000"/>
              <w:right w:val="single" w:sz="8" w:space="0" w:color="000000"/>
            </w:tcBorders>
            <w:shd w:val="clear" w:color="auto" w:fill="DDEBF7"/>
            <w:vAlign w:val="center"/>
            <w:hideMark/>
          </w:tcPr>
          <w:p w:rsidR="00993CF8" w:rsidRPr="0042467E" w:rsidP="00993CF8">
            <w:pPr>
              <w:pStyle w:val="NormalWeb"/>
              <w:spacing w:before="0" w:beforeAutospacing="0" w:after="0" w:afterAutospacing="0"/>
              <w:jc w:val="center"/>
              <w:rPr>
                <w:rFonts w:asciiTheme="majorHAnsi" w:hAnsiTheme="majorHAnsi" w:cstheme="majorHAnsi"/>
                <w:b/>
                <w:sz w:val="16"/>
                <w:szCs w:val="16"/>
              </w:rPr>
            </w:pPr>
            <w:r w:rsidRPr="0042467E">
              <w:rPr>
                <w:rFonts w:asciiTheme="majorHAnsi" w:hAnsiTheme="majorHAnsi" w:cstheme="majorHAnsi"/>
                <w:b/>
                <w:bCs/>
                <w:color w:val="000000"/>
                <w:sz w:val="16"/>
                <w:szCs w:val="16"/>
              </w:rPr>
              <w:t>913</w:t>
            </w:r>
          </w:p>
        </w:tc>
        <w:tc>
          <w:tcPr>
            <w:tcW w:w="0" w:type="auto"/>
            <w:tcBorders>
              <w:top w:val="nil"/>
              <w:left w:val="nil"/>
              <w:bottom w:val="single" w:sz="8" w:space="0" w:color="000000"/>
              <w:right w:val="single" w:sz="8" w:space="0" w:color="000000"/>
            </w:tcBorders>
            <w:shd w:val="clear" w:color="auto" w:fill="000000"/>
            <w:vAlign w:val="center"/>
          </w:tcPr>
          <w:p w:rsidR="00993CF8" w:rsidRPr="0042467E" w:rsidP="00993CF8">
            <w:pPr>
              <w:pStyle w:val="NormalWeb"/>
              <w:spacing w:before="0" w:beforeAutospacing="0" w:after="0" w:afterAutospacing="0"/>
              <w:jc w:val="center"/>
              <w:rPr>
                <w:rFonts w:asciiTheme="majorHAnsi" w:hAnsiTheme="majorHAnsi" w:cstheme="majorHAnsi"/>
                <w:b/>
                <w:sz w:val="16"/>
                <w:szCs w:val="16"/>
              </w:rPr>
            </w:pPr>
          </w:p>
        </w:tc>
        <w:tc>
          <w:tcPr>
            <w:tcW w:w="0" w:type="auto"/>
            <w:tcBorders>
              <w:top w:val="nil"/>
              <w:left w:val="nil"/>
              <w:bottom w:val="single" w:sz="8" w:space="0" w:color="000000"/>
              <w:right w:val="single" w:sz="8" w:space="0" w:color="000000"/>
            </w:tcBorders>
            <w:shd w:val="clear" w:color="auto" w:fill="DDEBF7"/>
            <w:vAlign w:val="center"/>
            <w:hideMark/>
          </w:tcPr>
          <w:p w:rsidR="00993CF8" w:rsidRPr="0042467E" w:rsidP="00993CF8">
            <w:pPr>
              <w:pStyle w:val="NormalWeb"/>
              <w:spacing w:before="0" w:beforeAutospacing="0" w:after="0" w:afterAutospacing="0"/>
              <w:jc w:val="center"/>
              <w:rPr>
                <w:rFonts w:asciiTheme="majorHAnsi" w:hAnsiTheme="majorHAnsi" w:cstheme="majorHAnsi"/>
                <w:b/>
                <w:sz w:val="16"/>
                <w:szCs w:val="16"/>
              </w:rPr>
            </w:pPr>
            <w:r w:rsidRPr="0042467E">
              <w:rPr>
                <w:rFonts w:asciiTheme="majorHAnsi" w:hAnsiTheme="majorHAnsi" w:cstheme="majorHAnsi"/>
                <w:b/>
                <w:bCs/>
                <w:color w:val="000000"/>
                <w:sz w:val="16"/>
                <w:szCs w:val="16"/>
              </w:rPr>
              <w:t>310</w:t>
            </w:r>
          </w:p>
        </w:tc>
        <w:tc>
          <w:tcPr>
            <w:tcW w:w="0" w:type="auto"/>
            <w:tcBorders>
              <w:top w:val="nil"/>
              <w:left w:val="nil"/>
              <w:bottom w:val="single" w:sz="8" w:space="0" w:color="000000"/>
              <w:right w:val="single" w:sz="8" w:space="0" w:color="000000"/>
            </w:tcBorders>
            <w:shd w:val="clear" w:color="auto" w:fill="000000"/>
            <w:vAlign w:val="center"/>
          </w:tcPr>
          <w:p w:rsidR="00993CF8" w:rsidRPr="0042467E" w:rsidP="00993CF8">
            <w:pPr>
              <w:pStyle w:val="NormalWeb"/>
              <w:spacing w:before="0" w:beforeAutospacing="0" w:after="0" w:afterAutospacing="0"/>
              <w:jc w:val="center"/>
              <w:rPr>
                <w:rFonts w:asciiTheme="majorHAnsi" w:hAnsiTheme="majorHAnsi" w:cstheme="majorHAnsi"/>
                <w:b/>
                <w:sz w:val="16"/>
                <w:szCs w:val="16"/>
              </w:rPr>
            </w:pPr>
          </w:p>
        </w:tc>
        <w:tc>
          <w:tcPr>
            <w:tcW w:w="0" w:type="auto"/>
            <w:tcBorders>
              <w:top w:val="nil"/>
              <w:left w:val="nil"/>
              <w:bottom w:val="single" w:sz="8" w:space="0" w:color="000000"/>
              <w:right w:val="single" w:sz="8" w:space="0" w:color="000000"/>
            </w:tcBorders>
            <w:shd w:val="clear" w:color="auto" w:fill="DDEBF7"/>
            <w:vAlign w:val="center"/>
          </w:tcPr>
          <w:p w:rsidR="00993CF8" w:rsidRPr="0042467E" w:rsidP="00993CF8">
            <w:pPr>
              <w:jc w:val="center"/>
              <w:rPr>
                <w:rFonts w:asciiTheme="majorHAnsi" w:hAnsiTheme="majorHAnsi" w:cstheme="majorHAnsi"/>
                <w:b/>
                <w:color w:val="000000"/>
                <w:sz w:val="16"/>
                <w:szCs w:val="16"/>
              </w:rPr>
            </w:pPr>
            <w:r w:rsidRPr="0042467E">
              <w:rPr>
                <w:rFonts w:asciiTheme="majorHAnsi" w:hAnsiTheme="majorHAnsi" w:cstheme="majorHAnsi"/>
                <w:b/>
                <w:color w:val="000000"/>
                <w:sz w:val="16"/>
                <w:szCs w:val="16"/>
              </w:rPr>
              <w:t>$9,074</w:t>
            </w:r>
          </w:p>
        </w:tc>
      </w:tr>
    </w:tbl>
    <w:p w:rsidR="00F949B3" w:rsidP="00F560BC">
      <w:pPr>
        <w:pBdr>
          <w:top w:val="nil"/>
          <w:left w:val="nil"/>
          <w:bottom w:val="nil"/>
          <w:right w:val="nil"/>
          <w:between w:val="nil"/>
        </w:pBdr>
        <w:spacing w:before="90"/>
        <w:rPr>
          <w:color w:val="000000"/>
          <w:sz w:val="24"/>
          <w:szCs w:val="24"/>
        </w:rPr>
      </w:pPr>
    </w:p>
    <w:p w:rsidR="00DF086E" w:rsidRPr="0042467E" w:rsidP="00F560BC">
      <w:pPr>
        <w:pBdr>
          <w:top w:val="nil"/>
          <w:left w:val="nil"/>
          <w:bottom w:val="nil"/>
          <w:right w:val="nil"/>
          <w:between w:val="nil"/>
        </w:pBdr>
        <w:spacing w:before="90"/>
        <w:rPr>
          <w:color w:val="000000"/>
          <w:sz w:val="24"/>
          <w:szCs w:val="24"/>
        </w:rPr>
      </w:pPr>
    </w:p>
    <w:p w:rsidR="00F949B3" w:rsidRPr="0042467E" w:rsidP="00F949B3">
      <w:pPr>
        <w:pStyle w:val="Heading1"/>
        <w:numPr>
          <w:ilvl w:val="0"/>
          <w:numId w:val="16"/>
        </w:numPr>
        <w:tabs>
          <w:tab w:val="left" w:pos="1440"/>
        </w:tabs>
        <w:spacing w:before="1"/>
        <w:rPr>
          <w:bCs/>
          <w:color w:val="000000"/>
        </w:rPr>
      </w:pPr>
      <w:r w:rsidRPr="0042467E">
        <w:rPr>
          <w:bCs/>
          <w:color w:val="000000"/>
        </w:rPr>
        <w:t>Provide an estimate for the total annual cost burden to respondents or record keepers resulting from the collection of information.</w:t>
      </w:r>
    </w:p>
    <w:p w:rsidR="00847376" w:rsidRPr="0042467E" w:rsidP="00847376"/>
    <w:p w:rsidR="00D67C05" w:rsidRPr="0042467E" w:rsidP="004C7106">
      <w:pPr>
        <w:pBdr>
          <w:top w:val="nil"/>
          <w:left w:val="nil"/>
          <w:bottom w:val="nil"/>
          <w:right w:val="nil"/>
          <w:between w:val="nil"/>
        </w:pBdr>
        <w:spacing w:before="4"/>
        <w:jc w:val="both"/>
        <w:rPr>
          <w:color w:val="000000"/>
          <w:sz w:val="24"/>
        </w:rPr>
      </w:pPr>
      <w:r w:rsidRPr="0042467E">
        <w:rPr>
          <w:color w:val="000000"/>
          <w:sz w:val="24"/>
        </w:rPr>
        <w:t>The information will be collected with in-person and/or telephone interviews. There are no capital/start-up or ongoing operation/maintenance costs associated with this information collection.</w:t>
      </w:r>
    </w:p>
    <w:p w:rsidR="003A2DAC" w:rsidRPr="0042467E" w:rsidP="00294148">
      <w:pPr>
        <w:pBdr>
          <w:top w:val="nil"/>
          <w:left w:val="nil"/>
          <w:bottom w:val="nil"/>
          <w:right w:val="nil"/>
          <w:between w:val="nil"/>
        </w:pBdr>
        <w:spacing w:before="4"/>
        <w:rPr>
          <w:color w:val="000000"/>
          <w:sz w:val="24"/>
        </w:rPr>
      </w:pPr>
    </w:p>
    <w:p w:rsidR="007E52BC" w:rsidRPr="0042467E" w:rsidP="00294148">
      <w:pPr>
        <w:pBdr>
          <w:top w:val="nil"/>
          <w:left w:val="nil"/>
          <w:bottom w:val="nil"/>
          <w:right w:val="nil"/>
          <w:between w:val="nil"/>
        </w:pBdr>
        <w:spacing w:before="4"/>
        <w:rPr>
          <w:color w:val="000000"/>
          <w:sz w:val="24"/>
        </w:rPr>
      </w:pPr>
    </w:p>
    <w:p w:rsidR="00D67C05" w:rsidRPr="0042467E" w:rsidP="00F560BC">
      <w:pPr>
        <w:pStyle w:val="Heading1"/>
        <w:numPr>
          <w:ilvl w:val="0"/>
          <w:numId w:val="16"/>
        </w:numPr>
        <w:tabs>
          <w:tab w:val="left" w:pos="1440"/>
        </w:tabs>
        <w:spacing w:before="1"/>
      </w:pPr>
      <w:r w:rsidRPr="0042467E">
        <w:t xml:space="preserve">Provide estimates of annualized cost to the Federal government. </w:t>
      </w:r>
      <w:r w:rsidRPr="0042467E">
        <w:rPr>
          <w:color w:val="000000"/>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67C05" w:rsidRPr="0042467E" w:rsidP="00F560BC">
      <w:pPr>
        <w:pBdr>
          <w:top w:val="nil"/>
          <w:left w:val="nil"/>
          <w:bottom w:val="nil"/>
          <w:right w:val="nil"/>
          <w:between w:val="nil"/>
        </w:pBdr>
        <w:spacing w:before="6"/>
        <w:rPr>
          <w:b/>
          <w:color w:val="000000"/>
          <w:sz w:val="15"/>
          <w:szCs w:val="15"/>
        </w:rPr>
      </w:pPr>
    </w:p>
    <w:p w:rsidR="00D356B3" w:rsidRPr="0042467E" w:rsidP="00D356B3">
      <w:pPr>
        <w:spacing w:before="90"/>
        <w:jc w:val="both"/>
      </w:pPr>
      <w:r w:rsidRPr="0042467E">
        <w:rPr>
          <w:sz w:val="24"/>
          <w:szCs w:val="24"/>
        </w:rPr>
        <w:t xml:space="preserve"> </w:t>
      </w:r>
      <w:r w:rsidRPr="0042467E">
        <w:t xml:space="preserve">A ZP IV NMFS (FTE) employee will have federal oversight, data collection, analysis, report writing, and administrative responsibilities associated with these information collections.  The Commerce Alternative Personnel System (CAPS) pay tables were used to calculate the loaded salary.  </w:t>
      </w:r>
      <w:hyperlink r:id="rId15" w:history="1">
        <w:r w:rsidRPr="0042467E">
          <w:rPr>
            <w:rStyle w:val="Hyperlink"/>
          </w:rPr>
          <w:t>https://www.commerce.gov/sites/default/files/2024-01/CAPS_rpStandard_2024.pdf</w:t>
        </w:r>
      </w:hyperlink>
      <w:r w:rsidRPr="0042467E">
        <w:t xml:space="preserve">  The Rest of U.S. locality was used since NOAA employees are geographically dispersed.  The base salary for a ZP-IV Interval 5 was used ($168,535).  A 1.5 multiplier was applied to calculate the loaded salary.</w:t>
      </w:r>
    </w:p>
    <w:p w:rsidR="00D356B3" w:rsidRPr="0042467E" w:rsidP="00D356B3">
      <w:pPr>
        <w:spacing w:before="90"/>
        <w:jc w:val="both"/>
      </w:pPr>
      <w:r w:rsidRPr="0042467E">
        <w:t xml:space="preserve">Contractor costs are estimated at $180,000 over the </w:t>
      </w:r>
      <w:r w:rsidRPr="0042467E" w:rsidR="00EF79F9">
        <w:t>two</w:t>
      </w:r>
      <w:r w:rsidRPr="0042467E">
        <w:t>-year period (annualized to $</w:t>
      </w:r>
      <w:r w:rsidRPr="0042467E" w:rsidR="00EF79F9">
        <w:t>90,000</w:t>
      </w:r>
      <w:r w:rsidRPr="0042467E">
        <w:t xml:space="preserve">). The contractor will be responsible for </w:t>
      </w:r>
      <w:r w:rsidRPr="0042467E" w:rsidR="00913BE4">
        <w:t>designing internet inter</w:t>
      </w:r>
      <w:r w:rsidRPr="0042467E" w:rsidR="004D73EB">
        <w:t>f</w:t>
      </w:r>
      <w:r w:rsidRPr="0042467E" w:rsidR="00913BE4">
        <w:t>a</w:t>
      </w:r>
      <w:r w:rsidRPr="0042467E" w:rsidR="004D73EB">
        <w:t>c</w:t>
      </w:r>
      <w:r w:rsidRPr="0042467E" w:rsidR="00913BE4">
        <w:t>e</w:t>
      </w:r>
      <w:r w:rsidRPr="0042467E">
        <w:t xml:space="preserve">, survey implementation and data collection, and preliminary data processing and quality control. We estimated the costs of the contracts to administer the surveys based on the costs of similar recent contracts. </w:t>
      </w:r>
    </w:p>
    <w:p w:rsidR="00D356B3" w:rsidRPr="0042467E" w:rsidP="00D356B3">
      <w:pPr>
        <w:spacing w:before="90"/>
        <w:jc w:val="both"/>
      </w:pPr>
      <w:r w:rsidRPr="0042467E">
        <w:t xml:space="preserve">Operational expenses include </w:t>
      </w:r>
      <w:r w:rsidRPr="0042467E" w:rsidR="00EB1440">
        <w:t>supplies, equipment,</w:t>
      </w:r>
      <w:r w:rsidRPr="0042467E">
        <w:t xml:space="preserve"> and travel for field visits to set up and monitor survey implementation.</w:t>
      </w:r>
    </w:p>
    <w:p w:rsidR="00D356B3" w:rsidRPr="0042467E" w:rsidP="00D356B3">
      <w:pPr>
        <w:spacing w:before="90"/>
      </w:pPr>
    </w:p>
    <w:p w:rsidR="00D356B3" w:rsidRPr="0042467E" w:rsidP="00D356B3">
      <w:pPr>
        <w:spacing w:before="90"/>
      </w:pPr>
      <w:r w:rsidRPr="0042467E">
        <w:t>Table 3 provides a detailed breakdown of these cost estimates.</w:t>
      </w:r>
    </w:p>
    <w:p w:rsidR="00D356B3" w:rsidRPr="0042467E" w:rsidP="00D356B3">
      <w:pPr>
        <w:spacing w:before="9" w:after="1"/>
        <w:rPr>
          <w:b/>
          <w:color w:val="000000"/>
        </w:rPr>
      </w:pPr>
    </w:p>
    <w:tbl>
      <w:tblPr>
        <w:tblStyle w:val="a2"/>
        <w:tblW w:w="8235" w:type="dxa"/>
        <w:tblInd w:w="-140" w:type="dxa"/>
        <w:tblLayout w:type="fixed"/>
        <w:tblLook w:val="0400"/>
      </w:tblPr>
      <w:tblGrid>
        <w:gridCol w:w="2280"/>
        <w:gridCol w:w="1119"/>
        <w:gridCol w:w="1139"/>
        <w:gridCol w:w="1119"/>
        <w:gridCol w:w="1279"/>
        <w:gridCol w:w="1299"/>
      </w:tblGrid>
      <w:tr w:rsidTr="00D356B3">
        <w:tblPrEx>
          <w:tblW w:w="8235" w:type="dxa"/>
          <w:tblInd w:w="-140"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hideMark/>
          </w:tcPr>
          <w:p w:rsidR="00D356B3" w:rsidRPr="0042467E" w:rsidP="00810A02">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hideMark/>
          </w:tcPr>
          <w:p w:rsidR="00D356B3" w:rsidRPr="0042467E" w:rsidP="00810A02">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hideMark/>
          </w:tcPr>
          <w:p w:rsidR="00D356B3" w:rsidRPr="0042467E" w:rsidP="00810A02">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hideMark/>
          </w:tcPr>
          <w:p w:rsidR="00D356B3" w:rsidRPr="0042467E" w:rsidP="00810A02">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hideMark/>
          </w:tcPr>
          <w:p w:rsidR="00D356B3" w:rsidRPr="0042467E" w:rsidP="00810A02">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hideMark/>
          </w:tcPr>
          <w:p w:rsidR="00D356B3" w:rsidRPr="0042467E" w:rsidP="00810A02">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Total Cost to Government</w:t>
            </w:r>
          </w:p>
        </w:tc>
      </w:tr>
      <w:tr w:rsidTr="00D356B3">
        <w:tblPrEx>
          <w:tblW w:w="8235" w:type="dxa"/>
          <w:tblInd w:w="-140"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vAlign w:val="bottom"/>
            <w:hideMark/>
          </w:tcPr>
          <w:p w:rsidR="00D356B3" w:rsidRPr="0042467E" w:rsidP="00810A02">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Federal Oversight</w:t>
            </w:r>
          </w:p>
        </w:tc>
        <w:tc>
          <w:tcPr>
            <w:tcW w:w="1120" w:type="dxa"/>
            <w:tcBorders>
              <w:top w:val="single" w:sz="4" w:space="0" w:color="000000"/>
              <w:left w:val="nil"/>
              <w:bottom w:val="single" w:sz="4" w:space="0" w:color="000000"/>
              <w:right w:val="single" w:sz="4" w:space="0" w:color="000000"/>
            </w:tcBorders>
            <w:vAlign w:val="bottom"/>
            <w:hideMark/>
          </w:tcPr>
          <w:p w:rsidR="00D356B3" w:rsidRPr="0042467E" w:rsidP="00810A02">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ZP IV</w:t>
            </w:r>
          </w:p>
        </w:tc>
        <w:tc>
          <w:tcPr>
            <w:tcW w:w="1140" w:type="dxa"/>
            <w:tcBorders>
              <w:top w:val="single" w:sz="4" w:space="0" w:color="000000"/>
              <w:left w:val="nil"/>
              <w:bottom w:val="single" w:sz="4" w:space="0" w:color="000000"/>
              <w:right w:val="single" w:sz="4" w:space="0" w:color="000000"/>
            </w:tcBorders>
            <w:vAlign w:val="bottom"/>
            <w:hideMark/>
          </w:tcPr>
          <w:p w:rsidR="00D356B3" w:rsidRPr="0042467E" w:rsidP="00810A02">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252,803</w:t>
            </w:r>
          </w:p>
        </w:tc>
        <w:tc>
          <w:tcPr>
            <w:tcW w:w="1120" w:type="dxa"/>
            <w:tcBorders>
              <w:top w:val="single" w:sz="4" w:space="0" w:color="000000"/>
              <w:left w:val="nil"/>
              <w:bottom w:val="single" w:sz="4" w:space="0" w:color="000000"/>
              <w:right w:val="single" w:sz="4" w:space="0" w:color="000000"/>
            </w:tcBorders>
            <w:vAlign w:val="bottom"/>
            <w:hideMark/>
          </w:tcPr>
          <w:p w:rsidR="00D356B3" w:rsidRPr="0042467E" w:rsidP="00810A02">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31%</w:t>
            </w:r>
          </w:p>
        </w:tc>
        <w:tc>
          <w:tcPr>
            <w:tcW w:w="1280" w:type="dxa"/>
            <w:tcBorders>
              <w:top w:val="single" w:sz="4" w:space="0" w:color="000000"/>
              <w:left w:val="nil"/>
              <w:bottom w:val="single" w:sz="4" w:space="0" w:color="000000"/>
              <w:right w:val="single" w:sz="4" w:space="0" w:color="000000"/>
            </w:tcBorders>
            <w:shd w:val="clear" w:color="auto" w:fill="808080"/>
            <w:vAlign w:val="bottom"/>
            <w:hideMark/>
          </w:tcPr>
          <w:p w:rsidR="00D356B3" w:rsidRPr="0042467E" w:rsidP="00810A02">
            <w:pPr>
              <w:widowControl/>
              <w:jc w:val="center"/>
              <w:rPr>
                <w:rFonts w:eastAsia="Calibri" w:asciiTheme="majorHAnsi" w:hAnsiTheme="majorHAnsi" w:cstheme="majorHAnsi"/>
                <w:b/>
                <w:color w:val="000000"/>
                <w:sz w:val="16"/>
                <w:szCs w:val="16"/>
              </w:rPr>
            </w:pPr>
          </w:p>
        </w:tc>
        <w:tc>
          <w:tcPr>
            <w:tcW w:w="1300" w:type="dxa"/>
            <w:tcBorders>
              <w:top w:val="single" w:sz="4" w:space="0" w:color="000000"/>
              <w:left w:val="nil"/>
              <w:bottom w:val="single" w:sz="4" w:space="0" w:color="000000"/>
              <w:right w:val="single" w:sz="8" w:space="0" w:color="000000"/>
            </w:tcBorders>
            <w:vAlign w:val="bottom"/>
            <w:hideMark/>
          </w:tcPr>
          <w:p w:rsidR="00D356B3" w:rsidRPr="0042467E" w:rsidP="00810A02">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78,369</w:t>
            </w:r>
          </w:p>
        </w:tc>
      </w:tr>
      <w:tr w:rsidTr="00D356B3">
        <w:tblPrEx>
          <w:tblW w:w="8235"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vAlign w:val="bottom"/>
            <w:hideMark/>
          </w:tcPr>
          <w:p w:rsidR="00D356B3" w:rsidRPr="0042467E" w:rsidP="00810A02">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Other Federal Positions</w:t>
            </w:r>
          </w:p>
        </w:tc>
        <w:tc>
          <w:tcPr>
            <w:tcW w:w="1120" w:type="dxa"/>
            <w:tcBorders>
              <w:top w:val="nil"/>
              <w:left w:val="nil"/>
              <w:bottom w:val="single" w:sz="4" w:space="0" w:color="000000"/>
              <w:right w:val="single" w:sz="4" w:space="0" w:color="000000"/>
            </w:tcBorders>
            <w:vAlign w:val="bottom"/>
            <w:hideMark/>
          </w:tcPr>
          <w:p w:rsidR="00D356B3" w:rsidRPr="0042467E" w:rsidP="00810A02">
            <w:pPr>
              <w:widowControl/>
              <w:jc w:val="center"/>
              <w:rPr>
                <w:rFonts w:eastAsia="Calibri" w:asciiTheme="majorHAnsi" w:hAnsiTheme="majorHAnsi" w:cstheme="majorHAnsi"/>
                <w:b/>
                <w:color w:val="000000"/>
                <w:sz w:val="16"/>
                <w:szCs w:val="16"/>
              </w:rPr>
            </w:pPr>
          </w:p>
        </w:tc>
        <w:tc>
          <w:tcPr>
            <w:tcW w:w="1140" w:type="dxa"/>
            <w:tcBorders>
              <w:top w:val="nil"/>
              <w:left w:val="nil"/>
              <w:bottom w:val="single" w:sz="4" w:space="0" w:color="000000"/>
              <w:right w:val="single" w:sz="4" w:space="0" w:color="000000"/>
            </w:tcBorders>
            <w:vAlign w:val="bottom"/>
            <w:hideMark/>
          </w:tcPr>
          <w:p w:rsidR="00D356B3" w:rsidRPr="0042467E" w:rsidP="00810A02">
            <w:pPr>
              <w:widowControl/>
              <w:jc w:val="center"/>
              <w:rPr>
                <w:rFonts w:eastAsia="Calibri" w:asciiTheme="majorHAnsi" w:hAnsiTheme="majorHAnsi" w:cstheme="majorHAnsi"/>
                <w:b/>
                <w:color w:val="000000"/>
                <w:sz w:val="16"/>
                <w:szCs w:val="16"/>
              </w:rPr>
            </w:pPr>
          </w:p>
        </w:tc>
        <w:tc>
          <w:tcPr>
            <w:tcW w:w="1120" w:type="dxa"/>
            <w:tcBorders>
              <w:top w:val="nil"/>
              <w:left w:val="nil"/>
              <w:bottom w:val="single" w:sz="4" w:space="0" w:color="000000"/>
              <w:right w:val="single" w:sz="4" w:space="0" w:color="000000"/>
            </w:tcBorders>
            <w:vAlign w:val="bottom"/>
            <w:hideMark/>
          </w:tcPr>
          <w:p w:rsidR="00D356B3" w:rsidRPr="0042467E" w:rsidP="00810A02">
            <w:pPr>
              <w:widowControl/>
              <w:jc w:val="center"/>
              <w:rPr>
                <w:rFonts w:eastAsia="Calibri" w:asciiTheme="majorHAnsi" w:hAnsiTheme="majorHAnsi" w:cstheme="majorHAnsi"/>
                <w:b/>
                <w:color w:val="000000"/>
                <w:sz w:val="16"/>
                <w:szCs w:val="16"/>
              </w:rPr>
            </w:pPr>
          </w:p>
        </w:tc>
        <w:tc>
          <w:tcPr>
            <w:tcW w:w="1280" w:type="dxa"/>
            <w:tcBorders>
              <w:top w:val="nil"/>
              <w:left w:val="nil"/>
              <w:bottom w:val="single" w:sz="4" w:space="0" w:color="000000"/>
              <w:right w:val="single" w:sz="4" w:space="0" w:color="000000"/>
            </w:tcBorders>
            <w:shd w:val="clear" w:color="auto" w:fill="808080"/>
            <w:vAlign w:val="bottom"/>
            <w:hideMark/>
          </w:tcPr>
          <w:p w:rsidR="00D356B3" w:rsidRPr="0042467E" w:rsidP="00810A02">
            <w:pPr>
              <w:widowControl/>
              <w:jc w:val="center"/>
              <w:rPr>
                <w:rFonts w:eastAsia="Calibri" w:asciiTheme="majorHAnsi" w:hAnsiTheme="majorHAnsi" w:cstheme="majorHAnsi"/>
                <w:b/>
                <w:color w:val="000000"/>
                <w:sz w:val="16"/>
                <w:szCs w:val="16"/>
              </w:rPr>
            </w:pPr>
          </w:p>
        </w:tc>
        <w:tc>
          <w:tcPr>
            <w:tcW w:w="1300" w:type="dxa"/>
            <w:tcBorders>
              <w:top w:val="nil"/>
              <w:left w:val="nil"/>
              <w:bottom w:val="single" w:sz="4" w:space="0" w:color="000000"/>
              <w:right w:val="single" w:sz="8" w:space="0" w:color="000000"/>
            </w:tcBorders>
            <w:vAlign w:val="bottom"/>
          </w:tcPr>
          <w:p w:rsidR="00D356B3" w:rsidRPr="0042467E" w:rsidP="00810A02">
            <w:pPr>
              <w:widowControl/>
              <w:jc w:val="center"/>
              <w:rPr>
                <w:rFonts w:eastAsia="Calibri" w:asciiTheme="majorHAnsi" w:hAnsiTheme="majorHAnsi" w:cstheme="majorHAnsi"/>
                <w:b/>
                <w:color w:val="000000"/>
                <w:sz w:val="16"/>
                <w:szCs w:val="16"/>
              </w:rPr>
            </w:pPr>
          </w:p>
        </w:tc>
      </w:tr>
      <w:tr w:rsidTr="00D356B3">
        <w:tblPrEx>
          <w:tblW w:w="8235"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vAlign w:val="bottom"/>
            <w:hideMark/>
          </w:tcPr>
          <w:p w:rsidR="00D356B3" w:rsidRPr="0042467E" w:rsidP="00810A02">
            <w:pPr>
              <w:widowControl/>
              <w:jc w:val="center"/>
              <w:rPr>
                <w:rFonts w:eastAsia="Calibri" w:asciiTheme="majorHAnsi" w:hAnsiTheme="majorHAnsi" w:cstheme="majorHAnsi"/>
                <w:b/>
                <w:color w:val="000000"/>
                <w:sz w:val="16"/>
                <w:szCs w:val="16"/>
              </w:rPr>
            </w:pPr>
          </w:p>
        </w:tc>
        <w:tc>
          <w:tcPr>
            <w:tcW w:w="1120" w:type="dxa"/>
            <w:tcBorders>
              <w:top w:val="nil"/>
              <w:left w:val="nil"/>
              <w:bottom w:val="single" w:sz="4" w:space="0" w:color="000000"/>
              <w:right w:val="single" w:sz="4" w:space="0" w:color="000000"/>
            </w:tcBorders>
            <w:vAlign w:val="bottom"/>
            <w:hideMark/>
          </w:tcPr>
          <w:p w:rsidR="00D356B3" w:rsidRPr="0042467E" w:rsidP="00810A02">
            <w:pPr>
              <w:widowControl/>
              <w:jc w:val="center"/>
              <w:rPr>
                <w:rFonts w:eastAsia="Calibri" w:asciiTheme="majorHAnsi" w:hAnsiTheme="majorHAnsi" w:cstheme="majorHAnsi"/>
                <w:b/>
                <w:color w:val="000000"/>
                <w:sz w:val="16"/>
                <w:szCs w:val="16"/>
              </w:rPr>
            </w:pPr>
          </w:p>
        </w:tc>
        <w:tc>
          <w:tcPr>
            <w:tcW w:w="1140" w:type="dxa"/>
            <w:tcBorders>
              <w:top w:val="nil"/>
              <w:left w:val="nil"/>
              <w:bottom w:val="single" w:sz="4" w:space="0" w:color="000000"/>
              <w:right w:val="single" w:sz="4" w:space="0" w:color="000000"/>
            </w:tcBorders>
            <w:vAlign w:val="bottom"/>
            <w:hideMark/>
          </w:tcPr>
          <w:p w:rsidR="00D356B3" w:rsidRPr="0042467E" w:rsidP="00810A02">
            <w:pPr>
              <w:widowControl/>
              <w:jc w:val="center"/>
              <w:rPr>
                <w:rFonts w:eastAsia="Calibri" w:asciiTheme="majorHAnsi" w:hAnsiTheme="majorHAnsi" w:cstheme="majorHAnsi"/>
                <w:b/>
                <w:color w:val="000000"/>
                <w:sz w:val="16"/>
                <w:szCs w:val="16"/>
              </w:rPr>
            </w:pPr>
          </w:p>
        </w:tc>
        <w:tc>
          <w:tcPr>
            <w:tcW w:w="1120" w:type="dxa"/>
            <w:tcBorders>
              <w:top w:val="nil"/>
              <w:left w:val="nil"/>
              <w:bottom w:val="single" w:sz="4" w:space="0" w:color="000000"/>
              <w:right w:val="single" w:sz="4" w:space="0" w:color="000000"/>
            </w:tcBorders>
            <w:vAlign w:val="bottom"/>
            <w:hideMark/>
          </w:tcPr>
          <w:p w:rsidR="00D356B3" w:rsidRPr="0042467E" w:rsidP="00810A02">
            <w:pPr>
              <w:widowControl/>
              <w:jc w:val="center"/>
              <w:rPr>
                <w:rFonts w:eastAsia="Calibri" w:asciiTheme="majorHAnsi" w:hAnsiTheme="majorHAnsi" w:cstheme="majorHAnsi"/>
                <w:b/>
                <w:color w:val="000000"/>
                <w:sz w:val="16"/>
                <w:szCs w:val="16"/>
              </w:rPr>
            </w:pPr>
          </w:p>
        </w:tc>
        <w:tc>
          <w:tcPr>
            <w:tcW w:w="1280" w:type="dxa"/>
            <w:tcBorders>
              <w:top w:val="nil"/>
              <w:left w:val="nil"/>
              <w:bottom w:val="single" w:sz="4" w:space="0" w:color="000000"/>
              <w:right w:val="single" w:sz="4" w:space="0" w:color="000000"/>
            </w:tcBorders>
            <w:shd w:val="clear" w:color="auto" w:fill="808080"/>
            <w:vAlign w:val="bottom"/>
            <w:hideMark/>
          </w:tcPr>
          <w:p w:rsidR="00D356B3" w:rsidRPr="0042467E" w:rsidP="00810A02">
            <w:pPr>
              <w:widowControl/>
              <w:jc w:val="center"/>
              <w:rPr>
                <w:rFonts w:eastAsia="Calibri" w:asciiTheme="majorHAnsi" w:hAnsiTheme="majorHAnsi" w:cstheme="majorHAnsi"/>
                <w:b/>
                <w:color w:val="000000"/>
                <w:sz w:val="16"/>
                <w:szCs w:val="16"/>
              </w:rPr>
            </w:pPr>
          </w:p>
        </w:tc>
        <w:tc>
          <w:tcPr>
            <w:tcW w:w="1300" w:type="dxa"/>
            <w:tcBorders>
              <w:top w:val="nil"/>
              <w:left w:val="nil"/>
              <w:bottom w:val="single" w:sz="4" w:space="0" w:color="000000"/>
              <w:right w:val="single" w:sz="8" w:space="0" w:color="000000"/>
            </w:tcBorders>
            <w:vAlign w:val="bottom"/>
          </w:tcPr>
          <w:p w:rsidR="00D356B3" w:rsidRPr="0042467E" w:rsidP="00810A02">
            <w:pPr>
              <w:widowControl/>
              <w:jc w:val="center"/>
              <w:rPr>
                <w:rFonts w:eastAsia="Calibri" w:asciiTheme="majorHAnsi" w:hAnsiTheme="majorHAnsi" w:cstheme="majorHAnsi"/>
                <w:b/>
                <w:color w:val="000000"/>
                <w:sz w:val="16"/>
                <w:szCs w:val="16"/>
              </w:rPr>
            </w:pPr>
          </w:p>
        </w:tc>
      </w:tr>
      <w:tr w:rsidTr="00D356B3">
        <w:tblPrEx>
          <w:tblW w:w="8235" w:type="dxa"/>
          <w:tblInd w:w="-140" w:type="dxa"/>
          <w:tblLayout w:type="fixed"/>
          <w:tblLook w:val="0400"/>
        </w:tblPrEx>
        <w:trPr>
          <w:trHeight w:val="465"/>
        </w:trPr>
        <w:tc>
          <w:tcPr>
            <w:tcW w:w="2280" w:type="dxa"/>
            <w:tcBorders>
              <w:top w:val="nil"/>
              <w:left w:val="single" w:sz="8" w:space="0" w:color="000000"/>
              <w:bottom w:val="single" w:sz="4" w:space="0" w:color="000000"/>
              <w:right w:val="single" w:sz="8" w:space="0" w:color="000000"/>
            </w:tcBorders>
            <w:vAlign w:val="bottom"/>
            <w:hideMark/>
          </w:tcPr>
          <w:p w:rsidR="00D356B3" w:rsidRPr="0042467E" w:rsidP="00810A02">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Contractor Cost</w:t>
            </w:r>
          </w:p>
        </w:tc>
        <w:tc>
          <w:tcPr>
            <w:tcW w:w="1120" w:type="dxa"/>
            <w:tcBorders>
              <w:top w:val="nil"/>
              <w:left w:val="nil"/>
              <w:bottom w:val="single" w:sz="4" w:space="0" w:color="000000"/>
              <w:right w:val="single" w:sz="4" w:space="0" w:color="000000"/>
            </w:tcBorders>
            <w:shd w:val="clear" w:color="auto" w:fill="808080"/>
            <w:vAlign w:val="bottom"/>
            <w:hideMark/>
          </w:tcPr>
          <w:p w:rsidR="00D356B3" w:rsidRPr="0042467E" w:rsidP="00810A02">
            <w:pPr>
              <w:widowControl/>
              <w:jc w:val="center"/>
              <w:rPr>
                <w:rFonts w:eastAsia="Calibri" w:asciiTheme="majorHAnsi" w:hAnsiTheme="majorHAnsi" w:cstheme="majorHAnsi"/>
                <w:b/>
                <w:color w:val="000000"/>
                <w:sz w:val="16"/>
                <w:szCs w:val="16"/>
              </w:rPr>
            </w:pPr>
          </w:p>
        </w:tc>
        <w:tc>
          <w:tcPr>
            <w:tcW w:w="1140" w:type="dxa"/>
            <w:tcBorders>
              <w:top w:val="nil"/>
              <w:left w:val="nil"/>
              <w:bottom w:val="single" w:sz="4" w:space="0" w:color="000000"/>
              <w:right w:val="single" w:sz="4" w:space="0" w:color="000000"/>
            </w:tcBorders>
            <w:vAlign w:val="bottom"/>
            <w:hideMark/>
          </w:tcPr>
          <w:p w:rsidR="00D356B3" w:rsidRPr="0042467E" w:rsidP="00810A02">
            <w:pPr>
              <w:widowControl/>
              <w:jc w:val="center"/>
              <w:rPr>
                <w:rFonts w:eastAsia="Calibri" w:asciiTheme="majorHAnsi" w:hAnsiTheme="majorHAnsi" w:cstheme="majorHAnsi"/>
                <w:b/>
                <w:color w:val="000000"/>
                <w:sz w:val="16"/>
                <w:szCs w:val="16"/>
              </w:rPr>
            </w:pPr>
          </w:p>
        </w:tc>
        <w:tc>
          <w:tcPr>
            <w:tcW w:w="1120" w:type="dxa"/>
            <w:tcBorders>
              <w:top w:val="nil"/>
              <w:left w:val="nil"/>
              <w:bottom w:val="single" w:sz="4" w:space="0" w:color="000000"/>
              <w:right w:val="single" w:sz="4" w:space="0" w:color="000000"/>
            </w:tcBorders>
            <w:vAlign w:val="bottom"/>
            <w:hideMark/>
          </w:tcPr>
          <w:p w:rsidR="00D356B3" w:rsidRPr="0042467E" w:rsidP="00810A02">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180</w:t>
            </w:r>
            <w:r w:rsidRPr="0042467E" w:rsidR="00810A02">
              <w:rPr>
                <w:rFonts w:eastAsia="Calibri" w:asciiTheme="majorHAnsi" w:hAnsiTheme="majorHAnsi" w:cstheme="majorHAnsi"/>
                <w:b/>
                <w:color w:val="000000"/>
                <w:sz w:val="16"/>
                <w:szCs w:val="16"/>
              </w:rPr>
              <w:t>,</w:t>
            </w:r>
            <w:r w:rsidRPr="0042467E">
              <w:rPr>
                <w:rFonts w:eastAsia="Calibri" w:asciiTheme="majorHAnsi" w:hAnsiTheme="majorHAnsi" w:cstheme="majorHAnsi"/>
                <w:b/>
                <w:color w:val="000000"/>
                <w:sz w:val="16"/>
                <w:szCs w:val="16"/>
              </w:rPr>
              <w:t>000/2</w:t>
            </w:r>
          </w:p>
        </w:tc>
        <w:tc>
          <w:tcPr>
            <w:tcW w:w="1280" w:type="dxa"/>
            <w:tcBorders>
              <w:top w:val="nil"/>
              <w:left w:val="nil"/>
              <w:bottom w:val="single" w:sz="4" w:space="0" w:color="000000"/>
              <w:right w:val="single" w:sz="4" w:space="0" w:color="000000"/>
            </w:tcBorders>
            <w:vAlign w:val="bottom"/>
            <w:hideMark/>
          </w:tcPr>
          <w:p w:rsidR="00D356B3" w:rsidRPr="0042467E" w:rsidP="00810A02">
            <w:pPr>
              <w:widowControl/>
              <w:jc w:val="center"/>
              <w:rPr>
                <w:rFonts w:eastAsia="Calibri" w:asciiTheme="majorHAnsi" w:hAnsiTheme="majorHAnsi" w:cstheme="majorHAnsi"/>
                <w:b/>
                <w:color w:val="000000"/>
                <w:sz w:val="16"/>
                <w:szCs w:val="16"/>
              </w:rPr>
            </w:pPr>
          </w:p>
        </w:tc>
        <w:tc>
          <w:tcPr>
            <w:tcW w:w="1300" w:type="dxa"/>
            <w:tcBorders>
              <w:top w:val="nil"/>
              <w:left w:val="nil"/>
              <w:bottom w:val="single" w:sz="4" w:space="0" w:color="000000"/>
              <w:right w:val="single" w:sz="8" w:space="0" w:color="000000"/>
            </w:tcBorders>
            <w:vAlign w:val="bottom"/>
            <w:hideMark/>
          </w:tcPr>
          <w:p w:rsidR="00D356B3" w:rsidRPr="0042467E" w:rsidP="00810A02">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90,000 (annualized)</w:t>
            </w:r>
          </w:p>
        </w:tc>
      </w:tr>
      <w:tr w:rsidTr="00D356B3">
        <w:tblPrEx>
          <w:tblW w:w="8235"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vAlign w:val="bottom"/>
            <w:hideMark/>
          </w:tcPr>
          <w:p w:rsidR="00D356B3" w:rsidRPr="0042467E" w:rsidP="00810A02">
            <w:pPr>
              <w:widowControl/>
              <w:jc w:val="center"/>
              <w:rPr>
                <w:rFonts w:eastAsia="Calibri" w:asciiTheme="majorHAnsi" w:hAnsiTheme="majorHAnsi" w:cstheme="majorHAnsi"/>
                <w:b/>
                <w:color w:val="000000"/>
                <w:sz w:val="16"/>
                <w:szCs w:val="16"/>
              </w:rPr>
            </w:pPr>
          </w:p>
        </w:tc>
        <w:tc>
          <w:tcPr>
            <w:tcW w:w="1120" w:type="dxa"/>
            <w:tcBorders>
              <w:top w:val="nil"/>
              <w:left w:val="nil"/>
              <w:bottom w:val="single" w:sz="4" w:space="0" w:color="000000"/>
              <w:right w:val="single" w:sz="4" w:space="0" w:color="000000"/>
            </w:tcBorders>
            <w:vAlign w:val="bottom"/>
            <w:hideMark/>
          </w:tcPr>
          <w:p w:rsidR="00D356B3" w:rsidRPr="0042467E" w:rsidP="00810A02">
            <w:pPr>
              <w:widowControl/>
              <w:jc w:val="center"/>
              <w:rPr>
                <w:rFonts w:eastAsia="Calibri" w:asciiTheme="majorHAnsi" w:hAnsiTheme="majorHAnsi" w:cstheme="majorHAnsi"/>
                <w:b/>
                <w:color w:val="000000"/>
                <w:sz w:val="16"/>
                <w:szCs w:val="16"/>
              </w:rPr>
            </w:pPr>
          </w:p>
        </w:tc>
        <w:tc>
          <w:tcPr>
            <w:tcW w:w="1140" w:type="dxa"/>
            <w:tcBorders>
              <w:top w:val="nil"/>
              <w:left w:val="nil"/>
              <w:bottom w:val="single" w:sz="4" w:space="0" w:color="000000"/>
              <w:right w:val="single" w:sz="4" w:space="0" w:color="000000"/>
            </w:tcBorders>
            <w:vAlign w:val="bottom"/>
            <w:hideMark/>
          </w:tcPr>
          <w:p w:rsidR="00D356B3" w:rsidRPr="0042467E" w:rsidP="00810A02">
            <w:pPr>
              <w:widowControl/>
              <w:jc w:val="center"/>
              <w:rPr>
                <w:rFonts w:eastAsia="Calibri" w:asciiTheme="majorHAnsi" w:hAnsiTheme="majorHAnsi" w:cstheme="majorHAnsi"/>
                <w:b/>
                <w:color w:val="000000"/>
                <w:sz w:val="16"/>
                <w:szCs w:val="16"/>
              </w:rPr>
            </w:pPr>
          </w:p>
        </w:tc>
        <w:tc>
          <w:tcPr>
            <w:tcW w:w="1120" w:type="dxa"/>
            <w:tcBorders>
              <w:top w:val="nil"/>
              <w:left w:val="nil"/>
              <w:bottom w:val="single" w:sz="4" w:space="0" w:color="000000"/>
              <w:right w:val="single" w:sz="4" w:space="0" w:color="000000"/>
            </w:tcBorders>
            <w:vAlign w:val="bottom"/>
            <w:hideMark/>
          </w:tcPr>
          <w:p w:rsidR="00D356B3" w:rsidRPr="0042467E" w:rsidP="00810A02">
            <w:pPr>
              <w:widowControl/>
              <w:jc w:val="center"/>
              <w:rPr>
                <w:rFonts w:eastAsia="Calibri" w:asciiTheme="majorHAnsi" w:hAnsiTheme="majorHAnsi" w:cstheme="majorHAnsi"/>
                <w:b/>
                <w:color w:val="000000"/>
                <w:sz w:val="16"/>
                <w:szCs w:val="16"/>
              </w:rPr>
            </w:pPr>
          </w:p>
        </w:tc>
        <w:tc>
          <w:tcPr>
            <w:tcW w:w="1280" w:type="dxa"/>
            <w:tcBorders>
              <w:top w:val="nil"/>
              <w:left w:val="nil"/>
              <w:bottom w:val="single" w:sz="4" w:space="0" w:color="000000"/>
              <w:right w:val="single" w:sz="4" w:space="0" w:color="000000"/>
            </w:tcBorders>
            <w:vAlign w:val="bottom"/>
            <w:hideMark/>
          </w:tcPr>
          <w:p w:rsidR="00D356B3" w:rsidRPr="0042467E" w:rsidP="00810A02">
            <w:pPr>
              <w:widowControl/>
              <w:jc w:val="center"/>
              <w:rPr>
                <w:rFonts w:eastAsia="Calibri" w:asciiTheme="majorHAnsi" w:hAnsiTheme="majorHAnsi" w:cstheme="majorHAnsi"/>
                <w:b/>
                <w:color w:val="000000"/>
                <w:sz w:val="16"/>
                <w:szCs w:val="16"/>
              </w:rPr>
            </w:pPr>
          </w:p>
        </w:tc>
        <w:tc>
          <w:tcPr>
            <w:tcW w:w="1300" w:type="dxa"/>
            <w:tcBorders>
              <w:top w:val="nil"/>
              <w:left w:val="nil"/>
              <w:bottom w:val="single" w:sz="4" w:space="0" w:color="000000"/>
              <w:right w:val="single" w:sz="8" w:space="0" w:color="000000"/>
            </w:tcBorders>
            <w:vAlign w:val="bottom"/>
          </w:tcPr>
          <w:p w:rsidR="00D356B3" w:rsidRPr="0042467E" w:rsidP="00810A02">
            <w:pPr>
              <w:widowControl/>
              <w:jc w:val="center"/>
              <w:rPr>
                <w:rFonts w:eastAsia="Calibri" w:asciiTheme="majorHAnsi" w:hAnsiTheme="majorHAnsi" w:cstheme="majorHAnsi"/>
                <w:b/>
                <w:color w:val="000000"/>
                <w:sz w:val="16"/>
                <w:szCs w:val="16"/>
              </w:rPr>
            </w:pPr>
          </w:p>
        </w:tc>
      </w:tr>
      <w:tr w:rsidTr="00D356B3">
        <w:tblPrEx>
          <w:tblW w:w="8235"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vAlign w:val="bottom"/>
            <w:hideMark/>
          </w:tcPr>
          <w:p w:rsidR="00D356B3" w:rsidRPr="0042467E" w:rsidP="00810A02">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Travel</w:t>
            </w:r>
          </w:p>
        </w:tc>
        <w:tc>
          <w:tcPr>
            <w:tcW w:w="1120" w:type="dxa"/>
            <w:tcBorders>
              <w:top w:val="nil"/>
              <w:left w:val="nil"/>
              <w:bottom w:val="single" w:sz="4" w:space="0" w:color="000000"/>
              <w:right w:val="single" w:sz="4" w:space="0" w:color="000000"/>
            </w:tcBorders>
            <w:shd w:val="clear" w:color="auto" w:fill="808080"/>
            <w:vAlign w:val="bottom"/>
            <w:hideMark/>
          </w:tcPr>
          <w:p w:rsidR="00D356B3" w:rsidRPr="0042467E" w:rsidP="00810A02">
            <w:pPr>
              <w:widowControl/>
              <w:jc w:val="center"/>
              <w:rPr>
                <w:rFonts w:eastAsia="Calibri" w:asciiTheme="majorHAnsi" w:hAnsiTheme="majorHAnsi" w:cstheme="majorHAnsi"/>
                <w:b/>
                <w:color w:val="000000"/>
                <w:sz w:val="16"/>
                <w:szCs w:val="16"/>
              </w:rPr>
            </w:pPr>
          </w:p>
        </w:tc>
        <w:tc>
          <w:tcPr>
            <w:tcW w:w="1140" w:type="dxa"/>
            <w:tcBorders>
              <w:top w:val="nil"/>
              <w:left w:val="nil"/>
              <w:bottom w:val="single" w:sz="4" w:space="0" w:color="000000"/>
              <w:right w:val="single" w:sz="4" w:space="0" w:color="000000"/>
            </w:tcBorders>
            <w:shd w:val="clear" w:color="auto" w:fill="808080"/>
            <w:vAlign w:val="bottom"/>
            <w:hideMark/>
          </w:tcPr>
          <w:p w:rsidR="00D356B3" w:rsidRPr="0042467E" w:rsidP="00810A02">
            <w:pPr>
              <w:widowControl/>
              <w:jc w:val="center"/>
              <w:rPr>
                <w:rFonts w:eastAsia="Calibri" w:asciiTheme="majorHAnsi" w:hAnsiTheme="majorHAnsi" w:cstheme="majorHAnsi"/>
                <w:b/>
                <w:color w:val="000000"/>
                <w:sz w:val="16"/>
                <w:szCs w:val="16"/>
              </w:rPr>
            </w:pPr>
          </w:p>
        </w:tc>
        <w:tc>
          <w:tcPr>
            <w:tcW w:w="1120" w:type="dxa"/>
            <w:tcBorders>
              <w:top w:val="nil"/>
              <w:left w:val="nil"/>
              <w:bottom w:val="single" w:sz="4" w:space="0" w:color="000000"/>
              <w:right w:val="single" w:sz="4" w:space="0" w:color="000000"/>
            </w:tcBorders>
            <w:shd w:val="clear" w:color="auto" w:fill="808080"/>
            <w:vAlign w:val="bottom"/>
            <w:hideMark/>
          </w:tcPr>
          <w:p w:rsidR="00D356B3" w:rsidRPr="0042467E" w:rsidP="00810A02">
            <w:pPr>
              <w:widowControl/>
              <w:jc w:val="center"/>
              <w:rPr>
                <w:rFonts w:eastAsia="Calibri" w:asciiTheme="majorHAnsi" w:hAnsiTheme="majorHAnsi" w:cstheme="majorHAnsi"/>
                <w:b/>
                <w:color w:val="000000"/>
                <w:sz w:val="16"/>
                <w:szCs w:val="16"/>
              </w:rPr>
            </w:pPr>
          </w:p>
        </w:tc>
        <w:tc>
          <w:tcPr>
            <w:tcW w:w="1280" w:type="dxa"/>
            <w:tcBorders>
              <w:top w:val="nil"/>
              <w:left w:val="nil"/>
              <w:bottom w:val="single" w:sz="4" w:space="0" w:color="000000"/>
              <w:right w:val="single" w:sz="4" w:space="0" w:color="000000"/>
            </w:tcBorders>
            <w:shd w:val="clear" w:color="auto" w:fill="808080"/>
            <w:vAlign w:val="bottom"/>
            <w:hideMark/>
          </w:tcPr>
          <w:p w:rsidR="00D356B3" w:rsidRPr="0042467E" w:rsidP="00810A02">
            <w:pPr>
              <w:widowControl/>
              <w:jc w:val="center"/>
              <w:rPr>
                <w:rFonts w:eastAsia="Calibri" w:asciiTheme="majorHAnsi" w:hAnsiTheme="majorHAnsi" w:cstheme="majorHAnsi"/>
                <w:b/>
                <w:color w:val="000000"/>
                <w:sz w:val="16"/>
                <w:szCs w:val="16"/>
              </w:rPr>
            </w:pPr>
          </w:p>
        </w:tc>
        <w:tc>
          <w:tcPr>
            <w:tcW w:w="1300" w:type="dxa"/>
            <w:tcBorders>
              <w:top w:val="nil"/>
              <w:left w:val="nil"/>
              <w:bottom w:val="single" w:sz="4" w:space="0" w:color="000000"/>
              <w:right w:val="single" w:sz="8" w:space="0" w:color="000000"/>
            </w:tcBorders>
            <w:vAlign w:val="bottom"/>
            <w:hideMark/>
          </w:tcPr>
          <w:p w:rsidR="00D356B3" w:rsidRPr="0042467E" w:rsidP="00810A02">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10,000</w:t>
            </w:r>
          </w:p>
        </w:tc>
      </w:tr>
      <w:tr w:rsidTr="00D356B3">
        <w:tblPrEx>
          <w:tblW w:w="8235" w:type="dxa"/>
          <w:tblInd w:w="-140" w:type="dxa"/>
          <w:tblLayout w:type="fixed"/>
          <w:tblLook w:val="0400"/>
        </w:tblPrEx>
        <w:trPr>
          <w:trHeight w:val="525"/>
        </w:trPr>
        <w:tc>
          <w:tcPr>
            <w:tcW w:w="2280" w:type="dxa"/>
            <w:tcBorders>
              <w:top w:val="nil"/>
              <w:left w:val="single" w:sz="8" w:space="0" w:color="000000"/>
              <w:bottom w:val="nil"/>
              <w:right w:val="single" w:sz="8" w:space="0" w:color="000000"/>
            </w:tcBorders>
            <w:vAlign w:val="center"/>
            <w:hideMark/>
          </w:tcPr>
          <w:p w:rsidR="00D356B3" w:rsidRPr="0042467E" w:rsidP="00810A02">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Other Costs:  Equipment &amp; Supplies</w:t>
            </w:r>
          </w:p>
        </w:tc>
        <w:tc>
          <w:tcPr>
            <w:tcW w:w="1120" w:type="dxa"/>
            <w:tcBorders>
              <w:top w:val="nil"/>
              <w:left w:val="nil"/>
              <w:bottom w:val="single" w:sz="4" w:space="0" w:color="000000"/>
              <w:right w:val="single" w:sz="4" w:space="0" w:color="000000"/>
            </w:tcBorders>
            <w:shd w:val="clear" w:color="auto" w:fill="808080"/>
            <w:vAlign w:val="bottom"/>
            <w:hideMark/>
          </w:tcPr>
          <w:p w:rsidR="00D356B3" w:rsidRPr="0042467E" w:rsidP="00810A02">
            <w:pPr>
              <w:widowControl/>
              <w:jc w:val="center"/>
              <w:rPr>
                <w:rFonts w:eastAsia="Calibri" w:asciiTheme="majorHAnsi" w:hAnsiTheme="majorHAnsi" w:cstheme="majorHAnsi"/>
                <w:b/>
                <w:color w:val="000000"/>
                <w:sz w:val="16"/>
                <w:szCs w:val="16"/>
              </w:rPr>
            </w:pPr>
          </w:p>
        </w:tc>
        <w:tc>
          <w:tcPr>
            <w:tcW w:w="1140" w:type="dxa"/>
            <w:tcBorders>
              <w:top w:val="nil"/>
              <w:left w:val="nil"/>
              <w:bottom w:val="single" w:sz="4" w:space="0" w:color="000000"/>
              <w:right w:val="single" w:sz="4" w:space="0" w:color="000000"/>
            </w:tcBorders>
            <w:shd w:val="clear" w:color="auto" w:fill="808080"/>
            <w:vAlign w:val="bottom"/>
            <w:hideMark/>
          </w:tcPr>
          <w:p w:rsidR="00D356B3" w:rsidRPr="0042467E" w:rsidP="00810A02">
            <w:pPr>
              <w:widowControl/>
              <w:jc w:val="center"/>
              <w:rPr>
                <w:rFonts w:eastAsia="Calibri" w:asciiTheme="majorHAnsi" w:hAnsiTheme="majorHAnsi" w:cstheme="majorHAnsi"/>
                <w:b/>
                <w:color w:val="000000"/>
                <w:sz w:val="16"/>
                <w:szCs w:val="16"/>
              </w:rPr>
            </w:pPr>
          </w:p>
        </w:tc>
        <w:tc>
          <w:tcPr>
            <w:tcW w:w="1120" w:type="dxa"/>
            <w:tcBorders>
              <w:top w:val="nil"/>
              <w:left w:val="nil"/>
              <w:bottom w:val="single" w:sz="4" w:space="0" w:color="000000"/>
              <w:right w:val="single" w:sz="4" w:space="0" w:color="000000"/>
            </w:tcBorders>
            <w:shd w:val="clear" w:color="auto" w:fill="808080"/>
            <w:vAlign w:val="bottom"/>
            <w:hideMark/>
          </w:tcPr>
          <w:p w:rsidR="00D356B3" w:rsidRPr="0042467E" w:rsidP="00810A02">
            <w:pPr>
              <w:widowControl/>
              <w:jc w:val="center"/>
              <w:rPr>
                <w:rFonts w:eastAsia="Calibri" w:asciiTheme="majorHAnsi" w:hAnsiTheme="majorHAnsi" w:cstheme="majorHAnsi"/>
                <w:b/>
                <w:color w:val="000000"/>
                <w:sz w:val="16"/>
                <w:szCs w:val="16"/>
              </w:rPr>
            </w:pPr>
          </w:p>
        </w:tc>
        <w:tc>
          <w:tcPr>
            <w:tcW w:w="1280" w:type="dxa"/>
            <w:tcBorders>
              <w:top w:val="nil"/>
              <w:left w:val="nil"/>
              <w:bottom w:val="single" w:sz="4" w:space="0" w:color="000000"/>
              <w:right w:val="single" w:sz="4" w:space="0" w:color="000000"/>
            </w:tcBorders>
            <w:shd w:val="clear" w:color="auto" w:fill="808080"/>
            <w:vAlign w:val="bottom"/>
            <w:hideMark/>
          </w:tcPr>
          <w:p w:rsidR="00D356B3" w:rsidRPr="0042467E" w:rsidP="00810A02">
            <w:pPr>
              <w:widowControl/>
              <w:jc w:val="center"/>
              <w:rPr>
                <w:rFonts w:eastAsia="Calibri" w:asciiTheme="majorHAnsi" w:hAnsiTheme="majorHAnsi" w:cstheme="majorHAnsi"/>
                <w:b/>
                <w:color w:val="000000"/>
                <w:sz w:val="16"/>
                <w:szCs w:val="16"/>
              </w:rPr>
            </w:pPr>
          </w:p>
        </w:tc>
        <w:tc>
          <w:tcPr>
            <w:tcW w:w="1300" w:type="dxa"/>
            <w:tcBorders>
              <w:top w:val="nil"/>
              <w:left w:val="nil"/>
              <w:bottom w:val="single" w:sz="4" w:space="0" w:color="000000"/>
              <w:right w:val="single" w:sz="8" w:space="0" w:color="000000"/>
            </w:tcBorders>
            <w:vAlign w:val="bottom"/>
            <w:hideMark/>
          </w:tcPr>
          <w:p w:rsidR="00D356B3" w:rsidRPr="0042467E" w:rsidP="00810A02">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10,000</w:t>
            </w:r>
          </w:p>
        </w:tc>
      </w:tr>
      <w:tr w:rsidTr="00D356B3">
        <w:tblPrEx>
          <w:tblW w:w="8235" w:type="dxa"/>
          <w:tblInd w:w="-140"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hideMark/>
          </w:tcPr>
          <w:p w:rsidR="00D356B3" w:rsidRPr="0042467E" w:rsidP="00810A02">
            <w:pPr>
              <w:widowControl/>
              <w:jc w:val="center"/>
              <w:rPr>
                <w:rFonts w:eastAsia="Calibri" w:asciiTheme="majorHAnsi" w:hAnsiTheme="majorHAnsi" w:cstheme="majorHAnsi"/>
                <w:b/>
                <w:color w:val="000000"/>
                <w:sz w:val="16"/>
                <w:szCs w:val="16"/>
              </w:rPr>
            </w:pPr>
            <w:r w:rsidRPr="0042467E">
              <w:rPr>
                <w:rFonts w:eastAsia="Calibri" w:asciiTheme="majorHAnsi" w:hAnsiTheme="majorHAnsi" w:cstheme="majorHAnsi"/>
                <w:b/>
                <w:color w:val="000000"/>
                <w:sz w:val="16"/>
                <w:szCs w:val="16"/>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hideMark/>
          </w:tcPr>
          <w:p w:rsidR="00D356B3" w:rsidRPr="0042467E" w:rsidP="00810A02">
            <w:pPr>
              <w:widowControl/>
              <w:jc w:val="center"/>
              <w:rPr>
                <w:rFonts w:eastAsia="Calibri" w:asciiTheme="majorHAnsi" w:hAnsiTheme="majorHAnsi" w:cstheme="majorHAnsi"/>
                <w:b/>
                <w:color w:val="000000"/>
                <w:sz w:val="16"/>
                <w:szCs w:val="16"/>
              </w:rPr>
            </w:pPr>
          </w:p>
        </w:tc>
        <w:tc>
          <w:tcPr>
            <w:tcW w:w="1140" w:type="dxa"/>
            <w:tcBorders>
              <w:top w:val="single" w:sz="8" w:space="0" w:color="000000"/>
              <w:left w:val="nil"/>
              <w:bottom w:val="single" w:sz="8" w:space="0" w:color="000000"/>
              <w:right w:val="single" w:sz="8" w:space="0" w:color="000000"/>
            </w:tcBorders>
            <w:shd w:val="clear" w:color="auto" w:fill="808080"/>
            <w:vAlign w:val="bottom"/>
            <w:hideMark/>
          </w:tcPr>
          <w:p w:rsidR="00D356B3" w:rsidRPr="0042467E" w:rsidP="00810A02">
            <w:pPr>
              <w:widowControl/>
              <w:jc w:val="center"/>
              <w:rPr>
                <w:rFonts w:eastAsia="Calibri" w:asciiTheme="majorHAnsi" w:hAnsiTheme="majorHAnsi" w:cstheme="majorHAnsi"/>
                <w:b/>
                <w:color w:val="000000"/>
                <w:sz w:val="16"/>
                <w:szCs w:val="16"/>
              </w:rPr>
            </w:pPr>
          </w:p>
        </w:tc>
        <w:tc>
          <w:tcPr>
            <w:tcW w:w="1120" w:type="dxa"/>
            <w:tcBorders>
              <w:top w:val="single" w:sz="8" w:space="0" w:color="000000"/>
              <w:left w:val="nil"/>
              <w:bottom w:val="single" w:sz="8" w:space="0" w:color="000000"/>
              <w:right w:val="single" w:sz="8" w:space="0" w:color="000000"/>
            </w:tcBorders>
            <w:shd w:val="clear" w:color="auto" w:fill="757171"/>
            <w:vAlign w:val="bottom"/>
            <w:hideMark/>
          </w:tcPr>
          <w:p w:rsidR="00D356B3" w:rsidRPr="0042467E" w:rsidP="00810A02">
            <w:pPr>
              <w:widowControl/>
              <w:jc w:val="center"/>
              <w:rPr>
                <w:rFonts w:eastAsia="Calibri" w:asciiTheme="majorHAnsi" w:hAnsiTheme="majorHAnsi" w:cstheme="majorHAnsi"/>
                <w:b/>
                <w:color w:val="000000"/>
                <w:sz w:val="16"/>
                <w:szCs w:val="16"/>
              </w:rPr>
            </w:pPr>
          </w:p>
        </w:tc>
        <w:tc>
          <w:tcPr>
            <w:tcW w:w="1280" w:type="dxa"/>
            <w:tcBorders>
              <w:top w:val="single" w:sz="8" w:space="0" w:color="000000"/>
              <w:left w:val="nil"/>
              <w:bottom w:val="single" w:sz="8" w:space="0" w:color="000000"/>
              <w:right w:val="single" w:sz="8" w:space="0" w:color="000000"/>
            </w:tcBorders>
            <w:shd w:val="clear" w:color="auto" w:fill="DDEBF7"/>
            <w:vAlign w:val="bottom"/>
            <w:hideMark/>
          </w:tcPr>
          <w:p w:rsidR="00D356B3" w:rsidRPr="0042467E" w:rsidP="00810A02">
            <w:pPr>
              <w:widowControl/>
              <w:jc w:val="center"/>
              <w:rPr>
                <w:rFonts w:eastAsia="Calibri" w:asciiTheme="majorHAnsi" w:hAnsiTheme="majorHAnsi" w:cstheme="majorHAnsi"/>
                <w:b/>
                <w:color w:val="000000"/>
                <w:sz w:val="16"/>
                <w:szCs w:val="16"/>
              </w:rPr>
            </w:pPr>
          </w:p>
        </w:tc>
        <w:tc>
          <w:tcPr>
            <w:tcW w:w="1300" w:type="dxa"/>
            <w:tcBorders>
              <w:top w:val="single" w:sz="8" w:space="0" w:color="000000"/>
              <w:left w:val="nil"/>
              <w:bottom w:val="single" w:sz="8" w:space="0" w:color="000000"/>
              <w:right w:val="single" w:sz="8" w:space="0" w:color="000000"/>
            </w:tcBorders>
            <w:shd w:val="clear" w:color="auto" w:fill="DDEBF7"/>
            <w:vAlign w:val="bottom"/>
            <w:hideMark/>
          </w:tcPr>
          <w:p w:rsidR="00D356B3" w:rsidRPr="0042467E" w:rsidP="00810A02">
            <w:pPr>
              <w:jc w:val="center"/>
              <w:rPr>
                <w:rFonts w:asciiTheme="majorHAnsi" w:hAnsiTheme="majorHAnsi" w:cstheme="majorHAnsi"/>
                <w:b/>
                <w:color w:val="000000"/>
                <w:sz w:val="16"/>
                <w:szCs w:val="16"/>
              </w:rPr>
            </w:pPr>
            <w:r w:rsidRPr="0042467E">
              <w:rPr>
                <w:rFonts w:asciiTheme="majorHAnsi" w:hAnsiTheme="majorHAnsi" w:cstheme="majorHAnsi"/>
                <w:b/>
                <w:color w:val="000000"/>
                <w:sz w:val="16"/>
                <w:szCs w:val="16"/>
              </w:rPr>
              <w:t>188,369</w:t>
            </w:r>
          </w:p>
        </w:tc>
      </w:tr>
    </w:tbl>
    <w:p w:rsidR="00D67C05" w:rsidRPr="0042467E" w:rsidP="00F560BC">
      <w:pPr>
        <w:spacing w:before="1" w:after="7"/>
        <w:rPr>
          <w:sz w:val="24"/>
          <w:szCs w:val="24"/>
        </w:rPr>
      </w:pPr>
    </w:p>
    <w:p w:rsidR="00D67C05" w:rsidRPr="0042467E" w:rsidP="00F560BC">
      <w:pPr>
        <w:spacing w:before="1" w:after="7"/>
        <w:rPr>
          <w:sz w:val="24"/>
          <w:szCs w:val="24"/>
        </w:rPr>
      </w:pPr>
    </w:p>
    <w:p w:rsidR="00D67C05" w:rsidRPr="0042467E" w:rsidP="00F560BC">
      <w:pPr>
        <w:pStyle w:val="Heading1"/>
        <w:numPr>
          <w:ilvl w:val="0"/>
          <w:numId w:val="16"/>
        </w:numPr>
        <w:tabs>
          <w:tab w:val="left" w:pos="1440"/>
        </w:tabs>
      </w:pPr>
      <w:r w:rsidRPr="0042467E">
        <w:t xml:space="preserve">Explain the reasons for any program changes </w:t>
      </w:r>
      <w:r w:rsidRPr="0042467E">
        <w:rPr>
          <w:color w:val="000000"/>
        </w:rPr>
        <w:t>or adjustments reported in ROCIS.</w:t>
      </w:r>
    </w:p>
    <w:p w:rsidR="00D67C05" w:rsidRPr="0042467E" w:rsidP="00F560BC">
      <w:pPr>
        <w:pBdr>
          <w:top w:val="nil"/>
          <w:left w:val="nil"/>
          <w:bottom w:val="nil"/>
          <w:right w:val="nil"/>
          <w:between w:val="nil"/>
        </w:pBdr>
        <w:rPr>
          <w:color w:val="000000"/>
          <w:sz w:val="24"/>
          <w:szCs w:val="24"/>
        </w:rPr>
      </w:pPr>
    </w:p>
    <w:p w:rsidR="006070D4" w:rsidRPr="0042467E" w:rsidP="006070D4">
      <w:pPr>
        <w:spacing w:before="161"/>
      </w:pPr>
      <w:r w:rsidRPr="0042467E">
        <w:t xml:space="preserve"> There are no changes to the information collection since this is a new data collection.</w:t>
      </w:r>
    </w:p>
    <w:p w:rsidR="00D67C05" w:rsidRPr="0042467E" w:rsidP="00F560BC">
      <w:pPr>
        <w:pStyle w:val="Heading1"/>
        <w:tabs>
          <w:tab w:val="left" w:pos="1440"/>
        </w:tabs>
        <w:spacing w:before="1" w:line="237" w:lineRule="auto"/>
        <w:ind w:left="0"/>
      </w:pPr>
    </w:p>
    <w:p w:rsidR="00D67C05" w:rsidRPr="0042467E" w:rsidP="00F560BC">
      <w:pPr>
        <w:pStyle w:val="Heading1"/>
        <w:numPr>
          <w:ilvl w:val="0"/>
          <w:numId w:val="16"/>
        </w:numPr>
        <w:tabs>
          <w:tab w:val="left" w:pos="1440"/>
        </w:tabs>
        <w:spacing w:before="1" w:line="237" w:lineRule="auto"/>
      </w:pPr>
      <w:r w:rsidRPr="0042467E">
        <w:t xml:space="preserve">For collections whose results will be published, outline the plans for tabulation and publication. </w:t>
      </w:r>
      <w:r w:rsidRPr="0042467E">
        <w:rPr>
          <w:color w:val="000000"/>
        </w:rPr>
        <w:t>Address any complex analytical techniques that will be used. Provide the time schedule for the entire project, including beginning and ending dates of the collection of information, completion of report, publication dates, and other actions.</w:t>
      </w:r>
    </w:p>
    <w:p w:rsidR="00D67C05" w:rsidP="00F560BC">
      <w:pPr>
        <w:pBdr>
          <w:top w:val="nil"/>
          <w:left w:val="nil"/>
          <w:bottom w:val="nil"/>
          <w:right w:val="nil"/>
          <w:between w:val="nil"/>
        </w:pBdr>
        <w:rPr>
          <w:b/>
          <w:color w:val="000000"/>
          <w:sz w:val="16"/>
          <w:szCs w:val="16"/>
        </w:rPr>
      </w:pPr>
    </w:p>
    <w:p w:rsidR="007E52BC" w:rsidP="00F560BC">
      <w:pPr>
        <w:pBdr>
          <w:top w:val="nil"/>
          <w:left w:val="nil"/>
          <w:bottom w:val="nil"/>
          <w:right w:val="nil"/>
          <w:between w:val="nil"/>
        </w:pBdr>
        <w:rPr>
          <w:b/>
          <w:color w:val="000000"/>
          <w:sz w:val="16"/>
          <w:szCs w:val="16"/>
        </w:rPr>
      </w:pPr>
    </w:p>
    <w:p w:rsidR="007E52BC" w:rsidRPr="0042467E" w:rsidP="00F560BC">
      <w:pPr>
        <w:pBdr>
          <w:top w:val="nil"/>
          <w:left w:val="nil"/>
          <w:bottom w:val="nil"/>
          <w:right w:val="nil"/>
          <w:between w:val="nil"/>
        </w:pBdr>
        <w:rPr>
          <w:b/>
          <w:color w:val="000000"/>
          <w:sz w:val="16"/>
          <w:szCs w:val="16"/>
        </w:rPr>
      </w:pPr>
    </w:p>
    <w:p w:rsidR="006070D4" w:rsidRPr="0042467E" w:rsidP="006070D4">
      <w:pPr>
        <w:jc w:val="both"/>
      </w:pPr>
      <w:r w:rsidRPr="0042467E">
        <w:t>NOAA Fisheries will develop reports and tabulations based on the collected data. Results will be tabulated and disseminated to the public as NOAA Technical Memoranda and made available on NOAA Fisheries websites.</w:t>
      </w:r>
    </w:p>
    <w:p w:rsidR="006070D4" w:rsidRPr="0042467E" w:rsidP="006070D4">
      <w:pPr>
        <w:spacing w:before="9"/>
        <w:jc w:val="both"/>
        <w:rPr>
          <w:color w:val="000000"/>
          <w:sz w:val="23"/>
          <w:szCs w:val="23"/>
        </w:rPr>
      </w:pPr>
    </w:p>
    <w:p w:rsidR="006070D4" w:rsidRPr="0042467E" w:rsidP="006070D4">
      <w:pPr>
        <w:spacing w:before="1"/>
        <w:jc w:val="both"/>
        <w:rPr>
          <w:color w:val="000000"/>
          <w:sz w:val="24"/>
          <w:szCs w:val="24"/>
        </w:rPr>
      </w:pPr>
      <w:r w:rsidRPr="0042467E">
        <w:rPr>
          <w:color w:val="000000"/>
        </w:rPr>
        <w:t>The analytical process will include tabulations of responses and cross-tabulations for policy questions, as well as statistical hypothesis tests such as Student's t or F-statistic to determine changes over time. Depending on the summary statistics and current policy needs, we may also employ more complex statistical methods like linear regression and analysis of variance.</w:t>
      </w:r>
    </w:p>
    <w:p w:rsidR="006070D4" w:rsidRPr="0042467E" w:rsidP="006070D4">
      <w:pPr>
        <w:spacing w:before="1"/>
        <w:jc w:val="both"/>
        <w:rPr>
          <w:color w:val="000000"/>
        </w:rPr>
      </w:pPr>
    </w:p>
    <w:p w:rsidR="006070D4" w:rsidRPr="0042467E" w:rsidP="006070D4">
      <w:pPr>
        <w:spacing w:before="1"/>
        <w:jc w:val="both"/>
        <w:rPr>
          <w:color w:val="000000"/>
        </w:rPr>
      </w:pPr>
      <w:r w:rsidRPr="0042467E">
        <w:rPr>
          <w:color w:val="000000"/>
        </w:rPr>
        <w:t>The implementation timeline for survey spans approximately 24 months, beginning with logistics preparation (months 1-</w:t>
      </w:r>
      <w:r w:rsidRPr="0042467E" w:rsidR="004D73EB">
        <w:rPr>
          <w:color w:val="000000"/>
        </w:rPr>
        <w:t>6</w:t>
      </w:r>
      <w:r w:rsidRPr="0042467E">
        <w:rPr>
          <w:color w:val="000000"/>
        </w:rPr>
        <w:t xml:space="preserve">), followed by </w:t>
      </w:r>
      <w:r w:rsidRPr="0042467E" w:rsidR="004D73EB">
        <w:rPr>
          <w:color w:val="000000"/>
        </w:rPr>
        <w:t>survey implementation/data collection</w:t>
      </w:r>
      <w:r w:rsidRPr="0042467E">
        <w:rPr>
          <w:color w:val="000000"/>
        </w:rPr>
        <w:t xml:space="preserve"> (months </w:t>
      </w:r>
      <w:r w:rsidRPr="0042467E" w:rsidR="004D73EB">
        <w:rPr>
          <w:color w:val="000000"/>
        </w:rPr>
        <w:t>7-12/13</w:t>
      </w:r>
      <w:r w:rsidRPr="0042467E">
        <w:rPr>
          <w:color w:val="000000"/>
        </w:rPr>
        <w:t xml:space="preserve">), data cleaning and analysis (months </w:t>
      </w:r>
      <w:r w:rsidRPr="0042467E" w:rsidR="004D73EB">
        <w:rPr>
          <w:color w:val="000000"/>
        </w:rPr>
        <w:t>14</w:t>
      </w:r>
      <w:r w:rsidRPr="0042467E">
        <w:rPr>
          <w:color w:val="000000"/>
        </w:rPr>
        <w:t>-</w:t>
      </w:r>
      <w:r w:rsidRPr="0042467E" w:rsidR="004D73EB">
        <w:rPr>
          <w:color w:val="000000"/>
        </w:rPr>
        <w:t>18</w:t>
      </w:r>
      <w:r w:rsidRPr="0042467E">
        <w:rPr>
          <w:color w:val="000000"/>
        </w:rPr>
        <w:t xml:space="preserve">), and concluding with report preparation and tabulations (months </w:t>
      </w:r>
      <w:r w:rsidRPr="0042467E" w:rsidR="004D73EB">
        <w:rPr>
          <w:color w:val="000000"/>
        </w:rPr>
        <w:t>18-24</w:t>
      </w:r>
      <w:r w:rsidRPr="0042467E">
        <w:rPr>
          <w:color w:val="000000"/>
        </w:rPr>
        <w:t>). However, specific timelines may vary by jurisdiction and funding availability.</w:t>
      </w:r>
    </w:p>
    <w:p w:rsidR="006070D4" w:rsidRPr="0042467E" w:rsidP="006070D4">
      <w:pPr>
        <w:spacing w:before="165"/>
      </w:pPr>
      <w:r w:rsidRPr="0042467E">
        <w:t xml:space="preserve">Table </w:t>
      </w:r>
      <w:r w:rsidRPr="0042467E" w:rsidR="00EB1440">
        <w:t>4 Data</w:t>
      </w:r>
      <w:r w:rsidRPr="0042467E">
        <w:t xml:space="preserve"> Collection, Analysis, and Reporting Timeline in </w:t>
      </w:r>
      <w:r w:rsidRPr="0042467E" w:rsidR="004D73EB">
        <w:t>quarters</w:t>
      </w:r>
      <w:r w:rsidRPr="0042467E">
        <w:t>.</w:t>
      </w:r>
    </w:p>
    <w:p w:rsidR="006070D4" w:rsidRPr="0042467E" w:rsidP="006070D4">
      <w:pPr>
        <w:spacing w:before="1"/>
        <w:ind w:left="1079"/>
        <w:rPr>
          <w:color w:val="000000"/>
        </w:rPr>
      </w:pPr>
    </w:p>
    <w:tbl>
      <w:tblPr>
        <w:tblStyle w:val="a30"/>
        <w:tblW w:w="85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62"/>
        <w:gridCol w:w="848"/>
        <w:gridCol w:w="848"/>
        <w:gridCol w:w="848"/>
        <w:gridCol w:w="850"/>
        <w:gridCol w:w="850"/>
        <w:gridCol w:w="852"/>
        <w:gridCol w:w="850"/>
        <w:gridCol w:w="850"/>
      </w:tblGrid>
      <w:tr w:rsidTr="004D73EB">
        <w:tblPrEx>
          <w:tblW w:w="85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331"/>
        </w:trPr>
        <w:tc>
          <w:tcPr>
            <w:tcW w:w="1762" w:type="dxa"/>
            <w:tcBorders>
              <w:top w:val="single" w:sz="4" w:space="0" w:color="000000"/>
              <w:left w:val="single" w:sz="4" w:space="0" w:color="000000"/>
              <w:bottom w:val="single" w:sz="4" w:space="0" w:color="000000"/>
              <w:right w:val="single" w:sz="4" w:space="0" w:color="000000"/>
            </w:tcBorders>
            <w:hideMark/>
          </w:tcPr>
          <w:p w:rsidR="004D73EB" w:rsidRPr="0042467E">
            <w:pPr>
              <w:spacing w:line="228" w:lineRule="auto"/>
              <w:ind w:left="386"/>
              <w:rPr>
                <w:rFonts w:ascii="Calibri" w:hAnsi="Calibri" w:cs="Calibri"/>
                <w:color w:val="000000"/>
                <w:sz w:val="14"/>
                <w:szCs w:val="14"/>
              </w:rPr>
            </w:pPr>
            <w:r w:rsidRPr="0042467E">
              <w:rPr>
                <w:rFonts w:ascii="Calibri" w:hAnsi="Calibri" w:cs="Calibri"/>
                <w:color w:val="000000"/>
                <w:sz w:val="14"/>
                <w:szCs w:val="14"/>
              </w:rPr>
              <w:t>Activity</w:t>
            </w:r>
          </w:p>
        </w:tc>
        <w:tc>
          <w:tcPr>
            <w:tcW w:w="848" w:type="dxa"/>
            <w:tcBorders>
              <w:top w:val="single" w:sz="4" w:space="0" w:color="000000"/>
              <w:left w:val="single" w:sz="4" w:space="0" w:color="000000"/>
              <w:bottom w:val="single" w:sz="4" w:space="0" w:color="000000"/>
              <w:right w:val="single" w:sz="4" w:space="0" w:color="000000"/>
            </w:tcBorders>
            <w:hideMark/>
          </w:tcPr>
          <w:p w:rsidR="004D73EB" w:rsidRPr="0042467E">
            <w:pPr>
              <w:spacing w:line="228" w:lineRule="auto"/>
              <w:ind w:left="6"/>
              <w:jc w:val="center"/>
              <w:rPr>
                <w:rFonts w:ascii="Calibri" w:hAnsi="Calibri" w:cs="Calibri"/>
                <w:b/>
                <w:color w:val="000000"/>
                <w:sz w:val="14"/>
                <w:szCs w:val="14"/>
              </w:rPr>
            </w:pPr>
            <w:r w:rsidRPr="0042467E">
              <w:rPr>
                <w:rFonts w:ascii="Calibri" w:hAnsi="Calibri" w:cs="Calibri"/>
                <w:b/>
                <w:color w:val="000000"/>
                <w:sz w:val="14"/>
                <w:szCs w:val="14"/>
              </w:rPr>
              <w:t>1</w:t>
            </w:r>
          </w:p>
        </w:tc>
        <w:tc>
          <w:tcPr>
            <w:tcW w:w="848" w:type="dxa"/>
            <w:tcBorders>
              <w:top w:val="single" w:sz="4" w:space="0" w:color="000000"/>
              <w:left w:val="single" w:sz="4" w:space="0" w:color="000000"/>
              <w:bottom w:val="single" w:sz="4" w:space="0" w:color="000000"/>
              <w:right w:val="single" w:sz="4" w:space="0" w:color="000000"/>
            </w:tcBorders>
            <w:hideMark/>
          </w:tcPr>
          <w:p w:rsidR="004D73EB" w:rsidRPr="0042467E">
            <w:pPr>
              <w:spacing w:line="228" w:lineRule="auto"/>
              <w:ind w:left="8"/>
              <w:jc w:val="center"/>
              <w:rPr>
                <w:rFonts w:ascii="Calibri" w:hAnsi="Calibri" w:cs="Calibri"/>
                <w:b/>
                <w:color w:val="000000"/>
                <w:sz w:val="14"/>
                <w:szCs w:val="14"/>
              </w:rPr>
            </w:pPr>
            <w:r w:rsidRPr="0042467E">
              <w:rPr>
                <w:rFonts w:ascii="Calibri" w:hAnsi="Calibri" w:cs="Calibri"/>
                <w:b/>
                <w:color w:val="000000"/>
                <w:sz w:val="14"/>
                <w:szCs w:val="14"/>
              </w:rPr>
              <w:t>2</w:t>
            </w:r>
          </w:p>
        </w:tc>
        <w:tc>
          <w:tcPr>
            <w:tcW w:w="848" w:type="dxa"/>
            <w:tcBorders>
              <w:top w:val="single" w:sz="4" w:space="0" w:color="000000"/>
              <w:left w:val="single" w:sz="4" w:space="0" w:color="000000"/>
              <w:bottom w:val="single" w:sz="4" w:space="0" w:color="000000"/>
              <w:right w:val="single" w:sz="4" w:space="0" w:color="000000"/>
            </w:tcBorders>
            <w:hideMark/>
          </w:tcPr>
          <w:p w:rsidR="004D73EB" w:rsidRPr="0042467E">
            <w:pPr>
              <w:spacing w:line="228" w:lineRule="auto"/>
              <w:ind w:left="6"/>
              <w:jc w:val="center"/>
              <w:rPr>
                <w:rFonts w:ascii="Calibri" w:hAnsi="Calibri" w:cs="Calibri"/>
                <w:b/>
                <w:color w:val="000000"/>
                <w:sz w:val="14"/>
                <w:szCs w:val="14"/>
              </w:rPr>
            </w:pPr>
            <w:r w:rsidRPr="0042467E">
              <w:rPr>
                <w:rFonts w:ascii="Calibri" w:hAnsi="Calibri" w:cs="Calibri"/>
                <w:b/>
                <w:color w:val="000000"/>
                <w:sz w:val="14"/>
                <w:szCs w:val="14"/>
              </w:rPr>
              <w:t>3</w:t>
            </w:r>
          </w:p>
        </w:tc>
        <w:tc>
          <w:tcPr>
            <w:tcW w:w="850" w:type="dxa"/>
            <w:tcBorders>
              <w:top w:val="single" w:sz="4" w:space="0" w:color="000000"/>
              <w:left w:val="single" w:sz="4" w:space="0" w:color="000000"/>
              <w:bottom w:val="single" w:sz="4" w:space="0" w:color="000000"/>
              <w:right w:val="single" w:sz="4" w:space="0" w:color="000000"/>
            </w:tcBorders>
            <w:hideMark/>
          </w:tcPr>
          <w:p w:rsidR="004D73EB" w:rsidRPr="0042467E">
            <w:pPr>
              <w:spacing w:line="228" w:lineRule="auto"/>
              <w:ind w:left="6"/>
              <w:jc w:val="center"/>
              <w:rPr>
                <w:rFonts w:ascii="Calibri" w:hAnsi="Calibri" w:cs="Calibri"/>
                <w:b/>
                <w:color w:val="000000"/>
                <w:sz w:val="14"/>
                <w:szCs w:val="14"/>
              </w:rPr>
            </w:pPr>
            <w:r w:rsidRPr="0042467E">
              <w:rPr>
                <w:rFonts w:ascii="Calibri" w:hAnsi="Calibri" w:cs="Calibri"/>
                <w:b/>
                <w:color w:val="000000"/>
                <w:sz w:val="14"/>
                <w:szCs w:val="14"/>
              </w:rPr>
              <w:t>4</w:t>
            </w:r>
          </w:p>
        </w:tc>
        <w:tc>
          <w:tcPr>
            <w:tcW w:w="850" w:type="dxa"/>
            <w:tcBorders>
              <w:top w:val="single" w:sz="4" w:space="0" w:color="000000"/>
              <w:left w:val="single" w:sz="4" w:space="0" w:color="000000"/>
              <w:bottom w:val="single" w:sz="4" w:space="0" w:color="000000"/>
              <w:right w:val="single" w:sz="4" w:space="0" w:color="000000"/>
            </w:tcBorders>
            <w:hideMark/>
          </w:tcPr>
          <w:p w:rsidR="004D73EB" w:rsidRPr="0042467E">
            <w:pPr>
              <w:spacing w:line="228" w:lineRule="auto"/>
              <w:ind w:left="6"/>
              <w:jc w:val="center"/>
              <w:rPr>
                <w:rFonts w:ascii="Calibri" w:hAnsi="Calibri" w:cs="Calibri"/>
                <w:b/>
                <w:color w:val="000000"/>
                <w:sz w:val="14"/>
                <w:szCs w:val="14"/>
              </w:rPr>
            </w:pPr>
            <w:r w:rsidRPr="0042467E">
              <w:rPr>
                <w:rFonts w:ascii="Calibri" w:hAnsi="Calibri" w:cs="Calibri"/>
                <w:b/>
                <w:color w:val="000000"/>
                <w:sz w:val="14"/>
                <w:szCs w:val="14"/>
              </w:rPr>
              <w:t>5</w:t>
            </w:r>
          </w:p>
        </w:tc>
        <w:tc>
          <w:tcPr>
            <w:tcW w:w="852" w:type="dxa"/>
            <w:tcBorders>
              <w:top w:val="single" w:sz="4" w:space="0" w:color="000000"/>
              <w:left w:val="single" w:sz="4" w:space="0" w:color="000000"/>
              <w:bottom w:val="single" w:sz="4" w:space="0" w:color="000000"/>
              <w:right w:val="single" w:sz="4" w:space="0" w:color="000000"/>
            </w:tcBorders>
            <w:hideMark/>
          </w:tcPr>
          <w:p w:rsidR="004D73EB" w:rsidRPr="0042467E">
            <w:pPr>
              <w:spacing w:line="228" w:lineRule="auto"/>
              <w:ind w:left="8"/>
              <w:jc w:val="center"/>
              <w:rPr>
                <w:rFonts w:ascii="Calibri" w:hAnsi="Calibri" w:cs="Calibri"/>
                <w:b/>
                <w:color w:val="000000"/>
                <w:sz w:val="14"/>
                <w:szCs w:val="14"/>
              </w:rPr>
            </w:pPr>
            <w:r w:rsidRPr="0042467E">
              <w:rPr>
                <w:rFonts w:ascii="Calibri" w:hAnsi="Calibri" w:cs="Calibri"/>
                <w:b/>
                <w:color w:val="000000"/>
                <w:sz w:val="14"/>
                <w:szCs w:val="14"/>
              </w:rPr>
              <w:t>6</w:t>
            </w:r>
          </w:p>
        </w:tc>
        <w:tc>
          <w:tcPr>
            <w:tcW w:w="850" w:type="dxa"/>
            <w:tcBorders>
              <w:top w:val="single" w:sz="4" w:space="0" w:color="000000"/>
              <w:left w:val="single" w:sz="4" w:space="0" w:color="000000"/>
              <w:bottom w:val="single" w:sz="4" w:space="0" w:color="000000"/>
              <w:right w:val="single" w:sz="4" w:space="0" w:color="000000"/>
            </w:tcBorders>
            <w:hideMark/>
          </w:tcPr>
          <w:p w:rsidR="004D73EB" w:rsidRPr="0042467E">
            <w:pPr>
              <w:spacing w:line="228" w:lineRule="auto"/>
              <w:ind w:left="8"/>
              <w:jc w:val="center"/>
              <w:rPr>
                <w:rFonts w:ascii="Calibri" w:hAnsi="Calibri" w:cs="Calibri"/>
                <w:b/>
                <w:color w:val="000000"/>
                <w:sz w:val="14"/>
                <w:szCs w:val="14"/>
              </w:rPr>
            </w:pPr>
            <w:r w:rsidRPr="0042467E">
              <w:rPr>
                <w:rFonts w:ascii="Calibri" w:hAnsi="Calibri" w:cs="Calibri"/>
                <w:b/>
                <w:color w:val="000000"/>
                <w:sz w:val="14"/>
                <w:szCs w:val="14"/>
              </w:rPr>
              <w:t>7</w:t>
            </w:r>
          </w:p>
        </w:tc>
        <w:tc>
          <w:tcPr>
            <w:tcW w:w="850" w:type="dxa"/>
            <w:tcBorders>
              <w:top w:val="single" w:sz="4" w:space="0" w:color="000000"/>
              <w:left w:val="single" w:sz="4" w:space="0" w:color="000000"/>
              <w:bottom w:val="single" w:sz="4" w:space="0" w:color="000000"/>
              <w:right w:val="single" w:sz="4" w:space="0" w:color="000000"/>
            </w:tcBorders>
            <w:hideMark/>
          </w:tcPr>
          <w:p w:rsidR="004D73EB" w:rsidRPr="0042467E">
            <w:pPr>
              <w:spacing w:line="228" w:lineRule="auto"/>
              <w:ind w:left="6"/>
              <w:jc w:val="center"/>
              <w:rPr>
                <w:rFonts w:ascii="Calibri" w:hAnsi="Calibri" w:cs="Calibri"/>
                <w:b/>
                <w:color w:val="000000"/>
                <w:sz w:val="14"/>
                <w:szCs w:val="14"/>
              </w:rPr>
            </w:pPr>
            <w:r w:rsidRPr="0042467E">
              <w:rPr>
                <w:rFonts w:ascii="Calibri" w:hAnsi="Calibri" w:cs="Calibri"/>
                <w:b/>
                <w:color w:val="000000"/>
                <w:sz w:val="14"/>
                <w:szCs w:val="14"/>
              </w:rPr>
              <w:t>8</w:t>
            </w:r>
          </w:p>
        </w:tc>
      </w:tr>
      <w:tr w:rsidTr="004D73EB">
        <w:tblPrEx>
          <w:tblW w:w="8558" w:type="dxa"/>
          <w:tblInd w:w="-5" w:type="dxa"/>
          <w:tblLayout w:type="fixed"/>
          <w:tblLook w:val="04A0"/>
        </w:tblPrEx>
        <w:trPr>
          <w:trHeight w:val="331"/>
        </w:trPr>
        <w:tc>
          <w:tcPr>
            <w:tcW w:w="1762" w:type="dxa"/>
            <w:tcBorders>
              <w:top w:val="single" w:sz="4" w:space="0" w:color="000000"/>
              <w:left w:val="single" w:sz="4" w:space="0" w:color="000000"/>
              <w:bottom w:val="single" w:sz="4" w:space="0" w:color="000000"/>
              <w:right w:val="single" w:sz="4" w:space="0" w:color="000000"/>
            </w:tcBorders>
            <w:hideMark/>
          </w:tcPr>
          <w:p w:rsidR="004D73EB" w:rsidRPr="0042467E">
            <w:pPr>
              <w:ind w:left="107"/>
              <w:rPr>
                <w:rFonts w:ascii="Calibri" w:hAnsi="Calibri" w:cs="Calibri"/>
                <w:color w:val="000000"/>
                <w:sz w:val="14"/>
                <w:szCs w:val="14"/>
              </w:rPr>
            </w:pPr>
            <w:r w:rsidRPr="0042467E">
              <w:rPr>
                <w:rFonts w:ascii="Calibri" w:hAnsi="Calibri" w:cs="Calibri"/>
                <w:color w:val="000000"/>
                <w:sz w:val="14"/>
                <w:szCs w:val="14"/>
              </w:rPr>
              <w:t>Prepare logistics, set interface</w:t>
            </w:r>
          </w:p>
        </w:tc>
        <w:tc>
          <w:tcPr>
            <w:tcW w:w="848"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rsidR="004D73EB" w:rsidRPr="0042467E">
            <w:pPr>
              <w:rPr>
                <w:rFonts w:ascii="Calibri" w:hAnsi="Calibri" w:cs="Calibri"/>
                <w:color w:val="000000"/>
                <w:sz w:val="14"/>
                <w:szCs w:val="14"/>
              </w:rPr>
            </w:pPr>
          </w:p>
        </w:tc>
        <w:tc>
          <w:tcPr>
            <w:tcW w:w="848"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rsidR="004D73EB" w:rsidRPr="0042467E">
            <w:pPr>
              <w:rPr>
                <w:rFonts w:ascii="Calibri" w:hAnsi="Calibri" w:cs="Calibri"/>
                <w:color w:val="000000"/>
                <w:sz w:val="14"/>
                <w:szCs w:val="14"/>
              </w:rPr>
            </w:pPr>
          </w:p>
        </w:tc>
        <w:tc>
          <w:tcPr>
            <w:tcW w:w="8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D73EB" w:rsidRPr="0042467E">
            <w:pPr>
              <w:rPr>
                <w:rFonts w:ascii="Calibri" w:hAnsi="Calibri" w:cs="Calibri"/>
                <w:color w:val="000000"/>
                <w:sz w:val="14"/>
                <w:szCs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D73EB" w:rsidRPr="0042467E">
            <w:pPr>
              <w:rPr>
                <w:rFonts w:ascii="Calibri" w:hAnsi="Calibri" w:cs="Calibri"/>
                <w:color w:val="000000"/>
                <w:sz w:val="14"/>
                <w:szCs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D73EB" w:rsidRPr="0042467E">
            <w:pPr>
              <w:rPr>
                <w:rFonts w:ascii="Calibri" w:hAnsi="Calibri" w:cs="Calibri"/>
                <w:color w:val="000000"/>
                <w:sz w:val="14"/>
                <w:szCs w:val="14"/>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D73EB" w:rsidRPr="0042467E">
            <w:pPr>
              <w:rPr>
                <w:rFonts w:ascii="Calibri" w:hAnsi="Calibri" w:cs="Calibri"/>
                <w:color w:val="000000"/>
                <w:sz w:val="14"/>
                <w:szCs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D73EB" w:rsidRPr="0042467E">
            <w:pPr>
              <w:rPr>
                <w:rFonts w:ascii="Calibri" w:hAnsi="Calibri" w:cs="Calibri"/>
                <w:color w:val="000000"/>
                <w:sz w:val="14"/>
                <w:szCs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D73EB" w:rsidRPr="0042467E">
            <w:pPr>
              <w:rPr>
                <w:rFonts w:ascii="Calibri" w:hAnsi="Calibri" w:cs="Calibri"/>
                <w:color w:val="000000"/>
                <w:sz w:val="14"/>
                <w:szCs w:val="14"/>
              </w:rPr>
            </w:pPr>
          </w:p>
        </w:tc>
      </w:tr>
      <w:tr w:rsidTr="004D73EB">
        <w:tblPrEx>
          <w:tblW w:w="8558" w:type="dxa"/>
          <w:tblInd w:w="-5" w:type="dxa"/>
          <w:tblLayout w:type="fixed"/>
          <w:tblLook w:val="04A0"/>
        </w:tblPrEx>
        <w:trPr>
          <w:trHeight w:val="331"/>
        </w:trPr>
        <w:tc>
          <w:tcPr>
            <w:tcW w:w="1762" w:type="dxa"/>
            <w:tcBorders>
              <w:top w:val="single" w:sz="4" w:space="0" w:color="000000"/>
              <w:left w:val="single" w:sz="4" w:space="0" w:color="000000"/>
              <w:bottom w:val="single" w:sz="4" w:space="0" w:color="000000"/>
              <w:right w:val="single" w:sz="4" w:space="0" w:color="000000"/>
            </w:tcBorders>
            <w:hideMark/>
          </w:tcPr>
          <w:p w:rsidR="004D73EB" w:rsidRPr="0042467E">
            <w:pPr>
              <w:ind w:left="107"/>
              <w:rPr>
                <w:rFonts w:ascii="Calibri" w:hAnsi="Calibri" w:cs="Calibri"/>
                <w:color w:val="000000"/>
                <w:sz w:val="14"/>
                <w:szCs w:val="14"/>
              </w:rPr>
            </w:pPr>
            <w:r w:rsidRPr="0042467E">
              <w:rPr>
                <w:rFonts w:ascii="Calibri" w:hAnsi="Calibri" w:cs="Calibri"/>
                <w:color w:val="000000"/>
                <w:sz w:val="14"/>
                <w:szCs w:val="14"/>
              </w:rPr>
              <w:t>Perform Survey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D73EB" w:rsidRPr="0042467E">
            <w:pPr>
              <w:rPr>
                <w:rFonts w:ascii="Calibri" w:hAnsi="Calibri" w:cs="Calibri"/>
                <w:color w:val="000000"/>
                <w:sz w:val="14"/>
                <w:szCs w:val="14"/>
              </w:rPr>
            </w:pPr>
          </w:p>
        </w:tc>
        <w:tc>
          <w:tcPr>
            <w:tcW w:w="8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D73EB" w:rsidRPr="0042467E">
            <w:pPr>
              <w:rPr>
                <w:rFonts w:ascii="Calibri" w:hAnsi="Calibri" w:cs="Calibri"/>
                <w:color w:val="000000"/>
                <w:sz w:val="14"/>
                <w:szCs w:val="14"/>
              </w:rPr>
            </w:pPr>
          </w:p>
        </w:tc>
        <w:tc>
          <w:tcPr>
            <w:tcW w:w="848"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rsidR="004D73EB" w:rsidRPr="0042467E">
            <w:pPr>
              <w:rPr>
                <w:rFonts w:ascii="Calibri" w:hAnsi="Calibri" w:cs="Calibri"/>
                <w:color w:val="000000"/>
                <w:sz w:val="14"/>
                <w:szCs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rsidR="004D73EB" w:rsidRPr="0042467E">
            <w:pPr>
              <w:rPr>
                <w:rFonts w:ascii="Calibri" w:hAnsi="Calibri" w:cs="Calibri"/>
                <w:color w:val="000000"/>
                <w:sz w:val="14"/>
                <w:szCs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D73EB" w:rsidRPr="0042467E">
            <w:pPr>
              <w:rPr>
                <w:rFonts w:ascii="Calibri" w:hAnsi="Calibri" w:cs="Calibri"/>
                <w:color w:val="000000"/>
                <w:sz w:val="14"/>
                <w:szCs w:val="14"/>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D73EB" w:rsidRPr="0042467E">
            <w:pPr>
              <w:rPr>
                <w:rFonts w:ascii="Calibri" w:hAnsi="Calibri" w:cs="Calibri"/>
                <w:color w:val="000000"/>
                <w:sz w:val="14"/>
                <w:szCs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D73EB" w:rsidRPr="0042467E">
            <w:pPr>
              <w:rPr>
                <w:rFonts w:ascii="Calibri" w:hAnsi="Calibri" w:cs="Calibri"/>
                <w:color w:val="000000"/>
                <w:sz w:val="14"/>
                <w:szCs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D73EB" w:rsidRPr="0042467E">
            <w:pPr>
              <w:rPr>
                <w:rFonts w:ascii="Calibri" w:hAnsi="Calibri" w:cs="Calibri"/>
                <w:color w:val="000000"/>
                <w:sz w:val="14"/>
                <w:szCs w:val="14"/>
              </w:rPr>
            </w:pPr>
          </w:p>
        </w:tc>
      </w:tr>
      <w:tr w:rsidTr="004D73EB">
        <w:tblPrEx>
          <w:tblW w:w="8558" w:type="dxa"/>
          <w:tblInd w:w="-5" w:type="dxa"/>
          <w:tblLayout w:type="fixed"/>
          <w:tblLook w:val="04A0"/>
        </w:tblPrEx>
        <w:trPr>
          <w:trHeight w:val="331"/>
        </w:trPr>
        <w:tc>
          <w:tcPr>
            <w:tcW w:w="1762" w:type="dxa"/>
            <w:tcBorders>
              <w:top w:val="single" w:sz="4" w:space="0" w:color="000000"/>
              <w:left w:val="single" w:sz="4" w:space="0" w:color="000000"/>
              <w:bottom w:val="single" w:sz="4" w:space="0" w:color="000000"/>
              <w:right w:val="single" w:sz="4" w:space="0" w:color="000000"/>
            </w:tcBorders>
            <w:hideMark/>
          </w:tcPr>
          <w:p w:rsidR="004D73EB" w:rsidRPr="0042467E">
            <w:pPr>
              <w:ind w:left="107"/>
              <w:rPr>
                <w:rFonts w:ascii="Calibri" w:hAnsi="Calibri" w:cs="Calibri"/>
                <w:color w:val="000000"/>
                <w:sz w:val="14"/>
                <w:szCs w:val="14"/>
              </w:rPr>
            </w:pPr>
            <w:r w:rsidRPr="0042467E">
              <w:rPr>
                <w:rFonts w:ascii="Calibri" w:hAnsi="Calibri" w:cs="Calibri"/>
                <w:color w:val="000000"/>
                <w:sz w:val="14"/>
                <w:szCs w:val="14"/>
              </w:rPr>
              <w:t>Clean and Analyze Data</w:t>
            </w:r>
          </w:p>
        </w:tc>
        <w:tc>
          <w:tcPr>
            <w:tcW w:w="8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D73EB" w:rsidRPr="0042467E">
            <w:pPr>
              <w:rPr>
                <w:rFonts w:ascii="Calibri" w:hAnsi="Calibri" w:cs="Calibri"/>
                <w:color w:val="000000"/>
                <w:sz w:val="14"/>
                <w:szCs w:val="14"/>
              </w:rPr>
            </w:pPr>
          </w:p>
        </w:tc>
        <w:tc>
          <w:tcPr>
            <w:tcW w:w="8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D73EB" w:rsidRPr="0042467E">
            <w:pPr>
              <w:rPr>
                <w:rFonts w:ascii="Calibri" w:hAnsi="Calibri" w:cs="Calibri"/>
                <w:color w:val="000000"/>
                <w:sz w:val="14"/>
                <w:szCs w:val="14"/>
              </w:rPr>
            </w:pPr>
          </w:p>
        </w:tc>
        <w:tc>
          <w:tcPr>
            <w:tcW w:w="8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D73EB" w:rsidRPr="0042467E">
            <w:pPr>
              <w:rPr>
                <w:rFonts w:ascii="Calibri" w:hAnsi="Calibri" w:cs="Calibri"/>
                <w:color w:val="000000"/>
                <w:sz w:val="14"/>
                <w:szCs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D73EB" w:rsidRPr="0042467E">
            <w:pPr>
              <w:rPr>
                <w:rFonts w:ascii="Calibri" w:hAnsi="Calibri" w:cs="Calibri"/>
                <w:color w:val="000000"/>
                <w:sz w:val="14"/>
                <w:szCs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rsidR="004D73EB" w:rsidRPr="0042467E">
            <w:pPr>
              <w:rPr>
                <w:rFonts w:ascii="Calibri" w:hAnsi="Calibri" w:cs="Calibri"/>
                <w:color w:val="000000"/>
                <w:sz w:val="14"/>
                <w:szCs w:val="14"/>
              </w:rPr>
            </w:pPr>
          </w:p>
        </w:tc>
        <w:tc>
          <w:tcPr>
            <w:tcW w:w="852"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rsidR="004D73EB" w:rsidRPr="0042467E">
            <w:pPr>
              <w:rPr>
                <w:rFonts w:ascii="Calibri" w:hAnsi="Calibri" w:cs="Calibri"/>
                <w:color w:val="000000"/>
                <w:sz w:val="14"/>
                <w:szCs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D73EB" w:rsidRPr="0042467E">
            <w:pPr>
              <w:rPr>
                <w:rFonts w:ascii="Calibri" w:hAnsi="Calibri" w:cs="Calibri"/>
                <w:color w:val="000000"/>
                <w:sz w:val="14"/>
                <w:szCs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D73EB" w:rsidRPr="0042467E">
            <w:pPr>
              <w:rPr>
                <w:rFonts w:ascii="Calibri" w:hAnsi="Calibri" w:cs="Calibri"/>
                <w:color w:val="000000"/>
                <w:sz w:val="14"/>
                <w:szCs w:val="14"/>
              </w:rPr>
            </w:pPr>
          </w:p>
        </w:tc>
      </w:tr>
      <w:tr w:rsidTr="004D73EB">
        <w:tblPrEx>
          <w:tblW w:w="8558" w:type="dxa"/>
          <w:tblInd w:w="-5" w:type="dxa"/>
          <w:tblLayout w:type="fixed"/>
          <w:tblLook w:val="04A0"/>
        </w:tblPrEx>
        <w:trPr>
          <w:trHeight w:val="331"/>
        </w:trPr>
        <w:tc>
          <w:tcPr>
            <w:tcW w:w="1762" w:type="dxa"/>
            <w:tcBorders>
              <w:top w:val="single" w:sz="4" w:space="0" w:color="000000"/>
              <w:left w:val="single" w:sz="4" w:space="0" w:color="000000"/>
              <w:bottom w:val="single" w:sz="4" w:space="0" w:color="000000"/>
              <w:right w:val="single" w:sz="4" w:space="0" w:color="000000"/>
            </w:tcBorders>
            <w:hideMark/>
          </w:tcPr>
          <w:p w:rsidR="004D73EB" w:rsidRPr="0042467E">
            <w:pPr>
              <w:ind w:left="107"/>
              <w:rPr>
                <w:rFonts w:ascii="Calibri" w:hAnsi="Calibri" w:cs="Calibri"/>
                <w:color w:val="000000"/>
                <w:sz w:val="14"/>
                <w:szCs w:val="14"/>
              </w:rPr>
            </w:pPr>
            <w:r w:rsidRPr="0042467E">
              <w:rPr>
                <w:rFonts w:ascii="Calibri" w:hAnsi="Calibri" w:cs="Calibri"/>
                <w:color w:val="000000"/>
                <w:sz w:val="14"/>
                <w:szCs w:val="14"/>
              </w:rPr>
              <w:t>Prepare Reports and Tabulations</w:t>
            </w:r>
          </w:p>
        </w:tc>
        <w:tc>
          <w:tcPr>
            <w:tcW w:w="848" w:type="dxa"/>
            <w:tcBorders>
              <w:top w:val="single" w:sz="4" w:space="0" w:color="000000"/>
              <w:left w:val="single" w:sz="4" w:space="0" w:color="000000"/>
              <w:bottom w:val="single" w:sz="4" w:space="0" w:color="000000"/>
              <w:right w:val="single" w:sz="4" w:space="0" w:color="000000"/>
            </w:tcBorders>
          </w:tcPr>
          <w:p w:rsidR="004D73EB" w:rsidRPr="0042467E">
            <w:pPr>
              <w:rPr>
                <w:rFonts w:ascii="Calibri" w:hAnsi="Calibri" w:cs="Calibri"/>
                <w:color w:val="000000"/>
                <w:sz w:val="14"/>
                <w:szCs w:val="14"/>
              </w:rPr>
            </w:pPr>
          </w:p>
        </w:tc>
        <w:tc>
          <w:tcPr>
            <w:tcW w:w="848" w:type="dxa"/>
            <w:tcBorders>
              <w:top w:val="single" w:sz="4" w:space="0" w:color="000000"/>
              <w:left w:val="single" w:sz="4" w:space="0" w:color="000000"/>
              <w:bottom w:val="single" w:sz="4" w:space="0" w:color="000000"/>
              <w:right w:val="single" w:sz="4" w:space="0" w:color="000000"/>
            </w:tcBorders>
          </w:tcPr>
          <w:p w:rsidR="004D73EB" w:rsidRPr="0042467E">
            <w:pPr>
              <w:rPr>
                <w:rFonts w:ascii="Calibri" w:hAnsi="Calibri" w:cs="Calibri"/>
                <w:color w:val="000000"/>
                <w:sz w:val="14"/>
                <w:szCs w:val="14"/>
              </w:rPr>
            </w:pPr>
          </w:p>
        </w:tc>
        <w:tc>
          <w:tcPr>
            <w:tcW w:w="848" w:type="dxa"/>
            <w:tcBorders>
              <w:top w:val="single" w:sz="4" w:space="0" w:color="000000"/>
              <w:left w:val="single" w:sz="4" w:space="0" w:color="000000"/>
              <w:bottom w:val="single" w:sz="4" w:space="0" w:color="000000"/>
              <w:right w:val="single" w:sz="4" w:space="0" w:color="000000"/>
            </w:tcBorders>
          </w:tcPr>
          <w:p w:rsidR="004D73EB" w:rsidRPr="0042467E">
            <w:pPr>
              <w:rPr>
                <w:rFonts w:ascii="Calibri" w:hAnsi="Calibri" w:cs="Calibri"/>
                <w:color w:val="000000"/>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4D73EB" w:rsidRPr="0042467E">
            <w:pPr>
              <w:rPr>
                <w:rFonts w:ascii="Calibri" w:hAnsi="Calibri" w:cs="Calibri"/>
                <w:color w:val="000000"/>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4D73EB" w:rsidRPr="0042467E">
            <w:pPr>
              <w:rPr>
                <w:rFonts w:ascii="Calibri" w:hAnsi="Calibri" w:cs="Calibri"/>
                <w:color w:val="000000"/>
                <w:sz w:val="14"/>
                <w:szCs w:val="14"/>
              </w:rPr>
            </w:pPr>
          </w:p>
        </w:tc>
        <w:tc>
          <w:tcPr>
            <w:tcW w:w="852" w:type="dxa"/>
            <w:tcBorders>
              <w:top w:val="single" w:sz="4" w:space="0" w:color="000000"/>
              <w:left w:val="single" w:sz="4" w:space="0" w:color="000000"/>
              <w:bottom w:val="single" w:sz="4" w:space="0" w:color="000000"/>
              <w:right w:val="single" w:sz="4" w:space="0" w:color="000000"/>
            </w:tcBorders>
          </w:tcPr>
          <w:p w:rsidR="004D73EB" w:rsidRPr="0042467E">
            <w:pPr>
              <w:rPr>
                <w:rFonts w:ascii="Calibri" w:hAnsi="Calibri" w:cs="Calibri"/>
                <w:color w:val="000000"/>
                <w:sz w:val="14"/>
                <w:szCs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rsidR="004D73EB" w:rsidRPr="0042467E">
            <w:pPr>
              <w:rPr>
                <w:rFonts w:ascii="Calibri" w:hAnsi="Calibri" w:cs="Calibri"/>
                <w:color w:val="000000"/>
                <w:sz w:val="14"/>
                <w:szCs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rsidR="004D73EB" w:rsidRPr="0042467E">
            <w:pPr>
              <w:rPr>
                <w:rFonts w:ascii="Calibri" w:hAnsi="Calibri" w:cs="Calibri"/>
                <w:color w:val="000000"/>
                <w:sz w:val="14"/>
                <w:szCs w:val="14"/>
              </w:rPr>
            </w:pPr>
          </w:p>
        </w:tc>
      </w:tr>
    </w:tbl>
    <w:p w:rsidR="006070D4" w:rsidRPr="0042467E" w:rsidP="006070D4">
      <w:pPr>
        <w:spacing w:before="1"/>
        <w:ind w:left="1079"/>
        <w:rPr>
          <w:color w:val="000000"/>
          <w:sz w:val="24"/>
          <w:szCs w:val="24"/>
        </w:rPr>
      </w:pPr>
    </w:p>
    <w:p w:rsidR="006070D4" w:rsidRPr="0042467E" w:rsidP="006070D4">
      <w:pPr>
        <w:widowControl/>
        <w:spacing w:before="280" w:after="280"/>
        <w:jc w:val="both"/>
        <w:rPr>
          <w:color w:val="2F5496"/>
        </w:rPr>
      </w:pPr>
      <w:r w:rsidRPr="0042467E">
        <w:t xml:space="preserve">It is anticipated that the information collected will be disseminated to the public or used to support publicly disseminated information. Prior to dissemination, the information will be subjected to quality control measures and a pre-dissemination review pursuant to Section 515 of Public Law 106-554. NOAA Fisheries will retain control over the information and safeguard it from improper access, modification, and destruction, consistent with NOAA standards for confidentiality, privacy, and electronic information. When writing final reports and publishing the findings of this research, tabulations of individual responses will occur at a high enough level of aggregation so that data for no single individual can be identified.  </w:t>
      </w:r>
    </w:p>
    <w:p w:rsidR="006070D4" w:rsidRPr="0042467E" w:rsidP="006070D4">
      <w:pPr>
        <w:jc w:val="both"/>
      </w:pPr>
      <w:r w:rsidRPr="0042467E">
        <w:t>See response to Question 10 of this Supporting Statement for more information on confidentiality and privacy. The information collection is designed to yield data that meet all applicable information quality guidelines. These Technical Memoranda will be shared online with internal and external partners.</w:t>
      </w:r>
    </w:p>
    <w:p w:rsidR="00D67C05" w:rsidP="00F560BC">
      <w:pPr>
        <w:pBdr>
          <w:top w:val="nil"/>
          <w:left w:val="nil"/>
          <w:bottom w:val="nil"/>
          <w:right w:val="nil"/>
          <w:between w:val="nil"/>
        </w:pBdr>
        <w:spacing w:before="1"/>
        <w:ind w:left="1079"/>
        <w:rPr>
          <w:color w:val="000000"/>
          <w:sz w:val="24"/>
          <w:szCs w:val="24"/>
        </w:rPr>
      </w:pPr>
    </w:p>
    <w:p w:rsidR="00D67C05" w:rsidRPr="0042467E" w:rsidP="00F560BC">
      <w:pPr>
        <w:pBdr>
          <w:top w:val="nil"/>
          <w:left w:val="nil"/>
          <w:bottom w:val="nil"/>
          <w:right w:val="nil"/>
          <w:between w:val="nil"/>
        </w:pBdr>
        <w:spacing w:before="1"/>
        <w:rPr>
          <w:color w:val="000000"/>
          <w:sz w:val="24"/>
          <w:szCs w:val="24"/>
        </w:rPr>
      </w:pPr>
      <w:r w:rsidRPr="0042467E">
        <w:rPr>
          <w:b/>
          <w:color w:val="000000"/>
          <w:sz w:val="24"/>
          <w:szCs w:val="24"/>
        </w:rPr>
        <w:t>17. If seeking approval to not display the expiration date for OMB approval of the information collection, explain the reasons why display would be inappropriate.</w:t>
      </w:r>
    </w:p>
    <w:p w:rsidR="00D67C05" w:rsidRPr="0042467E" w:rsidP="00F560BC">
      <w:pPr>
        <w:pBdr>
          <w:top w:val="nil"/>
          <w:left w:val="nil"/>
          <w:bottom w:val="nil"/>
          <w:right w:val="nil"/>
          <w:between w:val="nil"/>
        </w:pBdr>
        <w:spacing w:before="1"/>
        <w:ind w:left="1079"/>
        <w:rPr>
          <w:color w:val="000000"/>
          <w:sz w:val="24"/>
          <w:szCs w:val="24"/>
        </w:rPr>
      </w:pPr>
    </w:p>
    <w:p w:rsidR="00D67C05" w:rsidRPr="0042467E" w:rsidP="00F560BC">
      <w:pPr>
        <w:pBdr>
          <w:top w:val="nil"/>
          <w:left w:val="nil"/>
          <w:bottom w:val="nil"/>
          <w:right w:val="nil"/>
          <w:between w:val="nil"/>
        </w:pBdr>
        <w:spacing w:before="1"/>
        <w:rPr>
          <w:color w:val="000000"/>
          <w:sz w:val="24"/>
          <w:szCs w:val="24"/>
        </w:rPr>
      </w:pPr>
      <w:r w:rsidRPr="0042467E">
        <w:rPr>
          <w:color w:val="000000"/>
          <w:sz w:val="24"/>
          <w:szCs w:val="24"/>
        </w:rPr>
        <w:t>The collection instrument will display the OMB number and expiration date.</w:t>
      </w:r>
    </w:p>
    <w:p w:rsidR="00416FA1" w:rsidRPr="0042467E" w:rsidP="00F560BC">
      <w:pPr>
        <w:pBdr>
          <w:top w:val="nil"/>
          <w:left w:val="nil"/>
          <w:bottom w:val="nil"/>
          <w:right w:val="nil"/>
          <w:between w:val="nil"/>
        </w:pBdr>
        <w:spacing w:before="1"/>
        <w:rPr>
          <w:color w:val="000000"/>
          <w:sz w:val="24"/>
          <w:szCs w:val="24"/>
        </w:rPr>
      </w:pPr>
    </w:p>
    <w:p w:rsidR="00D67C05" w:rsidRPr="0042467E" w:rsidP="00F560BC">
      <w:pPr>
        <w:pBdr>
          <w:top w:val="nil"/>
          <w:left w:val="nil"/>
          <w:bottom w:val="nil"/>
          <w:right w:val="nil"/>
          <w:between w:val="nil"/>
        </w:pBdr>
        <w:spacing w:before="1"/>
        <w:ind w:left="1079"/>
        <w:rPr>
          <w:color w:val="000000"/>
          <w:sz w:val="24"/>
          <w:szCs w:val="24"/>
        </w:rPr>
      </w:pPr>
    </w:p>
    <w:p w:rsidR="00D67C05" w:rsidRPr="0042467E" w:rsidP="00F560BC">
      <w:pPr>
        <w:pBdr>
          <w:top w:val="nil"/>
          <w:left w:val="nil"/>
          <w:bottom w:val="nil"/>
          <w:right w:val="nil"/>
          <w:between w:val="nil"/>
        </w:pBdr>
        <w:spacing w:before="1"/>
        <w:rPr>
          <w:color w:val="000000"/>
          <w:sz w:val="24"/>
          <w:szCs w:val="24"/>
        </w:rPr>
      </w:pPr>
      <w:r w:rsidRPr="0042467E">
        <w:rPr>
          <w:b/>
          <w:color w:val="000000"/>
          <w:sz w:val="24"/>
          <w:szCs w:val="24"/>
        </w:rPr>
        <w:t>18. Explain each exception to the certification statement</w:t>
      </w:r>
      <w:r w:rsidRPr="0042467E">
        <w:rPr>
          <w:b/>
          <w:color w:val="000000"/>
          <w:sz w:val="24"/>
          <w:szCs w:val="24"/>
          <w:u w:val="single"/>
        </w:rPr>
        <w:t xml:space="preserve"> </w:t>
      </w:r>
      <w:r w:rsidRPr="0042467E">
        <w:rPr>
          <w:b/>
          <w:color w:val="000000"/>
          <w:sz w:val="24"/>
          <w:szCs w:val="24"/>
        </w:rPr>
        <w:t>identified “Certification for Paperwork Reduction Act Submissions."</w:t>
      </w:r>
    </w:p>
    <w:p w:rsidR="00D67C05" w:rsidRPr="0042467E" w:rsidP="00F560BC">
      <w:pPr>
        <w:pBdr>
          <w:top w:val="nil"/>
          <w:left w:val="nil"/>
          <w:bottom w:val="nil"/>
          <w:right w:val="nil"/>
          <w:between w:val="nil"/>
        </w:pBdr>
        <w:spacing w:before="1"/>
        <w:ind w:left="1079"/>
        <w:rPr>
          <w:color w:val="000000"/>
          <w:sz w:val="24"/>
          <w:szCs w:val="24"/>
        </w:rPr>
      </w:pPr>
    </w:p>
    <w:p w:rsidR="00D67C05" w:rsidRPr="0042467E" w:rsidP="009F153E">
      <w:pPr>
        <w:pBdr>
          <w:top w:val="nil"/>
          <w:left w:val="nil"/>
          <w:bottom w:val="nil"/>
          <w:right w:val="nil"/>
          <w:between w:val="nil"/>
        </w:pBdr>
        <w:spacing w:before="1"/>
        <w:rPr>
          <w:color w:val="000000"/>
          <w:sz w:val="24"/>
        </w:rPr>
      </w:pPr>
      <w:r w:rsidRPr="0042467E">
        <w:rPr>
          <w:color w:val="000000"/>
          <w:sz w:val="24"/>
        </w:rPr>
        <w:t xml:space="preserve">The agency certifies compliance with </w:t>
      </w:r>
      <w:hyperlink r:id="rId16" w:history="1">
        <w:r w:rsidRPr="0042467E">
          <w:rPr>
            <w:rStyle w:val="Hyperlink"/>
            <w:color w:val="0563C1"/>
            <w:sz w:val="24"/>
          </w:rPr>
          <w:t xml:space="preserve">5 CFR 1320.9 </w:t>
        </w:r>
      </w:hyperlink>
      <w:r w:rsidRPr="0042467E">
        <w:rPr>
          <w:color w:val="000000"/>
          <w:sz w:val="24"/>
        </w:rPr>
        <w:t xml:space="preserve">and the related provisions of </w:t>
      </w:r>
      <w:hyperlink r:id="rId17" w:history="1">
        <w:r w:rsidRPr="0042467E">
          <w:rPr>
            <w:rStyle w:val="Hyperlink"/>
            <w:color w:val="0563C1"/>
            <w:sz w:val="24"/>
          </w:rPr>
          <w:t>5 CFR</w:t>
        </w:r>
      </w:hyperlink>
      <w:r w:rsidRPr="0042467E">
        <w:rPr>
          <w:color w:val="0563C1"/>
          <w:sz w:val="24"/>
        </w:rPr>
        <w:t xml:space="preserve"> </w:t>
      </w:r>
      <w:hyperlink r:id="rId17" w:history="1">
        <w:r w:rsidRPr="0042467E">
          <w:rPr>
            <w:rStyle w:val="Hyperlink"/>
            <w:color w:val="0563C1"/>
            <w:sz w:val="24"/>
          </w:rPr>
          <w:t>1320.8(b)(3)</w:t>
        </w:r>
      </w:hyperlink>
      <w:r w:rsidRPr="0042467E">
        <w:rPr>
          <w:color w:val="000000"/>
          <w:sz w:val="24"/>
        </w:rPr>
        <w:t>.</w:t>
      </w:r>
    </w:p>
    <w:p w:rsidR="00AD4708" w:rsidRPr="0042467E">
      <w:pPr>
        <w:rPr>
          <w:color w:val="000000"/>
          <w:sz w:val="24"/>
        </w:rPr>
      </w:pPr>
      <w:r w:rsidRPr="0042467E">
        <w:rPr>
          <w:color w:val="000000"/>
          <w:sz w:val="24"/>
        </w:rPr>
        <w:br w:type="page"/>
      </w:r>
    </w:p>
    <w:p w:rsidR="00D67C05" w:rsidRPr="0042467E" w:rsidP="009F153E">
      <w:pPr>
        <w:jc w:val="center"/>
        <w:rPr>
          <w:b/>
          <w:sz w:val="24"/>
          <w:szCs w:val="24"/>
        </w:rPr>
      </w:pPr>
      <w:r w:rsidRPr="0042467E">
        <w:rPr>
          <w:b/>
          <w:sz w:val="24"/>
          <w:szCs w:val="24"/>
        </w:rPr>
        <w:t>REFERENCES CITED:</w:t>
      </w:r>
    </w:p>
    <w:p w:rsidR="00EB3D76" w:rsidRPr="0042467E" w:rsidP="009F153E">
      <w:pPr>
        <w:jc w:val="center"/>
        <w:rPr>
          <w:b/>
          <w:sz w:val="24"/>
          <w:szCs w:val="24"/>
        </w:rPr>
      </w:pPr>
    </w:p>
    <w:p w:rsidR="00EB3D76" w:rsidRPr="0042467E" w:rsidP="00EB3D76">
      <w:pPr>
        <w:widowControl/>
        <w:shd w:val="clear" w:color="auto" w:fill="FFFFFF"/>
        <w:rPr>
          <w:rFonts w:ascii="ff4" w:hAnsi="ff4"/>
          <w:color w:val="000000"/>
          <w:sz w:val="20"/>
          <w:szCs w:val="20"/>
        </w:rPr>
      </w:pPr>
    </w:p>
    <w:p w:rsidR="00EB3D76" w:rsidRPr="0042467E" w:rsidP="009F7D33">
      <w:pPr>
        <w:pStyle w:val="NoSpacing"/>
        <w:spacing w:line="276" w:lineRule="auto"/>
        <w:jc w:val="both"/>
        <w:rPr>
          <w:sz w:val="24"/>
          <w:szCs w:val="24"/>
        </w:rPr>
      </w:pPr>
      <w:r w:rsidRPr="0042467E">
        <w:rPr>
          <w:sz w:val="24"/>
          <w:szCs w:val="24"/>
          <w:shd w:val="clear" w:color="auto" w:fill="FFFFFF"/>
        </w:rPr>
        <w:t>Griffith, D., Halmo, D., Jacob, S., Overbey, M.M. and Weeks, P., 2016. Private Fish, Public Resource: Socioeconomic Impacts of the Grouper-Tilefish Individual Fishery Q</w:t>
      </w:r>
      <w:r w:rsidR="00D93A1A">
        <w:rPr>
          <w:sz w:val="24"/>
          <w:szCs w:val="24"/>
          <w:shd w:val="clear" w:color="auto" w:fill="FFFFFF"/>
        </w:rPr>
        <w:t>uota (IFQ) Program on Gulf of America</w:t>
      </w:r>
      <w:r w:rsidRPr="0042467E">
        <w:rPr>
          <w:sz w:val="24"/>
          <w:szCs w:val="24"/>
          <w:shd w:val="clear" w:color="auto" w:fill="FFFFFF"/>
        </w:rPr>
        <w:t xml:space="preserve"> Communities, Volumes I (overview) and II (Regional Studies). </w:t>
      </w:r>
      <w:r w:rsidRPr="0042467E">
        <w:rPr>
          <w:i/>
          <w:iCs/>
          <w:sz w:val="24"/>
          <w:szCs w:val="24"/>
          <w:shd w:val="clear" w:color="auto" w:fill="FFFFFF"/>
        </w:rPr>
        <w:t>Report prepared for Southeast Regional Fisheries Science Center, Miami, Florida. September</w:t>
      </w:r>
      <w:r w:rsidRPr="0042467E">
        <w:rPr>
          <w:sz w:val="24"/>
          <w:szCs w:val="24"/>
          <w:shd w:val="clear" w:color="auto" w:fill="FFFFFF"/>
        </w:rPr>
        <w:t>.</w:t>
      </w:r>
    </w:p>
    <w:p w:rsidR="00EB3D76" w:rsidRPr="0042467E" w:rsidP="009F7D33">
      <w:pPr>
        <w:pStyle w:val="NoSpacing"/>
        <w:spacing w:line="276" w:lineRule="auto"/>
        <w:jc w:val="both"/>
        <w:rPr>
          <w:b/>
          <w:color w:val="000000"/>
          <w:sz w:val="24"/>
          <w:szCs w:val="24"/>
        </w:rPr>
      </w:pPr>
    </w:p>
    <w:p w:rsidR="00EB3D76" w:rsidRPr="009F7D33" w:rsidP="009F7D33">
      <w:pPr>
        <w:pStyle w:val="NoSpacing"/>
        <w:spacing w:line="276" w:lineRule="auto"/>
        <w:jc w:val="both"/>
        <w:rPr>
          <w:sz w:val="24"/>
          <w:szCs w:val="24"/>
        </w:rPr>
      </w:pPr>
      <w:r w:rsidRPr="0042467E">
        <w:rPr>
          <w:sz w:val="24"/>
          <w:szCs w:val="24"/>
          <w:shd w:val="clear" w:color="auto" w:fill="FFFFFF"/>
        </w:rPr>
        <w:t xml:space="preserve">Tokotch, B.N., Meindl, C.F., Hoare, A. and Jepson, M.E., 2012. Stakeholder perceptions of the northern Gulf of </w:t>
      </w:r>
      <w:r w:rsidR="00D93A1A">
        <w:rPr>
          <w:sz w:val="24"/>
          <w:szCs w:val="24"/>
          <w:shd w:val="clear" w:color="auto" w:fill="FFFFFF"/>
        </w:rPr>
        <w:t>America</w:t>
      </w:r>
      <w:r w:rsidRPr="0042467E">
        <w:rPr>
          <w:sz w:val="24"/>
          <w:szCs w:val="24"/>
          <w:shd w:val="clear" w:color="auto" w:fill="FFFFFF"/>
        </w:rPr>
        <w:t xml:space="preserve"> grouper and tilefish individual fishing quota program. </w:t>
      </w:r>
      <w:r w:rsidRPr="0042467E">
        <w:rPr>
          <w:i/>
          <w:iCs/>
          <w:sz w:val="24"/>
          <w:szCs w:val="24"/>
          <w:shd w:val="clear" w:color="auto" w:fill="FFFFFF"/>
        </w:rPr>
        <w:t>Marine Policy</w:t>
      </w:r>
      <w:r w:rsidRPr="0042467E">
        <w:rPr>
          <w:sz w:val="24"/>
          <w:szCs w:val="24"/>
          <w:shd w:val="clear" w:color="auto" w:fill="FFFFFF"/>
        </w:rPr>
        <w:t>, </w:t>
      </w:r>
      <w:r w:rsidRPr="0042467E">
        <w:rPr>
          <w:i/>
          <w:iCs/>
          <w:sz w:val="24"/>
          <w:szCs w:val="24"/>
          <w:shd w:val="clear" w:color="auto" w:fill="FFFFFF"/>
        </w:rPr>
        <w:t>36</w:t>
      </w:r>
      <w:r w:rsidRPr="0042467E">
        <w:rPr>
          <w:sz w:val="24"/>
          <w:szCs w:val="24"/>
          <w:shd w:val="clear" w:color="auto" w:fill="FFFFFF"/>
        </w:rPr>
        <w:t>(1), pp.34-41.</w:t>
      </w:r>
    </w:p>
    <w:p w:rsidR="00EB3D76" w:rsidP="009F153E">
      <w:pPr>
        <w:jc w:val="center"/>
        <w:rPr>
          <w:b/>
          <w:sz w:val="24"/>
          <w:szCs w:val="24"/>
        </w:rPr>
      </w:pPr>
    </w:p>
    <w:p w:rsidR="00D67C05" w:rsidP="00F560BC">
      <w:pPr>
        <w:rPr>
          <w:sz w:val="24"/>
          <w:szCs w:val="24"/>
        </w:rPr>
      </w:pPr>
      <w:r>
        <w:rPr>
          <w:b/>
          <w:sz w:val="24"/>
          <w:szCs w:val="24"/>
        </w:rPr>
        <w:t xml:space="preserve"> </w:t>
      </w:r>
    </w:p>
    <w:p w:rsidR="00D67C05" w:rsidP="00F560BC">
      <w:pPr>
        <w:rPr>
          <w:b/>
          <w:color w:val="000000"/>
          <w:sz w:val="24"/>
          <w:szCs w:val="24"/>
        </w:rPr>
      </w:pPr>
      <w:r>
        <w:br w:type="page"/>
      </w:r>
    </w:p>
    <w:p w:rsidR="00D67C05" w:rsidP="009F153E">
      <w:pPr>
        <w:pStyle w:val="Heading1"/>
        <w:ind w:firstLine="1080"/>
        <w:rPr>
          <w:color w:val="000000"/>
        </w:rPr>
      </w:pPr>
      <w:r>
        <w:rPr>
          <w:color w:val="000000"/>
        </w:rPr>
        <w:t xml:space="preserve">                            </w:t>
      </w:r>
      <w:r w:rsidR="00174DE5">
        <w:rPr>
          <w:color w:val="000000"/>
        </w:rPr>
        <w:t>APPENDIX A</w:t>
      </w:r>
    </w:p>
    <w:p w:rsidR="00117D88" w:rsidRPr="00117D88" w:rsidP="00117D88"/>
    <w:p w:rsidR="00D67C05" w:rsidP="009F153E">
      <w:pPr>
        <w:pStyle w:val="Heading1"/>
        <w:ind w:left="0"/>
      </w:pPr>
      <w:r>
        <w:rPr>
          <w:color w:val="000000"/>
        </w:rPr>
        <w:t>Social and Economic Data Requiremen</w:t>
      </w:r>
      <w:r w:rsidR="009F153E">
        <w:rPr>
          <w:color w:val="000000"/>
        </w:rPr>
        <w:t xml:space="preserve">ts for Federally Managed </w:t>
      </w:r>
      <w:r>
        <w:rPr>
          <w:color w:val="000000"/>
        </w:rPr>
        <w:t>Commercial Fisheries</w:t>
      </w:r>
    </w:p>
    <w:p w:rsidR="00D67C05" w:rsidP="00F560BC">
      <w:pPr>
        <w:ind w:left="1080"/>
      </w:pPr>
    </w:p>
    <w:p w:rsidR="00D67C05" w:rsidP="00F560BC">
      <w:pPr>
        <w:rPr>
          <w:b/>
          <w:sz w:val="24"/>
          <w:szCs w:val="24"/>
        </w:rPr>
      </w:pPr>
      <w:bookmarkStart w:id="0" w:name="_1fob9te" w:colFirst="0" w:colLast="0"/>
      <w:bookmarkEnd w:id="0"/>
      <w:r>
        <w:rPr>
          <w:b/>
          <w:sz w:val="24"/>
          <w:szCs w:val="24"/>
        </w:rPr>
        <w:t>Introduction</w:t>
      </w:r>
    </w:p>
    <w:p w:rsidR="00D67C05" w:rsidP="00F560BC">
      <w:pPr>
        <w:ind w:left="1080"/>
        <w:rPr>
          <w:sz w:val="24"/>
          <w:szCs w:val="24"/>
        </w:rPr>
      </w:pPr>
    </w:p>
    <w:p w:rsidR="00D67C05" w:rsidP="00F560BC">
      <w:pPr>
        <w:rPr>
          <w:sz w:val="24"/>
          <w:szCs w:val="24"/>
        </w:rPr>
      </w:pPr>
      <w:r>
        <w:rPr>
          <w:sz w:val="24"/>
          <w:szCs w:val="24"/>
        </w:rPr>
        <w:t xml:space="preserve">NMFS uses social and economic data and the models and analyses they support to monitor, explain and predict changes in the social and economic performance and impacts of federally managed fisheries. The legal and policy requirements for social and economic data and analyses are intended to promote better informed conservation and management decisions on the use of living marine resources and marine habitat in federally managed fisheries by improving the ability of NMFS and the Councils to monitor, explain and predict those changes. </w:t>
      </w:r>
    </w:p>
    <w:p w:rsidR="00D67C05" w:rsidP="00F560BC">
      <w:pPr>
        <w:ind w:left="1080"/>
        <w:rPr>
          <w:sz w:val="24"/>
          <w:szCs w:val="24"/>
        </w:rPr>
      </w:pPr>
    </w:p>
    <w:p w:rsidR="00D67C05" w:rsidP="00F560BC">
      <w:pPr>
        <w:rPr>
          <w:sz w:val="24"/>
          <w:szCs w:val="24"/>
        </w:rPr>
      </w:pPr>
      <w:r>
        <w:rPr>
          <w:sz w:val="24"/>
          <w:szCs w:val="24"/>
        </w:rPr>
        <w:t xml:space="preserve">In this appendix, we address the following 16 laws, Executive Orders (EOs) and NOAA Fisheries strategy and policy statements with requirements for social and/or economic data, models and analyses. </w:t>
      </w:r>
    </w:p>
    <w:p w:rsidR="00D67C05" w:rsidP="00F560BC">
      <w:pPr>
        <w:rPr>
          <w:sz w:val="24"/>
          <w:szCs w:val="24"/>
        </w:rPr>
      </w:pPr>
    </w:p>
    <w:p w:rsidR="00D67C05" w:rsidP="00F560BC">
      <w:pPr>
        <w:numPr>
          <w:ilvl w:val="0"/>
          <w:numId w:val="2"/>
        </w:numPr>
        <w:pBdr>
          <w:top w:val="nil"/>
          <w:left w:val="nil"/>
          <w:bottom w:val="nil"/>
          <w:right w:val="nil"/>
          <w:between w:val="nil"/>
        </w:pBdr>
        <w:rPr>
          <w:color w:val="000000"/>
          <w:sz w:val="24"/>
          <w:szCs w:val="24"/>
        </w:rPr>
      </w:pPr>
      <w:r>
        <w:rPr>
          <w:color w:val="000000"/>
          <w:sz w:val="24"/>
          <w:szCs w:val="24"/>
        </w:rPr>
        <w:t xml:space="preserve">The </w:t>
      </w:r>
      <w:hyperlink r:id="rId6">
        <w:r>
          <w:rPr>
            <w:color w:val="0000FF"/>
            <w:sz w:val="24"/>
            <w:szCs w:val="24"/>
            <w:u w:val="single"/>
          </w:rPr>
          <w:t>Magnuson-Stevens Fishery Conservation and Management Act</w:t>
        </w:r>
      </w:hyperlink>
      <w:r>
        <w:rPr>
          <w:color w:val="000000"/>
          <w:sz w:val="24"/>
          <w:szCs w:val="24"/>
        </w:rPr>
        <w:t xml:space="preserve"> (MSA)</w:t>
      </w:r>
    </w:p>
    <w:p w:rsidR="00D67C05" w:rsidP="00F560BC">
      <w:pPr>
        <w:numPr>
          <w:ilvl w:val="0"/>
          <w:numId w:val="2"/>
        </w:numPr>
        <w:pBdr>
          <w:top w:val="nil"/>
          <w:left w:val="nil"/>
          <w:bottom w:val="nil"/>
          <w:right w:val="nil"/>
          <w:between w:val="nil"/>
        </w:pBdr>
        <w:rPr>
          <w:color w:val="000000"/>
          <w:sz w:val="24"/>
          <w:szCs w:val="24"/>
        </w:rPr>
      </w:pPr>
      <w:r>
        <w:rPr>
          <w:color w:val="000000"/>
          <w:sz w:val="24"/>
          <w:szCs w:val="24"/>
        </w:rPr>
        <w:t xml:space="preserve">The </w:t>
      </w:r>
      <w:hyperlink r:id="rId7">
        <w:r>
          <w:rPr>
            <w:color w:val="0000FF"/>
            <w:sz w:val="24"/>
            <w:szCs w:val="24"/>
            <w:u w:val="single"/>
          </w:rPr>
          <w:t>National Environmental Policy Act</w:t>
        </w:r>
      </w:hyperlink>
      <w:r>
        <w:rPr>
          <w:color w:val="000000"/>
          <w:sz w:val="24"/>
          <w:szCs w:val="24"/>
        </w:rPr>
        <w:t xml:space="preserve"> (NEPA) </w:t>
      </w:r>
    </w:p>
    <w:p w:rsidR="00D67C05" w:rsidP="00F560BC">
      <w:pPr>
        <w:numPr>
          <w:ilvl w:val="0"/>
          <w:numId w:val="2"/>
        </w:numPr>
        <w:pBdr>
          <w:top w:val="nil"/>
          <w:left w:val="nil"/>
          <w:bottom w:val="nil"/>
          <w:right w:val="nil"/>
          <w:between w:val="nil"/>
        </w:pBdr>
        <w:rPr>
          <w:color w:val="000000"/>
          <w:sz w:val="24"/>
          <w:szCs w:val="24"/>
        </w:rPr>
      </w:pPr>
      <w:r>
        <w:rPr>
          <w:color w:val="000000"/>
          <w:sz w:val="24"/>
          <w:szCs w:val="24"/>
        </w:rPr>
        <w:t xml:space="preserve">The </w:t>
      </w:r>
      <w:hyperlink r:id="rId8">
        <w:r>
          <w:rPr>
            <w:color w:val="0000FF"/>
            <w:sz w:val="24"/>
            <w:szCs w:val="24"/>
            <w:u w:val="single"/>
          </w:rPr>
          <w:t>Regulatory Flexibility Act</w:t>
        </w:r>
      </w:hyperlink>
      <w:r>
        <w:rPr>
          <w:color w:val="000000"/>
          <w:sz w:val="24"/>
          <w:szCs w:val="24"/>
        </w:rPr>
        <w:t xml:space="preserve"> (RFA)</w:t>
      </w:r>
    </w:p>
    <w:p w:rsidR="00D67C05" w:rsidP="00F560BC">
      <w:pPr>
        <w:numPr>
          <w:ilvl w:val="0"/>
          <w:numId w:val="2"/>
        </w:numPr>
        <w:pBdr>
          <w:top w:val="nil"/>
          <w:left w:val="nil"/>
          <w:bottom w:val="nil"/>
          <w:right w:val="nil"/>
          <w:between w:val="nil"/>
        </w:pBdr>
        <w:rPr>
          <w:color w:val="000000"/>
          <w:sz w:val="24"/>
          <w:szCs w:val="24"/>
        </w:rPr>
      </w:pPr>
      <w:hyperlink r:id="rId9">
        <w:r w:rsidR="00174DE5">
          <w:rPr>
            <w:color w:val="0000FF"/>
            <w:sz w:val="24"/>
            <w:szCs w:val="24"/>
            <w:u w:val="single"/>
          </w:rPr>
          <w:t>EO 13771</w:t>
        </w:r>
      </w:hyperlink>
      <w:r w:rsidR="00174DE5">
        <w:rPr>
          <w:color w:val="000000"/>
          <w:sz w:val="24"/>
          <w:szCs w:val="24"/>
        </w:rPr>
        <w:t xml:space="preserve"> (Reducing Regulation and Controlling Regulatory Costs)</w:t>
      </w:r>
    </w:p>
    <w:p w:rsidR="00D67C05" w:rsidP="00F560BC">
      <w:pPr>
        <w:numPr>
          <w:ilvl w:val="0"/>
          <w:numId w:val="2"/>
        </w:numPr>
        <w:pBdr>
          <w:top w:val="nil"/>
          <w:left w:val="nil"/>
          <w:bottom w:val="nil"/>
          <w:right w:val="nil"/>
          <w:between w:val="nil"/>
        </w:pBdr>
        <w:rPr>
          <w:color w:val="000000"/>
          <w:sz w:val="24"/>
          <w:szCs w:val="24"/>
        </w:rPr>
      </w:pPr>
      <w:r>
        <w:rPr>
          <w:color w:val="000000"/>
          <w:sz w:val="24"/>
          <w:szCs w:val="24"/>
        </w:rPr>
        <w:t xml:space="preserve">The </w:t>
      </w:r>
      <w:hyperlink r:id="rId10">
        <w:r>
          <w:rPr>
            <w:color w:val="0000FF"/>
            <w:sz w:val="24"/>
            <w:szCs w:val="24"/>
            <w:u w:val="single"/>
          </w:rPr>
          <w:t>NOAA Fisheries Guidelines for Assessment of the Social Impact of Fishery Management Actions</w:t>
        </w:r>
      </w:hyperlink>
    </w:p>
    <w:p w:rsidR="00D67C05" w:rsidP="00F560BC">
      <w:pPr>
        <w:numPr>
          <w:ilvl w:val="0"/>
          <w:numId w:val="2"/>
        </w:numPr>
        <w:pBdr>
          <w:top w:val="nil"/>
          <w:left w:val="nil"/>
          <w:bottom w:val="nil"/>
          <w:right w:val="nil"/>
          <w:between w:val="nil"/>
        </w:pBdr>
        <w:rPr>
          <w:color w:val="000000"/>
          <w:sz w:val="24"/>
          <w:szCs w:val="24"/>
        </w:rPr>
      </w:pPr>
      <w:r>
        <w:rPr>
          <w:color w:val="000000"/>
          <w:sz w:val="24"/>
          <w:szCs w:val="24"/>
        </w:rPr>
        <w:t xml:space="preserve">The </w:t>
      </w:r>
      <w:hyperlink r:id="rId11">
        <w:r>
          <w:rPr>
            <w:color w:val="0000FF"/>
            <w:sz w:val="24"/>
            <w:szCs w:val="24"/>
            <w:u w:val="single"/>
          </w:rPr>
          <w:t>NOAA Fisheries Guidelines for Economic Reviews of Regulatory Actions</w:t>
        </w:r>
      </w:hyperlink>
    </w:p>
    <w:p w:rsidR="00D67C05" w:rsidP="00F560BC">
      <w:pPr>
        <w:numPr>
          <w:ilvl w:val="0"/>
          <w:numId w:val="2"/>
        </w:numPr>
        <w:pBdr>
          <w:top w:val="nil"/>
          <w:left w:val="nil"/>
          <w:bottom w:val="nil"/>
          <w:right w:val="nil"/>
          <w:between w:val="nil"/>
        </w:pBdr>
        <w:rPr>
          <w:color w:val="000000"/>
          <w:sz w:val="24"/>
          <w:szCs w:val="24"/>
        </w:rPr>
      </w:pPr>
      <w:r>
        <w:rPr>
          <w:color w:val="000000"/>
          <w:sz w:val="24"/>
          <w:szCs w:val="24"/>
        </w:rPr>
        <w:t xml:space="preserve">The </w:t>
      </w:r>
      <w:hyperlink r:id="rId12">
        <w:r>
          <w:rPr>
            <w:color w:val="0000FF"/>
            <w:sz w:val="24"/>
            <w:szCs w:val="24"/>
            <w:u w:val="single"/>
          </w:rPr>
          <w:t>NOAA Fisheries National Bycatch Reduction Strategy</w:t>
        </w:r>
      </w:hyperlink>
    </w:p>
    <w:p w:rsidR="00D67C05" w:rsidP="00F560BC">
      <w:pPr>
        <w:numPr>
          <w:ilvl w:val="0"/>
          <w:numId w:val="2"/>
        </w:numPr>
        <w:pBdr>
          <w:top w:val="nil"/>
          <w:left w:val="nil"/>
          <w:bottom w:val="nil"/>
          <w:right w:val="nil"/>
          <w:between w:val="nil"/>
        </w:pBdr>
        <w:rPr>
          <w:color w:val="000000"/>
          <w:sz w:val="24"/>
          <w:szCs w:val="24"/>
        </w:rPr>
      </w:pPr>
      <w:hyperlink r:id="rId13">
        <w:r w:rsidR="00174DE5">
          <w:rPr>
            <w:color w:val="0000FF"/>
            <w:sz w:val="24"/>
            <w:szCs w:val="24"/>
            <w:u w:val="single"/>
          </w:rPr>
          <w:t>NOAA’s Catch Share Policy</w:t>
        </w:r>
      </w:hyperlink>
    </w:p>
    <w:p w:rsidR="00D67C05" w:rsidP="00F560BC">
      <w:pPr>
        <w:ind w:left="1080"/>
        <w:rPr>
          <w:sz w:val="24"/>
          <w:szCs w:val="24"/>
        </w:rPr>
      </w:pPr>
    </w:p>
    <w:p w:rsidR="00D67C05" w:rsidP="00F560BC">
      <w:pPr>
        <w:rPr>
          <w:sz w:val="24"/>
          <w:szCs w:val="24"/>
        </w:rPr>
      </w:pPr>
      <w:r>
        <w:rPr>
          <w:sz w:val="24"/>
          <w:szCs w:val="24"/>
        </w:rPr>
        <w:t>We use the terms “needed” and “required”, with respect to social and economic data, to refer to data that would support more than a highly superficial effort to comply with or support those laws, EOs and statements.</w:t>
      </w:r>
    </w:p>
    <w:p w:rsidR="00D67C05" w:rsidP="00F560BC">
      <w:pPr>
        <w:ind w:left="1080"/>
        <w:rPr>
          <w:sz w:val="24"/>
          <w:szCs w:val="24"/>
        </w:rPr>
      </w:pPr>
    </w:p>
    <w:p w:rsidR="00D67C05" w:rsidP="00F560BC">
      <w:pPr>
        <w:numPr>
          <w:ilvl w:val="0"/>
          <w:numId w:val="3"/>
        </w:numPr>
        <w:pBdr>
          <w:top w:val="nil"/>
          <w:left w:val="nil"/>
          <w:bottom w:val="nil"/>
          <w:right w:val="nil"/>
          <w:between w:val="nil"/>
        </w:pBdr>
        <w:rPr>
          <w:b/>
          <w:color w:val="000000"/>
          <w:sz w:val="24"/>
          <w:szCs w:val="24"/>
          <w:u w:val="single"/>
        </w:rPr>
      </w:pPr>
      <w:bookmarkStart w:id="1" w:name="_3znysh7" w:colFirst="0" w:colLast="0"/>
      <w:bookmarkEnd w:id="1"/>
      <w:r>
        <w:rPr>
          <w:b/>
          <w:color w:val="000000"/>
          <w:sz w:val="24"/>
          <w:szCs w:val="24"/>
          <w:u w:val="single"/>
        </w:rPr>
        <w:t>MSA</w:t>
      </w:r>
    </w:p>
    <w:p w:rsidR="00D67C05" w:rsidP="00F560BC">
      <w:pPr>
        <w:ind w:left="1080"/>
        <w:rPr>
          <w:sz w:val="24"/>
          <w:szCs w:val="24"/>
        </w:rPr>
      </w:pPr>
    </w:p>
    <w:p w:rsidR="00D67C05" w:rsidP="00F560BC">
      <w:pPr>
        <w:widowControl/>
        <w:spacing w:after="200" w:line="276" w:lineRule="auto"/>
        <w:rPr>
          <w:sz w:val="24"/>
          <w:szCs w:val="24"/>
        </w:rPr>
      </w:pPr>
      <w:bookmarkStart w:id="2" w:name="_gjdgxs" w:colFirst="0" w:colLast="0"/>
      <w:bookmarkEnd w:id="2"/>
      <w:r>
        <w:rPr>
          <w:sz w:val="24"/>
          <w:szCs w:val="24"/>
        </w:rPr>
        <w:t>The Magnuson-Stevens Fishery Conservation and Management (MSA), 16 U.S.C. §§ 1801</w:t>
      </w:r>
      <w:r>
        <w:rPr>
          <w:i/>
          <w:sz w:val="24"/>
          <w:szCs w:val="24"/>
        </w:rPr>
        <w:t xml:space="preserve"> et seq</w:t>
      </w:r>
      <w:r>
        <w:rPr>
          <w:sz w:val="24"/>
          <w:szCs w:val="24"/>
        </w:rPr>
        <w:t xml:space="preserve">., establishes a national program for conservation and management of fishery resources with federal jurisdiction over such resources within the US exclusive economic zone (EEZ). 16 U.S.C. §§ 1801(a)(6), 1811(a). For purposes of the MSA, the EEZ extends from the seaward boundary of each coastal State generally out to 200 nautical miles. </w:t>
      </w:r>
      <w:r>
        <w:rPr>
          <w:i/>
          <w:sz w:val="24"/>
          <w:szCs w:val="24"/>
        </w:rPr>
        <w:t>Id</w:t>
      </w:r>
      <w:r>
        <w:rPr>
          <w:sz w:val="24"/>
          <w:szCs w:val="24"/>
        </w:rPr>
        <w:t xml:space="preserve">. § 1802(11). Key purposes of the MSA are to “take immediate action to conserve and manage the fishery resources found off the coasts of the United States. . .” and “promote domestic commercial and recreational fishing under sound conservation and management principles. . . .” </w:t>
      </w:r>
      <w:r>
        <w:rPr>
          <w:i/>
          <w:sz w:val="24"/>
          <w:szCs w:val="24"/>
        </w:rPr>
        <w:t>Id</w:t>
      </w:r>
      <w:r>
        <w:rPr>
          <w:sz w:val="24"/>
          <w:szCs w:val="24"/>
        </w:rPr>
        <w:t>. §§ 1801(b)(1), (3). NOAA’s National Marine Fisheries Service (NMFS or NOAA Fisheries</w:t>
      </w:r>
      <w:r>
        <w:rPr>
          <w:sz w:val="24"/>
          <w:szCs w:val="24"/>
          <w:vertAlign w:val="superscript"/>
        </w:rPr>
        <w:footnoteReference w:id="2"/>
      </w:r>
      <w:r>
        <w:rPr>
          <w:sz w:val="24"/>
          <w:szCs w:val="24"/>
        </w:rPr>
        <w:t xml:space="preserve">), acting under authority </w:t>
      </w:r>
      <w:r>
        <w:rPr>
          <w:sz w:val="24"/>
          <w:szCs w:val="24"/>
        </w:rPr>
        <w:t xml:space="preserve">delegated from the Secretary of Commerce, is responsible for managing fisheries pursuant to the MSA. Regulation of fisheries is accomplished through fishery management plans, amendments to those plans (hereinafter, collectively referred to as “FMPs”), and implementing regulations. To assist in fishery management, the MSA established eight regional fishery councils, who prepare and submit to NMFS FMPs for fisheries within their respective geographic areas that require conservation and management. </w:t>
      </w:r>
      <w:r>
        <w:rPr>
          <w:i/>
          <w:sz w:val="24"/>
          <w:szCs w:val="24"/>
        </w:rPr>
        <w:t>See id</w:t>
      </w:r>
      <w:r>
        <w:rPr>
          <w:sz w:val="24"/>
          <w:szCs w:val="24"/>
        </w:rPr>
        <w:t xml:space="preserve">. § 1852(a), (h)(1). NMFS reviews and takes actions on FMPs pursuant to a process set forth in the MSA at 16 U.S.C. §1854(a). In addition, NMFS promulgates regulations to implement FMPs pursuant to a process in § 1854(b). </w:t>
      </w:r>
    </w:p>
    <w:p w:rsidR="00D67C05" w:rsidP="00F560BC">
      <w:pPr>
        <w:widowControl/>
        <w:spacing w:after="200" w:line="276" w:lineRule="auto"/>
        <w:rPr>
          <w:sz w:val="24"/>
          <w:szCs w:val="24"/>
        </w:rPr>
      </w:pPr>
      <w:r>
        <w:rPr>
          <w:sz w:val="24"/>
          <w:szCs w:val="24"/>
        </w:rPr>
        <w:t xml:space="preserve">A number of provisions in the MSA integrate social and economic considerations into the decision-making process. Robust social and economic data analysis can foster better informed decisions by improving the ability of the Councils and NMFS to monitor, explain and/or predict the effect of a management decision through an improved understanding of the social and economic characteristics of the individuals likely to be impacted. For example, some of those provisions mention fishing communities or require the consideration of social and economic impacts of fishery management measures, including the impacts on fishing communities. This appendix describes those MSA provisions in the following order: (1) national standards for federally managed fisheries; (2) required and discretionary provisions for fishery management plans (FMPs); (3) region-specific provisions; and (4) information collection. </w:t>
      </w:r>
    </w:p>
    <w:p w:rsidR="00D67C05" w:rsidP="00F560BC">
      <w:pPr>
        <w:widowControl/>
        <w:spacing w:after="200" w:line="276" w:lineRule="auto"/>
        <w:rPr>
          <w:sz w:val="24"/>
          <w:szCs w:val="24"/>
        </w:rPr>
      </w:pPr>
      <w:r>
        <w:rPr>
          <w:sz w:val="24"/>
          <w:szCs w:val="24"/>
        </w:rPr>
        <w:t>1.1 National</w:t>
      </w:r>
      <w:r w:rsidR="00B3702B">
        <w:rPr>
          <w:sz w:val="24"/>
          <w:szCs w:val="24"/>
        </w:rPr>
        <w:t xml:space="preserve"> Standards for Federally Managed Fisheries</w:t>
      </w:r>
    </w:p>
    <w:p w:rsidR="00D67C05" w:rsidP="00F560BC">
      <w:pPr>
        <w:widowControl/>
        <w:spacing w:after="200" w:line="276" w:lineRule="auto"/>
        <w:rPr>
          <w:sz w:val="24"/>
          <w:szCs w:val="24"/>
        </w:rPr>
      </w:pPr>
      <w:r>
        <w:rPr>
          <w:sz w:val="24"/>
          <w:szCs w:val="24"/>
        </w:rPr>
        <w:t xml:space="preserve">The MSA sets out ten national standards for federally managed fisheries, and requires NMFS to establish advisory guidelines on them. 16 U.S.C. §§ 1851(a), (b). FMPs and implementing regulations are required to be consistent with the national standards. </w:t>
      </w:r>
      <w:r>
        <w:rPr>
          <w:i/>
          <w:sz w:val="24"/>
          <w:szCs w:val="24"/>
        </w:rPr>
        <w:t>Id</w:t>
      </w:r>
      <w:r>
        <w:rPr>
          <w:sz w:val="24"/>
          <w:szCs w:val="24"/>
        </w:rPr>
        <w:t xml:space="preserve">. § 1851(a). Although economic and social data and the analyses that use these data are relevant to all ten national standards, those data and analyses are particularly relevant to the following six National standards. </w:t>
      </w:r>
    </w:p>
    <w:p w:rsidR="00D67C05" w:rsidP="00F560BC">
      <w:pPr>
        <w:widowControl/>
        <w:spacing w:after="200" w:line="276" w:lineRule="auto"/>
        <w:rPr>
          <w:sz w:val="24"/>
          <w:szCs w:val="24"/>
        </w:rPr>
      </w:pPr>
      <w:r>
        <w:rPr>
          <w:sz w:val="24"/>
          <w:szCs w:val="24"/>
        </w:rPr>
        <w:t>The national standards do not explicitly provide the authority to collect social and economic data. However, NMFS continuously strives to improve the available scientific information, including economic and social information, to meet its mission to provide vital services for the nation, all backed by sound science and an ecosystem-based approach to management and to improve its ability to determine if the national standards are being met or will be met by a proposed conservation and management measure. See section 4, below, describing MSA information collection provisions.</w:t>
      </w:r>
    </w:p>
    <w:p w:rsidR="00D67C05" w:rsidP="00F560BC">
      <w:pPr>
        <w:widowControl/>
        <w:spacing w:after="200" w:line="276" w:lineRule="auto"/>
        <w:rPr>
          <w:sz w:val="24"/>
          <w:szCs w:val="24"/>
        </w:rPr>
      </w:pPr>
      <w:r>
        <w:rPr>
          <w:b/>
          <w:sz w:val="24"/>
          <w:szCs w:val="24"/>
        </w:rPr>
        <w:t>National Standard 1</w:t>
      </w:r>
      <w:r>
        <w:rPr>
          <w:sz w:val="24"/>
          <w:szCs w:val="24"/>
        </w:rPr>
        <w:t xml:space="preserve"> requires that “conservation and management measures”</w:t>
      </w:r>
      <w:r>
        <w:rPr>
          <w:sz w:val="24"/>
          <w:szCs w:val="24"/>
          <w:vertAlign w:val="superscript"/>
        </w:rPr>
        <w:footnoteReference w:id="3"/>
      </w:r>
      <w:r>
        <w:rPr>
          <w:sz w:val="24"/>
          <w:szCs w:val="24"/>
        </w:rPr>
        <w:t xml:space="preserve"> prevent overfishing while achieving, on a continuing basis, the optimum yield (OY) from each fishery </w:t>
      </w:r>
      <w:r>
        <w:rPr>
          <w:sz w:val="24"/>
          <w:szCs w:val="24"/>
        </w:rPr>
        <w:t xml:space="preserve">for the United States fishing industry. 16 U.S.C. § 1851(a)(1). OY refers to an amount of </w:t>
      </w:r>
      <w:r w:rsidR="00EB1440">
        <w:rPr>
          <w:sz w:val="24"/>
          <w:szCs w:val="24"/>
        </w:rPr>
        <w:t>fish, which</w:t>
      </w:r>
      <w:r>
        <w:rPr>
          <w:sz w:val="24"/>
          <w:szCs w:val="24"/>
        </w:rPr>
        <w:t xml:space="preserve"> provides the greatest overall benefit to the Nation, particularly with respect to food production and recreational opportunities, and taking into account protection of marine ecosystems; and is prescribed </w:t>
      </w:r>
      <w:r w:rsidR="00EB1440">
        <w:rPr>
          <w:sz w:val="24"/>
          <w:szCs w:val="24"/>
        </w:rPr>
        <w:t>based on</w:t>
      </w:r>
      <w:r>
        <w:rPr>
          <w:sz w:val="24"/>
          <w:szCs w:val="24"/>
        </w:rPr>
        <w:t xml:space="preserve"> maximum sustainable yield “as reduced by any relevant social, economic, or ecological factor…” </w:t>
      </w:r>
      <w:r>
        <w:rPr>
          <w:i/>
          <w:sz w:val="24"/>
          <w:szCs w:val="24"/>
        </w:rPr>
        <w:t>Id</w:t>
      </w:r>
      <w:r>
        <w:rPr>
          <w:sz w:val="24"/>
          <w:szCs w:val="24"/>
        </w:rPr>
        <w:t xml:space="preserve">. § 1802(33). For social factors, the </w:t>
      </w:r>
      <w:hyperlink r:id="rId18">
        <w:r>
          <w:rPr>
            <w:color w:val="1155CC"/>
            <w:sz w:val="24"/>
            <w:szCs w:val="24"/>
            <w:u w:val="single"/>
          </w:rPr>
          <w:t>National Standard 1</w:t>
        </w:r>
      </w:hyperlink>
      <w:r>
        <w:rPr>
          <w:sz w:val="24"/>
          <w:szCs w:val="24"/>
        </w:rPr>
        <w:t xml:space="preserve"> guidelines provide a non-exhaustive list of potential considerations, fishery-related indicators, and other factors that may be considered, including: "...preservation of a way of life for fishermen and their families, and dependence of local communities on a fishery (e.g., involvement in fisheries and ability to adapt to change)...non-fishery related indicators (e.g., unemployment rates, percent of population below the poverty level, population density, etc.),...[and] the cultural place of subsistence fishing, obligations under tribal treaties, proportions of affected minority and low-income groups, and worldwide nutritional needs.” 50 C.F.R. § 600.310(e)(3)(iii)(B)(1).</w:t>
      </w:r>
    </w:p>
    <w:p w:rsidR="00D67C05" w:rsidP="00F560BC">
      <w:pPr>
        <w:widowControl/>
        <w:spacing w:after="200" w:line="276" w:lineRule="auto"/>
        <w:rPr>
          <w:sz w:val="24"/>
          <w:szCs w:val="24"/>
        </w:rPr>
      </w:pPr>
      <w:r>
        <w:rPr>
          <w:b/>
          <w:sz w:val="24"/>
          <w:szCs w:val="24"/>
        </w:rPr>
        <w:t>National Standard 2</w:t>
      </w:r>
      <w:r>
        <w:rPr>
          <w:sz w:val="24"/>
          <w:szCs w:val="24"/>
        </w:rPr>
        <w:t xml:space="preserve"> requires conservation and management measures to be based upon the best scientific information available (BSIA). 16 U.S.C. § 1851(a)(2) . One criterion for BSIA in the National Standard 2 guidelines is inclusiveness. Under </w:t>
      </w:r>
      <w:r w:rsidR="00EB1440">
        <w:rPr>
          <w:sz w:val="24"/>
          <w:szCs w:val="24"/>
        </w:rPr>
        <w:t>those criteria</w:t>
      </w:r>
      <w:r>
        <w:rPr>
          <w:sz w:val="24"/>
          <w:szCs w:val="24"/>
        </w:rPr>
        <w:t xml:space="preserve">, the guidelines provide that “[r]elevant local and traditional knowledge (e.g., fishermen’s empirical knowledge about the behavior and distribution of fish stocks) should be obtained, where appropriate, and considered when evaluating the BSIA.” 50 C.F.R. § 600.315(a)(6)(ii)(C). The guidelines further recognize that historical information “should be evaluated for [their] relevance to inform the current situation.” </w:t>
      </w:r>
      <w:r>
        <w:rPr>
          <w:i/>
          <w:sz w:val="24"/>
          <w:szCs w:val="24"/>
        </w:rPr>
        <w:t>Id</w:t>
      </w:r>
      <w:r>
        <w:rPr>
          <w:sz w:val="24"/>
          <w:szCs w:val="24"/>
        </w:rPr>
        <w:t>. § 600.315(a)(6)(v)(B). Historical data (</w:t>
      </w:r>
      <w:r>
        <w:rPr>
          <w:color w:val="333333"/>
          <w:sz w:val="24"/>
          <w:szCs w:val="24"/>
          <w:highlight w:val="white"/>
        </w:rPr>
        <w:t xml:space="preserve">e.g., abundance, environmental, catch statistics, market and trade trends) provide time-series information on changes in </w:t>
      </w:r>
      <w:hyperlink r:id="rId19">
        <w:r>
          <w:rPr>
            <w:color w:val="001C72"/>
            <w:sz w:val="24"/>
            <w:szCs w:val="24"/>
            <w:highlight w:val="white"/>
          </w:rPr>
          <w:t>fish</w:t>
        </w:r>
      </w:hyperlink>
      <w:r>
        <w:rPr>
          <w:color w:val="333333"/>
          <w:sz w:val="24"/>
          <w:szCs w:val="24"/>
          <w:highlight w:val="white"/>
        </w:rPr>
        <w:t xml:space="preserve"> populations, fishery participation, and fishing effort that may inform current management decisions. </w:t>
      </w:r>
      <w:r>
        <w:rPr>
          <w:i/>
          <w:color w:val="333333"/>
          <w:sz w:val="24"/>
          <w:szCs w:val="24"/>
          <w:highlight w:val="white"/>
        </w:rPr>
        <w:t>Id.</w:t>
      </w:r>
      <w:r>
        <w:rPr>
          <w:color w:val="333333"/>
          <w:sz w:val="24"/>
          <w:szCs w:val="24"/>
          <w:highlight w:val="white"/>
        </w:rPr>
        <w:t xml:space="preserve"> </w:t>
      </w:r>
      <w:r>
        <w:rPr>
          <w:sz w:val="24"/>
          <w:szCs w:val="24"/>
        </w:rPr>
        <w:t xml:space="preserve">Moreover, the Stock Assessment and Fishery Evaluation (SAFE) report is to include, inter alia, “the social and economic condition of…fishing communities…” </w:t>
      </w:r>
      <w:r>
        <w:rPr>
          <w:i/>
          <w:sz w:val="24"/>
          <w:szCs w:val="24"/>
        </w:rPr>
        <w:t>Id</w:t>
      </w:r>
      <w:r>
        <w:rPr>
          <w:sz w:val="24"/>
          <w:szCs w:val="24"/>
        </w:rPr>
        <w:t xml:space="preserve">. § 600.315(d). While NMFS may consider and incorporate relevant traditional ecological knowledge (TEK) as BSIA where warranted, National Standard 2 does not itself authorize data collection or study. </w:t>
      </w:r>
      <w:r>
        <w:rPr>
          <w:i/>
          <w:sz w:val="24"/>
          <w:szCs w:val="24"/>
        </w:rPr>
        <w:t>See e.g., id</w:t>
      </w:r>
      <w:r>
        <w:rPr>
          <w:sz w:val="24"/>
          <w:szCs w:val="24"/>
        </w:rPr>
        <w:t xml:space="preserve">. § 600.315(d)(2)-(3) (providing that SAFE report should contain “the following scientific information when it exists,” explain information gaps, and highlight needs for future scientific work). </w:t>
      </w:r>
    </w:p>
    <w:p w:rsidR="00D67C05" w:rsidP="00F560BC">
      <w:pPr>
        <w:widowControl/>
        <w:spacing w:after="200" w:line="276" w:lineRule="auto"/>
        <w:rPr>
          <w:sz w:val="24"/>
          <w:szCs w:val="24"/>
        </w:rPr>
      </w:pPr>
      <w:r>
        <w:rPr>
          <w:b/>
          <w:sz w:val="24"/>
          <w:szCs w:val="24"/>
        </w:rPr>
        <w:t>National Standard 4</w:t>
      </w:r>
      <w:r>
        <w:rPr>
          <w:sz w:val="24"/>
          <w:szCs w:val="24"/>
        </w:rPr>
        <w:t xml:space="preserve"> requires that conservation and management measures shall not discriminate between residents of different states and that allocations be fair and equitable, reasonably calculated to promote conservation, and carried out to avoid excessive shares. 16 U.S.C. §1851(a)(4). The</w:t>
      </w:r>
      <w:hyperlink r:id="rId20">
        <w:r>
          <w:rPr>
            <w:color w:val="1155CC"/>
            <w:sz w:val="24"/>
            <w:szCs w:val="24"/>
            <w:u w:val="single"/>
          </w:rPr>
          <w:t xml:space="preserve"> National Standard 4 guidelines</w:t>
        </w:r>
      </w:hyperlink>
      <w:r>
        <w:rPr>
          <w:sz w:val="24"/>
          <w:szCs w:val="24"/>
        </w:rPr>
        <w:t xml:space="preserve"> provide guidance on these requirements. 50 C.F.R. § 600.325. With regard to allocations, the guidelines provide, among other things: </w:t>
      </w:r>
      <w:r>
        <w:rPr>
          <w:sz w:val="24"/>
          <w:szCs w:val="24"/>
        </w:rPr>
        <w:t xml:space="preserve">“Where relevant, judicial guidance and government policy concerning the rights of treaty Indians and aboriginal Americans must be considered in determining whether an allocation is fair and equitable.” </w:t>
      </w:r>
      <w:r>
        <w:rPr>
          <w:i/>
          <w:sz w:val="24"/>
          <w:szCs w:val="24"/>
        </w:rPr>
        <w:t>Id.</w:t>
      </w:r>
      <w:r>
        <w:rPr>
          <w:sz w:val="24"/>
          <w:szCs w:val="24"/>
        </w:rPr>
        <w:t xml:space="preserve"> § 600.325(c)(3)(i)(B). The guidelines also note factors relevant to the FMP’s objectives that should be considered when designing an allocation scheme, such as “economic and social consequences of the scheme, food production, . . . dependence on the fishery by present participants and coastal communities, ...opportunity for new participants to enter the fishery…” 50 C.F.R. § 600.325(c)(3)(iv). NMFS also has a</w:t>
      </w:r>
      <w:hyperlink r:id="rId21">
        <w:r>
          <w:rPr>
            <w:sz w:val="24"/>
            <w:szCs w:val="24"/>
          </w:rPr>
          <w:t xml:space="preserve"> </w:t>
        </w:r>
      </w:hyperlink>
      <w:hyperlink r:id="rId21">
        <w:r>
          <w:rPr>
            <w:color w:val="1155CC"/>
            <w:sz w:val="24"/>
            <w:szCs w:val="24"/>
            <w:u w:val="single"/>
          </w:rPr>
          <w:t>Fisheries Allocation Review Policy</w:t>
        </w:r>
      </w:hyperlink>
      <w:r>
        <w:rPr>
          <w:sz w:val="24"/>
          <w:szCs w:val="24"/>
        </w:rPr>
        <w:t xml:space="preserve"> (NMFS Procedure 01-119-01, July 27, 2016), that encourages the use of adaptive management to help ensure that fisheries allocations are periodically evaluated. That policy uses the following terms: “social and economic impacts,” “the social, economic, and ecological performance of the fishery,” and “economic, social and ecological aspects of the fishery.” Although demographic data are used in assessing social and economic impacts, the social and economic performance or aspects of the fishery, the use of demographic data is explicit in the following statement.</w:t>
      </w:r>
    </w:p>
    <w:p w:rsidR="00D67C05" w:rsidP="00F560BC">
      <w:pPr>
        <w:widowControl/>
        <w:spacing w:after="200" w:line="276" w:lineRule="auto"/>
        <w:ind w:left="720"/>
        <w:rPr>
          <w:sz w:val="24"/>
          <w:szCs w:val="24"/>
        </w:rPr>
      </w:pPr>
      <w:r>
        <w:rPr>
          <w:sz w:val="24"/>
          <w:szCs w:val="24"/>
        </w:rPr>
        <w:t xml:space="preserve">An allocation review is a structured review of current allocations based on adaptive management (i.e., evaluating successful attainment of management objectives) to determine if further action is required. The purpose is to determine if current management objectives are being achieved through the existing allocation, with the caveat that management objectives are up to date and address the relevant operational, economic, social and ecological aspects of the fishery, including …  new and expected changes in such things as climate, demography, technology, etc. </w:t>
      </w:r>
    </w:p>
    <w:p w:rsidR="00D67C05" w:rsidP="00F560BC">
      <w:pPr>
        <w:widowControl/>
        <w:spacing w:after="200" w:line="276" w:lineRule="auto"/>
        <w:rPr>
          <w:sz w:val="24"/>
          <w:szCs w:val="24"/>
        </w:rPr>
      </w:pPr>
      <w:r>
        <w:rPr>
          <w:b/>
          <w:sz w:val="24"/>
          <w:szCs w:val="24"/>
        </w:rPr>
        <w:t>National Standard 8</w:t>
      </w:r>
      <w:r>
        <w:rPr>
          <w:sz w:val="24"/>
          <w:szCs w:val="24"/>
        </w:rPr>
        <w:t xml:space="preserve"> requires conservation and management measures, consistent with MSA conservation requirements, to take into account the importance of fishery resources to fishing communities by utilizing economic and social data that are based upon the best scientific information available in order to provide for the sustained participation of such communities; and to the extent practicable, minimize adverse economic impacts on such communities. 16 U.S.C. § 1851(a)(8). When addressing these requirements, the </w:t>
      </w:r>
      <w:hyperlink r:id="rId22">
        <w:r>
          <w:rPr>
            <w:color w:val="1155CC"/>
            <w:sz w:val="24"/>
            <w:szCs w:val="24"/>
            <w:u w:val="single"/>
          </w:rPr>
          <w:t>National Standard 8 (NS8) guidelines</w:t>
        </w:r>
      </w:hyperlink>
      <w:r>
        <w:rPr>
          <w:sz w:val="24"/>
          <w:szCs w:val="24"/>
        </w:rPr>
        <w:t xml:space="preserve"> provide that both consumptive and non-consumptive uses of fishery resources should be considered. 50 C.F.R. § 600.345(c)(4). “Fishing community” is defined under the MSA as a “community which is substantially dependent on or substantially engaged in the harvest or processing of fishery resources to meet social and economic needs, and includes fishing vessel owners, operators, and crew and United States fish processors that are based in such community.” 16 U.S.C. § 1802(17); 50 C.F.R. § 600.345(b)(3). The NS8 guidelines further explain: “A fishing community is a social or economic group whose members reside in a specific location and share a common dependency on commercial, recreational, or subsistence fishing or on directly related fisheries-dependent services and industries (for example, boatyards, ice suppliers, tackle shops)." 50 C.F.R. § 600.345(b)(3). The guidelines identify the fishery impact statement (see 16 U.S.C. § 1853(a)(9) text below) as an “appropriate vehicle” for the analysis of this standard, and allow for the use of qualitative and quantitative information. 50 C.F.R. § 600.345(c)(2). National Standard 8 does not itself authorize data collection or study, but the </w:t>
      </w:r>
      <w:r>
        <w:rPr>
          <w:sz w:val="24"/>
          <w:szCs w:val="24"/>
        </w:rPr>
        <w:t>guidelines encourage, “[i]n cases where data are severely limited, effort should be directed to identifying and gathering needed data.”</w:t>
      </w:r>
      <w:r>
        <w:rPr>
          <w:i/>
          <w:sz w:val="24"/>
          <w:szCs w:val="24"/>
        </w:rPr>
        <w:t xml:space="preserve"> Id</w:t>
      </w:r>
      <w:r>
        <w:rPr>
          <w:sz w:val="24"/>
          <w:szCs w:val="24"/>
        </w:rPr>
        <w:t xml:space="preserve">. </w:t>
      </w:r>
    </w:p>
    <w:p w:rsidR="00D67C05" w:rsidP="00F560BC">
      <w:pPr>
        <w:widowControl/>
        <w:spacing w:after="200" w:line="276" w:lineRule="auto"/>
        <w:rPr>
          <w:sz w:val="24"/>
          <w:szCs w:val="24"/>
        </w:rPr>
      </w:pPr>
      <w:r>
        <w:rPr>
          <w:sz w:val="24"/>
          <w:szCs w:val="24"/>
        </w:rPr>
        <w:t xml:space="preserve">While </w:t>
      </w:r>
      <w:r>
        <w:rPr>
          <w:b/>
          <w:sz w:val="24"/>
          <w:szCs w:val="24"/>
        </w:rPr>
        <w:t>National Standard 9</w:t>
      </w:r>
      <w:r>
        <w:rPr>
          <w:sz w:val="24"/>
          <w:szCs w:val="24"/>
        </w:rPr>
        <w:t xml:space="preserve"> is focused on minimizing bycatch and bycatch mortality to the extent practicable, 16 U.S.C. § 1851(a)(9), the National Standard 9 guidelines include, in addition to ecological factors, consideration of these social and economic factors: changes in fishing, processing, disposal, and marketing costs; changes in fishing practices and behavior of fishermen; changes in the economic, social, or cultural value of fishing activities and nonconsumptive uses of fishery resources; changes in the distribution of benefits and costs; and social effects. 50 C.F.R. § 600.350(d)(3)(i)(E-F, H-J).</w:t>
      </w:r>
    </w:p>
    <w:p w:rsidR="00D67C05" w:rsidP="00F560BC">
      <w:pPr>
        <w:widowControl/>
        <w:spacing w:after="200" w:line="276" w:lineRule="auto"/>
        <w:rPr>
          <w:sz w:val="24"/>
          <w:szCs w:val="24"/>
        </w:rPr>
      </w:pPr>
      <w:r>
        <w:rPr>
          <w:b/>
          <w:sz w:val="24"/>
          <w:szCs w:val="24"/>
        </w:rPr>
        <w:t>National Standard 10</w:t>
      </w:r>
      <w:r>
        <w:rPr>
          <w:sz w:val="24"/>
          <w:szCs w:val="24"/>
        </w:rPr>
        <w:t xml:space="preserve"> (promoting safety of human life at sea), 16 U.S.C. § 1851(a)(10)</w:t>
      </w:r>
      <w:r w:rsidR="00EB1440">
        <w:rPr>
          <w:sz w:val="24"/>
          <w:szCs w:val="24"/>
        </w:rPr>
        <w:t>, does</w:t>
      </w:r>
      <w:r>
        <w:rPr>
          <w:sz w:val="24"/>
          <w:szCs w:val="24"/>
        </w:rPr>
        <w:t xml:space="preserve"> not explicitly mention economic or social factors. However, economic or social data may help inform consideration of the feasibility and effects of potential mitigation measures, including examples described in the National Standard 10 guidelines: tailoring gear requirements to provide for smaller or lighter gear for smaller vessels; setting seasons to avoid hazardous weather; providing for seasonal or trip flexibility to account for bad weather (weather days); limiting the number of participants in the fishery; spreading effort over time and area to avoid potential gear and/or vessel conflicts; and implementing measures that reduce the race for fish and resulting incentives to take additional risks with respect to vessel safety. 50 C.F.R. § 600.355(e)(1, 2, 4, 6-8).</w:t>
      </w:r>
    </w:p>
    <w:p w:rsidR="00D67C05" w:rsidP="00F560BC">
      <w:pPr>
        <w:widowControl/>
        <w:spacing w:after="200" w:line="276" w:lineRule="auto"/>
        <w:rPr>
          <w:sz w:val="24"/>
          <w:szCs w:val="24"/>
        </w:rPr>
      </w:pPr>
      <w:r>
        <w:rPr>
          <w:sz w:val="24"/>
          <w:szCs w:val="24"/>
        </w:rPr>
        <w:t>1.2 Required</w:t>
      </w:r>
      <w:r w:rsidR="00B3702B">
        <w:rPr>
          <w:sz w:val="24"/>
          <w:szCs w:val="24"/>
        </w:rPr>
        <w:t xml:space="preserve"> and Discretionary Elements in FMPs</w:t>
      </w:r>
    </w:p>
    <w:p w:rsidR="00D67C05" w:rsidP="00F560BC">
      <w:pPr>
        <w:widowControl/>
        <w:spacing w:after="200" w:line="276" w:lineRule="auto"/>
        <w:rPr>
          <w:sz w:val="24"/>
          <w:szCs w:val="24"/>
        </w:rPr>
      </w:pPr>
      <w:r>
        <w:rPr>
          <w:sz w:val="24"/>
          <w:szCs w:val="24"/>
        </w:rPr>
        <w:t>In addition to the national standards, the MSA contains required elements for FMPs and permissible, discretionary elements. Economic and social data and the analyses that use these data are relevant to the below-described FMP provisions.</w:t>
      </w:r>
    </w:p>
    <w:p w:rsidR="00D67C05" w:rsidP="00F560BC">
      <w:pPr>
        <w:widowControl/>
        <w:spacing w:after="200" w:line="276" w:lineRule="auto"/>
        <w:rPr>
          <w:sz w:val="24"/>
          <w:szCs w:val="24"/>
        </w:rPr>
      </w:pPr>
      <w:r>
        <w:rPr>
          <w:sz w:val="24"/>
          <w:szCs w:val="24"/>
        </w:rPr>
        <w:t>1.2.1 Required</w:t>
      </w:r>
      <w:r w:rsidR="00B3702B">
        <w:rPr>
          <w:sz w:val="24"/>
          <w:szCs w:val="24"/>
        </w:rPr>
        <w:t xml:space="preserve"> FMP Provisions</w:t>
      </w:r>
    </w:p>
    <w:p w:rsidR="00D67C05" w:rsidP="00F560BC">
      <w:pPr>
        <w:widowControl/>
        <w:spacing w:after="200" w:line="276" w:lineRule="auto"/>
        <w:rPr>
          <w:sz w:val="24"/>
          <w:szCs w:val="24"/>
        </w:rPr>
      </w:pPr>
      <w:r>
        <w:rPr>
          <w:sz w:val="24"/>
          <w:szCs w:val="24"/>
        </w:rPr>
        <w:t>Section 303(a) of the MSA requires that FMPs shall:</w:t>
      </w:r>
    </w:p>
    <w:p w:rsidR="00D67C05" w:rsidP="00F560BC">
      <w:pPr>
        <w:widowControl/>
        <w:numPr>
          <w:ilvl w:val="0"/>
          <w:numId w:val="13"/>
        </w:numPr>
        <w:spacing w:after="200" w:line="276" w:lineRule="auto"/>
        <w:rPr>
          <w:sz w:val="24"/>
          <w:szCs w:val="24"/>
        </w:rPr>
      </w:pPr>
      <w:r>
        <w:rPr>
          <w:sz w:val="24"/>
          <w:szCs w:val="24"/>
        </w:rPr>
        <w:t>“contain a description of the fishery, including, but not limited to, the number of vessels involved, the type and quantity of fishing gear used, the species of fish</w:t>
      </w:r>
      <w:hyperlink r:id="rId23">
        <w:r>
          <w:rPr>
            <w:color w:val="1155CC"/>
            <w:sz w:val="24"/>
            <w:szCs w:val="24"/>
            <w:u w:val="single"/>
          </w:rPr>
          <w:t xml:space="preserve"> </w:t>
        </w:r>
      </w:hyperlink>
      <w:r>
        <w:rPr>
          <w:sz w:val="24"/>
          <w:szCs w:val="24"/>
        </w:rPr>
        <w:t>involved and their location, the cost likely to be incurred in management, actual and potential revenues from the fishery, any recreational interests in the fishery, and the nature and extent of foreign fishing and Indian treaty fishing rights, if any…” (16 U.S.C. § 1853(a)(2))</w:t>
      </w:r>
    </w:p>
    <w:p w:rsidR="00D67C05" w:rsidP="00F560BC">
      <w:pPr>
        <w:widowControl/>
        <w:numPr>
          <w:ilvl w:val="0"/>
          <w:numId w:val="13"/>
        </w:numPr>
        <w:spacing w:after="200" w:line="276" w:lineRule="auto"/>
        <w:rPr>
          <w:sz w:val="24"/>
          <w:szCs w:val="24"/>
        </w:rPr>
      </w:pPr>
      <w:r>
        <w:rPr>
          <w:sz w:val="24"/>
          <w:szCs w:val="24"/>
        </w:rPr>
        <w:t>“specify the pertinent data which shall be submitted to the Secretary with respect to commercial, recreational, charter fishing, and fish processing in the fishery, including, but not limited to, … areas in which fishing was engaged in,...economic information necessary to meet the requirements of this chapter….” (</w:t>
      </w:r>
      <w:r>
        <w:rPr>
          <w:i/>
          <w:sz w:val="24"/>
          <w:szCs w:val="24"/>
        </w:rPr>
        <w:t>Id</w:t>
      </w:r>
      <w:r>
        <w:rPr>
          <w:sz w:val="24"/>
          <w:szCs w:val="24"/>
        </w:rPr>
        <w:t xml:space="preserve">. § 1853(a)(5)). </w:t>
      </w:r>
    </w:p>
    <w:p w:rsidR="00D67C05" w:rsidP="00F560BC">
      <w:pPr>
        <w:widowControl/>
        <w:numPr>
          <w:ilvl w:val="0"/>
          <w:numId w:val="13"/>
        </w:numPr>
        <w:spacing w:after="200" w:line="276" w:lineRule="auto"/>
        <w:rPr>
          <w:sz w:val="24"/>
          <w:szCs w:val="24"/>
        </w:rPr>
      </w:pPr>
      <w:r>
        <w:rPr>
          <w:sz w:val="24"/>
          <w:szCs w:val="24"/>
        </w:rPr>
        <w:t>“include a fishery impact statement for the plan or amendment … which shall assess, specify, and analyze the likely effects, if any, including the cumulative conservation, economic, and social impacts, of the conservation and management measures on, and possible mitigation measures for—</w:t>
      </w:r>
    </w:p>
    <w:p w:rsidR="00D67C05" w:rsidP="00F560BC">
      <w:pPr>
        <w:widowControl/>
        <w:spacing w:after="200" w:line="276" w:lineRule="auto"/>
        <w:ind w:left="1440"/>
        <w:rPr>
          <w:sz w:val="24"/>
          <w:szCs w:val="24"/>
        </w:rPr>
      </w:pPr>
      <w:r>
        <w:rPr>
          <w:sz w:val="24"/>
          <w:szCs w:val="24"/>
        </w:rPr>
        <w:t>(A) participants in the fisheries and fishing communities affected by the plan or amendment;</w:t>
      </w:r>
    </w:p>
    <w:p w:rsidR="00D67C05" w:rsidP="00F560BC">
      <w:pPr>
        <w:widowControl/>
        <w:spacing w:after="200" w:line="276" w:lineRule="auto"/>
        <w:ind w:left="1440"/>
        <w:rPr>
          <w:sz w:val="24"/>
          <w:szCs w:val="24"/>
        </w:rPr>
      </w:pPr>
      <w:r>
        <w:rPr>
          <w:sz w:val="24"/>
          <w:szCs w:val="24"/>
        </w:rPr>
        <w:t>(B) participants in the fisheries conducted in adjacent areas under the authority of another Council, after consultation with such Council and representatives of those participants; and</w:t>
      </w:r>
    </w:p>
    <w:p w:rsidR="00D67C05" w:rsidP="00F560BC">
      <w:pPr>
        <w:widowControl/>
        <w:spacing w:after="200" w:line="276" w:lineRule="auto"/>
        <w:ind w:left="1440"/>
        <w:rPr>
          <w:sz w:val="24"/>
          <w:szCs w:val="24"/>
        </w:rPr>
      </w:pPr>
      <w:r>
        <w:rPr>
          <w:sz w:val="24"/>
          <w:szCs w:val="24"/>
        </w:rPr>
        <w:t>(C) the safety of human life at sea, including whether and to what extent such measures may affect the safety of participants in the fishery…” (</w:t>
      </w:r>
      <w:r>
        <w:rPr>
          <w:i/>
          <w:sz w:val="24"/>
          <w:szCs w:val="24"/>
        </w:rPr>
        <w:t>Id</w:t>
      </w:r>
      <w:r>
        <w:rPr>
          <w:sz w:val="24"/>
          <w:szCs w:val="24"/>
        </w:rPr>
        <w:t>. § 1853(a)(9)).</w:t>
      </w:r>
    </w:p>
    <w:p w:rsidR="00D67C05" w:rsidP="00F560BC">
      <w:pPr>
        <w:widowControl/>
        <w:numPr>
          <w:ilvl w:val="0"/>
          <w:numId w:val="20"/>
        </w:numPr>
        <w:spacing w:after="200" w:line="276" w:lineRule="auto"/>
        <w:rPr>
          <w:sz w:val="24"/>
          <w:szCs w:val="24"/>
        </w:rPr>
      </w:pPr>
      <w:r>
        <w:rPr>
          <w:sz w:val="24"/>
          <w:szCs w:val="24"/>
        </w:rPr>
        <w:t>“include a description of the commercial, recreational, and charter fishing sectors which participate in the fishery, including its economic impact, and, to the extent practicable, quantify trends in landings of the managed fishery resource by the commercial, recreational, and charter fishing sectors…” (</w:t>
      </w:r>
      <w:r>
        <w:rPr>
          <w:i/>
          <w:sz w:val="24"/>
          <w:szCs w:val="24"/>
        </w:rPr>
        <w:t>Id</w:t>
      </w:r>
      <w:r>
        <w:rPr>
          <w:sz w:val="24"/>
          <w:szCs w:val="24"/>
        </w:rPr>
        <w:t xml:space="preserve">. § 1853(a)(13)). </w:t>
      </w:r>
    </w:p>
    <w:p w:rsidR="00D67C05" w:rsidP="00F560BC">
      <w:pPr>
        <w:widowControl/>
        <w:numPr>
          <w:ilvl w:val="0"/>
          <w:numId w:val="20"/>
        </w:numPr>
        <w:spacing w:after="200" w:line="276" w:lineRule="auto"/>
        <w:rPr>
          <w:sz w:val="24"/>
          <w:szCs w:val="24"/>
        </w:rPr>
      </w:pPr>
      <w:r>
        <w:rPr>
          <w:sz w:val="24"/>
          <w:szCs w:val="24"/>
        </w:rPr>
        <w:t>“to the extent that rebuilding plans or other conservation and management measures which reduce the overall harvest in a fishery are necessary, allocate, taking into consideration the economic impact of the harvest restrictions or recovery benefits on the fishery participants in each sector, any harvest restrictions or recovery benefits fairly and equitably among the commercial, recreational, and charter fishing sectors in the fishery…” (</w:t>
      </w:r>
      <w:r>
        <w:rPr>
          <w:i/>
          <w:sz w:val="24"/>
          <w:szCs w:val="24"/>
        </w:rPr>
        <w:t>Id</w:t>
      </w:r>
      <w:r>
        <w:rPr>
          <w:sz w:val="24"/>
          <w:szCs w:val="24"/>
        </w:rPr>
        <w:t xml:space="preserve">. § 1853(a)(14)). </w:t>
      </w:r>
    </w:p>
    <w:p w:rsidR="00D67C05" w:rsidP="00F560BC">
      <w:pPr>
        <w:widowControl/>
        <w:spacing w:after="200" w:line="276" w:lineRule="auto"/>
        <w:rPr>
          <w:sz w:val="24"/>
          <w:szCs w:val="24"/>
        </w:rPr>
      </w:pPr>
      <w:r>
        <w:rPr>
          <w:sz w:val="24"/>
          <w:szCs w:val="24"/>
        </w:rPr>
        <w:t xml:space="preserve">In addition, section 304(e) of the MSA requires that, for overfished fisheries, FMPs and regulations must “allocate both overfishing restrictions and recovery benefits fairly and equitably among sectors of the fishery.” </w:t>
      </w:r>
      <w:r>
        <w:rPr>
          <w:i/>
          <w:sz w:val="24"/>
          <w:szCs w:val="24"/>
        </w:rPr>
        <w:t>Id</w:t>
      </w:r>
      <w:r>
        <w:rPr>
          <w:sz w:val="24"/>
          <w:szCs w:val="24"/>
        </w:rPr>
        <w:t xml:space="preserve">. § 1854(e)(4)(B). </w:t>
      </w:r>
    </w:p>
    <w:p w:rsidR="00D67C05" w:rsidP="00F560BC">
      <w:pPr>
        <w:widowControl/>
        <w:spacing w:after="200" w:line="276" w:lineRule="auto"/>
        <w:rPr>
          <w:sz w:val="24"/>
          <w:szCs w:val="24"/>
        </w:rPr>
      </w:pPr>
      <w:r>
        <w:rPr>
          <w:sz w:val="24"/>
          <w:szCs w:val="24"/>
        </w:rPr>
        <w:t>1.2.2  Discretionary FMP Provisions</w:t>
      </w:r>
    </w:p>
    <w:p w:rsidR="00D67C05" w:rsidP="00F560BC">
      <w:pPr>
        <w:widowControl/>
        <w:spacing w:after="200" w:line="276" w:lineRule="auto"/>
        <w:rPr>
          <w:sz w:val="24"/>
          <w:szCs w:val="24"/>
        </w:rPr>
      </w:pPr>
      <w:r>
        <w:rPr>
          <w:sz w:val="24"/>
          <w:szCs w:val="24"/>
        </w:rPr>
        <w:t xml:space="preserve">The following management measures are not required in FMPs, but if included therein, must be consistent with statutory requirements. </w:t>
      </w:r>
    </w:p>
    <w:p w:rsidR="00D67C05" w:rsidP="00F560BC">
      <w:pPr>
        <w:widowControl/>
        <w:numPr>
          <w:ilvl w:val="0"/>
          <w:numId w:val="1"/>
        </w:numPr>
        <w:spacing w:after="200" w:line="276" w:lineRule="auto"/>
        <w:rPr>
          <w:sz w:val="24"/>
          <w:szCs w:val="24"/>
        </w:rPr>
      </w:pPr>
      <w:r>
        <w:rPr>
          <w:sz w:val="24"/>
          <w:szCs w:val="24"/>
        </w:rPr>
        <w:t>Section 303(b)(6) of the MSA provides that an FMP may establish a limited access system (LAS)</w:t>
      </w:r>
      <w:r>
        <w:rPr>
          <w:sz w:val="24"/>
          <w:szCs w:val="24"/>
          <w:vertAlign w:val="superscript"/>
        </w:rPr>
        <w:footnoteReference w:id="4"/>
      </w:r>
      <w:r>
        <w:rPr>
          <w:sz w:val="24"/>
          <w:szCs w:val="24"/>
        </w:rPr>
        <w:t xml:space="preserve"> for the fishery in order to achieve optimum yield. When establishing a LAS, the Council and NMFS must take into account present participation in the fishery; historical fishing practices in, and dependence on, the fishery; the economics of the fishery; the capability of fishing vessels used in the fishery to engage in other fisheries; </w:t>
      </w:r>
      <w:r>
        <w:rPr>
          <w:sz w:val="24"/>
          <w:szCs w:val="24"/>
        </w:rPr>
        <w:t>the cultural and social framework relevant to the fishery and any affected fishing communities; the fair and equitable distribution of access privileges in the fishery; and any other relevant considerations. 16 U.S.C. § 1853(b)(6).</w:t>
      </w:r>
    </w:p>
    <w:p w:rsidR="00D67C05" w:rsidP="00F560BC">
      <w:pPr>
        <w:widowControl/>
        <w:numPr>
          <w:ilvl w:val="0"/>
          <w:numId w:val="1"/>
        </w:numPr>
        <w:spacing w:after="200" w:line="276" w:lineRule="auto"/>
        <w:rPr>
          <w:sz w:val="24"/>
          <w:szCs w:val="24"/>
        </w:rPr>
      </w:pPr>
      <w:r>
        <w:rPr>
          <w:sz w:val="24"/>
          <w:szCs w:val="24"/>
        </w:rPr>
        <w:t xml:space="preserve">For fisheries managed under a LAS, section 303A authorizes the approval of limited access privilege programs (LAPPs). </w:t>
      </w:r>
      <w:r>
        <w:rPr>
          <w:i/>
          <w:sz w:val="24"/>
          <w:szCs w:val="24"/>
        </w:rPr>
        <w:t>See id</w:t>
      </w:r>
      <w:r>
        <w:rPr>
          <w:sz w:val="24"/>
          <w:szCs w:val="24"/>
        </w:rPr>
        <w:t>. § 1853a. LAPPs are required, among other things, to “promote…fishing safety; fishery conservation and management; and social and economic benefits,” and prevent accumulation of excessive shares of privileges.</w:t>
      </w:r>
      <w:r>
        <w:rPr>
          <w:i/>
          <w:sz w:val="24"/>
          <w:szCs w:val="24"/>
        </w:rPr>
        <w:t xml:space="preserve"> Id</w:t>
      </w:r>
      <w:r>
        <w:rPr>
          <w:sz w:val="24"/>
          <w:szCs w:val="24"/>
        </w:rPr>
        <w:t xml:space="preserve">. § 1853a(c)(1)(C). </w:t>
      </w:r>
    </w:p>
    <w:p w:rsidR="00D67C05" w:rsidP="00F560BC">
      <w:pPr>
        <w:widowControl/>
        <w:numPr>
          <w:ilvl w:val="1"/>
          <w:numId w:val="1"/>
        </w:numPr>
        <w:spacing w:after="200" w:line="276" w:lineRule="auto"/>
        <w:rPr>
          <w:sz w:val="24"/>
          <w:szCs w:val="24"/>
        </w:rPr>
      </w:pPr>
      <w:r>
        <w:rPr>
          <w:sz w:val="24"/>
          <w:szCs w:val="24"/>
        </w:rPr>
        <w:t>In developing a LAPP, a Council or NMFS shall:</w:t>
      </w:r>
    </w:p>
    <w:p w:rsidR="00C675E6" w:rsidRPr="00AC4B52" w:rsidP="00C675E6">
      <w:pPr>
        <w:widowControl/>
        <w:numPr>
          <w:ilvl w:val="2"/>
          <w:numId w:val="1"/>
        </w:numPr>
        <w:spacing w:after="200" w:line="276" w:lineRule="auto"/>
        <w:rPr>
          <w:sz w:val="24"/>
          <w:szCs w:val="24"/>
        </w:rPr>
      </w:pPr>
      <w:r w:rsidRPr="00AC4B52">
        <w:rPr>
          <w:sz w:val="24"/>
          <w:szCs w:val="24"/>
        </w:rPr>
        <w:t xml:space="preserve">Include provisions for the regular monitoring and review by the Council and the Secretary of the operations of the program, including determining progress in meeting the goals of the program and this Act, and any necessary modification of the program to meet those goals, with a formal and detailed review 5 years after the implementation of the program and thereafter to coincide with scheduled Council review of the relevant fishery management plan (but no less frequently than once every 7 years).   </w:t>
      </w:r>
      <w:r w:rsidRPr="00AC4B52">
        <w:rPr>
          <w:i/>
          <w:sz w:val="24"/>
          <w:szCs w:val="24"/>
        </w:rPr>
        <w:t>Id</w:t>
      </w:r>
      <w:r w:rsidRPr="00AC4B52">
        <w:rPr>
          <w:sz w:val="24"/>
          <w:szCs w:val="24"/>
        </w:rPr>
        <w:t>.  § 1853a(c)(1)(G);</w:t>
      </w:r>
    </w:p>
    <w:p w:rsidR="00D67C05" w:rsidP="00F560BC">
      <w:pPr>
        <w:widowControl/>
        <w:numPr>
          <w:ilvl w:val="2"/>
          <w:numId w:val="1"/>
        </w:numPr>
        <w:spacing w:after="200" w:line="276" w:lineRule="auto"/>
        <w:rPr>
          <w:sz w:val="24"/>
          <w:szCs w:val="24"/>
        </w:rPr>
      </w:pPr>
      <w:r>
        <w:rPr>
          <w:sz w:val="24"/>
          <w:szCs w:val="24"/>
        </w:rPr>
        <w:t xml:space="preserve">Establish procedures to ensure fair and equitable initial allocations, including consideration of “current and historical harvests; employment in the harvesting and processing sectors; investments in, and dependence upon, the fishery; and the current and historical participation of fishing communities.” </w:t>
      </w:r>
      <w:r>
        <w:rPr>
          <w:i/>
          <w:sz w:val="24"/>
          <w:szCs w:val="24"/>
        </w:rPr>
        <w:t>Id</w:t>
      </w:r>
      <w:r>
        <w:rPr>
          <w:sz w:val="24"/>
          <w:szCs w:val="24"/>
        </w:rPr>
        <w:t>. § 1853a(c)(5)(A)(i)-(iv).</w:t>
      </w:r>
    </w:p>
    <w:p w:rsidR="00D67C05" w:rsidP="00F560BC">
      <w:pPr>
        <w:widowControl/>
        <w:numPr>
          <w:ilvl w:val="2"/>
          <w:numId w:val="1"/>
        </w:numPr>
        <w:spacing w:after="200" w:line="276" w:lineRule="auto"/>
        <w:rPr>
          <w:sz w:val="24"/>
          <w:szCs w:val="24"/>
        </w:rPr>
      </w:pPr>
      <w:r>
        <w:rPr>
          <w:sz w:val="24"/>
          <w:szCs w:val="24"/>
        </w:rPr>
        <w:t xml:space="preserve">Consider the basic cultural and social framework of the fishery, especially through the (i) development of policies to promote the sustained participation of small owner-operated fishing vessels and fishing communities that depend on the fisheries, including regional or port-specific landing or delivery requirements; and (ii) procedures to address concerns over excessive geographic or other consolidation in the harvesting or processing sectors of the fishery. </w:t>
      </w:r>
      <w:r>
        <w:rPr>
          <w:i/>
          <w:sz w:val="24"/>
          <w:szCs w:val="24"/>
        </w:rPr>
        <w:t>Id</w:t>
      </w:r>
      <w:r>
        <w:rPr>
          <w:sz w:val="24"/>
          <w:szCs w:val="24"/>
        </w:rPr>
        <w:t>. § 1853a(c)(5)(B).</w:t>
      </w:r>
    </w:p>
    <w:p w:rsidR="00D67C05" w:rsidP="00F560BC">
      <w:pPr>
        <w:widowControl/>
        <w:numPr>
          <w:ilvl w:val="2"/>
          <w:numId w:val="1"/>
        </w:numPr>
        <w:spacing w:after="200" w:line="276" w:lineRule="auto"/>
        <w:rPr>
          <w:sz w:val="24"/>
          <w:szCs w:val="24"/>
        </w:rPr>
      </w:pPr>
      <w:r>
        <w:rPr>
          <w:sz w:val="24"/>
          <w:szCs w:val="24"/>
        </w:rPr>
        <w:t xml:space="preserve">Include measures to assist, when necessary and appropriate, entry-level and small vessel owner-operators, captains, crew, and fishing communities through set-asides of harvesting allocations, including providing privileges, which may include set-asides or allocations of harvesting privileges, or economic assistance in the purchase of limited access privileges. </w:t>
      </w:r>
      <w:r>
        <w:rPr>
          <w:i/>
          <w:sz w:val="24"/>
          <w:szCs w:val="24"/>
        </w:rPr>
        <w:t>Id</w:t>
      </w:r>
      <w:r>
        <w:rPr>
          <w:sz w:val="24"/>
          <w:szCs w:val="24"/>
        </w:rPr>
        <w:t>. § 1853a(c)(5)(C).</w:t>
      </w:r>
    </w:p>
    <w:p w:rsidR="00D67C05" w:rsidP="00F560BC">
      <w:pPr>
        <w:widowControl/>
        <w:numPr>
          <w:ilvl w:val="2"/>
          <w:numId w:val="1"/>
        </w:numPr>
        <w:spacing w:after="200" w:line="276" w:lineRule="auto"/>
        <w:rPr>
          <w:sz w:val="24"/>
          <w:szCs w:val="24"/>
        </w:rPr>
      </w:pPr>
      <w:r>
        <w:rPr>
          <w:sz w:val="24"/>
          <w:szCs w:val="24"/>
        </w:rPr>
        <w:t xml:space="preserve">Authorize limited access privileges to harvest fish to be held, acquired, used by, or issued under the system to persons who substantially participate in the fishery, including in a specific sector of such fishery. </w:t>
      </w:r>
      <w:r>
        <w:rPr>
          <w:i/>
          <w:sz w:val="24"/>
          <w:szCs w:val="24"/>
        </w:rPr>
        <w:t>Id</w:t>
      </w:r>
      <w:r>
        <w:rPr>
          <w:sz w:val="24"/>
          <w:szCs w:val="24"/>
        </w:rPr>
        <w:t>. § 1853a(c)(5)(E).</w:t>
      </w:r>
    </w:p>
    <w:p w:rsidR="00D67C05" w:rsidP="00F560BC">
      <w:pPr>
        <w:widowControl/>
        <w:numPr>
          <w:ilvl w:val="1"/>
          <w:numId w:val="1"/>
        </w:numPr>
        <w:spacing w:after="200" w:line="276" w:lineRule="auto"/>
        <w:rPr>
          <w:sz w:val="24"/>
          <w:szCs w:val="24"/>
        </w:rPr>
      </w:pPr>
      <w:r>
        <w:rPr>
          <w:sz w:val="24"/>
          <w:szCs w:val="24"/>
        </w:rPr>
        <w:t>A fishing community</w:t>
      </w:r>
      <w:r>
        <w:rPr>
          <w:sz w:val="24"/>
          <w:szCs w:val="24"/>
          <w:vertAlign w:val="superscript"/>
        </w:rPr>
        <w:footnoteReference w:id="5"/>
      </w:r>
      <w:r>
        <w:rPr>
          <w:sz w:val="24"/>
          <w:szCs w:val="24"/>
        </w:rPr>
        <w:t xml:space="preserve"> may be eligible to participate in a LAPP if it meets eligibility requirements, which include:</w:t>
      </w:r>
    </w:p>
    <w:p w:rsidR="00D67C05" w:rsidP="00F560BC">
      <w:pPr>
        <w:widowControl/>
        <w:numPr>
          <w:ilvl w:val="2"/>
          <w:numId w:val="1"/>
        </w:numPr>
        <w:spacing w:after="200" w:line="276" w:lineRule="auto"/>
        <w:rPr>
          <w:sz w:val="24"/>
          <w:szCs w:val="24"/>
        </w:rPr>
      </w:pPr>
      <w:r>
        <w:rPr>
          <w:sz w:val="24"/>
          <w:szCs w:val="24"/>
        </w:rPr>
        <w:t xml:space="preserve">Meeting criteria developed by the relevant Council that are approved by NMFS. </w:t>
      </w:r>
      <w:r>
        <w:rPr>
          <w:i/>
          <w:sz w:val="24"/>
          <w:szCs w:val="24"/>
        </w:rPr>
        <w:t>See id</w:t>
      </w:r>
      <w:r>
        <w:rPr>
          <w:sz w:val="24"/>
          <w:szCs w:val="24"/>
        </w:rPr>
        <w:t xml:space="preserve">. § 1853a(c)(3)(A)(i)(II). In developing participation criteria for eligible communities, the Council shall consider, among other things, traditional fishing or processing practices in, and dependence on, the fishery; the cultural and social framework relevant to the fishery; economic barriers to access to fishery; the existence and severity of projected economic and social impacts associated with implementation of LAPPs on harvesters, captains, crew, processors, and other businesses substantially dependent upon the fishery in the region or subregion; and </w:t>
      </w:r>
      <w:r>
        <w:rPr>
          <w:color w:val="333333"/>
          <w:sz w:val="24"/>
          <w:szCs w:val="24"/>
          <w:highlight w:val="white"/>
        </w:rPr>
        <w:t xml:space="preserve">the potential for improving economic conditions in remote coastal communities lacking resources to participate in harvesting or processing activities in the </w:t>
      </w:r>
      <w:hyperlink r:id="rId24">
        <w:r>
          <w:rPr>
            <w:color w:val="001C72"/>
            <w:sz w:val="24"/>
            <w:szCs w:val="24"/>
            <w:highlight w:val="white"/>
          </w:rPr>
          <w:t>fishery</w:t>
        </w:r>
      </w:hyperlink>
      <w:r>
        <w:rPr>
          <w:sz w:val="24"/>
          <w:szCs w:val="24"/>
        </w:rPr>
        <w:t xml:space="preserve">. </w:t>
      </w:r>
      <w:r>
        <w:rPr>
          <w:i/>
          <w:sz w:val="24"/>
          <w:szCs w:val="24"/>
        </w:rPr>
        <w:t>See id</w:t>
      </w:r>
      <w:r>
        <w:rPr>
          <w:sz w:val="24"/>
          <w:szCs w:val="24"/>
        </w:rPr>
        <w:t xml:space="preserve">. § 1853a(c)(3)(B)(i)-(iv), (vi). </w:t>
      </w:r>
    </w:p>
    <w:p w:rsidR="00D67C05" w:rsidP="00F560BC">
      <w:pPr>
        <w:widowControl/>
        <w:numPr>
          <w:ilvl w:val="2"/>
          <w:numId w:val="1"/>
        </w:numPr>
        <w:spacing w:after="200" w:line="276" w:lineRule="auto"/>
        <w:rPr>
          <w:sz w:val="24"/>
          <w:szCs w:val="24"/>
        </w:rPr>
      </w:pPr>
      <w:r>
        <w:rPr>
          <w:sz w:val="24"/>
          <w:szCs w:val="24"/>
        </w:rPr>
        <w:t xml:space="preserve">Submitting to NMFS for approval a community sustainability plan that demonstrates how the plan will address the social and economic development needs of coastal communities, including those that have not historically had the resources to participate in the fishery. </w:t>
      </w:r>
      <w:r>
        <w:rPr>
          <w:i/>
          <w:sz w:val="24"/>
          <w:szCs w:val="24"/>
        </w:rPr>
        <w:t>See id</w:t>
      </w:r>
      <w:r>
        <w:rPr>
          <w:sz w:val="24"/>
          <w:szCs w:val="24"/>
        </w:rPr>
        <w:t>. § 1853a(c)(3)(A)(i)(IV).</w:t>
      </w:r>
    </w:p>
    <w:p w:rsidR="00D67C05" w:rsidP="00F560BC">
      <w:pPr>
        <w:widowControl/>
        <w:spacing w:after="200" w:line="276" w:lineRule="auto"/>
        <w:rPr>
          <w:sz w:val="24"/>
          <w:szCs w:val="24"/>
        </w:rPr>
      </w:pPr>
      <w:r>
        <w:rPr>
          <w:sz w:val="24"/>
          <w:szCs w:val="24"/>
        </w:rPr>
        <w:t xml:space="preserve">LAPPs fall under the umbrella of “catch shares.” This term does not appear in the MSA, but is a general term that refers to fishery management strategies that allocate a specific portion of the total allowable fishery catch to individuals, cooperatives, communities, or other entities. In its 2017 </w:t>
      </w:r>
      <w:hyperlink r:id="rId13">
        <w:r>
          <w:rPr>
            <w:color w:val="1155CC"/>
            <w:sz w:val="24"/>
            <w:szCs w:val="24"/>
            <w:u w:val="single"/>
          </w:rPr>
          <w:t>Catch Share Policy</w:t>
        </w:r>
      </w:hyperlink>
      <w:r>
        <w:rPr>
          <w:sz w:val="24"/>
          <w:szCs w:val="24"/>
        </w:rPr>
        <w:t xml:space="preserve"> (NMFS Policy 01-121, January 14, 2017), NMFS explicitly encouraged Councils to “</w:t>
      </w:r>
      <w:r>
        <w:rPr>
          <w:i/>
          <w:sz w:val="24"/>
          <w:szCs w:val="24"/>
        </w:rPr>
        <w:t>consider endorsing the obligatory submission of data, including social and economic data, in return for the use of the public’s fishery resources</w:t>
      </w:r>
      <w:r>
        <w:rPr>
          <w:sz w:val="24"/>
          <w:szCs w:val="24"/>
        </w:rPr>
        <w:t xml:space="preserve">.” Catch Share Policy at 18 (emphasis in original). NMFS explained that “[i]mproved social and economic data are also key for better conservation and management for fisheries under any management regime. These data </w:t>
      </w:r>
      <w:r>
        <w:rPr>
          <w:sz w:val="24"/>
          <w:szCs w:val="24"/>
        </w:rPr>
        <w:t>are essential to computing and tracking allocations, and conducting analyses of the relative economic values and impacts of different fishery sectors.”</w:t>
      </w:r>
      <w:r>
        <w:rPr>
          <w:sz w:val="24"/>
          <w:szCs w:val="24"/>
          <w:vertAlign w:val="superscript"/>
        </w:rPr>
        <w:footnoteReference w:id="6"/>
      </w:r>
      <w:r>
        <w:rPr>
          <w:sz w:val="24"/>
          <w:szCs w:val="24"/>
        </w:rPr>
        <w:t xml:space="preserve">  </w:t>
      </w:r>
    </w:p>
    <w:p w:rsidR="00D67C05" w:rsidP="00F560BC">
      <w:pPr>
        <w:widowControl/>
        <w:spacing w:after="200" w:line="276" w:lineRule="auto"/>
        <w:rPr>
          <w:sz w:val="24"/>
          <w:szCs w:val="24"/>
        </w:rPr>
      </w:pPr>
      <w:r>
        <w:rPr>
          <w:sz w:val="24"/>
          <w:szCs w:val="24"/>
        </w:rPr>
        <w:t>1.3. Region-Specific Provisions</w:t>
      </w:r>
    </w:p>
    <w:p w:rsidR="00D67C05" w:rsidP="00F560BC">
      <w:pPr>
        <w:widowControl/>
        <w:spacing w:after="200" w:line="276" w:lineRule="auto"/>
        <w:rPr>
          <w:sz w:val="24"/>
          <w:szCs w:val="24"/>
        </w:rPr>
      </w:pPr>
      <w:r>
        <w:rPr>
          <w:sz w:val="24"/>
          <w:szCs w:val="24"/>
        </w:rPr>
        <w:t xml:space="preserve">Social and economic data and the analyses they support are relevant to the following two region-specific provisions. </w:t>
      </w:r>
    </w:p>
    <w:p w:rsidR="00D67C05" w:rsidP="00F560BC">
      <w:pPr>
        <w:widowControl/>
        <w:numPr>
          <w:ilvl w:val="0"/>
          <w:numId w:val="21"/>
        </w:numPr>
        <w:spacing w:after="200" w:line="276" w:lineRule="auto"/>
        <w:rPr>
          <w:sz w:val="24"/>
          <w:szCs w:val="24"/>
        </w:rPr>
      </w:pPr>
      <w:r>
        <w:rPr>
          <w:sz w:val="24"/>
          <w:szCs w:val="24"/>
        </w:rPr>
        <w:t xml:space="preserve">Western Alaska Community Development Quota Program: The goals of this program are providing eligible western Alaska villages with the opportunity to participate and invest in Bering Sea and Aleutian Islands fisheries, supporting economic development, alleviating poverty and providing economic and social benefits for residents, and achieving sustainable and diversified local economies. 16 U.S.C. § 1855(i)(1). </w:t>
      </w:r>
    </w:p>
    <w:p w:rsidR="00D67C05" w:rsidP="00F560BC">
      <w:pPr>
        <w:widowControl/>
        <w:numPr>
          <w:ilvl w:val="0"/>
          <w:numId w:val="21"/>
        </w:numPr>
        <w:spacing w:after="200" w:line="276" w:lineRule="auto"/>
        <w:rPr>
          <w:sz w:val="24"/>
          <w:szCs w:val="24"/>
        </w:rPr>
      </w:pPr>
      <w:r>
        <w:rPr>
          <w:sz w:val="24"/>
          <w:szCs w:val="24"/>
        </w:rPr>
        <w:t xml:space="preserve">Western Pacific Community Development Program: For any fishery under the authority of the Western Pacific Fishery Management Council, the MSA authorizes the establishment of a community development program in order to provide access to such fisheries for western Pacific communities that participate in the program. </w:t>
      </w:r>
      <w:r>
        <w:rPr>
          <w:i/>
          <w:sz w:val="24"/>
          <w:szCs w:val="24"/>
        </w:rPr>
        <w:t>Id</w:t>
      </w:r>
      <w:r>
        <w:rPr>
          <w:sz w:val="24"/>
          <w:szCs w:val="24"/>
        </w:rPr>
        <w:t>. § 1855(i)(2). The eligibility criteria include, among other things, that a community consist of residents who are descended from the aboriginal people indigenous to the area who conducted commercial or subsistence fishing using traditional fishing practices in the waters of the Western Pacific region.</w:t>
      </w:r>
      <w:r>
        <w:rPr>
          <w:i/>
          <w:sz w:val="24"/>
          <w:szCs w:val="24"/>
        </w:rPr>
        <w:t xml:space="preserve"> Id</w:t>
      </w:r>
      <w:r>
        <w:rPr>
          <w:sz w:val="24"/>
          <w:szCs w:val="24"/>
        </w:rPr>
        <w:t xml:space="preserve">. § 1855(i)(2)(B)(iii). </w:t>
      </w:r>
    </w:p>
    <w:p w:rsidR="00D67C05" w:rsidP="00F560BC">
      <w:pPr>
        <w:widowControl/>
        <w:spacing w:after="200" w:line="276" w:lineRule="auto"/>
        <w:rPr>
          <w:sz w:val="24"/>
          <w:szCs w:val="24"/>
        </w:rPr>
      </w:pPr>
      <w:r>
        <w:rPr>
          <w:sz w:val="24"/>
          <w:szCs w:val="24"/>
        </w:rPr>
        <w:t>1.4. Information Collection</w:t>
      </w:r>
    </w:p>
    <w:p w:rsidR="00D67C05" w:rsidP="00F560BC">
      <w:pPr>
        <w:widowControl/>
        <w:spacing w:after="200" w:line="276" w:lineRule="auto"/>
        <w:rPr>
          <w:sz w:val="24"/>
          <w:szCs w:val="24"/>
        </w:rPr>
      </w:pPr>
      <w:r>
        <w:rPr>
          <w:sz w:val="24"/>
          <w:szCs w:val="24"/>
        </w:rPr>
        <w:t xml:space="preserve">This section highlights some of the MSA’s provisions related to information collection. Under MSA section 303(a), FMPs are required to “specify the pertinent data which shall be submitted to the Secretary with respect to commercial, recreational, charter fishing, and fish processing in the fishery, including, but not limited to, … areas in which fishing was engaged in,...economic information necessary to meet the requirements of this chapter….” 16 U.S.C. § 1853(a)(5) (required provision). MSA section 303(b) provides that FMPs may require fish processors who first receive fish to submit data necessary for the conservation and management of the fishery. </w:t>
      </w:r>
      <w:r>
        <w:rPr>
          <w:i/>
          <w:sz w:val="24"/>
          <w:szCs w:val="24"/>
        </w:rPr>
        <w:t>Id</w:t>
      </w:r>
      <w:r>
        <w:rPr>
          <w:sz w:val="24"/>
          <w:szCs w:val="24"/>
        </w:rPr>
        <w:t xml:space="preserve">. § 1853(b)(7) (discretionary provision). </w:t>
      </w:r>
    </w:p>
    <w:p w:rsidR="00D67C05" w:rsidP="00F560BC">
      <w:pPr>
        <w:widowControl/>
        <w:spacing w:after="200" w:line="276" w:lineRule="auto"/>
        <w:rPr>
          <w:sz w:val="24"/>
          <w:szCs w:val="24"/>
        </w:rPr>
      </w:pPr>
      <w:r>
        <w:rPr>
          <w:sz w:val="24"/>
          <w:szCs w:val="24"/>
        </w:rPr>
        <w:t xml:space="preserve">FMPs may require permits in a fishery, </w:t>
      </w:r>
      <w:r>
        <w:rPr>
          <w:i/>
          <w:sz w:val="24"/>
          <w:szCs w:val="24"/>
        </w:rPr>
        <w:t>id</w:t>
      </w:r>
      <w:r>
        <w:rPr>
          <w:sz w:val="24"/>
          <w:szCs w:val="24"/>
        </w:rPr>
        <w:t xml:space="preserve">. § 1853(b)(1), and also require observers on board fishing vessels for the purpose of collecting data necessary for the conservation and management of the fishery, </w:t>
      </w:r>
      <w:r>
        <w:rPr>
          <w:i/>
          <w:sz w:val="24"/>
          <w:szCs w:val="24"/>
        </w:rPr>
        <w:t>id</w:t>
      </w:r>
      <w:r>
        <w:rPr>
          <w:sz w:val="24"/>
          <w:szCs w:val="24"/>
        </w:rPr>
        <w:t>. § 1853(b)(8).</w:t>
      </w:r>
    </w:p>
    <w:p w:rsidR="00D67C05" w:rsidP="00F560BC">
      <w:pPr>
        <w:widowControl/>
        <w:spacing w:after="200" w:line="276" w:lineRule="auto"/>
        <w:rPr>
          <w:sz w:val="24"/>
          <w:szCs w:val="24"/>
        </w:rPr>
      </w:pPr>
      <w:r>
        <w:rPr>
          <w:sz w:val="24"/>
          <w:szCs w:val="24"/>
        </w:rPr>
        <w:t xml:space="preserve">In addition, FMPs may “prescribe such other measures, requirements, or conditions and restrictions as are determined to be necessary and appropriate for the conservation and management of the fishery,” </w:t>
      </w:r>
      <w:r>
        <w:rPr>
          <w:i/>
          <w:sz w:val="24"/>
          <w:szCs w:val="24"/>
        </w:rPr>
        <w:t>id</w:t>
      </w:r>
      <w:r>
        <w:rPr>
          <w:sz w:val="24"/>
          <w:szCs w:val="24"/>
        </w:rPr>
        <w:t>. § 1853(b)(14).</w:t>
      </w:r>
    </w:p>
    <w:p w:rsidR="00D67C05" w:rsidP="00F560BC">
      <w:pPr>
        <w:widowControl/>
        <w:spacing w:after="200" w:line="276" w:lineRule="auto"/>
        <w:rPr>
          <w:sz w:val="24"/>
          <w:szCs w:val="24"/>
        </w:rPr>
      </w:pPr>
      <w:r>
        <w:rPr>
          <w:sz w:val="24"/>
          <w:szCs w:val="24"/>
        </w:rPr>
        <w:t xml:space="preserve">MSA section 402(a) provides that a Council may request that NMFS implement an information collection program, if the Council determines that “additional information would be beneficial for developing, implementing, or revising a fishery management plan or for determining whether a fishery is in need of management.” </w:t>
      </w:r>
      <w:r>
        <w:rPr>
          <w:i/>
          <w:sz w:val="24"/>
          <w:szCs w:val="24"/>
        </w:rPr>
        <w:t>Id.</w:t>
      </w:r>
      <w:r>
        <w:rPr>
          <w:sz w:val="24"/>
          <w:szCs w:val="24"/>
        </w:rPr>
        <w:t xml:space="preserve"> § 1881a(a)(1). If NMFS determines the need is justified, the agency will promulgate regulations for the program. NMFS may also implement an information collection or observer program, on its own initiative. </w:t>
      </w:r>
      <w:r>
        <w:rPr>
          <w:i/>
          <w:sz w:val="24"/>
          <w:szCs w:val="24"/>
        </w:rPr>
        <w:t>Id</w:t>
      </w:r>
      <w:r>
        <w:rPr>
          <w:sz w:val="24"/>
          <w:szCs w:val="24"/>
        </w:rPr>
        <w:t>. § 1881a(a)(2).</w:t>
      </w:r>
    </w:p>
    <w:p w:rsidR="00D67C05" w:rsidP="00F560BC">
      <w:pPr>
        <w:ind w:left="360"/>
        <w:rPr>
          <w:sz w:val="24"/>
          <w:szCs w:val="24"/>
        </w:rPr>
      </w:pPr>
    </w:p>
    <w:p w:rsidR="00D67C05" w:rsidP="00F560BC">
      <w:pPr>
        <w:pBdr>
          <w:top w:val="nil"/>
          <w:left w:val="nil"/>
          <w:bottom w:val="nil"/>
          <w:right w:val="nil"/>
          <w:between w:val="nil"/>
        </w:pBdr>
        <w:rPr>
          <w:b/>
          <w:sz w:val="24"/>
          <w:szCs w:val="24"/>
        </w:rPr>
      </w:pPr>
      <w:bookmarkStart w:id="3" w:name="_2s8eyo1" w:colFirst="0" w:colLast="0"/>
      <w:bookmarkEnd w:id="3"/>
      <w:r>
        <w:rPr>
          <w:b/>
          <w:color w:val="000000"/>
          <w:sz w:val="24"/>
          <w:szCs w:val="24"/>
        </w:rPr>
        <w:t xml:space="preserve">2. </w:t>
      </w:r>
      <w:r>
        <w:rPr>
          <w:b/>
          <w:color w:val="000000"/>
          <w:sz w:val="24"/>
          <w:szCs w:val="24"/>
          <w:u w:val="single"/>
        </w:rPr>
        <w:t>National Environmental Policy Act (NEPA)</w:t>
      </w:r>
    </w:p>
    <w:p w:rsidR="00D67C05" w:rsidP="00F560BC">
      <w:pPr>
        <w:rPr>
          <w:b/>
          <w:sz w:val="24"/>
          <w:szCs w:val="24"/>
        </w:rPr>
      </w:pPr>
    </w:p>
    <w:p w:rsidR="00D67C05" w:rsidP="00F560BC">
      <w:pPr>
        <w:rPr>
          <w:sz w:val="24"/>
          <w:szCs w:val="24"/>
        </w:rPr>
      </w:pPr>
      <w:r>
        <w:rPr>
          <w:sz w:val="24"/>
          <w:szCs w:val="24"/>
        </w:rPr>
        <w:t xml:space="preserve">NEPA requires Federal agencies to consider the interactions of natural and human environments, and the impacts on both systems of any changes due to governmental activities or policies. NMFS is to do this with "a systematic, interdisciplinary approach which will ensure the integrated use of the natural and social sciences ... in planning and in decision-making …." [NEPA Sec. 102(2)(A)] and, further, to “identify and develop methods and procedures, ….., which will insure that presently unquantified environmental amenities and values may be given appropriate consideration in decision making along with economic and technical considerations” [NEPA Sec. 102(2)(B)]. In addition, NOAA’s NEPA implementation guidelines require that the environmental impact statement (required under NEPA Sec. 102(2)(C)(i)) include biological, ecological, economic, and social consequences. NMFS needs social and economic data and the models they support to conduct the required analyses and to predict the behavioral response of fishermen and others that affect the biological, ecological, economic, and social consequences. </w:t>
      </w:r>
    </w:p>
    <w:p w:rsidR="00D67C05" w:rsidP="00F560BC">
      <w:pPr>
        <w:rPr>
          <w:sz w:val="24"/>
          <w:szCs w:val="24"/>
        </w:rPr>
      </w:pPr>
    </w:p>
    <w:p w:rsidR="00D67C05" w:rsidP="00F560BC">
      <w:pPr>
        <w:pBdr>
          <w:top w:val="nil"/>
          <w:left w:val="nil"/>
          <w:bottom w:val="nil"/>
          <w:right w:val="nil"/>
          <w:between w:val="nil"/>
        </w:pBdr>
        <w:rPr>
          <w:b/>
          <w:color w:val="000000"/>
          <w:sz w:val="24"/>
          <w:szCs w:val="24"/>
        </w:rPr>
      </w:pPr>
      <w:bookmarkStart w:id="4" w:name="_26in1rg" w:colFirst="0" w:colLast="0"/>
      <w:bookmarkEnd w:id="4"/>
      <w:r>
        <w:rPr>
          <w:b/>
          <w:color w:val="000000"/>
          <w:sz w:val="24"/>
          <w:szCs w:val="24"/>
        </w:rPr>
        <w:t xml:space="preserve">3. </w:t>
      </w:r>
      <w:r>
        <w:rPr>
          <w:b/>
          <w:color w:val="000000"/>
          <w:sz w:val="24"/>
          <w:szCs w:val="24"/>
          <w:u w:val="single"/>
        </w:rPr>
        <w:t>Regulatory Flexibility Act (RFA)</w:t>
      </w:r>
    </w:p>
    <w:p w:rsidR="00D67C05" w:rsidP="00F560BC">
      <w:pPr>
        <w:rPr>
          <w:sz w:val="24"/>
          <w:szCs w:val="24"/>
        </w:rPr>
      </w:pPr>
    </w:p>
    <w:p w:rsidR="00D67C05" w:rsidP="00F560BC">
      <w:pPr>
        <w:rPr>
          <w:sz w:val="24"/>
          <w:szCs w:val="24"/>
        </w:rPr>
      </w:pPr>
      <w:r>
        <w:rPr>
          <w:sz w:val="24"/>
          <w:szCs w:val="24"/>
        </w:rPr>
        <w:t xml:space="preserve">If the agency does not have a factual basis for a determination that there are not a substantial number of directly regulated small entities or that no significant adverse impact on directly regulated small entities will occur, it must prepare an initial regulatory flexibility analysis (IRFA) and a final regulatory flexibility analysis (FRFA). The IRFA:  (1) describes the impact of the proposed rule on small entities [Sec. 603(a)] and (2) identifies the directly regulated small entities and any significant alternatives to the proposed rule which accomplish the stated objectives of applicable statutes and that minimize any significant economic impact of the proposed rule on small entities [Sec. 603(c)]. Each FRFA is required to describe the steps the agency has taken to minimize the significant economic impact on small entities consistent with the stated objectives of applicable statutes [Sec. 604(a)(5)]. In addition, several Sections of the RFA require Federal agencies to analyze the effects of regulations to determine whether an action will have or has had "a significant economic impact on a substantial number of small </w:t>
      </w:r>
      <w:r>
        <w:rPr>
          <w:sz w:val="24"/>
          <w:szCs w:val="24"/>
        </w:rPr>
        <w:t>entities." Cost, revenue and ownership information for the specific activity in question (e.g., commercial fishing), as well as some level of general information on the full range of income producing activities in which firms are engaged are necessary to effectively conduct the RFA analyses. The RFA also requires that agencies consider all affiliations, worldwide, of regulated entities such as ownership affiliations and cooperative affiliations.</w:t>
      </w:r>
    </w:p>
    <w:p w:rsidR="00D67C05" w:rsidP="00F560BC">
      <w:pPr>
        <w:rPr>
          <w:sz w:val="24"/>
          <w:szCs w:val="24"/>
        </w:rPr>
      </w:pPr>
    </w:p>
    <w:p w:rsidR="00D67C05" w:rsidP="00F560BC">
      <w:pPr>
        <w:pBdr>
          <w:top w:val="nil"/>
          <w:left w:val="nil"/>
          <w:bottom w:val="nil"/>
          <w:right w:val="nil"/>
          <w:between w:val="nil"/>
        </w:pBdr>
        <w:rPr>
          <w:b/>
          <w:color w:val="000000"/>
          <w:sz w:val="24"/>
          <w:szCs w:val="24"/>
          <w:u w:val="single"/>
        </w:rPr>
      </w:pPr>
      <w:bookmarkStart w:id="5" w:name="_35nkun2" w:colFirst="0" w:colLast="0"/>
      <w:bookmarkEnd w:id="5"/>
      <w:r>
        <w:rPr>
          <w:b/>
          <w:color w:val="000000"/>
          <w:sz w:val="24"/>
          <w:szCs w:val="24"/>
        </w:rPr>
        <w:t>4</w:t>
      </w:r>
      <w:r w:rsidR="00B3702B">
        <w:rPr>
          <w:b/>
          <w:color w:val="000000"/>
          <w:sz w:val="24"/>
          <w:szCs w:val="24"/>
        </w:rPr>
        <w:t xml:space="preserve">. </w:t>
      </w:r>
      <w:r w:rsidR="00B3702B">
        <w:rPr>
          <w:b/>
          <w:color w:val="000000"/>
          <w:sz w:val="24"/>
          <w:szCs w:val="24"/>
          <w:u w:val="single"/>
        </w:rPr>
        <w:t>EO 13771 “Reducing Regulation and Controlling Regulatory Costs”</w:t>
      </w:r>
    </w:p>
    <w:p w:rsidR="00D67C05" w:rsidP="00F560BC">
      <w:pPr>
        <w:rPr>
          <w:sz w:val="24"/>
          <w:szCs w:val="24"/>
        </w:rPr>
      </w:pPr>
    </w:p>
    <w:p w:rsidR="00D67C05" w:rsidP="00F560BC">
      <w:pPr>
        <w:rPr>
          <w:sz w:val="24"/>
          <w:szCs w:val="24"/>
        </w:rPr>
      </w:pPr>
      <w:r>
        <w:rPr>
          <w:sz w:val="24"/>
          <w:szCs w:val="24"/>
        </w:rPr>
        <w:t xml:space="preserve">EO 13771 (82 FR 9339, January 30, 2017) is intended to manage the costs of government regulation on private industry. It requires that “any new incremental costs associated with new regulations shall, to the extent permitted by law, be offset by the elimination of existing costs associated with at least two prior regulations.” In addition, it states that “the head of each agency shall identify, for each regulation that increases incremental cost, the offsetting regulations … and provide the agency’s best approximation of the total costs or savings associated with each new regulation or repealed regulation” (see Sec 3). NMFS needs economic data, models and analyses to meet these requirements. </w:t>
      </w:r>
    </w:p>
    <w:p w:rsidR="00D67C05" w:rsidP="00F560BC">
      <w:pPr>
        <w:rPr>
          <w:sz w:val="24"/>
          <w:szCs w:val="24"/>
        </w:rPr>
      </w:pPr>
    </w:p>
    <w:p w:rsidR="00D67C05" w:rsidP="00F560BC">
      <w:pPr>
        <w:rPr>
          <w:sz w:val="24"/>
          <w:szCs w:val="24"/>
        </w:rPr>
      </w:pPr>
      <w:bookmarkStart w:id="6" w:name="_1ksv4uv" w:colFirst="0" w:colLast="0"/>
      <w:bookmarkEnd w:id="6"/>
    </w:p>
    <w:p w:rsidR="00D67C05" w:rsidP="00F560BC">
      <w:pPr>
        <w:rPr>
          <w:b/>
          <w:sz w:val="24"/>
          <w:szCs w:val="24"/>
          <w:u w:val="single"/>
        </w:rPr>
      </w:pPr>
      <w:r>
        <w:rPr>
          <w:b/>
          <w:sz w:val="24"/>
          <w:szCs w:val="24"/>
        </w:rPr>
        <w:t>5</w:t>
      </w:r>
      <w:r w:rsidR="00B3702B">
        <w:rPr>
          <w:b/>
          <w:sz w:val="24"/>
          <w:szCs w:val="24"/>
        </w:rPr>
        <w:t xml:space="preserve">. </w:t>
      </w:r>
      <w:r w:rsidR="00B3702B">
        <w:rPr>
          <w:b/>
          <w:sz w:val="24"/>
          <w:szCs w:val="24"/>
          <w:u w:val="single"/>
        </w:rPr>
        <w:t xml:space="preserve">NOAA Fisheries Guidelines for the Assessment of the Social Impact of Fishery </w:t>
      </w:r>
    </w:p>
    <w:p w:rsidR="00D67C05" w:rsidP="00F560BC">
      <w:pPr>
        <w:rPr>
          <w:sz w:val="24"/>
          <w:szCs w:val="24"/>
          <w:u w:val="single"/>
        </w:rPr>
      </w:pPr>
      <w:r>
        <w:rPr>
          <w:b/>
          <w:sz w:val="24"/>
          <w:szCs w:val="24"/>
          <w:u w:val="single"/>
        </w:rPr>
        <w:t>Management Actions</w:t>
      </w:r>
    </w:p>
    <w:p w:rsidR="00D67C05" w:rsidP="00F560BC">
      <w:pPr>
        <w:rPr>
          <w:sz w:val="24"/>
          <w:szCs w:val="24"/>
        </w:rPr>
      </w:pPr>
    </w:p>
    <w:p w:rsidR="00D67C05" w:rsidP="00F560BC">
      <w:pPr>
        <w:rPr>
          <w:sz w:val="24"/>
          <w:szCs w:val="24"/>
        </w:rPr>
      </w:pPr>
      <w:r>
        <w:rPr>
          <w:sz w:val="24"/>
          <w:szCs w:val="24"/>
        </w:rPr>
        <w:t xml:space="preserve">NMFS has provided operational guidance relative to social and community impacts to Regional Fishery Management Councils since 1991. NMFS provides this guidance because it holds that social impact assessment (SIA) is an essential part of the fishery management process and improves fishery conservation and management decision-making. Management decisions regarding appropriate courses of action thus cannot and should not be made without an adequate SIA. Without an SIA, a fishery management plan or amendment will not be considered complete. NMFS needs social data and analysis to meet this requirement. </w:t>
      </w:r>
    </w:p>
    <w:p w:rsidR="00D67C05" w:rsidP="00F560BC">
      <w:pPr>
        <w:rPr>
          <w:b/>
          <w:sz w:val="24"/>
          <w:szCs w:val="24"/>
        </w:rPr>
      </w:pPr>
    </w:p>
    <w:p w:rsidR="00D67C05" w:rsidP="00F560BC">
      <w:pPr>
        <w:pBdr>
          <w:top w:val="nil"/>
          <w:left w:val="nil"/>
          <w:bottom w:val="nil"/>
          <w:right w:val="nil"/>
          <w:between w:val="nil"/>
        </w:pBdr>
        <w:rPr>
          <w:b/>
          <w:color w:val="000000"/>
          <w:sz w:val="24"/>
          <w:szCs w:val="24"/>
        </w:rPr>
      </w:pPr>
      <w:bookmarkStart w:id="7" w:name="_44sinio" w:colFirst="0" w:colLast="0"/>
      <w:bookmarkEnd w:id="7"/>
      <w:r>
        <w:rPr>
          <w:b/>
          <w:color w:val="000000"/>
          <w:sz w:val="24"/>
          <w:szCs w:val="24"/>
        </w:rPr>
        <w:t>6</w:t>
      </w:r>
      <w:r w:rsidR="00B3702B">
        <w:rPr>
          <w:b/>
          <w:color w:val="000000"/>
          <w:sz w:val="24"/>
          <w:szCs w:val="24"/>
        </w:rPr>
        <w:t xml:space="preserve">. </w:t>
      </w:r>
      <w:r w:rsidR="00B3702B">
        <w:rPr>
          <w:b/>
          <w:color w:val="000000"/>
          <w:sz w:val="24"/>
          <w:szCs w:val="24"/>
          <w:u w:val="single"/>
        </w:rPr>
        <w:t>NOAA Fisheries Guidelines for Economic Reviews of Regulatory Actions</w:t>
      </w:r>
      <w:r>
        <w:rPr>
          <w:color w:val="000000"/>
          <w:sz w:val="24"/>
          <w:szCs w:val="24"/>
          <w:u w:val="single"/>
          <w:vertAlign w:val="superscript"/>
        </w:rPr>
        <w:footnoteReference w:id="7"/>
      </w:r>
    </w:p>
    <w:p w:rsidR="00D67C05" w:rsidP="00F560BC">
      <w:pPr>
        <w:rPr>
          <w:sz w:val="24"/>
          <w:szCs w:val="24"/>
        </w:rPr>
      </w:pPr>
    </w:p>
    <w:p w:rsidR="00D67C05" w:rsidP="00F560BC">
      <w:pPr>
        <w:rPr>
          <w:sz w:val="24"/>
          <w:szCs w:val="24"/>
        </w:rPr>
      </w:pPr>
      <w:r>
        <w:rPr>
          <w:sz w:val="24"/>
          <w:szCs w:val="24"/>
        </w:rPr>
        <w:t>NMFS issued the guidelines, in part, to assist in understanding and meeting the analytical requirements of EO 12866 and the RFA for regulatory actions it plans to promulgate. EO 12866 and the RFA are two of the most direct mandates for the preparation of economic analyses and, therefore, for economic data.</w:t>
      </w:r>
    </w:p>
    <w:p w:rsidR="00D67C05" w:rsidP="00F560BC">
      <w:pPr>
        <w:rPr>
          <w:sz w:val="24"/>
          <w:szCs w:val="24"/>
        </w:rPr>
      </w:pPr>
    </w:p>
    <w:p w:rsidR="00D67C05" w:rsidP="00F560BC">
      <w:pPr>
        <w:rPr>
          <w:sz w:val="24"/>
          <w:szCs w:val="24"/>
        </w:rPr>
      </w:pPr>
      <w:r>
        <w:rPr>
          <w:sz w:val="24"/>
          <w:szCs w:val="24"/>
        </w:rPr>
        <w:t>Largely, the EO 12866 and RFA include similar requirements for economic analyses. The guidelines include the following two principal differences.</w:t>
      </w:r>
    </w:p>
    <w:p w:rsidR="00D67C05" w:rsidP="00F560BC">
      <w:pPr>
        <w:rPr>
          <w:sz w:val="24"/>
          <w:szCs w:val="24"/>
        </w:rPr>
      </w:pPr>
    </w:p>
    <w:p w:rsidR="00D67C05" w:rsidRPr="00F22BA4" w:rsidP="00F560BC">
      <w:pPr>
        <w:numPr>
          <w:ilvl w:val="0"/>
          <w:numId w:val="18"/>
        </w:numPr>
        <w:pBdr>
          <w:top w:val="nil"/>
          <w:left w:val="nil"/>
          <w:bottom w:val="nil"/>
          <w:right w:val="nil"/>
          <w:between w:val="nil"/>
        </w:pBdr>
        <w:rPr>
          <w:color w:val="000000"/>
          <w:sz w:val="24"/>
          <w:szCs w:val="24"/>
        </w:rPr>
      </w:pPr>
      <w:r w:rsidRPr="00F22BA4">
        <w:rPr>
          <w:color w:val="000000"/>
          <w:sz w:val="24"/>
          <w:szCs w:val="24"/>
        </w:rPr>
        <w:t>The</w:t>
      </w:r>
      <w:r w:rsidRPr="00F22BA4" w:rsidR="00F22BA4">
        <w:rPr>
          <w:sz w:val="24"/>
          <w:szCs w:val="24"/>
        </w:rPr>
        <w:t xml:space="preserve"> (Regulatory Flexibility Act Analysis </w:t>
      </w:r>
      <w:r w:rsidRPr="00F22BA4" w:rsidR="00F22BA4">
        <w:rPr>
          <w:color w:val="000000"/>
          <w:sz w:val="24"/>
          <w:szCs w:val="24"/>
        </w:rPr>
        <w:t>(</w:t>
      </w:r>
      <w:r w:rsidRPr="00F22BA4">
        <w:rPr>
          <w:color w:val="000000"/>
          <w:sz w:val="24"/>
          <w:szCs w:val="24"/>
        </w:rPr>
        <w:t>RFAA</w:t>
      </w:r>
      <w:r w:rsidRPr="00F22BA4" w:rsidR="00F22BA4">
        <w:rPr>
          <w:color w:val="000000"/>
          <w:sz w:val="24"/>
          <w:szCs w:val="24"/>
        </w:rPr>
        <w:t>)</w:t>
      </w:r>
      <w:r w:rsidRPr="00F22BA4">
        <w:rPr>
          <w:color w:val="000000"/>
          <w:sz w:val="24"/>
          <w:szCs w:val="24"/>
        </w:rPr>
        <w:t xml:space="preserve"> must address the impacts of a proposed rule only on small entities subject to the regulation (i.e., small entities to which the rule will directly apply) and not on all small entities that are affected by the regulation (i.e., small entities to which the rule will indirectly apply).</w:t>
      </w:r>
    </w:p>
    <w:p w:rsidR="00D67C05" w:rsidP="00F560BC">
      <w:pPr>
        <w:ind w:left="720"/>
        <w:rPr>
          <w:sz w:val="24"/>
          <w:szCs w:val="24"/>
        </w:rPr>
      </w:pPr>
    </w:p>
    <w:p w:rsidR="00D67C05" w:rsidP="00F560BC">
      <w:pPr>
        <w:numPr>
          <w:ilvl w:val="0"/>
          <w:numId w:val="18"/>
        </w:numPr>
        <w:pBdr>
          <w:top w:val="nil"/>
          <w:left w:val="nil"/>
          <w:bottom w:val="nil"/>
          <w:right w:val="nil"/>
          <w:between w:val="nil"/>
        </w:pBdr>
        <w:rPr>
          <w:color w:val="000000"/>
          <w:sz w:val="24"/>
          <w:szCs w:val="24"/>
        </w:rPr>
      </w:pPr>
      <w:r>
        <w:rPr>
          <w:color w:val="000000"/>
          <w:sz w:val="24"/>
          <w:szCs w:val="24"/>
        </w:rPr>
        <w:t xml:space="preserve">Impacts under EO 12866 need not be identified at the vessel or firm level in the RIR, </w:t>
      </w:r>
      <w:r>
        <w:rPr>
          <w:color w:val="000000"/>
          <w:sz w:val="24"/>
          <w:szCs w:val="24"/>
        </w:rPr>
        <w:t xml:space="preserve">whereas, these levels </w:t>
      </w:r>
      <w:r>
        <w:rPr>
          <w:sz w:val="24"/>
          <w:szCs w:val="24"/>
        </w:rPr>
        <w:t>remain</w:t>
      </w:r>
      <w:r>
        <w:rPr>
          <w:color w:val="000000"/>
          <w:sz w:val="24"/>
          <w:szCs w:val="24"/>
        </w:rPr>
        <w:t xml:space="preserve"> the focus of the RFAA.</w:t>
      </w:r>
    </w:p>
    <w:p w:rsidR="00D67C05" w:rsidP="00F560BC">
      <w:pPr>
        <w:ind w:left="720"/>
        <w:rPr>
          <w:sz w:val="24"/>
          <w:szCs w:val="24"/>
        </w:rPr>
      </w:pPr>
    </w:p>
    <w:p w:rsidR="00D67C05" w:rsidP="00F560BC">
      <w:pPr>
        <w:rPr>
          <w:sz w:val="24"/>
          <w:szCs w:val="24"/>
        </w:rPr>
      </w:pPr>
      <w:r>
        <w:rPr>
          <w:sz w:val="24"/>
          <w:szCs w:val="24"/>
        </w:rPr>
        <w:t>The guidelines note the analyses are intended to identify the economic effects of the preferred action and alternative actions, in contrast to taking “no action”, where “The types of effects to consider include the following:</w:t>
      </w:r>
    </w:p>
    <w:p w:rsidR="00D67C05" w:rsidP="00F560BC">
      <w:pPr>
        <w:rPr>
          <w:sz w:val="24"/>
          <w:szCs w:val="24"/>
        </w:rPr>
      </w:pPr>
    </w:p>
    <w:p w:rsidR="00D67C05" w:rsidP="00F560BC">
      <w:pPr>
        <w:numPr>
          <w:ilvl w:val="0"/>
          <w:numId w:val="4"/>
        </w:numPr>
        <w:pBdr>
          <w:top w:val="nil"/>
          <w:left w:val="nil"/>
          <w:bottom w:val="nil"/>
          <w:right w:val="nil"/>
          <w:between w:val="nil"/>
        </w:pBdr>
        <w:ind w:left="720"/>
        <w:rPr>
          <w:color w:val="000000"/>
          <w:sz w:val="24"/>
          <w:szCs w:val="24"/>
        </w:rPr>
      </w:pPr>
      <w:r>
        <w:rPr>
          <w:color w:val="000000"/>
          <w:sz w:val="24"/>
          <w:szCs w:val="24"/>
        </w:rPr>
        <w:t xml:space="preserve">Changes in net benefits within a benefit-cost framework; </w:t>
      </w:r>
    </w:p>
    <w:p w:rsidR="00D67C05" w:rsidP="00F560BC">
      <w:pPr>
        <w:pBdr>
          <w:top w:val="nil"/>
          <w:left w:val="nil"/>
          <w:bottom w:val="nil"/>
          <w:right w:val="nil"/>
          <w:between w:val="nil"/>
        </w:pBdr>
        <w:ind w:left="720"/>
        <w:rPr>
          <w:color w:val="000000"/>
          <w:sz w:val="24"/>
          <w:szCs w:val="24"/>
        </w:rPr>
      </w:pPr>
    </w:p>
    <w:p w:rsidR="00D67C05" w:rsidP="00F560BC">
      <w:pPr>
        <w:numPr>
          <w:ilvl w:val="0"/>
          <w:numId w:val="4"/>
        </w:numPr>
        <w:pBdr>
          <w:top w:val="nil"/>
          <w:left w:val="nil"/>
          <w:bottom w:val="nil"/>
          <w:right w:val="nil"/>
          <w:between w:val="nil"/>
        </w:pBdr>
        <w:ind w:left="720"/>
        <w:rPr>
          <w:color w:val="000000"/>
          <w:sz w:val="24"/>
          <w:szCs w:val="24"/>
        </w:rPr>
      </w:pPr>
      <w:r>
        <w:rPr>
          <w:color w:val="000000"/>
          <w:sz w:val="24"/>
          <w:szCs w:val="24"/>
        </w:rPr>
        <w:t xml:space="preserve">Changes in the distribution of benefits and costs among groups of individuals, businesses of differing sizes, and other entities (including small communities and governmental entities); </w:t>
      </w:r>
    </w:p>
    <w:p w:rsidR="00D67C05" w:rsidP="00F560BC">
      <w:pPr>
        <w:widowControl/>
        <w:numPr>
          <w:ilvl w:val="0"/>
          <w:numId w:val="4"/>
        </w:numPr>
        <w:pBdr>
          <w:top w:val="nil"/>
          <w:left w:val="nil"/>
          <w:bottom w:val="nil"/>
          <w:right w:val="nil"/>
          <w:between w:val="nil"/>
        </w:pBdr>
        <w:spacing w:line="259" w:lineRule="auto"/>
        <w:ind w:left="720"/>
        <w:rPr>
          <w:color w:val="000000"/>
          <w:sz w:val="24"/>
          <w:szCs w:val="24"/>
        </w:rPr>
      </w:pPr>
      <w:r>
        <w:rPr>
          <w:color w:val="000000"/>
          <w:sz w:val="24"/>
          <w:szCs w:val="24"/>
        </w:rPr>
        <w:t>Changes in income and employment;</w:t>
      </w:r>
    </w:p>
    <w:p w:rsidR="00D67C05" w:rsidP="00F560BC">
      <w:pPr>
        <w:widowControl/>
        <w:pBdr>
          <w:top w:val="nil"/>
          <w:left w:val="nil"/>
          <w:bottom w:val="nil"/>
          <w:right w:val="nil"/>
          <w:between w:val="nil"/>
        </w:pBdr>
        <w:spacing w:line="259" w:lineRule="auto"/>
        <w:ind w:left="720"/>
        <w:rPr>
          <w:color w:val="000000"/>
          <w:sz w:val="24"/>
          <w:szCs w:val="24"/>
        </w:rPr>
      </w:pPr>
    </w:p>
    <w:p w:rsidR="00D67C05" w:rsidP="00F560BC">
      <w:pPr>
        <w:widowControl/>
        <w:numPr>
          <w:ilvl w:val="0"/>
          <w:numId w:val="4"/>
        </w:numPr>
        <w:pBdr>
          <w:top w:val="nil"/>
          <w:left w:val="nil"/>
          <w:bottom w:val="nil"/>
          <w:right w:val="nil"/>
          <w:between w:val="nil"/>
        </w:pBdr>
        <w:spacing w:line="259" w:lineRule="auto"/>
        <w:ind w:left="720"/>
        <w:rPr>
          <w:color w:val="000000"/>
          <w:sz w:val="24"/>
          <w:szCs w:val="24"/>
        </w:rPr>
      </w:pPr>
      <w:r>
        <w:rPr>
          <w:color w:val="000000"/>
          <w:sz w:val="24"/>
          <w:szCs w:val="24"/>
        </w:rPr>
        <w:t>Cumulative impacts of regulations; and</w:t>
      </w:r>
    </w:p>
    <w:p w:rsidR="00D67C05" w:rsidP="00F560BC">
      <w:pPr>
        <w:widowControl/>
        <w:pBdr>
          <w:top w:val="nil"/>
          <w:left w:val="nil"/>
          <w:bottom w:val="nil"/>
          <w:right w:val="nil"/>
          <w:between w:val="nil"/>
        </w:pBdr>
        <w:spacing w:line="259" w:lineRule="auto"/>
        <w:ind w:left="720"/>
        <w:rPr>
          <w:color w:val="000000"/>
          <w:sz w:val="24"/>
          <w:szCs w:val="24"/>
        </w:rPr>
      </w:pPr>
    </w:p>
    <w:p w:rsidR="00D67C05" w:rsidP="00F560BC">
      <w:pPr>
        <w:widowControl/>
        <w:numPr>
          <w:ilvl w:val="0"/>
          <w:numId w:val="4"/>
        </w:numPr>
        <w:pBdr>
          <w:top w:val="nil"/>
          <w:left w:val="nil"/>
          <w:bottom w:val="nil"/>
          <w:right w:val="nil"/>
          <w:between w:val="nil"/>
        </w:pBdr>
        <w:spacing w:line="259" w:lineRule="auto"/>
        <w:ind w:left="720"/>
        <w:rPr>
          <w:color w:val="000000"/>
          <w:sz w:val="24"/>
          <w:szCs w:val="24"/>
        </w:rPr>
      </w:pPr>
      <w:r>
        <w:rPr>
          <w:color w:val="000000"/>
          <w:sz w:val="24"/>
          <w:szCs w:val="24"/>
        </w:rPr>
        <w:t>Changes in other social concerns.</w:t>
      </w:r>
    </w:p>
    <w:p w:rsidR="00D67C05" w:rsidP="00F560BC">
      <w:pPr>
        <w:ind w:left="1080"/>
        <w:rPr>
          <w:sz w:val="24"/>
          <w:szCs w:val="24"/>
        </w:rPr>
      </w:pPr>
    </w:p>
    <w:p w:rsidR="00D67C05" w:rsidP="00F560BC">
      <w:pPr>
        <w:rPr>
          <w:sz w:val="24"/>
          <w:szCs w:val="24"/>
        </w:rPr>
      </w:pPr>
      <w:r>
        <w:rPr>
          <w:sz w:val="24"/>
          <w:szCs w:val="24"/>
        </w:rPr>
        <w:t xml:space="preserve">More specifically, the guidelines include the following examples of the information that an RIR for commercial fishery management actions should provide:  </w:t>
      </w:r>
    </w:p>
    <w:p w:rsidR="00D67C05" w:rsidP="00F560BC">
      <w:pPr>
        <w:ind w:left="1080"/>
        <w:rPr>
          <w:sz w:val="24"/>
          <w:szCs w:val="24"/>
        </w:rPr>
      </w:pPr>
    </w:p>
    <w:p w:rsidR="00D67C05" w:rsidP="00F560BC">
      <w:pPr>
        <w:widowControl/>
        <w:numPr>
          <w:ilvl w:val="0"/>
          <w:numId w:val="6"/>
        </w:numPr>
        <w:pBdr>
          <w:top w:val="nil"/>
          <w:left w:val="nil"/>
          <w:bottom w:val="nil"/>
          <w:right w:val="nil"/>
          <w:between w:val="nil"/>
        </w:pBdr>
        <w:spacing w:line="259" w:lineRule="auto"/>
        <w:rPr>
          <w:color w:val="000000"/>
          <w:sz w:val="24"/>
          <w:szCs w:val="24"/>
        </w:rPr>
      </w:pPr>
      <w:r>
        <w:rPr>
          <w:color w:val="000000"/>
          <w:sz w:val="24"/>
          <w:szCs w:val="24"/>
        </w:rPr>
        <w:t xml:space="preserve">Expected levels or changes in participation (number of fishing vessels) and activity (number of fishing trips, days at sea, etc.); </w:t>
      </w:r>
    </w:p>
    <w:p w:rsidR="00D67C05" w:rsidP="00F560BC">
      <w:pPr>
        <w:widowControl/>
        <w:pBdr>
          <w:top w:val="nil"/>
          <w:left w:val="nil"/>
          <w:bottom w:val="nil"/>
          <w:right w:val="nil"/>
          <w:between w:val="nil"/>
        </w:pBdr>
        <w:spacing w:line="259" w:lineRule="auto"/>
        <w:ind w:left="720"/>
        <w:rPr>
          <w:color w:val="000000"/>
          <w:sz w:val="24"/>
          <w:szCs w:val="24"/>
        </w:rPr>
      </w:pPr>
    </w:p>
    <w:p w:rsidR="00D67C05" w:rsidP="00F560BC">
      <w:pPr>
        <w:widowControl/>
        <w:numPr>
          <w:ilvl w:val="0"/>
          <w:numId w:val="6"/>
        </w:numPr>
        <w:pBdr>
          <w:top w:val="nil"/>
          <w:left w:val="nil"/>
          <w:bottom w:val="nil"/>
          <w:right w:val="nil"/>
          <w:between w:val="nil"/>
        </w:pBdr>
        <w:spacing w:line="259" w:lineRule="auto"/>
        <w:rPr>
          <w:color w:val="000000"/>
          <w:sz w:val="24"/>
          <w:szCs w:val="24"/>
        </w:rPr>
      </w:pPr>
      <w:r>
        <w:rPr>
          <w:color w:val="000000"/>
          <w:sz w:val="24"/>
          <w:szCs w:val="24"/>
        </w:rPr>
        <w:t xml:space="preserve">Expected levels or changes in harvests (commercial, recreational, and subsistence) and their distribution by sector; </w:t>
      </w:r>
    </w:p>
    <w:p w:rsidR="00D67C05" w:rsidP="00F560BC">
      <w:pPr>
        <w:widowControl/>
        <w:pBdr>
          <w:top w:val="nil"/>
          <w:left w:val="nil"/>
          <w:bottom w:val="nil"/>
          <w:right w:val="nil"/>
          <w:between w:val="nil"/>
        </w:pBdr>
        <w:spacing w:line="259" w:lineRule="auto"/>
        <w:ind w:left="720"/>
        <w:rPr>
          <w:color w:val="000000"/>
          <w:sz w:val="24"/>
          <w:szCs w:val="24"/>
        </w:rPr>
      </w:pPr>
    </w:p>
    <w:p w:rsidR="00D67C05" w:rsidP="00F560BC">
      <w:pPr>
        <w:widowControl/>
        <w:numPr>
          <w:ilvl w:val="0"/>
          <w:numId w:val="6"/>
        </w:numPr>
        <w:pBdr>
          <w:top w:val="nil"/>
          <w:left w:val="nil"/>
          <w:bottom w:val="nil"/>
          <w:right w:val="nil"/>
          <w:between w:val="nil"/>
        </w:pBdr>
        <w:spacing w:line="259" w:lineRule="auto"/>
        <w:rPr>
          <w:color w:val="000000"/>
          <w:sz w:val="24"/>
          <w:szCs w:val="24"/>
        </w:rPr>
      </w:pPr>
      <w:r>
        <w:rPr>
          <w:color w:val="000000"/>
          <w:sz w:val="24"/>
          <w:szCs w:val="24"/>
        </w:rPr>
        <w:t xml:space="preserve">Expected changes in commercial ex-vessel prices; </w:t>
      </w:r>
    </w:p>
    <w:p w:rsidR="00D67C05" w:rsidP="00F560BC">
      <w:pPr>
        <w:widowControl/>
        <w:pBdr>
          <w:top w:val="nil"/>
          <w:left w:val="nil"/>
          <w:bottom w:val="nil"/>
          <w:right w:val="nil"/>
          <w:between w:val="nil"/>
        </w:pBdr>
        <w:spacing w:line="259" w:lineRule="auto"/>
        <w:ind w:left="720"/>
        <w:rPr>
          <w:color w:val="000000"/>
          <w:sz w:val="24"/>
          <w:szCs w:val="24"/>
        </w:rPr>
      </w:pPr>
    </w:p>
    <w:p w:rsidR="00D67C05" w:rsidP="00F560BC">
      <w:pPr>
        <w:widowControl/>
        <w:numPr>
          <w:ilvl w:val="0"/>
          <w:numId w:val="6"/>
        </w:numPr>
        <w:pBdr>
          <w:top w:val="nil"/>
          <w:left w:val="nil"/>
          <w:bottom w:val="nil"/>
          <w:right w:val="nil"/>
          <w:between w:val="nil"/>
        </w:pBdr>
        <w:spacing w:line="259" w:lineRule="auto"/>
        <w:rPr>
          <w:color w:val="000000"/>
          <w:sz w:val="24"/>
          <w:szCs w:val="24"/>
        </w:rPr>
      </w:pPr>
      <w:r>
        <w:rPr>
          <w:color w:val="000000"/>
          <w:sz w:val="24"/>
          <w:szCs w:val="24"/>
        </w:rPr>
        <w:t>Expected changes in harvesting costs (fixed and variable costs, including capital and labor costs);</w:t>
      </w:r>
    </w:p>
    <w:p w:rsidR="00D67C05" w:rsidP="00F560BC">
      <w:pPr>
        <w:widowControl/>
        <w:pBdr>
          <w:top w:val="nil"/>
          <w:left w:val="nil"/>
          <w:bottom w:val="nil"/>
          <w:right w:val="nil"/>
          <w:between w:val="nil"/>
        </w:pBdr>
        <w:spacing w:line="259" w:lineRule="auto"/>
        <w:ind w:left="720"/>
        <w:rPr>
          <w:color w:val="000000"/>
          <w:sz w:val="24"/>
          <w:szCs w:val="24"/>
        </w:rPr>
      </w:pPr>
    </w:p>
    <w:p w:rsidR="00D67C05" w:rsidP="00F560BC">
      <w:pPr>
        <w:widowControl/>
        <w:numPr>
          <w:ilvl w:val="0"/>
          <w:numId w:val="6"/>
        </w:numPr>
        <w:pBdr>
          <w:top w:val="nil"/>
          <w:left w:val="nil"/>
          <w:bottom w:val="nil"/>
          <w:right w:val="nil"/>
          <w:between w:val="nil"/>
        </w:pBdr>
        <w:spacing w:line="259" w:lineRule="auto"/>
        <w:rPr>
          <w:color w:val="000000"/>
          <w:sz w:val="24"/>
          <w:szCs w:val="24"/>
        </w:rPr>
      </w:pPr>
      <w:r>
        <w:rPr>
          <w:color w:val="000000"/>
          <w:sz w:val="24"/>
          <w:szCs w:val="24"/>
        </w:rPr>
        <w:t xml:space="preserve">Expected levels and costs of processing. </w:t>
      </w:r>
    </w:p>
    <w:p w:rsidR="00D67C05" w:rsidP="00F560BC">
      <w:pPr>
        <w:widowControl/>
        <w:pBdr>
          <w:top w:val="nil"/>
          <w:left w:val="nil"/>
          <w:bottom w:val="nil"/>
          <w:right w:val="nil"/>
          <w:between w:val="nil"/>
        </w:pBdr>
        <w:spacing w:line="259" w:lineRule="auto"/>
        <w:ind w:left="720"/>
        <w:rPr>
          <w:color w:val="000000"/>
          <w:sz w:val="24"/>
          <w:szCs w:val="24"/>
        </w:rPr>
      </w:pPr>
    </w:p>
    <w:p w:rsidR="00D67C05" w:rsidP="00F560BC">
      <w:pPr>
        <w:widowControl/>
        <w:numPr>
          <w:ilvl w:val="0"/>
          <w:numId w:val="6"/>
        </w:numPr>
        <w:pBdr>
          <w:top w:val="nil"/>
          <w:left w:val="nil"/>
          <w:bottom w:val="nil"/>
          <w:right w:val="nil"/>
          <w:between w:val="nil"/>
        </w:pBdr>
        <w:spacing w:line="259" w:lineRule="auto"/>
        <w:rPr>
          <w:color w:val="000000"/>
          <w:sz w:val="24"/>
          <w:szCs w:val="24"/>
        </w:rPr>
      </w:pPr>
      <w:r>
        <w:rPr>
          <w:color w:val="000000"/>
          <w:sz w:val="24"/>
          <w:szCs w:val="24"/>
        </w:rPr>
        <w:t>Expected changes in benefits or costs incurred by specific user groups, including effects on small entities;</w:t>
      </w:r>
    </w:p>
    <w:p w:rsidR="00D67C05" w:rsidP="00F560BC">
      <w:pPr>
        <w:widowControl/>
        <w:pBdr>
          <w:top w:val="nil"/>
          <w:left w:val="nil"/>
          <w:bottom w:val="nil"/>
          <w:right w:val="nil"/>
          <w:between w:val="nil"/>
        </w:pBdr>
        <w:spacing w:line="259" w:lineRule="auto"/>
        <w:ind w:left="720"/>
        <w:rPr>
          <w:color w:val="000000"/>
          <w:sz w:val="24"/>
          <w:szCs w:val="24"/>
        </w:rPr>
      </w:pPr>
    </w:p>
    <w:p w:rsidR="00D67C05" w:rsidP="00F560BC">
      <w:pPr>
        <w:widowControl/>
        <w:numPr>
          <w:ilvl w:val="0"/>
          <w:numId w:val="6"/>
        </w:numPr>
        <w:pBdr>
          <w:top w:val="nil"/>
          <w:left w:val="nil"/>
          <w:bottom w:val="nil"/>
          <w:right w:val="nil"/>
          <w:between w:val="nil"/>
        </w:pBdr>
        <w:spacing w:line="259" w:lineRule="auto"/>
        <w:rPr>
          <w:color w:val="000000"/>
          <w:sz w:val="24"/>
          <w:szCs w:val="24"/>
        </w:rPr>
      </w:pPr>
      <w:r>
        <w:rPr>
          <w:color w:val="000000"/>
          <w:sz w:val="24"/>
          <w:szCs w:val="24"/>
        </w:rPr>
        <w:t xml:space="preserve">Expected effects on employment; </w:t>
      </w:r>
    </w:p>
    <w:p w:rsidR="00D67C05" w:rsidP="00F560BC">
      <w:pPr>
        <w:widowControl/>
        <w:pBdr>
          <w:top w:val="nil"/>
          <w:left w:val="nil"/>
          <w:bottom w:val="nil"/>
          <w:right w:val="nil"/>
          <w:between w:val="nil"/>
        </w:pBdr>
        <w:spacing w:line="259" w:lineRule="auto"/>
        <w:ind w:left="720"/>
        <w:rPr>
          <w:color w:val="000000"/>
          <w:sz w:val="24"/>
          <w:szCs w:val="24"/>
        </w:rPr>
      </w:pPr>
    </w:p>
    <w:p w:rsidR="00D67C05" w:rsidP="00F560BC">
      <w:pPr>
        <w:widowControl/>
        <w:numPr>
          <w:ilvl w:val="0"/>
          <w:numId w:val="6"/>
        </w:numPr>
        <w:pBdr>
          <w:top w:val="nil"/>
          <w:left w:val="nil"/>
          <w:bottom w:val="nil"/>
          <w:right w:val="nil"/>
          <w:between w:val="nil"/>
        </w:pBdr>
        <w:spacing w:line="259" w:lineRule="auto"/>
        <w:rPr>
          <w:color w:val="000000"/>
          <w:sz w:val="24"/>
          <w:szCs w:val="24"/>
        </w:rPr>
      </w:pPr>
      <w:r>
        <w:rPr>
          <w:color w:val="000000"/>
          <w:sz w:val="24"/>
          <w:szCs w:val="24"/>
        </w:rPr>
        <w:t>Expected effects on profits, competitive position, productivity or efficiency of individual fishermen, user groups, or fishing communities;</w:t>
      </w:r>
    </w:p>
    <w:p w:rsidR="00D67C05" w:rsidP="00F560BC">
      <w:pPr>
        <w:widowControl/>
        <w:pBdr>
          <w:top w:val="nil"/>
          <w:left w:val="nil"/>
          <w:bottom w:val="nil"/>
          <w:right w:val="nil"/>
          <w:between w:val="nil"/>
        </w:pBdr>
        <w:spacing w:line="259" w:lineRule="auto"/>
        <w:ind w:left="720"/>
        <w:rPr>
          <w:color w:val="000000"/>
          <w:sz w:val="24"/>
          <w:szCs w:val="24"/>
        </w:rPr>
      </w:pPr>
    </w:p>
    <w:p w:rsidR="00D67C05" w:rsidP="00F560BC">
      <w:pPr>
        <w:widowControl/>
        <w:numPr>
          <w:ilvl w:val="0"/>
          <w:numId w:val="6"/>
        </w:numPr>
        <w:pBdr>
          <w:top w:val="nil"/>
          <w:left w:val="nil"/>
          <w:bottom w:val="nil"/>
          <w:right w:val="nil"/>
          <w:between w:val="nil"/>
        </w:pBdr>
        <w:spacing w:line="259" w:lineRule="auto"/>
        <w:rPr>
          <w:color w:val="000000"/>
          <w:sz w:val="24"/>
          <w:szCs w:val="24"/>
        </w:rPr>
      </w:pPr>
      <w:r>
        <w:rPr>
          <w:color w:val="000000"/>
          <w:sz w:val="24"/>
          <w:szCs w:val="24"/>
        </w:rPr>
        <w:t xml:space="preserve">Expected effects on the reporting burden. </w:t>
      </w:r>
    </w:p>
    <w:p w:rsidR="00D67C05" w:rsidP="00F560BC">
      <w:pPr>
        <w:widowControl/>
        <w:pBdr>
          <w:top w:val="nil"/>
          <w:left w:val="nil"/>
          <w:bottom w:val="nil"/>
          <w:right w:val="nil"/>
          <w:between w:val="nil"/>
        </w:pBdr>
        <w:spacing w:line="259" w:lineRule="auto"/>
        <w:ind w:left="720"/>
        <w:rPr>
          <w:color w:val="000000"/>
          <w:sz w:val="24"/>
          <w:szCs w:val="24"/>
        </w:rPr>
      </w:pPr>
    </w:p>
    <w:p w:rsidR="00D67C05" w:rsidP="00F560BC">
      <w:pPr>
        <w:widowControl/>
        <w:numPr>
          <w:ilvl w:val="0"/>
          <w:numId w:val="6"/>
        </w:numPr>
        <w:pBdr>
          <w:top w:val="nil"/>
          <w:left w:val="nil"/>
          <w:bottom w:val="nil"/>
          <w:right w:val="nil"/>
          <w:between w:val="nil"/>
        </w:pBdr>
        <w:spacing w:line="259" w:lineRule="auto"/>
        <w:rPr>
          <w:color w:val="000000"/>
          <w:sz w:val="24"/>
          <w:szCs w:val="24"/>
        </w:rPr>
      </w:pPr>
      <w:r>
        <w:rPr>
          <w:color w:val="000000"/>
          <w:sz w:val="24"/>
          <w:szCs w:val="24"/>
        </w:rPr>
        <w:t>Expected impacts on consumer surplus;</w:t>
      </w:r>
    </w:p>
    <w:p w:rsidR="00D67C05" w:rsidP="00F560BC">
      <w:pPr>
        <w:widowControl/>
        <w:pBdr>
          <w:top w:val="nil"/>
          <w:left w:val="nil"/>
          <w:bottom w:val="nil"/>
          <w:right w:val="nil"/>
          <w:between w:val="nil"/>
        </w:pBdr>
        <w:spacing w:line="259" w:lineRule="auto"/>
        <w:ind w:left="720"/>
        <w:rPr>
          <w:color w:val="000000"/>
          <w:sz w:val="24"/>
          <w:szCs w:val="24"/>
        </w:rPr>
      </w:pPr>
    </w:p>
    <w:p w:rsidR="00D67C05" w:rsidP="00F560BC">
      <w:pPr>
        <w:widowControl/>
        <w:numPr>
          <w:ilvl w:val="0"/>
          <w:numId w:val="6"/>
        </w:numPr>
        <w:pBdr>
          <w:top w:val="nil"/>
          <w:left w:val="nil"/>
          <w:bottom w:val="nil"/>
          <w:right w:val="nil"/>
          <w:between w:val="nil"/>
        </w:pBdr>
        <w:spacing w:line="259" w:lineRule="auto"/>
        <w:rPr>
          <w:color w:val="000000"/>
          <w:sz w:val="24"/>
          <w:szCs w:val="24"/>
        </w:rPr>
      </w:pPr>
      <w:r>
        <w:rPr>
          <w:color w:val="000000"/>
          <w:sz w:val="24"/>
          <w:szCs w:val="24"/>
        </w:rPr>
        <w:t>Expected management and implementation costs attributable to the action, including enforcement costs;</w:t>
      </w:r>
    </w:p>
    <w:p w:rsidR="00D67C05" w:rsidP="00F560BC">
      <w:pPr>
        <w:widowControl/>
        <w:pBdr>
          <w:top w:val="nil"/>
          <w:left w:val="nil"/>
          <w:bottom w:val="nil"/>
          <w:right w:val="nil"/>
          <w:between w:val="nil"/>
        </w:pBdr>
        <w:spacing w:line="259" w:lineRule="auto"/>
        <w:ind w:left="720"/>
        <w:rPr>
          <w:color w:val="000000"/>
          <w:sz w:val="24"/>
          <w:szCs w:val="24"/>
        </w:rPr>
      </w:pPr>
    </w:p>
    <w:p w:rsidR="00D67C05" w:rsidP="00F560BC">
      <w:pPr>
        <w:widowControl/>
        <w:numPr>
          <w:ilvl w:val="0"/>
          <w:numId w:val="6"/>
        </w:numPr>
        <w:pBdr>
          <w:top w:val="nil"/>
          <w:left w:val="nil"/>
          <w:bottom w:val="nil"/>
          <w:right w:val="nil"/>
          <w:between w:val="nil"/>
        </w:pBdr>
        <w:spacing w:line="259" w:lineRule="auto"/>
        <w:rPr>
          <w:color w:val="000000"/>
          <w:sz w:val="24"/>
          <w:szCs w:val="24"/>
        </w:rPr>
      </w:pPr>
      <w:r>
        <w:rPr>
          <w:color w:val="000000"/>
          <w:sz w:val="24"/>
          <w:szCs w:val="24"/>
        </w:rPr>
        <w:t xml:space="preserve">Expected effects on non-use values; and </w:t>
      </w:r>
    </w:p>
    <w:p w:rsidR="00D67C05" w:rsidP="00F560BC">
      <w:pPr>
        <w:widowControl/>
        <w:pBdr>
          <w:top w:val="nil"/>
          <w:left w:val="nil"/>
          <w:bottom w:val="nil"/>
          <w:right w:val="nil"/>
          <w:between w:val="nil"/>
        </w:pBdr>
        <w:spacing w:line="259" w:lineRule="auto"/>
        <w:ind w:left="720"/>
        <w:rPr>
          <w:color w:val="000000"/>
          <w:sz w:val="24"/>
          <w:szCs w:val="24"/>
        </w:rPr>
      </w:pPr>
    </w:p>
    <w:p w:rsidR="00D67C05" w:rsidP="00F560BC">
      <w:pPr>
        <w:widowControl/>
        <w:numPr>
          <w:ilvl w:val="0"/>
          <w:numId w:val="6"/>
        </w:numPr>
        <w:pBdr>
          <w:top w:val="nil"/>
          <w:left w:val="nil"/>
          <w:bottom w:val="nil"/>
          <w:right w:val="nil"/>
          <w:between w:val="nil"/>
        </w:pBdr>
        <w:spacing w:after="160" w:line="259" w:lineRule="auto"/>
        <w:rPr>
          <w:color w:val="000000"/>
          <w:sz w:val="24"/>
          <w:szCs w:val="24"/>
        </w:rPr>
      </w:pPr>
      <w:r>
        <w:rPr>
          <w:color w:val="000000"/>
          <w:sz w:val="24"/>
          <w:szCs w:val="24"/>
        </w:rPr>
        <w:t>Expected effects on fishing capacity.</w:t>
      </w:r>
    </w:p>
    <w:p w:rsidR="00D67C05" w:rsidP="00F560BC">
      <w:pPr>
        <w:ind w:left="1080"/>
        <w:rPr>
          <w:sz w:val="24"/>
          <w:szCs w:val="24"/>
        </w:rPr>
      </w:pPr>
    </w:p>
    <w:p w:rsidR="00D67C05" w:rsidP="006E7151">
      <w:pPr>
        <w:rPr>
          <w:color w:val="000000"/>
          <w:sz w:val="24"/>
          <w:szCs w:val="24"/>
        </w:rPr>
      </w:pPr>
      <w:r>
        <w:rPr>
          <w:sz w:val="24"/>
          <w:szCs w:val="24"/>
        </w:rPr>
        <w:t xml:space="preserve">The guidelines state, “The proper comparison is with the action to without the action, rather than to before and after the action, since certain changes may occur even without action and should not be attributed to the regulation. “Economic data, including cost and earnings data, and the models and analyses they support are required for more than a very superficial attempt to analyze those types of effects and to provide those types of information for the proper comparison. This conclusion applies to both quantitative and qualitative analyses intended to meet the requirements of EO 12866 and the RFA. </w:t>
      </w:r>
    </w:p>
    <w:p w:rsidR="00D67C05" w:rsidP="00F560BC">
      <w:pPr>
        <w:ind w:left="1080"/>
        <w:rPr>
          <w:sz w:val="24"/>
          <w:szCs w:val="24"/>
        </w:rPr>
      </w:pPr>
    </w:p>
    <w:p w:rsidR="00D67C05" w:rsidP="00F560BC">
      <w:pPr>
        <w:pBdr>
          <w:top w:val="nil"/>
          <w:left w:val="nil"/>
          <w:bottom w:val="nil"/>
          <w:right w:val="nil"/>
          <w:between w:val="nil"/>
        </w:pBdr>
        <w:rPr>
          <w:b/>
          <w:color w:val="000000"/>
          <w:sz w:val="24"/>
          <w:szCs w:val="24"/>
          <w:u w:val="single"/>
        </w:rPr>
      </w:pPr>
      <w:bookmarkStart w:id="8" w:name="_3j2qqm3" w:colFirst="0" w:colLast="0"/>
      <w:bookmarkEnd w:id="8"/>
      <w:r>
        <w:rPr>
          <w:b/>
          <w:color w:val="000000"/>
          <w:sz w:val="24"/>
          <w:szCs w:val="24"/>
        </w:rPr>
        <w:t>7</w:t>
      </w:r>
      <w:r w:rsidR="00B3702B">
        <w:rPr>
          <w:b/>
          <w:color w:val="000000"/>
          <w:sz w:val="24"/>
          <w:szCs w:val="24"/>
        </w:rPr>
        <w:t xml:space="preserve">. </w:t>
      </w:r>
      <w:r w:rsidR="00B3702B">
        <w:rPr>
          <w:b/>
          <w:color w:val="000000"/>
          <w:sz w:val="24"/>
          <w:szCs w:val="24"/>
          <w:u w:val="single"/>
        </w:rPr>
        <w:t>National Bycatch Reduction Strategy</w:t>
      </w:r>
    </w:p>
    <w:p w:rsidR="00D67C05" w:rsidP="00F560BC">
      <w:pPr>
        <w:rPr>
          <w:sz w:val="24"/>
          <w:szCs w:val="24"/>
        </w:rPr>
      </w:pPr>
    </w:p>
    <w:p w:rsidR="00D67C05" w:rsidP="00F560BC">
      <w:pPr>
        <w:rPr>
          <w:sz w:val="24"/>
          <w:szCs w:val="24"/>
        </w:rPr>
      </w:pPr>
      <w:r>
        <w:rPr>
          <w:sz w:val="24"/>
          <w:szCs w:val="24"/>
        </w:rPr>
        <w:t>The National Bycatch Reduction Strategy includes various statements that demonstrate the importance of economic data, models and analyses for reducing bycatch and discard mortality effectively and efficiently. They include the following two selected research and development actions.</w:t>
      </w:r>
    </w:p>
    <w:p w:rsidR="00D67C05" w:rsidP="00F560BC">
      <w:pPr>
        <w:ind w:left="1080"/>
        <w:rPr>
          <w:sz w:val="24"/>
          <w:szCs w:val="24"/>
        </w:rPr>
      </w:pPr>
    </w:p>
    <w:p w:rsidR="00D67C05" w:rsidP="00F560BC">
      <w:pPr>
        <w:numPr>
          <w:ilvl w:val="0"/>
          <w:numId w:val="12"/>
        </w:numPr>
        <w:pBdr>
          <w:top w:val="nil"/>
          <w:left w:val="nil"/>
          <w:bottom w:val="nil"/>
          <w:right w:val="nil"/>
          <w:between w:val="nil"/>
        </w:pBdr>
        <w:ind w:left="1080"/>
        <w:rPr>
          <w:color w:val="000000"/>
          <w:sz w:val="24"/>
          <w:szCs w:val="24"/>
        </w:rPr>
      </w:pPr>
      <w:r>
        <w:rPr>
          <w:color w:val="000000"/>
          <w:sz w:val="24"/>
          <w:szCs w:val="24"/>
        </w:rPr>
        <w:t>Improve understanding of the economic and other social factors contributing to bycatch, and identify regulatory and market incentives that might increase utilization of economic discards.</w:t>
      </w:r>
    </w:p>
    <w:p w:rsidR="00D67C05" w:rsidP="00F560BC">
      <w:pPr>
        <w:ind w:left="1080"/>
        <w:rPr>
          <w:sz w:val="24"/>
          <w:szCs w:val="24"/>
        </w:rPr>
      </w:pPr>
    </w:p>
    <w:p w:rsidR="00D67C05" w:rsidP="00F560BC">
      <w:pPr>
        <w:numPr>
          <w:ilvl w:val="0"/>
          <w:numId w:val="12"/>
        </w:numPr>
        <w:pBdr>
          <w:top w:val="nil"/>
          <w:left w:val="nil"/>
          <w:bottom w:val="nil"/>
          <w:right w:val="nil"/>
          <w:between w:val="nil"/>
        </w:pBdr>
        <w:ind w:left="1080"/>
        <w:rPr>
          <w:color w:val="000000"/>
          <w:sz w:val="24"/>
          <w:szCs w:val="24"/>
        </w:rPr>
      </w:pPr>
      <w:r>
        <w:rPr>
          <w:color w:val="000000"/>
          <w:sz w:val="24"/>
          <w:szCs w:val="24"/>
        </w:rPr>
        <w:t>Assess how technology is developed and adopted in fisheries and how technological advances can affect bycatch reduction, including improvements in post-release mortality.</w:t>
      </w:r>
    </w:p>
    <w:p w:rsidR="00D67C05" w:rsidP="00F560BC">
      <w:pPr>
        <w:ind w:left="1080"/>
        <w:rPr>
          <w:sz w:val="24"/>
          <w:szCs w:val="24"/>
        </w:rPr>
      </w:pPr>
    </w:p>
    <w:p w:rsidR="00D67C05" w:rsidP="00F560BC">
      <w:pPr>
        <w:widowControl/>
        <w:spacing w:line="259" w:lineRule="auto"/>
        <w:rPr>
          <w:sz w:val="24"/>
          <w:szCs w:val="24"/>
        </w:rPr>
      </w:pPr>
      <w:r>
        <w:rPr>
          <w:sz w:val="24"/>
          <w:szCs w:val="24"/>
        </w:rPr>
        <w:t>They also include the following two selected conserve and manage actions.</w:t>
      </w:r>
    </w:p>
    <w:p w:rsidR="00D67C05" w:rsidP="00F560BC">
      <w:pPr>
        <w:ind w:left="1080"/>
        <w:rPr>
          <w:sz w:val="24"/>
          <w:szCs w:val="24"/>
        </w:rPr>
      </w:pPr>
    </w:p>
    <w:p w:rsidR="00D67C05" w:rsidP="00F560BC">
      <w:pPr>
        <w:numPr>
          <w:ilvl w:val="0"/>
          <w:numId w:val="5"/>
        </w:numPr>
        <w:pBdr>
          <w:top w:val="nil"/>
          <w:left w:val="nil"/>
          <w:bottom w:val="nil"/>
          <w:right w:val="nil"/>
          <w:between w:val="nil"/>
        </w:pBdr>
        <w:ind w:left="1080"/>
        <w:rPr>
          <w:color w:val="000000"/>
          <w:sz w:val="24"/>
          <w:szCs w:val="24"/>
        </w:rPr>
      </w:pPr>
      <w:r>
        <w:rPr>
          <w:color w:val="000000"/>
          <w:sz w:val="24"/>
          <w:szCs w:val="24"/>
        </w:rPr>
        <w:t>Analyze the effectiveness of incentive-based approaches to environmental management, (e.g., catch shares, risk pools, cooperatives, dynamic area management), and consider their application to bycatch reduction programs.</w:t>
      </w:r>
    </w:p>
    <w:p w:rsidR="00D67C05" w:rsidP="00F560BC">
      <w:pPr>
        <w:ind w:left="1080"/>
        <w:rPr>
          <w:sz w:val="24"/>
          <w:szCs w:val="24"/>
        </w:rPr>
      </w:pPr>
    </w:p>
    <w:p w:rsidR="00D67C05" w:rsidP="00F560BC">
      <w:pPr>
        <w:numPr>
          <w:ilvl w:val="0"/>
          <w:numId w:val="5"/>
        </w:numPr>
        <w:pBdr>
          <w:top w:val="nil"/>
          <w:left w:val="nil"/>
          <w:bottom w:val="nil"/>
          <w:right w:val="nil"/>
          <w:between w:val="nil"/>
        </w:pBdr>
        <w:ind w:left="1080"/>
        <w:rPr>
          <w:color w:val="000000"/>
          <w:sz w:val="24"/>
          <w:szCs w:val="24"/>
        </w:rPr>
      </w:pPr>
      <w:r>
        <w:rPr>
          <w:color w:val="000000"/>
          <w:sz w:val="24"/>
          <w:szCs w:val="24"/>
        </w:rPr>
        <w:t>Improve understanding of the socio-economic, and other environmental trade-offs of bycatch reduction to better inform stakeholders and to support management decisions and postregulation analyses.</w:t>
      </w:r>
    </w:p>
    <w:p w:rsidR="00D67C05" w:rsidP="00F560BC">
      <w:pPr>
        <w:ind w:left="1080"/>
        <w:rPr>
          <w:b/>
          <w:sz w:val="24"/>
          <w:szCs w:val="24"/>
        </w:rPr>
      </w:pPr>
    </w:p>
    <w:p w:rsidR="00D67C05" w:rsidP="00F560BC">
      <w:pPr>
        <w:rPr>
          <w:b/>
          <w:color w:val="000000"/>
          <w:sz w:val="24"/>
          <w:szCs w:val="24"/>
        </w:rPr>
      </w:pPr>
      <w:bookmarkStart w:id="9" w:name="_1y810tw" w:colFirst="0" w:colLast="0"/>
      <w:bookmarkEnd w:id="9"/>
    </w:p>
    <w:p w:rsidR="00D67C05" w:rsidP="00F560BC">
      <w:pPr>
        <w:pBdr>
          <w:top w:val="nil"/>
          <w:left w:val="nil"/>
          <w:bottom w:val="nil"/>
          <w:right w:val="nil"/>
          <w:between w:val="nil"/>
        </w:pBdr>
        <w:rPr>
          <w:b/>
          <w:color w:val="000000"/>
          <w:sz w:val="24"/>
          <w:szCs w:val="24"/>
          <w:u w:val="single"/>
        </w:rPr>
      </w:pPr>
      <w:bookmarkStart w:id="10" w:name="_30j0zll" w:colFirst="0" w:colLast="0"/>
      <w:bookmarkEnd w:id="10"/>
      <w:r>
        <w:rPr>
          <w:b/>
          <w:color w:val="000000"/>
          <w:sz w:val="24"/>
          <w:szCs w:val="24"/>
        </w:rPr>
        <w:t>8</w:t>
      </w:r>
      <w:r w:rsidR="00B3702B">
        <w:rPr>
          <w:b/>
          <w:color w:val="000000"/>
          <w:sz w:val="24"/>
          <w:szCs w:val="24"/>
        </w:rPr>
        <w:t xml:space="preserve">. </w:t>
      </w:r>
      <w:r w:rsidR="00B3702B">
        <w:rPr>
          <w:b/>
          <w:color w:val="000000"/>
          <w:sz w:val="24"/>
          <w:szCs w:val="24"/>
          <w:u w:val="single"/>
        </w:rPr>
        <w:t>NOAA’s Catch Share Policy</w:t>
      </w:r>
    </w:p>
    <w:p w:rsidR="00D67C05" w:rsidP="00F560BC">
      <w:pPr>
        <w:rPr>
          <w:b/>
          <w:sz w:val="24"/>
          <w:szCs w:val="24"/>
        </w:rPr>
      </w:pPr>
    </w:p>
    <w:p w:rsidR="00D67C05" w:rsidP="00F560BC">
      <w:pPr>
        <w:rPr>
          <w:sz w:val="24"/>
          <w:szCs w:val="24"/>
        </w:rPr>
      </w:pPr>
      <w:r>
        <w:rPr>
          <w:sz w:val="24"/>
          <w:szCs w:val="24"/>
        </w:rPr>
        <w:t xml:space="preserve">NOAA’s Catch Share Policy contains many guidance, requirements and commitment statements </w:t>
      </w:r>
      <w:r>
        <w:rPr>
          <w:sz w:val="24"/>
          <w:szCs w:val="24"/>
        </w:rPr>
        <w:t>that NOAA Fisheries cannot meet more than superficially without basic social and economic data and the models and analyses they support. Here are three examples.</w:t>
      </w:r>
    </w:p>
    <w:p w:rsidR="00D67C05" w:rsidP="00F560BC">
      <w:pPr>
        <w:widowControl/>
        <w:spacing w:line="259" w:lineRule="auto"/>
        <w:rPr>
          <w:sz w:val="24"/>
          <w:szCs w:val="24"/>
        </w:rPr>
      </w:pPr>
    </w:p>
    <w:p w:rsidR="00D67C05" w:rsidP="00F560BC">
      <w:pPr>
        <w:numPr>
          <w:ilvl w:val="0"/>
          <w:numId w:val="8"/>
        </w:numPr>
        <w:pBdr>
          <w:top w:val="nil"/>
          <w:left w:val="nil"/>
          <w:bottom w:val="nil"/>
          <w:right w:val="nil"/>
          <w:between w:val="nil"/>
        </w:pBdr>
        <w:rPr>
          <w:color w:val="000000"/>
          <w:sz w:val="24"/>
          <w:szCs w:val="24"/>
        </w:rPr>
      </w:pPr>
      <w:r>
        <w:rPr>
          <w:color w:val="000000"/>
          <w:sz w:val="24"/>
          <w:szCs w:val="24"/>
        </w:rPr>
        <w:t>Councils and NOAA must establish relevant performance measures. Performance metrics for some of the typical fishery goals may include … what were the impacts on fishing communities, participation and entry into the fishery; what happened to prices, revenues and profits.</w:t>
      </w:r>
    </w:p>
    <w:p w:rsidR="00D67C05" w:rsidP="00F560BC">
      <w:pPr>
        <w:ind w:left="720"/>
        <w:rPr>
          <w:sz w:val="24"/>
          <w:szCs w:val="24"/>
        </w:rPr>
      </w:pPr>
    </w:p>
    <w:p w:rsidR="00D67C05" w:rsidP="00F560BC">
      <w:pPr>
        <w:numPr>
          <w:ilvl w:val="0"/>
          <w:numId w:val="8"/>
        </w:numPr>
        <w:pBdr>
          <w:top w:val="nil"/>
          <w:left w:val="nil"/>
          <w:bottom w:val="nil"/>
          <w:right w:val="nil"/>
          <w:between w:val="nil"/>
        </w:pBdr>
        <w:rPr>
          <w:color w:val="000000"/>
          <w:sz w:val="24"/>
          <w:szCs w:val="24"/>
        </w:rPr>
      </w:pPr>
      <w:r>
        <w:rPr>
          <w:color w:val="000000"/>
          <w:sz w:val="24"/>
          <w:szCs w:val="24"/>
        </w:rPr>
        <w:t>Performance measures need to be linked back to the initial objectives in a FMP. Many current FMPs have general and sometimes vague objectives. Objectives for biological, economic and social outcomes should be readily measurable, such as … improving socio-economic conditions for fishery participants and/or fishery-dependent communities.</w:t>
      </w:r>
    </w:p>
    <w:p w:rsidR="00D67C05" w:rsidP="00F560BC">
      <w:pPr>
        <w:ind w:left="720"/>
        <w:rPr>
          <w:sz w:val="24"/>
          <w:szCs w:val="24"/>
        </w:rPr>
      </w:pPr>
    </w:p>
    <w:p w:rsidR="00D67C05" w:rsidRPr="00DF086E" w:rsidP="00DF086E">
      <w:pPr>
        <w:numPr>
          <w:ilvl w:val="0"/>
          <w:numId w:val="8"/>
        </w:numPr>
        <w:pBdr>
          <w:top w:val="nil"/>
          <w:left w:val="nil"/>
          <w:bottom w:val="nil"/>
          <w:right w:val="nil"/>
          <w:between w:val="nil"/>
        </w:pBdr>
        <w:rPr>
          <w:color w:val="000000"/>
          <w:sz w:val="24"/>
          <w:szCs w:val="24"/>
        </w:rPr>
      </w:pPr>
      <w:r>
        <w:rPr>
          <w:color w:val="000000"/>
          <w:sz w:val="24"/>
          <w:szCs w:val="24"/>
        </w:rPr>
        <w:t xml:space="preserve">Catch shares can result in fishery improvements in many areas but the metrics chosen to monitor performance should not be limited by the current availability of data. It is important to ensure in the catch share design stage that </w:t>
      </w:r>
      <w:r>
        <w:rPr>
          <w:sz w:val="24"/>
          <w:szCs w:val="24"/>
        </w:rPr>
        <w:t>shareholders</w:t>
      </w:r>
      <w:r>
        <w:rPr>
          <w:color w:val="000000"/>
          <w:sz w:val="24"/>
          <w:szCs w:val="24"/>
        </w:rPr>
        <w:t xml:space="preserve"> will supply relevant data to monitor program performance in return for their allocation. This includes obtaining more specific biological and economic performance data from the participants, all in accordance with applicable law governing maintenance of business trade secrets and confidentiality of data.</w:t>
      </w:r>
      <w:bookmarkStart w:id="11" w:name="_GoBack"/>
      <w:bookmarkEnd w:id="11"/>
      <w:r w:rsidRPr="00DF086E">
        <w:rPr>
          <w:b/>
          <w:sz w:val="24"/>
          <w:szCs w:val="24"/>
        </w:rPr>
        <w:t xml:space="preserve"> </w:t>
      </w:r>
    </w:p>
    <w:sectPr>
      <w:footerReference w:type="default" r:id="rId25"/>
      <w:pgSz w:w="12240" w:h="15840"/>
      <w:pgMar w:top="1440" w:right="1440" w:bottom="1440" w:left="1440" w:header="0" w:footer="515"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f4">
    <w:altName w:val="Cambria"/>
    <w:panose1 w:val="00000000000000000000"/>
    <w:charset w:val="00"/>
    <w:family w:val="roman"/>
    <w:notTrueType/>
    <w:pitch w:val="default"/>
  </w:font>
  <w:font w:name="Aveni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4F8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F4F87">
      <w:r>
        <w:separator/>
      </w:r>
    </w:p>
  </w:footnote>
  <w:footnote w:type="continuationSeparator" w:id="1">
    <w:p w:rsidR="006F4F87">
      <w:r>
        <w:continuationSeparator/>
      </w:r>
    </w:p>
  </w:footnote>
  <w:footnote w:id="2">
    <w:p w:rsidR="006F4F87">
      <w:pPr>
        <w:widowControl/>
        <w:spacing w:line="276" w:lineRule="auto"/>
        <w:rPr>
          <w:rFonts w:ascii="Avenir" w:eastAsia="Avenir" w:hAnsi="Avenir" w:cs="Avenir"/>
          <w:sz w:val="20"/>
          <w:szCs w:val="20"/>
        </w:rPr>
      </w:pPr>
      <w:r>
        <w:rPr>
          <w:vertAlign w:val="superscript"/>
        </w:rPr>
        <w:footnoteRef/>
      </w:r>
      <w:r>
        <w:rPr>
          <w:rFonts w:ascii="Avenir" w:eastAsia="Avenir" w:hAnsi="Avenir" w:cs="Avenir"/>
          <w:sz w:val="18"/>
          <w:szCs w:val="18"/>
        </w:rPr>
        <w:t xml:space="preserve"> </w:t>
      </w:r>
      <w:r>
        <w:rPr>
          <w:rFonts w:ascii="Avenir" w:eastAsia="Avenir" w:hAnsi="Avenir" w:cs="Avenir"/>
          <w:sz w:val="20"/>
          <w:szCs w:val="20"/>
        </w:rPr>
        <w:t xml:space="preserve">Known informally as NOAA Fisheries, the official name of the agency in legislation and regulations is the National Marine Fisheries Service (NMFS). </w:t>
      </w:r>
    </w:p>
  </w:footnote>
  <w:footnote w:id="3">
    <w:p w:rsidR="006F4F87">
      <w:pPr>
        <w:widowControl/>
        <w:spacing w:line="276" w:lineRule="auto"/>
        <w:rPr>
          <w:sz w:val="20"/>
          <w:szCs w:val="20"/>
        </w:rPr>
      </w:pPr>
      <w:r>
        <w:rPr>
          <w:vertAlign w:val="superscript"/>
        </w:rPr>
        <w:footnoteRef/>
      </w:r>
      <w:r>
        <w:rPr>
          <w:sz w:val="20"/>
          <w:szCs w:val="20"/>
        </w:rPr>
        <w:t xml:space="preserve"> MSA defines “conservation and management” as “all of the rules, regulations, conditions, methods, and other measures (A) which are required to rebuild, restore, or maintain, and which are useful in rebuilding, restoring, or maintaining, any fishery resource and the marine environment; and (B) which are designed to assure that— (i) a supply of food and other products may be taken, and that recreational benefits may be obtained, on a continuing basis; (ii) irreversible or long-term adverse effects on fishery resources and the marine environment are avoided; and (iii) there will be a multiplicity of options available with respect to future uses of these resources.” 16 U.S.C. § 1802(5).</w:t>
      </w:r>
    </w:p>
  </w:footnote>
  <w:footnote w:id="4">
    <w:p w:rsidR="006F4F87">
      <w:pPr>
        <w:widowControl/>
        <w:rPr>
          <w:sz w:val="20"/>
          <w:szCs w:val="20"/>
        </w:rPr>
      </w:pPr>
      <w:r>
        <w:rPr>
          <w:vertAlign w:val="superscript"/>
        </w:rPr>
        <w:footnoteRef/>
      </w:r>
      <w:r>
        <w:rPr>
          <w:sz w:val="20"/>
          <w:szCs w:val="20"/>
        </w:rPr>
        <w:t xml:space="preserve"> </w:t>
      </w:r>
      <w:r>
        <w:rPr>
          <w:color w:val="333333"/>
          <w:sz w:val="20"/>
          <w:szCs w:val="20"/>
          <w:highlight w:val="white"/>
        </w:rPr>
        <w:t>Limited access system (LAS) means “a system that limits participation in a fishery to those satisfying certain eligibility criteria or requirements contained in a fishery management plan or associated regulation.” 16 U.S.C. § 1802(27).</w:t>
      </w:r>
    </w:p>
  </w:footnote>
  <w:footnote w:id="5">
    <w:p w:rsidR="006F4F87">
      <w:pPr>
        <w:widowControl/>
        <w:rPr>
          <w:sz w:val="20"/>
          <w:szCs w:val="20"/>
        </w:rPr>
      </w:pPr>
      <w:r>
        <w:rPr>
          <w:vertAlign w:val="superscript"/>
        </w:rPr>
        <w:footnoteRef/>
      </w:r>
      <w:r>
        <w:rPr>
          <w:sz w:val="20"/>
          <w:szCs w:val="20"/>
        </w:rPr>
        <w:t xml:space="preserve"> </w:t>
      </w:r>
      <w:r>
        <w:rPr>
          <w:i/>
          <w:sz w:val="20"/>
          <w:szCs w:val="20"/>
        </w:rPr>
        <w:t xml:space="preserve">See </w:t>
      </w:r>
      <w:r>
        <w:rPr>
          <w:sz w:val="20"/>
          <w:szCs w:val="20"/>
        </w:rPr>
        <w:t>National Standard 8 explanation above for text of “fishing community” definition from 16 U.S.C. § 1802(17). Voluntary “r</w:t>
      </w:r>
      <w:r>
        <w:rPr>
          <w:sz w:val="20"/>
          <w:szCs w:val="20"/>
          <w:highlight w:val="white"/>
        </w:rPr>
        <w:t xml:space="preserve">egional fishery associations” may also be eligible to participate in LAPPs if they meet eligibility criteria, including criteria developed by the relevant Council that are approved by NMFS. </w:t>
      </w:r>
      <w:r>
        <w:rPr>
          <w:i/>
          <w:sz w:val="20"/>
          <w:szCs w:val="20"/>
          <w:highlight w:val="white"/>
        </w:rPr>
        <w:t>See id.</w:t>
      </w:r>
      <w:r>
        <w:rPr>
          <w:sz w:val="20"/>
          <w:szCs w:val="20"/>
          <w:highlight w:val="white"/>
        </w:rPr>
        <w:t xml:space="preserve"> </w:t>
      </w:r>
      <w:r>
        <w:rPr>
          <w:sz w:val="20"/>
          <w:szCs w:val="20"/>
        </w:rPr>
        <w:t>§ 1853a(c)(4).</w:t>
      </w:r>
    </w:p>
  </w:footnote>
  <w:footnote w:id="6">
    <w:p w:rsidR="006F4F87">
      <w:pPr>
        <w:widowControl/>
        <w:spacing w:line="276" w:lineRule="auto"/>
        <w:rPr>
          <w:sz w:val="20"/>
          <w:szCs w:val="20"/>
        </w:rPr>
      </w:pPr>
      <w:r>
        <w:rPr>
          <w:vertAlign w:val="superscript"/>
        </w:rPr>
        <w:footnoteRef/>
      </w:r>
      <w:r>
        <w:rPr>
          <w:sz w:val="18"/>
          <w:szCs w:val="18"/>
        </w:rPr>
        <w:t xml:space="preserve"> </w:t>
      </w:r>
      <w:r>
        <w:rPr>
          <w:sz w:val="20"/>
          <w:szCs w:val="20"/>
        </w:rPr>
        <w:t xml:space="preserve">Catch Share Policy at 18. The MSA also provides that “[e]ach Council shall establish…a scientific and statistical committee [SSC] to assist it in the development, collection, evaluation, and peer review of such statistical, biological, economic, social, and other scientific information as is relevant to such Council's development and amendment of any fishery management plan.” </w:t>
      </w:r>
      <w:r>
        <w:rPr>
          <w:i/>
          <w:sz w:val="20"/>
          <w:szCs w:val="20"/>
        </w:rPr>
        <w:t>Id</w:t>
      </w:r>
      <w:r>
        <w:rPr>
          <w:sz w:val="20"/>
          <w:szCs w:val="20"/>
        </w:rPr>
        <w:t xml:space="preserve">. § 1852(g)(1)(A). Each SSC “shall provide its Council ongoing scientific advice for fishery management decisions, including … reports on… social and economic impacts of management measures…” </w:t>
      </w:r>
      <w:r>
        <w:rPr>
          <w:i/>
          <w:sz w:val="20"/>
          <w:szCs w:val="20"/>
        </w:rPr>
        <w:t>Id</w:t>
      </w:r>
      <w:r>
        <w:rPr>
          <w:sz w:val="20"/>
          <w:szCs w:val="20"/>
        </w:rPr>
        <w:t>. § 1852(g)(1)(B).</w:t>
      </w:r>
    </w:p>
  </w:footnote>
  <w:footnote w:id="7">
    <w:p w:rsidR="006F4F8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See “Guidelines for Economic Reviews of National Marine Fisheries Service Regulatory Actions” (NMFS, 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33917"/>
    <w:multiLevelType w:val="multilevel"/>
    <w:tmpl w:val="E5B4E5E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40E4C2F"/>
    <w:multiLevelType w:val="multilevel"/>
    <w:tmpl w:val="E73EEA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06F62C73"/>
    <w:multiLevelType w:val="hybridMultilevel"/>
    <w:tmpl w:val="DD8E46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3A5D41"/>
    <w:multiLevelType w:val="multilevel"/>
    <w:tmpl w:val="9D5A1406"/>
    <w:lvl w:ilvl="0">
      <w:start w:val="7"/>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29EE4609"/>
    <w:multiLevelType w:val="multilevel"/>
    <w:tmpl w:val="3AB48BD2"/>
    <w:lvl w:ilvl="0">
      <w:start w:val="1"/>
      <w:numFmt w:val="bullet"/>
      <w:lvlText w:val="●"/>
      <w:lvlJc w:val="left"/>
      <w:pPr>
        <w:ind w:left="1480" w:hanging="360"/>
      </w:pPr>
      <w:rPr>
        <w:rFonts w:ascii="Noto Sans Symbols" w:eastAsia="Noto Sans Symbols" w:hAnsi="Noto Sans Symbols" w:cs="Noto Sans Symbols"/>
      </w:rPr>
    </w:lvl>
    <w:lvl w:ilvl="1">
      <w:start w:val="1"/>
      <w:numFmt w:val="bullet"/>
      <w:lvlText w:val="●"/>
      <w:lvlJc w:val="left"/>
      <w:pPr>
        <w:ind w:left="1840" w:hanging="360"/>
      </w:pPr>
      <w:rPr>
        <w:rFonts w:ascii="Noto Sans Symbols" w:eastAsia="Noto Sans Symbols" w:hAnsi="Noto Sans Symbols" w:cs="Noto Sans Symbols"/>
        <w:color w:val="2F5496"/>
        <w:sz w:val="20"/>
        <w:szCs w:val="20"/>
      </w:rPr>
    </w:lvl>
    <w:lvl w:ilvl="2">
      <w:start w:val="1"/>
      <w:numFmt w:val="bullet"/>
      <w:lvlText w:val="•"/>
      <w:lvlJc w:val="left"/>
      <w:pPr>
        <w:ind w:left="2993" w:hanging="360"/>
      </w:pPr>
    </w:lvl>
    <w:lvl w:ilvl="3">
      <w:start w:val="1"/>
      <w:numFmt w:val="bullet"/>
      <w:lvlText w:val="•"/>
      <w:lvlJc w:val="left"/>
      <w:pPr>
        <w:ind w:left="4146" w:hanging="360"/>
      </w:pPr>
    </w:lvl>
    <w:lvl w:ilvl="4">
      <w:start w:val="1"/>
      <w:numFmt w:val="bullet"/>
      <w:lvlText w:val="•"/>
      <w:lvlJc w:val="left"/>
      <w:pPr>
        <w:ind w:left="5300" w:hanging="360"/>
      </w:pPr>
    </w:lvl>
    <w:lvl w:ilvl="5">
      <w:start w:val="1"/>
      <w:numFmt w:val="bullet"/>
      <w:lvlText w:val="•"/>
      <w:lvlJc w:val="left"/>
      <w:pPr>
        <w:ind w:left="6453" w:hanging="360"/>
      </w:pPr>
    </w:lvl>
    <w:lvl w:ilvl="6">
      <w:start w:val="1"/>
      <w:numFmt w:val="bullet"/>
      <w:lvlText w:val="•"/>
      <w:lvlJc w:val="left"/>
      <w:pPr>
        <w:ind w:left="7606" w:hanging="360"/>
      </w:pPr>
    </w:lvl>
    <w:lvl w:ilvl="7">
      <w:start w:val="1"/>
      <w:numFmt w:val="bullet"/>
      <w:lvlText w:val="•"/>
      <w:lvlJc w:val="left"/>
      <w:pPr>
        <w:ind w:left="8760" w:hanging="360"/>
      </w:pPr>
    </w:lvl>
    <w:lvl w:ilvl="8">
      <w:start w:val="1"/>
      <w:numFmt w:val="bullet"/>
      <w:lvlText w:val="•"/>
      <w:lvlJc w:val="left"/>
      <w:pPr>
        <w:ind w:left="9913" w:hanging="360"/>
      </w:pPr>
    </w:lvl>
  </w:abstractNum>
  <w:abstractNum w:abstractNumId="5">
    <w:nsid w:val="305732E6"/>
    <w:multiLevelType w:val="multilevel"/>
    <w:tmpl w:val="B6C6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1314CD"/>
    <w:multiLevelType w:val="multilevel"/>
    <w:tmpl w:val="3BC2D7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5FD60FB"/>
    <w:multiLevelType w:val="multilevel"/>
    <w:tmpl w:val="94C23E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42B56444"/>
    <w:multiLevelType w:val="multilevel"/>
    <w:tmpl w:val="91BAFF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415167F"/>
    <w:multiLevelType w:val="multilevel"/>
    <w:tmpl w:val="7AA21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B503D6"/>
    <w:multiLevelType w:val="multilevel"/>
    <w:tmpl w:val="A7A2754A"/>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47067B15"/>
    <w:multiLevelType w:val="hybridMultilevel"/>
    <w:tmpl w:val="635C212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7B70C9D"/>
    <w:multiLevelType w:val="hybridMultilevel"/>
    <w:tmpl w:val="43CEB30E"/>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8EF4D32"/>
    <w:multiLevelType w:val="multilevel"/>
    <w:tmpl w:val="9E92B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98E1073"/>
    <w:multiLevelType w:val="multilevel"/>
    <w:tmpl w:val="9F1471BC"/>
    <w:lvl w:ilvl="0">
      <w:start w:val="8"/>
      <w:numFmt w:val="decimal"/>
      <w:lvlText w:val="%1."/>
      <w:lvlJc w:val="left"/>
      <w:pPr>
        <w:ind w:left="360" w:hanging="360"/>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9D10878"/>
    <w:multiLevelType w:val="hybridMultilevel"/>
    <w:tmpl w:val="367CBD4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A7F2299"/>
    <w:multiLevelType w:val="multilevel"/>
    <w:tmpl w:val="266C7908"/>
    <w:lvl w:ilvl="0">
      <w:start w:val="1"/>
      <w:numFmt w:val="decimal"/>
      <w:lvlText w:val="%1."/>
      <w:lvlJc w:val="left"/>
      <w:pPr>
        <w:ind w:left="360" w:hanging="360"/>
      </w:pPr>
      <w:rPr>
        <w:rFonts w:ascii="Times New Roman" w:eastAsia="Times New Roman" w:hAnsi="Times New Roman" w:cs="Times New Roman"/>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A8E6BAC"/>
    <w:multiLevelType w:val="multilevel"/>
    <w:tmpl w:val="DDD23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745F79"/>
    <w:multiLevelType w:val="multilevel"/>
    <w:tmpl w:val="ECE8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C86AF6"/>
    <w:multiLevelType w:val="multilevel"/>
    <w:tmpl w:val="62F0F8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4477109"/>
    <w:multiLevelType w:val="multilevel"/>
    <w:tmpl w:val="68A02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44A69F8"/>
    <w:multiLevelType w:val="multilevel"/>
    <w:tmpl w:val="3ED4C2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58335403"/>
    <w:multiLevelType w:val="multilevel"/>
    <w:tmpl w:val="97B8F0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9915D37"/>
    <w:multiLevelType w:val="multilevel"/>
    <w:tmpl w:val="8700A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652163B1"/>
    <w:multiLevelType w:val="multilevel"/>
    <w:tmpl w:val="7AFC77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85314E3"/>
    <w:multiLevelType w:val="multilevel"/>
    <w:tmpl w:val="199483F6"/>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6D1D3080"/>
    <w:multiLevelType w:val="multilevel"/>
    <w:tmpl w:val="9558C3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71017B5F"/>
    <w:multiLevelType w:val="multilevel"/>
    <w:tmpl w:val="A10CD0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75B27F37"/>
    <w:multiLevelType w:val="multilevel"/>
    <w:tmpl w:val="4FF83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CA34A1F"/>
    <w:multiLevelType w:val="multilevel"/>
    <w:tmpl w:val="9984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9018CA"/>
    <w:multiLevelType w:val="multilevel"/>
    <w:tmpl w:val="6F2EA6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20"/>
  </w:num>
  <w:num w:numId="3">
    <w:abstractNumId w:val="26"/>
  </w:num>
  <w:num w:numId="4">
    <w:abstractNumId w:val="21"/>
  </w:num>
  <w:num w:numId="5">
    <w:abstractNumId w:val="19"/>
  </w:num>
  <w:num w:numId="6">
    <w:abstractNumId w:val="22"/>
  </w:num>
  <w:num w:numId="7">
    <w:abstractNumId w:val="6"/>
  </w:num>
  <w:num w:numId="8">
    <w:abstractNumId w:val="30"/>
  </w:num>
  <w:num w:numId="9">
    <w:abstractNumId w:val="4"/>
  </w:num>
  <w:num w:numId="10">
    <w:abstractNumId w:val="10"/>
  </w:num>
  <w:num w:numId="11">
    <w:abstractNumId w:val="3"/>
  </w:num>
  <w:num w:numId="12">
    <w:abstractNumId w:val="8"/>
  </w:num>
  <w:num w:numId="13">
    <w:abstractNumId w:val="27"/>
  </w:num>
  <w:num w:numId="14">
    <w:abstractNumId w:val="7"/>
  </w:num>
  <w:num w:numId="15">
    <w:abstractNumId w:val="16"/>
  </w:num>
  <w:num w:numId="16">
    <w:abstractNumId w:val="14"/>
  </w:num>
  <w:num w:numId="17">
    <w:abstractNumId w:val="24"/>
  </w:num>
  <w:num w:numId="18">
    <w:abstractNumId w:val="25"/>
  </w:num>
  <w:num w:numId="19">
    <w:abstractNumId w:val="0"/>
  </w:num>
  <w:num w:numId="20">
    <w:abstractNumId w:val="13"/>
  </w:num>
  <w:num w:numId="21">
    <w:abstractNumId w:val="1"/>
  </w:num>
  <w:num w:numId="22">
    <w:abstractNumId w:val="9"/>
  </w:num>
  <w:num w:numId="23">
    <w:abstractNumId w:val="11"/>
  </w:num>
  <w:num w:numId="24">
    <w:abstractNumId w:val="28"/>
  </w:num>
  <w:num w:numId="25">
    <w:abstractNumId w:val="2"/>
  </w:num>
  <w:num w:numId="26">
    <w:abstractNumId w:val="12"/>
  </w:num>
  <w:num w:numId="27">
    <w:abstractNumId w:val="17"/>
  </w:num>
  <w:num w:numId="28">
    <w:abstractNumId w:val="5"/>
  </w:num>
  <w:num w:numId="29">
    <w:abstractNumId w:val="29"/>
  </w:num>
  <w:num w:numId="30">
    <w:abstractNumId w:val="18"/>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C05"/>
    <w:rsid w:val="000050DC"/>
    <w:rsid w:val="0001136B"/>
    <w:rsid w:val="00015EED"/>
    <w:rsid w:val="000208A2"/>
    <w:rsid w:val="00041486"/>
    <w:rsid w:val="00065039"/>
    <w:rsid w:val="00073876"/>
    <w:rsid w:val="0007554F"/>
    <w:rsid w:val="000855E0"/>
    <w:rsid w:val="000879B7"/>
    <w:rsid w:val="00092EB7"/>
    <w:rsid w:val="00095458"/>
    <w:rsid w:val="000A0547"/>
    <w:rsid w:val="000B0039"/>
    <w:rsid w:val="000C4969"/>
    <w:rsid w:val="000D7056"/>
    <w:rsid w:val="000E226A"/>
    <w:rsid w:val="000F7536"/>
    <w:rsid w:val="00104CC8"/>
    <w:rsid w:val="00117D88"/>
    <w:rsid w:val="00130052"/>
    <w:rsid w:val="0013151C"/>
    <w:rsid w:val="00136A82"/>
    <w:rsid w:val="001429CD"/>
    <w:rsid w:val="00174DE5"/>
    <w:rsid w:val="001B0EA8"/>
    <w:rsid w:val="001B6214"/>
    <w:rsid w:val="001B7E01"/>
    <w:rsid w:val="001E4BDB"/>
    <w:rsid w:val="001F12E8"/>
    <w:rsid w:val="001F164E"/>
    <w:rsid w:val="001F1B81"/>
    <w:rsid w:val="001F71FA"/>
    <w:rsid w:val="0020373C"/>
    <w:rsid w:val="0020389A"/>
    <w:rsid w:val="00203D0D"/>
    <w:rsid w:val="002226A7"/>
    <w:rsid w:val="00240A24"/>
    <w:rsid w:val="00241CC3"/>
    <w:rsid w:val="00270386"/>
    <w:rsid w:val="00273613"/>
    <w:rsid w:val="00274AE5"/>
    <w:rsid w:val="002903C4"/>
    <w:rsid w:val="00294148"/>
    <w:rsid w:val="00295314"/>
    <w:rsid w:val="00295FFD"/>
    <w:rsid w:val="002B2923"/>
    <w:rsid w:val="002C4DFD"/>
    <w:rsid w:val="002D19E8"/>
    <w:rsid w:val="002F6142"/>
    <w:rsid w:val="00351031"/>
    <w:rsid w:val="003515BF"/>
    <w:rsid w:val="00363242"/>
    <w:rsid w:val="003677E9"/>
    <w:rsid w:val="00390258"/>
    <w:rsid w:val="00394620"/>
    <w:rsid w:val="003A2DAC"/>
    <w:rsid w:val="003A3768"/>
    <w:rsid w:val="003B3FF9"/>
    <w:rsid w:val="003C2626"/>
    <w:rsid w:val="003D451A"/>
    <w:rsid w:val="003E6C51"/>
    <w:rsid w:val="00416FA1"/>
    <w:rsid w:val="0042467E"/>
    <w:rsid w:val="004347DF"/>
    <w:rsid w:val="0045555A"/>
    <w:rsid w:val="00472E3B"/>
    <w:rsid w:val="004A7E16"/>
    <w:rsid w:val="004C7106"/>
    <w:rsid w:val="004D1484"/>
    <w:rsid w:val="004D55B2"/>
    <w:rsid w:val="004D73EB"/>
    <w:rsid w:val="00510744"/>
    <w:rsid w:val="00517398"/>
    <w:rsid w:val="00520912"/>
    <w:rsid w:val="00530E49"/>
    <w:rsid w:val="00535322"/>
    <w:rsid w:val="005369DC"/>
    <w:rsid w:val="00536C0D"/>
    <w:rsid w:val="005402EF"/>
    <w:rsid w:val="00550EF1"/>
    <w:rsid w:val="00557918"/>
    <w:rsid w:val="00565379"/>
    <w:rsid w:val="00573C4B"/>
    <w:rsid w:val="00574DA5"/>
    <w:rsid w:val="00585F78"/>
    <w:rsid w:val="00597020"/>
    <w:rsid w:val="005A2FC1"/>
    <w:rsid w:val="005D6A68"/>
    <w:rsid w:val="005F2B20"/>
    <w:rsid w:val="005F4083"/>
    <w:rsid w:val="006070D4"/>
    <w:rsid w:val="00616A3C"/>
    <w:rsid w:val="00644F02"/>
    <w:rsid w:val="00654B9D"/>
    <w:rsid w:val="00656250"/>
    <w:rsid w:val="006570FD"/>
    <w:rsid w:val="00684770"/>
    <w:rsid w:val="0069771A"/>
    <w:rsid w:val="006A0D45"/>
    <w:rsid w:val="006B394E"/>
    <w:rsid w:val="006C2CA5"/>
    <w:rsid w:val="006C77E7"/>
    <w:rsid w:val="006D0402"/>
    <w:rsid w:val="006D19C0"/>
    <w:rsid w:val="006D2D2F"/>
    <w:rsid w:val="006D4664"/>
    <w:rsid w:val="006D690A"/>
    <w:rsid w:val="006E2291"/>
    <w:rsid w:val="006E7151"/>
    <w:rsid w:val="006F4F87"/>
    <w:rsid w:val="007321FE"/>
    <w:rsid w:val="007363CE"/>
    <w:rsid w:val="0074630B"/>
    <w:rsid w:val="007502E3"/>
    <w:rsid w:val="00750A4C"/>
    <w:rsid w:val="00763AC6"/>
    <w:rsid w:val="007654DD"/>
    <w:rsid w:val="00776BA6"/>
    <w:rsid w:val="00777BF4"/>
    <w:rsid w:val="0078152B"/>
    <w:rsid w:val="00792F26"/>
    <w:rsid w:val="00793BD3"/>
    <w:rsid w:val="007E0A02"/>
    <w:rsid w:val="007E324A"/>
    <w:rsid w:val="007E52BC"/>
    <w:rsid w:val="007E671E"/>
    <w:rsid w:val="007E7720"/>
    <w:rsid w:val="007F1D88"/>
    <w:rsid w:val="00803E65"/>
    <w:rsid w:val="00810A02"/>
    <w:rsid w:val="008304F9"/>
    <w:rsid w:val="00847376"/>
    <w:rsid w:val="00854EB0"/>
    <w:rsid w:val="0086601D"/>
    <w:rsid w:val="008748B3"/>
    <w:rsid w:val="00875E24"/>
    <w:rsid w:val="00876970"/>
    <w:rsid w:val="00883473"/>
    <w:rsid w:val="008A1E1C"/>
    <w:rsid w:val="008B11D5"/>
    <w:rsid w:val="008C7166"/>
    <w:rsid w:val="00903DAB"/>
    <w:rsid w:val="00913BE4"/>
    <w:rsid w:val="00914711"/>
    <w:rsid w:val="009362CB"/>
    <w:rsid w:val="00936EC6"/>
    <w:rsid w:val="0094746E"/>
    <w:rsid w:val="00976659"/>
    <w:rsid w:val="00981109"/>
    <w:rsid w:val="00993CF8"/>
    <w:rsid w:val="009A066D"/>
    <w:rsid w:val="009C11F7"/>
    <w:rsid w:val="009C4F15"/>
    <w:rsid w:val="009D5C4C"/>
    <w:rsid w:val="009D6C43"/>
    <w:rsid w:val="009D7FC0"/>
    <w:rsid w:val="009F153E"/>
    <w:rsid w:val="009F7D33"/>
    <w:rsid w:val="00A018C5"/>
    <w:rsid w:val="00A01CF7"/>
    <w:rsid w:val="00A21CC3"/>
    <w:rsid w:val="00A54983"/>
    <w:rsid w:val="00A84C84"/>
    <w:rsid w:val="00A96458"/>
    <w:rsid w:val="00AA4CC3"/>
    <w:rsid w:val="00AB6FD0"/>
    <w:rsid w:val="00AC4B52"/>
    <w:rsid w:val="00AD4708"/>
    <w:rsid w:val="00AE125C"/>
    <w:rsid w:val="00AF4963"/>
    <w:rsid w:val="00AF5FDC"/>
    <w:rsid w:val="00B00921"/>
    <w:rsid w:val="00B024D2"/>
    <w:rsid w:val="00B061B3"/>
    <w:rsid w:val="00B155A6"/>
    <w:rsid w:val="00B25B71"/>
    <w:rsid w:val="00B3702B"/>
    <w:rsid w:val="00B40C5F"/>
    <w:rsid w:val="00B95704"/>
    <w:rsid w:val="00B96DA7"/>
    <w:rsid w:val="00BA1ACE"/>
    <w:rsid w:val="00BC66F1"/>
    <w:rsid w:val="00BD08D0"/>
    <w:rsid w:val="00BD370C"/>
    <w:rsid w:val="00BE1F0B"/>
    <w:rsid w:val="00BF1B36"/>
    <w:rsid w:val="00BF28AA"/>
    <w:rsid w:val="00C04C75"/>
    <w:rsid w:val="00C173F6"/>
    <w:rsid w:val="00C3569A"/>
    <w:rsid w:val="00C40B3C"/>
    <w:rsid w:val="00C41FC1"/>
    <w:rsid w:val="00C47623"/>
    <w:rsid w:val="00C675E6"/>
    <w:rsid w:val="00C72F53"/>
    <w:rsid w:val="00C86A07"/>
    <w:rsid w:val="00CA01DE"/>
    <w:rsid w:val="00CB58C1"/>
    <w:rsid w:val="00CC0C17"/>
    <w:rsid w:val="00CC198E"/>
    <w:rsid w:val="00CD42EB"/>
    <w:rsid w:val="00CD6258"/>
    <w:rsid w:val="00CD6B70"/>
    <w:rsid w:val="00CE2440"/>
    <w:rsid w:val="00D02F58"/>
    <w:rsid w:val="00D07AFB"/>
    <w:rsid w:val="00D10EC0"/>
    <w:rsid w:val="00D16277"/>
    <w:rsid w:val="00D26FDD"/>
    <w:rsid w:val="00D356B3"/>
    <w:rsid w:val="00D41898"/>
    <w:rsid w:val="00D41E6F"/>
    <w:rsid w:val="00D471D4"/>
    <w:rsid w:val="00D67C05"/>
    <w:rsid w:val="00D747B9"/>
    <w:rsid w:val="00D76F21"/>
    <w:rsid w:val="00D859B1"/>
    <w:rsid w:val="00D93A1A"/>
    <w:rsid w:val="00D96008"/>
    <w:rsid w:val="00D9625E"/>
    <w:rsid w:val="00D96AD9"/>
    <w:rsid w:val="00D97BEC"/>
    <w:rsid w:val="00DA5EE3"/>
    <w:rsid w:val="00DB75DD"/>
    <w:rsid w:val="00DC3CE8"/>
    <w:rsid w:val="00DF086E"/>
    <w:rsid w:val="00E012BB"/>
    <w:rsid w:val="00E10B38"/>
    <w:rsid w:val="00E35102"/>
    <w:rsid w:val="00E452BC"/>
    <w:rsid w:val="00E62262"/>
    <w:rsid w:val="00E647ED"/>
    <w:rsid w:val="00E91B68"/>
    <w:rsid w:val="00E95784"/>
    <w:rsid w:val="00EA2BCB"/>
    <w:rsid w:val="00EB00A1"/>
    <w:rsid w:val="00EB1440"/>
    <w:rsid w:val="00EB3D76"/>
    <w:rsid w:val="00EB4006"/>
    <w:rsid w:val="00EC770E"/>
    <w:rsid w:val="00EE214A"/>
    <w:rsid w:val="00EE3DBA"/>
    <w:rsid w:val="00EF5D9D"/>
    <w:rsid w:val="00EF79F9"/>
    <w:rsid w:val="00F04540"/>
    <w:rsid w:val="00F22BA4"/>
    <w:rsid w:val="00F54E6C"/>
    <w:rsid w:val="00F560BC"/>
    <w:rsid w:val="00F76B06"/>
    <w:rsid w:val="00F83830"/>
    <w:rsid w:val="00F86DAD"/>
    <w:rsid w:val="00F949B3"/>
    <w:rsid w:val="00FC0DDC"/>
    <w:rsid w:val="00FC669E"/>
    <w:rsid w:val="00FD46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958931"/>
  <w15:docId w15:val="{7A783C6F-890B-4975-8232-DDC2ACA0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ind w:left="1080"/>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left w:w="0" w:type="dxa"/>
        <w:right w:w="0"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table" w:customStyle="1" w:styleId="a6">
    <w:name w:val="a6"/>
    <w:basedOn w:val="TableNormal"/>
    <w:tblPr>
      <w:tblStyleRowBandSize w:val="1"/>
      <w:tblStyleColBandSize w:val="1"/>
      <w:tblCellMar>
        <w:top w:w="100" w:type="dxa"/>
        <w:left w:w="100" w:type="dxa"/>
        <w:bottom w:w="100" w:type="dxa"/>
        <w:right w:w="100" w:type="dxa"/>
      </w:tblCellMar>
    </w:tblPr>
  </w:style>
  <w:style w:type="table" w:customStyle="1" w:styleId="a7">
    <w:name w:val="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50A4C"/>
    <w:pPr>
      <w:tabs>
        <w:tab w:val="center" w:pos="4680"/>
        <w:tab w:val="right" w:pos="9360"/>
      </w:tabs>
    </w:pPr>
  </w:style>
  <w:style w:type="character" w:customStyle="1" w:styleId="HeaderChar">
    <w:name w:val="Header Char"/>
    <w:basedOn w:val="DefaultParagraphFont"/>
    <w:link w:val="Header"/>
    <w:uiPriority w:val="99"/>
    <w:rsid w:val="00750A4C"/>
  </w:style>
  <w:style w:type="paragraph" w:styleId="Footer">
    <w:name w:val="footer"/>
    <w:basedOn w:val="Normal"/>
    <w:link w:val="FooterChar"/>
    <w:uiPriority w:val="99"/>
    <w:unhideWhenUsed/>
    <w:rsid w:val="00750A4C"/>
    <w:pPr>
      <w:tabs>
        <w:tab w:val="center" w:pos="4680"/>
        <w:tab w:val="right" w:pos="9360"/>
      </w:tabs>
    </w:pPr>
  </w:style>
  <w:style w:type="character" w:customStyle="1" w:styleId="FooterChar">
    <w:name w:val="Footer Char"/>
    <w:basedOn w:val="DefaultParagraphFont"/>
    <w:link w:val="Footer"/>
    <w:uiPriority w:val="99"/>
    <w:rsid w:val="00750A4C"/>
  </w:style>
  <w:style w:type="character" w:styleId="Hyperlink">
    <w:name w:val="Hyperlink"/>
    <w:basedOn w:val="DefaultParagraphFont"/>
    <w:uiPriority w:val="99"/>
    <w:semiHidden/>
    <w:unhideWhenUsed/>
    <w:rsid w:val="009F153E"/>
    <w:rPr>
      <w:color w:val="0000FF"/>
      <w:u w:val="single"/>
    </w:rPr>
  </w:style>
  <w:style w:type="paragraph" w:styleId="NormalWeb">
    <w:name w:val="Normal (Web)"/>
    <w:basedOn w:val="Normal"/>
    <w:uiPriority w:val="99"/>
    <w:unhideWhenUsed/>
    <w:rsid w:val="00776BA6"/>
    <w:pPr>
      <w:widowControl/>
      <w:spacing w:before="100" w:beforeAutospacing="1" w:after="100" w:afterAutospacing="1"/>
    </w:pPr>
    <w:rPr>
      <w:sz w:val="24"/>
      <w:szCs w:val="24"/>
    </w:rPr>
  </w:style>
  <w:style w:type="paragraph" w:styleId="ListParagraph">
    <w:name w:val="List Paragraph"/>
    <w:basedOn w:val="Normal"/>
    <w:uiPriority w:val="34"/>
    <w:qFormat/>
    <w:rsid w:val="002C4DFD"/>
    <w:pPr>
      <w:ind w:left="720"/>
      <w:contextualSpacing/>
    </w:pPr>
  </w:style>
  <w:style w:type="paragraph" w:styleId="NoSpacing">
    <w:name w:val="No Spacing"/>
    <w:uiPriority w:val="1"/>
    <w:qFormat/>
    <w:rsid w:val="00517398"/>
  </w:style>
  <w:style w:type="character" w:styleId="Strong">
    <w:name w:val="Strong"/>
    <w:basedOn w:val="DefaultParagraphFont"/>
    <w:uiPriority w:val="22"/>
    <w:qFormat/>
    <w:rsid w:val="00DB75DD"/>
    <w:rPr>
      <w:b/>
      <w:bCs/>
    </w:rPr>
  </w:style>
  <w:style w:type="table" w:customStyle="1" w:styleId="a30">
    <w:name w:val="a3_0"/>
    <w:basedOn w:val="TableNormal"/>
    <w:rsid w:val="006070D4"/>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media.fisheries.noaa.gov/dam-migration/01-111-02.pdf" TargetMode="External" /><Relationship Id="rId11" Type="http://schemas.openxmlformats.org/officeDocument/2006/relationships/hyperlink" Target="https://media.fisheries.noaa.gov/dam-migration/01-111-05.pdf" TargetMode="External" /><Relationship Id="rId12" Type="http://schemas.openxmlformats.org/officeDocument/2006/relationships/hyperlink" Target="https://www.fisheries.noaa.gov/international/bycatch/national-bycatch-reduction-strategy" TargetMode="External" /><Relationship Id="rId13" Type="http://schemas.openxmlformats.org/officeDocument/2006/relationships/hyperlink" Target="https://media.fisheries.noaa.gov/dam-migration/01-121.pdf" TargetMode="External" /><Relationship Id="rId14" Type="http://schemas.openxmlformats.org/officeDocument/2006/relationships/hyperlink" Target="https://www.gsa.gov/reference/reports/information-quality-guidelines/section-515-federal-register-notice" TargetMode="External" /><Relationship Id="rId15" Type="http://schemas.openxmlformats.org/officeDocument/2006/relationships/hyperlink" Target="https://www.commerce.gov/sites/default/files/2024-01/CAPS_rpStandard_2024.pdf" TargetMode="External" /><Relationship Id="rId16" Type="http://schemas.openxmlformats.org/officeDocument/2006/relationships/hyperlink" Target="http://www.gpo.gov/fdsys/pkg/CFR-2014-title5-vol3/pdf/CFR-2014-title5-vol3-sec1320-9.pdf" TargetMode="External" /><Relationship Id="rId17" Type="http://schemas.openxmlformats.org/officeDocument/2006/relationships/hyperlink" Target="http://www.gpo.gov/fdsys/pkg/CFR-2014-title5-vol3/pdf/CFR-2014-title5-vol3-sec1320-8.pdf" TargetMode="External" /><Relationship Id="rId18" Type="http://schemas.openxmlformats.org/officeDocument/2006/relationships/hyperlink" Target="https://www.ecfr.gov/current/title-50/chapter-VI/part-600/subpart-D/section-600.310" TargetMode="External" /><Relationship Id="rId19" Type="http://schemas.openxmlformats.org/officeDocument/2006/relationships/hyperlink" Target="https://www.law.cornell.edu/definitions/index.php?width=840&amp;height=800&amp;iframe=true&amp;def_id=6ae332e694961b32f1fad9e26de33a87&amp;term_occur=999&amp;term_src=Title:50:Chapter:VI:Part:600:Subpart:D:600.315" TargetMode="External" /><Relationship Id="rId2" Type="http://schemas.openxmlformats.org/officeDocument/2006/relationships/settings" Target="settings.xml" /><Relationship Id="rId20" Type="http://schemas.openxmlformats.org/officeDocument/2006/relationships/hyperlink" Target="https://www.ecfr.gov/cgi-bin/retrieveECFR?gp=&amp;SID=6b0acea089174af8594db02314f26914&amp;mc=true&amp;r=SECTION&amp;n=se50.12.600_1325" TargetMode="External" /><Relationship Id="rId21" Type="http://schemas.openxmlformats.org/officeDocument/2006/relationships/hyperlink" Target="https://media.fisheries.noaa.gov/dam-migration/01-119-01.pdf" TargetMode="External" /><Relationship Id="rId22" Type="http://schemas.openxmlformats.org/officeDocument/2006/relationships/hyperlink" Target="https://www.ecfr.gov/cgi-bin/retrieveECFR?gp=&amp;SID=6b0acea089174af8594db02314f26914&amp;mc=true&amp;r=SECTION&amp;n=se50.12.600_1345" TargetMode="External" /><Relationship Id="rId23" Type="http://schemas.openxmlformats.org/officeDocument/2006/relationships/hyperlink" Target="https://www.law.cornell.edu/definitions/uscode.php?width=840&amp;height=800&amp;iframe=true&amp;def_id=16-USC-3143256-1902905663&amp;term_occur=999&amp;term_src=" TargetMode="External" /><Relationship Id="rId24" Type="http://schemas.openxmlformats.org/officeDocument/2006/relationships/hyperlink" Target="https://www.law.cornell.edu/definitions/uscode.php?width=840&amp;height=800&amp;iframe=true&amp;def_id=16-USC-848440300-1902905664&amp;term_occur=999&amp;term_src=title:16:chapter:38:subchapter:IV:section:1853a" TargetMode="External" /><Relationship Id="rId25" Type="http://schemas.openxmlformats.org/officeDocument/2006/relationships/footer" Target="footer1.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media.fisheries.noaa.gov/dam-migration/msa-amended-2007.pdf" TargetMode="External" /><Relationship Id="rId7" Type="http://schemas.openxmlformats.org/officeDocument/2006/relationships/hyperlink" Target="https://media.fisheries.noaa.gov/dam-migration/mmpa_2018_revised_march_2019-508_(2).pdf" TargetMode="External" /><Relationship Id="rId8" Type="http://schemas.openxmlformats.org/officeDocument/2006/relationships/hyperlink" Target="https://advocacy.sba.gov/resources/the-regulatory-flexibility-act/" TargetMode="External" /><Relationship Id="rId9" Type="http://schemas.openxmlformats.org/officeDocument/2006/relationships/hyperlink" Target="https://www.govinfo.gov/content/pkg/FR-2017-02-03/pdf/2017-0245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31731-C7E8-4850-91F8-C7B5CB136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11475</Words>
  <Characters>65410</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76732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3</cp:revision>
  <dcterms:created xsi:type="dcterms:W3CDTF">2025-02-21T17:05:00Z</dcterms:created>
  <dcterms:modified xsi:type="dcterms:W3CDTF">2025-02-21T17:18:00Z</dcterms:modified>
</cp:coreProperties>
</file>