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1620">
      <w:pPr>
        <w:pStyle w:val="Heading1"/>
        <w:spacing w:before="0"/>
        <w:ind w:left="0"/>
        <w:jc w:val="center"/>
      </w:pPr>
      <w:r>
        <w:t>SUPPORTING STATEMENT</w:t>
      </w:r>
    </w:p>
    <w:p w:rsidR="002D1620">
      <w:pPr>
        <w:ind w:firstLine="14"/>
        <w:jc w:val="center"/>
        <w:rPr>
          <w:b/>
        </w:rPr>
      </w:pPr>
      <w:r>
        <w:rPr>
          <w:b/>
        </w:rPr>
        <w:t>U.S. Department of Commerce</w:t>
      </w:r>
    </w:p>
    <w:p w:rsidR="002D1620">
      <w:pPr>
        <w:ind w:firstLine="14"/>
        <w:jc w:val="center"/>
        <w:rPr>
          <w:b/>
        </w:rPr>
      </w:pPr>
      <w:r>
        <w:rPr>
          <w:b/>
        </w:rPr>
        <w:t>National Oceanic &amp; Atmospheric Administration</w:t>
      </w:r>
    </w:p>
    <w:p w:rsidR="002D1620">
      <w:pPr>
        <w:ind w:firstLine="14"/>
        <w:jc w:val="center"/>
        <w:rPr>
          <w:b/>
        </w:rPr>
      </w:pPr>
      <w:r>
        <w:rPr>
          <w:b/>
        </w:rPr>
        <w:t>High Seas Fishing Permit Application, Logbook Reporting, and Vessel Marking</w:t>
      </w:r>
    </w:p>
    <w:p w:rsidR="002D1620">
      <w:pPr>
        <w:ind w:hanging="6"/>
        <w:jc w:val="center"/>
        <w:rPr>
          <w:b/>
        </w:rPr>
      </w:pPr>
      <w:r>
        <w:rPr>
          <w:b/>
        </w:rPr>
        <w:t>OMB Control No. 0648-0304</w:t>
      </w:r>
    </w:p>
    <w:p w:rsidR="002D1620">
      <w:pPr>
        <w:pBdr>
          <w:top w:val="nil"/>
          <w:left w:val="nil"/>
          <w:bottom w:val="nil"/>
          <w:right w:val="nil"/>
          <w:between w:val="nil"/>
        </w:pBdr>
        <w:jc w:val="center"/>
        <w:rPr>
          <w:b/>
          <w:color w:val="000000"/>
        </w:rPr>
      </w:pPr>
    </w:p>
    <w:p w:rsidR="002D1620">
      <w:pPr>
        <w:rPr>
          <w:b/>
          <w:color w:val="1F497D"/>
        </w:rPr>
      </w:pPr>
      <w:r>
        <w:rPr>
          <w:b/>
          <w:color w:val="000000"/>
        </w:rPr>
        <w:t>SUPPORTING STATEMENT PART A</w:t>
      </w:r>
      <w:r>
        <w:rPr>
          <w:b/>
          <w:color w:val="1F497D"/>
        </w:rPr>
        <w:t xml:space="preserve"> </w:t>
      </w:r>
    </w:p>
    <w:p w:rsidR="002D1620">
      <w:pPr>
        <w:rPr>
          <w:b/>
          <w:color w:val="1F497D"/>
        </w:rPr>
      </w:pPr>
    </w:p>
    <w:p w:rsidR="002D1620">
      <w:pPr>
        <w:pStyle w:val="Heading1"/>
        <w:spacing w:before="0"/>
        <w:ind w:left="0"/>
      </w:pPr>
      <w:r>
        <w:t>Abstract</w:t>
      </w:r>
    </w:p>
    <w:p w:rsidR="002D1620">
      <w:pPr>
        <w:ind w:left="-5"/>
      </w:pPr>
      <w:r>
        <w:t xml:space="preserve">The National Marine Fisheries Service (NMFS) seeks extension of a currently approved information collection affecting high seas fishing vessels.  This information collection is necessary to comply with the High Seas Fishing Compliance Act (HSFCA), 16 U.S.C. 5501 et seq., which, among other things, requires U.S. vessels that operate on the high seas to possess a permit issued in accordance with Section 104 of the HSFCA and be marked for identification purposes. HSFCA also requires permit holders to report their fishing activities. </w:t>
      </w:r>
    </w:p>
    <w:p w:rsidR="002D1620">
      <w:pPr>
        <w:pStyle w:val="Heading1"/>
        <w:spacing w:before="0"/>
        <w:ind w:left="0"/>
      </w:pPr>
    </w:p>
    <w:p w:rsidR="002D1620">
      <w:pPr>
        <w:pStyle w:val="Heading1"/>
        <w:spacing w:before="0"/>
        <w:ind w:left="0"/>
      </w:pPr>
      <w:r>
        <w:t>Justification</w:t>
      </w:r>
    </w:p>
    <w:p w:rsidR="002D1620">
      <w:pPr>
        <w:pStyle w:val="Heading1"/>
        <w:spacing w:before="0"/>
        <w:ind w:left="0"/>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D1620">
      <w:pPr>
        <w:ind w:left="-5"/>
      </w:pPr>
    </w:p>
    <w:p w:rsidR="002D1620">
      <w:pPr>
        <w:ind w:left="-5"/>
      </w:pPr>
      <w:r>
        <w:t xml:space="preserve">The </w:t>
      </w:r>
      <w:hyperlink r:id="rId7">
        <w:r w:rsidRPr="00C23E4E">
          <w:rPr>
            <w:color w:val="0000FF"/>
            <w:u w:val="single"/>
          </w:rPr>
          <w:t>High Seas Fishing Compliance Ac</w:t>
        </w:r>
      </w:hyperlink>
      <w:r w:rsidRPr="00C23E4E">
        <w:rPr>
          <w:color w:val="0000FF"/>
          <w:u w:val="single"/>
        </w:rPr>
        <w:t>t</w:t>
      </w:r>
      <w:r w:rsidRPr="00C23E4E">
        <w:rPr>
          <w:color w:val="0000FF"/>
        </w:rPr>
        <w:t xml:space="preserve"> </w:t>
      </w:r>
      <w:r>
        <w:t xml:space="preserve">(HSFCA), 16 U.S.C. 5501 </w:t>
      </w:r>
      <w:r>
        <w:rPr>
          <w:rFonts w:ascii="Calibri" w:eastAsia="Calibri" w:hAnsi="Calibri" w:cs="Calibri"/>
          <w:i/>
        </w:rPr>
        <w:t>et seq</w:t>
      </w:r>
      <w:r>
        <w:t xml:space="preserve">., was adopted in 1994 to implement the Food and Agriculture Organization of the United Nations (FAO) Agreement to Promote </w:t>
      </w:r>
    </w:p>
    <w:p w:rsidR="002D1620">
      <w:pPr>
        <w:ind w:left="-5"/>
      </w:pPr>
      <w:r>
        <w:t xml:space="preserve">Compliance with International Conservation and Management Measures by Fishing Vessels on the High Seas (Compliance Agreement).  HSFCA requires, among other things, United States (U.S.) vessels that operate on the high seas to possess a permit issued in accordance with Section 104 of the HSFCA and be marked for identification purposes, per 16 U.S.C. 5503.   HSFCA also requires permit holders to report their fishing activities. The HSFCA prohibits use of high seas fishing vessels in contravention of international conservation and management measures recognized by the U.S. or in a manner that would violate a permit condition.  </w:t>
      </w:r>
      <w:r>
        <w:rPr>
          <w:i/>
        </w:rPr>
        <w:t>See</w:t>
      </w:r>
      <w:r>
        <w:t xml:space="preserve"> 16 U.S.C. 5505.  Implementing regulations are found at </w:t>
      </w:r>
      <w:hyperlink r:id="rId8">
        <w:r>
          <w:rPr>
            <w:color w:val="0000FF"/>
            <w:u w:val="single"/>
          </w:rPr>
          <w:t xml:space="preserve">50 CFR Part 300, Subpart R. </w:t>
        </w:r>
      </w:hyperlink>
    </w:p>
    <w:p w:rsidR="002D1620">
      <w:pPr>
        <w:ind w:left="-5"/>
      </w:pPr>
    </w:p>
    <w:p w:rsidR="002D1620">
      <w:pPr>
        <w:ind w:left="-5"/>
      </w:pPr>
      <w:r>
        <w:t>The current collection of information, under OMB Control No. 0648-0304, includes a permit application, vessel marking requirements, and high seas fishing effort and catch reporting.  Additionally, the following information is collected:</w:t>
      </w:r>
    </w:p>
    <w:p w:rsidR="002D1620">
      <w:pPr>
        <w:widowControl/>
        <w:numPr>
          <w:ilvl w:val="1"/>
          <w:numId w:val="1"/>
        </w:numPr>
        <w:ind w:hanging="360"/>
      </w:pPr>
      <w:r>
        <w:t xml:space="preserve">Submission of a photograph of the high seas fishing vessel with each high seas fishing permit application; </w:t>
      </w:r>
    </w:p>
    <w:p w:rsidR="002D1620">
      <w:pPr>
        <w:widowControl/>
        <w:numPr>
          <w:ilvl w:val="1"/>
          <w:numId w:val="1"/>
        </w:numPr>
        <w:ind w:hanging="360"/>
      </w:pPr>
      <w:r>
        <w:t>Request for the authorization of a fishery on the high seas,</w:t>
      </w:r>
      <w:r>
        <w:rPr>
          <w:sz w:val="22"/>
          <w:szCs w:val="22"/>
          <w:vertAlign w:val="superscript"/>
        </w:rPr>
        <w:footnoteReference w:id="2"/>
      </w:r>
      <w:r>
        <w:t xml:space="preserve"> which is to include:</w:t>
      </w:r>
    </w:p>
    <w:p w:rsidR="002D1620">
      <w:pPr>
        <w:widowControl/>
        <w:numPr>
          <w:ilvl w:val="2"/>
          <w:numId w:val="1"/>
        </w:numPr>
        <w:ind w:hanging="340"/>
      </w:pPr>
      <w:r>
        <w:t>The species (target and incidental) expected to be harvested and the anticipated amounts of harvest and bycatch.</w:t>
      </w:r>
    </w:p>
    <w:p w:rsidR="002D1620">
      <w:pPr>
        <w:widowControl/>
        <w:numPr>
          <w:ilvl w:val="2"/>
          <w:numId w:val="1"/>
        </w:numPr>
        <w:ind w:hanging="340"/>
      </w:pPr>
      <w:r>
        <w:t>The approximate times and places fishing will take place, approximate number of vessels participating, and the type, size, and amount of gear to be used.</w:t>
      </w:r>
    </w:p>
    <w:p w:rsidR="002D1620">
      <w:pPr>
        <w:widowControl/>
        <w:numPr>
          <w:ilvl w:val="2"/>
          <w:numId w:val="1"/>
        </w:numPr>
        <w:ind w:hanging="340"/>
      </w:pPr>
      <w:r>
        <w:t>A description of the specific area that may be affected by the fishing activities.</w:t>
      </w:r>
    </w:p>
    <w:p w:rsidR="002D1620">
      <w:pPr>
        <w:widowControl/>
        <w:numPr>
          <w:ilvl w:val="2"/>
          <w:numId w:val="1"/>
        </w:numPr>
        <w:ind w:hanging="340"/>
      </w:pPr>
      <w:r>
        <w:t>A description of any anticipated impacts on the environment, including impacts on fish stocks, marine mammals, species listed as threatened or endangered under the Endangered Species Act (ESA) or their critical habitat.</w:t>
      </w:r>
    </w:p>
    <w:p w:rsidR="002D1620">
      <w:pPr>
        <w:widowControl/>
        <w:numPr>
          <w:ilvl w:val="2"/>
          <w:numId w:val="1"/>
        </w:numPr>
        <w:ind w:hanging="340"/>
      </w:pPr>
      <w:r>
        <w:t>If requested by NMFS, any additional information necessary for NMFS to conduct analyses under ESA, Marine Mammal Protection Act (MMPA) and the National Environmental Policy Act (NEPA);</w:t>
      </w:r>
    </w:p>
    <w:p w:rsidR="002D1620">
      <w:pPr>
        <w:widowControl/>
        <w:numPr>
          <w:ilvl w:val="1"/>
          <w:numId w:val="1"/>
        </w:numPr>
        <w:ind w:hanging="360"/>
      </w:pPr>
      <w:r>
        <w:t>Installation of a vessel monitoring system enhanced mobile transceiver unit (EMTU);</w:t>
      </w:r>
    </w:p>
    <w:p w:rsidR="002D1620">
      <w:pPr>
        <w:widowControl/>
        <w:numPr>
          <w:ilvl w:val="1"/>
          <w:numId w:val="1"/>
        </w:numPr>
        <w:ind w:hanging="360"/>
      </w:pPr>
      <w:r>
        <w:t>Operation of the EMTU at all times, except when the vessel will be at a dock or permanent mooring for more than 72 consecutive hours or when the vessel will not operate on the high seas or in any fishery that requires EMTU operation for more than 30 consecutive days.  Notices prior</w:t>
      </w:r>
    </w:p>
    <w:p w:rsidR="002D1620">
      <w:pPr>
        <w:ind w:left="730"/>
      </w:pPr>
      <w:r>
        <w:t>to EMTU power-down and power-up will need to be provided to NMFS;</w:t>
      </w:r>
    </w:p>
    <w:p w:rsidR="002D1620">
      <w:pPr>
        <w:widowControl/>
        <w:numPr>
          <w:ilvl w:val="1"/>
          <w:numId w:val="1"/>
        </w:numPr>
        <w:ind w:hanging="360"/>
      </w:pPr>
      <w:r>
        <w:t>Notification to NMFS of fishing trips if the vessel is selected to carry an observer;</w:t>
      </w:r>
    </w:p>
    <w:p w:rsidR="002D1620">
      <w:pPr>
        <w:widowControl/>
        <w:numPr>
          <w:ilvl w:val="1"/>
          <w:numId w:val="1"/>
        </w:numPr>
        <w:ind w:hanging="360"/>
        <w:rPr>
          <w:rFonts w:ascii="Calibri" w:eastAsia="Calibri" w:hAnsi="Calibri" w:cs="Calibri"/>
        </w:rPr>
      </w:pPr>
      <w:r>
        <w:t>Prior notification to NMFS of a transshipment of fish or fish product on the high seas and a report on the transshipment within 15 days afterwards.</w:t>
      </w:r>
    </w:p>
    <w:p w:rsidR="002D1620">
      <w:pPr>
        <w:widowControl/>
        <w:numPr>
          <w:ilvl w:val="1"/>
          <w:numId w:val="1"/>
        </w:numPr>
        <w:ind w:hanging="360"/>
      </w:pPr>
      <w:r>
        <w:t xml:space="preserve">Removal of the </w:t>
      </w:r>
      <w:r>
        <w:t>logbook reporting</w:t>
      </w:r>
      <w:r>
        <w:t xml:space="preserve"> requirement.</w:t>
      </w:r>
    </w:p>
    <w:p w:rsidR="00900417" w:rsidP="00900417">
      <w:pPr>
        <w:widowControl/>
      </w:pPr>
    </w:p>
    <w:p w:rsidR="00900417" w:rsidP="00900417">
      <w:pPr>
        <w:ind w:left="-5"/>
      </w:pPr>
      <w:r>
        <w:t xml:space="preserve">The collection of information on NPS is authorized under the Magnuson-Stevens Fishery Conservation and Management Act, 16 U.S.C. 1801 et seq., the High Seas Fishing Compliance Act, the Tuna Conventions Act of 1950, the Antarctic Marine Living Resources Convention Act, the Western and </w:t>
      </w:r>
    </w:p>
    <w:p w:rsidR="00900417" w:rsidP="00900417">
      <w:pPr>
        <w:ind w:left="-5"/>
      </w:pPr>
      <w:r>
        <w:t xml:space="preserve">Central Pacific Fisheries Convention Implementation Act (WCPFCIA; 16 U.S.C. 6901 </w:t>
      </w:r>
      <w:r>
        <w:t>et</w:t>
      </w:r>
      <w:r>
        <w:t xml:space="preserve"> </w:t>
      </w:r>
      <w:r>
        <w:t>seq</w:t>
      </w:r>
      <w:r>
        <w:t xml:space="preserve">), the Marine Mammal Protection Act, and the Endangered Species Act. The authority for the mandatory collection of the Tax Identification Number (TIN) is 31 U.S.C. 7701. </w:t>
      </w:r>
    </w:p>
    <w:p w:rsidR="00900417" w:rsidP="00900417">
      <w:pPr>
        <w:widowControl/>
      </w:pPr>
    </w:p>
    <w:p w:rsidR="002D1620">
      <w:pPr>
        <w:widowControl/>
        <w:ind w:left="720"/>
      </w:pPr>
    </w:p>
    <w:p w:rsidR="002D1620">
      <w:pPr>
        <w:pStyle w:val="Heading1"/>
        <w:numPr>
          <w:ilvl w:val="0"/>
          <w:numId w:val="2"/>
        </w:numPr>
        <w:tabs>
          <w:tab w:val="left" w:pos="360"/>
        </w:tabs>
        <w:spacing w:before="0"/>
        <w:ind w:left="0" w:firstLine="0"/>
      </w:pPr>
      <w:r>
        <w:t>Indicate how, by whom, and for what purpose the information is to be used. Except for a new collection, indicate the actual use the agency has made of the information received from the current collection.</w:t>
      </w:r>
    </w:p>
    <w:p w:rsidR="002D1620">
      <w:pPr>
        <w:pStyle w:val="Heading1"/>
        <w:tabs>
          <w:tab w:val="left" w:pos="360"/>
        </w:tabs>
        <w:spacing w:before="0"/>
        <w:ind w:left="0"/>
      </w:pPr>
    </w:p>
    <w:p w:rsidR="002D1620">
      <w:pPr>
        <w:ind w:left="-5"/>
      </w:pPr>
      <w:r>
        <w:t xml:space="preserve">Applicants request an HSFCA permit by submitting a completed application form.  A copy of the applicant vessel’s current U.S. Coast Guard (USCG) certificate of documentation or state registration number is required for purposes of identification and to establish that the applicant vessel is currently documented as a U.S. vessel.  The certificate/registration also provides the applicant vessel's official number, port of record, when and where the vessel was built and the vessel's length, all of which are required by the HSFCA. </w:t>
      </w:r>
    </w:p>
    <w:p w:rsidR="002D1620">
      <w:pPr>
        <w:ind w:left="-5"/>
      </w:pPr>
    </w:p>
    <w:p w:rsidR="002D1620">
      <w:pPr>
        <w:ind w:left="-5"/>
      </w:pPr>
      <w:r>
        <w:t xml:space="preserve">The majority of the additional information items in Sections 1, 3 and 4 are either required by the HSFCA or deemed necessary for purposes of identification of the vessel, owner, and operator.  The date of birth of the owner is requested to link to other fishery permit databases.  A number of NMFS permitting systems use date of birth as a key field.  The crew size is required to provide enforcement personnel with advance information as to crew size to be accounted for during a boarding or other inspection. </w:t>
      </w:r>
    </w:p>
    <w:p w:rsidR="002D1620">
      <w:pPr>
        <w:ind w:left="-5"/>
      </w:pPr>
    </w:p>
    <w:p w:rsidR="002D1620">
      <w:pPr>
        <w:ind w:left="-5"/>
      </w:pPr>
      <w:r>
        <w:t>NMFS is required to comply with the Debt Collection Improvement Act of 1996 (Public Law 104-134), which states, at 31 U.S.C. 7701 (c) (1), “The head of each Federal agency shall require each person doing business with that agency to furnish that agency such person’s taxpayer identifying number.”  The Act further states, at 31 U.S.C. 7701 (c) (2)(B),  “For purposes of this subsection, a person shall be considered doing business with a Federal agency if the person is an applicant for, or recipient of, a federal . . . permit . . . administered by the agency.”  Therefore, because applicants for HSFCA permits are “persons doing business” with a Federal agency, NMFS must require applicants for HSFCA permits to provide a taxpayer identifying number such as a Tax Identification Number (TIN) assigned to an applicant’s business or a Social Security Number (SSN) assigned to an individual applicant.  The HSFCA application form includes a statement advising the applicant that any TIN or SSN provided will not be released to the public.</w:t>
      </w:r>
    </w:p>
    <w:p w:rsidR="002D1620">
      <w:pPr>
        <w:ind w:left="-5"/>
      </w:pPr>
    </w:p>
    <w:p w:rsidR="002D1620">
      <w:pPr>
        <w:ind w:left="-5"/>
      </w:pPr>
      <w:r>
        <w:t>The information in Section 2 is required to determine the nature and scope of activities to be carried out by U.S. vessels under the HSFCA so that NMFS can insure applicants are reporting their catches in accordance with the reporting requirements of the various authorized high seas fishing activities.</w:t>
      </w:r>
    </w:p>
    <w:p w:rsidR="002D1620">
      <w:pPr>
        <w:ind w:left="-5"/>
      </w:pPr>
    </w:p>
    <w:p w:rsidR="002D1620">
      <w:pPr>
        <w:ind w:left="-5"/>
      </w:pPr>
      <w:r>
        <w:t xml:space="preserve">The first information item in Section 5 is required to assist in ascertaining whether the applicant vessel has flown a foreign flag within the last three years. The supplemental information, to be submitted if the vessel has flown a foreign flag, will be used to identify and verify from FAO data whether the applicant vessel, when under foreign flag, violated any natural resource statutes or had a permit or license suspended or revoked.   </w:t>
      </w:r>
    </w:p>
    <w:p w:rsidR="002D1620">
      <w:pPr>
        <w:ind w:left="-5"/>
      </w:pPr>
    </w:p>
    <w:p w:rsidR="002D1620">
      <w:pPr>
        <w:ind w:left="-5"/>
      </w:pPr>
      <w:r>
        <w:t>The second information item in Section 5 is required to assist in verifying whether the applicant vessel has violated natural resource statutes in the last three years. Any such violations occurring while the vessel flew a U.S. flag should be revealed during a check of the Enforcement Management Information System (EMIS - the standard reference database used in fisheries enforcement). This item provides a means to verify the information contained in EMIS, and is an opportunity for applicants to provide any additional details deemed relevant. This item is also designed to be an opportunity for the applicant to correct any misinformation that may be contained in EMIS. Similarly, if violations occurred while under foreign flag, this item is an opportunity to report relevant violations and any additional details deemed appropriate, in order to verify that any violation data held by FAO are accurate and valid.</w:t>
      </w:r>
    </w:p>
    <w:p w:rsidR="002D1620">
      <w:r>
        <w:t xml:space="preserve"> </w:t>
      </w:r>
    </w:p>
    <w:p w:rsidR="002D1620">
      <w:pPr>
        <w:ind w:left="-5"/>
      </w:pPr>
      <w:r>
        <w:t>Reviewing renewal applications is an opportunity for fisheries managers to provide new information about regulations to the permit holder, or to review the permit holder’s compliance record. Permit managers frequently use the renewal period to educate the applicant on any changes to the fishery management.</w:t>
      </w:r>
    </w:p>
    <w:p w:rsidR="002D1620">
      <w:pPr>
        <w:ind w:left="-5"/>
      </w:pPr>
    </w:p>
    <w:p w:rsidR="002D1620">
      <w:pPr>
        <w:pStyle w:val="Heading1"/>
        <w:spacing w:before="0"/>
        <w:ind w:left="-5"/>
      </w:pPr>
      <w:r>
        <w:t>Vessel marking requirements</w:t>
      </w:r>
    </w:p>
    <w:p w:rsidR="002D1620">
      <w:pPr>
        <w:ind w:left="-5"/>
      </w:pPr>
      <w:r>
        <w:t>Section 104 of the HSFCA and National Oceanic and Atmospheric Administration (NOAA)’s regulation require that a vessel's official number or international radio call sign be displayed on the port and starboard sides of the deckhouse or hull, and on a weather deck. This information identifies each vessel and is intended to be visible at distances at sea level and from the air.  This information provides law enforcement personnel with a means to monitor fishing, at-sea processing, and other related activities, to ascertain whether a vessel's observed activities are in accordance with those authorized for that vessel. The identifying number is used by NMFS, USCG, and other marine agencies in issuing violations, prosecutions, and other enforcement-related actions.  Vessels that qualify for particular fisheries are readily identified, and more efficiently and expediently prosecuted, thereby allowing for more cost-effective enforcement.  Cooperating fishermen and other interested parties also use the number to report suspicious activities.  Fishermen in compliance with fishery management regulations ultimately benefit, as unauthorized and illegal fishing is deterred and more burdensome regulations are avoided.</w:t>
      </w:r>
    </w:p>
    <w:p w:rsidR="002D1620">
      <w:pPr>
        <w:ind w:left="-5"/>
      </w:pPr>
    </w:p>
    <w:p w:rsidR="002D1620">
      <w:pPr>
        <w:pStyle w:val="Heading1"/>
        <w:spacing w:before="0"/>
        <w:ind w:left="-5"/>
      </w:pPr>
      <w:r>
        <w:t>Vessel Photograph</w:t>
      </w:r>
    </w:p>
    <w:p w:rsidR="002D1620">
      <w:pPr>
        <w:ind w:left="-5"/>
      </w:pPr>
      <w:r>
        <w:t>A photograph of the high seas fishing vessel will need to be submitted by vessel owners or operators who are applying for a high seas fishing permit.  The photograph must clearly show the entire bow-to-stern side-view of the vessel in its current form and appearance; it must also clearly and legibly display the vessel name and identification markings.  NMFS expects an average of 600 applications to be filed each year.  Each applicant generally needs to submit an application every 5 years.  The photographs will be used to identify or verify the identity of a vessel, particul</w:t>
      </w:r>
      <w:r w:rsidR="00897B48">
        <w:t>arly for enforcement purposes. U.S. enforcement agents could use the photographs</w:t>
      </w:r>
      <w:r>
        <w:t xml:space="preserve"> as well as agents associated with regional fisheries management organizations.</w:t>
      </w:r>
    </w:p>
    <w:p w:rsidR="00897B48">
      <w:pPr>
        <w:ind w:left="-5"/>
      </w:pPr>
    </w:p>
    <w:p w:rsidR="002D1620">
      <w:pPr>
        <w:ind w:left="-5"/>
      </w:pPr>
    </w:p>
    <w:p w:rsidR="002D1620">
      <w:pPr>
        <w:pStyle w:val="Heading1"/>
        <w:spacing w:before="0"/>
        <w:ind w:left="-5"/>
      </w:pPr>
      <w:r>
        <w:t>Request to authorize a fishery on the high seas</w:t>
      </w:r>
    </w:p>
    <w:p w:rsidR="002D1620">
      <w:pPr>
        <w:ind w:left="-5"/>
      </w:pPr>
      <w:r>
        <w:t xml:space="preserve">A member of the public could request NMFS add an authorized fishery by submitting a written request that includes items described in the response to Question 1. These requests for authorization rarely occur.  For the purposes of this information collection, NMFS estimates that one request might be submitted every 10 years.  The information submitted with the request will be used by NMFS to analyze the potential impacts on the human environment from the proposed fishing activities, pursuant to NEPA, impacts to marine mammals under the MMPA, and to analyze the potential impacts to species listed as endangered or threatened under the ESA and their designated critical habitats.  Depending on the outcomes of these analyses and any other relevant factors, NMFS will determine whether to add the fishery to the list of fisheries authorized on the high seas. </w:t>
      </w:r>
    </w:p>
    <w:p w:rsidR="002D1620">
      <w:pPr>
        <w:ind w:left="-5"/>
      </w:pPr>
    </w:p>
    <w:p w:rsidR="002D1620">
      <w:pPr>
        <w:pStyle w:val="Heading1"/>
        <w:spacing w:before="0"/>
        <w:ind w:left="-5"/>
      </w:pPr>
      <w:r>
        <w:t>Enhanced Mobile Transceiver Units</w:t>
      </w:r>
    </w:p>
    <w:p w:rsidR="002D1620">
      <w:pPr>
        <w:ind w:left="-5"/>
      </w:pPr>
      <w:r>
        <w:t xml:space="preserve">Vessel owners or operators will need to purchase an EMTU, have it installed on the vessel, and submit an installation and activation form to NMFS. </w:t>
      </w:r>
    </w:p>
    <w:p w:rsidR="002D1620">
      <w:pPr>
        <w:ind w:left="-5"/>
      </w:pPr>
    </w:p>
    <w:p w:rsidR="002D1620">
      <w:pPr>
        <w:ind w:left="-5"/>
      </w:pPr>
      <w:r>
        <w:t xml:space="preserve">The EMTU will automatically provide position reports, along with vessel identification information, every hour to NMFS.  The regular position reports allow NMFS to monitor the vessel in its vessel monitoring software.  This tool allows NMFS to monitor high seas fishing vessels, communicate with the vessel through the EMTU, and promote compliance with applicable requirements.  </w:t>
      </w:r>
    </w:p>
    <w:p w:rsidR="002D1620">
      <w:pPr>
        <w:ind w:left="-5"/>
      </w:pPr>
    </w:p>
    <w:p w:rsidR="002D1620">
      <w:pPr>
        <w:ind w:left="-5"/>
      </w:pPr>
      <w:r>
        <w:t xml:space="preserve">Vessel owners and operators could use one of two exemptions from the EMTU operation requirement. The EMTU may be powered down if (1) the vessel will be at the dock or mooring for more than 72 consecutive hours, or (2) the vessel, for 30 or more consecutive days, will not be on the high seas or participating in a fishery that requires EMTU operation.  A message notifying NMFS of the power-down must be sent to NMFS prior to powering down the unit and again when the EMTU will be powered back up.  </w:t>
      </w:r>
    </w:p>
    <w:p w:rsidR="002D1620">
      <w:pPr>
        <w:ind w:left="-5"/>
      </w:pPr>
    </w:p>
    <w:p w:rsidR="002D1620">
      <w:pPr>
        <w:ind w:left="-5"/>
      </w:pPr>
      <w:r>
        <w:t xml:space="preserve">Prior to powering down, the vessel owner or operator will be required to notify the NMFS Office of Law Enforcement (OLE) divisional office via email, or other means as directed by the OLE divisional office, of the following information: the vessel’s name; the vessel’s official number; the intent to power down the EMTU; reason for power-down; port where the vessel is docked; and full name, telephone, and email contact information for the vessel owner or operator.  When powering up the EMTU from an in-port exemption, the vessel owner or operator will need to report to the OLE divisional office the following information: that the EMTU has been powered up; the vessel’s name; the vessel’s official number; port name; intended fishery; and full name, telephone, and email contact information for the vessel owner or operator.  </w:t>
      </w:r>
    </w:p>
    <w:p w:rsidR="002D1620">
      <w:pPr>
        <w:ind w:left="-5"/>
      </w:pPr>
    </w:p>
    <w:p w:rsidR="002D1620">
      <w:pPr>
        <w:ind w:left="-5"/>
      </w:pPr>
      <w:r>
        <w:t>When powering up from an in-port exemption the vessel owner or operator will need to report to the OLE divisional office, during office hours, at least 2 hours before leaving port or mooring.  When powering up from a long-term exemption, the vessel owner or operator will need to notify the OLE divisional office during office hours.  The vessel owner or operator will need to receive email confirmation from the OLE divisional office that proper transmissions are being received from the EMTU.  This confirmation will need to be received before leaving port after an in-port exemption, or entering the high seas or a fishery that requires EMTU operation after a long-term exemption if these activities are occurring during OLE divisional office hours.  If the vessel leaves port, enters the high seas, or enters a fishery that requires EMTU operation outside of OLE divisional office hours, the OLE divisional office will confirm proper transmissions and send email confirmation at the beginning of the next business day.</w:t>
      </w:r>
    </w:p>
    <w:p w:rsidR="002D1620">
      <w:pPr>
        <w:pStyle w:val="Heading1"/>
        <w:spacing w:before="0"/>
        <w:ind w:left="-5"/>
      </w:pPr>
    </w:p>
    <w:p w:rsidR="00897B48">
      <w:pPr>
        <w:pStyle w:val="Heading1"/>
        <w:spacing w:before="0"/>
        <w:ind w:left="-5"/>
      </w:pPr>
    </w:p>
    <w:p w:rsidR="00897B48">
      <w:pPr>
        <w:pStyle w:val="Heading1"/>
        <w:spacing w:before="0"/>
        <w:ind w:left="-5"/>
      </w:pPr>
    </w:p>
    <w:p w:rsidR="002D1620">
      <w:pPr>
        <w:pStyle w:val="Heading1"/>
        <w:spacing w:before="0"/>
        <w:ind w:left="-5"/>
      </w:pPr>
      <w:r>
        <w:t xml:space="preserve">Observers </w:t>
      </w:r>
    </w:p>
    <w:p w:rsidR="002D1620">
      <w:pPr>
        <w:ind w:left="-5"/>
      </w:pPr>
      <w:bookmarkStart w:id="0" w:name="_heading=h.gjdgxs" w:colFirst="0" w:colLast="0"/>
      <w:bookmarkEnd w:id="0"/>
      <w:r>
        <w:t xml:space="preserve">If a high seas fishing vessel is selected for observer coverage, the vessel owner or operator will need to provide NMFS a notice of their next fishing trip that may take place on the high seas.  The specific notification procedures and information requirements, such as expected gear deployment, trip duration and fishing area, will be specified by NMFS in its selection letter.  NMFS will use the notice to ensure that an observer is prepared to board the vessel for the next fishing trip.  For trips on which an observer is deployed under this requirement, the affected entity will be at least responsible for the costs associated with providing the observer with food, accommodations, and medical facilities. </w:t>
      </w:r>
    </w:p>
    <w:p w:rsidR="002D1620">
      <w:pPr>
        <w:ind w:left="-5"/>
      </w:pPr>
      <w:r>
        <w:t xml:space="preserve"> </w:t>
      </w:r>
    </w:p>
    <w:p w:rsidR="002D1620">
      <w:pPr>
        <w:ind w:left="-5"/>
      </w:pPr>
      <w:r>
        <w:t>NMFS will pay the cost of the observer’s salary and benefits.  If and when a mechanism is established whereby the fishing vessel could pay these costs, the vessel could be responsible for all or a portion of these costs.</w:t>
      </w:r>
    </w:p>
    <w:p w:rsidR="002D1620">
      <w:pPr>
        <w:ind w:left="-5"/>
      </w:pPr>
    </w:p>
    <w:p w:rsidR="002D1620">
      <w:pPr>
        <w:pStyle w:val="Heading1"/>
        <w:spacing w:before="0"/>
        <w:ind w:left="-5"/>
      </w:pPr>
      <w:r>
        <w:t>Transshipments on the High Seas</w:t>
      </w:r>
    </w:p>
    <w:p w:rsidR="002D1620">
      <w:pPr>
        <w:ind w:left="-5"/>
      </w:pPr>
      <w:r>
        <w:t xml:space="preserve">A notice of a pending transshipment on the high seas, involving any U.S. vessel, will need to be provided to NMFS at least 36 hours prior to transshipment.  The notice will need to include: the vessels participating in the transshipment (names, official numbers, and vessel types); the location (latitude and longitude to the nearest tenth of a degree) of transshipment, date and time that transshipment is expected to occur, and species, processed state, and quantities (in metric tons) expected to be transshipped.  A full report of the transshipment, using a form developed by NMFS, will need to be provided to NMFS within 15 days after the vessel first enters into port following the transshipment.  The form will collect vessel information for the offloading and receiving vessels, vessel operator information for offloading and receiving vessel, dates and location of transshipment, species and quantities transshipped, and other information related to the catch and ultimate landing of the transshipped product. </w:t>
      </w:r>
    </w:p>
    <w:p w:rsidR="002D1620">
      <w:pPr>
        <w:ind w:left="-5"/>
      </w:pPr>
    </w:p>
    <w:p w:rsidR="002D1620">
      <w:pPr>
        <w:ind w:left="-5"/>
      </w:pPr>
      <w:r>
        <w:t>The prior notice will provide NMFS an opportunity to deploy enforcement agents to the location of the transshipment.  The report of the transshipments will allow NMFS to be aware of the activities of high seas fishing vessels and provide information on such activities to regional fisheries management organizations, as appropriate.</w:t>
      </w:r>
    </w:p>
    <w:p w:rsidR="002D1620">
      <w:pPr>
        <w:ind w:left="-5"/>
      </w:pPr>
    </w:p>
    <w:p w:rsidR="002D1620">
      <w:pPr>
        <w:ind w:left="-5"/>
      </w:pPr>
      <w: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Section 515 of Public Law 106-554.  </w:t>
      </w:r>
      <w:r>
        <w:rPr>
          <w:i/>
        </w:rPr>
        <w:t>See</w:t>
      </w:r>
      <w:r>
        <w:t xml:space="preserve"> 44 U.S.C. 3516, note.</w:t>
      </w:r>
    </w:p>
    <w:p w:rsidR="00224F0C">
      <w:pPr>
        <w:ind w:left="-5"/>
      </w:pPr>
    </w:p>
    <w:p w:rsidR="00224F0C">
      <w:pPr>
        <w:ind w:left="-5"/>
      </w:pPr>
    </w:p>
    <w:p w:rsidR="00224F0C">
      <w:pPr>
        <w:ind w:left="-5"/>
      </w:pPr>
    </w:p>
    <w:p w:rsidR="00224F0C">
      <w:pPr>
        <w:ind w:left="-5"/>
      </w:pPr>
    </w:p>
    <w:p w:rsidR="00224F0C">
      <w:pPr>
        <w:ind w:left="-5"/>
      </w:pPr>
    </w:p>
    <w:p w:rsidR="00224F0C">
      <w:pPr>
        <w:ind w:left="-5"/>
      </w:pPr>
    </w:p>
    <w:p w:rsidR="00224F0C">
      <w:pPr>
        <w:ind w:left="-5"/>
      </w:pPr>
    </w:p>
    <w:p w:rsidR="00224F0C">
      <w:pPr>
        <w:ind w:left="-5"/>
      </w:pPr>
    </w:p>
    <w:p w:rsidR="00224F0C">
      <w:pPr>
        <w:ind w:left="-5"/>
      </w:pPr>
    </w:p>
    <w:p w:rsidR="00224F0C">
      <w:pPr>
        <w:ind w:left="-5"/>
      </w:pPr>
    </w:p>
    <w:p w:rsidR="002D1620">
      <w:pPr>
        <w:pBdr>
          <w:top w:val="nil"/>
          <w:left w:val="nil"/>
          <w:bottom w:val="nil"/>
          <w:right w:val="nil"/>
          <w:between w:val="nil"/>
        </w:pBdr>
        <w:tabs>
          <w:tab w:val="left" w:pos="360"/>
        </w:tabs>
        <w:ind w:left="400"/>
        <w:rPr>
          <w:b/>
        </w:rPr>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D1620">
      <w:pPr>
        <w:pBdr>
          <w:top w:val="nil"/>
          <w:left w:val="nil"/>
          <w:bottom w:val="nil"/>
          <w:right w:val="nil"/>
          <w:between w:val="nil"/>
        </w:pBdr>
        <w:tabs>
          <w:tab w:val="left" w:pos="360"/>
        </w:tabs>
        <w:rPr>
          <w:b/>
          <w:color w:val="000000"/>
        </w:rPr>
      </w:pPr>
    </w:p>
    <w:p w:rsidR="00900417" w:rsidP="00224F0C">
      <w:pPr>
        <w:ind w:left="-5"/>
      </w:pPr>
      <w:r>
        <w:t xml:space="preserve">Vessel owners have the option of completing paper applications, and submitting those documents to regional permit processors, or enter their applications directly into the NOAA Fisheries Permits System web site (NPS). </w:t>
      </w:r>
    </w:p>
    <w:p w:rsidR="00900417">
      <w:pPr>
        <w:ind w:left="-5"/>
      </w:pPr>
    </w:p>
    <w:p w:rsidR="002D1620">
      <w:pPr>
        <w:spacing w:after="347"/>
        <w:ind w:left="-5"/>
      </w:pPr>
      <w:r>
        <w:t>In order to manage U.S. fisheries, NMFS requires the use of permits or registrations by participants in the United States. NMFS established the NPS to accept and maintain all Sustainable Fisheries permit applications and related data. Information on NOAA Fisheries permit applicants and renewing holders includes vessel owner contact information, date of birth, TIN, and vessel descriptive information. Furnishing this information is voluntary; however, failure to provide complete and accurate information will prevent the determination of eligibility for a permit.</w:t>
      </w:r>
    </w:p>
    <w:p w:rsidR="002D1620">
      <w:pPr>
        <w:pBdr>
          <w:top w:val="nil"/>
          <w:left w:val="nil"/>
          <w:bottom w:val="nil"/>
          <w:right w:val="nil"/>
          <w:between w:val="nil"/>
        </w:pBdr>
        <w:tabs>
          <w:tab w:val="left" w:pos="360"/>
        </w:tabs>
        <w:rPr>
          <w:b/>
          <w:color w:val="000000"/>
        </w:rPr>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2D1620">
      <w:pPr>
        <w:spacing w:after="71"/>
        <w:ind w:left="-5"/>
      </w:pPr>
    </w:p>
    <w:p w:rsidR="002D1620">
      <w:pPr>
        <w:spacing w:after="71"/>
        <w:ind w:left="-5"/>
      </w:pPr>
      <w:r>
        <w:t>There are no other collections that can substitute for the information required to complete HSFCA applications. The completed applications define unique applications based on an applicant's particular fishing strategies.</w:t>
      </w:r>
    </w:p>
    <w:p w:rsidR="002D1620">
      <w:pPr>
        <w:spacing w:after="71"/>
        <w:ind w:left="-5"/>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2D1620">
      <w:pPr>
        <w:spacing w:after="71"/>
        <w:ind w:left="-5"/>
      </w:pPr>
    </w:p>
    <w:p w:rsidR="002D1620">
      <w:pPr>
        <w:spacing w:after="71"/>
        <w:ind w:left="-5"/>
      </w:pPr>
      <w:r>
        <w:t>This collection will not have a significant impact on small businesses, organizations or governmental entities.</w:t>
      </w:r>
    </w:p>
    <w:p w:rsidR="002D1620">
      <w:pPr>
        <w:spacing w:after="71"/>
        <w:ind w:left="-5"/>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2D1620">
      <w:pPr>
        <w:pBdr>
          <w:top w:val="nil"/>
          <w:left w:val="nil"/>
          <w:bottom w:val="nil"/>
          <w:right w:val="nil"/>
          <w:between w:val="nil"/>
        </w:pBdr>
        <w:tabs>
          <w:tab w:val="left" w:pos="360"/>
        </w:tabs>
        <w:rPr>
          <w:b/>
          <w:color w:val="000000"/>
        </w:rPr>
      </w:pPr>
    </w:p>
    <w:p w:rsidR="002D1620">
      <w:pPr>
        <w:spacing w:after="107"/>
        <w:ind w:left="-5"/>
      </w:pPr>
      <w:r>
        <w:t xml:space="preserve">Failure to collect the information would make it impossible for NMFS to carry out its responsibilities under Section 104 of the HSFCA. </w:t>
      </w:r>
    </w:p>
    <w:p w:rsidR="002D1620">
      <w:pPr>
        <w:ind w:left="-5"/>
      </w:pPr>
      <w:r>
        <w:t>Further, fisheries managers are able to exert better monitoring control and surveillance over managed fisheries on the high seas, and will have a more accurate count of how many, and which vessels are in which fisheries on the high seas.</w:t>
      </w:r>
    </w:p>
    <w:p w:rsidR="00AE7E41">
      <w:pPr>
        <w:ind w:left="-5"/>
      </w:pPr>
    </w:p>
    <w:p w:rsidR="002D1620">
      <w:pPr>
        <w:ind w:left="-5"/>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2D1620">
      <w:pPr>
        <w:pBdr>
          <w:top w:val="nil"/>
          <w:left w:val="nil"/>
          <w:bottom w:val="nil"/>
          <w:right w:val="nil"/>
          <w:between w:val="nil"/>
        </w:pBdr>
        <w:tabs>
          <w:tab w:val="left" w:pos="360"/>
        </w:tabs>
        <w:rPr>
          <w:b/>
          <w:color w:val="000000"/>
        </w:rPr>
      </w:pPr>
    </w:p>
    <w:p w:rsidR="002D1620">
      <w:pPr>
        <w:ind w:left="-5"/>
      </w:pPr>
      <w:r>
        <w:t>This collection will be conducted in a manner that is consistent with OMB guidelines.</w:t>
      </w:r>
    </w:p>
    <w:p w:rsidR="00AE7E41">
      <w:pPr>
        <w:ind w:left="-5"/>
      </w:pPr>
    </w:p>
    <w:p w:rsidR="00224F0C" w:rsidP="00224F0C"/>
    <w:p w:rsidR="00224F0C">
      <w:pPr>
        <w:ind w:left="-5"/>
      </w:pPr>
    </w:p>
    <w:p w:rsidR="00224F0C">
      <w:pPr>
        <w:ind w:left="-5"/>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D1620">
      <w:pPr>
        <w:pBdr>
          <w:top w:val="nil"/>
          <w:left w:val="nil"/>
          <w:bottom w:val="nil"/>
          <w:right w:val="nil"/>
          <w:between w:val="nil"/>
        </w:pBdr>
        <w:rPr>
          <w:b/>
          <w:i/>
          <w:color w:val="CC0000"/>
        </w:rPr>
      </w:pPr>
    </w:p>
    <w:p w:rsidR="002D1620">
      <w:pPr>
        <w:ind w:left="-5"/>
      </w:pPr>
      <w:r>
        <w:t xml:space="preserve">A Federal Register Notice published October 24, </w:t>
      </w:r>
      <w:r w:rsidR="00107B95">
        <w:t>2024 (</w:t>
      </w:r>
      <w:r>
        <w:t>89 FR 84880) solicited public comments. No comments were received.</w:t>
      </w:r>
    </w:p>
    <w:p w:rsidR="002D1620">
      <w:pPr>
        <w:ind w:left="-5"/>
      </w:pPr>
    </w:p>
    <w:p w:rsidR="002D1620">
      <w:pPr>
        <w:spacing w:after="347"/>
        <w:ind w:left="-5"/>
        <w:rPr>
          <w:color w:val="000000"/>
        </w:rPr>
      </w:pPr>
      <w:r>
        <w:t>In addition, NMFS reached out to several stakeholders in an effort to obtain their comments.  One response indicating “No Comment,” was received.</w:t>
      </w: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2D1620">
      <w:pPr>
        <w:pBdr>
          <w:top w:val="nil"/>
          <w:left w:val="nil"/>
          <w:bottom w:val="nil"/>
          <w:right w:val="nil"/>
          <w:between w:val="nil"/>
        </w:pBdr>
        <w:tabs>
          <w:tab w:val="left" w:pos="360"/>
        </w:tabs>
        <w:rPr>
          <w:b/>
          <w:color w:val="000000"/>
        </w:rPr>
      </w:pPr>
      <w:r>
        <w:t>No payments or gifts are involved</w:t>
      </w:r>
    </w:p>
    <w:p w:rsidR="002D1620">
      <w:pPr>
        <w:pBdr>
          <w:top w:val="nil"/>
          <w:left w:val="nil"/>
          <w:bottom w:val="nil"/>
          <w:right w:val="nil"/>
          <w:between w:val="nil"/>
        </w:pBdr>
        <w:tabs>
          <w:tab w:val="left" w:pos="360"/>
        </w:tabs>
        <w:rPr>
          <w:b/>
          <w:color w:val="000000"/>
        </w:rPr>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2D1620">
      <w:pPr>
        <w:pBdr>
          <w:top w:val="nil"/>
          <w:left w:val="nil"/>
          <w:bottom w:val="nil"/>
          <w:right w:val="nil"/>
          <w:between w:val="nil"/>
        </w:pBdr>
        <w:tabs>
          <w:tab w:val="left" w:pos="360"/>
        </w:tabs>
        <w:rPr>
          <w:b/>
          <w:color w:val="000000"/>
        </w:rPr>
      </w:pPr>
    </w:p>
    <w:p w:rsidR="002D1620">
      <w:pPr>
        <w:pBdr>
          <w:top w:val="nil"/>
          <w:left w:val="nil"/>
          <w:bottom w:val="nil"/>
          <w:right w:val="nil"/>
          <w:between w:val="nil"/>
        </w:pBdr>
        <w:tabs>
          <w:tab w:val="left" w:pos="360"/>
        </w:tabs>
        <w:rPr>
          <w:color w:val="000000"/>
        </w:rPr>
      </w:pPr>
      <w:r>
        <w:rPr>
          <w:color w:val="000000"/>
        </w:rPr>
        <w:t xml:space="preserve">As stated on the applicable forms, data submitted to NMFS to fulfill HSFCA requirements will be managed consistent with </w:t>
      </w:r>
      <w:hyperlink r:id="rId9">
        <w:r>
          <w:rPr>
            <w:color w:val="0000FF"/>
            <w:u w:val="single"/>
          </w:rPr>
          <w:t>NOAA Administrative Order 216-100</w:t>
        </w:r>
      </w:hyperlink>
      <w:r>
        <w:rPr>
          <w:color w:val="000000"/>
        </w:rPr>
        <w:t xml:space="preserve"> (Confidentiality of Fisheries Statistics).  NMFS does not release confidential information submitted in compliance with provisions of the Magnuson-Stevens Fishery Conservation and Management Act or HSFCA, other than in aggregate form and under circumstances required or authorized by law.  Whenever data are requested or released to the general public, NMFS ensures that Personally Identifiable Information and information on the financial business activity of a vessel is not identified.</w:t>
      </w:r>
    </w:p>
    <w:p w:rsidR="002D1620">
      <w:pPr>
        <w:pBdr>
          <w:top w:val="nil"/>
          <w:left w:val="nil"/>
          <w:bottom w:val="nil"/>
          <w:right w:val="nil"/>
          <w:between w:val="nil"/>
        </w:pBdr>
        <w:tabs>
          <w:tab w:val="left" w:pos="360"/>
        </w:tabs>
        <w:rPr>
          <w:b/>
          <w:color w:val="000000"/>
        </w:rPr>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D1620"/>
    <w:p w:rsidR="002D1620">
      <w:pPr>
        <w:rPr>
          <w:b/>
        </w:rPr>
        <w:sectPr>
          <w:footerReference w:type="default" r:id="rId10"/>
          <w:pgSz w:w="12240" w:h="15840"/>
          <w:pgMar w:top="640" w:right="1080" w:bottom="1200" w:left="1080" w:header="0" w:footer="714" w:gutter="0"/>
          <w:pgNumType w:start="1"/>
          <w:cols w:space="720"/>
        </w:sectPr>
      </w:pPr>
      <w:r>
        <w:t>No questions of a sensitive nature are included in this information collection.</w:t>
      </w: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2D1620">
      <w:pPr>
        <w:pBdr>
          <w:top w:val="nil"/>
          <w:left w:val="nil"/>
          <w:bottom w:val="nil"/>
          <w:right w:val="nil"/>
          <w:between w:val="nil"/>
        </w:pBdr>
        <w:tabs>
          <w:tab w:val="left" w:pos="360"/>
        </w:tabs>
        <w:rPr>
          <w:b/>
          <w:color w:val="000000"/>
        </w:rPr>
      </w:pPr>
    </w:p>
    <w:p w:rsidR="002D1620">
      <w:pPr>
        <w:pBdr>
          <w:top w:val="nil"/>
          <w:left w:val="nil"/>
          <w:bottom w:val="nil"/>
          <w:right w:val="nil"/>
          <w:between w:val="nil"/>
        </w:pBdr>
        <w:spacing w:after="280"/>
        <w:ind w:right="595"/>
        <w:rPr>
          <w:color w:val="000000"/>
        </w:rPr>
      </w:pPr>
      <w:r>
        <w:rPr>
          <w:color w:val="000000"/>
        </w:rPr>
        <w:t xml:space="preserve">The permit application process is now automated though use of the National Marine Fisheries Service National Permits System: </w:t>
      </w:r>
    </w:p>
    <w:p w:rsidR="002D1620">
      <w:pPr>
        <w:pBdr>
          <w:top w:val="nil"/>
          <w:left w:val="nil"/>
          <w:bottom w:val="nil"/>
          <w:right w:val="nil"/>
          <w:between w:val="nil"/>
        </w:pBdr>
        <w:spacing w:after="280"/>
        <w:ind w:right="595"/>
        <w:rPr>
          <w:color w:val="000000"/>
        </w:rPr>
      </w:pPr>
      <w:r>
        <w:rPr>
          <w:color w:val="000000"/>
        </w:rPr>
        <w:t>(</w:t>
      </w:r>
      <w:hyperlink r:id="rId11">
        <w:r>
          <w:rPr>
            <w:color w:val="0000FF"/>
            <w:u w:val="single"/>
          </w:rPr>
          <w:t>https://fisheriespermits.noaa.gov/npspub/pub_cmn_login/index_live.jsp</w:t>
        </w:r>
      </w:hyperlink>
      <w:r>
        <w:rPr>
          <w:color w:val="000000"/>
        </w:rPr>
        <w:t>).</w:t>
      </w:r>
    </w:p>
    <w:p w:rsidR="002D1620">
      <w:pPr>
        <w:pBdr>
          <w:top w:val="nil"/>
          <w:left w:val="nil"/>
          <w:bottom w:val="nil"/>
          <w:right w:val="nil"/>
          <w:between w:val="nil"/>
        </w:pBdr>
      </w:pPr>
      <w:r>
        <w:t>All application information can be submitted online and the required vessel photograph can be uploaded to the system.  For permit renewals, the applicant information is pre-populated by the system after logging in to the vessel operator account, thus reducing the data entry time accordingly.  An average of 15 minutes per event is estimated for initial applications and renewals combined, with the majority of actions being renewals.</w:t>
      </w:r>
    </w:p>
    <w:p w:rsidR="002D1620">
      <w:pPr>
        <w:pBdr>
          <w:top w:val="nil"/>
          <w:left w:val="nil"/>
          <w:bottom w:val="nil"/>
          <w:right w:val="nil"/>
          <w:between w:val="nil"/>
        </w:pBdr>
      </w:pPr>
    </w:p>
    <w:p w:rsidR="002D1620">
      <w:pPr>
        <w:pBdr>
          <w:top w:val="nil"/>
          <w:left w:val="nil"/>
          <w:bottom w:val="nil"/>
          <w:right w:val="nil"/>
          <w:between w:val="nil"/>
        </w:pBdr>
        <w:spacing w:after="280"/>
        <w:ind w:right="595"/>
        <w:rPr>
          <w:color w:val="000000"/>
        </w:rPr>
      </w:pPr>
      <w:r>
        <w:rPr>
          <w:color w:val="000000"/>
        </w:rPr>
        <w:t>Payment of the application-processing fee ($84.00) is accomplished through use of the U.S. Treasury automated payment system (www.pay.gov).</w:t>
      </w:r>
    </w:p>
    <w:p w:rsidR="002D1620">
      <w:pPr>
        <w:pBdr>
          <w:top w:val="nil"/>
          <w:left w:val="nil"/>
          <w:bottom w:val="nil"/>
          <w:right w:val="nil"/>
          <w:between w:val="nil"/>
        </w:pBdr>
        <w:spacing w:after="280"/>
        <w:ind w:right="595"/>
        <w:rPr>
          <w:color w:val="000000"/>
        </w:rPr>
      </w:pPr>
      <w:r>
        <w:rPr>
          <w:color w:val="000000"/>
        </w:rPr>
        <w:t xml:space="preserve">The estimated annual time burden for the permit application/renewal collection is 30 hours, calculated as follows: </w:t>
      </w:r>
    </w:p>
    <w:p w:rsidR="002D1620">
      <w:pPr>
        <w:pBdr>
          <w:top w:val="nil"/>
          <w:left w:val="nil"/>
          <w:bottom w:val="nil"/>
          <w:right w:val="nil"/>
          <w:between w:val="nil"/>
        </w:pBdr>
        <w:tabs>
          <w:tab w:val="left" w:pos="360"/>
        </w:tabs>
        <w:ind w:left="720"/>
        <w:rPr>
          <w:color w:val="000000"/>
        </w:rPr>
      </w:pPr>
      <w:r>
        <w:rPr>
          <w:color w:val="000000"/>
        </w:rPr>
        <w:t>120 vessel permit applications/renewals per year</w:t>
      </w:r>
      <w:r>
        <w:rPr>
          <w:color w:val="000000"/>
        </w:rPr>
        <w:br/>
        <w:t>120 per annum x 0.25 hours per application = 30 hrs.</w:t>
      </w:r>
    </w:p>
    <w:p w:rsidR="002D1620">
      <w:pPr>
        <w:pBdr>
          <w:top w:val="nil"/>
          <w:left w:val="nil"/>
          <w:bottom w:val="nil"/>
          <w:right w:val="nil"/>
          <w:between w:val="nil"/>
        </w:pBdr>
        <w:tabs>
          <w:tab w:val="left" w:pos="360"/>
        </w:tabs>
      </w:pPr>
    </w:p>
    <w:p w:rsidR="002D1620">
      <w:pPr>
        <w:spacing w:after="98" w:line="308" w:lineRule="auto"/>
        <w:ind w:left="-5"/>
        <w:rPr>
          <w:u w:val="single"/>
        </w:rPr>
      </w:pPr>
      <w:r>
        <w:rPr>
          <w:i/>
          <w:u w:val="single"/>
        </w:rPr>
        <w:t>Vessel Markings</w:t>
      </w:r>
    </w:p>
    <w:p w:rsidR="002D1620">
      <w:pPr>
        <w:spacing w:after="184"/>
        <w:ind w:left="-5"/>
      </w:pPr>
      <w:r>
        <w:t>Vessels are previously marked in fulfilment of requirements, so there are no additional ongoing operational time burdens.</w:t>
      </w:r>
    </w:p>
    <w:p w:rsidR="00B04B17" w:rsidP="00B04B17">
      <w:pPr>
        <w:spacing w:after="162" w:line="259" w:lineRule="auto"/>
        <w:ind w:left="-5"/>
        <w:rPr>
          <w:u w:val="single"/>
        </w:rPr>
      </w:pPr>
      <w:r>
        <w:rPr>
          <w:i/>
          <w:u w:val="single"/>
        </w:rPr>
        <w:t>Request to authorize a fishery on the high seas</w:t>
      </w:r>
    </w:p>
    <w:p w:rsidR="00B04B17" w:rsidP="00B04B17">
      <w:pPr>
        <w:spacing w:after="197" w:line="226" w:lineRule="auto"/>
        <w:ind w:left="-5"/>
      </w:pPr>
      <w:r>
        <w:t xml:space="preserve">Making this optional request to add an authorized fishery is expected to take approximately about 40 hours.  This time would be spent gathering and compiling the required information required to open a new high seas fishery.  NMFS does not expect such requests.  For the purposes of this analysis, NMFS estimates that one request might be submitted every 10 years.  The annualized burden for this option is 4 hours.  </w:t>
      </w:r>
    </w:p>
    <w:p w:rsidR="002D1620">
      <w:pPr>
        <w:pStyle w:val="Heading1"/>
        <w:spacing w:after="158"/>
        <w:ind w:left="-5"/>
        <w:rPr>
          <w:b w:val="0"/>
          <w:i/>
          <w:u w:val="single"/>
        </w:rPr>
      </w:pPr>
      <w:r>
        <w:rPr>
          <w:b w:val="0"/>
          <w:i/>
          <w:u w:val="single"/>
        </w:rPr>
        <w:t>Transshipment Notification</w:t>
      </w:r>
    </w:p>
    <w:p w:rsidR="002D1620">
      <w:pPr>
        <w:spacing w:after="171"/>
        <w:ind w:left="-5"/>
      </w:pPr>
      <w:r>
        <w:t>If a vessel transships fish, a notification is submitted. NMFS collects approximately 15 transshipment forms per year. The calculation is: 5 transshipment vessels/year x 3 transshipment forms each = 15 x 1 hours per form = 15</w:t>
      </w:r>
    </w:p>
    <w:p w:rsidR="002D1620">
      <w:pPr>
        <w:spacing w:after="162" w:line="259" w:lineRule="auto"/>
        <w:ind w:left="-5"/>
        <w:rPr>
          <w:u w:val="single"/>
        </w:rPr>
      </w:pPr>
      <w:r>
        <w:rPr>
          <w:i/>
          <w:u w:val="single"/>
        </w:rPr>
        <w:t>EMTU Operations</w:t>
      </w:r>
    </w:p>
    <w:p w:rsidR="002D1620">
      <w:pPr>
        <w:spacing w:after="197" w:line="226" w:lineRule="auto"/>
        <w:ind w:left="-5"/>
      </w:pPr>
      <w:r>
        <w:t>The notices prior to power</w:t>
      </w:r>
      <w:r>
        <w:rPr>
          <w:sz w:val="22"/>
          <w:szCs w:val="22"/>
        </w:rPr>
        <w:t>-down and powering-on the EMTU are estimated to take 10 minutes total for each power-down.  NMFS estimates that approximately 400 vessels would use this option each year.  The annual burden estimate is 67 hours.</w:t>
      </w:r>
    </w:p>
    <w:p w:rsidR="002D1620">
      <w:pPr>
        <w:spacing w:after="162" w:line="259" w:lineRule="auto"/>
        <w:ind w:left="-5"/>
        <w:rPr>
          <w:u w:val="single"/>
        </w:rPr>
      </w:pPr>
      <w:r>
        <w:rPr>
          <w:i/>
          <w:sz w:val="22"/>
          <w:szCs w:val="22"/>
          <w:u w:val="single"/>
        </w:rPr>
        <w:t xml:space="preserve">High Seas Fishing Vessel Observer Notification </w:t>
      </w:r>
    </w:p>
    <w:p w:rsidR="00BB2485">
      <w:pPr>
        <w:spacing w:after="197" w:line="226" w:lineRule="auto"/>
        <w:ind w:left="-5"/>
        <w:rPr>
          <w:sz w:val="22"/>
          <w:szCs w:val="22"/>
        </w:rPr>
        <w:sectPr>
          <w:pgSz w:w="12240" w:h="15840"/>
          <w:pgMar w:top="640" w:right="1080" w:bottom="1200" w:left="1080" w:header="0" w:footer="714" w:gutter="0"/>
          <w:cols w:space="720"/>
        </w:sectPr>
      </w:pPr>
      <w:r>
        <w:rPr>
          <w:sz w:val="22"/>
          <w:szCs w:val="22"/>
        </w:rPr>
        <w:t>Under the final rule, any high seas fishing vessel could be selected by NMFS for observer coverage.  If so selected, the vessel owner or operator will need to provide NMFS a notice of their next fishing trip.  This notification is estimated to take 5 minutes.  NMFS does not know what percentage of high seas fishing vessels will be selected for observer coverage and whether only one trip per year per vessel will be covered by an observer.  For the purposes of this PRA request, if 60 vessels are selected each year, on average, to carry an observer on a single fishing trip, the annual bu</w:t>
      </w:r>
      <w:r>
        <w:rPr>
          <w:sz w:val="22"/>
          <w:szCs w:val="22"/>
        </w:rPr>
        <w:t>rden is estimated to be 5 hours.</w:t>
      </w:r>
    </w:p>
    <w:tbl>
      <w:tblPr>
        <w:tblStyle w:val="ae"/>
        <w:tblpPr w:leftFromText="180" w:rightFromText="180" w:vertAnchor="text" w:horzAnchor="margin" w:tblpXSpec="center" w:tblpY="1437"/>
        <w:tblW w:w="14415" w:type="dxa"/>
        <w:tblLayout w:type="fixed"/>
        <w:tblLook w:val="0400"/>
      </w:tblPr>
      <w:tblGrid>
        <w:gridCol w:w="3510"/>
        <w:gridCol w:w="1890"/>
        <w:gridCol w:w="1185"/>
        <w:gridCol w:w="1320"/>
        <w:gridCol w:w="1215"/>
        <w:gridCol w:w="1080"/>
        <w:gridCol w:w="1185"/>
        <w:gridCol w:w="1440"/>
        <w:gridCol w:w="1590"/>
      </w:tblGrid>
      <w:tr w:rsidTr="00107B95">
        <w:tblPrEx>
          <w:tblW w:w="14415" w:type="dxa"/>
          <w:tblLayout w:type="fixed"/>
          <w:tblLook w:val="0400"/>
        </w:tblPrEx>
        <w:trPr>
          <w:trHeight w:val="1365"/>
        </w:trPr>
        <w:tc>
          <w:tcPr>
            <w:tcW w:w="351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B2485" w:rsidP="00BB2485">
            <w:pPr>
              <w:widowControl/>
              <w:jc w:val="center"/>
              <w:rPr>
                <w:b/>
                <w:color w:val="000000"/>
                <w:sz w:val="20"/>
                <w:szCs w:val="20"/>
              </w:rPr>
            </w:pPr>
            <w:r>
              <w:rPr>
                <w:b/>
                <w:color w:val="000000"/>
                <w:sz w:val="20"/>
                <w:szCs w:val="20"/>
              </w:rPr>
              <w:t>Information Collection</w:t>
            </w:r>
          </w:p>
        </w:tc>
        <w:tc>
          <w:tcPr>
            <w:tcW w:w="1890" w:type="dxa"/>
            <w:tcBorders>
              <w:top w:val="single" w:sz="8" w:space="0" w:color="000000"/>
              <w:left w:val="nil"/>
              <w:bottom w:val="single" w:sz="8" w:space="0" w:color="000000"/>
              <w:right w:val="single" w:sz="8" w:space="0" w:color="000000"/>
            </w:tcBorders>
            <w:shd w:val="clear" w:color="auto" w:fill="BDD7EE"/>
            <w:vAlign w:val="center"/>
          </w:tcPr>
          <w:p w:rsidR="00BB2485" w:rsidP="00BB2485">
            <w:pPr>
              <w:widowControl/>
              <w:jc w:val="center"/>
              <w:rPr>
                <w:b/>
                <w:color w:val="000000"/>
                <w:sz w:val="20"/>
                <w:szCs w:val="20"/>
              </w:rPr>
            </w:pPr>
            <w:r>
              <w:rPr>
                <w:b/>
                <w:color w:val="000000"/>
                <w:sz w:val="20"/>
                <w:szCs w:val="20"/>
              </w:rPr>
              <w:t>Type of Respondent (e.g., Occupational Title)</w:t>
            </w:r>
          </w:p>
        </w:tc>
        <w:tc>
          <w:tcPr>
            <w:tcW w:w="1185" w:type="dxa"/>
            <w:tcBorders>
              <w:top w:val="single" w:sz="8" w:space="0" w:color="000000"/>
              <w:left w:val="nil"/>
              <w:bottom w:val="single" w:sz="8" w:space="0" w:color="000000"/>
              <w:right w:val="single" w:sz="8" w:space="0" w:color="000000"/>
            </w:tcBorders>
            <w:shd w:val="clear" w:color="auto" w:fill="BDD7EE"/>
            <w:vAlign w:val="center"/>
          </w:tcPr>
          <w:p w:rsidR="00BB2485" w:rsidP="00BB2485">
            <w:pPr>
              <w:widowControl/>
              <w:jc w:val="center"/>
              <w:rPr>
                <w:b/>
                <w:color w:val="000000"/>
                <w:sz w:val="20"/>
                <w:szCs w:val="20"/>
              </w:rPr>
            </w:pPr>
            <w:r>
              <w:rPr>
                <w:b/>
                <w:color w:val="000000"/>
                <w:sz w:val="20"/>
                <w:szCs w:val="20"/>
              </w:rPr>
              <w:t># of Respondents/year</w:t>
            </w:r>
            <w:r>
              <w:rPr>
                <w:b/>
                <w:color w:val="000000"/>
                <w:sz w:val="20"/>
                <w:szCs w:val="20"/>
              </w:rPr>
              <w:br/>
              <w:t>(a)</w:t>
            </w:r>
          </w:p>
        </w:tc>
        <w:tc>
          <w:tcPr>
            <w:tcW w:w="1320" w:type="dxa"/>
            <w:tcBorders>
              <w:top w:val="single" w:sz="8" w:space="0" w:color="000000"/>
              <w:left w:val="nil"/>
              <w:bottom w:val="single" w:sz="8" w:space="0" w:color="000000"/>
              <w:right w:val="single" w:sz="8" w:space="0" w:color="000000"/>
            </w:tcBorders>
            <w:shd w:val="clear" w:color="auto" w:fill="BDD7EE"/>
            <w:vAlign w:val="center"/>
          </w:tcPr>
          <w:p w:rsidR="00BB2485" w:rsidP="00BB2485">
            <w:pPr>
              <w:widowControl/>
              <w:jc w:val="center"/>
              <w:rPr>
                <w:b/>
                <w:color w:val="000000"/>
                <w:sz w:val="20"/>
                <w:szCs w:val="20"/>
              </w:rPr>
            </w:pPr>
            <w:r>
              <w:rPr>
                <w:b/>
                <w:color w:val="000000"/>
                <w:sz w:val="20"/>
                <w:szCs w:val="20"/>
              </w:rPr>
              <w:t>Annual # of Responses / Respondent</w:t>
            </w:r>
            <w:r>
              <w:rPr>
                <w:b/>
                <w:color w:val="000000"/>
                <w:sz w:val="20"/>
                <w:szCs w:val="20"/>
              </w:rPr>
              <w:br/>
              <w:t>(b)</w:t>
            </w:r>
          </w:p>
        </w:tc>
        <w:tc>
          <w:tcPr>
            <w:tcW w:w="1215" w:type="dxa"/>
            <w:tcBorders>
              <w:top w:val="single" w:sz="8" w:space="0" w:color="000000"/>
              <w:left w:val="nil"/>
              <w:bottom w:val="single" w:sz="8" w:space="0" w:color="000000"/>
              <w:right w:val="single" w:sz="8" w:space="0" w:color="000000"/>
            </w:tcBorders>
            <w:shd w:val="clear" w:color="auto" w:fill="BDD7EE"/>
            <w:vAlign w:val="center"/>
          </w:tcPr>
          <w:p w:rsidR="00BB2485" w:rsidP="00BB2485">
            <w:pPr>
              <w:widowControl/>
              <w:jc w:val="center"/>
              <w:rPr>
                <w:b/>
                <w:color w:val="000000"/>
                <w:sz w:val="20"/>
                <w:szCs w:val="20"/>
              </w:rPr>
            </w:pPr>
            <w:r>
              <w:rPr>
                <w:b/>
                <w:color w:val="000000"/>
                <w:sz w:val="20"/>
                <w:szCs w:val="20"/>
              </w:rPr>
              <w:t xml:space="preserve"> Total # of Annual Responses</w:t>
            </w:r>
            <w:r>
              <w:rPr>
                <w:b/>
                <w:color w:val="000000"/>
                <w:sz w:val="20"/>
                <w:szCs w:val="20"/>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BB2485" w:rsidP="00BB2485">
            <w:pPr>
              <w:widowControl/>
              <w:jc w:val="center"/>
              <w:rPr>
                <w:b/>
                <w:color w:val="000000"/>
                <w:sz w:val="20"/>
                <w:szCs w:val="20"/>
              </w:rPr>
            </w:pPr>
            <w:r>
              <w:rPr>
                <w:b/>
                <w:color w:val="000000"/>
                <w:sz w:val="20"/>
                <w:szCs w:val="20"/>
              </w:rPr>
              <w:t>Burden Hrs / Response</w:t>
            </w:r>
            <w:r>
              <w:rPr>
                <w:b/>
                <w:color w:val="000000"/>
                <w:sz w:val="20"/>
                <w:szCs w:val="20"/>
              </w:rPr>
              <w:br/>
              <w:t>(d)</w:t>
            </w:r>
          </w:p>
        </w:tc>
        <w:tc>
          <w:tcPr>
            <w:tcW w:w="1185" w:type="dxa"/>
            <w:tcBorders>
              <w:top w:val="single" w:sz="8" w:space="0" w:color="000000"/>
              <w:left w:val="nil"/>
              <w:bottom w:val="single" w:sz="8" w:space="0" w:color="000000"/>
              <w:right w:val="single" w:sz="8" w:space="0" w:color="000000"/>
            </w:tcBorders>
            <w:shd w:val="clear" w:color="auto" w:fill="BDD7EE"/>
            <w:vAlign w:val="center"/>
          </w:tcPr>
          <w:p w:rsidR="00BB2485" w:rsidP="00BB2485">
            <w:pPr>
              <w:widowControl/>
              <w:jc w:val="center"/>
              <w:rPr>
                <w:b/>
                <w:color w:val="000000"/>
                <w:sz w:val="20"/>
                <w:szCs w:val="20"/>
              </w:rPr>
            </w:pPr>
            <w:r>
              <w:rPr>
                <w:b/>
                <w:color w:val="000000"/>
                <w:sz w:val="20"/>
                <w:szCs w:val="20"/>
              </w:rPr>
              <w:t>Total Annual Burden Hrs</w:t>
            </w:r>
            <w:r>
              <w:rPr>
                <w:b/>
                <w:color w:val="000000"/>
                <w:sz w:val="20"/>
                <w:szCs w:val="20"/>
              </w:rPr>
              <w:br/>
              <w:t>(e)  = (c) x (d)</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BB2485" w:rsidP="00BB2485">
            <w:pPr>
              <w:widowControl/>
              <w:jc w:val="center"/>
              <w:rPr>
                <w:b/>
                <w:color w:val="000000"/>
                <w:sz w:val="20"/>
                <w:szCs w:val="20"/>
              </w:rPr>
            </w:pPr>
            <w:r>
              <w:rPr>
                <w:b/>
                <w:color w:val="000000"/>
                <w:sz w:val="20"/>
                <w:szCs w:val="20"/>
              </w:rPr>
              <w:t>Hourly Wage Rate  (for Type of Respondent)</w:t>
            </w:r>
            <w:r>
              <w:rPr>
                <w:b/>
                <w:color w:val="000000"/>
                <w:sz w:val="20"/>
                <w:szCs w:val="20"/>
              </w:rPr>
              <w:br/>
              <w:t>(f)</w:t>
            </w:r>
          </w:p>
        </w:tc>
        <w:tc>
          <w:tcPr>
            <w:tcW w:w="1590" w:type="dxa"/>
            <w:tcBorders>
              <w:top w:val="single" w:sz="8" w:space="0" w:color="000000"/>
              <w:left w:val="nil"/>
              <w:bottom w:val="single" w:sz="8" w:space="0" w:color="000000"/>
              <w:right w:val="single" w:sz="8" w:space="0" w:color="000000"/>
            </w:tcBorders>
            <w:shd w:val="clear" w:color="auto" w:fill="BDD7EE"/>
            <w:vAlign w:val="center"/>
          </w:tcPr>
          <w:p w:rsidR="00BB2485" w:rsidP="00BB2485">
            <w:pPr>
              <w:widowControl/>
              <w:ind w:right="-30"/>
              <w:jc w:val="center"/>
              <w:rPr>
                <w:b/>
                <w:color w:val="000000"/>
                <w:sz w:val="20"/>
                <w:szCs w:val="20"/>
              </w:rPr>
            </w:pPr>
            <w:r>
              <w:rPr>
                <w:b/>
                <w:color w:val="000000"/>
                <w:sz w:val="20"/>
                <w:szCs w:val="20"/>
              </w:rPr>
              <w:t>Total Annual Wage Burden Costs</w:t>
            </w:r>
            <w:r>
              <w:rPr>
                <w:b/>
                <w:color w:val="000000"/>
                <w:sz w:val="20"/>
                <w:szCs w:val="20"/>
              </w:rPr>
              <w:br/>
              <w:t>(g) = (e) x (f)</w:t>
            </w:r>
          </w:p>
        </w:tc>
      </w:tr>
      <w:tr w:rsidTr="00107B95">
        <w:tblPrEx>
          <w:tblW w:w="14415" w:type="dxa"/>
          <w:tblLayout w:type="fixed"/>
          <w:tblLook w:val="0400"/>
        </w:tblPrEx>
        <w:trPr>
          <w:trHeight w:val="300"/>
        </w:trPr>
        <w:tc>
          <w:tcPr>
            <w:tcW w:w="3510" w:type="dxa"/>
            <w:tcBorders>
              <w:top w:val="nil"/>
              <w:left w:val="single" w:sz="8" w:space="0" w:color="000000"/>
              <w:bottom w:val="single" w:sz="4" w:space="0" w:color="000000"/>
              <w:right w:val="single" w:sz="4" w:space="0" w:color="000000"/>
            </w:tcBorders>
            <w:shd w:val="clear" w:color="auto" w:fill="auto"/>
            <w:vAlign w:val="bottom"/>
          </w:tcPr>
          <w:p w:rsidR="00BB2485" w:rsidRPr="001B1351" w:rsidP="00BB2485">
            <w:pPr>
              <w:widowControl/>
              <w:rPr>
                <w:color w:val="000000"/>
                <w:sz w:val="20"/>
                <w:szCs w:val="20"/>
              </w:rPr>
            </w:pPr>
            <w:r w:rsidRPr="001B1351">
              <w:rPr>
                <w:sz w:val="20"/>
                <w:szCs w:val="20"/>
              </w:rPr>
              <w:t>High Seas Fishing Permit Application</w:t>
            </w:r>
          </w:p>
        </w:tc>
        <w:tc>
          <w:tcPr>
            <w:tcW w:w="1890" w:type="dxa"/>
            <w:tcBorders>
              <w:top w:val="nil"/>
              <w:left w:val="nil"/>
              <w:bottom w:val="single" w:sz="4" w:space="0" w:color="000000"/>
              <w:right w:val="single" w:sz="4" w:space="0" w:color="000000"/>
            </w:tcBorders>
            <w:shd w:val="clear" w:color="auto" w:fill="auto"/>
            <w:vAlign w:val="bottom"/>
          </w:tcPr>
          <w:p w:rsidR="00BB2485" w:rsidP="00BB2485">
            <w:pPr>
              <w:jc w:val="center"/>
              <w:rPr>
                <w:sz w:val="18"/>
                <w:szCs w:val="18"/>
              </w:rPr>
            </w:pPr>
            <w:r>
              <w:rPr>
                <w:sz w:val="18"/>
                <w:szCs w:val="18"/>
              </w:rPr>
              <w:t>45-1011 First-Line Supervisors of</w:t>
            </w:r>
          </w:p>
          <w:p w:rsidR="00BB2485" w:rsidP="00BB2485">
            <w:pPr>
              <w:widowControl/>
              <w:jc w:val="center"/>
              <w:rPr>
                <w:color w:val="000000"/>
                <w:sz w:val="18"/>
                <w:szCs w:val="18"/>
              </w:rPr>
            </w:pPr>
            <w:r>
              <w:rPr>
                <w:sz w:val="18"/>
                <w:szCs w:val="18"/>
              </w:rPr>
              <w:t>Farming, Fishing, and Forestry Workers</w:t>
            </w:r>
            <w:r>
              <w:rPr>
                <w:color w:val="000000"/>
                <w:sz w:val="18"/>
                <w:szCs w:val="18"/>
              </w:rPr>
              <w:t> </w:t>
            </w:r>
          </w:p>
        </w:tc>
        <w:tc>
          <w:tcPr>
            <w:tcW w:w="1185"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120 </w:t>
            </w:r>
          </w:p>
        </w:tc>
        <w:tc>
          <w:tcPr>
            <w:tcW w:w="1320"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1 </w:t>
            </w:r>
          </w:p>
        </w:tc>
        <w:tc>
          <w:tcPr>
            <w:tcW w:w="1215"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120 </w:t>
            </w:r>
          </w:p>
        </w:tc>
        <w:tc>
          <w:tcPr>
            <w:tcW w:w="1080"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0.25 </w:t>
            </w:r>
          </w:p>
        </w:tc>
        <w:tc>
          <w:tcPr>
            <w:tcW w:w="1185"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30 </w:t>
            </w:r>
          </w:p>
        </w:tc>
        <w:tc>
          <w:tcPr>
            <w:tcW w:w="1440"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highlight w:val="white"/>
              </w:rPr>
              <w:t>$29.23</w:t>
            </w:r>
            <w:r>
              <w:rPr>
                <w:color w:val="000000"/>
                <w:sz w:val="18"/>
                <w:szCs w:val="18"/>
              </w:rPr>
              <w:t> </w:t>
            </w:r>
          </w:p>
        </w:tc>
        <w:tc>
          <w:tcPr>
            <w:tcW w:w="1590" w:type="dxa"/>
            <w:tcBorders>
              <w:top w:val="nil"/>
              <w:left w:val="nil"/>
              <w:bottom w:val="single" w:sz="4" w:space="0" w:color="000000"/>
              <w:right w:val="single" w:sz="8" w:space="0" w:color="000000"/>
            </w:tcBorders>
            <w:shd w:val="clear" w:color="auto" w:fill="auto"/>
            <w:vAlign w:val="bottom"/>
          </w:tcPr>
          <w:p w:rsidR="00BB2485" w:rsidP="00BB2485">
            <w:pPr>
              <w:widowControl/>
              <w:jc w:val="right"/>
              <w:rPr>
                <w:color w:val="000000"/>
                <w:sz w:val="18"/>
                <w:szCs w:val="18"/>
              </w:rPr>
            </w:pPr>
            <w:r>
              <w:rPr>
                <w:color w:val="000000"/>
                <w:sz w:val="18"/>
                <w:szCs w:val="18"/>
              </w:rPr>
              <w:t>$876.90</w:t>
            </w:r>
          </w:p>
        </w:tc>
      </w:tr>
      <w:tr w:rsidTr="00107B95">
        <w:tblPrEx>
          <w:tblW w:w="14415" w:type="dxa"/>
          <w:tblLayout w:type="fixed"/>
          <w:tblLook w:val="0400"/>
        </w:tblPrEx>
        <w:trPr>
          <w:trHeight w:val="300"/>
        </w:trPr>
        <w:tc>
          <w:tcPr>
            <w:tcW w:w="3510" w:type="dxa"/>
            <w:tcBorders>
              <w:top w:val="nil"/>
              <w:left w:val="single" w:sz="8" w:space="0" w:color="000000"/>
              <w:bottom w:val="single" w:sz="4" w:space="0" w:color="000000"/>
              <w:right w:val="single" w:sz="4" w:space="0" w:color="000000"/>
            </w:tcBorders>
            <w:shd w:val="clear" w:color="auto" w:fill="auto"/>
            <w:vAlign w:val="bottom"/>
          </w:tcPr>
          <w:p w:rsidR="004F047C" w:rsidRPr="001B1351" w:rsidP="004F047C">
            <w:pPr>
              <w:widowControl/>
              <w:rPr>
                <w:color w:val="000000"/>
                <w:sz w:val="20"/>
                <w:szCs w:val="20"/>
              </w:rPr>
            </w:pPr>
            <w:r w:rsidRPr="001B1351">
              <w:rPr>
                <w:color w:val="000000"/>
                <w:sz w:val="20"/>
                <w:szCs w:val="20"/>
              </w:rPr>
              <w:t xml:space="preserve">Request to Authorize a Fishery on the High Seas </w:t>
            </w:r>
          </w:p>
        </w:tc>
        <w:tc>
          <w:tcPr>
            <w:tcW w:w="1890" w:type="dxa"/>
            <w:tcBorders>
              <w:top w:val="nil"/>
              <w:left w:val="nil"/>
              <w:bottom w:val="single" w:sz="4" w:space="0" w:color="000000"/>
              <w:right w:val="single" w:sz="4" w:space="0" w:color="000000"/>
            </w:tcBorders>
            <w:shd w:val="clear" w:color="auto" w:fill="auto"/>
            <w:vAlign w:val="bottom"/>
          </w:tcPr>
          <w:p w:rsidR="004F047C" w:rsidP="004F047C">
            <w:pPr>
              <w:jc w:val="center"/>
              <w:rPr>
                <w:sz w:val="18"/>
                <w:szCs w:val="18"/>
              </w:rPr>
            </w:pPr>
            <w:r>
              <w:rPr>
                <w:color w:val="000000"/>
                <w:sz w:val="18"/>
                <w:szCs w:val="18"/>
              </w:rPr>
              <w:t> </w:t>
            </w:r>
            <w:r>
              <w:rPr>
                <w:sz w:val="18"/>
                <w:szCs w:val="18"/>
              </w:rPr>
              <w:t>45-1011 First-Line Supervisors of</w:t>
            </w:r>
          </w:p>
          <w:p w:rsidR="004F047C" w:rsidP="004F047C">
            <w:pPr>
              <w:widowControl/>
              <w:jc w:val="center"/>
              <w:rPr>
                <w:color w:val="000000"/>
                <w:sz w:val="18"/>
                <w:szCs w:val="18"/>
              </w:rPr>
            </w:pPr>
            <w:r>
              <w:rPr>
                <w:sz w:val="18"/>
                <w:szCs w:val="18"/>
              </w:rPr>
              <w:t>Farming, Fishing, and Forestry Workers</w:t>
            </w:r>
          </w:p>
        </w:tc>
        <w:tc>
          <w:tcPr>
            <w:tcW w:w="1185" w:type="dxa"/>
            <w:tcBorders>
              <w:top w:val="nil"/>
              <w:left w:val="nil"/>
              <w:bottom w:val="single" w:sz="4" w:space="0" w:color="000000"/>
              <w:right w:val="single" w:sz="4" w:space="0" w:color="000000"/>
            </w:tcBorders>
            <w:shd w:val="clear" w:color="auto" w:fill="auto"/>
            <w:vAlign w:val="bottom"/>
          </w:tcPr>
          <w:p w:rsidR="004F047C" w:rsidP="004F047C">
            <w:pPr>
              <w:widowControl/>
              <w:jc w:val="right"/>
              <w:rPr>
                <w:color w:val="000000"/>
                <w:sz w:val="18"/>
                <w:szCs w:val="18"/>
              </w:rPr>
            </w:pPr>
            <w:r>
              <w:rPr>
                <w:color w:val="000000"/>
                <w:sz w:val="18"/>
                <w:szCs w:val="18"/>
              </w:rPr>
              <w:t>1 </w:t>
            </w:r>
          </w:p>
        </w:tc>
        <w:tc>
          <w:tcPr>
            <w:tcW w:w="1320" w:type="dxa"/>
            <w:tcBorders>
              <w:top w:val="nil"/>
              <w:left w:val="nil"/>
              <w:bottom w:val="single" w:sz="4" w:space="0" w:color="000000"/>
              <w:right w:val="single" w:sz="4" w:space="0" w:color="000000"/>
            </w:tcBorders>
            <w:shd w:val="clear" w:color="auto" w:fill="auto"/>
            <w:vAlign w:val="bottom"/>
          </w:tcPr>
          <w:p w:rsidR="004F047C" w:rsidP="004F047C">
            <w:pPr>
              <w:widowControl/>
              <w:jc w:val="right"/>
              <w:rPr>
                <w:color w:val="000000"/>
                <w:sz w:val="18"/>
                <w:szCs w:val="18"/>
              </w:rPr>
            </w:pPr>
            <w:r>
              <w:rPr>
                <w:color w:val="000000"/>
                <w:sz w:val="18"/>
                <w:szCs w:val="18"/>
              </w:rPr>
              <w:t>0.1 </w:t>
            </w:r>
          </w:p>
        </w:tc>
        <w:tc>
          <w:tcPr>
            <w:tcW w:w="1215" w:type="dxa"/>
            <w:tcBorders>
              <w:top w:val="nil"/>
              <w:left w:val="nil"/>
              <w:bottom w:val="single" w:sz="4" w:space="0" w:color="000000"/>
              <w:right w:val="single" w:sz="4" w:space="0" w:color="000000"/>
            </w:tcBorders>
            <w:shd w:val="clear" w:color="auto" w:fill="auto"/>
            <w:vAlign w:val="bottom"/>
          </w:tcPr>
          <w:p w:rsidR="004F047C" w:rsidP="004F047C">
            <w:pPr>
              <w:widowControl/>
              <w:jc w:val="right"/>
              <w:rPr>
                <w:color w:val="000000"/>
                <w:sz w:val="18"/>
                <w:szCs w:val="18"/>
              </w:rPr>
            </w:pPr>
            <w:r>
              <w:rPr>
                <w:color w:val="000000"/>
                <w:sz w:val="18"/>
                <w:szCs w:val="18"/>
              </w:rPr>
              <w:t>0.1 </w:t>
            </w:r>
          </w:p>
        </w:tc>
        <w:tc>
          <w:tcPr>
            <w:tcW w:w="1080" w:type="dxa"/>
            <w:tcBorders>
              <w:top w:val="nil"/>
              <w:left w:val="nil"/>
              <w:bottom w:val="single" w:sz="4" w:space="0" w:color="000000"/>
              <w:right w:val="single" w:sz="4" w:space="0" w:color="000000"/>
            </w:tcBorders>
            <w:shd w:val="clear" w:color="auto" w:fill="auto"/>
            <w:vAlign w:val="bottom"/>
          </w:tcPr>
          <w:p w:rsidR="004F047C" w:rsidP="004F047C">
            <w:pPr>
              <w:widowControl/>
              <w:jc w:val="right"/>
              <w:rPr>
                <w:color w:val="000000"/>
                <w:sz w:val="18"/>
                <w:szCs w:val="18"/>
              </w:rPr>
            </w:pPr>
            <w:r>
              <w:rPr>
                <w:color w:val="000000"/>
                <w:sz w:val="18"/>
                <w:szCs w:val="18"/>
              </w:rPr>
              <w:t>4</w:t>
            </w:r>
            <w:r w:rsidR="00B04B17">
              <w:rPr>
                <w:color w:val="000000"/>
                <w:sz w:val="18"/>
                <w:szCs w:val="18"/>
              </w:rPr>
              <w:t>0</w:t>
            </w:r>
            <w:r>
              <w:rPr>
                <w:color w:val="000000"/>
                <w:sz w:val="18"/>
                <w:szCs w:val="18"/>
              </w:rPr>
              <w:t> </w:t>
            </w:r>
          </w:p>
        </w:tc>
        <w:tc>
          <w:tcPr>
            <w:tcW w:w="1185" w:type="dxa"/>
            <w:tcBorders>
              <w:top w:val="nil"/>
              <w:left w:val="nil"/>
              <w:bottom w:val="single" w:sz="4" w:space="0" w:color="000000"/>
              <w:right w:val="single" w:sz="4" w:space="0" w:color="000000"/>
            </w:tcBorders>
            <w:shd w:val="clear" w:color="auto" w:fill="auto"/>
            <w:vAlign w:val="bottom"/>
          </w:tcPr>
          <w:p w:rsidR="004F047C" w:rsidP="004F047C">
            <w:pPr>
              <w:widowControl/>
              <w:jc w:val="right"/>
              <w:rPr>
                <w:color w:val="000000"/>
                <w:sz w:val="18"/>
                <w:szCs w:val="18"/>
              </w:rPr>
            </w:pPr>
            <w:r>
              <w:rPr>
                <w:color w:val="000000"/>
                <w:sz w:val="18"/>
                <w:szCs w:val="18"/>
              </w:rPr>
              <w:t>4 </w:t>
            </w:r>
          </w:p>
        </w:tc>
        <w:tc>
          <w:tcPr>
            <w:tcW w:w="1440" w:type="dxa"/>
            <w:tcBorders>
              <w:top w:val="nil"/>
              <w:left w:val="nil"/>
              <w:bottom w:val="single" w:sz="4" w:space="0" w:color="000000"/>
              <w:right w:val="single" w:sz="4" w:space="0" w:color="000000"/>
            </w:tcBorders>
            <w:shd w:val="clear" w:color="auto" w:fill="auto"/>
            <w:vAlign w:val="bottom"/>
          </w:tcPr>
          <w:p w:rsidR="004F047C" w:rsidP="004F047C">
            <w:pPr>
              <w:widowControl/>
              <w:jc w:val="right"/>
              <w:rPr>
                <w:color w:val="000000"/>
                <w:sz w:val="18"/>
                <w:szCs w:val="18"/>
              </w:rPr>
            </w:pPr>
            <w:r>
              <w:rPr>
                <w:color w:val="000000"/>
                <w:sz w:val="18"/>
                <w:szCs w:val="18"/>
                <w:highlight w:val="white"/>
              </w:rPr>
              <w:t>$29.23</w:t>
            </w:r>
            <w:r>
              <w:rPr>
                <w:color w:val="000000"/>
                <w:sz w:val="18"/>
                <w:szCs w:val="18"/>
              </w:rPr>
              <w:t> </w:t>
            </w:r>
          </w:p>
        </w:tc>
        <w:tc>
          <w:tcPr>
            <w:tcW w:w="1590" w:type="dxa"/>
            <w:tcBorders>
              <w:top w:val="nil"/>
              <w:left w:val="nil"/>
              <w:bottom w:val="single" w:sz="4" w:space="0" w:color="000000"/>
              <w:right w:val="single" w:sz="8" w:space="0" w:color="000000"/>
            </w:tcBorders>
            <w:shd w:val="clear" w:color="auto" w:fill="auto"/>
            <w:vAlign w:val="bottom"/>
          </w:tcPr>
          <w:p w:rsidR="004F047C" w:rsidP="004F047C">
            <w:pPr>
              <w:widowControl/>
              <w:jc w:val="right"/>
              <w:rPr>
                <w:color w:val="000000"/>
                <w:sz w:val="18"/>
                <w:szCs w:val="18"/>
              </w:rPr>
            </w:pPr>
            <w:r>
              <w:rPr>
                <w:color w:val="000000"/>
                <w:sz w:val="18"/>
                <w:szCs w:val="18"/>
              </w:rPr>
              <w:t>$116.92 </w:t>
            </w:r>
          </w:p>
        </w:tc>
      </w:tr>
      <w:tr w:rsidTr="00107B95">
        <w:tblPrEx>
          <w:tblW w:w="14415" w:type="dxa"/>
          <w:tblLayout w:type="fixed"/>
          <w:tblLook w:val="0400"/>
        </w:tblPrEx>
        <w:trPr>
          <w:trHeight w:val="300"/>
        </w:trPr>
        <w:tc>
          <w:tcPr>
            <w:tcW w:w="3510" w:type="dxa"/>
            <w:tcBorders>
              <w:top w:val="nil"/>
              <w:left w:val="single" w:sz="8" w:space="0" w:color="000000"/>
              <w:bottom w:val="single" w:sz="4" w:space="0" w:color="000000"/>
              <w:right w:val="single" w:sz="4" w:space="0" w:color="000000"/>
            </w:tcBorders>
            <w:shd w:val="clear" w:color="auto" w:fill="auto"/>
            <w:vAlign w:val="bottom"/>
          </w:tcPr>
          <w:p w:rsidR="00BB2485" w:rsidRPr="001B1351" w:rsidP="00BB2485">
            <w:pPr>
              <w:widowControl/>
              <w:rPr>
                <w:color w:val="000000"/>
                <w:sz w:val="20"/>
                <w:szCs w:val="20"/>
              </w:rPr>
            </w:pPr>
            <w:r w:rsidRPr="001B1351">
              <w:rPr>
                <w:color w:val="000000"/>
                <w:sz w:val="20"/>
                <w:szCs w:val="20"/>
              </w:rPr>
              <w:t> </w:t>
            </w:r>
            <w:r w:rsidRPr="001B1351">
              <w:rPr>
                <w:sz w:val="20"/>
                <w:szCs w:val="20"/>
              </w:rPr>
              <w:t>Transshipment Notifications/Reports</w:t>
            </w:r>
          </w:p>
        </w:tc>
        <w:tc>
          <w:tcPr>
            <w:tcW w:w="1890" w:type="dxa"/>
            <w:tcBorders>
              <w:top w:val="nil"/>
              <w:left w:val="nil"/>
              <w:bottom w:val="single" w:sz="4" w:space="0" w:color="000000"/>
              <w:right w:val="single" w:sz="4" w:space="0" w:color="000000"/>
            </w:tcBorders>
            <w:shd w:val="clear" w:color="auto" w:fill="auto"/>
            <w:vAlign w:val="bottom"/>
          </w:tcPr>
          <w:p w:rsidR="00BB2485" w:rsidP="00BB2485">
            <w:pPr>
              <w:jc w:val="center"/>
              <w:rPr>
                <w:sz w:val="18"/>
                <w:szCs w:val="18"/>
              </w:rPr>
            </w:pPr>
            <w:r>
              <w:rPr>
                <w:sz w:val="18"/>
                <w:szCs w:val="18"/>
              </w:rPr>
              <w:t>45-1011 First-Line Supervisors of</w:t>
            </w:r>
          </w:p>
          <w:p w:rsidR="00BB2485" w:rsidP="00BB2485">
            <w:pPr>
              <w:widowControl/>
              <w:jc w:val="center"/>
              <w:rPr>
                <w:color w:val="000000"/>
                <w:sz w:val="18"/>
                <w:szCs w:val="18"/>
              </w:rPr>
            </w:pPr>
            <w:r>
              <w:rPr>
                <w:sz w:val="18"/>
                <w:szCs w:val="18"/>
              </w:rPr>
              <w:t>Farming, Fishing, and Forestry Workers</w:t>
            </w:r>
          </w:p>
        </w:tc>
        <w:tc>
          <w:tcPr>
            <w:tcW w:w="1185"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5 </w:t>
            </w:r>
          </w:p>
        </w:tc>
        <w:tc>
          <w:tcPr>
            <w:tcW w:w="1320"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3 </w:t>
            </w:r>
          </w:p>
        </w:tc>
        <w:tc>
          <w:tcPr>
            <w:tcW w:w="1215"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15 </w:t>
            </w:r>
          </w:p>
        </w:tc>
        <w:tc>
          <w:tcPr>
            <w:tcW w:w="1080"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1 </w:t>
            </w:r>
          </w:p>
        </w:tc>
        <w:tc>
          <w:tcPr>
            <w:tcW w:w="1185"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15 </w:t>
            </w:r>
          </w:p>
        </w:tc>
        <w:tc>
          <w:tcPr>
            <w:tcW w:w="1440"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highlight w:val="white"/>
              </w:rPr>
              <w:t>$29.23</w:t>
            </w:r>
            <w:r>
              <w:rPr>
                <w:color w:val="000000"/>
                <w:sz w:val="18"/>
                <w:szCs w:val="18"/>
              </w:rPr>
              <w:t> </w:t>
            </w:r>
          </w:p>
        </w:tc>
        <w:tc>
          <w:tcPr>
            <w:tcW w:w="1590" w:type="dxa"/>
            <w:tcBorders>
              <w:top w:val="nil"/>
              <w:left w:val="nil"/>
              <w:bottom w:val="single" w:sz="4" w:space="0" w:color="000000"/>
              <w:right w:val="single" w:sz="8" w:space="0" w:color="000000"/>
            </w:tcBorders>
            <w:shd w:val="clear" w:color="auto" w:fill="auto"/>
            <w:vAlign w:val="bottom"/>
          </w:tcPr>
          <w:p w:rsidR="00BB2485" w:rsidP="00BB2485">
            <w:pPr>
              <w:widowControl/>
              <w:jc w:val="right"/>
              <w:rPr>
                <w:color w:val="000000"/>
                <w:sz w:val="18"/>
                <w:szCs w:val="18"/>
              </w:rPr>
            </w:pPr>
            <w:r>
              <w:rPr>
                <w:color w:val="000000"/>
                <w:sz w:val="18"/>
                <w:szCs w:val="18"/>
              </w:rPr>
              <w:t>$438.45 </w:t>
            </w:r>
          </w:p>
        </w:tc>
      </w:tr>
      <w:tr w:rsidTr="00107B95">
        <w:tblPrEx>
          <w:tblW w:w="14415" w:type="dxa"/>
          <w:tblLayout w:type="fixed"/>
          <w:tblLook w:val="0400"/>
        </w:tblPrEx>
        <w:trPr>
          <w:trHeight w:val="300"/>
        </w:trPr>
        <w:tc>
          <w:tcPr>
            <w:tcW w:w="3510" w:type="dxa"/>
            <w:tcBorders>
              <w:top w:val="nil"/>
              <w:left w:val="single" w:sz="8" w:space="0" w:color="000000"/>
              <w:bottom w:val="single" w:sz="4" w:space="0" w:color="000000"/>
              <w:right w:val="single" w:sz="4" w:space="0" w:color="000000"/>
            </w:tcBorders>
            <w:shd w:val="clear" w:color="auto" w:fill="auto"/>
            <w:vAlign w:val="bottom"/>
          </w:tcPr>
          <w:p w:rsidR="00BB2485" w:rsidRPr="001B1351" w:rsidP="00BB2485">
            <w:pPr>
              <w:widowControl/>
              <w:rPr>
                <w:color w:val="000000"/>
                <w:sz w:val="20"/>
                <w:szCs w:val="20"/>
              </w:rPr>
            </w:pPr>
            <w:r w:rsidRPr="001B1351">
              <w:rPr>
                <w:color w:val="000000"/>
                <w:sz w:val="20"/>
                <w:szCs w:val="20"/>
              </w:rPr>
              <w:t>EMTU Operations</w:t>
            </w:r>
          </w:p>
        </w:tc>
        <w:tc>
          <w:tcPr>
            <w:tcW w:w="1890" w:type="dxa"/>
            <w:tcBorders>
              <w:top w:val="nil"/>
              <w:left w:val="nil"/>
              <w:bottom w:val="single" w:sz="4" w:space="0" w:color="000000"/>
              <w:right w:val="single" w:sz="4" w:space="0" w:color="000000"/>
            </w:tcBorders>
            <w:shd w:val="clear" w:color="auto" w:fill="auto"/>
            <w:vAlign w:val="bottom"/>
          </w:tcPr>
          <w:p w:rsidR="00BB2485" w:rsidP="00BB2485">
            <w:pPr>
              <w:jc w:val="center"/>
              <w:rPr>
                <w:sz w:val="18"/>
                <w:szCs w:val="18"/>
              </w:rPr>
            </w:pPr>
            <w:r>
              <w:rPr>
                <w:color w:val="000000"/>
                <w:sz w:val="18"/>
                <w:szCs w:val="18"/>
              </w:rPr>
              <w:t> </w:t>
            </w:r>
            <w:r>
              <w:rPr>
                <w:sz w:val="18"/>
                <w:szCs w:val="18"/>
              </w:rPr>
              <w:t>45-1011 First-Line Supervisors of</w:t>
            </w:r>
          </w:p>
          <w:p w:rsidR="00BB2485" w:rsidP="00BB2485">
            <w:pPr>
              <w:widowControl/>
              <w:jc w:val="center"/>
              <w:rPr>
                <w:color w:val="000000"/>
                <w:sz w:val="18"/>
                <w:szCs w:val="18"/>
              </w:rPr>
            </w:pPr>
            <w:r>
              <w:rPr>
                <w:sz w:val="18"/>
                <w:szCs w:val="18"/>
              </w:rPr>
              <w:t>Farming, Fishing, and Forestry Workers</w:t>
            </w:r>
          </w:p>
        </w:tc>
        <w:tc>
          <w:tcPr>
            <w:tcW w:w="1185"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400 </w:t>
            </w:r>
          </w:p>
        </w:tc>
        <w:tc>
          <w:tcPr>
            <w:tcW w:w="1320"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1 </w:t>
            </w:r>
          </w:p>
        </w:tc>
        <w:tc>
          <w:tcPr>
            <w:tcW w:w="1215"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400 </w:t>
            </w:r>
          </w:p>
        </w:tc>
        <w:tc>
          <w:tcPr>
            <w:tcW w:w="1080"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0.167 </w:t>
            </w:r>
          </w:p>
        </w:tc>
        <w:tc>
          <w:tcPr>
            <w:tcW w:w="1185"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rPr>
              <w:t>67 </w:t>
            </w:r>
          </w:p>
        </w:tc>
        <w:tc>
          <w:tcPr>
            <w:tcW w:w="1440"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highlight w:val="white"/>
              </w:rPr>
              <w:t>$29.23</w:t>
            </w:r>
            <w:r>
              <w:rPr>
                <w:color w:val="000000"/>
                <w:sz w:val="18"/>
                <w:szCs w:val="18"/>
              </w:rPr>
              <w:t> </w:t>
            </w:r>
          </w:p>
        </w:tc>
        <w:tc>
          <w:tcPr>
            <w:tcW w:w="1590" w:type="dxa"/>
            <w:tcBorders>
              <w:top w:val="nil"/>
              <w:left w:val="nil"/>
              <w:bottom w:val="single" w:sz="4" w:space="0" w:color="000000"/>
              <w:right w:val="single" w:sz="8" w:space="0" w:color="000000"/>
            </w:tcBorders>
            <w:shd w:val="clear" w:color="auto" w:fill="auto"/>
            <w:vAlign w:val="bottom"/>
          </w:tcPr>
          <w:p w:rsidR="00BB2485" w:rsidP="00BB2485">
            <w:pPr>
              <w:widowControl/>
              <w:jc w:val="right"/>
              <w:rPr>
                <w:color w:val="000000"/>
                <w:sz w:val="18"/>
                <w:szCs w:val="18"/>
              </w:rPr>
            </w:pPr>
            <w:r>
              <w:rPr>
                <w:color w:val="000000"/>
                <w:sz w:val="18"/>
                <w:szCs w:val="18"/>
              </w:rPr>
              <w:t>$1958.41 </w:t>
            </w:r>
          </w:p>
        </w:tc>
      </w:tr>
      <w:tr w:rsidTr="00107B95">
        <w:tblPrEx>
          <w:tblW w:w="14415" w:type="dxa"/>
          <w:tblLayout w:type="fixed"/>
          <w:tblLook w:val="0400"/>
        </w:tblPrEx>
        <w:trPr>
          <w:trHeight w:val="300"/>
        </w:trPr>
        <w:tc>
          <w:tcPr>
            <w:tcW w:w="3510" w:type="dxa"/>
            <w:tcBorders>
              <w:top w:val="nil"/>
              <w:left w:val="single" w:sz="8" w:space="0" w:color="000000"/>
              <w:bottom w:val="single" w:sz="4" w:space="0" w:color="000000"/>
              <w:right w:val="single" w:sz="4" w:space="0" w:color="000000"/>
            </w:tcBorders>
            <w:shd w:val="clear" w:color="auto" w:fill="auto"/>
            <w:vAlign w:val="bottom"/>
          </w:tcPr>
          <w:p w:rsidR="00BB2485" w:rsidRPr="001B1351" w:rsidP="00BB2485">
            <w:pPr>
              <w:widowControl/>
              <w:rPr>
                <w:color w:val="000000"/>
                <w:sz w:val="20"/>
                <w:szCs w:val="20"/>
              </w:rPr>
            </w:pPr>
            <w:r w:rsidRPr="001B1351">
              <w:rPr>
                <w:sz w:val="20"/>
                <w:szCs w:val="20"/>
              </w:rPr>
              <w:t>High Seas Fishing Vessel Observer Notification</w:t>
            </w:r>
          </w:p>
        </w:tc>
        <w:tc>
          <w:tcPr>
            <w:tcW w:w="1890" w:type="dxa"/>
            <w:tcBorders>
              <w:top w:val="nil"/>
              <w:left w:val="nil"/>
              <w:bottom w:val="single" w:sz="4" w:space="0" w:color="000000"/>
              <w:right w:val="single" w:sz="4" w:space="0" w:color="000000"/>
            </w:tcBorders>
            <w:shd w:val="clear" w:color="auto" w:fill="auto"/>
            <w:vAlign w:val="bottom"/>
          </w:tcPr>
          <w:p w:rsidR="00BB2485" w:rsidP="00BB2485">
            <w:pPr>
              <w:jc w:val="center"/>
              <w:rPr>
                <w:sz w:val="18"/>
                <w:szCs w:val="18"/>
              </w:rPr>
            </w:pPr>
            <w:r>
              <w:rPr>
                <w:sz w:val="18"/>
                <w:szCs w:val="18"/>
              </w:rPr>
              <w:t>45-1011 First-Line Supervisors of</w:t>
            </w:r>
          </w:p>
          <w:p w:rsidR="00BB2485" w:rsidP="00BB2485">
            <w:pPr>
              <w:widowControl/>
              <w:jc w:val="center"/>
              <w:rPr>
                <w:color w:val="000000"/>
                <w:sz w:val="18"/>
                <w:szCs w:val="18"/>
              </w:rPr>
            </w:pPr>
            <w:r>
              <w:rPr>
                <w:sz w:val="18"/>
                <w:szCs w:val="18"/>
              </w:rPr>
              <w:t>Farming, Fishing, and Forestry Workers</w:t>
            </w:r>
            <w:r>
              <w:rPr>
                <w:color w:val="000000"/>
                <w:sz w:val="18"/>
                <w:szCs w:val="18"/>
              </w:rPr>
              <w:t> </w:t>
            </w:r>
          </w:p>
        </w:tc>
        <w:tc>
          <w:tcPr>
            <w:tcW w:w="1185"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sz w:val="18"/>
                <w:szCs w:val="18"/>
              </w:rPr>
              <w:t>60</w:t>
            </w:r>
          </w:p>
        </w:tc>
        <w:tc>
          <w:tcPr>
            <w:tcW w:w="1320"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sz w:val="18"/>
                <w:szCs w:val="18"/>
              </w:rPr>
              <w:t>1</w:t>
            </w:r>
          </w:p>
        </w:tc>
        <w:tc>
          <w:tcPr>
            <w:tcW w:w="1215"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sz w:val="18"/>
                <w:szCs w:val="18"/>
              </w:rPr>
              <w:t>60</w:t>
            </w:r>
          </w:p>
        </w:tc>
        <w:tc>
          <w:tcPr>
            <w:tcW w:w="1080"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sz w:val="18"/>
                <w:szCs w:val="18"/>
              </w:rPr>
              <w:t>.08</w:t>
            </w:r>
          </w:p>
        </w:tc>
        <w:tc>
          <w:tcPr>
            <w:tcW w:w="1185"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sz w:val="18"/>
                <w:szCs w:val="18"/>
              </w:rPr>
              <w:t>5</w:t>
            </w:r>
          </w:p>
        </w:tc>
        <w:tc>
          <w:tcPr>
            <w:tcW w:w="1440" w:type="dxa"/>
            <w:tcBorders>
              <w:top w:val="nil"/>
              <w:left w:val="nil"/>
              <w:bottom w:val="single" w:sz="4" w:space="0" w:color="000000"/>
              <w:right w:val="single" w:sz="4" w:space="0" w:color="000000"/>
            </w:tcBorders>
            <w:shd w:val="clear" w:color="auto" w:fill="auto"/>
            <w:vAlign w:val="bottom"/>
          </w:tcPr>
          <w:p w:rsidR="00BB2485" w:rsidP="00BB2485">
            <w:pPr>
              <w:widowControl/>
              <w:jc w:val="right"/>
              <w:rPr>
                <w:color w:val="000000"/>
                <w:sz w:val="18"/>
                <w:szCs w:val="18"/>
              </w:rPr>
            </w:pPr>
            <w:r>
              <w:rPr>
                <w:color w:val="000000"/>
                <w:sz w:val="18"/>
                <w:szCs w:val="18"/>
                <w:highlight w:val="white"/>
              </w:rPr>
              <w:t>$29.23</w:t>
            </w:r>
            <w:r>
              <w:rPr>
                <w:color w:val="000000"/>
                <w:sz w:val="18"/>
                <w:szCs w:val="18"/>
              </w:rPr>
              <w:t> </w:t>
            </w:r>
          </w:p>
        </w:tc>
        <w:tc>
          <w:tcPr>
            <w:tcW w:w="1590" w:type="dxa"/>
            <w:tcBorders>
              <w:top w:val="nil"/>
              <w:left w:val="nil"/>
              <w:bottom w:val="single" w:sz="4" w:space="0" w:color="000000"/>
              <w:right w:val="single" w:sz="8" w:space="0" w:color="000000"/>
            </w:tcBorders>
            <w:shd w:val="clear" w:color="auto" w:fill="auto"/>
            <w:vAlign w:val="bottom"/>
          </w:tcPr>
          <w:p w:rsidR="00BB2485" w:rsidP="00BB2485">
            <w:pPr>
              <w:widowControl/>
              <w:jc w:val="right"/>
              <w:rPr>
                <w:color w:val="000000"/>
                <w:sz w:val="18"/>
                <w:szCs w:val="18"/>
              </w:rPr>
            </w:pPr>
            <w:r>
              <w:rPr>
                <w:color w:val="000000"/>
                <w:sz w:val="18"/>
                <w:szCs w:val="18"/>
              </w:rPr>
              <w:t>$146.15 </w:t>
            </w:r>
          </w:p>
        </w:tc>
      </w:tr>
      <w:tr w:rsidTr="00107B95">
        <w:tblPrEx>
          <w:tblW w:w="14415" w:type="dxa"/>
          <w:tblLayout w:type="fixed"/>
          <w:tblLook w:val="0400"/>
        </w:tblPrEx>
        <w:trPr>
          <w:trHeight w:val="615"/>
        </w:trPr>
        <w:tc>
          <w:tcPr>
            <w:tcW w:w="3510" w:type="dxa"/>
            <w:tcBorders>
              <w:top w:val="nil"/>
              <w:left w:val="single" w:sz="8" w:space="0" w:color="000000"/>
              <w:bottom w:val="single" w:sz="8" w:space="0" w:color="000000"/>
              <w:right w:val="single" w:sz="8" w:space="0" w:color="000000"/>
            </w:tcBorders>
            <w:shd w:val="clear" w:color="auto" w:fill="DDEBF7"/>
            <w:vAlign w:val="bottom"/>
          </w:tcPr>
          <w:p w:rsidR="00BB2485" w:rsidP="00BB2485">
            <w:pPr>
              <w:widowControl/>
              <w:rPr>
                <w:b/>
                <w:color w:val="000000"/>
                <w:sz w:val="18"/>
                <w:szCs w:val="18"/>
              </w:rPr>
            </w:pPr>
            <w:r>
              <w:rPr>
                <w:b/>
                <w:color w:val="000000"/>
                <w:sz w:val="18"/>
                <w:szCs w:val="18"/>
              </w:rPr>
              <w:t>Totals</w:t>
            </w:r>
          </w:p>
        </w:tc>
        <w:tc>
          <w:tcPr>
            <w:tcW w:w="1890" w:type="dxa"/>
            <w:tcBorders>
              <w:top w:val="nil"/>
              <w:left w:val="nil"/>
              <w:bottom w:val="single" w:sz="8" w:space="0" w:color="000000"/>
              <w:right w:val="single" w:sz="8" w:space="0" w:color="000000"/>
            </w:tcBorders>
            <w:shd w:val="clear" w:color="auto" w:fill="000000"/>
            <w:vAlign w:val="bottom"/>
          </w:tcPr>
          <w:p w:rsidR="00BB2485" w:rsidP="00BB2485">
            <w:pPr>
              <w:widowControl/>
              <w:rPr>
                <w:b/>
                <w:color w:val="000000"/>
                <w:sz w:val="18"/>
                <w:szCs w:val="18"/>
              </w:rPr>
            </w:pPr>
            <w:r>
              <w:rPr>
                <w:b/>
                <w:color w:val="000000"/>
                <w:sz w:val="18"/>
                <w:szCs w:val="18"/>
              </w:rPr>
              <w:t> </w:t>
            </w:r>
          </w:p>
        </w:tc>
        <w:tc>
          <w:tcPr>
            <w:tcW w:w="1185" w:type="dxa"/>
            <w:tcBorders>
              <w:top w:val="nil"/>
              <w:left w:val="nil"/>
              <w:bottom w:val="single" w:sz="8" w:space="0" w:color="000000"/>
              <w:right w:val="single" w:sz="8" w:space="0" w:color="000000"/>
            </w:tcBorders>
            <w:shd w:val="clear" w:color="auto" w:fill="000000"/>
            <w:vAlign w:val="bottom"/>
          </w:tcPr>
          <w:p w:rsidR="00BB2485" w:rsidP="00BB2485">
            <w:pPr>
              <w:widowControl/>
              <w:rPr>
                <w:b/>
                <w:color w:val="000000"/>
                <w:sz w:val="18"/>
                <w:szCs w:val="18"/>
              </w:rPr>
            </w:pPr>
            <w:r>
              <w:rPr>
                <w:b/>
                <w:color w:val="000000"/>
                <w:sz w:val="18"/>
                <w:szCs w:val="18"/>
              </w:rPr>
              <w:t> </w:t>
            </w:r>
          </w:p>
        </w:tc>
        <w:tc>
          <w:tcPr>
            <w:tcW w:w="1320" w:type="dxa"/>
            <w:tcBorders>
              <w:top w:val="nil"/>
              <w:left w:val="nil"/>
              <w:bottom w:val="single" w:sz="8" w:space="0" w:color="000000"/>
              <w:right w:val="single" w:sz="8" w:space="0" w:color="000000"/>
            </w:tcBorders>
            <w:shd w:val="clear" w:color="auto" w:fill="000000"/>
            <w:vAlign w:val="bottom"/>
          </w:tcPr>
          <w:p w:rsidR="00BB2485" w:rsidP="00BB2485">
            <w:pPr>
              <w:widowControl/>
              <w:rPr>
                <w:b/>
                <w:color w:val="000000"/>
                <w:sz w:val="18"/>
                <w:szCs w:val="18"/>
              </w:rPr>
            </w:pPr>
            <w:r>
              <w:rPr>
                <w:b/>
                <w:color w:val="000000"/>
                <w:sz w:val="18"/>
                <w:szCs w:val="18"/>
              </w:rPr>
              <w:t> </w:t>
            </w:r>
          </w:p>
        </w:tc>
        <w:tc>
          <w:tcPr>
            <w:tcW w:w="1215" w:type="dxa"/>
            <w:tcBorders>
              <w:top w:val="nil"/>
              <w:left w:val="nil"/>
              <w:bottom w:val="single" w:sz="8" w:space="0" w:color="000000"/>
              <w:right w:val="single" w:sz="8" w:space="0" w:color="000000"/>
            </w:tcBorders>
            <w:shd w:val="clear" w:color="auto" w:fill="DDEBF7"/>
            <w:vAlign w:val="bottom"/>
          </w:tcPr>
          <w:p w:rsidR="00BB2485" w:rsidP="001B1351">
            <w:pPr>
              <w:widowControl/>
              <w:jc w:val="right"/>
              <w:rPr>
                <w:b/>
                <w:color w:val="000000"/>
                <w:sz w:val="18"/>
                <w:szCs w:val="18"/>
              </w:rPr>
            </w:pPr>
            <w:r>
              <w:rPr>
                <w:b/>
                <w:color w:val="000000"/>
                <w:sz w:val="18"/>
                <w:szCs w:val="18"/>
              </w:rPr>
              <w:t>596</w:t>
            </w:r>
          </w:p>
        </w:tc>
        <w:tc>
          <w:tcPr>
            <w:tcW w:w="1080" w:type="dxa"/>
            <w:tcBorders>
              <w:top w:val="nil"/>
              <w:left w:val="nil"/>
              <w:bottom w:val="single" w:sz="8" w:space="0" w:color="000000"/>
              <w:right w:val="single" w:sz="8" w:space="0" w:color="000000"/>
            </w:tcBorders>
            <w:shd w:val="clear" w:color="auto" w:fill="000000"/>
            <w:vAlign w:val="bottom"/>
          </w:tcPr>
          <w:p w:rsidR="00BB2485" w:rsidP="001B1351">
            <w:pPr>
              <w:widowControl/>
              <w:jc w:val="right"/>
              <w:rPr>
                <w:b/>
                <w:color w:val="000000"/>
                <w:sz w:val="18"/>
                <w:szCs w:val="18"/>
              </w:rPr>
            </w:pPr>
            <w:r>
              <w:rPr>
                <w:b/>
                <w:color w:val="000000"/>
                <w:sz w:val="18"/>
                <w:szCs w:val="18"/>
              </w:rPr>
              <w:t> </w:t>
            </w:r>
          </w:p>
        </w:tc>
        <w:tc>
          <w:tcPr>
            <w:tcW w:w="1185" w:type="dxa"/>
            <w:tcBorders>
              <w:top w:val="nil"/>
              <w:left w:val="nil"/>
              <w:bottom w:val="single" w:sz="8" w:space="0" w:color="000000"/>
              <w:right w:val="single" w:sz="8" w:space="0" w:color="000000"/>
            </w:tcBorders>
            <w:shd w:val="clear" w:color="auto" w:fill="DDEBF7"/>
            <w:vAlign w:val="bottom"/>
          </w:tcPr>
          <w:p w:rsidR="00BB2485" w:rsidP="001B1351">
            <w:pPr>
              <w:widowControl/>
              <w:jc w:val="right"/>
              <w:rPr>
                <w:b/>
                <w:color w:val="000000"/>
                <w:sz w:val="18"/>
                <w:szCs w:val="18"/>
              </w:rPr>
            </w:pPr>
            <w:r>
              <w:rPr>
                <w:b/>
                <w:color w:val="000000"/>
                <w:sz w:val="18"/>
                <w:szCs w:val="18"/>
              </w:rPr>
              <w:t> 121</w:t>
            </w:r>
          </w:p>
        </w:tc>
        <w:tc>
          <w:tcPr>
            <w:tcW w:w="1440" w:type="dxa"/>
            <w:tcBorders>
              <w:top w:val="nil"/>
              <w:left w:val="nil"/>
              <w:bottom w:val="single" w:sz="8" w:space="0" w:color="000000"/>
              <w:right w:val="single" w:sz="8" w:space="0" w:color="000000"/>
            </w:tcBorders>
            <w:shd w:val="clear" w:color="auto" w:fill="000000"/>
            <w:vAlign w:val="bottom"/>
          </w:tcPr>
          <w:p w:rsidR="00BB2485" w:rsidP="001B1351">
            <w:pPr>
              <w:widowControl/>
              <w:jc w:val="right"/>
              <w:rPr>
                <w:b/>
                <w:color w:val="000000"/>
                <w:sz w:val="18"/>
                <w:szCs w:val="18"/>
              </w:rPr>
            </w:pPr>
            <w:r>
              <w:rPr>
                <w:b/>
                <w:color w:val="000000"/>
                <w:sz w:val="18"/>
                <w:szCs w:val="18"/>
              </w:rPr>
              <w:t> </w:t>
            </w:r>
          </w:p>
        </w:tc>
        <w:tc>
          <w:tcPr>
            <w:tcW w:w="1590" w:type="dxa"/>
            <w:tcBorders>
              <w:top w:val="nil"/>
              <w:left w:val="nil"/>
              <w:bottom w:val="single" w:sz="8" w:space="0" w:color="000000"/>
              <w:right w:val="single" w:sz="8" w:space="0" w:color="000000"/>
            </w:tcBorders>
            <w:shd w:val="clear" w:color="auto" w:fill="DDEBF7"/>
            <w:vAlign w:val="bottom"/>
          </w:tcPr>
          <w:p w:rsidR="00BB2485" w:rsidP="001B1351">
            <w:pPr>
              <w:widowControl/>
              <w:jc w:val="right"/>
              <w:rPr>
                <w:b/>
                <w:color w:val="000000"/>
                <w:sz w:val="18"/>
                <w:szCs w:val="18"/>
              </w:rPr>
            </w:pPr>
            <w:r>
              <w:rPr>
                <w:b/>
                <w:color w:val="000000"/>
                <w:sz w:val="18"/>
                <w:szCs w:val="18"/>
              </w:rPr>
              <w:t> $3,536.83</w:t>
            </w:r>
          </w:p>
        </w:tc>
      </w:tr>
    </w:tbl>
    <w:p w:rsidR="002D1620" w:rsidP="00BB2485">
      <w:pPr>
        <w:spacing w:after="197" w:line="226" w:lineRule="auto"/>
      </w:pPr>
    </w:p>
    <w:p w:rsidR="002D1620">
      <w:pPr>
        <w:spacing w:after="197" w:line="226" w:lineRule="auto"/>
        <w:ind w:left="-5"/>
        <w:rPr>
          <w:sz w:val="22"/>
          <w:szCs w:val="22"/>
        </w:rPr>
        <w:sectPr w:rsidSect="00BB2485">
          <w:pgSz w:w="15840" w:h="12240" w:orient="landscape"/>
          <w:pgMar w:top="1080" w:right="634" w:bottom="1080" w:left="1195" w:header="0" w:footer="720" w:gutter="0"/>
          <w:cols w:space="720"/>
        </w:sectPr>
      </w:pPr>
      <w:r>
        <w:rPr>
          <w:sz w:val="22"/>
          <w:szCs w:val="22"/>
        </w:rPr>
        <w:t xml:space="preserve">Hourly wages estimate is based on BLS’s </w:t>
      </w:r>
      <w:r>
        <w:rPr>
          <w:rFonts w:ascii="Calibri" w:eastAsia="Calibri" w:hAnsi="Calibri" w:cs="Calibri"/>
          <w:i/>
          <w:sz w:val="22"/>
          <w:szCs w:val="22"/>
        </w:rPr>
        <w:t>Occupational Outlook Handbook</w:t>
      </w:r>
      <w:r>
        <w:rPr>
          <w:sz w:val="22"/>
          <w:szCs w:val="22"/>
        </w:rPr>
        <w:t xml:space="preserve">. </w:t>
      </w:r>
      <w:hyperlink r:id="rId12">
        <w:r>
          <w:rPr>
            <w:rFonts w:ascii="Calibri" w:eastAsia="Calibri" w:hAnsi="Calibri" w:cs="Calibri"/>
            <w:b/>
            <w:color w:val="0000FF"/>
            <w:sz w:val="22"/>
            <w:szCs w:val="22"/>
            <w:u w:val="single"/>
          </w:rPr>
          <w:t>https://www.bls.gov/bls/blswage.htm</w:t>
        </w:r>
      </w:hyperlink>
      <w:r>
        <w:rPr>
          <w:color w:val="0563C1"/>
          <w:sz w:val="22"/>
          <w:szCs w:val="22"/>
        </w:rPr>
        <w:t xml:space="preserve">. </w:t>
      </w:r>
      <w:r>
        <w:rPr>
          <w:sz w:val="22"/>
          <w:szCs w:val="22"/>
        </w:rPr>
        <w:t>Respondents for each IC is a vessel owner or captain, which is listed in the Handbook as 45-1011 First-Line Supervisors of Farming</w:t>
      </w:r>
      <w:r w:rsidR="006B15B4">
        <w:rPr>
          <w:sz w:val="22"/>
          <w:szCs w:val="22"/>
        </w:rPr>
        <w:t>, Fishing, and Forestry Workers.</w:t>
      </w:r>
    </w:p>
    <w:p w:rsidR="002D1620" w:rsidP="006B15B4">
      <w:pPr>
        <w:rPr>
          <w:b/>
          <w:highlight w:val="yellow"/>
        </w:rPr>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2D1620">
      <w:pPr>
        <w:pBdr>
          <w:top w:val="nil"/>
          <w:left w:val="nil"/>
          <w:bottom w:val="nil"/>
          <w:right w:val="nil"/>
          <w:between w:val="nil"/>
        </w:pBdr>
        <w:rPr>
          <w:b/>
          <w:color w:val="1F497D"/>
        </w:rPr>
      </w:pPr>
    </w:p>
    <w:p w:rsidR="002D1620">
      <w:pPr>
        <w:pBdr>
          <w:top w:val="nil"/>
          <w:left w:val="nil"/>
          <w:bottom w:val="nil"/>
          <w:right w:val="nil"/>
          <w:between w:val="nil"/>
        </w:pBdr>
        <w:ind w:left="720"/>
        <w:rPr>
          <w:b/>
          <w:color w:val="1F497D"/>
        </w:rPr>
      </w:pPr>
    </w:p>
    <w:p w:rsidR="002D1620">
      <w:pPr>
        <w:pBdr>
          <w:top w:val="nil"/>
          <w:left w:val="nil"/>
          <w:bottom w:val="nil"/>
          <w:right w:val="nil"/>
          <w:between w:val="nil"/>
        </w:pBdr>
        <w:spacing w:after="280"/>
        <w:ind w:right="595"/>
        <w:rPr>
          <w:color w:val="000000"/>
        </w:rPr>
      </w:pPr>
      <w:r>
        <w:rPr>
          <w:color w:val="000000"/>
        </w:rPr>
        <w:t xml:space="preserve">The estimated annual cost burden for permit fees is $10,080.  The estimate is calculated as follows: </w:t>
      </w:r>
    </w:p>
    <w:p w:rsidR="002D1620">
      <w:pPr>
        <w:pBdr>
          <w:top w:val="nil"/>
          <w:left w:val="nil"/>
          <w:bottom w:val="nil"/>
          <w:right w:val="nil"/>
          <w:between w:val="nil"/>
        </w:pBdr>
        <w:spacing w:after="280"/>
        <w:rPr>
          <w:color w:val="000000"/>
        </w:rPr>
      </w:pPr>
      <w:r>
        <w:rPr>
          <w:color w:val="000000"/>
        </w:rPr>
        <w:t>120 permit applications/renewals per annum x $8</w:t>
      </w:r>
      <w:r>
        <w:t>4</w:t>
      </w:r>
      <w:r>
        <w:rPr>
          <w:color w:val="000000"/>
        </w:rPr>
        <w:t>.00 per application fee = $10,080.</w:t>
      </w:r>
    </w:p>
    <w:p w:rsidR="002D1620">
      <w:r>
        <w:t>Apart from the permit application fees, the respondent costs for the other elements of this information collection remains unchanged. Please note, the updated permit application fee of $84 is currently with OMB for final approval.</w:t>
      </w:r>
    </w:p>
    <w:p w:rsidR="002D1620">
      <w:pPr>
        <w:pBdr>
          <w:top w:val="nil"/>
          <w:left w:val="nil"/>
          <w:bottom w:val="nil"/>
          <w:right w:val="nil"/>
          <w:between w:val="nil"/>
        </w:pBdr>
        <w:rPr>
          <w:b/>
          <w:color w:val="1F497D"/>
        </w:rPr>
      </w:pPr>
    </w:p>
    <w:p w:rsidR="002D1620">
      <w:pPr>
        <w:pBdr>
          <w:top w:val="nil"/>
          <w:left w:val="nil"/>
          <w:bottom w:val="nil"/>
          <w:right w:val="nil"/>
          <w:between w:val="nil"/>
        </w:pBdr>
        <w:rPr>
          <w:b/>
          <w:color w:val="000000"/>
        </w:rPr>
      </w:pPr>
    </w:p>
    <w:tbl>
      <w:tblPr>
        <w:tblStyle w:val="af"/>
        <w:tblW w:w="10275" w:type="dxa"/>
        <w:jc w:val="center"/>
        <w:tblLayout w:type="fixed"/>
        <w:tblLook w:val="0400"/>
      </w:tblPr>
      <w:tblGrid>
        <w:gridCol w:w="2791"/>
        <w:gridCol w:w="1441"/>
        <w:gridCol w:w="1453"/>
        <w:gridCol w:w="1620"/>
        <w:gridCol w:w="1440"/>
        <w:gridCol w:w="1530"/>
      </w:tblGrid>
      <w:tr>
        <w:tblPrEx>
          <w:tblW w:w="10275" w:type="dxa"/>
          <w:jc w:val="center"/>
          <w:tblLayout w:type="fixed"/>
          <w:tblLook w:val="0400"/>
        </w:tblPrEx>
        <w:trPr>
          <w:trHeight w:val="915"/>
          <w:jc w:val="center"/>
        </w:trPr>
        <w:tc>
          <w:tcPr>
            <w:tcW w:w="2791"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2D162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441" w:type="dxa"/>
            <w:tcBorders>
              <w:top w:val="single" w:sz="8" w:space="0" w:color="000000"/>
              <w:left w:val="nil"/>
              <w:bottom w:val="single" w:sz="8" w:space="0" w:color="000000"/>
              <w:right w:val="single" w:sz="8" w:space="0" w:color="000000"/>
            </w:tcBorders>
            <w:shd w:val="clear" w:color="auto" w:fill="BDD7EE"/>
            <w:vAlign w:val="center"/>
          </w:tcPr>
          <w:p w:rsidR="002D162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453" w:type="dxa"/>
            <w:tcBorders>
              <w:top w:val="single" w:sz="8" w:space="0" w:color="000000"/>
              <w:left w:val="nil"/>
              <w:bottom w:val="single" w:sz="8" w:space="0" w:color="000000"/>
              <w:right w:val="single" w:sz="8" w:space="0" w:color="000000"/>
            </w:tcBorders>
            <w:shd w:val="clear" w:color="auto" w:fill="BDD7EE"/>
            <w:vAlign w:val="center"/>
          </w:tcPr>
          <w:p w:rsidR="002D162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2D162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2D162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Respondent</w:t>
            </w:r>
            <w:r>
              <w:rPr>
                <w:rFonts w:ascii="Calibri" w:eastAsia="Calibri" w:hAnsi="Calibri" w:cs="Calibri"/>
                <w:b/>
                <w:color w:val="000000"/>
                <w:sz w:val="16"/>
                <w:szCs w:val="16"/>
              </w:rPr>
              <w:br/>
              <w:t>(h)</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2D162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r>
              <w:rPr>
                <w:rFonts w:ascii="Calibri" w:eastAsia="Calibri" w:hAnsi="Calibri" w:cs="Calibri"/>
                <w:b/>
                <w:color w:val="000000"/>
                <w:sz w:val="16"/>
                <w:szCs w:val="16"/>
              </w:rPr>
              <w:br/>
              <w:t>(i) = (c) x (h)</w:t>
            </w:r>
          </w:p>
        </w:tc>
      </w:tr>
      <w:tr>
        <w:tblPrEx>
          <w:tblW w:w="10275" w:type="dxa"/>
          <w:jc w:val="center"/>
          <w:tblLayout w:type="fixed"/>
          <w:tblLook w:val="0400"/>
        </w:tblPrEx>
        <w:trPr>
          <w:trHeight w:val="300"/>
          <w:jc w:val="center"/>
        </w:trPr>
        <w:tc>
          <w:tcPr>
            <w:tcW w:w="2791" w:type="dxa"/>
            <w:tcBorders>
              <w:top w:val="nil"/>
              <w:left w:val="single" w:sz="4" w:space="0" w:color="000000"/>
              <w:bottom w:val="single" w:sz="4" w:space="0" w:color="000000"/>
              <w:right w:val="single" w:sz="4" w:space="0" w:color="000000"/>
            </w:tcBorders>
            <w:shd w:val="clear" w:color="auto" w:fill="auto"/>
            <w:vAlign w:val="center"/>
          </w:tcPr>
          <w:p w:rsidR="002D1620" w:rsidP="0082254C">
            <w:pPr>
              <w:widowControl/>
              <w:rPr>
                <w:color w:val="000000"/>
                <w:sz w:val="22"/>
                <w:szCs w:val="22"/>
              </w:rPr>
            </w:pPr>
            <w:r w:rsidRPr="0082254C">
              <w:rPr>
                <w:sz w:val="18"/>
                <w:szCs w:val="18"/>
              </w:rPr>
              <w:t xml:space="preserve"> </w:t>
            </w:r>
            <w:r w:rsidRPr="0082254C">
              <w:rPr>
                <w:sz w:val="22"/>
                <w:szCs w:val="22"/>
              </w:rPr>
              <w:t>High Seas Fishing Permit Application</w:t>
            </w:r>
          </w:p>
        </w:tc>
        <w:tc>
          <w:tcPr>
            <w:tcW w:w="1441" w:type="dxa"/>
            <w:tcBorders>
              <w:top w:val="nil"/>
              <w:left w:val="nil"/>
              <w:bottom w:val="single" w:sz="4" w:space="0" w:color="000000"/>
              <w:right w:val="single" w:sz="4" w:space="0" w:color="000000"/>
            </w:tcBorders>
            <w:shd w:val="clear" w:color="auto" w:fill="FFFFFF"/>
            <w:vAlign w:val="center"/>
          </w:tcPr>
          <w:p w:rsidR="002D1620" w:rsidP="0082254C">
            <w:pPr>
              <w:widowControl/>
              <w:jc w:val="center"/>
              <w:rPr>
                <w:color w:val="000000"/>
                <w:sz w:val="22"/>
                <w:szCs w:val="22"/>
              </w:rPr>
            </w:pPr>
            <w:r>
              <w:rPr>
                <w:color w:val="000000"/>
                <w:sz w:val="22"/>
                <w:szCs w:val="22"/>
              </w:rPr>
              <w:t>120</w:t>
            </w:r>
          </w:p>
        </w:tc>
        <w:tc>
          <w:tcPr>
            <w:tcW w:w="1453" w:type="dxa"/>
            <w:tcBorders>
              <w:top w:val="nil"/>
              <w:left w:val="nil"/>
              <w:bottom w:val="single" w:sz="4" w:space="0" w:color="000000"/>
              <w:right w:val="single" w:sz="4" w:space="0" w:color="000000"/>
            </w:tcBorders>
            <w:shd w:val="clear" w:color="auto" w:fill="FFFFFF"/>
            <w:vAlign w:val="center"/>
          </w:tcPr>
          <w:p w:rsidR="002D1620" w:rsidP="0082254C">
            <w:pPr>
              <w:widowControl/>
              <w:jc w:val="center"/>
              <w:rPr>
                <w:color w:val="000000"/>
                <w:sz w:val="22"/>
                <w:szCs w:val="22"/>
              </w:rPr>
            </w:pPr>
            <w:r>
              <w:rPr>
                <w:color w:val="000000"/>
                <w:sz w:val="22"/>
                <w:szCs w:val="22"/>
              </w:rPr>
              <w:t>1</w:t>
            </w:r>
          </w:p>
        </w:tc>
        <w:tc>
          <w:tcPr>
            <w:tcW w:w="1620" w:type="dxa"/>
            <w:tcBorders>
              <w:top w:val="nil"/>
              <w:left w:val="nil"/>
              <w:bottom w:val="single" w:sz="4" w:space="0" w:color="000000"/>
              <w:right w:val="single" w:sz="4" w:space="0" w:color="000000"/>
            </w:tcBorders>
            <w:shd w:val="clear" w:color="auto" w:fill="FFFFFF"/>
            <w:vAlign w:val="center"/>
          </w:tcPr>
          <w:p w:rsidR="002D1620" w:rsidP="0082254C">
            <w:pPr>
              <w:widowControl/>
              <w:jc w:val="center"/>
              <w:rPr>
                <w:color w:val="000000"/>
                <w:sz w:val="22"/>
                <w:szCs w:val="22"/>
              </w:rPr>
            </w:pPr>
            <w:r>
              <w:rPr>
                <w:color w:val="000000"/>
                <w:sz w:val="22"/>
                <w:szCs w:val="22"/>
              </w:rPr>
              <w:t>120</w:t>
            </w:r>
          </w:p>
        </w:tc>
        <w:tc>
          <w:tcPr>
            <w:tcW w:w="1440" w:type="dxa"/>
            <w:tcBorders>
              <w:top w:val="nil"/>
              <w:left w:val="nil"/>
              <w:bottom w:val="single" w:sz="4" w:space="0" w:color="000000"/>
              <w:right w:val="single" w:sz="4" w:space="0" w:color="000000"/>
            </w:tcBorders>
            <w:shd w:val="clear" w:color="auto" w:fill="FFFFFF"/>
            <w:vAlign w:val="center"/>
          </w:tcPr>
          <w:p w:rsidR="002D1620" w:rsidP="0082254C">
            <w:pPr>
              <w:widowControl/>
              <w:jc w:val="center"/>
              <w:rPr>
                <w:color w:val="000000"/>
                <w:sz w:val="22"/>
                <w:szCs w:val="22"/>
              </w:rPr>
            </w:pPr>
            <w:r>
              <w:rPr>
                <w:color w:val="000000"/>
                <w:sz w:val="22"/>
                <w:szCs w:val="22"/>
              </w:rPr>
              <w:t>$84</w:t>
            </w:r>
          </w:p>
        </w:tc>
        <w:tc>
          <w:tcPr>
            <w:tcW w:w="1530" w:type="dxa"/>
            <w:tcBorders>
              <w:top w:val="nil"/>
              <w:left w:val="nil"/>
              <w:bottom w:val="single" w:sz="4" w:space="0" w:color="000000"/>
              <w:right w:val="single" w:sz="8" w:space="0" w:color="000000"/>
            </w:tcBorders>
            <w:shd w:val="clear" w:color="auto" w:fill="FFFFFF"/>
            <w:vAlign w:val="center"/>
          </w:tcPr>
          <w:p w:rsidR="002D1620" w:rsidP="0082254C">
            <w:pPr>
              <w:widowControl/>
              <w:jc w:val="center"/>
              <w:rPr>
                <w:color w:val="000000"/>
                <w:sz w:val="22"/>
                <w:szCs w:val="22"/>
              </w:rPr>
            </w:pPr>
            <w:r>
              <w:rPr>
                <w:color w:val="000000"/>
                <w:sz w:val="22"/>
                <w:szCs w:val="22"/>
              </w:rPr>
              <w:t>$10,080</w:t>
            </w:r>
          </w:p>
        </w:tc>
      </w:tr>
      <w:tr>
        <w:tblPrEx>
          <w:tblW w:w="10275" w:type="dxa"/>
          <w:jc w:val="center"/>
          <w:tblLayout w:type="fixed"/>
          <w:tblLook w:val="0400"/>
        </w:tblPrEx>
        <w:trPr>
          <w:trHeight w:val="300"/>
          <w:jc w:val="center"/>
        </w:trPr>
        <w:tc>
          <w:tcPr>
            <w:tcW w:w="2791" w:type="dxa"/>
            <w:tcBorders>
              <w:top w:val="nil"/>
              <w:left w:val="single" w:sz="4" w:space="0" w:color="000000"/>
              <w:bottom w:val="single" w:sz="4" w:space="0" w:color="000000"/>
              <w:right w:val="single" w:sz="4" w:space="0" w:color="000000"/>
            </w:tcBorders>
            <w:shd w:val="clear" w:color="auto" w:fill="auto"/>
            <w:vAlign w:val="center"/>
          </w:tcPr>
          <w:p w:rsidR="004F047C" w:rsidP="004F047C">
            <w:pPr>
              <w:widowControl/>
              <w:rPr>
                <w:color w:val="000000"/>
                <w:sz w:val="22"/>
                <w:szCs w:val="22"/>
              </w:rPr>
            </w:pPr>
            <w:r w:rsidRPr="0082254C">
              <w:rPr>
                <w:color w:val="000000"/>
                <w:sz w:val="22"/>
                <w:szCs w:val="22"/>
              </w:rPr>
              <w:t xml:space="preserve">Request to Authorize a Fishery on the High Seas </w:t>
            </w:r>
          </w:p>
        </w:tc>
        <w:tc>
          <w:tcPr>
            <w:tcW w:w="1441" w:type="dxa"/>
            <w:tcBorders>
              <w:top w:val="nil"/>
              <w:left w:val="nil"/>
              <w:bottom w:val="single" w:sz="4" w:space="0" w:color="000000"/>
              <w:right w:val="single" w:sz="4" w:space="0" w:color="000000"/>
            </w:tcBorders>
            <w:shd w:val="clear" w:color="auto" w:fill="FFFFFF"/>
            <w:vAlign w:val="center"/>
          </w:tcPr>
          <w:p w:rsidR="004F047C" w:rsidP="0082254C">
            <w:pPr>
              <w:widowControl/>
              <w:jc w:val="center"/>
              <w:rPr>
                <w:color w:val="000000"/>
                <w:sz w:val="22"/>
                <w:szCs w:val="22"/>
              </w:rPr>
            </w:pPr>
            <w:r>
              <w:rPr>
                <w:color w:val="000000"/>
                <w:sz w:val="22"/>
                <w:szCs w:val="22"/>
              </w:rPr>
              <w:t>1</w:t>
            </w:r>
          </w:p>
        </w:tc>
        <w:tc>
          <w:tcPr>
            <w:tcW w:w="1453" w:type="dxa"/>
            <w:tcBorders>
              <w:top w:val="nil"/>
              <w:left w:val="nil"/>
              <w:bottom w:val="single" w:sz="4" w:space="0" w:color="000000"/>
              <w:right w:val="single" w:sz="4" w:space="0" w:color="000000"/>
            </w:tcBorders>
            <w:shd w:val="clear" w:color="auto" w:fill="FFFFFF"/>
            <w:vAlign w:val="center"/>
          </w:tcPr>
          <w:p w:rsidR="004F047C" w:rsidP="0082254C">
            <w:pPr>
              <w:widowControl/>
              <w:jc w:val="center"/>
              <w:rPr>
                <w:color w:val="000000"/>
                <w:sz w:val="22"/>
                <w:szCs w:val="22"/>
              </w:rPr>
            </w:pPr>
            <w:r>
              <w:rPr>
                <w:color w:val="000000"/>
                <w:sz w:val="22"/>
                <w:szCs w:val="22"/>
              </w:rPr>
              <w:t>0.1</w:t>
            </w:r>
          </w:p>
        </w:tc>
        <w:tc>
          <w:tcPr>
            <w:tcW w:w="1620" w:type="dxa"/>
            <w:tcBorders>
              <w:top w:val="nil"/>
              <w:left w:val="nil"/>
              <w:bottom w:val="single" w:sz="4" w:space="0" w:color="000000"/>
              <w:right w:val="single" w:sz="4" w:space="0" w:color="000000"/>
            </w:tcBorders>
            <w:shd w:val="clear" w:color="auto" w:fill="FFFFFF"/>
            <w:vAlign w:val="center"/>
          </w:tcPr>
          <w:p w:rsidR="004F047C" w:rsidP="0082254C">
            <w:pPr>
              <w:widowControl/>
              <w:jc w:val="center"/>
              <w:rPr>
                <w:color w:val="000000"/>
                <w:sz w:val="22"/>
                <w:szCs w:val="22"/>
              </w:rPr>
            </w:pPr>
            <w:r>
              <w:rPr>
                <w:color w:val="000000"/>
                <w:sz w:val="22"/>
                <w:szCs w:val="22"/>
              </w:rPr>
              <w:t>0.1</w:t>
            </w:r>
          </w:p>
        </w:tc>
        <w:tc>
          <w:tcPr>
            <w:tcW w:w="1440" w:type="dxa"/>
            <w:tcBorders>
              <w:top w:val="nil"/>
              <w:left w:val="nil"/>
              <w:bottom w:val="single" w:sz="4" w:space="0" w:color="000000"/>
              <w:right w:val="single" w:sz="4" w:space="0" w:color="000000"/>
            </w:tcBorders>
            <w:shd w:val="clear" w:color="auto" w:fill="FFFFFF"/>
            <w:vAlign w:val="center"/>
          </w:tcPr>
          <w:p w:rsidR="004F047C" w:rsidP="0082254C">
            <w:pPr>
              <w:widowControl/>
              <w:jc w:val="center"/>
              <w:rPr>
                <w:color w:val="000000"/>
                <w:sz w:val="22"/>
                <w:szCs w:val="22"/>
              </w:rPr>
            </w:pPr>
            <w:r>
              <w:rPr>
                <w:color w:val="000000"/>
                <w:sz w:val="22"/>
                <w:szCs w:val="22"/>
              </w:rPr>
              <w:t>$5</w:t>
            </w:r>
          </w:p>
        </w:tc>
        <w:tc>
          <w:tcPr>
            <w:tcW w:w="1530" w:type="dxa"/>
            <w:tcBorders>
              <w:top w:val="nil"/>
              <w:left w:val="nil"/>
              <w:bottom w:val="single" w:sz="4" w:space="0" w:color="000000"/>
              <w:right w:val="single" w:sz="8" w:space="0" w:color="000000"/>
            </w:tcBorders>
            <w:shd w:val="clear" w:color="auto" w:fill="FFFFFF"/>
            <w:vAlign w:val="center"/>
          </w:tcPr>
          <w:p w:rsidR="004F047C" w:rsidP="0082254C">
            <w:pPr>
              <w:widowControl/>
              <w:jc w:val="center"/>
              <w:rPr>
                <w:color w:val="000000"/>
                <w:sz w:val="22"/>
                <w:szCs w:val="22"/>
              </w:rPr>
            </w:pPr>
            <w:r>
              <w:rPr>
                <w:color w:val="000000"/>
                <w:sz w:val="22"/>
                <w:szCs w:val="22"/>
              </w:rPr>
              <w:t>$0.50</w:t>
            </w:r>
          </w:p>
        </w:tc>
      </w:tr>
      <w:tr>
        <w:tblPrEx>
          <w:tblW w:w="10275" w:type="dxa"/>
          <w:jc w:val="center"/>
          <w:tblLayout w:type="fixed"/>
          <w:tblLook w:val="0400"/>
        </w:tblPrEx>
        <w:trPr>
          <w:trHeight w:val="300"/>
          <w:jc w:val="center"/>
        </w:trPr>
        <w:tc>
          <w:tcPr>
            <w:tcW w:w="2791" w:type="dxa"/>
            <w:tcBorders>
              <w:top w:val="nil"/>
              <w:left w:val="single" w:sz="4" w:space="0" w:color="000000"/>
              <w:bottom w:val="single" w:sz="4" w:space="0" w:color="000000"/>
              <w:right w:val="single" w:sz="4" w:space="0" w:color="000000"/>
            </w:tcBorders>
            <w:shd w:val="clear" w:color="auto" w:fill="auto"/>
            <w:vAlign w:val="center"/>
          </w:tcPr>
          <w:p w:rsidR="002D1620">
            <w:pPr>
              <w:widowControl/>
              <w:rPr>
                <w:color w:val="000000"/>
                <w:sz w:val="22"/>
                <w:szCs w:val="22"/>
              </w:rPr>
            </w:pPr>
            <w:r>
              <w:rPr>
                <w:color w:val="000000"/>
                <w:sz w:val="22"/>
                <w:szCs w:val="22"/>
              </w:rPr>
              <w:t> </w:t>
            </w:r>
            <w:r>
              <w:rPr>
                <w:sz w:val="22"/>
                <w:szCs w:val="22"/>
              </w:rPr>
              <w:t>Transshipment Notifications/Reports</w:t>
            </w:r>
          </w:p>
        </w:tc>
        <w:tc>
          <w:tcPr>
            <w:tcW w:w="1441" w:type="dxa"/>
            <w:tcBorders>
              <w:top w:val="nil"/>
              <w:left w:val="nil"/>
              <w:bottom w:val="single" w:sz="4" w:space="0" w:color="000000"/>
              <w:right w:val="single" w:sz="4" w:space="0" w:color="000000"/>
            </w:tcBorders>
            <w:shd w:val="clear" w:color="auto" w:fill="FFFFFF"/>
            <w:vAlign w:val="center"/>
          </w:tcPr>
          <w:p w:rsidR="002D1620" w:rsidP="0082254C">
            <w:pPr>
              <w:widowControl/>
              <w:jc w:val="center"/>
              <w:rPr>
                <w:color w:val="000000"/>
                <w:sz w:val="22"/>
                <w:szCs w:val="22"/>
              </w:rPr>
            </w:pPr>
            <w:r>
              <w:rPr>
                <w:color w:val="000000"/>
                <w:sz w:val="22"/>
                <w:szCs w:val="22"/>
              </w:rPr>
              <w:t>5</w:t>
            </w:r>
          </w:p>
        </w:tc>
        <w:tc>
          <w:tcPr>
            <w:tcW w:w="1453" w:type="dxa"/>
            <w:tcBorders>
              <w:top w:val="nil"/>
              <w:left w:val="nil"/>
              <w:bottom w:val="single" w:sz="4" w:space="0" w:color="000000"/>
              <w:right w:val="single" w:sz="4" w:space="0" w:color="000000"/>
            </w:tcBorders>
            <w:shd w:val="clear" w:color="auto" w:fill="FFFFFF"/>
            <w:vAlign w:val="center"/>
          </w:tcPr>
          <w:p w:rsidR="002D1620" w:rsidP="0082254C">
            <w:pPr>
              <w:widowControl/>
              <w:jc w:val="center"/>
              <w:rPr>
                <w:color w:val="000000"/>
                <w:sz w:val="22"/>
                <w:szCs w:val="22"/>
              </w:rPr>
            </w:pPr>
            <w:r>
              <w:rPr>
                <w:color w:val="000000"/>
                <w:sz w:val="22"/>
                <w:szCs w:val="22"/>
              </w:rPr>
              <w:t>3</w:t>
            </w:r>
          </w:p>
        </w:tc>
        <w:tc>
          <w:tcPr>
            <w:tcW w:w="1620" w:type="dxa"/>
            <w:tcBorders>
              <w:top w:val="nil"/>
              <w:left w:val="nil"/>
              <w:bottom w:val="single" w:sz="4" w:space="0" w:color="000000"/>
              <w:right w:val="single" w:sz="4" w:space="0" w:color="000000"/>
            </w:tcBorders>
            <w:shd w:val="clear" w:color="auto" w:fill="FFFFFF"/>
            <w:vAlign w:val="center"/>
          </w:tcPr>
          <w:p w:rsidR="002D1620" w:rsidP="0082254C">
            <w:pPr>
              <w:widowControl/>
              <w:jc w:val="center"/>
              <w:rPr>
                <w:color w:val="000000"/>
                <w:sz w:val="22"/>
                <w:szCs w:val="22"/>
              </w:rPr>
            </w:pPr>
            <w:r>
              <w:rPr>
                <w:color w:val="000000"/>
                <w:sz w:val="22"/>
                <w:szCs w:val="22"/>
              </w:rPr>
              <w:t>15</w:t>
            </w:r>
          </w:p>
        </w:tc>
        <w:tc>
          <w:tcPr>
            <w:tcW w:w="1440" w:type="dxa"/>
            <w:tcBorders>
              <w:top w:val="nil"/>
              <w:left w:val="nil"/>
              <w:bottom w:val="single" w:sz="4" w:space="0" w:color="000000"/>
              <w:right w:val="single" w:sz="4" w:space="0" w:color="000000"/>
            </w:tcBorders>
            <w:shd w:val="clear" w:color="auto" w:fill="FFFFFF"/>
            <w:vAlign w:val="center"/>
          </w:tcPr>
          <w:p w:rsidR="002D1620" w:rsidP="0082254C">
            <w:pPr>
              <w:widowControl/>
              <w:jc w:val="center"/>
              <w:rPr>
                <w:color w:val="000000"/>
                <w:sz w:val="22"/>
                <w:szCs w:val="22"/>
              </w:rPr>
            </w:pPr>
            <w:r>
              <w:rPr>
                <w:color w:val="000000"/>
                <w:sz w:val="22"/>
                <w:szCs w:val="22"/>
              </w:rPr>
              <w:t>$2</w:t>
            </w:r>
          </w:p>
        </w:tc>
        <w:tc>
          <w:tcPr>
            <w:tcW w:w="1530" w:type="dxa"/>
            <w:tcBorders>
              <w:top w:val="nil"/>
              <w:left w:val="nil"/>
              <w:bottom w:val="single" w:sz="4" w:space="0" w:color="000000"/>
              <w:right w:val="single" w:sz="8" w:space="0" w:color="000000"/>
            </w:tcBorders>
            <w:shd w:val="clear" w:color="auto" w:fill="FFFFFF"/>
            <w:vAlign w:val="center"/>
          </w:tcPr>
          <w:p w:rsidR="002D1620" w:rsidP="0082254C">
            <w:pPr>
              <w:widowControl/>
              <w:jc w:val="center"/>
              <w:rPr>
                <w:color w:val="000000"/>
                <w:sz w:val="22"/>
                <w:szCs w:val="22"/>
              </w:rPr>
            </w:pPr>
            <w:r>
              <w:rPr>
                <w:color w:val="000000"/>
                <w:sz w:val="22"/>
                <w:szCs w:val="22"/>
              </w:rPr>
              <w:t>$30</w:t>
            </w:r>
          </w:p>
        </w:tc>
      </w:tr>
      <w:tr>
        <w:tblPrEx>
          <w:tblW w:w="10275" w:type="dxa"/>
          <w:jc w:val="center"/>
          <w:tblLayout w:type="fixed"/>
          <w:tblLook w:val="0400"/>
        </w:tblPrEx>
        <w:trPr>
          <w:trHeight w:val="300"/>
          <w:jc w:val="center"/>
        </w:trPr>
        <w:tc>
          <w:tcPr>
            <w:tcW w:w="2791" w:type="dxa"/>
            <w:tcBorders>
              <w:top w:val="nil"/>
              <w:left w:val="single" w:sz="4" w:space="0" w:color="000000"/>
              <w:bottom w:val="nil"/>
              <w:right w:val="single" w:sz="4" w:space="0" w:color="000000"/>
            </w:tcBorders>
            <w:shd w:val="clear" w:color="auto" w:fill="auto"/>
            <w:vAlign w:val="center"/>
          </w:tcPr>
          <w:p w:rsidR="002D1620">
            <w:pPr>
              <w:widowControl/>
              <w:rPr>
                <w:color w:val="000000"/>
                <w:sz w:val="22"/>
                <w:szCs w:val="22"/>
              </w:rPr>
            </w:pPr>
            <w:r>
              <w:rPr>
                <w:color w:val="000000"/>
                <w:sz w:val="22"/>
                <w:szCs w:val="22"/>
              </w:rPr>
              <w:t>EMTU Operations</w:t>
            </w:r>
          </w:p>
        </w:tc>
        <w:tc>
          <w:tcPr>
            <w:tcW w:w="1441" w:type="dxa"/>
            <w:tcBorders>
              <w:top w:val="nil"/>
              <w:left w:val="nil"/>
              <w:bottom w:val="nil"/>
              <w:right w:val="single" w:sz="4" w:space="0" w:color="000000"/>
            </w:tcBorders>
            <w:shd w:val="clear" w:color="auto" w:fill="FFFFFF"/>
            <w:vAlign w:val="center"/>
          </w:tcPr>
          <w:p w:rsidR="002D1620" w:rsidP="0082254C">
            <w:pPr>
              <w:widowControl/>
              <w:jc w:val="center"/>
              <w:rPr>
                <w:color w:val="000000"/>
                <w:sz w:val="22"/>
                <w:szCs w:val="22"/>
              </w:rPr>
            </w:pPr>
            <w:r>
              <w:rPr>
                <w:color w:val="000000"/>
                <w:sz w:val="22"/>
                <w:szCs w:val="22"/>
              </w:rPr>
              <w:t>400</w:t>
            </w:r>
          </w:p>
        </w:tc>
        <w:tc>
          <w:tcPr>
            <w:tcW w:w="1453" w:type="dxa"/>
            <w:tcBorders>
              <w:top w:val="nil"/>
              <w:left w:val="nil"/>
              <w:bottom w:val="nil"/>
              <w:right w:val="single" w:sz="4" w:space="0" w:color="000000"/>
            </w:tcBorders>
            <w:shd w:val="clear" w:color="auto" w:fill="FFFFFF"/>
            <w:vAlign w:val="center"/>
          </w:tcPr>
          <w:p w:rsidR="002D1620" w:rsidP="0082254C">
            <w:pPr>
              <w:widowControl/>
              <w:jc w:val="center"/>
              <w:rPr>
                <w:color w:val="000000"/>
                <w:sz w:val="22"/>
                <w:szCs w:val="22"/>
              </w:rPr>
            </w:pPr>
            <w:r>
              <w:rPr>
                <w:color w:val="000000"/>
                <w:sz w:val="22"/>
                <w:szCs w:val="22"/>
              </w:rPr>
              <w:t>1</w:t>
            </w:r>
          </w:p>
        </w:tc>
        <w:tc>
          <w:tcPr>
            <w:tcW w:w="1620" w:type="dxa"/>
            <w:tcBorders>
              <w:top w:val="nil"/>
              <w:left w:val="nil"/>
              <w:bottom w:val="nil"/>
              <w:right w:val="single" w:sz="4" w:space="0" w:color="000000"/>
            </w:tcBorders>
            <w:shd w:val="clear" w:color="auto" w:fill="FFFFFF"/>
            <w:vAlign w:val="center"/>
          </w:tcPr>
          <w:p w:rsidR="002D1620" w:rsidP="0082254C">
            <w:pPr>
              <w:widowControl/>
              <w:jc w:val="center"/>
              <w:rPr>
                <w:color w:val="000000"/>
                <w:sz w:val="22"/>
                <w:szCs w:val="22"/>
              </w:rPr>
            </w:pPr>
            <w:r>
              <w:rPr>
                <w:color w:val="000000"/>
                <w:sz w:val="22"/>
                <w:szCs w:val="22"/>
              </w:rPr>
              <w:t>400</w:t>
            </w:r>
          </w:p>
        </w:tc>
        <w:tc>
          <w:tcPr>
            <w:tcW w:w="1440" w:type="dxa"/>
            <w:tcBorders>
              <w:top w:val="nil"/>
              <w:left w:val="nil"/>
              <w:bottom w:val="nil"/>
              <w:right w:val="single" w:sz="4" w:space="0" w:color="000000"/>
            </w:tcBorders>
            <w:shd w:val="clear" w:color="auto" w:fill="FFFFFF"/>
            <w:vAlign w:val="center"/>
          </w:tcPr>
          <w:p w:rsidR="002D1620" w:rsidP="0082254C">
            <w:pPr>
              <w:widowControl/>
              <w:jc w:val="center"/>
              <w:rPr>
                <w:color w:val="000000"/>
                <w:sz w:val="22"/>
                <w:szCs w:val="22"/>
              </w:rPr>
            </w:pPr>
            <w:r>
              <w:rPr>
                <w:color w:val="000000"/>
                <w:sz w:val="22"/>
                <w:szCs w:val="22"/>
              </w:rPr>
              <w:t>$625</w:t>
            </w:r>
          </w:p>
        </w:tc>
        <w:tc>
          <w:tcPr>
            <w:tcW w:w="1530" w:type="dxa"/>
            <w:tcBorders>
              <w:top w:val="nil"/>
              <w:left w:val="nil"/>
              <w:bottom w:val="nil"/>
              <w:right w:val="single" w:sz="8" w:space="0" w:color="000000"/>
            </w:tcBorders>
            <w:shd w:val="clear" w:color="auto" w:fill="FFFFFF"/>
            <w:vAlign w:val="center"/>
          </w:tcPr>
          <w:p w:rsidR="002D1620" w:rsidP="0082254C">
            <w:pPr>
              <w:widowControl/>
              <w:jc w:val="center"/>
              <w:rPr>
                <w:color w:val="000000"/>
                <w:sz w:val="22"/>
                <w:szCs w:val="22"/>
              </w:rPr>
            </w:pPr>
            <w:r>
              <w:rPr>
                <w:color w:val="000000"/>
                <w:sz w:val="22"/>
                <w:szCs w:val="22"/>
              </w:rPr>
              <w:t>$250,000</w:t>
            </w:r>
          </w:p>
        </w:tc>
      </w:tr>
      <w:tr>
        <w:tblPrEx>
          <w:tblW w:w="10275" w:type="dxa"/>
          <w:jc w:val="center"/>
          <w:tblLayout w:type="fixed"/>
          <w:tblLook w:val="0400"/>
        </w:tblPrEx>
        <w:trPr>
          <w:trHeight w:val="315"/>
          <w:jc w:val="center"/>
        </w:trPr>
        <w:tc>
          <w:tcPr>
            <w:tcW w:w="2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620">
            <w:pPr>
              <w:widowControl/>
              <w:rPr>
                <w:color w:val="000000"/>
                <w:sz w:val="22"/>
                <w:szCs w:val="22"/>
              </w:rPr>
            </w:pPr>
            <w:r w:rsidRPr="001B1351">
              <w:t>High Seas Fishing Vessel Observer Notification</w:t>
            </w:r>
          </w:p>
        </w:tc>
        <w:tc>
          <w:tcPr>
            <w:tcW w:w="1441" w:type="dxa"/>
            <w:tcBorders>
              <w:top w:val="single" w:sz="4" w:space="0" w:color="000000"/>
              <w:left w:val="nil"/>
              <w:bottom w:val="single" w:sz="4" w:space="0" w:color="000000"/>
              <w:right w:val="single" w:sz="4" w:space="0" w:color="000000"/>
            </w:tcBorders>
            <w:shd w:val="clear" w:color="auto" w:fill="FFFFFF"/>
            <w:vAlign w:val="center"/>
          </w:tcPr>
          <w:p w:rsidR="002D1620" w:rsidP="0082254C">
            <w:pPr>
              <w:widowControl/>
              <w:jc w:val="center"/>
              <w:rPr>
                <w:color w:val="000000"/>
                <w:sz w:val="22"/>
                <w:szCs w:val="22"/>
              </w:rPr>
            </w:pPr>
            <w:r>
              <w:rPr>
                <w:sz w:val="22"/>
                <w:szCs w:val="22"/>
              </w:rPr>
              <w:t>60</w:t>
            </w:r>
          </w:p>
        </w:tc>
        <w:tc>
          <w:tcPr>
            <w:tcW w:w="1453" w:type="dxa"/>
            <w:tcBorders>
              <w:top w:val="single" w:sz="4" w:space="0" w:color="000000"/>
              <w:left w:val="nil"/>
              <w:bottom w:val="single" w:sz="4" w:space="0" w:color="000000"/>
              <w:right w:val="single" w:sz="4" w:space="0" w:color="000000"/>
            </w:tcBorders>
            <w:shd w:val="clear" w:color="auto" w:fill="FFFFFF"/>
            <w:vAlign w:val="center"/>
          </w:tcPr>
          <w:p w:rsidR="002D1620" w:rsidP="0082254C">
            <w:pPr>
              <w:widowControl/>
              <w:jc w:val="center"/>
              <w:rPr>
                <w:color w:val="000000"/>
                <w:sz w:val="22"/>
                <w:szCs w:val="22"/>
              </w:rPr>
            </w:pPr>
            <w:r>
              <w:rPr>
                <w:sz w:val="22"/>
                <w:szCs w:val="22"/>
              </w:rPr>
              <w:t>1</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2D1620" w:rsidP="0082254C">
            <w:pPr>
              <w:widowControl/>
              <w:jc w:val="center"/>
              <w:rPr>
                <w:color w:val="000000"/>
                <w:sz w:val="22"/>
                <w:szCs w:val="22"/>
              </w:rPr>
            </w:pPr>
            <w:r>
              <w:rPr>
                <w:sz w:val="22"/>
                <w:szCs w:val="22"/>
              </w:rPr>
              <w:t>60</w:t>
            </w:r>
          </w:p>
        </w:tc>
        <w:tc>
          <w:tcPr>
            <w:tcW w:w="1440" w:type="dxa"/>
            <w:tcBorders>
              <w:top w:val="single" w:sz="4" w:space="0" w:color="000000"/>
              <w:left w:val="nil"/>
              <w:bottom w:val="single" w:sz="4" w:space="0" w:color="000000"/>
              <w:right w:val="single" w:sz="4" w:space="0" w:color="000000"/>
            </w:tcBorders>
            <w:shd w:val="clear" w:color="auto" w:fill="FFFFFF"/>
            <w:vAlign w:val="center"/>
          </w:tcPr>
          <w:p w:rsidR="002D1620" w:rsidP="0082254C">
            <w:pPr>
              <w:widowControl/>
              <w:jc w:val="center"/>
              <w:rPr>
                <w:color w:val="000000"/>
                <w:sz w:val="22"/>
                <w:szCs w:val="22"/>
              </w:rPr>
            </w:pPr>
            <w:r>
              <w:rPr>
                <w:color w:val="000000"/>
                <w:sz w:val="22"/>
                <w:szCs w:val="22"/>
              </w:rPr>
              <w:t>0</w:t>
            </w:r>
          </w:p>
        </w:tc>
        <w:tc>
          <w:tcPr>
            <w:tcW w:w="1530" w:type="dxa"/>
            <w:tcBorders>
              <w:top w:val="single" w:sz="4" w:space="0" w:color="000000"/>
              <w:left w:val="nil"/>
              <w:bottom w:val="single" w:sz="4" w:space="0" w:color="000000"/>
              <w:right w:val="single" w:sz="8" w:space="0" w:color="000000"/>
            </w:tcBorders>
            <w:shd w:val="clear" w:color="auto" w:fill="FFFFFF"/>
            <w:vAlign w:val="center"/>
          </w:tcPr>
          <w:p w:rsidR="002D1620" w:rsidP="0082254C">
            <w:pPr>
              <w:widowControl/>
              <w:jc w:val="center"/>
              <w:rPr>
                <w:color w:val="000000"/>
                <w:sz w:val="22"/>
                <w:szCs w:val="22"/>
              </w:rPr>
            </w:pPr>
            <w:r>
              <w:rPr>
                <w:color w:val="000000"/>
                <w:sz w:val="22"/>
                <w:szCs w:val="22"/>
              </w:rPr>
              <w:t>0</w:t>
            </w:r>
          </w:p>
        </w:tc>
      </w:tr>
      <w:tr>
        <w:tblPrEx>
          <w:tblW w:w="10275" w:type="dxa"/>
          <w:jc w:val="center"/>
          <w:tblLayout w:type="fixed"/>
          <w:tblLook w:val="0400"/>
        </w:tblPrEx>
        <w:trPr>
          <w:trHeight w:val="315"/>
          <w:jc w:val="center"/>
        </w:trPr>
        <w:tc>
          <w:tcPr>
            <w:tcW w:w="2791"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2D1620" w:rsidP="001B1351">
            <w:pPr>
              <w:widowControl/>
              <w:jc w:val="center"/>
              <w:rPr>
                <w:b/>
                <w:color w:val="000000"/>
                <w:sz w:val="22"/>
                <w:szCs w:val="22"/>
              </w:rPr>
            </w:pPr>
            <w:r>
              <w:rPr>
                <w:b/>
                <w:color w:val="000000"/>
                <w:sz w:val="22"/>
                <w:szCs w:val="22"/>
              </w:rPr>
              <w:t>TOTALS</w:t>
            </w:r>
          </w:p>
        </w:tc>
        <w:tc>
          <w:tcPr>
            <w:tcW w:w="1441" w:type="dxa"/>
            <w:tcBorders>
              <w:top w:val="single" w:sz="8" w:space="0" w:color="000000"/>
              <w:left w:val="nil"/>
              <w:bottom w:val="single" w:sz="8" w:space="0" w:color="000000"/>
              <w:right w:val="single" w:sz="4" w:space="0" w:color="000000"/>
            </w:tcBorders>
            <w:shd w:val="clear" w:color="auto" w:fill="DDEBF7"/>
            <w:vAlign w:val="center"/>
          </w:tcPr>
          <w:p w:rsidR="002D1620" w:rsidP="001B1351">
            <w:pPr>
              <w:widowControl/>
              <w:jc w:val="center"/>
              <w:rPr>
                <w:b/>
                <w:color w:val="000000"/>
                <w:sz w:val="22"/>
                <w:szCs w:val="22"/>
              </w:rPr>
            </w:pPr>
          </w:p>
        </w:tc>
        <w:tc>
          <w:tcPr>
            <w:tcW w:w="1453" w:type="dxa"/>
            <w:tcBorders>
              <w:top w:val="single" w:sz="8" w:space="0" w:color="000000"/>
              <w:left w:val="nil"/>
              <w:bottom w:val="single" w:sz="8" w:space="0" w:color="000000"/>
              <w:right w:val="single" w:sz="4" w:space="0" w:color="000000"/>
            </w:tcBorders>
            <w:shd w:val="clear" w:color="auto" w:fill="DDEBF7"/>
            <w:vAlign w:val="center"/>
          </w:tcPr>
          <w:p w:rsidR="002D1620" w:rsidP="001B1351">
            <w:pPr>
              <w:widowControl/>
              <w:jc w:val="center"/>
              <w:rPr>
                <w:b/>
                <w:color w:val="000000"/>
                <w:sz w:val="22"/>
                <w:szCs w:val="22"/>
              </w:rPr>
            </w:pPr>
          </w:p>
        </w:tc>
        <w:tc>
          <w:tcPr>
            <w:tcW w:w="1620" w:type="dxa"/>
            <w:tcBorders>
              <w:top w:val="single" w:sz="8" w:space="0" w:color="000000"/>
              <w:left w:val="nil"/>
              <w:bottom w:val="single" w:sz="8" w:space="0" w:color="000000"/>
              <w:right w:val="single" w:sz="4" w:space="0" w:color="000000"/>
            </w:tcBorders>
            <w:shd w:val="clear" w:color="auto" w:fill="DDEBF7"/>
            <w:vAlign w:val="center"/>
          </w:tcPr>
          <w:p w:rsidR="002D1620" w:rsidP="001B1351">
            <w:pPr>
              <w:widowControl/>
              <w:jc w:val="center"/>
              <w:rPr>
                <w:b/>
                <w:color w:val="000000"/>
                <w:sz w:val="22"/>
                <w:szCs w:val="22"/>
              </w:rPr>
            </w:pPr>
            <w:r>
              <w:rPr>
                <w:b/>
                <w:color w:val="000000"/>
                <w:sz w:val="22"/>
                <w:szCs w:val="22"/>
              </w:rPr>
              <w:t>596</w:t>
            </w:r>
          </w:p>
        </w:tc>
        <w:tc>
          <w:tcPr>
            <w:tcW w:w="1440" w:type="dxa"/>
            <w:tcBorders>
              <w:top w:val="single" w:sz="8" w:space="0" w:color="000000"/>
              <w:left w:val="nil"/>
              <w:bottom w:val="single" w:sz="8" w:space="0" w:color="000000"/>
              <w:right w:val="single" w:sz="4" w:space="0" w:color="000000"/>
            </w:tcBorders>
            <w:shd w:val="clear" w:color="auto" w:fill="DDEBF7"/>
            <w:vAlign w:val="center"/>
          </w:tcPr>
          <w:p w:rsidR="002D1620" w:rsidP="001B1351">
            <w:pPr>
              <w:widowControl/>
              <w:jc w:val="center"/>
              <w:rPr>
                <w:b/>
                <w:color w:val="000000"/>
                <w:sz w:val="22"/>
                <w:szCs w:val="22"/>
              </w:rPr>
            </w:pPr>
          </w:p>
        </w:tc>
        <w:tc>
          <w:tcPr>
            <w:tcW w:w="1530" w:type="dxa"/>
            <w:tcBorders>
              <w:top w:val="single" w:sz="8" w:space="0" w:color="000000"/>
              <w:left w:val="nil"/>
              <w:bottom w:val="single" w:sz="8" w:space="0" w:color="000000"/>
              <w:right w:val="single" w:sz="8" w:space="0" w:color="000000"/>
            </w:tcBorders>
            <w:shd w:val="clear" w:color="auto" w:fill="DDEBF7"/>
            <w:vAlign w:val="center"/>
          </w:tcPr>
          <w:p w:rsidR="002D1620" w:rsidP="001B1351">
            <w:pPr>
              <w:widowControl/>
              <w:jc w:val="center"/>
              <w:rPr>
                <w:b/>
                <w:color w:val="000000"/>
                <w:sz w:val="22"/>
                <w:szCs w:val="22"/>
              </w:rPr>
            </w:pPr>
            <w:r>
              <w:rPr>
                <w:b/>
                <w:color w:val="000000"/>
                <w:sz w:val="22"/>
                <w:szCs w:val="22"/>
              </w:rPr>
              <w:t>$260,111</w:t>
            </w:r>
          </w:p>
        </w:tc>
      </w:tr>
    </w:tbl>
    <w:p w:rsidR="002D1620">
      <w:pPr>
        <w:pBdr>
          <w:top w:val="nil"/>
          <w:left w:val="nil"/>
          <w:bottom w:val="nil"/>
          <w:right w:val="nil"/>
          <w:between w:val="nil"/>
        </w:pBdr>
        <w:rPr>
          <w:b/>
          <w:color w:val="000000"/>
        </w:rPr>
      </w:pPr>
    </w:p>
    <w:p w:rsidR="002D1620">
      <w:pPr>
        <w:pBdr>
          <w:top w:val="nil"/>
          <w:left w:val="nil"/>
          <w:bottom w:val="nil"/>
          <w:right w:val="nil"/>
          <w:between w:val="nil"/>
        </w:pBdr>
        <w:rPr>
          <w:b/>
          <w:color w:val="000000"/>
        </w:rPr>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D1620">
      <w:pPr>
        <w:rPr>
          <w:color w:val="CC0000"/>
        </w:rPr>
      </w:pPr>
    </w:p>
    <w:p w:rsidR="002D1620">
      <w:pPr>
        <w:rPr>
          <w:color w:val="000000"/>
        </w:rPr>
      </w:pPr>
    </w:p>
    <w:p w:rsidR="002D1620">
      <w:pPr>
        <w:pBdr>
          <w:top w:val="nil"/>
          <w:left w:val="nil"/>
          <w:bottom w:val="nil"/>
          <w:right w:val="nil"/>
          <w:between w:val="nil"/>
        </w:pBdr>
        <w:spacing w:after="280"/>
        <w:rPr>
          <w:color w:val="000000"/>
        </w:rPr>
      </w:pPr>
      <w:r>
        <w:rPr>
          <w:color w:val="000000"/>
        </w:rPr>
        <w:t xml:space="preserve">Estimated Federal costs for processing applications and issuing permits are calculated consistent with procedures laid out in the NOAA Finance Handbook.  The product/cost computations are as follows: </w:t>
      </w:r>
    </w:p>
    <w:p w:rsidR="002D1620"/>
    <w:p w:rsidR="002D1620">
      <w:pPr>
        <w:pBdr>
          <w:top w:val="nil"/>
          <w:left w:val="nil"/>
          <w:bottom w:val="nil"/>
          <w:right w:val="nil"/>
          <w:between w:val="nil"/>
        </w:pBdr>
        <w:rPr>
          <w:color w:val="000000"/>
        </w:rPr>
      </w:pPr>
      <w:r>
        <w:rPr>
          <w:color w:val="000000"/>
        </w:rPr>
        <w:t xml:space="preserve">a. Direct labor costs are $2,538.23. </w:t>
      </w:r>
    </w:p>
    <w:p w:rsidR="002D1620">
      <w:pPr>
        <w:pBdr>
          <w:top w:val="nil"/>
          <w:left w:val="nil"/>
          <w:bottom w:val="nil"/>
          <w:right w:val="nil"/>
          <w:between w:val="nil"/>
        </w:pBdr>
      </w:pPr>
    </w:p>
    <w:p w:rsidR="002D1620">
      <w:pPr>
        <w:pBdr>
          <w:top w:val="nil"/>
          <w:left w:val="nil"/>
          <w:bottom w:val="nil"/>
          <w:right w:val="nil"/>
          <w:between w:val="nil"/>
        </w:pBdr>
        <w:rPr>
          <w:color w:val="000000"/>
        </w:rPr>
      </w:pPr>
      <w:r>
        <w:rPr>
          <w:color w:val="000000"/>
        </w:rPr>
        <w:t xml:space="preserve">b. Other direct costs are $4,591.00. </w:t>
      </w:r>
    </w:p>
    <w:p w:rsidR="002D1620">
      <w:pPr>
        <w:pBdr>
          <w:top w:val="nil"/>
          <w:left w:val="nil"/>
          <w:bottom w:val="nil"/>
          <w:right w:val="nil"/>
          <w:between w:val="nil"/>
        </w:pBdr>
        <w:rPr>
          <w:color w:val="000000"/>
        </w:rPr>
      </w:pPr>
    </w:p>
    <w:p w:rsidR="002D1620">
      <w:pPr>
        <w:pBdr>
          <w:top w:val="nil"/>
          <w:left w:val="nil"/>
          <w:bottom w:val="nil"/>
          <w:right w:val="nil"/>
          <w:between w:val="nil"/>
        </w:pBdr>
        <w:rPr>
          <w:color w:val="000000"/>
        </w:rPr>
      </w:pPr>
      <w:r>
        <w:rPr>
          <w:color w:val="000000"/>
        </w:rPr>
        <w:t>c. Distributed (indirect) costs are $881.27.</w:t>
      </w:r>
    </w:p>
    <w:p w:rsidR="002D1620">
      <w:pPr>
        <w:pBdr>
          <w:top w:val="nil"/>
          <w:left w:val="nil"/>
          <w:bottom w:val="nil"/>
          <w:right w:val="nil"/>
          <w:between w:val="nil"/>
        </w:pBdr>
        <w:rPr>
          <w:color w:val="000000"/>
        </w:rPr>
      </w:pPr>
    </w:p>
    <w:p w:rsidR="002D1620">
      <w:pPr>
        <w:pBdr>
          <w:top w:val="nil"/>
          <w:left w:val="nil"/>
          <w:bottom w:val="nil"/>
          <w:right w:val="nil"/>
          <w:between w:val="nil"/>
        </w:pBdr>
        <w:rPr>
          <w:color w:val="000000"/>
        </w:rPr>
      </w:pPr>
      <w:r>
        <w:rPr>
          <w:color w:val="000000"/>
        </w:rPr>
        <w:t>d. Financial Management Service fees (use of Treasury’s pay.gov) are $ 349.00.</w:t>
      </w:r>
    </w:p>
    <w:p w:rsidR="002D1620">
      <w:pPr>
        <w:pBdr>
          <w:top w:val="nil"/>
          <w:left w:val="nil"/>
          <w:bottom w:val="nil"/>
          <w:right w:val="nil"/>
          <w:between w:val="nil"/>
        </w:pBdr>
        <w:rPr>
          <w:color w:val="000000"/>
        </w:rPr>
      </w:pPr>
    </w:p>
    <w:p w:rsidR="002D1620">
      <w:pPr>
        <w:pBdr>
          <w:top w:val="nil"/>
          <w:left w:val="nil"/>
          <w:bottom w:val="nil"/>
          <w:right w:val="nil"/>
          <w:between w:val="nil"/>
        </w:pBdr>
        <w:spacing w:after="280"/>
        <w:rPr>
          <w:color w:val="000000"/>
        </w:rPr>
      </w:pPr>
      <w:r>
        <w:rPr>
          <w:color w:val="000000"/>
        </w:rPr>
        <w:t>These items result in an annual estimated total cost of $30,240 to the Federal government.</w:t>
      </w:r>
    </w:p>
    <w:p w:rsidR="002D1620">
      <w:r>
        <w:t>The Federal government’s administrative cost per permit is $84.00.  Per agency policy of full administrative cost recovery for special products or services, an application-processing fee of $84.00 (rounded) is charged to each applicant.</w:t>
      </w:r>
    </w:p>
    <w:p w:rsidR="002D1620"/>
    <w:p w:rsidR="002D1620">
      <w:pPr>
        <w:rPr>
          <w:color w:val="000000"/>
        </w:rPr>
      </w:pPr>
      <w:r>
        <w:rPr>
          <w:color w:val="000000"/>
        </w:rPr>
        <w:t>120 vessel permit applications/renewals per year x $84 administrative cost per permit = $10,080</w:t>
      </w:r>
    </w:p>
    <w:p w:rsidR="002D1620">
      <w:r>
        <w:rPr>
          <w:color w:val="000000"/>
        </w:rPr>
        <w:t xml:space="preserve"> $10,080 administrative cost per year x 3 year collection cycle period = $30,240</w:t>
      </w:r>
      <w:r>
        <w:rPr>
          <w:color w:val="000000"/>
        </w:rPr>
        <w:br/>
      </w:r>
    </w:p>
    <w:p w:rsidR="002D1620">
      <w:pPr>
        <w:pBdr>
          <w:top w:val="nil"/>
          <w:left w:val="nil"/>
          <w:bottom w:val="nil"/>
          <w:right w:val="nil"/>
          <w:between w:val="nil"/>
        </w:pBdr>
        <w:rPr>
          <w:b/>
          <w:color w:val="000000"/>
        </w:rPr>
      </w:pPr>
    </w:p>
    <w:tbl>
      <w:tblPr>
        <w:tblStyle w:val="af0"/>
        <w:tblW w:w="8240" w:type="dxa"/>
        <w:jc w:val="center"/>
        <w:tblLayout w:type="fixed"/>
        <w:tblLook w:val="0400"/>
      </w:tblPr>
      <w:tblGrid>
        <w:gridCol w:w="2280"/>
        <w:gridCol w:w="1120"/>
        <w:gridCol w:w="1140"/>
        <w:gridCol w:w="1260"/>
        <w:gridCol w:w="1140"/>
        <w:gridCol w:w="1300"/>
      </w:tblGrid>
      <w:tr w:rsidTr="00BB2485">
        <w:tblPrEx>
          <w:tblW w:w="8240" w:type="dxa"/>
          <w:jc w:val="center"/>
          <w:tblLayout w:type="fixed"/>
          <w:tblLook w:val="0400"/>
        </w:tblPrEx>
        <w:trPr>
          <w:trHeight w:val="450"/>
          <w:jc w:val="center"/>
        </w:trPr>
        <w:tc>
          <w:tcPr>
            <w:tcW w:w="2280" w:type="dxa"/>
            <w:tcBorders>
              <w:top w:val="single" w:sz="8" w:space="0" w:color="000000"/>
              <w:left w:val="single" w:sz="8" w:space="0" w:color="000000"/>
              <w:bottom w:val="nil"/>
              <w:right w:val="single" w:sz="8" w:space="0" w:color="000000"/>
            </w:tcBorders>
            <w:shd w:val="clear" w:color="auto" w:fill="BDD7EE"/>
            <w:vAlign w:val="center"/>
          </w:tcPr>
          <w:p w:rsidR="002D162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2D162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2D162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260" w:type="dxa"/>
            <w:tcBorders>
              <w:top w:val="single" w:sz="8" w:space="0" w:color="000000"/>
              <w:left w:val="nil"/>
              <w:bottom w:val="nil"/>
              <w:right w:val="single" w:sz="8" w:space="0" w:color="000000"/>
            </w:tcBorders>
            <w:shd w:val="clear" w:color="auto" w:fill="BDD7EE"/>
            <w:vAlign w:val="center"/>
          </w:tcPr>
          <w:p w:rsidR="002D162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140" w:type="dxa"/>
            <w:tcBorders>
              <w:top w:val="single" w:sz="8" w:space="0" w:color="000000"/>
              <w:left w:val="nil"/>
              <w:bottom w:val="nil"/>
              <w:right w:val="single" w:sz="8" w:space="0" w:color="000000"/>
            </w:tcBorders>
            <w:shd w:val="clear" w:color="auto" w:fill="BDD7EE"/>
            <w:vAlign w:val="center"/>
          </w:tcPr>
          <w:p w:rsidR="002D162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2D162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rsidTr="00BB2485">
        <w:tblPrEx>
          <w:tblW w:w="8240" w:type="dxa"/>
          <w:jc w:val="center"/>
          <w:tblLayout w:type="fixed"/>
          <w:tblLook w:val="0400"/>
        </w:tblPrEx>
        <w:trPr>
          <w:trHeight w:val="465"/>
          <w:jc w:val="center"/>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2D1620">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ZA05/2</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$ 177,081.38</w:t>
            </w:r>
          </w:p>
        </w:tc>
        <w:tc>
          <w:tcPr>
            <w:tcW w:w="1260" w:type="dxa"/>
            <w:tcBorders>
              <w:top w:val="single" w:sz="4" w:space="0" w:color="000000"/>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300 minutes</w:t>
            </w:r>
          </w:p>
        </w:tc>
        <w:tc>
          <w:tcPr>
            <w:tcW w:w="1140" w:type="dxa"/>
            <w:tcBorders>
              <w:top w:val="single" w:sz="4" w:space="0" w:color="000000"/>
              <w:left w:val="nil"/>
              <w:bottom w:val="single" w:sz="4" w:space="0" w:color="000000"/>
              <w:right w:val="single" w:sz="4" w:space="0" w:color="000000"/>
            </w:tcBorders>
            <w:shd w:val="clear" w:color="auto" w:fill="808080"/>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$424.25</w:t>
            </w:r>
          </w:p>
        </w:tc>
      </w:tr>
      <w:tr w:rsidTr="00BB2485">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ZA03/2</w:t>
            </w:r>
          </w:p>
        </w:tc>
        <w:tc>
          <w:tcPr>
            <w:tcW w:w="114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$ 105,449.63</w:t>
            </w:r>
          </w:p>
        </w:tc>
        <w:tc>
          <w:tcPr>
            <w:tcW w:w="126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1,400 minutes</w:t>
            </w:r>
          </w:p>
        </w:tc>
        <w:tc>
          <w:tcPr>
            <w:tcW w:w="1140" w:type="dxa"/>
            <w:tcBorders>
              <w:top w:val="nil"/>
              <w:left w:val="nil"/>
              <w:bottom w:val="single" w:sz="4" w:space="0" w:color="000000"/>
              <w:right w:val="single" w:sz="4" w:space="0" w:color="000000"/>
            </w:tcBorders>
            <w:shd w:val="clear" w:color="auto" w:fill="808080"/>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$1,178.95</w:t>
            </w:r>
          </w:p>
        </w:tc>
      </w:tr>
      <w:tr w:rsidTr="00BB2485">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Other Federal</w:t>
            </w:r>
          </w:p>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Positions</w:t>
            </w:r>
          </w:p>
        </w:tc>
        <w:tc>
          <w:tcPr>
            <w:tcW w:w="112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ZA02/2</w:t>
            </w:r>
          </w:p>
        </w:tc>
        <w:tc>
          <w:tcPr>
            <w:tcW w:w="114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$77,517.00</w:t>
            </w:r>
          </w:p>
        </w:tc>
        <w:tc>
          <w:tcPr>
            <w:tcW w:w="126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800 minutes</w:t>
            </w:r>
          </w:p>
        </w:tc>
        <w:tc>
          <w:tcPr>
            <w:tcW w:w="1140" w:type="dxa"/>
            <w:tcBorders>
              <w:top w:val="nil"/>
              <w:left w:val="nil"/>
              <w:bottom w:val="single" w:sz="4" w:space="0" w:color="000000"/>
              <w:right w:val="single" w:sz="4" w:space="0" w:color="000000"/>
            </w:tcBorders>
            <w:shd w:val="clear" w:color="auto" w:fill="808080"/>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$496</w:t>
            </w:r>
          </w:p>
        </w:tc>
      </w:tr>
      <w:tr w:rsidTr="00BB2485">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BB2485">
        <w:tblPrEx>
          <w:tblW w:w="8240" w:type="dxa"/>
          <w:jc w:val="center"/>
          <w:tblLayout w:type="fixed"/>
          <w:tblLook w:val="0400"/>
        </w:tblPrEx>
        <w:trPr>
          <w:trHeight w:val="465"/>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2D1620">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$4,591.00</w:t>
            </w:r>
          </w:p>
        </w:tc>
      </w:tr>
      <w:tr w:rsidTr="00BB2485">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BB2485">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BB2485">
        <w:tblPrEx>
          <w:tblW w:w="8240" w:type="dxa"/>
          <w:jc w:val="center"/>
          <w:tblLayout w:type="fixed"/>
          <w:tblLook w:val="0400"/>
        </w:tblPrEx>
        <w:trPr>
          <w:trHeight w:val="300"/>
          <w:jc w:val="center"/>
        </w:trPr>
        <w:tc>
          <w:tcPr>
            <w:tcW w:w="2280" w:type="dxa"/>
            <w:tcBorders>
              <w:top w:val="nil"/>
              <w:left w:val="single" w:sz="8" w:space="0" w:color="000000"/>
              <w:bottom w:val="nil"/>
              <w:right w:val="single" w:sz="8" w:space="0" w:color="000000"/>
            </w:tcBorders>
            <w:shd w:val="clear" w:color="auto" w:fill="auto"/>
            <w:vAlign w:val="center"/>
          </w:tcPr>
          <w:p w:rsidR="002D1620">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808080"/>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$ 3</w:t>
            </w:r>
            <w:r w:rsidR="00BB2485">
              <w:rPr>
                <w:rFonts w:ascii="Calibri" w:eastAsia="Calibri" w:hAnsi="Calibri" w:cs="Calibri"/>
                <w:color w:val="000000"/>
                <w:sz w:val="16"/>
                <w:szCs w:val="16"/>
              </w:rPr>
              <w:t>,</w:t>
            </w:r>
            <w:r>
              <w:rPr>
                <w:rFonts w:ascii="Calibri" w:eastAsia="Calibri" w:hAnsi="Calibri" w:cs="Calibri"/>
                <w:color w:val="000000"/>
                <w:sz w:val="16"/>
                <w:szCs w:val="16"/>
              </w:rPr>
              <w:t>389.80</w:t>
            </w:r>
          </w:p>
        </w:tc>
      </w:tr>
      <w:tr w:rsidTr="00BB2485">
        <w:tblPrEx>
          <w:tblW w:w="8240" w:type="dxa"/>
          <w:jc w:val="center"/>
          <w:tblLayout w:type="fixed"/>
          <w:tblLook w:val="0400"/>
        </w:tblPrEx>
        <w:trPr>
          <w:trHeight w:val="525"/>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2D1620">
            <w:pPr>
              <w:widowControl/>
              <w:rPr>
                <w:rFonts w:ascii="Calibri" w:eastAsia="Calibri" w:hAnsi="Calibri" w:cs="Calibri"/>
                <w:b/>
                <w:color w:val="000000"/>
                <w:sz w:val="16"/>
                <w:szCs w:val="16"/>
              </w:rPr>
            </w:pPr>
            <w:r>
              <w:rPr>
                <w:rFonts w:ascii="Calibri" w:eastAsia="Calibri" w:hAnsi="Calibri" w:cs="Calibri"/>
                <w:b/>
                <w:color w:val="000000"/>
                <w:sz w:val="16"/>
                <w:szCs w:val="16"/>
              </w:rPr>
              <w:t>TOTAL (annual)</w:t>
            </w:r>
          </w:p>
        </w:tc>
        <w:tc>
          <w:tcPr>
            <w:tcW w:w="1120" w:type="dxa"/>
            <w:tcBorders>
              <w:top w:val="nil"/>
              <w:left w:val="nil"/>
              <w:bottom w:val="single" w:sz="4" w:space="0" w:color="000000"/>
              <w:right w:val="single" w:sz="4" w:space="0" w:color="000000"/>
            </w:tcBorders>
            <w:shd w:val="clear" w:color="auto" w:fill="808080"/>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808080"/>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D1620">
            <w:pPr>
              <w:widowControl/>
              <w:rPr>
                <w:rFonts w:ascii="Calibri" w:eastAsia="Calibri" w:hAnsi="Calibri" w:cs="Calibri"/>
                <w:color w:val="000000"/>
                <w:sz w:val="16"/>
                <w:szCs w:val="16"/>
              </w:rPr>
            </w:pPr>
            <w:r>
              <w:rPr>
                <w:rFonts w:ascii="Calibri" w:eastAsia="Calibri" w:hAnsi="Calibri" w:cs="Calibri"/>
                <w:color w:val="000000"/>
                <w:sz w:val="16"/>
                <w:szCs w:val="16"/>
              </w:rPr>
              <w:t>  $10,080</w:t>
            </w:r>
          </w:p>
        </w:tc>
      </w:tr>
    </w:tbl>
    <w:p w:rsidR="002D1620">
      <w:pPr>
        <w:pBdr>
          <w:top w:val="nil"/>
          <w:left w:val="nil"/>
          <w:bottom w:val="nil"/>
          <w:right w:val="nil"/>
          <w:between w:val="nil"/>
        </w:pBdr>
        <w:rPr>
          <w:b/>
          <w:color w:val="000000"/>
        </w:rPr>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2D1620">
      <w:pPr>
        <w:pBdr>
          <w:top w:val="nil"/>
          <w:left w:val="nil"/>
          <w:bottom w:val="nil"/>
          <w:right w:val="nil"/>
          <w:between w:val="nil"/>
        </w:pBdr>
        <w:rPr>
          <w:b/>
          <w:color w:val="000000"/>
        </w:rPr>
      </w:pPr>
    </w:p>
    <w:p w:rsidR="002D1620" w:rsidP="00154D50">
      <w:pPr>
        <w:widowControl/>
        <w:pBdr>
          <w:top w:val="nil"/>
          <w:left w:val="nil"/>
          <w:bottom w:val="nil"/>
          <w:right w:val="nil"/>
          <w:between w:val="nil"/>
        </w:pBdr>
        <w:spacing w:before="161"/>
      </w:pPr>
      <w:r>
        <w:t>The changes between this collection and the</w:t>
      </w:r>
      <w:r>
        <w:rPr>
          <w:color w:val="000000"/>
        </w:rPr>
        <w:t xml:space="preserve"> 2021 OMB Approval</w:t>
      </w:r>
      <w:r>
        <w:t xml:space="preserve"> are regarding the</w:t>
      </w:r>
      <w:r>
        <w:rPr>
          <w:color w:val="000000"/>
        </w:rPr>
        <w:t xml:space="preserve"> increase </w:t>
      </w:r>
      <w:r>
        <w:t xml:space="preserve">to the </w:t>
      </w:r>
      <w:r>
        <w:rPr>
          <w:color w:val="000000"/>
        </w:rPr>
        <w:t>permit application</w:t>
      </w:r>
      <w:r>
        <w:t xml:space="preserve"> fee and increased wages associated with the required labor.</w:t>
      </w:r>
      <w:r w:rsidR="001B1351">
        <w:t xml:space="preserve"> </w:t>
      </w:r>
      <w:r w:rsidR="00A9259C">
        <w:t xml:space="preserve">With </w:t>
      </w:r>
      <w:r w:rsidR="00A9259C">
        <w:t>permit</w:t>
      </w:r>
      <w:r w:rsidR="00A9259C">
        <w:t xml:space="preserve"> applications being submitted online the total hours of burden have decreased.</w:t>
      </w:r>
    </w:p>
    <w:p w:rsidR="002D1620">
      <w:pPr>
        <w:pBdr>
          <w:top w:val="nil"/>
          <w:left w:val="nil"/>
          <w:bottom w:val="nil"/>
          <w:right w:val="nil"/>
          <w:between w:val="nil"/>
        </w:pBdr>
      </w:pPr>
    </w:p>
    <w:p w:rsidR="002D1620">
      <w:pPr>
        <w:pBdr>
          <w:top w:val="nil"/>
          <w:left w:val="nil"/>
          <w:bottom w:val="nil"/>
          <w:right w:val="nil"/>
          <w:between w:val="nil"/>
        </w:pBdr>
      </w:pPr>
      <w:r>
        <w:t xml:space="preserve">NMFS also submitted an information collection request in 2022 associated with a proposed rule that </w:t>
      </w:r>
      <w:r>
        <w:t xml:space="preserve">has since been </w:t>
      </w:r>
      <w:hyperlink r:id="rId13">
        <w:r>
          <w:rPr>
            <w:color w:val="1155CC"/>
            <w:u w:val="single"/>
          </w:rPr>
          <w:t>withdrawn</w:t>
        </w:r>
      </w:hyperlink>
      <w:r>
        <w:t xml:space="preserve">. Therefore, changes to the high seas permit period of validity </w:t>
      </w:r>
      <w:r>
        <w:t>are no longer being considered</w:t>
      </w:r>
      <w:r>
        <w:t xml:space="preserve">. </w:t>
      </w:r>
      <w:r w:rsidR="00C23E4E">
        <w:t xml:space="preserve">Should NMFS propose a change to the duration of the HSFCA permits period of validity in the </w:t>
      </w:r>
      <w:r w:rsidR="00C23E4E">
        <w:t>future,</w:t>
      </w:r>
      <w:r w:rsidR="00C23E4E">
        <w:t xml:space="preserve"> NMFS will revise the permit and seek approval of the change from the Office of Management and Budget under the authority of the Paperwork Reduction Act (OMB Control Number 0648-0304) and request public comment as part of that process.</w:t>
      </w:r>
    </w:p>
    <w:p w:rsidR="00DC695D">
      <w:pPr>
        <w:pBdr>
          <w:top w:val="nil"/>
          <w:left w:val="nil"/>
          <w:bottom w:val="nil"/>
          <w:right w:val="nil"/>
          <w:between w:val="nil"/>
        </w:pBdr>
        <w:rPr>
          <w:color w:val="000000"/>
        </w:rPr>
      </w:pPr>
    </w:p>
    <w:p w:rsidR="00DC695D">
      <w:pPr>
        <w:pBdr>
          <w:top w:val="nil"/>
          <w:left w:val="nil"/>
          <w:bottom w:val="nil"/>
          <w:right w:val="nil"/>
          <w:between w:val="nil"/>
        </w:pBdr>
        <w:rPr>
          <w:b/>
          <w:color w:val="000000"/>
        </w:rPr>
        <w:sectPr w:rsidSect="006B15B4">
          <w:pgSz w:w="12240" w:h="15840"/>
          <w:pgMar w:top="634" w:right="1080" w:bottom="1195" w:left="1080" w:header="0" w:footer="720" w:gutter="0"/>
          <w:cols w:space="720"/>
        </w:sectPr>
      </w:pPr>
    </w:p>
    <w:p w:rsidR="00DC695D" w:rsidP="00DC695D">
      <w:pPr>
        <w:widowControl/>
        <w:spacing w:after="240"/>
      </w:pPr>
    </w:p>
    <w:tbl>
      <w:tblPr>
        <w:tblW w:w="0" w:type="auto"/>
        <w:tblCellMar>
          <w:top w:w="15" w:type="dxa"/>
          <w:left w:w="15" w:type="dxa"/>
          <w:bottom w:w="15" w:type="dxa"/>
          <w:right w:w="15" w:type="dxa"/>
        </w:tblCellMar>
        <w:tblLook w:val="04A0"/>
      </w:tblPr>
      <w:tblGrid>
        <w:gridCol w:w="2772"/>
        <w:gridCol w:w="1401"/>
        <w:gridCol w:w="1433"/>
        <w:gridCol w:w="1402"/>
        <w:gridCol w:w="1433"/>
        <w:gridCol w:w="1402"/>
        <w:gridCol w:w="1433"/>
        <w:gridCol w:w="2715"/>
      </w:tblGrid>
      <w:tr w:rsidTr="00A9259C">
        <w:tblPrEx>
          <w:tblW w:w="0" w:type="auto"/>
          <w:tblCellMar>
            <w:top w:w="15" w:type="dxa"/>
            <w:left w:w="15" w:type="dxa"/>
            <w:bottom w:w="15" w:type="dxa"/>
            <w:right w:w="15" w:type="dxa"/>
          </w:tblCellMar>
          <w:tblLook w:val="04A0"/>
        </w:tblPrEx>
        <w:trPr>
          <w:trHeight w:val="31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A9259C" w:rsidRPr="00A9259C" w:rsidP="00A9259C">
            <w:pPr>
              <w:widowControl/>
              <w:jc w:val="center"/>
            </w:pPr>
            <w:r w:rsidRPr="00A9259C">
              <w:rPr>
                <w:rFonts w:ascii="Calibri" w:hAnsi="Calibri" w:cs="Calibri"/>
                <w:b/>
                <w:bCs/>
                <w:color w:val="000000"/>
                <w:sz w:val="16"/>
                <w:szCs w:val="16"/>
              </w:rPr>
              <w:t>Information Collection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A9259C" w:rsidRPr="00A9259C" w:rsidP="00A9259C">
            <w:pPr>
              <w:widowControl/>
              <w:jc w:val="center"/>
            </w:pPr>
            <w:r w:rsidRPr="00A9259C">
              <w:rPr>
                <w:rFonts w:ascii="Calibri" w:hAnsi="Calibri" w:cs="Calibri"/>
                <w:b/>
                <w:bCs/>
                <w:color w:val="000000"/>
                <w:sz w:val="16"/>
                <w:szCs w:val="16"/>
              </w:rPr>
              <w:t>Respondents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A9259C" w:rsidRPr="00A9259C" w:rsidP="00A9259C">
            <w:pPr>
              <w:widowControl/>
              <w:jc w:val="center"/>
            </w:pPr>
            <w:r w:rsidRPr="00A9259C">
              <w:rPr>
                <w:rFonts w:ascii="Calibri" w:hAnsi="Calibri" w:cs="Calibri"/>
                <w:b/>
                <w:bCs/>
                <w:color w:val="000000"/>
                <w:sz w:val="16"/>
                <w:szCs w:val="16"/>
              </w:rPr>
              <w:t>Responses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A9259C" w:rsidRPr="00A9259C" w:rsidP="00A9259C">
            <w:pPr>
              <w:widowControl/>
              <w:jc w:val="center"/>
            </w:pPr>
            <w:r w:rsidRPr="00A9259C">
              <w:rPr>
                <w:rFonts w:ascii="Calibri" w:hAnsi="Calibri" w:cs="Calibri"/>
                <w:b/>
                <w:bCs/>
                <w:color w:val="000000"/>
                <w:sz w:val="16"/>
                <w:szCs w:val="16"/>
              </w:rPr>
              <w:t>Burden Hours</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A9259C" w:rsidRPr="00A9259C" w:rsidP="00A9259C">
            <w:pPr>
              <w:widowControl/>
              <w:jc w:val="center"/>
            </w:pPr>
            <w:r w:rsidRPr="00A9259C">
              <w:rPr>
                <w:rFonts w:ascii="Calibri" w:hAnsi="Calibri" w:cs="Calibri"/>
                <w:b/>
                <w:bCs/>
                <w:color w:val="000000"/>
                <w:sz w:val="16"/>
                <w:szCs w:val="16"/>
              </w:rPr>
              <w:t>Reason for change or adjustment</w:t>
            </w:r>
          </w:p>
        </w:tc>
      </w:tr>
      <w:tr w:rsidTr="00A9259C">
        <w:tblPrEx>
          <w:tblW w:w="0" w:type="auto"/>
          <w:tblCellMar>
            <w:top w:w="15" w:type="dxa"/>
            <w:left w:w="15" w:type="dxa"/>
            <w:bottom w:w="15" w:type="dxa"/>
            <w:right w:w="15" w:type="dxa"/>
          </w:tblCellMar>
          <w:tblLook w:val="04A0"/>
        </w:tblPrEx>
        <w:trPr>
          <w:trHeight w:val="6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9259C" w:rsidRPr="00A9259C" w:rsidP="00A9259C">
            <w:pPr>
              <w:widowControl/>
            </w:pP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A9259C" w:rsidRPr="00A9259C" w:rsidP="00A9259C">
            <w:pPr>
              <w:widowControl/>
              <w:jc w:val="center"/>
            </w:pPr>
            <w:r w:rsidRPr="00A9259C">
              <w:rPr>
                <w:rFonts w:ascii="Calibri" w:hAnsi="Calibri" w:cs="Calibri"/>
                <w:color w:val="000000"/>
                <w:sz w:val="16"/>
                <w:szCs w:val="16"/>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A9259C" w:rsidRPr="00A9259C" w:rsidP="00A9259C">
            <w:pPr>
              <w:widowControl/>
              <w:jc w:val="center"/>
            </w:pPr>
            <w:r w:rsidRPr="00A9259C">
              <w:rPr>
                <w:rFonts w:ascii="Calibri" w:hAnsi="Calibri" w:cs="Calibri"/>
                <w:color w:val="000000"/>
                <w:sz w:val="16"/>
                <w:szCs w:val="16"/>
              </w:rPr>
              <w:t>Previous Renewal / Revision</w:t>
            </w: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A9259C" w:rsidRPr="00A9259C" w:rsidP="00A9259C">
            <w:pPr>
              <w:widowControl/>
              <w:jc w:val="center"/>
            </w:pPr>
            <w:r w:rsidRPr="00A9259C">
              <w:rPr>
                <w:rFonts w:ascii="Calibri" w:hAnsi="Calibri" w:cs="Calibri"/>
                <w:color w:val="000000"/>
                <w:sz w:val="16"/>
                <w:szCs w:val="16"/>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A9259C" w:rsidRPr="00A9259C" w:rsidP="00A9259C">
            <w:pPr>
              <w:widowControl/>
              <w:jc w:val="center"/>
            </w:pPr>
            <w:r w:rsidRPr="00A9259C">
              <w:rPr>
                <w:rFonts w:ascii="Calibri" w:hAnsi="Calibri" w:cs="Calibri"/>
                <w:color w:val="000000"/>
                <w:sz w:val="16"/>
                <w:szCs w:val="16"/>
              </w:rPr>
              <w:t>Previous Renewal / Revision</w:t>
            </w: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A9259C" w:rsidRPr="00A9259C" w:rsidP="00A9259C">
            <w:pPr>
              <w:widowControl/>
              <w:jc w:val="center"/>
            </w:pPr>
            <w:r w:rsidRPr="00A9259C">
              <w:rPr>
                <w:rFonts w:ascii="Calibri" w:hAnsi="Calibri" w:cs="Calibri"/>
                <w:color w:val="000000"/>
                <w:sz w:val="16"/>
                <w:szCs w:val="16"/>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A9259C" w:rsidRPr="00A9259C" w:rsidP="00A9259C">
            <w:pPr>
              <w:widowControl/>
              <w:jc w:val="center"/>
            </w:pPr>
            <w:r w:rsidRPr="00A9259C">
              <w:rPr>
                <w:rFonts w:ascii="Calibri" w:hAnsi="Calibri" w:cs="Calibri"/>
                <w:color w:val="000000"/>
                <w:sz w:val="16"/>
                <w:szCs w:val="16"/>
              </w:rPr>
              <w:t>Previous Renewal / Revision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9259C" w:rsidRPr="00A9259C" w:rsidP="00A9259C">
            <w:pPr>
              <w:widowControl/>
            </w:pPr>
          </w:p>
        </w:tc>
      </w:tr>
      <w:tr w:rsidTr="003F79B1">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CF68F2" w:rsidRPr="00CF68F2" w:rsidP="00CF68F2">
            <w:pPr>
              <w:rPr>
                <w:sz w:val="18"/>
              </w:rPr>
            </w:pPr>
            <w:r w:rsidRPr="00CF68F2">
              <w:rPr>
                <w:sz w:val="18"/>
              </w:rPr>
              <w:t>High Seas Fishing Permit Application</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120</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600</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120</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120</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30</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60</w:t>
            </w:r>
          </w:p>
        </w:tc>
        <w:tc>
          <w:tcPr>
            <w:tcW w:w="0" w:type="auto"/>
            <w:tcBorders>
              <w:top w:val="single" w:sz="8" w:space="0" w:color="000000"/>
              <w:left w:val="single" w:sz="8" w:space="0" w:color="000000"/>
              <w:bottom w:val="dotted" w:sz="4" w:space="0" w:color="000000"/>
              <w:right w:val="single" w:sz="8" w:space="0" w:color="000000"/>
            </w:tcBorders>
            <w:tcMar>
              <w:top w:w="0" w:type="dxa"/>
              <w:left w:w="115" w:type="dxa"/>
              <w:bottom w:w="0" w:type="dxa"/>
              <w:right w:w="115" w:type="dxa"/>
            </w:tcMar>
            <w:hideMark/>
          </w:tcPr>
          <w:p w:rsidR="00CF68F2" w:rsidRPr="00CF68F2" w:rsidP="00535CE3">
            <w:pPr>
              <w:rPr>
                <w:rFonts w:asciiTheme="minorHAnsi" w:hAnsiTheme="minorHAnsi" w:cstheme="minorHAnsi"/>
                <w:sz w:val="16"/>
              </w:rPr>
            </w:pPr>
            <w:r w:rsidRPr="00CF68F2">
              <w:rPr>
                <w:rFonts w:asciiTheme="minorHAnsi" w:hAnsiTheme="minorHAnsi" w:cstheme="minorHAnsi"/>
                <w:sz w:val="16"/>
              </w:rPr>
              <w:t xml:space="preserve"> Less burden due to online submissions.</w:t>
            </w:r>
            <w:r>
              <w:rPr>
                <w:rFonts w:asciiTheme="minorHAnsi" w:hAnsiTheme="minorHAnsi" w:cstheme="minorHAnsi"/>
                <w:sz w:val="16"/>
              </w:rPr>
              <w:t xml:space="preserve"> </w:t>
            </w:r>
            <w:r w:rsidR="00535CE3">
              <w:rPr>
                <w:rFonts w:asciiTheme="minorHAnsi" w:hAnsiTheme="minorHAnsi" w:cstheme="minorHAnsi"/>
                <w:sz w:val="16"/>
              </w:rPr>
              <w:t>Reduced</w:t>
            </w:r>
            <w:r>
              <w:rPr>
                <w:rFonts w:asciiTheme="minorHAnsi" w:hAnsiTheme="minorHAnsi" w:cstheme="minorHAnsi"/>
                <w:sz w:val="16"/>
              </w:rPr>
              <w:t xml:space="preserve"> respondents.</w:t>
            </w:r>
          </w:p>
        </w:tc>
      </w:tr>
      <w:tr w:rsidTr="003F79B1">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rsidR="00CF68F2" w:rsidRPr="00CF68F2" w:rsidP="00CF68F2">
            <w:pPr>
              <w:rPr>
                <w:sz w:val="18"/>
              </w:rPr>
            </w:pPr>
            <w:r w:rsidRPr="00CF68F2">
              <w:rPr>
                <w:sz w:val="18"/>
              </w:rPr>
              <w:t xml:space="preserve">Request to Authorize a Fishery on the High Seas </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1</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1</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0.1</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0.1</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4</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4</w:t>
            </w:r>
          </w:p>
        </w:tc>
        <w:tc>
          <w:tcPr>
            <w:tcW w:w="0" w:type="auto"/>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tcPr>
          <w:p w:rsidR="00CF68F2" w:rsidRPr="00CF68F2" w:rsidP="00CF68F2">
            <w:pPr>
              <w:rPr>
                <w:rFonts w:asciiTheme="minorHAnsi" w:hAnsiTheme="minorHAnsi" w:cstheme="minorHAnsi"/>
                <w:sz w:val="16"/>
              </w:rPr>
            </w:pPr>
            <w:r w:rsidRPr="00CF68F2">
              <w:rPr>
                <w:rFonts w:asciiTheme="minorHAnsi" w:hAnsiTheme="minorHAnsi" w:cstheme="minorHAnsi"/>
                <w:sz w:val="16"/>
              </w:rPr>
              <w:t>No Change</w:t>
            </w:r>
          </w:p>
        </w:tc>
      </w:tr>
      <w:tr w:rsidTr="003F79B1">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rsidR="00CF68F2" w:rsidRPr="00CF68F2" w:rsidP="00CF68F2">
            <w:pPr>
              <w:rPr>
                <w:sz w:val="18"/>
              </w:rPr>
            </w:pPr>
            <w:r w:rsidRPr="00CF68F2">
              <w:rPr>
                <w:sz w:val="18"/>
              </w:rPr>
              <w:t xml:space="preserve"> Transshipment Notifications/Reports</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5</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5</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15</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15</w:t>
            </w:r>
            <w:bookmarkStart w:id="1" w:name="_GoBack"/>
            <w:bookmarkEnd w:id="1"/>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15</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15</w:t>
            </w:r>
          </w:p>
        </w:tc>
        <w:tc>
          <w:tcPr>
            <w:tcW w:w="0" w:type="auto"/>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tcPr>
          <w:p w:rsidR="00CF68F2" w:rsidRPr="00CF68F2" w:rsidP="00CF68F2">
            <w:pPr>
              <w:rPr>
                <w:rFonts w:asciiTheme="minorHAnsi" w:hAnsiTheme="minorHAnsi" w:cstheme="minorHAnsi"/>
                <w:sz w:val="16"/>
              </w:rPr>
            </w:pPr>
            <w:r w:rsidRPr="00CF68F2">
              <w:rPr>
                <w:rFonts w:asciiTheme="minorHAnsi" w:hAnsiTheme="minorHAnsi" w:cstheme="minorHAnsi"/>
                <w:sz w:val="16"/>
              </w:rPr>
              <w:t>No Change</w:t>
            </w:r>
          </w:p>
        </w:tc>
      </w:tr>
      <w:tr w:rsidTr="003F79B1">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CF68F2" w:rsidRPr="00CF68F2" w:rsidP="00CF68F2">
            <w:pPr>
              <w:rPr>
                <w:sz w:val="18"/>
              </w:rPr>
            </w:pPr>
            <w:r w:rsidRPr="00CF68F2">
              <w:rPr>
                <w:sz w:val="18"/>
              </w:rPr>
              <w:t>EMTU Operations</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400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400</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400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400</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67</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67</w:t>
            </w:r>
          </w:p>
        </w:tc>
        <w:tc>
          <w:tcPr>
            <w:tcW w:w="0" w:type="auto"/>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hideMark/>
          </w:tcPr>
          <w:p w:rsidR="00CF68F2" w:rsidRPr="00CF68F2" w:rsidP="00CF68F2">
            <w:pPr>
              <w:rPr>
                <w:rFonts w:asciiTheme="minorHAnsi" w:hAnsiTheme="minorHAnsi" w:cstheme="minorHAnsi"/>
                <w:sz w:val="16"/>
              </w:rPr>
            </w:pPr>
            <w:r w:rsidRPr="00CF68F2">
              <w:rPr>
                <w:rFonts w:asciiTheme="minorHAnsi" w:hAnsiTheme="minorHAnsi" w:cstheme="minorHAnsi"/>
                <w:sz w:val="16"/>
              </w:rPr>
              <w:t>No Change</w:t>
            </w:r>
          </w:p>
        </w:tc>
      </w:tr>
      <w:tr w:rsidTr="003F79B1">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CF68F2" w:rsidRPr="00CF68F2" w:rsidP="00CF68F2">
            <w:pPr>
              <w:rPr>
                <w:sz w:val="18"/>
              </w:rPr>
            </w:pPr>
            <w:r w:rsidRPr="00CF68F2">
              <w:rPr>
                <w:sz w:val="18"/>
              </w:rPr>
              <w:t>High Seas Fishing Vessel Observer Notification</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60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60</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60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60</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5</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hideMark/>
          </w:tcPr>
          <w:p w:rsidR="00CF68F2" w:rsidRPr="00CF68F2" w:rsidP="00CF68F2">
            <w:pPr>
              <w:jc w:val="center"/>
              <w:rPr>
                <w:rFonts w:asciiTheme="minorHAnsi" w:hAnsiTheme="minorHAnsi" w:cstheme="minorHAnsi"/>
                <w:sz w:val="16"/>
              </w:rPr>
            </w:pPr>
            <w:r w:rsidRPr="00CF68F2">
              <w:rPr>
                <w:rFonts w:asciiTheme="minorHAnsi" w:hAnsiTheme="minorHAnsi" w:cstheme="minorHAnsi"/>
                <w:sz w:val="16"/>
              </w:rPr>
              <w:t>5</w:t>
            </w:r>
          </w:p>
        </w:tc>
        <w:tc>
          <w:tcPr>
            <w:tcW w:w="0" w:type="auto"/>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hideMark/>
          </w:tcPr>
          <w:p w:rsidR="00CF68F2" w:rsidRPr="00CF68F2" w:rsidP="00CF68F2">
            <w:pPr>
              <w:rPr>
                <w:rFonts w:asciiTheme="minorHAnsi" w:hAnsiTheme="minorHAnsi" w:cstheme="minorHAnsi"/>
                <w:sz w:val="16"/>
              </w:rPr>
            </w:pPr>
            <w:r w:rsidRPr="00CF68F2">
              <w:rPr>
                <w:rFonts w:asciiTheme="minorHAnsi" w:hAnsiTheme="minorHAnsi" w:cstheme="minorHAnsi"/>
                <w:sz w:val="16"/>
              </w:rPr>
              <w:t>No Change</w:t>
            </w:r>
          </w:p>
        </w:tc>
      </w:tr>
      <w:tr w:rsidTr="00131867">
        <w:tblPrEx>
          <w:tblW w:w="0" w:type="auto"/>
          <w:tblCellMar>
            <w:top w:w="15" w:type="dxa"/>
            <w:left w:w="15" w:type="dxa"/>
            <w:bottom w:w="15" w:type="dxa"/>
            <w:right w:w="15" w:type="dxa"/>
          </w:tblCellMar>
          <w:tblLook w:val="04A0"/>
        </w:tblPrEx>
        <w:trPr>
          <w:trHeight w:val="465"/>
        </w:trPr>
        <w:tc>
          <w:tcPr>
            <w:tcW w:w="0" w:type="auto"/>
            <w:tcBorders>
              <w:top w:val="single" w:sz="8" w:space="0" w:color="000000"/>
              <w:left w:val="single"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CF68F2" w:rsidRPr="00A9259C" w:rsidP="00CF68F2">
            <w:pPr>
              <w:widowControl/>
              <w:jc w:val="center"/>
            </w:pPr>
            <w:r w:rsidRPr="00A9259C">
              <w:rPr>
                <w:rFonts w:ascii="Calibri" w:hAnsi="Calibri" w:cs="Calibri"/>
                <w:b/>
                <w:bCs/>
                <w:color w:val="000000"/>
                <w:sz w:val="16"/>
                <w:szCs w:val="16"/>
              </w:rPr>
              <w:t>Total for Collection</w:t>
            </w:r>
          </w:p>
        </w:tc>
        <w:tc>
          <w:tcPr>
            <w:tcW w:w="0" w:type="auto"/>
            <w:tcBorders>
              <w:top w:val="dotted" w:sz="4" w:space="0" w:color="000000"/>
              <w:left w:val="single" w:sz="8" w:space="0" w:color="000000"/>
              <w:bottom w:val="dotted" w:sz="4" w:space="0" w:color="000000"/>
              <w:right w:val="dashed" w:sz="8" w:space="0" w:color="000000"/>
            </w:tcBorders>
            <w:shd w:val="clear" w:color="auto" w:fill="BDD6EE"/>
            <w:tcMar>
              <w:top w:w="0" w:type="dxa"/>
              <w:left w:w="115" w:type="dxa"/>
              <w:bottom w:w="0" w:type="dxa"/>
              <w:right w:w="115" w:type="dxa"/>
            </w:tcMar>
            <w:vAlign w:val="center"/>
            <w:hideMark/>
          </w:tcPr>
          <w:p w:rsidR="00CF68F2" w:rsidRPr="00E62FB5" w:rsidP="00CF68F2">
            <w:pPr>
              <w:widowControl/>
              <w:jc w:val="center"/>
            </w:pPr>
            <w:r w:rsidRPr="00E62FB5">
              <w:rPr>
                <w:rFonts w:ascii="Calibri" w:hAnsi="Calibri" w:cs="Calibri"/>
                <w:b/>
                <w:bCs/>
                <w:color w:val="000000"/>
                <w:sz w:val="16"/>
                <w:szCs w:val="16"/>
              </w:rPr>
              <w:t> </w:t>
            </w:r>
            <w:r>
              <w:rPr>
                <w:rFonts w:ascii="Calibri" w:hAnsi="Calibri" w:cs="Calibri"/>
                <w:b/>
                <w:bCs/>
                <w:color w:val="000000"/>
                <w:sz w:val="16"/>
                <w:szCs w:val="16"/>
              </w:rPr>
              <w:t>596</w:t>
            </w:r>
          </w:p>
        </w:tc>
        <w:tc>
          <w:tcPr>
            <w:tcW w:w="0" w:type="auto"/>
            <w:tcBorders>
              <w:top w:val="dotted" w:sz="4" w:space="0" w:color="000000"/>
              <w:left w:val="dashed" w:sz="8" w:space="0" w:color="000000"/>
              <w:bottom w:val="dotted" w:sz="4" w:space="0" w:color="000000"/>
              <w:right w:val="single" w:sz="8" w:space="0" w:color="000000"/>
            </w:tcBorders>
            <w:shd w:val="clear" w:color="auto" w:fill="BDD6EE"/>
            <w:tcMar>
              <w:top w:w="0" w:type="dxa"/>
              <w:left w:w="115" w:type="dxa"/>
              <w:bottom w:w="0" w:type="dxa"/>
              <w:right w:w="115" w:type="dxa"/>
            </w:tcMar>
            <w:vAlign w:val="center"/>
            <w:hideMark/>
          </w:tcPr>
          <w:p w:rsidR="00CF68F2" w:rsidRPr="00E62FB5" w:rsidP="00CF68F2">
            <w:pPr>
              <w:widowControl/>
              <w:jc w:val="center"/>
            </w:pPr>
            <w:r>
              <w:rPr>
                <w:rFonts w:ascii="Calibri" w:hAnsi="Calibri" w:cs="Calibri"/>
                <w:b/>
                <w:bCs/>
                <w:color w:val="000000"/>
                <w:sz w:val="16"/>
                <w:szCs w:val="16"/>
              </w:rPr>
              <w:t>1,066</w:t>
            </w:r>
          </w:p>
        </w:tc>
        <w:tc>
          <w:tcPr>
            <w:tcW w:w="0" w:type="auto"/>
            <w:tcBorders>
              <w:top w:val="dotted" w:sz="4" w:space="0" w:color="000000"/>
              <w:left w:val="single" w:sz="8" w:space="0" w:color="000000"/>
              <w:bottom w:val="dotted" w:sz="4" w:space="0" w:color="000000"/>
              <w:right w:val="dashed" w:sz="8" w:space="0" w:color="000000"/>
            </w:tcBorders>
            <w:shd w:val="clear" w:color="auto" w:fill="BDD6EE"/>
            <w:tcMar>
              <w:top w:w="0" w:type="dxa"/>
              <w:left w:w="115" w:type="dxa"/>
              <w:bottom w:w="0" w:type="dxa"/>
              <w:right w:w="115" w:type="dxa"/>
            </w:tcMar>
            <w:vAlign w:val="center"/>
            <w:hideMark/>
          </w:tcPr>
          <w:p w:rsidR="00CF68F2" w:rsidRPr="00E62FB5" w:rsidP="00CF68F2">
            <w:pPr>
              <w:widowControl/>
              <w:jc w:val="center"/>
            </w:pPr>
            <w:r w:rsidRPr="00E62FB5">
              <w:rPr>
                <w:rFonts w:ascii="Calibri" w:hAnsi="Calibri" w:cs="Calibri"/>
                <w:b/>
                <w:bCs/>
                <w:color w:val="000000"/>
                <w:sz w:val="16"/>
                <w:szCs w:val="16"/>
              </w:rPr>
              <w:t> </w:t>
            </w:r>
            <w:r>
              <w:rPr>
                <w:rFonts w:ascii="Calibri" w:hAnsi="Calibri" w:cs="Calibri"/>
                <w:b/>
                <w:bCs/>
                <w:color w:val="000000"/>
                <w:sz w:val="16"/>
                <w:szCs w:val="16"/>
              </w:rPr>
              <w:t>596</w:t>
            </w:r>
          </w:p>
        </w:tc>
        <w:tc>
          <w:tcPr>
            <w:tcW w:w="0" w:type="auto"/>
            <w:tcBorders>
              <w:top w:val="dotted" w:sz="4" w:space="0" w:color="000000"/>
              <w:left w:val="dashed" w:sz="8" w:space="0" w:color="000000"/>
              <w:bottom w:val="dotted" w:sz="4" w:space="0" w:color="000000"/>
              <w:right w:val="single" w:sz="8" w:space="0" w:color="000000"/>
            </w:tcBorders>
            <w:shd w:val="clear" w:color="auto" w:fill="BDD6EE"/>
            <w:tcMar>
              <w:top w:w="0" w:type="dxa"/>
              <w:left w:w="115" w:type="dxa"/>
              <w:bottom w:w="0" w:type="dxa"/>
              <w:right w:w="115" w:type="dxa"/>
            </w:tcMar>
            <w:vAlign w:val="center"/>
            <w:hideMark/>
          </w:tcPr>
          <w:p w:rsidR="00CF68F2" w:rsidRPr="00E62FB5" w:rsidP="00CF68F2">
            <w:pPr>
              <w:widowControl/>
              <w:jc w:val="center"/>
            </w:pPr>
            <w:r w:rsidRPr="00E62FB5">
              <w:rPr>
                <w:rFonts w:ascii="Calibri" w:hAnsi="Calibri" w:cs="Calibri"/>
                <w:b/>
                <w:bCs/>
                <w:color w:val="000000"/>
                <w:sz w:val="16"/>
                <w:szCs w:val="16"/>
              </w:rPr>
              <w:t> </w:t>
            </w:r>
            <w:r>
              <w:rPr>
                <w:rFonts w:ascii="Calibri" w:hAnsi="Calibri" w:cs="Calibri"/>
                <w:b/>
                <w:bCs/>
                <w:color w:val="000000"/>
                <w:sz w:val="16"/>
                <w:szCs w:val="16"/>
              </w:rPr>
              <w:t>596</w:t>
            </w:r>
          </w:p>
        </w:tc>
        <w:tc>
          <w:tcPr>
            <w:tcW w:w="0" w:type="auto"/>
            <w:tcBorders>
              <w:top w:val="dotted" w:sz="4" w:space="0" w:color="000000"/>
              <w:left w:val="single" w:sz="8" w:space="0" w:color="000000"/>
              <w:bottom w:val="dotted" w:sz="4" w:space="0" w:color="000000"/>
              <w:right w:val="dashed" w:sz="8" w:space="0" w:color="000000"/>
            </w:tcBorders>
            <w:shd w:val="clear" w:color="auto" w:fill="BDD6EE"/>
            <w:tcMar>
              <w:top w:w="0" w:type="dxa"/>
              <w:left w:w="115" w:type="dxa"/>
              <w:bottom w:w="0" w:type="dxa"/>
              <w:right w:w="115" w:type="dxa"/>
            </w:tcMar>
            <w:vAlign w:val="center"/>
            <w:hideMark/>
          </w:tcPr>
          <w:p w:rsidR="00CF68F2" w:rsidRPr="00E62FB5" w:rsidP="00CF68F2">
            <w:pPr>
              <w:widowControl/>
              <w:jc w:val="center"/>
            </w:pPr>
            <w:r>
              <w:rPr>
                <w:rFonts w:ascii="Calibri" w:hAnsi="Calibri" w:cs="Calibri"/>
                <w:b/>
                <w:bCs/>
                <w:color w:val="000000"/>
                <w:sz w:val="16"/>
                <w:szCs w:val="16"/>
              </w:rPr>
              <w:t>121</w:t>
            </w:r>
          </w:p>
        </w:tc>
        <w:tc>
          <w:tcPr>
            <w:tcW w:w="0" w:type="auto"/>
            <w:tcBorders>
              <w:top w:val="dotted" w:sz="4" w:space="0" w:color="000000"/>
              <w:left w:val="dashed" w:sz="8" w:space="0" w:color="000000"/>
              <w:bottom w:val="dotted" w:sz="4" w:space="0" w:color="000000"/>
              <w:right w:val="single" w:sz="8" w:space="0" w:color="000000"/>
            </w:tcBorders>
            <w:shd w:val="clear" w:color="auto" w:fill="BDD6EE"/>
            <w:tcMar>
              <w:top w:w="0" w:type="dxa"/>
              <w:left w:w="115" w:type="dxa"/>
              <w:bottom w:w="0" w:type="dxa"/>
              <w:right w:w="115" w:type="dxa"/>
            </w:tcMar>
            <w:vAlign w:val="center"/>
            <w:hideMark/>
          </w:tcPr>
          <w:p w:rsidR="00CF68F2" w:rsidRPr="00E62FB5" w:rsidP="00CF68F2">
            <w:pPr>
              <w:widowControl/>
              <w:jc w:val="center"/>
            </w:pPr>
            <w:r>
              <w:rPr>
                <w:rFonts w:ascii="Calibri" w:hAnsi="Calibri" w:cs="Calibri"/>
                <w:b/>
                <w:bCs/>
                <w:color w:val="000000"/>
                <w:sz w:val="16"/>
                <w:szCs w:val="16"/>
              </w:rPr>
              <w:t>151</w:t>
            </w:r>
          </w:p>
        </w:tc>
        <w:tc>
          <w:tcPr>
            <w:tcW w:w="0" w:type="auto"/>
            <w:tcBorders>
              <w:top w:val="dotted" w:sz="4"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CF68F2" w:rsidRPr="00A9259C" w:rsidP="00CF68F2">
            <w:pPr>
              <w:widowControl/>
              <w:jc w:val="center"/>
            </w:pPr>
            <w:r w:rsidRPr="00A9259C">
              <w:rPr>
                <w:rFonts w:ascii="Calibri" w:hAnsi="Calibri" w:cs="Calibri"/>
                <w:b/>
                <w:bCs/>
                <w:color w:val="000000"/>
                <w:sz w:val="16"/>
                <w:szCs w:val="16"/>
              </w:rPr>
              <w:t> </w:t>
            </w:r>
          </w:p>
        </w:tc>
      </w:tr>
      <w:tr w:rsidTr="00A9259C">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A9259C" w:rsidRPr="00A9259C" w:rsidP="00A9259C">
            <w:pPr>
              <w:widowControl/>
              <w:jc w:val="center"/>
            </w:pPr>
            <w:r w:rsidRPr="00A9259C">
              <w:rPr>
                <w:rFonts w:ascii="Calibri" w:hAnsi="Calibri" w:cs="Calibri"/>
                <w:b/>
                <w:bCs/>
                <w:color w:val="000000"/>
                <w:sz w:val="16"/>
                <w:szCs w:val="16"/>
              </w:rPr>
              <w:t>Difference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A9259C" w:rsidRPr="00A9259C" w:rsidP="00A9259C">
            <w:pPr>
              <w:widowControl/>
              <w:jc w:val="center"/>
            </w:pPr>
            <w:r>
              <w:rPr>
                <w:rFonts w:ascii="Calibri" w:hAnsi="Calibri" w:cs="Calibri"/>
                <w:color w:val="000000"/>
              </w:rPr>
              <w:t>-470</w:t>
            </w:r>
            <w:r w:rsidRPr="00A9259C">
              <w:rPr>
                <w:rFonts w:ascii="Calibri" w:hAnsi="Calibri" w:cs="Calibri"/>
                <w:color w:val="000000"/>
              </w:rPr>
              <w:t>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A9259C" w:rsidRPr="00A9259C" w:rsidP="00A9259C">
            <w:pPr>
              <w:widowControl/>
              <w:jc w:val="center"/>
            </w:pPr>
            <w:r w:rsidRPr="00A9259C">
              <w:rPr>
                <w:rFonts w:ascii="Calibri" w:hAnsi="Calibri" w:cs="Calibri"/>
                <w:color w:val="000000"/>
              </w:rPr>
              <w:t> </w:t>
            </w:r>
            <w:r w:rsidR="00CF68F2">
              <w:rPr>
                <w:rFonts w:ascii="Calibri" w:hAnsi="Calibri" w:cs="Calibri"/>
                <w:color w:val="000000"/>
              </w:rPr>
              <w:t>0</w:t>
            </w:r>
          </w:p>
        </w:tc>
        <w:tc>
          <w:tcPr>
            <w:tcW w:w="0" w:type="auto"/>
            <w:gridSpan w:val="2"/>
            <w:tcBorders>
              <w:top w:val="single" w:sz="8" w:space="0" w:color="000000"/>
              <w:left w:val="single" w:sz="8" w:space="0" w:color="000000"/>
              <w:bottom w:val="single" w:sz="8" w:space="0" w:color="000000"/>
              <w:right w:val="single" w:sz="4" w:space="0" w:color="000000"/>
            </w:tcBorders>
            <w:shd w:val="clear" w:color="auto" w:fill="FCE4D6"/>
            <w:tcMar>
              <w:top w:w="0" w:type="dxa"/>
              <w:left w:w="115" w:type="dxa"/>
              <w:bottom w:w="0" w:type="dxa"/>
              <w:right w:w="115" w:type="dxa"/>
            </w:tcMar>
            <w:vAlign w:val="bottom"/>
            <w:hideMark/>
          </w:tcPr>
          <w:p w:rsidR="00A9259C" w:rsidRPr="00A9259C" w:rsidP="00A9259C">
            <w:pPr>
              <w:widowControl/>
              <w:jc w:val="center"/>
            </w:pPr>
            <w:r>
              <w:rPr>
                <w:rFonts w:ascii="Calibri" w:hAnsi="Calibri" w:cs="Calibri"/>
                <w:color w:val="000000"/>
              </w:rPr>
              <w:t>-30</w:t>
            </w:r>
            <w:r w:rsidRPr="00A9259C">
              <w:rPr>
                <w:rFonts w:ascii="Calibri" w:hAnsi="Calibri" w:cs="Calibri"/>
                <w:color w:val="000000"/>
              </w:rPr>
              <w:t> </w:t>
            </w:r>
          </w:p>
        </w:tc>
        <w:tc>
          <w:tcPr>
            <w:tcW w:w="0" w:type="auto"/>
            <w:tcBorders>
              <w:top w:val="single" w:sz="8" w:space="0" w:color="000000"/>
              <w:left w:val="single" w:sz="4"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A9259C" w:rsidRPr="00A9259C" w:rsidP="00A9259C">
            <w:pPr>
              <w:widowControl/>
            </w:pPr>
            <w:r w:rsidRPr="00A9259C">
              <w:rPr>
                <w:rFonts w:ascii="Calibri" w:hAnsi="Calibri" w:cs="Calibri"/>
                <w:color w:val="000000"/>
              </w:rPr>
              <w:t> </w:t>
            </w:r>
          </w:p>
        </w:tc>
      </w:tr>
    </w:tbl>
    <w:p w:rsidR="00A9259C" w:rsidRPr="00DC695D" w:rsidP="00DC695D">
      <w:pPr>
        <w:widowControl/>
        <w:spacing w:after="240"/>
      </w:pPr>
    </w:p>
    <w:tbl>
      <w:tblPr>
        <w:tblW w:w="0" w:type="auto"/>
        <w:jc w:val="center"/>
        <w:tblCellMar>
          <w:top w:w="15" w:type="dxa"/>
          <w:left w:w="15" w:type="dxa"/>
          <w:bottom w:w="15" w:type="dxa"/>
          <w:right w:w="15" w:type="dxa"/>
        </w:tblCellMar>
        <w:tblLook w:val="04A0"/>
      </w:tblPr>
      <w:tblGrid>
        <w:gridCol w:w="3315"/>
        <w:gridCol w:w="990"/>
        <w:gridCol w:w="990"/>
        <w:gridCol w:w="2880"/>
      </w:tblGrid>
      <w:tr w:rsidTr="00E62FB5">
        <w:tblPrEx>
          <w:tblW w:w="0" w:type="auto"/>
          <w:jc w:val="center"/>
          <w:tblCellMar>
            <w:top w:w="15" w:type="dxa"/>
            <w:left w:w="15" w:type="dxa"/>
            <w:bottom w:w="15" w:type="dxa"/>
            <w:right w:w="15" w:type="dxa"/>
          </w:tblCellMar>
          <w:tblLook w:val="04A0"/>
        </w:tblPrEx>
        <w:trPr>
          <w:trHeight w:val="300"/>
          <w:jc w:val="center"/>
        </w:trPr>
        <w:tc>
          <w:tcPr>
            <w:tcW w:w="3315" w:type="dxa"/>
            <w:vMerge w:val="restart"/>
            <w:tcBorders>
              <w:top w:val="single" w:sz="12" w:space="0" w:color="000000"/>
              <w:left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hideMark/>
          </w:tcPr>
          <w:p w:rsidR="00DC695D" w:rsidRPr="00DC695D" w:rsidP="00DC695D">
            <w:pPr>
              <w:widowControl/>
              <w:jc w:val="center"/>
            </w:pPr>
            <w:r w:rsidRPr="00DC695D">
              <w:rPr>
                <w:rFonts w:ascii="Calibri" w:hAnsi="Calibri" w:cs="Calibri"/>
                <w:b/>
                <w:bCs/>
                <w:color w:val="000000"/>
                <w:sz w:val="16"/>
                <w:szCs w:val="16"/>
              </w:rPr>
              <w:t>Information Collection</w:t>
            </w:r>
          </w:p>
        </w:tc>
        <w:tc>
          <w:tcPr>
            <w:tcW w:w="1980" w:type="dxa"/>
            <w:gridSpan w:val="2"/>
            <w:tcBorders>
              <w:top w:val="single" w:sz="12" w:space="0" w:color="000000"/>
              <w:left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hideMark/>
          </w:tcPr>
          <w:p w:rsidR="00DC695D" w:rsidRPr="00DC695D" w:rsidP="00DC695D">
            <w:pPr>
              <w:widowControl/>
              <w:jc w:val="center"/>
            </w:pPr>
            <w:r w:rsidRPr="00DC695D">
              <w:rPr>
                <w:rFonts w:ascii="Calibri" w:hAnsi="Calibri" w:cs="Calibri"/>
                <w:b/>
                <w:bCs/>
                <w:color w:val="000000"/>
                <w:sz w:val="16"/>
                <w:szCs w:val="16"/>
              </w:rPr>
              <w:t>Miscellaneous Costs</w:t>
            </w:r>
          </w:p>
        </w:tc>
        <w:tc>
          <w:tcPr>
            <w:tcW w:w="2880" w:type="dxa"/>
            <w:vMerge w:val="restart"/>
            <w:tcBorders>
              <w:top w:val="single" w:sz="12" w:space="0" w:color="000000"/>
              <w:left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hideMark/>
          </w:tcPr>
          <w:p w:rsidR="00DC695D" w:rsidRPr="00DC695D" w:rsidP="00DC695D">
            <w:pPr>
              <w:widowControl/>
              <w:jc w:val="center"/>
            </w:pPr>
            <w:r w:rsidRPr="00DC695D">
              <w:rPr>
                <w:rFonts w:ascii="Calibri" w:hAnsi="Calibri" w:cs="Calibri"/>
                <w:b/>
                <w:bCs/>
                <w:color w:val="000000"/>
                <w:sz w:val="16"/>
                <w:szCs w:val="16"/>
              </w:rPr>
              <w:t>Reason for change or adjustment</w:t>
            </w:r>
          </w:p>
        </w:tc>
      </w:tr>
      <w:tr w:rsidTr="00E62FB5">
        <w:tblPrEx>
          <w:tblW w:w="0" w:type="auto"/>
          <w:jc w:val="center"/>
          <w:tblCellMar>
            <w:top w:w="15" w:type="dxa"/>
            <w:left w:w="15" w:type="dxa"/>
            <w:bottom w:w="15" w:type="dxa"/>
            <w:right w:w="15" w:type="dxa"/>
          </w:tblCellMar>
          <w:tblLook w:val="04A0"/>
        </w:tblPrEx>
        <w:trPr>
          <w:trHeight w:val="300"/>
          <w:jc w:val="center"/>
        </w:trPr>
        <w:tc>
          <w:tcPr>
            <w:tcW w:w="3315" w:type="dxa"/>
            <w:vMerge/>
            <w:tcBorders>
              <w:top w:val="single" w:sz="12" w:space="0" w:color="000000"/>
              <w:left w:val="single" w:sz="12" w:space="0" w:color="000000"/>
              <w:bottom w:val="single" w:sz="12" w:space="0" w:color="000000"/>
              <w:right w:val="single" w:sz="12" w:space="0" w:color="000000"/>
            </w:tcBorders>
            <w:vAlign w:val="center"/>
            <w:hideMark/>
          </w:tcPr>
          <w:p w:rsidR="00DC695D" w:rsidRPr="00DC695D" w:rsidP="00DC695D">
            <w:pPr>
              <w:widowControl/>
            </w:pPr>
          </w:p>
        </w:tc>
        <w:tc>
          <w:tcPr>
            <w:tcW w:w="990" w:type="dxa"/>
            <w:tcBorders>
              <w:top w:val="single" w:sz="12" w:space="0" w:color="000000"/>
              <w:left w:val="single" w:sz="12" w:space="0" w:color="000000"/>
              <w:bottom w:val="single" w:sz="12" w:space="0" w:color="000000"/>
              <w:right w:val="single" w:sz="6" w:space="0" w:color="CCCCCC"/>
            </w:tcBorders>
            <w:shd w:val="clear" w:color="auto" w:fill="FBE4D5"/>
            <w:tcMar>
              <w:top w:w="0" w:type="dxa"/>
              <w:left w:w="40" w:type="dxa"/>
              <w:bottom w:w="0" w:type="dxa"/>
              <w:right w:w="40" w:type="dxa"/>
            </w:tcMar>
            <w:vAlign w:val="center"/>
            <w:hideMark/>
          </w:tcPr>
          <w:p w:rsidR="00DC695D" w:rsidRPr="00DC695D" w:rsidP="00DC695D">
            <w:pPr>
              <w:widowControl/>
              <w:jc w:val="center"/>
            </w:pPr>
            <w:r w:rsidRPr="00DC695D">
              <w:rPr>
                <w:rFonts w:ascii="Calibri" w:hAnsi="Calibri" w:cs="Calibri"/>
                <w:color w:val="000000"/>
                <w:sz w:val="16"/>
                <w:szCs w:val="16"/>
              </w:rPr>
              <w:t>Current</w:t>
            </w:r>
          </w:p>
        </w:tc>
        <w:tc>
          <w:tcPr>
            <w:tcW w:w="990" w:type="dxa"/>
            <w:tcBorders>
              <w:top w:val="single" w:sz="12" w:space="0" w:color="000000"/>
              <w:left w:val="single" w:sz="6" w:space="0" w:color="CCCCCC"/>
              <w:bottom w:val="single" w:sz="12" w:space="0" w:color="000000"/>
              <w:right w:val="single" w:sz="12" w:space="0" w:color="000000"/>
            </w:tcBorders>
            <w:shd w:val="clear" w:color="auto" w:fill="FBE4D5"/>
            <w:tcMar>
              <w:top w:w="0" w:type="dxa"/>
              <w:left w:w="40" w:type="dxa"/>
              <w:bottom w:w="0" w:type="dxa"/>
              <w:right w:w="40" w:type="dxa"/>
            </w:tcMar>
            <w:vAlign w:val="center"/>
            <w:hideMark/>
          </w:tcPr>
          <w:p w:rsidR="00DC695D" w:rsidRPr="00DC695D" w:rsidP="00DC695D">
            <w:pPr>
              <w:widowControl/>
              <w:jc w:val="center"/>
            </w:pPr>
            <w:r w:rsidRPr="00DC695D">
              <w:rPr>
                <w:rFonts w:ascii="Calibri" w:hAnsi="Calibri" w:cs="Calibri"/>
                <w:color w:val="000000"/>
                <w:sz w:val="16"/>
                <w:szCs w:val="16"/>
              </w:rPr>
              <w:t>Previous</w:t>
            </w:r>
          </w:p>
        </w:tc>
        <w:tc>
          <w:tcPr>
            <w:tcW w:w="2880" w:type="dxa"/>
            <w:vMerge/>
            <w:tcBorders>
              <w:top w:val="single" w:sz="12" w:space="0" w:color="000000"/>
              <w:left w:val="single" w:sz="12" w:space="0" w:color="000000"/>
              <w:bottom w:val="single" w:sz="12" w:space="0" w:color="000000"/>
              <w:right w:val="single" w:sz="12" w:space="0" w:color="000000"/>
            </w:tcBorders>
            <w:vAlign w:val="center"/>
            <w:hideMark/>
          </w:tcPr>
          <w:p w:rsidR="00DC695D" w:rsidRPr="00DC695D" w:rsidP="00DC695D">
            <w:pPr>
              <w:widowControl/>
            </w:pPr>
          </w:p>
        </w:tc>
      </w:tr>
      <w:tr w:rsidTr="00AE1A72">
        <w:tblPrEx>
          <w:tblW w:w="0" w:type="auto"/>
          <w:jc w:val="center"/>
          <w:tblCellMar>
            <w:top w:w="15" w:type="dxa"/>
            <w:left w:w="15" w:type="dxa"/>
            <w:bottom w:w="15" w:type="dxa"/>
            <w:right w:w="15" w:type="dxa"/>
          </w:tblCellMar>
          <w:tblLook w:val="04A0"/>
        </w:tblPrEx>
        <w:trPr>
          <w:trHeight w:val="300"/>
          <w:jc w:val="center"/>
        </w:trPr>
        <w:tc>
          <w:tcPr>
            <w:tcW w:w="3315"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hideMark/>
          </w:tcPr>
          <w:p w:rsidR="00535CE3" w:rsidRPr="00E62FB5" w:rsidP="00535CE3">
            <w:pPr>
              <w:rPr>
                <w:sz w:val="18"/>
              </w:rPr>
            </w:pPr>
            <w:r w:rsidRPr="00E62FB5">
              <w:rPr>
                <w:sz w:val="18"/>
              </w:rPr>
              <w:t>High Seas Fishing Permit Application</w:t>
            </w:r>
          </w:p>
        </w:tc>
        <w:tc>
          <w:tcPr>
            <w:tcW w:w="990" w:type="dxa"/>
            <w:tcBorders>
              <w:top w:val="nil"/>
              <w:left w:val="nil"/>
              <w:bottom w:val="single" w:sz="4" w:space="0" w:color="000000"/>
              <w:right w:val="single" w:sz="8" w:space="0" w:color="000000"/>
            </w:tcBorders>
            <w:shd w:val="clear" w:color="auto" w:fill="FFFFFF"/>
            <w:tcMar>
              <w:top w:w="0" w:type="dxa"/>
              <w:left w:w="40" w:type="dxa"/>
              <w:bottom w:w="0" w:type="dxa"/>
              <w:right w:w="40" w:type="dxa"/>
            </w:tcMar>
            <w:vAlign w:val="center"/>
            <w:hideMark/>
          </w:tcPr>
          <w:p w:rsidR="00535CE3" w:rsidRPr="00535CE3" w:rsidP="00535CE3">
            <w:pPr>
              <w:widowControl/>
              <w:jc w:val="center"/>
              <w:rPr>
                <w:rFonts w:asciiTheme="minorHAnsi" w:hAnsiTheme="minorHAnsi" w:cstheme="minorHAnsi"/>
                <w:color w:val="000000"/>
                <w:sz w:val="18"/>
                <w:szCs w:val="22"/>
              </w:rPr>
            </w:pPr>
            <w:r w:rsidRPr="00535CE3">
              <w:rPr>
                <w:rFonts w:asciiTheme="minorHAnsi" w:hAnsiTheme="minorHAnsi" w:cstheme="minorHAnsi"/>
                <w:color w:val="000000"/>
                <w:sz w:val="18"/>
                <w:szCs w:val="22"/>
              </w:rPr>
              <w:t>$10,080</w:t>
            </w:r>
          </w:p>
        </w:tc>
        <w:tc>
          <w:tcPr>
            <w:tcW w:w="990" w:type="dxa"/>
            <w:tcBorders>
              <w:top w:val="single" w:sz="12" w:space="0" w:color="000000"/>
              <w:left w:val="single" w:sz="6" w:space="0" w:color="CCCCCC"/>
              <w:bottom w:val="single" w:sz="6" w:space="0" w:color="CCCCCC"/>
              <w:right w:val="single" w:sz="12" w:space="0" w:color="000000"/>
            </w:tcBorders>
            <w:tcMar>
              <w:top w:w="0" w:type="dxa"/>
              <w:left w:w="40" w:type="dxa"/>
              <w:bottom w:w="0" w:type="dxa"/>
              <w:right w:w="40" w:type="dxa"/>
            </w:tcMar>
            <w:vAlign w:val="center"/>
            <w:hideMark/>
          </w:tcPr>
          <w:p w:rsidR="00535CE3" w:rsidRPr="009C1D71" w:rsidP="000F7F42">
            <w:pPr>
              <w:widowControl/>
              <w:jc w:val="center"/>
              <w:rPr>
                <w:rFonts w:asciiTheme="minorHAnsi" w:hAnsiTheme="minorHAnsi" w:cstheme="minorHAnsi"/>
              </w:rPr>
            </w:pPr>
            <w:r w:rsidRPr="009C1D71">
              <w:rPr>
                <w:rFonts w:asciiTheme="minorHAnsi" w:hAnsiTheme="minorHAnsi" w:cstheme="minorHAnsi"/>
                <w:sz w:val="18"/>
              </w:rPr>
              <w:t>$6,720</w:t>
            </w:r>
          </w:p>
        </w:tc>
        <w:tc>
          <w:tcPr>
            <w:tcW w:w="2880" w:type="dxa"/>
            <w:tcBorders>
              <w:top w:val="single" w:sz="12" w:space="0" w:color="000000"/>
              <w:left w:val="single" w:sz="12" w:space="0" w:color="000000"/>
              <w:bottom w:val="single" w:sz="6" w:space="0" w:color="CCCCCC"/>
              <w:right w:val="single" w:sz="12" w:space="0" w:color="000000"/>
            </w:tcBorders>
            <w:tcMar>
              <w:top w:w="0" w:type="dxa"/>
              <w:left w:w="40" w:type="dxa"/>
              <w:bottom w:w="0" w:type="dxa"/>
              <w:right w:w="40" w:type="dxa"/>
            </w:tcMar>
            <w:vAlign w:val="center"/>
            <w:hideMark/>
          </w:tcPr>
          <w:p w:rsidR="00535CE3" w:rsidRPr="00535CE3" w:rsidP="00535CE3">
            <w:pPr>
              <w:widowControl/>
              <w:rPr>
                <w:rFonts w:asciiTheme="minorHAnsi" w:hAnsiTheme="minorHAnsi" w:cstheme="minorHAnsi"/>
              </w:rPr>
            </w:pPr>
            <w:r w:rsidRPr="00535CE3">
              <w:rPr>
                <w:rFonts w:asciiTheme="minorHAnsi" w:hAnsiTheme="minorHAnsi" w:cstheme="minorHAnsi"/>
                <w:sz w:val="18"/>
              </w:rPr>
              <w:t>Increased permit application fee.</w:t>
            </w:r>
          </w:p>
        </w:tc>
      </w:tr>
      <w:tr w:rsidTr="00AE1A72">
        <w:tblPrEx>
          <w:tblW w:w="0" w:type="auto"/>
          <w:jc w:val="center"/>
          <w:tblCellMar>
            <w:top w:w="15" w:type="dxa"/>
            <w:left w:w="15" w:type="dxa"/>
            <w:bottom w:w="15" w:type="dxa"/>
            <w:right w:w="15" w:type="dxa"/>
          </w:tblCellMar>
          <w:tblLook w:val="04A0"/>
        </w:tblPrEx>
        <w:trPr>
          <w:trHeight w:val="300"/>
          <w:jc w:val="center"/>
        </w:trPr>
        <w:tc>
          <w:tcPr>
            <w:tcW w:w="3315"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hideMark/>
          </w:tcPr>
          <w:p w:rsidR="00535CE3" w:rsidRPr="00E62FB5" w:rsidP="00535CE3">
            <w:pPr>
              <w:rPr>
                <w:sz w:val="18"/>
              </w:rPr>
            </w:pPr>
            <w:r w:rsidRPr="00E62FB5">
              <w:rPr>
                <w:sz w:val="18"/>
              </w:rPr>
              <w:t xml:space="preserve">Request to Authorize a Fishery on the High Seas </w:t>
            </w:r>
          </w:p>
        </w:tc>
        <w:tc>
          <w:tcPr>
            <w:tcW w:w="990" w:type="dxa"/>
            <w:tcBorders>
              <w:top w:val="nil"/>
              <w:left w:val="nil"/>
              <w:bottom w:val="single" w:sz="4" w:space="0" w:color="000000"/>
              <w:right w:val="single" w:sz="8" w:space="0" w:color="000000"/>
            </w:tcBorders>
            <w:shd w:val="clear" w:color="auto" w:fill="FFFFFF"/>
            <w:tcMar>
              <w:top w:w="0" w:type="dxa"/>
              <w:left w:w="40" w:type="dxa"/>
              <w:bottom w:w="0" w:type="dxa"/>
              <w:right w:w="40" w:type="dxa"/>
            </w:tcMar>
            <w:vAlign w:val="center"/>
            <w:hideMark/>
          </w:tcPr>
          <w:p w:rsidR="00535CE3" w:rsidRPr="00535CE3" w:rsidP="00535CE3">
            <w:pPr>
              <w:widowControl/>
              <w:jc w:val="center"/>
              <w:rPr>
                <w:rFonts w:asciiTheme="minorHAnsi" w:hAnsiTheme="minorHAnsi" w:cstheme="minorHAnsi"/>
                <w:color w:val="000000"/>
                <w:sz w:val="18"/>
                <w:szCs w:val="22"/>
              </w:rPr>
            </w:pPr>
            <w:r w:rsidRPr="00535CE3">
              <w:rPr>
                <w:rFonts w:asciiTheme="minorHAnsi" w:hAnsiTheme="minorHAnsi" w:cstheme="minorHAnsi"/>
                <w:color w:val="000000"/>
                <w:sz w:val="18"/>
                <w:szCs w:val="22"/>
              </w:rPr>
              <w:t>$0.50</w:t>
            </w:r>
          </w:p>
        </w:tc>
        <w:tc>
          <w:tcPr>
            <w:tcW w:w="990" w:type="dxa"/>
            <w:tcBorders>
              <w:top w:val="single" w:sz="6" w:space="0" w:color="CCCCCC"/>
              <w:left w:val="single" w:sz="6" w:space="0" w:color="CCCCCC"/>
              <w:bottom w:val="single" w:sz="6" w:space="0" w:color="CCCCCC"/>
              <w:right w:val="single" w:sz="12" w:space="0" w:color="000000"/>
            </w:tcBorders>
            <w:tcMar>
              <w:top w:w="0" w:type="dxa"/>
              <w:left w:w="40" w:type="dxa"/>
              <w:bottom w:w="0" w:type="dxa"/>
              <w:right w:w="40" w:type="dxa"/>
            </w:tcMar>
            <w:vAlign w:val="center"/>
            <w:hideMark/>
          </w:tcPr>
          <w:p w:rsidR="00535CE3" w:rsidRPr="00535CE3" w:rsidP="00535CE3">
            <w:pPr>
              <w:widowControl/>
              <w:jc w:val="center"/>
              <w:rPr>
                <w:rFonts w:asciiTheme="minorHAnsi" w:hAnsiTheme="minorHAnsi" w:cstheme="minorHAnsi"/>
                <w:color w:val="000000"/>
                <w:sz w:val="18"/>
                <w:szCs w:val="22"/>
              </w:rPr>
            </w:pPr>
            <w:r w:rsidRPr="00535CE3">
              <w:rPr>
                <w:rFonts w:asciiTheme="minorHAnsi" w:hAnsiTheme="minorHAnsi" w:cstheme="minorHAnsi"/>
                <w:color w:val="000000"/>
                <w:sz w:val="18"/>
                <w:szCs w:val="22"/>
              </w:rPr>
              <w:t>$0.50</w:t>
            </w:r>
          </w:p>
        </w:tc>
        <w:tc>
          <w:tcPr>
            <w:tcW w:w="2880" w:type="dxa"/>
            <w:tcBorders>
              <w:top w:val="single" w:sz="6" w:space="0" w:color="CCCCCC"/>
              <w:left w:val="single" w:sz="12" w:space="0" w:color="000000"/>
              <w:bottom w:val="single" w:sz="6" w:space="0" w:color="CCCCCC"/>
              <w:right w:val="single" w:sz="12" w:space="0" w:color="000000"/>
            </w:tcBorders>
            <w:tcMar>
              <w:top w:w="0" w:type="dxa"/>
              <w:left w:w="40" w:type="dxa"/>
              <w:bottom w:w="0" w:type="dxa"/>
              <w:right w:w="40" w:type="dxa"/>
            </w:tcMar>
            <w:vAlign w:val="center"/>
            <w:hideMark/>
          </w:tcPr>
          <w:p w:rsidR="00535CE3" w:rsidRPr="009C1D71" w:rsidP="00535CE3">
            <w:pPr>
              <w:widowControl/>
              <w:rPr>
                <w:rFonts w:asciiTheme="minorHAnsi" w:hAnsiTheme="minorHAnsi" w:cstheme="minorHAnsi"/>
              </w:rPr>
            </w:pPr>
            <w:r w:rsidRPr="009C1D71">
              <w:rPr>
                <w:rFonts w:asciiTheme="minorHAnsi" w:hAnsiTheme="minorHAnsi" w:cstheme="minorHAnsi"/>
                <w:sz w:val="18"/>
              </w:rPr>
              <w:t>No Change</w:t>
            </w:r>
          </w:p>
        </w:tc>
      </w:tr>
      <w:tr w:rsidTr="005B7E48">
        <w:tblPrEx>
          <w:tblW w:w="0" w:type="auto"/>
          <w:jc w:val="center"/>
          <w:tblCellMar>
            <w:top w:w="15" w:type="dxa"/>
            <w:left w:w="15" w:type="dxa"/>
            <w:bottom w:w="15" w:type="dxa"/>
            <w:right w:w="15" w:type="dxa"/>
          </w:tblCellMar>
          <w:tblLook w:val="04A0"/>
        </w:tblPrEx>
        <w:trPr>
          <w:trHeight w:val="300"/>
          <w:jc w:val="center"/>
        </w:trPr>
        <w:tc>
          <w:tcPr>
            <w:tcW w:w="3315"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hideMark/>
          </w:tcPr>
          <w:p w:rsidR="009C1D71" w:rsidRPr="00E62FB5" w:rsidP="009C1D71">
            <w:pPr>
              <w:rPr>
                <w:sz w:val="18"/>
              </w:rPr>
            </w:pPr>
            <w:r w:rsidRPr="00E62FB5">
              <w:rPr>
                <w:sz w:val="18"/>
              </w:rPr>
              <w:t xml:space="preserve"> Transshipment Notifications/Reports</w:t>
            </w:r>
          </w:p>
        </w:tc>
        <w:tc>
          <w:tcPr>
            <w:tcW w:w="990" w:type="dxa"/>
            <w:tcBorders>
              <w:top w:val="nil"/>
              <w:left w:val="nil"/>
              <w:bottom w:val="single" w:sz="4" w:space="0" w:color="000000"/>
              <w:right w:val="single" w:sz="8" w:space="0" w:color="000000"/>
            </w:tcBorders>
            <w:shd w:val="clear" w:color="auto" w:fill="FFFFFF"/>
            <w:tcMar>
              <w:top w:w="0" w:type="dxa"/>
              <w:left w:w="40" w:type="dxa"/>
              <w:bottom w:w="0" w:type="dxa"/>
              <w:right w:w="40" w:type="dxa"/>
            </w:tcMar>
            <w:vAlign w:val="center"/>
            <w:hideMark/>
          </w:tcPr>
          <w:p w:rsidR="009C1D71" w:rsidRPr="00535CE3" w:rsidP="009C1D71">
            <w:pPr>
              <w:widowControl/>
              <w:jc w:val="center"/>
              <w:rPr>
                <w:rFonts w:asciiTheme="minorHAnsi" w:hAnsiTheme="minorHAnsi" w:cstheme="minorHAnsi"/>
                <w:color w:val="000000"/>
                <w:sz w:val="18"/>
                <w:szCs w:val="22"/>
              </w:rPr>
            </w:pPr>
            <w:r w:rsidRPr="00535CE3">
              <w:rPr>
                <w:rFonts w:asciiTheme="minorHAnsi" w:hAnsiTheme="minorHAnsi" w:cstheme="minorHAnsi"/>
                <w:color w:val="000000"/>
                <w:sz w:val="18"/>
                <w:szCs w:val="22"/>
              </w:rPr>
              <w:t>$30</w:t>
            </w:r>
          </w:p>
        </w:tc>
        <w:tc>
          <w:tcPr>
            <w:tcW w:w="990" w:type="dxa"/>
            <w:tcBorders>
              <w:top w:val="single" w:sz="6" w:space="0" w:color="CCCCCC"/>
              <w:left w:val="single" w:sz="6" w:space="0" w:color="CCCCCC"/>
              <w:bottom w:val="single" w:sz="6" w:space="0" w:color="CCCCCC"/>
              <w:right w:val="single" w:sz="12" w:space="0" w:color="000000"/>
            </w:tcBorders>
            <w:tcMar>
              <w:top w:w="0" w:type="dxa"/>
              <w:left w:w="40" w:type="dxa"/>
              <w:bottom w:w="0" w:type="dxa"/>
              <w:right w:w="40" w:type="dxa"/>
            </w:tcMar>
            <w:vAlign w:val="center"/>
            <w:hideMark/>
          </w:tcPr>
          <w:p w:rsidR="009C1D71" w:rsidRPr="00535CE3" w:rsidP="009C1D71">
            <w:pPr>
              <w:widowControl/>
              <w:jc w:val="center"/>
              <w:rPr>
                <w:rFonts w:asciiTheme="minorHAnsi" w:hAnsiTheme="minorHAnsi" w:cstheme="minorHAnsi"/>
                <w:color w:val="000000"/>
                <w:sz w:val="18"/>
                <w:szCs w:val="22"/>
              </w:rPr>
            </w:pPr>
            <w:r w:rsidRPr="00535CE3">
              <w:rPr>
                <w:rFonts w:asciiTheme="minorHAnsi" w:hAnsiTheme="minorHAnsi" w:cstheme="minorHAnsi"/>
                <w:color w:val="000000"/>
                <w:sz w:val="18"/>
                <w:szCs w:val="22"/>
              </w:rPr>
              <w:t>$30</w:t>
            </w:r>
          </w:p>
        </w:tc>
        <w:tc>
          <w:tcPr>
            <w:tcW w:w="2880" w:type="dxa"/>
            <w:tcBorders>
              <w:top w:val="single" w:sz="6" w:space="0" w:color="CCCCCC"/>
              <w:left w:val="single" w:sz="12" w:space="0" w:color="000000"/>
              <w:bottom w:val="single" w:sz="6" w:space="0" w:color="CCCCCC"/>
              <w:right w:val="single" w:sz="12" w:space="0" w:color="000000"/>
            </w:tcBorders>
            <w:tcMar>
              <w:top w:w="0" w:type="dxa"/>
              <w:left w:w="40" w:type="dxa"/>
              <w:bottom w:w="0" w:type="dxa"/>
              <w:right w:w="40" w:type="dxa"/>
            </w:tcMar>
            <w:hideMark/>
          </w:tcPr>
          <w:p w:rsidR="009C1D71" w:rsidP="009C1D71">
            <w:r w:rsidRPr="00AB0736">
              <w:rPr>
                <w:rFonts w:asciiTheme="minorHAnsi" w:hAnsiTheme="minorHAnsi" w:cstheme="minorHAnsi"/>
                <w:sz w:val="18"/>
              </w:rPr>
              <w:t>No Change</w:t>
            </w:r>
          </w:p>
        </w:tc>
      </w:tr>
      <w:tr w:rsidTr="005B7E48">
        <w:tblPrEx>
          <w:tblW w:w="0" w:type="auto"/>
          <w:jc w:val="center"/>
          <w:tblCellMar>
            <w:top w:w="15" w:type="dxa"/>
            <w:left w:w="15" w:type="dxa"/>
            <w:bottom w:w="15" w:type="dxa"/>
            <w:right w:w="15" w:type="dxa"/>
          </w:tblCellMar>
          <w:tblLook w:val="04A0"/>
        </w:tblPrEx>
        <w:trPr>
          <w:trHeight w:val="300"/>
          <w:jc w:val="center"/>
        </w:trPr>
        <w:tc>
          <w:tcPr>
            <w:tcW w:w="3315"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tcPr>
          <w:p w:rsidR="009C1D71" w:rsidRPr="00E62FB5" w:rsidP="009C1D71">
            <w:pPr>
              <w:rPr>
                <w:sz w:val="18"/>
              </w:rPr>
            </w:pPr>
            <w:r w:rsidRPr="00E62FB5">
              <w:rPr>
                <w:sz w:val="18"/>
              </w:rPr>
              <w:t>EMTU Operations</w:t>
            </w:r>
          </w:p>
        </w:tc>
        <w:tc>
          <w:tcPr>
            <w:tcW w:w="990" w:type="dxa"/>
            <w:tcBorders>
              <w:top w:val="nil"/>
              <w:left w:val="nil"/>
              <w:bottom w:val="nil"/>
              <w:right w:val="single" w:sz="8" w:space="0" w:color="000000"/>
            </w:tcBorders>
            <w:shd w:val="clear" w:color="auto" w:fill="FFFFFF"/>
            <w:tcMar>
              <w:top w:w="0" w:type="dxa"/>
              <w:left w:w="40" w:type="dxa"/>
              <w:bottom w:w="0" w:type="dxa"/>
              <w:right w:w="40" w:type="dxa"/>
            </w:tcMar>
            <w:vAlign w:val="center"/>
          </w:tcPr>
          <w:p w:rsidR="009C1D71" w:rsidRPr="00535CE3" w:rsidP="009C1D71">
            <w:pPr>
              <w:widowControl/>
              <w:jc w:val="center"/>
              <w:rPr>
                <w:rFonts w:asciiTheme="minorHAnsi" w:hAnsiTheme="minorHAnsi" w:cstheme="minorHAnsi"/>
                <w:color w:val="000000"/>
                <w:sz w:val="18"/>
                <w:szCs w:val="22"/>
              </w:rPr>
            </w:pPr>
            <w:r w:rsidRPr="00535CE3">
              <w:rPr>
                <w:rFonts w:asciiTheme="minorHAnsi" w:hAnsiTheme="minorHAnsi" w:cstheme="minorHAnsi"/>
                <w:color w:val="000000"/>
                <w:sz w:val="18"/>
                <w:szCs w:val="22"/>
              </w:rPr>
              <w:t>$250,000</w:t>
            </w:r>
          </w:p>
        </w:tc>
        <w:tc>
          <w:tcPr>
            <w:tcW w:w="990" w:type="dxa"/>
            <w:tcBorders>
              <w:top w:val="single" w:sz="6" w:space="0" w:color="CCCCCC"/>
              <w:left w:val="single" w:sz="6" w:space="0" w:color="CCCCCC"/>
              <w:bottom w:val="single" w:sz="6" w:space="0" w:color="CCCCCC"/>
              <w:right w:val="single" w:sz="12" w:space="0" w:color="000000"/>
            </w:tcBorders>
            <w:tcMar>
              <w:top w:w="0" w:type="dxa"/>
              <w:left w:w="40" w:type="dxa"/>
              <w:bottom w:w="0" w:type="dxa"/>
              <w:right w:w="40" w:type="dxa"/>
            </w:tcMar>
            <w:vAlign w:val="center"/>
          </w:tcPr>
          <w:p w:rsidR="009C1D71" w:rsidRPr="00535CE3" w:rsidP="009C1D71">
            <w:pPr>
              <w:widowControl/>
              <w:jc w:val="center"/>
              <w:rPr>
                <w:rFonts w:asciiTheme="minorHAnsi" w:hAnsiTheme="minorHAnsi" w:cstheme="minorHAnsi"/>
                <w:color w:val="000000"/>
                <w:sz w:val="18"/>
                <w:szCs w:val="22"/>
              </w:rPr>
            </w:pPr>
            <w:r w:rsidRPr="00535CE3">
              <w:rPr>
                <w:rFonts w:asciiTheme="minorHAnsi" w:hAnsiTheme="minorHAnsi" w:cstheme="minorHAnsi"/>
                <w:color w:val="000000"/>
                <w:sz w:val="18"/>
                <w:szCs w:val="22"/>
              </w:rPr>
              <w:t>$250,000</w:t>
            </w:r>
          </w:p>
        </w:tc>
        <w:tc>
          <w:tcPr>
            <w:tcW w:w="2880" w:type="dxa"/>
            <w:tcBorders>
              <w:top w:val="single" w:sz="6" w:space="0" w:color="CCCCCC"/>
              <w:left w:val="single" w:sz="12" w:space="0" w:color="000000"/>
              <w:bottom w:val="single" w:sz="6" w:space="0" w:color="CCCCCC"/>
              <w:right w:val="single" w:sz="12" w:space="0" w:color="000000"/>
            </w:tcBorders>
            <w:tcMar>
              <w:top w:w="0" w:type="dxa"/>
              <w:left w:w="40" w:type="dxa"/>
              <w:bottom w:w="0" w:type="dxa"/>
              <w:right w:w="40" w:type="dxa"/>
            </w:tcMar>
          </w:tcPr>
          <w:p w:rsidR="009C1D71" w:rsidP="009C1D71">
            <w:r w:rsidRPr="00AB0736">
              <w:rPr>
                <w:rFonts w:asciiTheme="minorHAnsi" w:hAnsiTheme="minorHAnsi" w:cstheme="minorHAnsi"/>
                <w:sz w:val="18"/>
              </w:rPr>
              <w:t>No Change</w:t>
            </w:r>
          </w:p>
        </w:tc>
      </w:tr>
      <w:tr w:rsidTr="005B7E48">
        <w:tblPrEx>
          <w:tblW w:w="0" w:type="auto"/>
          <w:jc w:val="center"/>
          <w:tblCellMar>
            <w:top w:w="15" w:type="dxa"/>
            <w:left w:w="15" w:type="dxa"/>
            <w:bottom w:w="15" w:type="dxa"/>
            <w:right w:w="15" w:type="dxa"/>
          </w:tblCellMar>
          <w:tblLook w:val="04A0"/>
        </w:tblPrEx>
        <w:trPr>
          <w:trHeight w:val="300"/>
          <w:jc w:val="center"/>
        </w:trPr>
        <w:tc>
          <w:tcPr>
            <w:tcW w:w="3315"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hideMark/>
          </w:tcPr>
          <w:p w:rsidR="009C1D71" w:rsidRPr="00E62FB5" w:rsidP="009C1D71">
            <w:pPr>
              <w:rPr>
                <w:sz w:val="18"/>
              </w:rPr>
            </w:pPr>
            <w:r w:rsidRPr="00E62FB5">
              <w:rPr>
                <w:sz w:val="18"/>
              </w:rPr>
              <w:t>High Seas Fishing Vessel Observer Notification</w:t>
            </w:r>
          </w:p>
        </w:tc>
        <w:tc>
          <w:tcPr>
            <w:tcW w:w="990" w:type="dxa"/>
            <w:tcBorders>
              <w:top w:val="single" w:sz="4" w:space="0" w:color="000000"/>
              <w:left w:val="nil"/>
              <w:bottom w:val="single" w:sz="4" w:space="0" w:color="000000"/>
              <w:right w:val="single" w:sz="8" w:space="0" w:color="000000"/>
            </w:tcBorders>
            <w:shd w:val="clear" w:color="auto" w:fill="FFFFFF"/>
            <w:tcMar>
              <w:top w:w="0" w:type="dxa"/>
              <w:left w:w="40" w:type="dxa"/>
              <w:bottom w:w="0" w:type="dxa"/>
              <w:right w:w="40" w:type="dxa"/>
            </w:tcMar>
            <w:vAlign w:val="center"/>
            <w:hideMark/>
          </w:tcPr>
          <w:p w:rsidR="009C1D71" w:rsidRPr="00535CE3" w:rsidP="009C1D71">
            <w:pPr>
              <w:widowControl/>
              <w:jc w:val="center"/>
              <w:rPr>
                <w:rFonts w:asciiTheme="minorHAnsi" w:hAnsiTheme="minorHAnsi" w:cstheme="minorHAnsi"/>
                <w:color w:val="000000"/>
                <w:sz w:val="18"/>
                <w:szCs w:val="22"/>
              </w:rPr>
            </w:pPr>
            <w:r w:rsidRPr="00535CE3">
              <w:rPr>
                <w:rFonts w:asciiTheme="minorHAnsi" w:hAnsiTheme="minorHAnsi" w:cstheme="minorHAnsi"/>
                <w:color w:val="000000"/>
                <w:sz w:val="18"/>
                <w:szCs w:val="22"/>
              </w:rPr>
              <w:t>0</w:t>
            </w:r>
          </w:p>
        </w:tc>
        <w:tc>
          <w:tcPr>
            <w:tcW w:w="990" w:type="dxa"/>
            <w:tcBorders>
              <w:top w:val="single" w:sz="6" w:space="0" w:color="CCCCCC"/>
              <w:left w:val="single" w:sz="6" w:space="0" w:color="CCCCCC"/>
              <w:bottom w:val="single" w:sz="6" w:space="0" w:color="000000"/>
              <w:right w:val="single" w:sz="12" w:space="0" w:color="000000"/>
            </w:tcBorders>
            <w:tcMar>
              <w:top w:w="0" w:type="dxa"/>
              <w:left w:w="40" w:type="dxa"/>
              <w:bottom w:w="0" w:type="dxa"/>
              <w:right w:w="40" w:type="dxa"/>
            </w:tcMar>
            <w:vAlign w:val="center"/>
            <w:hideMark/>
          </w:tcPr>
          <w:p w:rsidR="009C1D71" w:rsidRPr="00535CE3" w:rsidP="009C1D71">
            <w:pPr>
              <w:widowControl/>
              <w:jc w:val="center"/>
              <w:rPr>
                <w:rFonts w:asciiTheme="minorHAnsi" w:hAnsiTheme="minorHAnsi" w:cstheme="minorHAnsi"/>
                <w:color w:val="000000"/>
                <w:sz w:val="18"/>
                <w:szCs w:val="22"/>
              </w:rPr>
            </w:pPr>
            <w:r w:rsidRPr="00535CE3">
              <w:rPr>
                <w:rFonts w:asciiTheme="minorHAnsi" w:hAnsiTheme="minorHAnsi" w:cstheme="minorHAnsi"/>
                <w:color w:val="000000"/>
                <w:sz w:val="18"/>
                <w:szCs w:val="22"/>
              </w:rPr>
              <w:t>0</w:t>
            </w:r>
          </w:p>
        </w:tc>
        <w:tc>
          <w:tcPr>
            <w:tcW w:w="2880" w:type="dxa"/>
            <w:tcBorders>
              <w:top w:val="single" w:sz="6" w:space="0" w:color="CCCCCC"/>
              <w:left w:val="single" w:sz="12" w:space="0" w:color="000000"/>
              <w:bottom w:val="single" w:sz="6" w:space="0" w:color="000000"/>
              <w:right w:val="single" w:sz="12" w:space="0" w:color="000000"/>
            </w:tcBorders>
            <w:tcMar>
              <w:top w:w="0" w:type="dxa"/>
              <w:left w:w="40" w:type="dxa"/>
              <w:bottom w:w="0" w:type="dxa"/>
              <w:right w:w="40" w:type="dxa"/>
            </w:tcMar>
            <w:hideMark/>
          </w:tcPr>
          <w:p w:rsidR="009C1D71" w:rsidP="009C1D71">
            <w:r w:rsidRPr="00AB0736">
              <w:rPr>
                <w:rFonts w:asciiTheme="minorHAnsi" w:hAnsiTheme="minorHAnsi" w:cstheme="minorHAnsi"/>
                <w:sz w:val="18"/>
              </w:rPr>
              <w:t>No Change</w:t>
            </w:r>
          </w:p>
        </w:tc>
      </w:tr>
      <w:tr w:rsidTr="00E62FB5">
        <w:tblPrEx>
          <w:tblW w:w="0" w:type="auto"/>
          <w:jc w:val="center"/>
          <w:tblCellMar>
            <w:top w:w="15" w:type="dxa"/>
            <w:left w:w="15" w:type="dxa"/>
            <w:bottom w:w="15" w:type="dxa"/>
            <w:right w:w="15" w:type="dxa"/>
          </w:tblCellMar>
          <w:tblLook w:val="04A0"/>
        </w:tblPrEx>
        <w:trPr>
          <w:trHeight w:val="465"/>
          <w:jc w:val="center"/>
        </w:trPr>
        <w:tc>
          <w:tcPr>
            <w:tcW w:w="3315"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DC695D" w:rsidRPr="00DC695D" w:rsidP="00DC695D">
            <w:pPr>
              <w:widowControl/>
              <w:jc w:val="center"/>
            </w:pPr>
            <w:r w:rsidRPr="00DC695D">
              <w:rPr>
                <w:rFonts w:ascii="Calibri" w:hAnsi="Calibri" w:cs="Calibri"/>
                <w:b/>
                <w:bCs/>
                <w:color w:val="000000"/>
                <w:sz w:val="16"/>
                <w:szCs w:val="16"/>
              </w:rPr>
              <w:t>Total for Collection</w:t>
            </w:r>
          </w:p>
        </w:tc>
        <w:tc>
          <w:tcPr>
            <w:tcW w:w="990" w:type="dxa"/>
            <w:tcBorders>
              <w:top w:val="single" w:sz="6" w:space="0" w:color="000000"/>
              <w:left w:val="single" w:sz="12" w:space="0" w:color="000000"/>
              <w:bottom w:val="single" w:sz="12" w:space="0" w:color="000000"/>
              <w:right w:val="single" w:sz="6" w:space="0" w:color="CCCCCC"/>
            </w:tcBorders>
            <w:shd w:val="clear" w:color="auto" w:fill="BDD6EE"/>
            <w:tcMar>
              <w:top w:w="0" w:type="dxa"/>
              <w:left w:w="40" w:type="dxa"/>
              <w:bottom w:w="0" w:type="dxa"/>
              <w:right w:w="40" w:type="dxa"/>
            </w:tcMar>
            <w:vAlign w:val="center"/>
            <w:hideMark/>
          </w:tcPr>
          <w:p w:rsidR="00DC695D" w:rsidRPr="00535CE3" w:rsidP="00535CE3">
            <w:pPr>
              <w:widowControl/>
              <w:jc w:val="center"/>
              <w:rPr>
                <w:rFonts w:asciiTheme="minorHAnsi" w:hAnsiTheme="minorHAnsi" w:cstheme="minorHAnsi"/>
                <w:sz w:val="18"/>
              </w:rPr>
            </w:pPr>
            <w:r w:rsidRPr="00535CE3">
              <w:rPr>
                <w:rFonts w:asciiTheme="minorHAnsi" w:hAnsiTheme="minorHAnsi" w:cstheme="minorHAnsi"/>
                <w:sz w:val="18"/>
              </w:rPr>
              <w:t>$260,111</w:t>
            </w:r>
          </w:p>
        </w:tc>
        <w:tc>
          <w:tcPr>
            <w:tcW w:w="990" w:type="dxa"/>
            <w:tcBorders>
              <w:top w:val="single" w:sz="6" w:space="0" w:color="000000"/>
              <w:left w:val="single" w:sz="6" w:space="0" w:color="CCCCCC"/>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DC695D" w:rsidRPr="00535CE3" w:rsidP="00535CE3">
            <w:pPr>
              <w:widowControl/>
              <w:jc w:val="center"/>
              <w:rPr>
                <w:rFonts w:asciiTheme="minorHAnsi" w:hAnsiTheme="minorHAnsi" w:cstheme="minorHAnsi"/>
                <w:sz w:val="18"/>
              </w:rPr>
            </w:pPr>
            <w:r w:rsidRPr="00535CE3">
              <w:rPr>
                <w:rFonts w:asciiTheme="minorHAnsi" w:hAnsiTheme="minorHAnsi" w:cstheme="minorHAnsi"/>
                <w:sz w:val="18"/>
              </w:rPr>
              <w:t>$256,751</w:t>
            </w:r>
          </w:p>
        </w:tc>
        <w:tc>
          <w:tcPr>
            <w:tcW w:w="2880" w:type="dxa"/>
            <w:tcBorders>
              <w:top w:val="single" w:sz="6" w:space="0" w:color="000000"/>
              <w:left w:val="single" w:sz="12" w:space="0" w:color="000000"/>
              <w:bottom w:val="single" w:sz="12" w:space="0" w:color="000000"/>
              <w:right w:val="single" w:sz="12" w:space="0" w:color="000000"/>
            </w:tcBorders>
            <w:shd w:val="clear" w:color="auto" w:fill="000000"/>
            <w:tcMar>
              <w:top w:w="0" w:type="dxa"/>
              <w:left w:w="40" w:type="dxa"/>
              <w:bottom w:w="0" w:type="dxa"/>
              <w:right w:w="40" w:type="dxa"/>
            </w:tcMar>
            <w:vAlign w:val="center"/>
            <w:hideMark/>
          </w:tcPr>
          <w:p w:rsidR="00DC695D" w:rsidRPr="00DC695D" w:rsidP="00DC695D">
            <w:pPr>
              <w:widowControl/>
            </w:pPr>
          </w:p>
        </w:tc>
      </w:tr>
      <w:tr w:rsidTr="00E62FB5">
        <w:tblPrEx>
          <w:tblW w:w="0" w:type="auto"/>
          <w:jc w:val="center"/>
          <w:tblCellMar>
            <w:top w:w="15" w:type="dxa"/>
            <w:left w:w="15" w:type="dxa"/>
            <w:bottom w:w="15" w:type="dxa"/>
            <w:right w:w="15" w:type="dxa"/>
          </w:tblCellMar>
          <w:tblLook w:val="04A0"/>
        </w:tblPrEx>
        <w:trPr>
          <w:trHeight w:val="300"/>
          <w:jc w:val="center"/>
        </w:trPr>
        <w:tc>
          <w:tcPr>
            <w:tcW w:w="3315" w:type="dxa"/>
            <w:tcBorders>
              <w:top w:val="single" w:sz="12" w:space="0" w:color="000000"/>
              <w:left w:val="single" w:sz="12" w:space="0" w:color="000000"/>
              <w:bottom w:val="single" w:sz="12" w:space="0" w:color="000000"/>
              <w:right w:val="single" w:sz="6" w:space="0" w:color="000000"/>
            </w:tcBorders>
            <w:shd w:val="clear" w:color="auto" w:fill="FBE4D5"/>
            <w:tcMar>
              <w:top w:w="0" w:type="dxa"/>
              <w:left w:w="40" w:type="dxa"/>
              <w:bottom w:w="0" w:type="dxa"/>
              <w:right w:w="40" w:type="dxa"/>
            </w:tcMar>
            <w:vAlign w:val="bottom"/>
            <w:hideMark/>
          </w:tcPr>
          <w:p w:rsidR="00DC695D" w:rsidRPr="00DC695D" w:rsidP="00DC695D">
            <w:pPr>
              <w:widowControl/>
              <w:jc w:val="center"/>
            </w:pPr>
            <w:r w:rsidRPr="00DC695D">
              <w:rPr>
                <w:rFonts w:ascii="Calibri" w:hAnsi="Calibri" w:cs="Calibri"/>
                <w:b/>
                <w:bCs/>
                <w:color w:val="000000"/>
                <w:sz w:val="16"/>
                <w:szCs w:val="16"/>
              </w:rPr>
              <w:t>Difference</w:t>
            </w:r>
          </w:p>
        </w:tc>
        <w:tc>
          <w:tcPr>
            <w:tcW w:w="1980" w:type="dxa"/>
            <w:gridSpan w:val="2"/>
            <w:tcBorders>
              <w:top w:val="single" w:sz="12" w:space="0" w:color="000000"/>
              <w:left w:val="single" w:sz="6" w:space="0" w:color="000000"/>
              <w:bottom w:val="single" w:sz="12" w:space="0" w:color="000000"/>
              <w:right w:val="single" w:sz="6" w:space="0" w:color="000000"/>
            </w:tcBorders>
            <w:shd w:val="clear" w:color="auto" w:fill="FBE4D5"/>
            <w:tcMar>
              <w:top w:w="0" w:type="dxa"/>
              <w:left w:w="40" w:type="dxa"/>
              <w:bottom w:w="0" w:type="dxa"/>
              <w:right w:w="40" w:type="dxa"/>
            </w:tcMar>
            <w:vAlign w:val="bottom"/>
            <w:hideMark/>
          </w:tcPr>
          <w:p w:rsidR="00DC695D" w:rsidRPr="00DC695D" w:rsidP="00535CE3">
            <w:pPr>
              <w:widowControl/>
              <w:jc w:val="center"/>
            </w:pPr>
            <w:r>
              <w:t>$3,360</w:t>
            </w:r>
          </w:p>
        </w:tc>
        <w:tc>
          <w:tcPr>
            <w:tcW w:w="2880" w:type="dxa"/>
            <w:tcBorders>
              <w:top w:val="single" w:sz="12" w:space="0" w:color="000000"/>
              <w:left w:val="single" w:sz="6" w:space="0" w:color="000000"/>
              <w:bottom w:val="single" w:sz="12" w:space="0" w:color="000000"/>
              <w:right w:val="single" w:sz="12" w:space="0" w:color="000000"/>
            </w:tcBorders>
            <w:shd w:val="clear" w:color="auto" w:fill="000000"/>
            <w:tcMar>
              <w:top w:w="0" w:type="dxa"/>
              <w:left w:w="40" w:type="dxa"/>
              <w:bottom w:w="0" w:type="dxa"/>
              <w:right w:w="40" w:type="dxa"/>
            </w:tcMar>
            <w:vAlign w:val="bottom"/>
            <w:hideMark/>
          </w:tcPr>
          <w:p w:rsidR="00DC695D" w:rsidRPr="00DC695D" w:rsidP="00DC695D">
            <w:pPr>
              <w:widowControl/>
            </w:pPr>
          </w:p>
        </w:tc>
      </w:tr>
    </w:tbl>
    <w:p w:rsidR="002D1620">
      <w:pPr>
        <w:pBdr>
          <w:top w:val="nil"/>
          <w:left w:val="nil"/>
          <w:bottom w:val="nil"/>
          <w:right w:val="nil"/>
          <w:between w:val="nil"/>
        </w:pBdr>
        <w:rPr>
          <w:b/>
          <w:color w:val="000000"/>
        </w:rPr>
      </w:pPr>
    </w:p>
    <w:p w:rsidR="00FB38F9">
      <w:pPr>
        <w:pBdr>
          <w:top w:val="nil"/>
          <w:left w:val="nil"/>
          <w:bottom w:val="nil"/>
          <w:right w:val="nil"/>
          <w:between w:val="nil"/>
        </w:pBdr>
        <w:rPr>
          <w:b/>
          <w:color w:val="000000"/>
        </w:rPr>
      </w:pPr>
    </w:p>
    <w:p w:rsidR="00FB38F9">
      <w:pPr>
        <w:pBdr>
          <w:top w:val="nil"/>
          <w:left w:val="nil"/>
          <w:bottom w:val="nil"/>
          <w:right w:val="nil"/>
          <w:between w:val="nil"/>
        </w:pBdr>
        <w:rPr>
          <w:b/>
          <w:color w:val="000000"/>
        </w:rPr>
      </w:pPr>
    </w:p>
    <w:p w:rsidR="00FB38F9">
      <w:pPr>
        <w:pBdr>
          <w:top w:val="nil"/>
          <w:left w:val="nil"/>
          <w:bottom w:val="nil"/>
          <w:right w:val="nil"/>
          <w:between w:val="nil"/>
        </w:pBdr>
        <w:rPr>
          <w:b/>
          <w:color w:val="000000"/>
        </w:rPr>
      </w:pPr>
    </w:p>
    <w:p w:rsidR="00FB38F9">
      <w:pPr>
        <w:pBdr>
          <w:top w:val="nil"/>
          <w:left w:val="nil"/>
          <w:bottom w:val="nil"/>
          <w:right w:val="nil"/>
          <w:between w:val="nil"/>
        </w:pBdr>
        <w:rPr>
          <w:b/>
          <w:color w:val="000000"/>
        </w:rPr>
        <w:sectPr w:rsidSect="00DC695D">
          <w:pgSz w:w="15840" w:h="12240" w:orient="landscape"/>
          <w:pgMar w:top="1080" w:right="634" w:bottom="1080" w:left="1195" w:header="0" w:footer="720" w:gutter="0"/>
          <w:cols w:space="720"/>
        </w:sectPr>
      </w:pPr>
    </w:p>
    <w:p w:rsidR="00FB38F9">
      <w:pPr>
        <w:pBdr>
          <w:top w:val="nil"/>
          <w:left w:val="nil"/>
          <w:bottom w:val="nil"/>
          <w:right w:val="nil"/>
          <w:between w:val="nil"/>
        </w:pBdr>
        <w:rPr>
          <w:b/>
          <w:color w:val="000000"/>
        </w:rPr>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 xml:space="preserve">For collections of information whose results </w:t>
      </w:r>
      <w:r>
        <w:rPr>
          <w:b/>
          <w:color w:val="000000"/>
        </w:rPr>
        <w:t>will be published</w:t>
      </w:r>
      <w:r>
        <w:rPr>
          <w:b/>
          <w:color w:val="000000"/>
        </w:rPr>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D1620">
      <w:pPr>
        <w:pBdr>
          <w:top w:val="nil"/>
          <w:left w:val="nil"/>
          <w:bottom w:val="nil"/>
          <w:right w:val="nil"/>
          <w:between w:val="nil"/>
        </w:pBdr>
        <w:rPr>
          <w:color w:val="2F5496"/>
        </w:rPr>
      </w:pPr>
    </w:p>
    <w:p w:rsidR="002D1620">
      <w:pPr>
        <w:spacing w:after="280"/>
      </w:pPr>
      <w:r>
        <w:t>The results will not be published by individual vessels, but the number of vessels, fishing areas and catch will be reported in the aggregate to the FAO.  In addition, aggregate catch on the high seas will be reported in the NMFS publication, “Fisheries of the United States.”</w:t>
      </w:r>
    </w:p>
    <w:p w:rsidR="002D1620">
      <w:pPr>
        <w:pBdr>
          <w:top w:val="nil"/>
          <w:left w:val="nil"/>
          <w:bottom w:val="nil"/>
          <w:right w:val="nil"/>
          <w:between w:val="nil"/>
        </w:pBdr>
        <w:rPr>
          <w:color w:val="2F5496"/>
        </w:rPr>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2D1620">
      <w:pPr>
        <w:rPr>
          <w:i/>
        </w:rPr>
      </w:pPr>
    </w:p>
    <w:p w:rsidR="002D1620">
      <w:r>
        <w:t>The expiration date will be displayed on this information collection.</w:t>
      </w:r>
    </w:p>
    <w:p w:rsidR="002D1620">
      <w:pPr>
        <w:rPr>
          <w:i/>
        </w:rPr>
      </w:pPr>
    </w:p>
    <w:p w:rsidR="002D1620">
      <w:pPr>
        <w:numPr>
          <w:ilvl w:val="0"/>
          <w:numId w:val="2"/>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2D1620">
      <w:pPr>
        <w:pBdr>
          <w:top w:val="nil"/>
          <w:left w:val="nil"/>
          <w:bottom w:val="nil"/>
          <w:right w:val="nil"/>
          <w:between w:val="nil"/>
        </w:pBdr>
        <w:tabs>
          <w:tab w:val="left" w:pos="360"/>
        </w:tabs>
        <w:rPr>
          <w:b/>
          <w:color w:val="000000"/>
        </w:rPr>
      </w:pPr>
    </w:p>
    <w:p w:rsidR="002D1620">
      <w:pPr>
        <w:spacing w:after="280"/>
        <w:jc w:val="both"/>
      </w:pPr>
      <w:r>
        <w:t xml:space="preserve">The agency certifies compliance with </w:t>
      </w:r>
      <w:hyperlink r:id="rId14">
        <w:r>
          <w:rPr>
            <w:color w:val="0563C1"/>
            <w:u w:val="single"/>
          </w:rPr>
          <w:t>5 CFR 1320.9</w:t>
        </w:r>
      </w:hyperlink>
      <w:hyperlink r:id="rId14">
        <w:r>
          <w:rPr>
            <w:color w:val="0563C1"/>
          </w:rPr>
          <w:t xml:space="preserve"> </w:t>
        </w:r>
      </w:hyperlink>
      <w:r>
        <w:t xml:space="preserve">and the related provisions of </w:t>
      </w:r>
      <w:hyperlink r:id="rId15">
        <w:r>
          <w:rPr>
            <w:color w:val="0563C1"/>
            <w:u w:val="single"/>
          </w:rPr>
          <w:t>5 CFR</w:t>
        </w:r>
      </w:hyperlink>
      <w:r>
        <w:rPr>
          <w:color w:val="0563C1"/>
        </w:rPr>
        <w:t xml:space="preserve"> </w:t>
      </w:r>
      <w:hyperlink r:id="rId15">
        <w:r>
          <w:rPr>
            <w:color w:val="0563C1"/>
            <w:u w:val="single"/>
          </w:rPr>
          <w:t>1320.8(b)(3)</w:t>
        </w:r>
      </w:hyperlink>
    </w:p>
    <w:sectPr w:rsidSect="00FB38F9">
      <w:pgSz w:w="12240" w:h="15840"/>
      <w:pgMar w:top="634" w:right="1080" w:bottom="1195" w:left="108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59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17DE3">
      <w:r>
        <w:separator/>
      </w:r>
    </w:p>
  </w:footnote>
  <w:footnote w:type="continuationSeparator" w:id="1">
    <w:p w:rsidR="00717DE3">
      <w:r>
        <w:continuationSeparator/>
      </w:r>
    </w:p>
  </w:footnote>
  <w:footnote w:id="2">
    <w:p w:rsidR="00A9259C">
      <w:pPr>
        <w:widowControl/>
        <w:pBdr>
          <w:top w:val="nil"/>
          <w:left w:val="nil"/>
          <w:bottom w:val="nil"/>
          <w:right w:val="nil"/>
          <w:between w:val="nil"/>
        </w:pBdr>
        <w:spacing w:line="265"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 request to add a new fishery to the list of fisheries authorized on the high seas is optional, not mandatory, under the rule.  See § 300.334(e) of the rule.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3A77A9"/>
    <w:multiLevelType w:val="multilevel"/>
    <w:tmpl w:val="B722305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61F25EF9"/>
    <w:multiLevelType w:val="multilevel"/>
    <w:tmpl w:val="8F0E9C38"/>
    <w:lvl w:ilvl="0">
      <w:start w:val="1"/>
      <w:numFmt w:val="decimal"/>
      <w:lvlText w:val="%1."/>
      <w:lvlJc w:val="left"/>
      <w:pPr>
        <w:ind w:left="10" w:hanging="10"/>
      </w:pPr>
      <w:rPr>
        <w:rFonts w:ascii="Calibri" w:eastAsia="Calibri" w:hAnsi="Calibri" w:cs="Calibri"/>
        <w:b/>
        <w:i w:val="0"/>
        <w:strike w:val="0"/>
        <w:color w:val="000000"/>
        <w:sz w:val="24"/>
        <w:szCs w:val="24"/>
        <w:u w:val="none"/>
        <w:shd w:val="clear" w:color="auto" w:fill="auto"/>
        <w:vertAlign w:val="baseline"/>
      </w:rPr>
    </w:lvl>
    <w:lvl w:ilvl="1">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2">
      <w:start w:val="1"/>
      <w:numFmt w:val="lowerLetter"/>
      <w:lvlText w:val="(%3)"/>
      <w:lvlJc w:val="left"/>
      <w:pPr>
        <w:ind w:left="1060" w:hanging="10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20"/>
    <w:rsid w:val="000F7F42"/>
    <w:rsid w:val="00107B95"/>
    <w:rsid w:val="00154D50"/>
    <w:rsid w:val="001B1351"/>
    <w:rsid w:val="00224F0C"/>
    <w:rsid w:val="002D1620"/>
    <w:rsid w:val="004F047C"/>
    <w:rsid w:val="00535CE3"/>
    <w:rsid w:val="006B15B4"/>
    <w:rsid w:val="00717DE3"/>
    <w:rsid w:val="0082254C"/>
    <w:rsid w:val="00897B48"/>
    <w:rsid w:val="00900417"/>
    <w:rsid w:val="009C1D71"/>
    <w:rsid w:val="00A9259C"/>
    <w:rsid w:val="00AB0736"/>
    <w:rsid w:val="00AE7E41"/>
    <w:rsid w:val="00B04B17"/>
    <w:rsid w:val="00BB2485"/>
    <w:rsid w:val="00BC7176"/>
    <w:rsid w:val="00C23E4E"/>
    <w:rsid w:val="00CF68F2"/>
    <w:rsid w:val="00DC695D"/>
    <w:rsid w:val="00E62FB5"/>
    <w:rsid w:val="00EA716C"/>
    <w:rsid w:val="00F62AB9"/>
    <w:rsid w:val="00FB38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4E1E5A"/>
  <w15:docId w15:val="{2A4FA36B-E6C4-4840-B5A7-12F3979C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D1431"/>
    <w:rPr>
      <w:sz w:val="16"/>
      <w:szCs w:val="16"/>
    </w:rPr>
  </w:style>
  <w:style w:type="paragraph" w:styleId="CommentText">
    <w:name w:val="annotation text"/>
    <w:basedOn w:val="Normal"/>
    <w:link w:val="CommentTextChar"/>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0" w:type="dxa"/>
        <w:right w:w="0" w:type="dxa"/>
      </w:tblCellMar>
    </w:tblPr>
  </w:style>
  <w:style w:type="paragraph" w:customStyle="1" w:styleId="footnotedescription">
    <w:name w:val="footnote description"/>
    <w:next w:val="Normal"/>
    <w:link w:val="footnotedescriptionChar"/>
    <w:hidden/>
    <w:rsid w:val="007B78AA"/>
    <w:pPr>
      <w:widowControl/>
      <w:spacing w:line="265" w:lineRule="auto"/>
    </w:pPr>
    <w:rPr>
      <w:rFonts w:ascii="Calibri" w:eastAsia="Calibri" w:hAnsi="Calibri" w:cs="Calibri"/>
      <w:color w:val="000000"/>
      <w:sz w:val="20"/>
      <w:szCs w:val="22"/>
    </w:rPr>
  </w:style>
  <w:style w:type="character" w:customStyle="1" w:styleId="footnotedescriptionChar">
    <w:name w:val="footnote description Char"/>
    <w:link w:val="footnotedescription"/>
    <w:rsid w:val="007B78AA"/>
    <w:rPr>
      <w:rFonts w:ascii="Calibri" w:eastAsia="Calibri" w:hAnsi="Calibri" w:cs="Calibri"/>
      <w:color w:val="000000"/>
      <w:sz w:val="20"/>
      <w:szCs w:val="22"/>
    </w:rPr>
  </w:style>
  <w:style w:type="character" w:customStyle="1" w:styleId="footnotemark">
    <w:name w:val="footnote mark"/>
    <w:hidden/>
    <w:rsid w:val="007B78AA"/>
    <w:rPr>
      <w:rFonts w:ascii="Calibri" w:eastAsia="Calibri" w:hAnsi="Calibri" w:cs="Calibri"/>
      <w:color w:val="000000"/>
      <w:sz w:val="18"/>
      <w:vertAlign w:val="superscript"/>
    </w:rPr>
  </w:style>
  <w:style w:type="paragraph" w:styleId="CommentSubject">
    <w:name w:val="annotation subject"/>
    <w:basedOn w:val="CommentText"/>
    <w:next w:val="CommentText"/>
    <w:link w:val="CommentSubjectChar"/>
    <w:uiPriority w:val="99"/>
    <w:semiHidden/>
    <w:unhideWhenUsed/>
    <w:rsid w:val="004960EB"/>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4960EB"/>
    <w:rPr>
      <w:rFonts w:ascii="Arial" w:eastAsia="Arial" w:hAnsi="Arial" w:cs="Arial"/>
      <w:b/>
      <w:bCs/>
      <w:color w:val="2E5395"/>
      <w:sz w:val="20"/>
      <w:szCs w:val="20"/>
    </w:rPr>
  </w:style>
  <w:style w:type="paragraph" w:customStyle="1" w:styleId="CM9">
    <w:name w:val="CM9"/>
    <w:basedOn w:val="Normal"/>
    <w:next w:val="Normal"/>
    <w:rsid w:val="00FA4168"/>
    <w:pPr>
      <w:autoSpaceDE w:val="0"/>
      <w:autoSpaceDN w:val="0"/>
      <w:adjustRightInd w:val="0"/>
      <w:spacing w:after="280"/>
    </w:pPr>
  </w:style>
  <w:style w:type="paragraph" w:customStyle="1" w:styleId="Default">
    <w:name w:val="Default"/>
    <w:rsid w:val="008E3FE9"/>
    <w:pPr>
      <w:autoSpaceDE w:val="0"/>
      <w:autoSpaceDN w:val="0"/>
      <w:adjustRightInd w:val="0"/>
    </w:pPr>
    <w:rPr>
      <w:color w:val="000000"/>
    </w:rPr>
  </w:style>
  <w:style w:type="paragraph" w:styleId="NormalWeb">
    <w:name w:val="Normal (Web)"/>
    <w:basedOn w:val="Normal"/>
    <w:uiPriority w:val="99"/>
    <w:semiHidden/>
    <w:unhideWhenUsed/>
    <w:rsid w:val="00805455"/>
    <w:pPr>
      <w:widowControl/>
      <w:spacing w:before="100" w:beforeAutospacing="1" w:after="100" w:afterAutospacing="1"/>
    </w:pPr>
  </w:style>
  <w:style w:type="table" w:customStyle="1" w:styleId="a6">
    <w:name w:val="a6"/>
    <w:basedOn w:val="TableNormal"/>
    <w:tblPr>
      <w:tblStyleRowBandSize w:val="1"/>
      <w:tblStyleColBandSize w:val="1"/>
      <w:tblCellMar>
        <w:top w:w="100" w:type="dxa"/>
        <w:left w:w="0" w:type="dxa"/>
        <w:bottom w:w="100" w:type="dxa"/>
        <w:right w:w="0" w:type="dxa"/>
      </w:tblCellMar>
    </w:tblPr>
  </w:style>
  <w:style w:type="table" w:customStyle="1" w:styleId="a7">
    <w:name w:val="a7"/>
    <w:basedOn w:val="TableNormal"/>
    <w:tblPr>
      <w:tblStyleRowBandSize w:val="1"/>
      <w:tblStyleColBandSize w:val="1"/>
      <w:tblCellMar>
        <w:top w:w="100" w:type="dxa"/>
        <w:left w:w="0" w:type="dxa"/>
        <w:bottom w:w="100" w:type="dxa"/>
        <w:right w:w="0" w:type="dxa"/>
      </w:tblCellMar>
    </w:tblPr>
  </w:style>
  <w:style w:type="table" w:customStyle="1" w:styleId="a8">
    <w:name w:val="a8"/>
    <w:basedOn w:val="TableNormal"/>
    <w:tblPr>
      <w:tblStyleRowBandSize w:val="1"/>
      <w:tblStyleColBandSize w:val="1"/>
      <w:tblCellMar>
        <w:top w:w="100" w:type="dxa"/>
        <w:left w:w="0" w:type="dxa"/>
        <w:bottom w:w="100" w:type="dxa"/>
        <w:right w:w="0" w:type="dxa"/>
      </w:tblCellMar>
    </w:tblPr>
  </w:style>
  <w:style w:type="table" w:customStyle="1" w:styleId="a9">
    <w:name w:val="a9"/>
    <w:basedOn w:val="TableNormal"/>
    <w:tblPr>
      <w:tblStyleRowBandSize w:val="1"/>
      <w:tblStyleColBandSize w:val="1"/>
      <w:tblCellMar>
        <w:top w:w="100" w:type="dxa"/>
        <w:left w:w="0" w:type="dxa"/>
        <w:bottom w:w="100" w:type="dxa"/>
        <w:right w:w="0" w:type="dxa"/>
      </w:tblCellMar>
    </w:tblPr>
  </w:style>
  <w:style w:type="table" w:customStyle="1" w:styleId="aa">
    <w:name w:val="aa"/>
    <w:basedOn w:val="TableNormal"/>
    <w:tblPr>
      <w:tblStyleRowBandSize w:val="1"/>
      <w:tblStyleColBandSize w:val="1"/>
      <w:tblCellMar>
        <w:top w:w="100" w:type="dxa"/>
        <w:left w:w="0" w:type="dxa"/>
        <w:bottom w:w="100" w:type="dxa"/>
        <w:right w:w="0" w:type="dxa"/>
      </w:tblCellMar>
    </w:tblPr>
  </w:style>
  <w:style w:type="table" w:customStyle="1" w:styleId="ab">
    <w:name w:val="ab"/>
    <w:basedOn w:val="TableNormal"/>
    <w:tblPr>
      <w:tblStyleRowBandSize w:val="1"/>
      <w:tblStyleColBandSize w:val="1"/>
      <w:tblCellMar>
        <w:top w:w="100" w:type="dxa"/>
        <w:left w:w="0" w:type="dxa"/>
        <w:bottom w:w="100" w:type="dxa"/>
        <w:right w:w="0" w:type="dxa"/>
      </w:tblCellMar>
    </w:tblPr>
  </w:style>
  <w:style w:type="table" w:customStyle="1" w:styleId="ac">
    <w:name w:val="ac"/>
    <w:basedOn w:val="TableNormal"/>
    <w:tblPr>
      <w:tblStyleRowBandSize w:val="1"/>
      <w:tblStyleColBandSize w:val="1"/>
      <w:tblCellMar>
        <w:top w:w="100" w:type="dxa"/>
        <w:left w:w="0" w:type="dxa"/>
        <w:bottom w:w="100" w:type="dxa"/>
        <w:right w:w="0" w:type="dxa"/>
      </w:tblCellMar>
    </w:tblPr>
  </w:style>
  <w:style w:type="table" w:customStyle="1" w:styleId="ad">
    <w:name w:val="ad"/>
    <w:basedOn w:val="TableNormal"/>
    <w:tblPr>
      <w:tblStyleRowBandSize w:val="1"/>
      <w:tblStyleColBandSize w:val="1"/>
      <w:tblCellMar>
        <w:top w:w="100" w:type="dxa"/>
        <w:left w:w="0" w:type="dxa"/>
        <w:bottom w:w="100" w:type="dxa"/>
        <w:right w:w="0" w:type="dxa"/>
      </w:tblCellMar>
    </w:tblPr>
  </w:style>
  <w:style w:type="table" w:customStyle="1" w:styleId="ae">
    <w:name w:val="ae"/>
    <w:basedOn w:val="TableNormal"/>
    <w:tblPr>
      <w:tblStyleRowBandSize w:val="1"/>
      <w:tblStyleColBandSize w:val="1"/>
      <w:tblCellMar>
        <w:top w:w="100" w:type="dxa"/>
        <w:left w:w="0" w:type="dxa"/>
        <w:bottom w:w="100" w:type="dxa"/>
        <w:right w:w="0" w:type="dxa"/>
      </w:tblCellMar>
    </w:tblPr>
  </w:style>
  <w:style w:type="table" w:customStyle="1" w:styleId="af">
    <w:name w:val="af"/>
    <w:basedOn w:val="TableNormal"/>
    <w:tblPr>
      <w:tblStyleRowBandSize w:val="1"/>
      <w:tblStyleColBandSize w:val="1"/>
      <w:tblCellMar>
        <w:top w:w="100" w:type="dxa"/>
        <w:left w:w="0" w:type="dxa"/>
        <w:bottom w:w="100" w:type="dxa"/>
        <w:right w:w="0" w:type="dxa"/>
      </w:tblCellMar>
    </w:tblPr>
  </w:style>
  <w:style w:type="table" w:customStyle="1" w:styleId="af0">
    <w:name w:val="af0"/>
    <w:basedOn w:val="TableNormal"/>
    <w:tblPr>
      <w:tblStyleRowBandSize w:val="1"/>
      <w:tblStyleColBandSize w:val="1"/>
      <w:tblCellMar>
        <w:top w:w="100" w:type="dxa"/>
        <w:left w:w="0" w:type="dxa"/>
        <w:bottom w:w="10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fisheriespermits.noaa.gov/npspub/pub_cmn_login/index_live.jsp" TargetMode="External" /><Relationship Id="rId12" Type="http://schemas.openxmlformats.org/officeDocument/2006/relationships/hyperlink" Target="https://www.bls.gov/bls/blswage.htm" TargetMode="External" /><Relationship Id="rId13" Type="http://schemas.openxmlformats.org/officeDocument/2006/relationships/hyperlink" Target="https://www.federalregister.gov/documents/2025/01/16/2025-00716/implementation-of-provisions-of-the-illegal-unreported-and-unregulated-fishing-enforcement-act-of" TargetMode="External" /><Relationship Id="rId14" Type="http://schemas.openxmlformats.org/officeDocument/2006/relationships/hyperlink" Target="http://www.gpo.gov/fdsys/pkg/CFR-2014-title5-vol3/pdf/CFR-2014-title5-vol3-sec1320-9.pdf" TargetMode="External" /><Relationship Id="rId15" Type="http://schemas.openxmlformats.org/officeDocument/2006/relationships/hyperlink" Target="http://www.gpo.gov/fdsys/pkg/CFR-2014-title5-vol3/pdf/CFR-2014-title5-vol3-sec1320-8.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faolex.fao.org/docs/pdf/usa5852.pdf" TargetMode="External" /><Relationship Id="rId8" Type="http://schemas.openxmlformats.org/officeDocument/2006/relationships/hyperlink" Target="https://www.ecfr.gov/current/title-50/chapter-III/part-300/subpart-R" TargetMode="External" /><Relationship Id="rId9" Type="http://schemas.openxmlformats.org/officeDocument/2006/relationships/hyperlink" Target="http://www.corporateservices.noaa.gov/ames/administrative_orders/chapter_216/216-1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xw5xC1CV04TRPbjX/AmWFRkIxg==">CgMxLjAyCGguZ2pkZ3hzOABqRQo1c3VnZ2VzdElkSW1wb3J0ZjhhY2E2YWUtNGU0NS00MmFkLTllMmMtOTNhZGI2NWViMWM4XzISDEVtaWx5Lk5ld21hbmpGCjZzdWdnZXN0SWRJbXBvcnRmOGFjYTZhZS00ZTQ1LTQyYWQtOWUyYy05M2FkYjY1ZWIxYzhfMTkSDEVtaWx5Lk5ld21hbmpGCjZzdWdnZXN0SWRJbXBvcnRmOGFjYTZhZS00ZTQ1LTQyYWQtOWUyYy05M2FkYjY1ZWIxYzhfNDUSDEVtaWx5Lk5ld21hbmo2ChNzdWdnZXN0LjV4eXFiNzgxMWY2Eh9UZXJyYSBMZWRlcmhvdXNlIC0gTk9BQSBGZWRlcmFsakUKNXN1Z2dlc3RJZEltcG9ydGY4YWNhNmFlLTRlNDUtNDJhZC05ZTJjLTkzYWRiNjVlYjFjOF85EgxFbWlseS5OZXdtYW5qSgo2c3VnZ2VzdElkSW1wb3J0ZjhhY2E2YWUtNGU0NS00MmFkLTllMmMtOTNhZGI2NWViMWM4XzQ5EhBTdGFjZXkgTmF0aGFuc29uakYKNnN1Z2dlc3RJZEltcG9ydGY4YWNhNmFlLTRlNDUtNDJhZC05ZTJjLTkzYWRiNjVlYjFjOF8zNxIMRW1pbHkuTmV3bWFuakUKNXN1Z2dlc3RJZEltcG9ydGY4YWNhNmFlLTRlNDUtNDJhZC05ZTJjLTkzYWRiNjVlYjFjOF8xEgxFbWlseS5OZXdtYW5qRgo2c3VnZ2VzdElkSW1wb3J0ZjhhY2E2YWUtNGU0NS00MmFkLTllMmMtOTNhZGI2NWViMWM4XzEwEgxFbWlseS5OZXdtYW5qRgo2c3VnZ2VzdElkSW1wb3J0ZjhhY2E2YWUtNGU0NS00MmFkLTllMmMtOTNhZGI2NWViMWM4XzE0EgxFbWlseS5OZXdtYW5qRgo2c3VnZ2VzdElkSW1wb3J0ZjhhY2E2YWUtNGU0NS00MmFkLTllMmMtOTNhZGI2NWViMWM4XzM1EgxFbWlseS5OZXdtYW5qRgo2c3VnZ2VzdElkSW1wb3J0ZjhhY2E2YWUtNGU0NS00MmFkLTllMmMtOTNhZGI2NWViMWM4XzI3EgxFbWlseS5OZXdtYW5qRgo2c3VnZ2VzdElkSW1wb3J0ZjhhY2E2YWUtNGU0NS00MmFkLTllMmMtOTNhZGI2NWViMWM4XzMzEgxFbWlseS5OZXdtYW5qRgo2c3VnZ2VzdElkSW1wb3J0ZjhhY2E2YWUtNGU0NS00MmFkLTllMmMtOTNhZGI2NWViMWM4XzE1EgxFbWlseS5OZXdtYW5qRgo2c3VnZ2VzdElkSW1wb3J0ZjhhY2E2YWUtNGU0NS00MmFkLTllMmMtOTNhZGI2NWViMWM4XzMxEgxFbWlseS5OZXdtYW5qRgo2c3VnZ2VzdElkSW1wb3J0ZjhhY2E2YWUtNGU0NS00MmFkLTllMmMtOTNhZGI2NWViMWM4XzQwEgxFbWlseS5OZXdtYW5qRgo2c3VnZ2VzdElkSW1wb3J0ZjhhY2E2YWUtNGU0NS00MmFkLTllMmMtOTNhZGI2NWViMWM4XzI1EgxFbWlseS5OZXdtYW5qRgo2c3VnZ2VzdElkSW1wb3J0ZjhhY2E2YWUtNGU0NS00MmFkLTllMmMtOTNhZGI2NWViMWM4XzQzEgxFbWlseS5OZXdtYW5qRQo1c3VnZ2VzdElkSW1wb3J0ZjhhY2E2YWUtNGU0NS00MmFkLTllMmMtOTNhZGI2NWViMWM4XzMSDEVtaWx5Lk5ld21hbmpGCjZzdWdnZXN0SWRJbXBvcnRmOGFjYTZhZS00ZTQ1LTQyYWQtOWUyYy05M2FkYjY1ZWIxYzhfMjYSDEVtaWx5Lk5ld21hbmpGCjZzdWdnZXN0SWRJbXBvcnRmOGFjYTZhZS00ZTQ1LTQyYWQtOWUyYy05M2FkYjY1ZWIxYzhfMjgSDEVtaWx5Lk5ld21hbmpFCjVzdWdnZXN0SWRJbXBvcnRmOGFjYTZhZS00ZTQ1LTQyYWQtOWUyYy05M2FkYjY1ZWIxYzhfNhIMRW1pbHkuTmV3bWFuakYKNnN1Z2dlc3RJZEltcG9ydGY4YWNhNmFlLTRlNDUtNDJhZC05ZTJjLTkzYWRiNjVlYjFjOF8xNxIMRW1pbHkuTmV3bWFuakYKNnN1Z2dlc3RJZEltcG9ydGY4YWNhNmFlLTRlNDUtNDJhZC05ZTJjLTkzYWRiNjVlYjFjOF8yMhIMRW1pbHkuTmV3bWFuakYKNnN1Z2dlc3RJZEltcG9ydGY4YWNhNmFlLTRlNDUtNDJhZC05ZTJjLTkzYWRiNjVlYjFjOF80MRIMRW1pbHkuTmV3bWFuakUKNXN1Z2dlc3RJZEltcG9ydGY4YWNhNmFlLTRlNDUtNDJhZC05ZTJjLTkzYWRiNjVlYjFjOF80EgxFbWlseS5OZXdtYW5qRgo2c3VnZ2VzdElkSW1wb3J0ZjhhY2E2YWUtNGU0NS00MmFkLTllMmMtOTNhZGI2NWViMWM4XzI0EgxFbWlseS5OZXdtYW5qRgo2c3VnZ2VzdElkSW1wb3J0ZjhhY2E2YWUtNGU0NS00MmFkLTllMmMtOTNhZGI2NWViMWM4XzMwEgxFbWlseS5OZXdtYW5qRgo2c3VnZ2VzdElkSW1wb3J0ZjhhY2E2YWUtNGU0NS00MmFkLTllMmMtOTNhZGI2NWViMWM4XzI5EgxFbWlseS5OZXdtYW5qRgo2c3VnZ2VzdElkSW1wb3J0ZjhhY2E2YWUtNGU0NS00MmFkLTllMmMtOTNhZGI2NWViMWM4XzIzEgxFbWlseS5OZXdtYW5qRgo2c3VnZ2VzdElkSW1wb3J0ZjhhY2E2YWUtNGU0NS00MmFkLTllMmMtOTNhZGI2NWViMWM4XzUwEgxFbWlseS5OZXdtYW5qRgo2c3VnZ2VzdElkSW1wb3J0ZjhhY2E2YWUtNGU0NS00MmFkLTllMmMtOTNhZGI2NWViMWM4XzM5EgxFbWlseS5OZXdtYW5qRgo2c3VnZ2VzdElkSW1wb3J0ZjhhY2E2YWUtNGU0NS00MmFkLTllMmMtOTNhZGI2NWViMWM4XzQyEgxFbWlseS5OZXdtYW5qRQo1c3VnZ2VzdElkSW1wb3J0ZjhhY2E2YWUtNGU0NS00MmFkLTllMmMtOTNhZGI2NWViMWM4XzgSDEVtaWx5Lk5ld21hbmpGCjZzdWdnZXN0SWRJbXBvcnRmOGFjYTZhZS00ZTQ1LTQyYWQtOWUyYy05M2FkYjY1ZWIxYzhfMzISDEVtaWx5Lk5ld21hbmpGCjZzdWdnZXN0SWRJbXBvcnRmOGFjYTZhZS00ZTQ1LTQyYWQtOWUyYy05M2FkYjY1ZWIxYzhfMTISDEVtaWx5Lk5ld21hbmpGCjZzdWdnZXN0SWRJbXBvcnRmOGFjYTZhZS00ZTQ1LTQyYWQtOWUyYy05M2FkYjY1ZWIxYzhfMTESDEVtaWx5Lk5ld21hbmpGCjZzdWdnZXN0SWRJbXBvcnRmOGFjYTZhZS00ZTQ1LTQyYWQtOWUyYy05M2FkYjY1ZWIxYzhfMTYSDEVtaWx5Lk5ld21hbnIhMVJGZE9PR3pISDRMZ2ZxdXY5TWtxUmRsdlYxTEgyNXI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D12606-36E7-4664-9C82-6400FC27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5081</Words>
  <Characters>28965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19</cp:revision>
  <dcterms:created xsi:type="dcterms:W3CDTF">2025-02-11T18:36:00Z</dcterms:created>
  <dcterms:modified xsi:type="dcterms:W3CDTF">2025-02-21T16:32:00Z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