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63A60" w:rsidP="00A63A60">
      <w:pPr>
        <w:pStyle w:val="Heading1"/>
        <w:jc w:val="center"/>
      </w:pPr>
      <w:r>
        <w:rPr>
          <w:color w:val="000000"/>
        </w:rPr>
        <w:t>SUPPORTING STATEMENT</w:t>
      </w:r>
    </w:p>
    <w:p w:rsidR="00A63A60" w:rsidP="00A63A60">
      <w:pPr>
        <w:pStyle w:val="NormalWeb"/>
        <w:spacing w:before="22" w:beforeAutospacing="0" w:after="0" w:afterAutospacing="0"/>
        <w:ind w:firstLine="14"/>
        <w:jc w:val="center"/>
      </w:pPr>
      <w:r>
        <w:rPr>
          <w:b/>
          <w:bCs/>
          <w:color w:val="000000"/>
        </w:rPr>
        <w:t>U.S. Department of Commerce</w:t>
      </w:r>
    </w:p>
    <w:p w:rsidR="00A63A60" w:rsidP="00A63A60">
      <w:pPr>
        <w:pStyle w:val="NormalWeb"/>
        <w:spacing w:before="22" w:beforeAutospacing="0" w:after="0" w:afterAutospacing="0"/>
        <w:ind w:firstLine="14"/>
        <w:jc w:val="center"/>
      </w:pPr>
      <w:r>
        <w:rPr>
          <w:b/>
          <w:bCs/>
          <w:color w:val="000000"/>
        </w:rPr>
        <w:t>National Oceanic &amp; Atmospheric Administration</w:t>
      </w:r>
    </w:p>
    <w:p w:rsidR="0067223B" w:rsidRPr="0067223B" w:rsidP="00A63A60">
      <w:pPr>
        <w:pStyle w:val="NormalWeb"/>
        <w:spacing w:before="0" w:beforeAutospacing="0" w:after="0" w:afterAutospacing="0"/>
        <w:ind w:left="-6" w:hanging="6"/>
        <w:jc w:val="center"/>
        <w:rPr>
          <w:b/>
          <w:bCs/>
          <w:color w:val="000000"/>
        </w:rPr>
      </w:pPr>
      <w:r w:rsidRPr="0067223B">
        <w:rPr>
          <w:b/>
        </w:rPr>
        <w:t>Expanding Industry-Collaborative Research Surveys in Untrawlable Habitats along the Pacific Coast</w:t>
      </w:r>
    </w:p>
    <w:p w:rsidR="00A63A60" w:rsidP="00A63A60">
      <w:pPr>
        <w:pStyle w:val="NormalWeb"/>
        <w:spacing w:before="0" w:beforeAutospacing="0" w:after="0" w:afterAutospacing="0"/>
        <w:ind w:left="-6" w:hanging="6"/>
        <w:jc w:val="center"/>
      </w:pPr>
      <w:r>
        <w:rPr>
          <w:b/>
          <w:bCs/>
          <w:color w:val="000000"/>
        </w:rPr>
        <w:t>OMB Control No. 0648-XXXX</w:t>
      </w:r>
    </w:p>
    <w:p w:rsidR="0003311A" w:rsidP="0067223B">
      <w:pPr>
        <w:pBdr>
          <w:top w:val="nil"/>
          <w:left w:val="nil"/>
          <w:bottom w:val="nil"/>
          <w:right w:val="nil"/>
          <w:between w:val="nil"/>
        </w:pBdr>
        <w:spacing w:before="1"/>
        <w:jc w:val="center"/>
        <w:rPr>
          <w:b/>
          <w:color w:val="000000"/>
        </w:rPr>
      </w:pPr>
    </w:p>
    <w:p w:rsidR="0003311A">
      <w:pPr>
        <w:spacing w:before="1" w:line="398" w:lineRule="auto"/>
        <w:rPr>
          <w:b/>
        </w:rPr>
      </w:pPr>
      <w:r>
        <w:rPr>
          <w:b/>
          <w:color w:val="000000"/>
        </w:rPr>
        <w:t>SUPPORTING STATEMENT PART A</w:t>
      </w:r>
      <w:r>
        <w:rPr>
          <w:b/>
          <w:color w:val="1F497D"/>
        </w:rPr>
        <w:t xml:space="preserve"> - </w:t>
      </w:r>
    </w:p>
    <w:p w:rsidR="0003311A">
      <w:pPr>
        <w:pStyle w:val="Heading1"/>
        <w:spacing w:before="199"/>
        <w:ind w:left="0"/>
      </w:pPr>
      <w:r>
        <w:t>Abstract</w:t>
      </w:r>
    </w:p>
    <w:p w:rsidR="0003311A">
      <w:pPr>
        <w:pStyle w:val="Heading1"/>
        <w:spacing w:before="124"/>
        <w:ind w:left="0"/>
        <w:rPr>
          <w:b w:val="0"/>
        </w:rPr>
      </w:pPr>
      <w:r>
        <w:rPr>
          <w:b w:val="0"/>
        </w:rPr>
        <w:t>This request is to initiate a</w:t>
      </w:r>
      <w:r w:rsidR="00A63A60">
        <w:rPr>
          <w:b w:val="0"/>
        </w:rPr>
        <w:t xml:space="preserve"> new</w:t>
      </w:r>
      <w:r>
        <w:rPr>
          <w:b w:val="0"/>
        </w:rPr>
        <w:t xml:space="preserve"> collection of information from members of the recreational and commercial fishing communities along the U.S. Pacific Coast to support expansion of fishery-independent groundfish research surveys conducted by the N</w:t>
      </w:r>
      <w:r>
        <w:rPr>
          <w:b w:val="0"/>
        </w:rPr>
        <w:t xml:space="preserve">ational Marine Fisheries Service’s (NMFS) Northwest Fisheries Science Center (NWFSC) and Southwest Fisheries Science Center (SWFSC). </w:t>
      </w:r>
    </w:p>
    <w:p w:rsidR="0003311A">
      <w:pPr>
        <w:pStyle w:val="Heading1"/>
        <w:spacing w:before="124"/>
        <w:ind w:left="0"/>
        <w:rPr>
          <w:b w:val="0"/>
        </w:rPr>
      </w:pPr>
      <w:r>
        <w:rPr>
          <w:b w:val="0"/>
        </w:rPr>
        <w:t>This collection will generate information essential for the expansion of existing industry-collaborative research surveys,</w:t>
      </w:r>
      <w:r>
        <w:rPr>
          <w:b w:val="0"/>
        </w:rPr>
        <w:t xml:space="preserve"> eliminate spatial gaps in survey coverage, and provide information for the monitoring, assessment, and management of ecologically and economically important groundfish stocks. Due to the paucity of data for many species and the resulting uncertainty surro</w:t>
      </w:r>
      <w:r>
        <w:rPr>
          <w:b w:val="0"/>
        </w:rPr>
        <w:t xml:space="preserve">unding the health of these stocks, large areas of the coast have been closed to most fishing as a precautionary </w:t>
      </w:r>
      <w:r w:rsidR="00247FBD">
        <w:rPr>
          <w:b w:val="0"/>
        </w:rPr>
        <w:t>measure, which</w:t>
      </w:r>
      <w:r>
        <w:rPr>
          <w:b w:val="0"/>
        </w:rPr>
        <w:t xml:space="preserve"> has been economically damaging to the recreational and commercial fishing communities. Partnering with these communities will clo</w:t>
      </w:r>
      <w:r>
        <w:rPr>
          <w:b w:val="0"/>
        </w:rPr>
        <w:t xml:space="preserve">se data gaps, reduce scientific uncertainty, and enable more effective management </w:t>
      </w:r>
      <w:r w:rsidR="00247FBD">
        <w:rPr>
          <w:b w:val="0"/>
        </w:rPr>
        <w:t>of U.S</w:t>
      </w:r>
      <w:r>
        <w:rPr>
          <w:b w:val="0"/>
        </w:rPr>
        <w:t xml:space="preserve">. Pacific Coast groundfish stocks. </w:t>
      </w:r>
    </w:p>
    <w:p w:rsidR="0003311A">
      <w:pPr>
        <w:pStyle w:val="Heading1"/>
        <w:spacing w:before="124"/>
        <w:ind w:left="0"/>
        <w:rPr>
          <w:b w:val="0"/>
          <w:highlight w:val="yellow"/>
        </w:rPr>
      </w:pPr>
      <w:r>
        <w:rPr>
          <w:b w:val="0"/>
        </w:rPr>
        <w:t>NMFS will generate a spreadsheet template that will be distributed on a voluntary basis to members of the recreational and commercia</w:t>
      </w:r>
      <w:r>
        <w:rPr>
          <w:b w:val="0"/>
        </w:rPr>
        <w:t xml:space="preserve">l fishing communities along the U.S. Pacific Coast to solicit information about potential sampling locations to include in an expansion of existing research surveys. Specifically, NMFS requests data including GPS </w:t>
      </w:r>
      <w:r w:rsidR="00247FBD">
        <w:rPr>
          <w:b w:val="0"/>
        </w:rPr>
        <w:t>coordinates</w:t>
      </w:r>
      <w:r>
        <w:rPr>
          <w:b w:val="0"/>
        </w:rPr>
        <w:t xml:space="preserve"> depth, seafloor type, target sp</w:t>
      </w:r>
      <w:r>
        <w:rPr>
          <w:b w:val="0"/>
        </w:rPr>
        <w:t>ecies, and recommended gear types for consideration as potential new sampling locations. Respondents will include existing contacts and research partners within the industry as well as individuals recommended by industry leaders and liaisons along the coas</w:t>
      </w:r>
      <w:r>
        <w:rPr>
          <w:b w:val="0"/>
        </w:rPr>
        <w:t xml:space="preserve">t to ensure broad spatial coverage. NMFS plans to place no restrictions on broader distributions by primary respondents to other knowledgeable members of the fishing community (i.e., secondary respondents) on a voluntary basis. </w:t>
      </w:r>
    </w:p>
    <w:p w:rsidR="0003311A">
      <w:pPr>
        <w:pStyle w:val="Heading1"/>
        <w:spacing w:before="124"/>
        <w:ind w:left="0"/>
      </w:pPr>
    </w:p>
    <w:p w:rsidR="0003311A">
      <w:pPr>
        <w:pStyle w:val="Heading1"/>
        <w:spacing w:before="124"/>
        <w:ind w:left="0"/>
      </w:pPr>
      <w:r>
        <w:t>Justification</w:t>
      </w:r>
    </w:p>
    <w:p w:rsidR="0003311A">
      <w:pPr>
        <w:numPr>
          <w:ilvl w:val="0"/>
          <w:numId w:val="3"/>
        </w:numPr>
        <w:pBdr>
          <w:top w:val="nil"/>
          <w:left w:val="nil"/>
          <w:bottom w:val="nil"/>
          <w:right w:val="nil"/>
          <w:between w:val="nil"/>
        </w:pBdr>
        <w:tabs>
          <w:tab w:val="left" w:pos="360"/>
        </w:tabs>
        <w:spacing w:before="182" w:line="259" w:lineRule="auto"/>
        <w:ind w:left="0" w:firstLine="0"/>
        <w:rPr>
          <w:b/>
          <w:color w:val="000000"/>
        </w:rPr>
      </w:pPr>
      <w:r>
        <w:rPr>
          <w:b/>
          <w:color w:val="000000"/>
        </w:rPr>
        <w:t xml:space="preserve">Explain the </w:t>
      </w:r>
      <w:r>
        <w:rPr>
          <w:b/>
          <w:color w:val="000000"/>
        </w:rPr>
        <w:t>circumstances that make the collection of information necessary. Identify any legal or administrative requirements that necessitate the collection. Attach a copy of the appropriate section of each statute and regulation mandating or authorizing the collect</w:t>
      </w:r>
      <w:r>
        <w:rPr>
          <w:b/>
          <w:color w:val="000000"/>
        </w:rPr>
        <w:t>ion of information.</w:t>
      </w:r>
    </w:p>
    <w:p w:rsidR="0003311A">
      <w:pPr>
        <w:pStyle w:val="Heading1"/>
        <w:spacing w:before="0"/>
        <w:ind w:left="0"/>
        <w:rPr>
          <w:b w:val="0"/>
          <w:shd w:val="clear" w:color="auto" w:fill="FCE5CD"/>
        </w:rPr>
      </w:pPr>
      <w:bookmarkStart w:id="0" w:name="_heading=h.nfkixgh1izxx" w:colFirst="0" w:colLast="0"/>
      <w:bookmarkEnd w:id="0"/>
    </w:p>
    <w:p w:rsidR="0003311A">
      <w:pPr>
        <w:pStyle w:val="Heading1"/>
        <w:spacing w:before="0"/>
        <w:ind w:left="0"/>
        <w:rPr>
          <w:b w:val="0"/>
        </w:rPr>
      </w:pPr>
      <w:bookmarkStart w:id="1" w:name="_heading=h.dpqg2h72ahdy" w:colFirst="0" w:colLast="0"/>
      <w:bookmarkEnd w:id="1"/>
      <w:r>
        <w:rPr>
          <w:b w:val="0"/>
        </w:rPr>
        <w:t>The requested data collection will entail engaging members of the recreational and commercial fishing communities to generate information essential for expanding existing industry-collaborative groundfish research surveys into untrawla</w:t>
      </w:r>
      <w:r>
        <w:rPr>
          <w:b w:val="0"/>
        </w:rPr>
        <w:t>ble habitats along the U.S. Pacific Coast. Requested information will include insight into the locations, depths, and habitat types of important target groundfish species along the coast, as well as the most appropriate gear types and fishing operations fo</w:t>
      </w:r>
      <w:r>
        <w:rPr>
          <w:b w:val="0"/>
        </w:rPr>
        <w:t>r sampling those species. The collection of this data is necessary to design and expand research surveys to provide sampling coverage of seafloor habitats such as rocky reefs, boulder fields, pinnacle tops, and other areas of hard substrate that are not sa</w:t>
      </w:r>
      <w:r>
        <w:rPr>
          <w:b w:val="0"/>
        </w:rPr>
        <w:t xml:space="preserve">mpled effectively via bottom trawl surveys. The fish assemblages associated with these untrawlable habitats often differ significantly from those found over softer, trawlable habitats </w:t>
      </w:r>
      <w:r>
        <w:rPr>
          <w:b w:val="0"/>
        </w:rPr>
        <w:t>but are quantitatively under-represented in population dynamics models a</w:t>
      </w:r>
      <w:r>
        <w:rPr>
          <w:b w:val="0"/>
        </w:rPr>
        <w:t xml:space="preserve">nd other analytical products due to the lack of adequate survey coverage. </w:t>
      </w:r>
    </w:p>
    <w:p w:rsidR="0003311A">
      <w:pPr>
        <w:pStyle w:val="Heading1"/>
        <w:spacing w:before="0"/>
        <w:ind w:left="0"/>
        <w:rPr>
          <w:b w:val="0"/>
        </w:rPr>
      </w:pPr>
      <w:bookmarkStart w:id="2" w:name="_heading=h.xbh8xhvo8vuj" w:colFirst="0" w:colLast="0"/>
      <w:bookmarkEnd w:id="2"/>
    </w:p>
    <w:p w:rsidR="0003311A">
      <w:pPr>
        <w:pStyle w:val="Heading1"/>
        <w:spacing w:before="0"/>
        <w:ind w:left="0"/>
        <w:rPr>
          <w:b w:val="0"/>
        </w:rPr>
      </w:pPr>
      <w:bookmarkStart w:id="3" w:name="_heading=h.8afjx6iegbai" w:colFirst="0" w:colLast="0"/>
      <w:bookmarkEnd w:id="3"/>
      <w:r>
        <w:rPr>
          <w:b w:val="0"/>
        </w:rPr>
        <w:t>Because there is currently no survey coverage of untrawlable habitats along the majority of the U.S. Pacific Coast, none of the requested information is currently available to NMFS</w:t>
      </w:r>
      <w:r>
        <w:rPr>
          <w:b w:val="0"/>
        </w:rPr>
        <w:t xml:space="preserve"> and our collaborative partners.  Survey expansion will close spatial gaps in existing survey coverage and provide information for the monitoring, assessment, and management of ecologically and economically important groundfish stocks. Due to the lack of d</w:t>
      </w:r>
      <w:r>
        <w:rPr>
          <w:b w:val="0"/>
        </w:rPr>
        <w:t xml:space="preserve">ata for some of these species and the resulting uncertainty surrounding the abundance and trajectory of these stocks within stock assessments, large areas of the coast have been closed to most fishing as a precautionary measure which has been economically </w:t>
      </w:r>
      <w:r>
        <w:rPr>
          <w:b w:val="0"/>
        </w:rPr>
        <w:t xml:space="preserve">damaging to a considerable portion of the recreational and commercial fishing communities. The goal is to improve data for management of structure related fishes and allow fishermen to continue to fish while preventing overfishing of sensitive species. </w:t>
      </w:r>
    </w:p>
    <w:p w:rsidR="0003311A">
      <w:pPr>
        <w:pStyle w:val="Heading1"/>
        <w:spacing w:before="0"/>
        <w:ind w:left="0"/>
        <w:rPr>
          <w:b w:val="0"/>
        </w:rPr>
      </w:pPr>
      <w:bookmarkStart w:id="4" w:name="_heading=h.4hb7njt6jt49" w:colFirst="0" w:colLast="0"/>
      <w:bookmarkEnd w:id="4"/>
    </w:p>
    <w:p w:rsidR="0003311A">
      <w:pPr>
        <w:pStyle w:val="Heading1"/>
        <w:spacing w:before="0"/>
        <w:ind w:left="0"/>
        <w:rPr>
          <w:b w:val="0"/>
        </w:rPr>
      </w:pPr>
      <w:bookmarkStart w:id="5" w:name="_heading=h.wvmytds4ss4" w:colFirst="0" w:colLast="0"/>
      <w:bookmarkEnd w:id="5"/>
      <w:r>
        <w:rPr>
          <w:b w:val="0"/>
        </w:rPr>
        <w:t>S</w:t>
      </w:r>
      <w:r>
        <w:rPr>
          <w:b w:val="0"/>
        </w:rPr>
        <w:t>tatutory and regulatory authority for the conduct of these surveys and their expansion emanate from the Magnuson-Stevens Act (MSA) and NMFS National Standard (NS) 2. MSA Sec. 402(e) and NS 2 (CFR Sex. 600.315) authorize resource assessments including resea</w:t>
      </w:r>
      <w:r>
        <w:rPr>
          <w:b w:val="0"/>
        </w:rPr>
        <w:t>rch surveys as a means of generating the best available scientific information for assessing and managing fish stocks, including the groundfish stocks along the U.S. Pacific Coast. MSA Sec. 404(b</w:t>
      </w:r>
      <w:r w:rsidR="00247FBD">
        <w:rPr>
          <w:b w:val="0"/>
        </w:rPr>
        <w:t>) (</w:t>
      </w:r>
      <w:r>
        <w:rPr>
          <w:b w:val="0"/>
        </w:rPr>
        <w:t>3) authorizes NMFS to conduct these surveys aboard industr</w:t>
      </w:r>
      <w:r>
        <w:rPr>
          <w:b w:val="0"/>
        </w:rPr>
        <w:t xml:space="preserve">y vessels. </w:t>
      </w:r>
    </w:p>
    <w:p w:rsidR="0003311A"/>
    <w:p w:rsidR="0003311A">
      <w:pPr>
        <w:pStyle w:val="Heading1"/>
        <w:numPr>
          <w:ilvl w:val="0"/>
          <w:numId w:val="3"/>
        </w:numPr>
        <w:tabs>
          <w:tab w:val="left" w:pos="360"/>
        </w:tabs>
        <w:spacing w:before="197"/>
        <w:ind w:left="0" w:firstLine="0"/>
      </w:pPr>
      <w:r>
        <w:t>Indicate how, by whom, and for what purpose the information is to be used. Except for a non-new collection, indicate the actual use the agency has made of the information received from the current collection.</w:t>
      </w:r>
    </w:p>
    <w:p w:rsidR="0003311A">
      <w:pPr>
        <w:spacing w:before="180"/>
      </w:pPr>
      <w:r>
        <w:t>We propose to collect the followin</w:t>
      </w:r>
      <w:r>
        <w:t>g information for each potential sample location provided by a respondent:</w:t>
      </w:r>
    </w:p>
    <w:p w:rsidR="0003311A">
      <w:pPr>
        <w:numPr>
          <w:ilvl w:val="0"/>
          <w:numId w:val="1"/>
        </w:numPr>
      </w:pPr>
      <w:r>
        <w:t>Location of the potential sample site in the form of GPS (latitude and longitude) coordinates</w:t>
      </w:r>
    </w:p>
    <w:p w:rsidR="0003311A">
      <w:pPr>
        <w:numPr>
          <w:ilvl w:val="0"/>
          <w:numId w:val="1"/>
        </w:numPr>
      </w:pPr>
      <w:r>
        <w:t>Depth of the potential sample site</w:t>
      </w:r>
    </w:p>
    <w:p w:rsidR="0003311A">
      <w:pPr>
        <w:numPr>
          <w:ilvl w:val="0"/>
          <w:numId w:val="1"/>
        </w:numPr>
      </w:pPr>
      <w:r>
        <w:t>Habitat type of the potential sample site (if known)</w:t>
      </w:r>
    </w:p>
    <w:p w:rsidR="0003311A">
      <w:pPr>
        <w:numPr>
          <w:ilvl w:val="0"/>
          <w:numId w:val="1"/>
        </w:numPr>
      </w:pPr>
      <w:r>
        <w:t>Target species associate with the potential sample site</w:t>
      </w:r>
    </w:p>
    <w:p w:rsidR="0003311A">
      <w:pPr>
        <w:numPr>
          <w:ilvl w:val="0"/>
          <w:numId w:val="1"/>
        </w:numPr>
      </w:pPr>
      <w:r>
        <w:t>Most appropriate sample gear to use at each potential sampling site</w:t>
      </w:r>
    </w:p>
    <w:p w:rsidR="0003311A">
      <w:pPr>
        <w:numPr>
          <w:ilvl w:val="0"/>
          <w:numId w:val="1"/>
        </w:numPr>
      </w:pPr>
      <w:r>
        <w:t>Perceived qualitative abundance of target species at each potential sampling site</w:t>
      </w:r>
    </w:p>
    <w:p w:rsidR="0003311A">
      <w:pPr>
        <w:spacing w:before="160"/>
        <w:rPr>
          <w:color w:val="2F5496"/>
        </w:rPr>
      </w:pPr>
      <w:r>
        <w:t>Information will be collected on a vol</w:t>
      </w:r>
      <w:r>
        <w:t xml:space="preserve">untary basis from members of the recreational and commercial fishing communities along the U.S. Pacific Coast. Primary respondents will be identified by consulting with our existing network of industry contacts and liaisons along the coast to ensure broad </w:t>
      </w:r>
      <w:r>
        <w:t xml:space="preserve">spatial </w:t>
      </w:r>
      <w:r w:rsidR="00247FBD">
        <w:t>coverage;</w:t>
      </w:r>
      <w:r>
        <w:t xml:space="preserve"> however, NMFS plans to place no restrictions on broader, voluntary distributions by primary respondents to other knowledgeable members of the fishing community (i.e., secondary respondents) including word-of-mouth distributions.</w:t>
      </w:r>
    </w:p>
    <w:p w:rsidR="0003311A">
      <w:pPr>
        <w:spacing w:before="160" w:line="256" w:lineRule="auto"/>
        <w:rPr>
          <w:color w:val="1F497D"/>
        </w:rPr>
      </w:pPr>
      <w:r>
        <w:t>Information will be collected primarily in electronic format as a spreadsheet distributed to respondents. We will also make available paper copies of the form for distribution for individuals who wish to provide information via hard copy and submit via fax</w:t>
      </w:r>
      <w:r>
        <w:t>, U.S. mail, or in person.</w:t>
      </w:r>
    </w:p>
    <w:p w:rsidR="0003311A">
      <w:pPr>
        <w:pBdr>
          <w:top w:val="nil"/>
          <w:left w:val="nil"/>
          <w:bottom w:val="nil"/>
          <w:right w:val="nil"/>
          <w:between w:val="nil"/>
        </w:pBdr>
        <w:spacing w:before="160" w:line="259" w:lineRule="auto"/>
      </w:pPr>
      <w:r>
        <w:t>The information will be used by NMFS staff at the NWFSC and SWFSC to help develop the suite of potential sampling locations for an expanded fisheries independent survey of recreationally and commercially important groundfish spec</w:t>
      </w:r>
      <w:r>
        <w:t>ies in untrawlable habitat along the U.S. Pacific Coast. We will plot the locations supplied by respondents to develop maps and identify important areas of the coast where target species are shown to aggregate and use other information provided by responde</w:t>
      </w:r>
      <w:r>
        <w:t xml:space="preserve">nts to determine the most appropriate gear type(s) to use to sample these locations during at-sea survey </w:t>
      </w:r>
      <w:r>
        <w:t>operations. If the survey expansion is ultimately executed, data collected from the expanded survey (e.g., species composition, abundance, and biologic</w:t>
      </w:r>
      <w:r>
        <w:t>al data) will be used by stock assessment scientists and fishery managers to analyze the population dynamics and establish harvest limits and other management policies for commercially and recreationally important groundfish species in the Pacific Coast Gr</w:t>
      </w:r>
      <w:r>
        <w:t>oundfish Fishery Management Plan.</w:t>
      </w:r>
    </w:p>
    <w:p w:rsidR="0003311A">
      <w:pPr>
        <w:pBdr>
          <w:top w:val="nil"/>
          <w:left w:val="nil"/>
          <w:bottom w:val="nil"/>
          <w:right w:val="nil"/>
          <w:between w:val="nil"/>
        </w:pBdr>
        <w:spacing w:before="161"/>
      </w:pPr>
      <w:r>
        <w:t>Respondents may reply electronically, or via mail or FAX using a hard copy version of the same form.</w:t>
      </w:r>
    </w:p>
    <w:p w:rsidR="0003311A">
      <w:pPr>
        <w:pBdr>
          <w:top w:val="nil"/>
          <w:left w:val="nil"/>
          <w:bottom w:val="nil"/>
          <w:right w:val="nil"/>
          <w:between w:val="nil"/>
        </w:pBdr>
        <w:spacing w:before="158"/>
        <w:rPr>
          <w:color w:val="2F5496"/>
        </w:rPr>
      </w:pPr>
      <w:r>
        <w:t>We anticipate that this will be a one-time collection from each respondent.</w:t>
      </w:r>
    </w:p>
    <w:p w:rsidR="0003311A">
      <w:pPr>
        <w:pBdr>
          <w:top w:val="nil"/>
          <w:left w:val="nil"/>
          <w:bottom w:val="nil"/>
          <w:right w:val="nil"/>
          <w:between w:val="nil"/>
        </w:pBdr>
        <w:spacing w:before="161"/>
      </w:pPr>
      <w:r>
        <w:t>The information may be shared with collaborat</w:t>
      </w:r>
      <w:r>
        <w:t>ing industry groups or governmental agencies that are involved with regulating fisheries or developing similar untrawlable habitat surveys.</w:t>
      </w:r>
    </w:p>
    <w:p w:rsidR="0003311A">
      <w:pPr>
        <w:pBdr>
          <w:top w:val="nil"/>
          <w:left w:val="nil"/>
          <w:bottom w:val="nil"/>
          <w:right w:val="nil"/>
          <w:between w:val="nil"/>
        </w:pBdr>
        <w:spacing w:before="161"/>
      </w:pPr>
      <w:r>
        <w:t>This is not an ongoing collection.</w:t>
      </w:r>
    </w:p>
    <w:p w:rsidR="0003311A">
      <w:pPr>
        <w:pBdr>
          <w:top w:val="nil"/>
          <w:left w:val="nil"/>
          <w:bottom w:val="nil"/>
          <w:right w:val="nil"/>
          <w:between w:val="nil"/>
        </w:pBdr>
        <w:spacing w:before="161"/>
      </w:pPr>
    </w:p>
    <w:p w:rsidR="0003311A">
      <w:pPr>
        <w:numPr>
          <w:ilvl w:val="0"/>
          <w:numId w:val="3"/>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w:t>
      </w:r>
      <w:r>
        <w:rPr>
          <w:b/>
          <w:color w:val="000000"/>
        </w:rPr>
        <w:t xml:space="preserve"> use of automated, electronic, mechanical, or other technological collection techniques or other forms of information technology, e.g. permitting electronic submission of responses, and the basis for the decision for adopting this means of collection. Also</w:t>
      </w:r>
      <w:r>
        <w:rPr>
          <w:b/>
          <w:color w:val="000000"/>
        </w:rPr>
        <w:t>, describe any consideration of using information technology to reduce burden.</w:t>
      </w:r>
    </w:p>
    <w:p w:rsidR="0003311A">
      <w:pPr>
        <w:pBdr>
          <w:top w:val="nil"/>
          <w:left w:val="nil"/>
          <w:bottom w:val="nil"/>
          <w:right w:val="nil"/>
          <w:between w:val="nil"/>
        </w:pBdr>
        <w:tabs>
          <w:tab w:val="left" w:pos="360"/>
        </w:tabs>
        <w:spacing w:before="199"/>
      </w:pPr>
      <w:r>
        <w:t>The proposed data collection will be primarily electronic in format with requested data to be entered into a spreadsheet template. The template will be formatted to allow for re</w:t>
      </w:r>
      <w:r>
        <w:t>spondents to conveniently copy-and-paste data from the navigation and mapping software they use during fishing operations directly into the spreadsheet. The submission process will also be primarily electronic with respondents asked to submit their respons</w:t>
      </w:r>
      <w:r>
        <w:t>es to a governmental email address established specifically for the survey expansion effort. There will also be an option for potential respondents to participate via paper forms and submit them via U.S. mail, fax, or in person.</w:t>
      </w:r>
    </w:p>
    <w:p w:rsidR="0003311A">
      <w:pPr>
        <w:pBdr>
          <w:top w:val="nil"/>
          <w:left w:val="nil"/>
          <w:bottom w:val="nil"/>
          <w:right w:val="nil"/>
          <w:between w:val="nil"/>
        </w:pBdr>
        <w:tabs>
          <w:tab w:val="left" w:pos="360"/>
        </w:tabs>
        <w:spacing w:before="199"/>
      </w:pPr>
    </w:p>
    <w:p w:rsidR="0003311A">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efforts to identi</w:t>
      </w:r>
      <w:r>
        <w:rPr>
          <w:b/>
          <w:color w:val="000000"/>
        </w:rPr>
        <w:t>fy duplication. Show specifically why any similar information already available cannot be used or modified for use for the purposes described in Question 2</w:t>
      </w:r>
    </w:p>
    <w:p w:rsidR="0003311A">
      <w:pPr>
        <w:spacing w:before="160" w:after="240"/>
      </w:pPr>
      <w:r>
        <w:t>Based on years of interactions with other fish and wildlife agencies, universities, and industry rep</w:t>
      </w:r>
      <w:r>
        <w:t>resentatives, as well as our own experience in developing earlier surveys, NMFS staff have been unable to identify any existing source of the type of information necessary to develop a sampling frame that will support the expansion of fishery-independent s</w:t>
      </w:r>
      <w:r>
        <w:t xml:space="preserve">urveys in untrawlable habitats </w:t>
      </w:r>
      <w:r w:rsidR="00247FBD">
        <w:t>coast wide</w:t>
      </w:r>
      <w:r>
        <w:t>.</w:t>
      </w:r>
    </w:p>
    <w:p w:rsidR="0003311A">
      <w:pPr>
        <w:pBdr>
          <w:top w:val="nil"/>
          <w:left w:val="nil"/>
          <w:bottom w:val="nil"/>
          <w:right w:val="nil"/>
          <w:between w:val="nil"/>
        </w:pBdr>
        <w:tabs>
          <w:tab w:val="left" w:pos="360"/>
        </w:tabs>
        <w:spacing w:before="80"/>
        <w:ind w:left="400"/>
        <w:rPr>
          <w:color w:val="2F5496"/>
        </w:rPr>
      </w:pPr>
    </w:p>
    <w:p w:rsidR="0003311A">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03311A">
      <w:pPr>
        <w:spacing w:before="160" w:after="240"/>
      </w:pPr>
      <w:r>
        <w:t xml:space="preserve">We propose to take several actions to minimize the data collection burden on </w:t>
      </w:r>
      <w:r>
        <w:t>individuals and small businesses contacted for information. First, the questionnaire (i.e., spreadsheet) is specifically designed to avoid any duplicative collection of existing information. Each field, in context, uniquely provides information on potentia</w:t>
      </w:r>
      <w:r>
        <w:t>l sampling locations along large areas of the U.S. west coast where no data is currently available. Second, we are incorporating elements and approaches from a very successful data collection with recreational and commercial fishermen that was conducted in</w:t>
      </w:r>
      <w:r>
        <w:t xml:space="preserve"> 2002 and applying them to the current data </w:t>
      </w:r>
      <w:r w:rsidR="00247FBD">
        <w:t>collection, which</w:t>
      </w:r>
      <w:r>
        <w:t xml:space="preserve"> targets a different, much larger portion of the coast. We believe that integrating elements that were successful in the prior collection will reduce potential questions or confusion and increase</w:t>
      </w:r>
      <w:r>
        <w:t xml:space="preserve"> response rate. Third, we are formatting the spreadsheet so that respondents can </w:t>
      </w:r>
      <w:r>
        <w:t xml:space="preserve">easily copy and paste data from their navigation and fishing operations software into the </w:t>
      </w:r>
      <w:r w:rsidR="00247FBD">
        <w:t>spreadsheet, which</w:t>
      </w:r>
      <w:r>
        <w:t xml:space="preserve"> eliminates the need to hand-enter or use any intermediary means to</w:t>
      </w:r>
      <w:r>
        <w:t xml:space="preserve"> enter the requested information. Finally, we will highlight to respondents that NMFS staff are available by phone, email, or in person (at PFMC meetings, port workshops, etc.) to quickly answer any questions so that respondents can complete their response</w:t>
      </w:r>
      <w:r>
        <w:t xml:space="preserve">s in the shortest possible time. </w:t>
      </w:r>
    </w:p>
    <w:p w:rsidR="0003311A">
      <w:pPr>
        <w:spacing w:before="160" w:after="240"/>
      </w:pPr>
    </w:p>
    <w:p w:rsidR="0003311A">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03311A">
      <w:pPr>
        <w:pBdr>
          <w:top w:val="nil"/>
          <w:left w:val="nil"/>
          <w:bottom w:val="nil"/>
          <w:right w:val="nil"/>
          <w:between w:val="nil"/>
        </w:pBdr>
        <w:tabs>
          <w:tab w:val="left" w:pos="360"/>
        </w:tabs>
        <w:spacing w:before="80"/>
      </w:pPr>
      <w:r>
        <w:t>Without the planned data</w:t>
      </w:r>
      <w:r>
        <w:t xml:space="preserve"> collection, NMFS will not be able to design an efficient and cost-effective expanded survey to collect data on fish present in untrawlable habitats along the majority of the U.S. Pacific Coast. This lack of data does and will continue to hinder and constr</w:t>
      </w:r>
      <w:r>
        <w:t>ain the development of an expanded groundfish survey in untrawlable habitats, resulting in costly delays and a significant reduction in the information available to the expansion process. Failure to collect data on multiple, important fish stocks in a time</w:t>
      </w:r>
      <w:r>
        <w:t>ly fashion will have cascading scientific and economic effects on fisheries within the management area. As a result, the stock assessments which inform management decisions will have higher variability and more uncertainty which can cause unnecessary decre</w:t>
      </w:r>
      <w:r>
        <w:t>ases in the allowable catch approved by the Pacific Fishery Management Council if limits are set too high, or potential overfishing and threatened stocks if limits are set too low.</w:t>
      </w:r>
    </w:p>
    <w:p w:rsidR="0003311A">
      <w:pPr>
        <w:pBdr>
          <w:top w:val="nil"/>
          <w:left w:val="nil"/>
          <w:bottom w:val="nil"/>
          <w:right w:val="nil"/>
          <w:between w:val="nil"/>
        </w:pBdr>
        <w:spacing w:before="115"/>
        <w:rPr>
          <w:color w:val="000000"/>
        </w:rPr>
      </w:pPr>
    </w:p>
    <w:p w:rsidR="0003311A">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Explain any special circumstances that would cause an information </w:t>
      </w:r>
      <w:r>
        <w:rPr>
          <w:b/>
          <w:color w:val="000000"/>
        </w:rPr>
        <w:t>collection to be conducted in a manner inconsistent with OMB guidelines.</w:t>
      </w:r>
    </w:p>
    <w:p w:rsidR="0003311A">
      <w:pPr>
        <w:tabs>
          <w:tab w:val="left" w:pos="360"/>
        </w:tabs>
        <w:spacing w:before="80"/>
        <w:rPr>
          <w:b/>
        </w:rPr>
      </w:pPr>
      <w:r>
        <w:t>This collection will be conducted in a manner consistent with OMB guidelines.</w:t>
      </w:r>
    </w:p>
    <w:p w:rsidR="0003311A">
      <w:pPr>
        <w:numPr>
          <w:ilvl w:val="0"/>
          <w:numId w:val="4"/>
        </w:numPr>
        <w:pBdr>
          <w:top w:val="nil"/>
          <w:left w:val="nil"/>
          <w:bottom w:val="nil"/>
          <w:right w:val="nil"/>
          <w:between w:val="nil"/>
        </w:pBdr>
        <w:spacing w:before="120"/>
        <w:ind w:left="720"/>
        <w:rPr>
          <w:color w:val="1F497D"/>
        </w:rPr>
      </w:pPr>
      <w:r>
        <w:rPr>
          <w:color w:val="1F497D"/>
        </w:rPr>
        <w:t>requiring respondents to report information to the agency more often than quarterly;</w:t>
      </w:r>
    </w:p>
    <w:p w:rsidR="0003311A">
      <w:pPr>
        <w:pBdr>
          <w:top w:val="nil"/>
          <w:left w:val="nil"/>
          <w:bottom w:val="nil"/>
          <w:right w:val="nil"/>
          <w:between w:val="nil"/>
        </w:pBdr>
        <w:spacing w:before="120"/>
      </w:pPr>
      <w:r>
        <w:t xml:space="preserve">This is a one-time </w:t>
      </w:r>
      <w:r>
        <w:t>collection.</w:t>
      </w:r>
    </w:p>
    <w:p w:rsidR="0003311A">
      <w:pPr>
        <w:numPr>
          <w:ilvl w:val="0"/>
          <w:numId w:val="4"/>
        </w:numPr>
        <w:pBdr>
          <w:top w:val="nil"/>
          <w:left w:val="nil"/>
          <w:bottom w:val="nil"/>
          <w:right w:val="nil"/>
          <w:between w:val="nil"/>
        </w:pBdr>
        <w:spacing w:before="120"/>
        <w:ind w:left="720"/>
        <w:rPr>
          <w:color w:val="1F497D"/>
        </w:rPr>
      </w:pPr>
      <w:r>
        <w:rPr>
          <w:color w:val="1F497D"/>
        </w:rPr>
        <w:t>requiring respondents to prepare a written response to a collection of information in fewer than 30 days after receipt of it;</w:t>
      </w:r>
    </w:p>
    <w:p w:rsidR="0003311A">
      <w:pPr>
        <w:pBdr>
          <w:top w:val="nil"/>
          <w:left w:val="nil"/>
          <w:bottom w:val="nil"/>
          <w:right w:val="nil"/>
          <w:between w:val="nil"/>
        </w:pBdr>
        <w:spacing w:before="120"/>
      </w:pPr>
      <w:r>
        <w:t>Respondents are not required to prepare a written response.</w:t>
      </w:r>
    </w:p>
    <w:p w:rsidR="0003311A">
      <w:pPr>
        <w:numPr>
          <w:ilvl w:val="0"/>
          <w:numId w:val="4"/>
        </w:numPr>
        <w:pBdr>
          <w:top w:val="nil"/>
          <w:left w:val="nil"/>
          <w:bottom w:val="nil"/>
          <w:right w:val="nil"/>
          <w:between w:val="nil"/>
        </w:pBdr>
        <w:spacing w:before="120"/>
        <w:ind w:left="720"/>
        <w:rPr>
          <w:color w:val="1F497D"/>
        </w:rPr>
      </w:pPr>
      <w:r>
        <w:rPr>
          <w:color w:val="1F497D"/>
        </w:rPr>
        <w:t xml:space="preserve">requiring respondents to submit more than an original and </w:t>
      </w:r>
      <w:r>
        <w:rPr>
          <w:color w:val="1F497D"/>
        </w:rPr>
        <w:t>two copies of any document;</w:t>
      </w:r>
    </w:p>
    <w:p w:rsidR="0003311A">
      <w:pPr>
        <w:pBdr>
          <w:top w:val="nil"/>
          <w:left w:val="nil"/>
          <w:bottom w:val="nil"/>
          <w:right w:val="nil"/>
          <w:between w:val="nil"/>
        </w:pBdr>
        <w:spacing w:before="120"/>
      </w:pPr>
      <w:r>
        <w:t>Respondents are not required to submit any written documents beyond the actual information collection</w:t>
      </w:r>
    </w:p>
    <w:p w:rsidR="0003311A">
      <w:pPr>
        <w:numPr>
          <w:ilvl w:val="0"/>
          <w:numId w:val="4"/>
        </w:numPr>
        <w:pBdr>
          <w:top w:val="nil"/>
          <w:left w:val="nil"/>
          <w:bottom w:val="nil"/>
          <w:right w:val="nil"/>
          <w:between w:val="nil"/>
        </w:pBdr>
        <w:spacing w:before="120"/>
        <w:ind w:left="720"/>
        <w:rPr>
          <w:color w:val="1F497D"/>
        </w:rPr>
      </w:pPr>
      <w:r>
        <w:rPr>
          <w:color w:val="1F497D"/>
        </w:rPr>
        <w:t>requiring respondents to retain records, other than health, medical, government contract, grant-in- aid, or tax records for mo</w:t>
      </w:r>
      <w:r>
        <w:rPr>
          <w:color w:val="1F497D"/>
        </w:rPr>
        <w:t>re than three years;</w:t>
      </w:r>
    </w:p>
    <w:p w:rsidR="0003311A">
      <w:pPr>
        <w:pBdr>
          <w:top w:val="nil"/>
          <w:left w:val="nil"/>
          <w:bottom w:val="nil"/>
          <w:right w:val="nil"/>
          <w:between w:val="nil"/>
        </w:pBdr>
        <w:spacing w:before="120"/>
      </w:pPr>
      <w:r>
        <w:t>Respondents are not required to retain any records.</w:t>
      </w:r>
    </w:p>
    <w:p w:rsidR="0003311A">
      <w:pPr>
        <w:numPr>
          <w:ilvl w:val="0"/>
          <w:numId w:val="4"/>
        </w:numPr>
        <w:pBdr>
          <w:top w:val="nil"/>
          <w:left w:val="nil"/>
          <w:bottom w:val="nil"/>
          <w:right w:val="nil"/>
          <w:between w:val="nil"/>
        </w:pBdr>
        <w:spacing w:before="120"/>
        <w:ind w:left="720"/>
        <w:rPr>
          <w:color w:val="1F497D"/>
        </w:rPr>
      </w:pPr>
      <w:r>
        <w:rPr>
          <w:color w:val="1F497D"/>
        </w:rPr>
        <w:t>in connection with a statistical survey, that is not designed to produce valid and reliable results that can be generalized to the universe of study;</w:t>
      </w:r>
    </w:p>
    <w:p w:rsidR="0003311A">
      <w:pPr>
        <w:pBdr>
          <w:top w:val="nil"/>
          <w:left w:val="nil"/>
          <w:bottom w:val="nil"/>
          <w:right w:val="nil"/>
          <w:between w:val="nil"/>
        </w:pBdr>
        <w:spacing w:before="120"/>
      </w:pPr>
      <w:r>
        <w:t>This is not a statistical informa</w:t>
      </w:r>
      <w:r>
        <w:t>tion collection.</w:t>
      </w:r>
    </w:p>
    <w:p w:rsidR="0003311A">
      <w:pPr>
        <w:numPr>
          <w:ilvl w:val="0"/>
          <w:numId w:val="4"/>
        </w:numPr>
        <w:pBdr>
          <w:top w:val="nil"/>
          <w:left w:val="nil"/>
          <w:bottom w:val="nil"/>
          <w:right w:val="nil"/>
          <w:between w:val="nil"/>
        </w:pBdr>
        <w:spacing w:before="120"/>
        <w:ind w:left="720"/>
        <w:rPr>
          <w:color w:val="1F497D"/>
        </w:rPr>
      </w:pPr>
      <w:r>
        <w:rPr>
          <w:color w:val="1F497D"/>
        </w:rPr>
        <w:t>requiring the use of a statistical data classification that has not been reviewed and approved by OMB;</w:t>
      </w:r>
    </w:p>
    <w:p w:rsidR="0003311A">
      <w:pPr>
        <w:pBdr>
          <w:top w:val="nil"/>
          <w:left w:val="nil"/>
          <w:bottom w:val="nil"/>
          <w:right w:val="nil"/>
          <w:between w:val="nil"/>
        </w:pBdr>
        <w:spacing w:before="120"/>
      </w:pPr>
      <w:r>
        <w:t>No statistical data collection classification system will be used.</w:t>
      </w:r>
    </w:p>
    <w:p w:rsidR="0003311A">
      <w:pPr>
        <w:numPr>
          <w:ilvl w:val="0"/>
          <w:numId w:val="4"/>
        </w:numPr>
        <w:pBdr>
          <w:top w:val="nil"/>
          <w:left w:val="nil"/>
          <w:bottom w:val="nil"/>
          <w:right w:val="nil"/>
          <w:between w:val="nil"/>
        </w:pBdr>
        <w:spacing w:before="120"/>
        <w:ind w:left="720"/>
        <w:rPr>
          <w:color w:val="1F497D"/>
        </w:rPr>
      </w:pPr>
      <w:r>
        <w:rPr>
          <w:color w:val="1F497D"/>
        </w:rPr>
        <w:t>that includes a pledge of confidentiality that is not supported by au</w:t>
      </w:r>
      <w:r>
        <w:rPr>
          <w:color w:val="1F497D"/>
        </w:rPr>
        <w:t xml:space="preserve">thority established in statute or regulation, that is not supported by disclosure and data security policies that are consistent </w:t>
      </w:r>
      <w:r>
        <w:rPr>
          <w:color w:val="1F497D"/>
        </w:rPr>
        <w:t>with the pledge, or which unnecessarily impedes sharing of data with other agencies for compatible confidential use; or</w:t>
      </w:r>
    </w:p>
    <w:p w:rsidR="0003311A">
      <w:pPr>
        <w:pBdr>
          <w:top w:val="nil"/>
          <w:left w:val="nil"/>
          <w:bottom w:val="nil"/>
          <w:right w:val="nil"/>
          <w:between w:val="nil"/>
        </w:pBdr>
        <w:spacing w:before="120"/>
      </w:pPr>
      <w:r>
        <w:t>No pled</w:t>
      </w:r>
      <w:r>
        <w:t>ge of confidentiality is made with regard to this information collection.</w:t>
      </w:r>
    </w:p>
    <w:p w:rsidR="0003311A">
      <w:pPr>
        <w:numPr>
          <w:ilvl w:val="0"/>
          <w:numId w:val="4"/>
        </w:numPr>
        <w:pBdr>
          <w:top w:val="nil"/>
          <w:left w:val="nil"/>
          <w:bottom w:val="nil"/>
          <w:right w:val="nil"/>
          <w:between w:val="nil"/>
        </w:pBdr>
        <w:spacing w:before="120"/>
        <w:ind w:left="720"/>
        <w:rPr>
          <w:color w:val="1F497D"/>
        </w:rPr>
      </w:pPr>
      <w:r>
        <w:rPr>
          <w:color w:val="1F497D"/>
        </w:rPr>
        <w:t>requiring respondents to submit proprietary trade secret, or other confidential information unless the agency can demonstrate that it has instituted procedures to protect the informa</w:t>
      </w:r>
      <w:r>
        <w:rPr>
          <w:color w:val="1F497D"/>
        </w:rPr>
        <w:t>tion's confidentiality to the extent permitted by law.</w:t>
      </w:r>
    </w:p>
    <w:p w:rsidR="0003311A">
      <w:pPr>
        <w:pBdr>
          <w:top w:val="nil"/>
          <w:left w:val="nil"/>
          <w:bottom w:val="nil"/>
          <w:right w:val="nil"/>
          <w:between w:val="nil"/>
        </w:pBdr>
        <w:spacing w:before="120"/>
      </w:pPr>
      <w:r>
        <w:t>Responses are strictly voluntary; respondents are not required to submit proprietary trade secrets or other confidential information.</w:t>
      </w:r>
    </w:p>
    <w:p w:rsidR="0003311A">
      <w:pPr>
        <w:pBdr>
          <w:top w:val="nil"/>
          <w:left w:val="nil"/>
          <w:bottom w:val="nil"/>
          <w:right w:val="nil"/>
          <w:between w:val="nil"/>
        </w:pBdr>
        <w:spacing w:before="80"/>
        <w:rPr>
          <w:color w:val="2F5496"/>
        </w:rPr>
      </w:pPr>
    </w:p>
    <w:p w:rsidR="0003311A">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If applicable, provide a copy and identify the date and page </w:t>
      </w:r>
      <w:r>
        <w:rPr>
          <w:b/>
          <w:color w:val="000000"/>
        </w:rPr>
        <w:t>number of publications in the Federal Register of the agency's notice, required by 5 CFR 1320.8 (d), soliciting comments on the information collection prior to submission to OMB. Summarize public comments received in response to that notice and describe ac</w:t>
      </w:r>
      <w:r>
        <w:rPr>
          <w:b/>
          <w:color w:val="000000"/>
        </w:rPr>
        <w:t>tions taken by the agency in response to these comments. Specifically address comments received on cost and hour burden.</w:t>
      </w:r>
    </w:p>
    <w:p w:rsidR="0003311A">
      <w:pPr>
        <w:pBdr>
          <w:top w:val="nil"/>
          <w:left w:val="nil"/>
          <w:bottom w:val="nil"/>
          <w:right w:val="nil"/>
          <w:between w:val="nil"/>
        </w:pBdr>
        <w:tabs>
          <w:tab w:val="left" w:pos="180"/>
        </w:tabs>
        <w:spacing w:before="80"/>
      </w:pPr>
    </w:p>
    <w:p w:rsidR="0003311A">
      <w:pPr>
        <w:pBdr>
          <w:top w:val="nil"/>
          <w:left w:val="nil"/>
          <w:bottom w:val="nil"/>
          <w:right w:val="nil"/>
          <w:between w:val="nil"/>
        </w:pBdr>
        <w:tabs>
          <w:tab w:val="left" w:pos="180"/>
        </w:tabs>
        <w:spacing w:before="80"/>
      </w:pPr>
      <w:r>
        <w:t>A Federal Register notice published on March 5, 2024 (89 FR</w:t>
      </w:r>
      <w:r w:rsidR="00332463">
        <w:t xml:space="preserve"> 15841</w:t>
      </w:r>
      <w:r>
        <w:t>)</w:t>
      </w:r>
      <w:r w:rsidR="00332463">
        <w:t>. There were no public comments</w:t>
      </w:r>
      <w:r w:rsidR="00984514">
        <w:t xml:space="preserve">. </w:t>
      </w:r>
      <w:r w:rsidRPr="00984514" w:rsidR="00984514">
        <w:t>In addition to the Federal Register notice, NMFS contacted stakeholders outside the agency to obtain their views on the availability of data, frequency of collection, the clarity of instructions and recordkeeping, disclosure, or reporting format, and on the data elements to be recorded, disclosed, or reported. No comments were received.</w:t>
      </w:r>
    </w:p>
    <w:p w:rsidR="0003311A">
      <w:pPr>
        <w:pBdr>
          <w:top w:val="nil"/>
          <w:left w:val="nil"/>
          <w:bottom w:val="nil"/>
          <w:right w:val="nil"/>
          <w:between w:val="nil"/>
        </w:pBdr>
        <w:spacing w:before="159"/>
        <w:rPr>
          <w:color w:val="000000"/>
        </w:rPr>
      </w:pPr>
    </w:p>
    <w:p w:rsidR="0003311A">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w:t>
      </w:r>
      <w:r>
        <w:rPr>
          <w:b/>
          <w:color w:val="000000"/>
        </w:rPr>
        <w:t xml:space="preserve"> contractors or grantees.</w:t>
      </w:r>
    </w:p>
    <w:p w:rsidR="0003311A">
      <w:pPr>
        <w:pBdr>
          <w:top w:val="nil"/>
          <w:left w:val="nil"/>
          <w:bottom w:val="nil"/>
          <w:right w:val="nil"/>
          <w:between w:val="nil"/>
        </w:pBdr>
        <w:spacing w:before="158"/>
      </w:pPr>
      <w:r>
        <w:t xml:space="preserve">We have no plans to provide compensation for participation in this voluntary information collection. </w:t>
      </w:r>
    </w:p>
    <w:p w:rsidR="0003311A">
      <w:pPr>
        <w:pBdr>
          <w:top w:val="nil"/>
          <w:left w:val="nil"/>
          <w:bottom w:val="nil"/>
          <w:right w:val="nil"/>
          <w:between w:val="nil"/>
        </w:pBdr>
        <w:spacing w:before="158"/>
        <w:rPr>
          <w:shd w:val="clear" w:color="auto" w:fill="FCE5CD"/>
        </w:rPr>
      </w:pPr>
    </w:p>
    <w:p w:rsidR="0003311A">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any assurance of confidentiality provided to respondents and the basis for the assurance in statute, regulation, or ag</w:t>
      </w:r>
      <w:r>
        <w:rPr>
          <w:b/>
          <w:color w:val="000000"/>
        </w:rPr>
        <w:t>ency policy. If the collection requires a systems of records notice (SORN) or privacy impact assessment (PIA), those should be cited and described here.</w:t>
      </w:r>
    </w:p>
    <w:p w:rsidR="0003311A">
      <w:pPr>
        <w:pBdr>
          <w:top w:val="nil"/>
          <w:left w:val="nil"/>
          <w:bottom w:val="nil"/>
          <w:right w:val="nil"/>
          <w:between w:val="nil"/>
        </w:pBdr>
        <w:spacing w:before="158"/>
      </w:pPr>
      <w:r>
        <w:t>We do not plan to collect any Personal Identifiable Information (PII) (i.e. Social Security Numbers, et</w:t>
      </w:r>
      <w:r>
        <w:t>c.). Information collected will be compiled and mapped and will not be attributed to any particular respondent.</w:t>
      </w:r>
    </w:p>
    <w:p w:rsidR="0003311A">
      <w:pPr>
        <w:pBdr>
          <w:top w:val="nil"/>
          <w:left w:val="nil"/>
          <w:bottom w:val="nil"/>
          <w:right w:val="nil"/>
          <w:between w:val="nil"/>
        </w:pBdr>
        <w:spacing w:before="158"/>
        <w:ind w:firstLine="720"/>
      </w:pPr>
    </w:p>
    <w:p w:rsidR="0003311A">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additional justification for any questions of a sensitive nature, such as sexual behavior or attitudes, religious beliefs, and other ma</w:t>
      </w:r>
      <w:r>
        <w:rPr>
          <w:b/>
          <w:color w:val="000000"/>
        </w:rPr>
        <w:t>tters that are commonly considered private. This justification should include the reasons why the agency considers the questions necessary, the specific uses to be made of the information, the explanation to be given to persons from whom the information is</w:t>
      </w:r>
      <w:r>
        <w:rPr>
          <w:b/>
          <w:color w:val="000000"/>
        </w:rPr>
        <w:t xml:space="preserve"> requested, and any steps to be taken to obtain their consent.</w:t>
      </w:r>
    </w:p>
    <w:p w:rsidR="0003311A">
      <w:pPr>
        <w:pBdr>
          <w:top w:val="nil"/>
          <w:left w:val="nil"/>
          <w:bottom w:val="nil"/>
          <w:right w:val="nil"/>
          <w:between w:val="nil"/>
        </w:pBdr>
        <w:spacing w:before="80" w:line="259" w:lineRule="auto"/>
      </w:pPr>
    </w:p>
    <w:p w:rsidR="0003311A">
      <w:pPr>
        <w:pBdr>
          <w:top w:val="nil"/>
          <w:left w:val="nil"/>
          <w:bottom w:val="nil"/>
          <w:right w:val="nil"/>
          <w:between w:val="nil"/>
        </w:pBdr>
        <w:spacing w:before="80" w:line="259" w:lineRule="auto"/>
      </w:pPr>
      <w:r>
        <w:t>We do not plan to request any information that is of a personally sensitive nature with this data collection.</w:t>
      </w:r>
    </w:p>
    <w:p w:rsidR="0003311A">
      <w:pPr>
        <w:pBdr>
          <w:top w:val="nil"/>
          <w:left w:val="nil"/>
          <w:bottom w:val="nil"/>
          <w:right w:val="nil"/>
          <w:between w:val="nil"/>
        </w:pBdr>
        <w:spacing w:before="80" w:line="259" w:lineRule="auto"/>
      </w:pPr>
    </w:p>
    <w:p w:rsidR="0003311A">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03311A">
      <w:pPr>
        <w:widowControl/>
        <w:ind w:firstLine="720"/>
        <w:rPr>
          <w:i/>
        </w:rPr>
      </w:pPr>
    </w:p>
    <w:p w:rsidR="0003311A">
      <w:pPr>
        <w:widowControl/>
        <w:numPr>
          <w:ilvl w:val="0"/>
          <w:numId w:val="2"/>
        </w:numPr>
      </w:pPr>
      <w:r>
        <w:rPr>
          <w:i/>
        </w:rPr>
        <w:t>Estimated</w:t>
      </w:r>
      <w:r>
        <w:rPr>
          <w:i/>
        </w:rPr>
        <w:t xml:space="preserve"> Number of Respondents:</w:t>
      </w:r>
      <w:r>
        <w:t xml:space="preserve">  200 (100 primary, 100 secondary).</w:t>
      </w:r>
    </w:p>
    <w:p w:rsidR="0003311A">
      <w:pPr>
        <w:widowControl/>
        <w:numPr>
          <w:ilvl w:val="0"/>
          <w:numId w:val="2"/>
        </w:numPr>
      </w:pPr>
      <w:r>
        <w:rPr>
          <w:i/>
        </w:rPr>
        <w:t>Estimated Time Per Response:</w:t>
      </w:r>
      <w:r>
        <w:t xml:space="preserve">  Response time will vary based upon the number of fishing locations an individual wishes to provide, but we estimate that on average, a response will require approximat</w:t>
      </w:r>
      <w:r>
        <w:t>ely 20 minutes to complete. The range of time per response across all respondents is likely to range from 5 minutes to 60 minutes.</w:t>
      </w:r>
    </w:p>
    <w:p w:rsidR="0003311A">
      <w:pPr>
        <w:widowControl/>
        <w:numPr>
          <w:ilvl w:val="0"/>
          <w:numId w:val="2"/>
        </w:numPr>
      </w:pPr>
      <w:r>
        <w:rPr>
          <w:i/>
        </w:rPr>
        <w:t>Estimated Total Annual Burden Hours:</w:t>
      </w:r>
      <w:r>
        <w:t xml:space="preserve">  Here, we use the projected average time per response of 20 minutes. The estimated total</w:t>
      </w:r>
      <w:r>
        <w:t xml:space="preserve"> annual burden in hours is 200 responses x 20 minutes = 4,000 minutes or 66.7 hours.</w:t>
      </w:r>
    </w:p>
    <w:p w:rsidR="0003311A">
      <w:pPr>
        <w:widowControl/>
        <w:numPr>
          <w:ilvl w:val="0"/>
          <w:numId w:val="2"/>
        </w:numPr>
      </w:pPr>
      <w:r>
        <w:t>Estimated annualized costs to respondents in terms of the opportunity cost of their response time uses the hourly rate of $45.42 for “Ship and Boat Captains and Operators</w:t>
      </w:r>
      <w:r w:rsidR="00A30AA2">
        <w:t xml:space="preserve"> (53-5020)</w:t>
      </w:r>
      <w:r>
        <w:t>”  provided by the U.S. BLS Occupational Employment and Wage Estimates (May 2023)</w:t>
      </w:r>
    </w:p>
    <w:p w:rsidR="0003311A">
      <w:pPr>
        <w:widowControl/>
        <w:numPr>
          <w:ilvl w:val="0"/>
          <w:numId w:val="2"/>
        </w:numPr>
      </w:pPr>
      <w:bookmarkStart w:id="6" w:name="_heading=h.8xiaqu40cgdw" w:colFirst="0" w:colLast="0"/>
      <w:bookmarkEnd w:id="6"/>
      <w:r>
        <w:t xml:space="preserve">Using an average response time of 20 min (0.33 hrs), we estimate average annualized opportunity costs to each respondent of $15.14, and a total $3,029.51 across all </w:t>
      </w:r>
      <w:r>
        <w:t>200 respondents.</w:t>
      </w:r>
    </w:p>
    <w:p w:rsidR="00122CBC">
      <w:pPr>
        <w:spacing w:line="259" w:lineRule="auto"/>
        <w:ind w:hanging="43"/>
        <w:jc w:val="center"/>
        <w:rPr>
          <w:b/>
          <w:color w:val="FF0000"/>
        </w:rPr>
      </w:pPr>
      <w:bookmarkStart w:id="7" w:name="_heading=h.cb9p43btbiws" w:colFirst="0" w:colLast="0"/>
      <w:bookmarkEnd w:id="7"/>
    </w:p>
    <w:p w:rsidR="00122CBC">
      <w:pPr>
        <w:spacing w:line="259" w:lineRule="auto"/>
        <w:ind w:hanging="43"/>
        <w:jc w:val="center"/>
        <w:rPr>
          <w:b/>
          <w:color w:val="FF0000"/>
        </w:rPr>
      </w:pPr>
    </w:p>
    <w:tbl>
      <w:tblPr>
        <w:tblStyle w:val="a6"/>
        <w:tblW w:w="11180" w:type="dxa"/>
        <w:jc w:val="center"/>
        <w:tblLayout w:type="fixed"/>
        <w:tblLook w:val="0400"/>
      </w:tblPr>
      <w:tblGrid>
        <w:gridCol w:w="2080"/>
        <w:gridCol w:w="1820"/>
        <w:gridCol w:w="920"/>
        <w:gridCol w:w="1080"/>
        <w:gridCol w:w="820"/>
        <w:gridCol w:w="820"/>
        <w:gridCol w:w="920"/>
        <w:gridCol w:w="1240"/>
        <w:gridCol w:w="1480"/>
      </w:tblGrid>
      <w:tr w:rsidTr="00247FBD">
        <w:tblPrEx>
          <w:tblW w:w="11180" w:type="dxa"/>
          <w:jc w:val="center"/>
          <w:tblLayout w:type="fixed"/>
          <w:tblLook w:val="0400"/>
        </w:tblPrEx>
        <w:trPr>
          <w:trHeight w:val="1140"/>
          <w:jc w:val="center"/>
        </w:trPr>
        <w:tc>
          <w:tcPr>
            <w:tcW w:w="208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03311A">
            <w:pPr>
              <w:widowControl/>
              <w:jc w:val="center"/>
              <w:rPr>
                <w:rFonts w:ascii="Calibri" w:eastAsia="Calibri" w:hAnsi="Calibri" w:cs="Calibri"/>
                <w:b/>
                <w:sz w:val="16"/>
                <w:szCs w:val="16"/>
              </w:rPr>
            </w:pPr>
            <w:r>
              <w:rPr>
                <w:rFonts w:ascii="Calibri" w:eastAsia="Calibri" w:hAnsi="Calibri" w:cs="Calibri"/>
                <w:b/>
                <w:sz w:val="16"/>
                <w:szCs w:val="16"/>
              </w:rPr>
              <w:t>Information Collection</w:t>
            </w:r>
          </w:p>
        </w:tc>
        <w:tc>
          <w:tcPr>
            <w:tcW w:w="1820" w:type="dxa"/>
            <w:tcBorders>
              <w:top w:val="single" w:sz="8" w:space="0" w:color="000000"/>
              <w:left w:val="nil"/>
              <w:bottom w:val="single" w:sz="8" w:space="0" w:color="000000"/>
              <w:right w:val="single" w:sz="8" w:space="0" w:color="000000"/>
            </w:tcBorders>
            <w:shd w:val="clear" w:color="auto" w:fill="BDD7EE"/>
            <w:vAlign w:val="center"/>
          </w:tcPr>
          <w:p w:rsidR="0003311A">
            <w:pPr>
              <w:widowControl/>
              <w:jc w:val="center"/>
              <w:rPr>
                <w:rFonts w:ascii="Calibri" w:eastAsia="Calibri" w:hAnsi="Calibri" w:cs="Calibri"/>
                <w:b/>
                <w:sz w:val="16"/>
                <w:szCs w:val="16"/>
              </w:rPr>
            </w:pPr>
            <w:r>
              <w:rPr>
                <w:rFonts w:ascii="Calibri" w:eastAsia="Calibri" w:hAnsi="Calibri" w:cs="Calibri"/>
                <w:b/>
                <w:sz w:val="16"/>
                <w:szCs w:val="16"/>
              </w:rPr>
              <w:t>Type of Respondent (e.g., Occupational Title)</w:t>
            </w:r>
          </w:p>
        </w:tc>
        <w:tc>
          <w:tcPr>
            <w:tcW w:w="920" w:type="dxa"/>
            <w:tcBorders>
              <w:top w:val="single" w:sz="8" w:space="0" w:color="000000"/>
              <w:left w:val="nil"/>
              <w:bottom w:val="single" w:sz="8" w:space="0" w:color="000000"/>
              <w:right w:val="single" w:sz="8" w:space="0" w:color="000000"/>
            </w:tcBorders>
            <w:shd w:val="clear" w:color="auto" w:fill="BDD7EE"/>
            <w:vAlign w:val="center"/>
          </w:tcPr>
          <w:p w:rsidR="0003311A">
            <w:pPr>
              <w:widowControl/>
              <w:jc w:val="center"/>
              <w:rPr>
                <w:rFonts w:ascii="Calibri" w:eastAsia="Calibri" w:hAnsi="Calibri" w:cs="Calibri"/>
                <w:b/>
                <w:sz w:val="16"/>
                <w:szCs w:val="16"/>
              </w:rPr>
            </w:pPr>
            <w:r>
              <w:rPr>
                <w:rFonts w:ascii="Calibri" w:eastAsia="Calibri" w:hAnsi="Calibri" w:cs="Calibri"/>
                <w:b/>
                <w:sz w:val="16"/>
                <w:szCs w:val="16"/>
              </w:rPr>
              <w:t># of Respondents/year</w:t>
            </w:r>
            <w:r>
              <w:rPr>
                <w:rFonts w:ascii="Calibri" w:eastAsia="Calibri" w:hAnsi="Calibri" w:cs="Calibri"/>
                <w:b/>
                <w:sz w:val="16"/>
                <w:szCs w:val="16"/>
              </w:rPr>
              <w:br/>
              <w:t>(a)</w:t>
            </w:r>
          </w:p>
        </w:tc>
        <w:tc>
          <w:tcPr>
            <w:tcW w:w="1080" w:type="dxa"/>
            <w:tcBorders>
              <w:top w:val="single" w:sz="8" w:space="0" w:color="000000"/>
              <w:left w:val="nil"/>
              <w:bottom w:val="single" w:sz="8" w:space="0" w:color="000000"/>
              <w:right w:val="single" w:sz="8" w:space="0" w:color="000000"/>
            </w:tcBorders>
            <w:shd w:val="clear" w:color="auto" w:fill="BDD7EE"/>
            <w:vAlign w:val="center"/>
          </w:tcPr>
          <w:p w:rsidR="0003311A">
            <w:pPr>
              <w:widowControl/>
              <w:jc w:val="center"/>
              <w:rPr>
                <w:rFonts w:ascii="Calibri" w:eastAsia="Calibri" w:hAnsi="Calibri" w:cs="Calibri"/>
                <w:b/>
                <w:sz w:val="16"/>
                <w:szCs w:val="16"/>
              </w:rPr>
            </w:pPr>
            <w:r>
              <w:rPr>
                <w:rFonts w:ascii="Calibri" w:eastAsia="Calibri" w:hAnsi="Calibri" w:cs="Calibri"/>
                <w:b/>
                <w:sz w:val="16"/>
                <w:szCs w:val="16"/>
              </w:rPr>
              <w:t>Annual # of Responses / Respondent</w:t>
            </w:r>
            <w:r>
              <w:rPr>
                <w:rFonts w:ascii="Calibri" w:eastAsia="Calibri" w:hAnsi="Calibri" w:cs="Calibri"/>
                <w:b/>
                <w:sz w:val="16"/>
                <w:szCs w:val="16"/>
              </w:rPr>
              <w:br/>
              <w:t>(b)</w:t>
            </w:r>
          </w:p>
        </w:tc>
        <w:tc>
          <w:tcPr>
            <w:tcW w:w="820" w:type="dxa"/>
            <w:tcBorders>
              <w:top w:val="single" w:sz="8" w:space="0" w:color="000000"/>
              <w:left w:val="nil"/>
              <w:bottom w:val="single" w:sz="8" w:space="0" w:color="000000"/>
              <w:right w:val="single" w:sz="8" w:space="0" w:color="000000"/>
            </w:tcBorders>
            <w:shd w:val="clear" w:color="auto" w:fill="BDD7EE"/>
            <w:vAlign w:val="center"/>
          </w:tcPr>
          <w:p w:rsidR="0003311A">
            <w:pPr>
              <w:widowControl/>
              <w:jc w:val="center"/>
              <w:rPr>
                <w:rFonts w:ascii="Calibri" w:eastAsia="Calibri" w:hAnsi="Calibri" w:cs="Calibri"/>
                <w:b/>
                <w:sz w:val="16"/>
                <w:szCs w:val="16"/>
              </w:rPr>
            </w:pPr>
            <w:r>
              <w:rPr>
                <w:rFonts w:ascii="Calibri" w:eastAsia="Calibri" w:hAnsi="Calibri" w:cs="Calibri"/>
                <w:b/>
                <w:sz w:val="16"/>
                <w:szCs w:val="16"/>
              </w:rPr>
              <w:t xml:space="preserve"> Total # of Annual Responses</w:t>
            </w:r>
            <w:r>
              <w:rPr>
                <w:rFonts w:ascii="Calibri" w:eastAsia="Calibri" w:hAnsi="Calibri" w:cs="Calibri"/>
                <w:b/>
                <w:sz w:val="16"/>
                <w:szCs w:val="16"/>
              </w:rPr>
              <w:br/>
              <w:t>(c) = (a) x (b)</w:t>
            </w:r>
          </w:p>
        </w:tc>
        <w:tc>
          <w:tcPr>
            <w:tcW w:w="820" w:type="dxa"/>
            <w:tcBorders>
              <w:top w:val="single" w:sz="8" w:space="0" w:color="000000"/>
              <w:left w:val="nil"/>
              <w:bottom w:val="single" w:sz="8" w:space="0" w:color="000000"/>
              <w:right w:val="single" w:sz="8" w:space="0" w:color="000000"/>
            </w:tcBorders>
            <w:shd w:val="clear" w:color="auto" w:fill="BDD7EE"/>
            <w:vAlign w:val="center"/>
          </w:tcPr>
          <w:p w:rsidR="0003311A">
            <w:pPr>
              <w:widowControl/>
              <w:jc w:val="center"/>
              <w:rPr>
                <w:rFonts w:ascii="Calibri" w:eastAsia="Calibri" w:hAnsi="Calibri" w:cs="Calibri"/>
                <w:b/>
                <w:sz w:val="16"/>
                <w:szCs w:val="16"/>
              </w:rPr>
            </w:pPr>
            <w:r>
              <w:rPr>
                <w:rFonts w:ascii="Calibri" w:eastAsia="Calibri" w:hAnsi="Calibri" w:cs="Calibri"/>
                <w:b/>
                <w:sz w:val="16"/>
                <w:szCs w:val="16"/>
              </w:rPr>
              <w:t>Burden Hrs / Response</w:t>
            </w:r>
            <w:r>
              <w:rPr>
                <w:rFonts w:ascii="Calibri" w:eastAsia="Calibri" w:hAnsi="Calibri" w:cs="Calibri"/>
                <w:b/>
                <w:sz w:val="16"/>
                <w:szCs w:val="16"/>
              </w:rPr>
              <w:br/>
              <w:t>(d)</w:t>
            </w:r>
          </w:p>
        </w:tc>
        <w:tc>
          <w:tcPr>
            <w:tcW w:w="920" w:type="dxa"/>
            <w:tcBorders>
              <w:top w:val="single" w:sz="8" w:space="0" w:color="000000"/>
              <w:left w:val="nil"/>
              <w:bottom w:val="single" w:sz="8" w:space="0" w:color="000000"/>
              <w:right w:val="single" w:sz="8" w:space="0" w:color="000000"/>
            </w:tcBorders>
            <w:shd w:val="clear" w:color="auto" w:fill="BDD7EE"/>
            <w:vAlign w:val="center"/>
          </w:tcPr>
          <w:p w:rsidR="0003311A">
            <w:pPr>
              <w:widowControl/>
              <w:jc w:val="center"/>
              <w:rPr>
                <w:rFonts w:ascii="Calibri" w:eastAsia="Calibri" w:hAnsi="Calibri" w:cs="Calibri"/>
                <w:b/>
                <w:sz w:val="16"/>
                <w:szCs w:val="16"/>
              </w:rPr>
            </w:pPr>
            <w:r>
              <w:rPr>
                <w:rFonts w:ascii="Calibri" w:eastAsia="Calibri" w:hAnsi="Calibri" w:cs="Calibri"/>
                <w:b/>
                <w:sz w:val="16"/>
                <w:szCs w:val="16"/>
              </w:rPr>
              <w:t>Total Annual Burden Hrs</w:t>
            </w:r>
            <w:r>
              <w:rPr>
                <w:rFonts w:ascii="Calibri" w:eastAsia="Calibri" w:hAnsi="Calibri" w:cs="Calibri"/>
                <w:b/>
                <w:sz w:val="16"/>
                <w:szCs w:val="16"/>
              </w:rPr>
              <w:br/>
              <w:t xml:space="preserve">(e) = </w:t>
            </w:r>
            <w:r>
              <w:rPr>
                <w:rFonts w:ascii="Calibri" w:eastAsia="Calibri" w:hAnsi="Calibri" w:cs="Calibri"/>
                <w:b/>
                <w:sz w:val="16"/>
                <w:szCs w:val="16"/>
              </w:rPr>
              <w:t>(c) x (d)</w:t>
            </w:r>
          </w:p>
        </w:tc>
        <w:tc>
          <w:tcPr>
            <w:tcW w:w="1240" w:type="dxa"/>
            <w:tcBorders>
              <w:top w:val="single" w:sz="8" w:space="0" w:color="000000"/>
              <w:left w:val="nil"/>
              <w:bottom w:val="single" w:sz="8" w:space="0" w:color="000000"/>
              <w:right w:val="single" w:sz="8" w:space="0" w:color="000000"/>
            </w:tcBorders>
            <w:shd w:val="clear" w:color="auto" w:fill="BDD7EE"/>
            <w:vAlign w:val="center"/>
          </w:tcPr>
          <w:p w:rsidR="0003311A">
            <w:pPr>
              <w:widowControl/>
              <w:jc w:val="center"/>
              <w:rPr>
                <w:rFonts w:ascii="Calibri" w:eastAsia="Calibri" w:hAnsi="Calibri" w:cs="Calibri"/>
                <w:b/>
                <w:sz w:val="16"/>
                <w:szCs w:val="16"/>
              </w:rPr>
            </w:pPr>
            <w:r>
              <w:rPr>
                <w:rFonts w:ascii="Calibri" w:eastAsia="Calibri" w:hAnsi="Calibri" w:cs="Calibri"/>
                <w:b/>
                <w:sz w:val="16"/>
                <w:szCs w:val="16"/>
              </w:rPr>
              <w:t>Hourly Wage Rate  (for Type of Respondent)</w:t>
            </w:r>
            <w:r>
              <w:rPr>
                <w:rFonts w:ascii="Calibri" w:eastAsia="Calibri" w:hAnsi="Calibri" w:cs="Calibri"/>
                <w:b/>
                <w:sz w:val="16"/>
                <w:szCs w:val="16"/>
              </w:rPr>
              <w:br/>
              <w:t>(f)</w:t>
            </w:r>
          </w:p>
        </w:tc>
        <w:tc>
          <w:tcPr>
            <w:tcW w:w="1480" w:type="dxa"/>
            <w:tcBorders>
              <w:top w:val="single" w:sz="8" w:space="0" w:color="000000"/>
              <w:left w:val="nil"/>
              <w:bottom w:val="single" w:sz="8" w:space="0" w:color="000000"/>
              <w:right w:val="single" w:sz="8" w:space="0" w:color="000000"/>
            </w:tcBorders>
            <w:shd w:val="clear" w:color="auto" w:fill="BDD7EE"/>
            <w:vAlign w:val="center"/>
          </w:tcPr>
          <w:p w:rsidR="0003311A">
            <w:pPr>
              <w:widowControl/>
              <w:jc w:val="center"/>
              <w:rPr>
                <w:rFonts w:ascii="Calibri" w:eastAsia="Calibri" w:hAnsi="Calibri" w:cs="Calibri"/>
                <w:b/>
                <w:sz w:val="16"/>
                <w:szCs w:val="16"/>
              </w:rPr>
            </w:pPr>
            <w:r>
              <w:rPr>
                <w:rFonts w:ascii="Calibri" w:eastAsia="Calibri" w:hAnsi="Calibri" w:cs="Calibri"/>
                <w:b/>
                <w:sz w:val="16"/>
                <w:szCs w:val="16"/>
              </w:rPr>
              <w:t>Total Annual Wage Burden Costs</w:t>
            </w:r>
            <w:r>
              <w:rPr>
                <w:rFonts w:ascii="Calibri" w:eastAsia="Calibri" w:hAnsi="Calibri" w:cs="Calibri"/>
                <w:b/>
                <w:sz w:val="16"/>
                <w:szCs w:val="16"/>
              </w:rPr>
              <w:br/>
              <w:t>(g) = (e) x (f)</w:t>
            </w:r>
          </w:p>
        </w:tc>
      </w:tr>
      <w:tr w:rsidTr="00247FBD">
        <w:tblPrEx>
          <w:tblW w:w="11180" w:type="dxa"/>
          <w:jc w:val="center"/>
          <w:tblLayout w:type="fixed"/>
          <w:tblLook w:val="0400"/>
        </w:tblPrEx>
        <w:trPr>
          <w:trHeight w:val="300"/>
          <w:jc w:val="center"/>
        </w:trPr>
        <w:tc>
          <w:tcPr>
            <w:tcW w:w="2080" w:type="dxa"/>
            <w:tcBorders>
              <w:top w:val="nil"/>
              <w:left w:val="single" w:sz="8" w:space="0" w:color="000000"/>
              <w:bottom w:val="single" w:sz="4" w:space="0" w:color="000000"/>
              <w:right w:val="single" w:sz="4" w:space="0" w:color="000000"/>
            </w:tcBorders>
            <w:shd w:val="clear" w:color="auto" w:fill="auto"/>
          </w:tcPr>
          <w:p w:rsidR="0003311A">
            <w:pPr>
              <w:widowControl/>
              <w:ind w:left="90"/>
              <w:rPr>
                <w:b/>
                <w:sz w:val="18"/>
                <w:szCs w:val="18"/>
              </w:rPr>
            </w:pPr>
            <w:r>
              <w:rPr>
                <w:b/>
                <w:sz w:val="18"/>
                <w:szCs w:val="18"/>
              </w:rPr>
              <w:t>Sites for Potential Untrawlable Habitat Survey</w:t>
            </w:r>
          </w:p>
        </w:tc>
        <w:tc>
          <w:tcPr>
            <w:tcW w:w="1820" w:type="dxa"/>
            <w:tcBorders>
              <w:top w:val="nil"/>
              <w:left w:val="nil"/>
              <w:bottom w:val="single" w:sz="4" w:space="0" w:color="000000"/>
              <w:right w:val="single" w:sz="4" w:space="0" w:color="000000"/>
            </w:tcBorders>
            <w:shd w:val="clear" w:color="auto" w:fill="auto"/>
          </w:tcPr>
          <w:p w:rsidR="00A30AA2">
            <w:pPr>
              <w:widowControl/>
              <w:jc w:val="center"/>
              <w:rPr>
                <w:sz w:val="18"/>
                <w:szCs w:val="18"/>
              </w:rPr>
            </w:pPr>
            <w:r>
              <w:rPr>
                <w:sz w:val="18"/>
                <w:szCs w:val="18"/>
              </w:rPr>
              <w:t>Vessel captain</w:t>
            </w:r>
          </w:p>
          <w:p w:rsidR="0003311A">
            <w:pPr>
              <w:widowControl/>
              <w:jc w:val="center"/>
              <w:rPr>
                <w:sz w:val="18"/>
                <w:szCs w:val="18"/>
              </w:rPr>
            </w:pPr>
            <w:r>
              <w:rPr>
                <w:sz w:val="18"/>
                <w:szCs w:val="18"/>
              </w:rPr>
              <w:t xml:space="preserve"> (53-5020)</w:t>
            </w:r>
          </w:p>
        </w:tc>
        <w:tc>
          <w:tcPr>
            <w:tcW w:w="920" w:type="dxa"/>
            <w:tcBorders>
              <w:top w:val="nil"/>
              <w:left w:val="nil"/>
              <w:bottom w:val="single" w:sz="4" w:space="0" w:color="000000"/>
              <w:right w:val="single" w:sz="4" w:space="0" w:color="000000"/>
            </w:tcBorders>
            <w:shd w:val="clear" w:color="auto" w:fill="auto"/>
          </w:tcPr>
          <w:p w:rsidR="0003311A">
            <w:pPr>
              <w:widowControl/>
              <w:jc w:val="center"/>
              <w:rPr>
                <w:sz w:val="18"/>
                <w:szCs w:val="18"/>
              </w:rPr>
            </w:pPr>
            <w:r>
              <w:rPr>
                <w:sz w:val="18"/>
                <w:szCs w:val="18"/>
              </w:rPr>
              <w:t>200</w:t>
            </w:r>
          </w:p>
        </w:tc>
        <w:tc>
          <w:tcPr>
            <w:tcW w:w="1080" w:type="dxa"/>
            <w:tcBorders>
              <w:top w:val="nil"/>
              <w:left w:val="nil"/>
              <w:bottom w:val="single" w:sz="4" w:space="0" w:color="000000"/>
              <w:right w:val="single" w:sz="4" w:space="0" w:color="000000"/>
            </w:tcBorders>
            <w:shd w:val="clear" w:color="auto" w:fill="auto"/>
          </w:tcPr>
          <w:p w:rsidR="0003311A">
            <w:pPr>
              <w:widowControl/>
              <w:jc w:val="center"/>
              <w:rPr>
                <w:sz w:val="18"/>
                <w:szCs w:val="18"/>
              </w:rPr>
            </w:pPr>
            <w:r>
              <w:rPr>
                <w:sz w:val="18"/>
                <w:szCs w:val="18"/>
              </w:rPr>
              <w:t>1</w:t>
            </w:r>
          </w:p>
        </w:tc>
        <w:tc>
          <w:tcPr>
            <w:tcW w:w="820" w:type="dxa"/>
            <w:tcBorders>
              <w:top w:val="nil"/>
              <w:left w:val="nil"/>
              <w:bottom w:val="single" w:sz="4" w:space="0" w:color="000000"/>
              <w:right w:val="single" w:sz="4" w:space="0" w:color="000000"/>
            </w:tcBorders>
            <w:shd w:val="clear" w:color="auto" w:fill="auto"/>
          </w:tcPr>
          <w:p w:rsidR="0003311A">
            <w:pPr>
              <w:widowControl/>
              <w:jc w:val="center"/>
              <w:rPr>
                <w:sz w:val="18"/>
                <w:szCs w:val="18"/>
              </w:rPr>
            </w:pPr>
            <w:r>
              <w:rPr>
                <w:sz w:val="18"/>
                <w:szCs w:val="18"/>
              </w:rPr>
              <w:t>200</w:t>
            </w:r>
          </w:p>
        </w:tc>
        <w:tc>
          <w:tcPr>
            <w:tcW w:w="820" w:type="dxa"/>
            <w:tcBorders>
              <w:top w:val="nil"/>
              <w:left w:val="nil"/>
              <w:bottom w:val="single" w:sz="4" w:space="0" w:color="000000"/>
              <w:right w:val="single" w:sz="4" w:space="0" w:color="000000"/>
            </w:tcBorders>
            <w:shd w:val="clear" w:color="auto" w:fill="auto"/>
          </w:tcPr>
          <w:p w:rsidR="0003311A">
            <w:pPr>
              <w:widowControl/>
              <w:jc w:val="center"/>
              <w:rPr>
                <w:sz w:val="18"/>
                <w:szCs w:val="18"/>
              </w:rPr>
            </w:pPr>
            <w:r>
              <w:rPr>
                <w:sz w:val="18"/>
                <w:szCs w:val="18"/>
              </w:rPr>
              <w:t>.33</w:t>
            </w:r>
          </w:p>
        </w:tc>
        <w:tc>
          <w:tcPr>
            <w:tcW w:w="920" w:type="dxa"/>
            <w:tcBorders>
              <w:top w:val="nil"/>
              <w:left w:val="nil"/>
              <w:bottom w:val="single" w:sz="4" w:space="0" w:color="000000"/>
              <w:right w:val="single" w:sz="4" w:space="0" w:color="000000"/>
            </w:tcBorders>
            <w:shd w:val="clear" w:color="auto" w:fill="auto"/>
          </w:tcPr>
          <w:p w:rsidR="0003311A">
            <w:pPr>
              <w:widowControl/>
              <w:jc w:val="center"/>
              <w:rPr>
                <w:sz w:val="18"/>
                <w:szCs w:val="18"/>
              </w:rPr>
            </w:pPr>
            <w:r>
              <w:rPr>
                <w:sz w:val="18"/>
                <w:szCs w:val="18"/>
              </w:rPr>
              <w:t>66</w:t>
            </w:r>
          </w:p>
        </w:tc>
        <w:tc>
          <w:tcPr>
            <w:tcW w:w="1240" w:type="dxa"/>
            <w:tcBorders>
              <w:top w:val="nil"/>
              <w:left w:val="nil"/>
              <w:bottom w:val="single" w:sz="4" w:space="0" w:color="000000"/>
              <w:right w:val="single" w:sz="4" w:space="0" w:color="000000"/>
            </w:tcBorders>
            <w:shd w:val="clear" w:color="auto" w:fill="auto"/>
          </w:tcPr>
          <w:p w:rsidR="0003311A">
            <w:pPr>
              <w:widowControl/>
              <w:jc w:val="center"/>
              <w:rPr>
                <w:sz w:val="18"/>
                <w:szCs w:val="18"/>
              </w:rPr>
            </w:pPr>
            <w:r>
              <w:rPr>
                <w:sz w:val="18"/>
                <w:szCs w:val="18"/>
              </w:rPr>
              <w:t>$</w:t>
            </w:r>
            <w:r w:rsidR="008426B8">
              <w:rPr>
                <w:sz w:val="18"/>
                <w:szCs w:val="18"/>
              </w:rPr>
              <w:t>45.42</w:t>
            </w:r>
          </w:p>
        </w:tc>
        <w:tc>
          <w:tcPr>
            <w:tcW w:w="1480" w:type="dxa"/>
            <w:tcBorders>
              <w:top w:val="nil"/>
              <w:left w:val="nil"/>
              <w:bottom w:val="single" w:sz="4" w:space="0" w:color="000000"/>
              <w:right w:val="single" w:sz="8" w:space="0" w:color="000000"/>
            </w:tcBorders>
            <w:shd w:val="clear" w:color="auto" w:fill="auto"/>
          </w:tcPr>
          <w:p w:rsidR="0003311A">
            <w:pPr>
              <w:widowControl/>
              <w:ind w:right="105"/>
              <w:jc w:val="center"/>
              <w:rPr>
                <w:sz w:val="18"/>
                <w:szCs w:val="18"/>
              </w:rPr>
            </w:pPr>
            <w:r>
              <w:rPr>
                <w:sz w:val="18"/>
                <w:szCs w:val="18"/>
              </w:rPr>
              <w:t>$3,029.51</w:t>
            </w:r>
          </w:p>
        </w:tc>
      </w:tr>
      <w:tr w:rsidTr="00247FBD">
        <w:tblPrEx>
          <w:tblW w:w="11180" w:type="dxa"/>
          <w:jc w:val="center"/>
          <w:tblLayout w:type="fixed"/>
          <w:tblLook w:val="0400"/>
        </w:tblPrEx>
        <w:trPr>
          <w:trHeight w:val="345"/>
          <w:jc w:val="center"/>
        </w:trPr>
        <w:tc>
          <w:tcPr>
            <w:tcW w:w="2080" w:type="dxa"/>
            <w:tcBorders>
              <w:top w:val="nil"/>
              <w:left w:val="single" w:sz="8" w:space="0" w:color="000000"/>
              <w:bottom w:val="single" w:sz="8" w:space="0" w:color="000000"/>
              <w:right w:val="single" w:sz="8" w:space="0" w:color="000000"/>
            </w:tcBorders>
            <w:shd w:val="clear" w:color="auto" w:fill="DDEBF7"/>
            <w:vAlign w:val="bottom"/>
          </w:tcPr>
          <w:p w:rsidR="0003311A">
            <w:pPr>
              <w:widowControl/>
              <w:rPr>
                <w:rFonts w:ascii="Calibri" w:eastAsia="Calibri" w:hAnsi="Calibri" w:cs="Calibri"/>
                <w:b/>
                <w:sz w:val="18"/>
                <w:szCs w:val="18"/>
              </w:rPr>
            </w:pPr>
            <w:r>
              <w:rPr>
                <w:rFonts w:ascii="Calibri" w:eastAsia="Calibri" w:hAnsi="Calibri" w:cs="Calibri"/>
                <w:b/>
                <w:sz w:val="18"/>
                <w:szCs w:val="18"/>
              </w:rPr>
              <w:t>Totals</w:t>
            </w:r>
          </w:p>
        </w:tc>
        <w:tc>
          <w:tcPr>
            <w:tcW w:w="1820" w:type="dxa"/>
            <w:tcBorders>
              <w:top w:val="nil"/>
              <w:left w:val="nil"/>
              <w:bottom w:val="single" w:sz="8" w:space="0" w:color="000000"/>
              <w:right w:val="single" w:sz="8" w:space="0" w:color="000000"/>
            </w:tcBorders>
            <w:shd w:val="clear" w:color="auto" w:fill="000000"/>
            <w:vAlign w:val="bottom"/>
          </w:tcPr>
          <w:p w:rsidR="0003311A">
            <w:pPr>
              <w:widowControl/>
              <w:rPr>
                <w:rFonts w:ascii="Calibri" w:eastAsia="Calibri" w:hAnsi="Calibri" w:cs="Calibri"/>
                <w:b/>
                <w:sz w:val="18"/>
                <w:szCs w:val="18"/>
              </w:rPr>
            </w:pPr>
            <w:r>
              <w:rPr>
                <w:rFonts w:ascii="Calibri" w:eastAsia="Calibri" w:hAnsi="Calibri" w:cs="Calibri"/>
                <w:b/>
                <w:sz w:val="18"/>
                <w:szCs w:val="18"/>
              </w:rPr>
              <w:t> </w:t>
            </w:r>
          </w:p>
        </w:tc>
        <w:tc>
          <w:tcPr>
            <w:tcW w:w="920" w:type="dxa"/>
            <w:tcBorders>
              <w:top w:val="nil"/>
              <w:left w:val="nil"/>
              <w:bottom w:val="single" w:sz="8" w:space="0" w:color="000000"/>
              <w:right w:val="single" w:sz="8" w:space="0" w:color="000000"/>
            </w:tcBorders>
            <w:shd w:val="clear" w:color="auto" w:fill="000000"/>
            <w:vAlign w:val="bottom"/>
          </w:tcPr>
          <w:p w:rsidR="0003311A">
            <w:pPr>
              <w:widowControl/>
              <w:rPr>
                <w:rFonts w:ascii="Calibri" w:eastAsia="Calibri" w:hAnsi="Calibri" w:cs="Calibri"/>
                <w:b/>
                <w:sz w:val="18"/>
                <w:szCs w:val="18"/>
              </w:rPr>
            </w:pPr>
            <w:r>
              <w:rPr>
                <w:rFonts w:ascii="Calibri" w:eastAsia="Calibri" w:hAnsi="Calibri" w:cs="Calibri"/>
                <w:b/>
                <w:sz w:val="18"/>
                <w:szCs w:val="18"/>
              </w:rPr>
              <w:t> </w:t>
            </w:r>
          </w:p>
        </w:tc>
        <w:tc>
          <w:tcPr>
            <w:tcW w:w="1080" w:type="dxa"/>
            <w:tcBorders>
              <w:top w:val="nil"/>
              <w:left w:val="nil"/>
              <w:bottom w:val="single" w:sz="8" w:space="0" w:color="000000"/>
              <w:right w:val="single" w:sz="8" w:space="0" w:color="000000"/>
            </w:tcBorders>
            <w:shd w:val="clear" w:color="auto" w:fill="000000"/>
            <w:vAlign w:val="bottom"/>
          </w:tcPr>
          <w:p w:rsidR="0003311A">
            <w:pPr>
              <w:widowControl/>
              <w:rPr>
                <w:rFonts w:ascii="Calibri" w:eastAsia="Calibri" w:hAnsi="Calibri" w:cs="Calibri"/>
                <w:b/>
                <w:sz w:val="18"/>
                <w:szCs w:val="18"/>
              </w:rPr>
            </w:pPr>
            <w:r>
              <w:rPr>
                <w:rFonts w:ascii="Calibri" w:eastAsia="Calibri" w:hAnsi="Calibri" w:cs="Calibri"/>
                <w:b/>
                <w:sz w:val="18"/>
                <w:szCs w:val="18"/>
              </w:rPr>
              <w:t> </w:t>
            </w:r>
          </w:p>
        </w:tc>
        <w:tc>
          <w:tcPr>
            <w:tcW w:w="820" w:type="dxa"/>
            <w:tcBorders>
              <w:top w:val="nil"/>
              <w:left w:val="nil"/>
              <w:bottom w:val="single" w:sz="8" w:space="0" w:color="000000"/>
              <w:right w:val="single" w:sz="8" w:space="0" w:color="000000"/>
            </w:tcBorders>
            <w:shd w:val="clear" w:color="auto" w:fill="DDEBF7"/>
            <w:vAlign w:val="bottom"/>
          </w:tcPr>
          <w:p w:rsidR="0003311A">
            <w:pPr>
              <w:widowControl/>
              <w:jc w:val="center"/>
              <w:rPr>
                <w:rFonts w:ascii="Calibri" w:eastAsia="Calibri" w:hAnsi="Calibri" w:cs="Calibri"/>
                <w:b/>
                <w:sz w:val="18"/>
                <w:szCs w:val="18"/>
              </w:rPr>
            </w:pPr>
            <w:r>
              <w:rPr>
                <w:rFonts w:ascii="Calibri" w:eastAsia="Calibri" w:hAnsi="Calibri" w:cs="Calibri"/>
                <w:b/>
                <w:sz w:val="18"/>
                <w:szCs w:val="18"/>
              </w:rPr>
              <w:t> 200</w:t>
            </w:r>
          </w:p>
        </w:tc>
        <w:tc>
          <w:tcPr>
            <w:tcW w:w="820" w:type="dxa"/>
            <w:tcBorders>
              <w:top w:val="nil"/>
              <w:left w:val="nil"/>
              <w:bottom w:val="single" w:sz="8" w:space="0" w:color="000000"/>
              <w:right w:val="single" w:sz="8" w:space="0" w:color="000000"/>
            </w:tcBorders>
            <w:shd w:val="clear" w:color="auto" w:fill="000000"/>
            <w:vAlign w:val="bottom"/>
          </w:tcPr>
          <w:p w:rsidR="0003311A">
            <w:pPr>
              <w:widowControl/>
              <w:rPr>
                <w:rFonts w:ascii="Calibri" w:eastAsia="Calibri" w:hAnsi="Calibri" w:cs="Calibri"/>
                <w:b/>
                <w:sz w:val="18"/>
                <w:szCs w:val="18"/>
              </w:rPr>
            </w:pPr>
            <w:r>
              <w:rPr>
                <w:rFonts w:ascii="Calibri" w:eastAsia="Calibri" w:hAnsi="Calibri" w:cs="Calibri"/>
                <w:b/>
                <w:sz w:val="18"/>
                <w:szCs w:val="18"/>
              </w:rPr>
              <w:t> </w:t>
            </w:r>
          </w:p>
        </w:tc>
        <w:tc>
          <w:tcPr>
            <w:tcW w:w="920" w:type="dxa"/>
            <w:tcBorders>
              <w:top w:val="nil"/>
              <w:left w:val="nil"/>
              <w:bottom w:val="single" w:sz="8" w:space="0" w:color="000000"/>
              <w:right w:val="single" w:sz="8" w:space="0" w:color="000000"/>
            </w:tcBorders>
            <w:shd w:val="clear" w:color="auto" w:fill="DDEBF7"/>
            <w:vAlign w:val="bottom"/>
          </w:tcPr>
          <w:p w:rsidR="0003311A">
            <w:pPr>
              <w:widowControl/>
              <w:jc w:val="center"/>
              <w:rPr>
                <w:rFonts w:ascii="Calibri" w:eastAsia="Calibri" w:hAnsi="Calibri" w:cs="Calibri"/>
                <w:b/>
                <w:sz w:val="18"/>
                <w:szCs w:val="18"/>
              </w:rPr>
            </w:pPr>
            <w:r>
              <w:rPr>
                <w:rFonts w:ascii="Calibri" w:eastAsia="Calibri" w:hAnsi="Calibri" w:cs="Calibri"/>
                <w:b/>
                <w:sz w:val="18"/>
                <w:szCs w:val="18"/>
              </w:rPr>
              <w:t>66</w:t>
            </w:r>
          </w:p>
        </w:tc>
        <w:tc>
          <w:tcPr>
            <w:tcW w:w="1240" w:type="dxa"/>
            <w:tcBorders>
              <w:top w:val="nil"/>
              <w:left w:val="nil"/>
              <w:bottom w:val="single" w:sz="8" w:space="0" w:color="000000"/>
              <w:right w:val="single" w:sz="8" w:space="0" w:color="000000"/>
            </w:tcBorders>
            <w:shd w:val="clear" w:color="auto" w:fill="000000"/>
            <w:vAlign w:val="bottom"/>
          </w:tcPr>
          <w:p w:rsidR="0003311A">
            <w:pPr>
              <w:widowControl/>
              <w:rPr>
                <w:rFonts w:ascii="Calibri" w:eastAsia="Calibri" w:hAnsi="Calibri" w:cs="Calibri"/>
                <w:b/>
                <w:sz w:val="18"/>
                <w:szCs w:val="18"/>
              </w:rPr>
            </w:pPr>
            <w:r>
              <w:rPr>
                <w:rFonts w:ascii="Calibri" w:eastAsia="Calibri" w:hAnsi="Calibri" w:cs="Calibri"/>
                <w:b/>
                <w:sz w:val="18"/>
                <w:szCs w:val="18"/>
              </w:rPr>
              <w:t> </w:t>
            </w:r>
          </w:p>
        </w:tc>
        <w:tc>
          <w:tcPr>
            <w:tcW w:w="1480" w:type="dxa"/>
            <w:tcBorders>
              <w:top w:val="nil"/>
              <w:left w:val="nil"/>
              <w:bottom w:val="single" w:sz="8" w:space="0" w:color="000000"/>
              <w:right w:val="single" w:sz="8" w:space="0" w:color="000000"/>
            </w:tcBorders>
            <w:shd w:val="clear" w:color="auto" w:fill="DDEBF7"/>
            <w:vAlign w:val="bottom"/>
          </w:tcPr>
          <w:p w:rsidR="0003311A">
            <w:pPr>
              <w:widowControl/>
              <w:ind w:right="105"/>
              <w:jc w:val="center"/>
              <w:rPr>
                <w:rFonts w:ascii="Calibri" w:eastAsia="Calibri" w:hAnsi="Calibri" w:cs="Calibri"/>
                <w:b/>
                <w:sz w:val="18"/>
                <w:szCs w:val="18"/>
              </w:rPr>
            </w:pPr>
            <w:r>
              <w:rPr>
                <w:rFonts w:ascii="Calibri" w:eastAsia="Calibri" w:hAnsi="Calibri" w:cs="Calibri"/>
                <w:b/>
                <w:sz w:val="18"/>
                <w:szCs w:val="18"/>
              </w:rPr>
              <w:t>$3,029.51</w:t>
            </w:r>
          </w:p>
        </w:tc>
      </w:tr>
    </w:tbl>
    <w:p w:rsidR="00481B8A">
      <w:pPr>
        <w:spacing w:line="259" w:lineRule="auto"/>
        <w:rPr>
          <w:bCs/>
        </w:rPr>
      </w:pPr>
    </w:p>
    <w:p w:rsidR="0003311A" w:rsidRPr="00481B8A">
      <w:pPr>
        <w:spacing w:line="259" w:lineRule="auto"/>
      </w:pPr>
      <w:r w:rsidRPr="00481B8A">
        <w:rPr>
          <w:bCs/>
        </w:rPr>
        <w:t>The Occupation Code 53-5020 was used to determine the mean hourly wage rate for respondents.  https://www.bls.gov/oes/current/oes_nat.htm#53-0000</w:t>
      </w:r>
    </w:p>
    <w:p w:rsidR="00122CBC">
      <w:pPr>
        <w:widowControl/>
      </w:pPr>
      <w:bookmarkStart w:id="8" w:name="_heading=h.gtl2wyiukopx" w:colFirst="0" w:colLast="0"/>
      <w:bookmarkEnd w:id="8"/>
    </w:p>
    <w:p w:rsidR="0003311A">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Provide an estimate for </w:t>
      </w:r>
      <w:r>
        <w:rPr>
          <w:b/>
          <w:color w:val="000000"/>
        </w:rPr>
        <w:t>the total annual cost burden to respondents or record keepers resulting from the collection of information. (Do not include the cost of any hour burden already reflected on the burden worksheet).</w:t>
      </w:r>
    </w:p>
    <w:p w:rsidR="0003311A">
      <w:pPr>
        <w:spacing w:before="161" w:line="259" w:lineRule="auto"/>
        <w:rPr>
          <w:b/>
        </w:rPr>
      </w:pPr>
      <w:r>
        <w:t>There are no capital/start-up or ongoing operation/maintenan</w:t>
      </w:r>
      <w:r>
        <w:t xml:space="preserve">ce costs associated with this information collection.  The majority of responses are submitted </w:t>
      </w:r>
      <w:r w:rsidR="00A30AA2">
        <w:t>electronically; we anticipate no other costs to the public unless an individual wishes to return a response via U.S. mail, in which case the cost per individual will be the cost of a postage stamp ($0.68).  Assuming up to 20 responses are submitted via U.S. mail, the total cost to the public for postage will be $13.60.</w:t>
      </w:r>
    </w:p>
    <w:p w:rsidR="0003311A">
      <w:pPr>
        <w:pBdr>
          <w:top w:val="nil"/>
          <w:left w:val="nil"/>
          <w:bottom w:val="nil"/>
          <w:right w:val="nil"/>
          <w:between w:val="nil"/>
        </w:pBdr>
        <w:spacing w:before="7"/>
        <w:rPr>
          <w:b/>
        </w:rPr>
      </w:pPr>
    </w:p>
    <w:p w:rsidR="0003311A">
      <w:pPr>
        <w:pBdr>
          <w:top w:val="nil"/>
          <w:left w:val="nil"/>
          <w:bottom w:val="nil"/>
          <w:right w:val="nil"/>
          <w:between w:val="nil"/>
        </w:pBdr>
        <w:spacing w:before="7"/>
        <w:rPr>
          <w:b/>
        </w:rPr>
      </w:pPr>
    </w:p>
    <w:tbl>
      <w:tblPr>
        <w:tblW w:w="0" w:type="auto"/>
        <w:tblCellMar>
          <w:top w:w="15" w:type="dxa"/>
          <w:left w:w="15" w:type="dxa"/>
          <w:bottom w:w="15" w:type="dxa"/>
          <w:right w:w="15" w:type="dxa"/>
        </w:tblCellMar>
        <w:tblLook w:val="04A0"/>
      </w:tblPr>
      <w:tblGrid>
        <w:gridCol w:w="2433"/>
        <w:gridCol w:w="1589"/>
        <w:gridCol w:w="1793"/>
        <w:gridCol w:w="1494"/>
        <w:gridCol w:w="1473"/>
        <w:gridCol w:w="1278"/>
      </w:tblGrid>
      <w:tr w:rsidTr="00A30AA2">
        <w:tblPrEx>
          <w:tblW w:w="0" w:type="auto"/>
          <w:tblCellMar>
            <w:top w:w="15" w:type="dxa"/>
            <w:left w:w="15" w:type="dxa"/>
            <w:bottom w:w="15" w:type="dxa"/>
            <w:right w:w="15" w:type="dxa"/>
          </w:tblCellMar>
          <w:tblLook w:val="04A0"/>
        </w:tblPrEx>
        <w:trPr>
          <w:trHeight w:val="915"/>
        </w:trPr>
        <w:tc>
          <w:tcPr>
            <w:tcW w:w="0" w:type="auto"/>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A30AA2" w:rsidRPr="00A30AA2" w:rsidP="00A30AA2">
            <w:pPr>
              <w:widowControl/>
              <w:jc w:val="center"/>
            </w:pPr>
            <w:r w:rsidRPr="00A30AA2">
              <w:rPr>
                <w:rFonts w:ascii="Calibri" w:hAnsi="Calibri" w:cs="Calibri"/>
                <w:b/>
                <w:bCs/>
                <w:color w:val="000000"/>
                <w:sz w:val="16"/>
                <w:szCs w:val="16"/>
              </w:rPr>
              <w:t>Information Collection</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A30AA2" w:rsidRPr="00A30AA2" w:rsidP="00A30AA2">
            <w:pPr>
              <w:widowControl/>
              <w:jc w:val="center"/>
            </w:pPr>
            <w:r w:rsidRPr="00A30AA2">
              <w:rPr>
                <w:rFonts w:ascii="Calibri" w:hAnsi="Calibri" w:cs="Calibri"/>
                <w:b/>
                <w:bCs/>
                <w:color w:val="000000"/>
                <w:sz w:val="16"/>
                <w:szCs w:val="16"/>
              </w:rPr>
              <w:t># of Respondents/year</w:t>
            </w:r>
            <w:r w:rsidRPr="00A30AA2">
              <w:rPr>
                <w:rFonts w:ascii="Calibri" w:hAnsi="Calibri" w:cs="Calibri"/>
                <w:b/>
                <w:bCs/>
                <w:color w:val="000000"/>
                <w:sz w:val="16"/>
                <w:szCs w:val="16"/>
              </w:rPr>
              <w:br/>
              <w:t>(a)</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A30AA2" w:rsidRPr="00A30AA2" w:rsidP="00A30AA2">
            <w:pPr>
              <w:widowControl/>
              <w:jc w:val="center"/>
            </w:pPr>
            <w:r w:rsidRPr="00A30AA2">
              <w:rPr>
                <w:rFonts w:ascii="Calibri" w:hAnsi="Calibri" w:cs="Calibri"/>
                <w:b/>
                <w:bCs/>
                <w:color w:val="000000"/>
                <w:sz w:val="16"/>
                <w:szCs w:val="16"/>
              </w:rPr>
              <w:t>Annual # of Responses / Respondent</w:t>
            </w:r>
            <w:r w:rsidRPr="00A30AA2">
              <w:rPr>
                <w:rFonts w:ascii="Calibri" w:hAnsi="Calibri" w:cs="Calibri"/>
                <w:b/>
                <w:bCs/>
                <w:color w:val="000000"/>
                <w:sz w:val="16"/>
                <w:szCs w:val="16"/>
              </w:rPr>
              <w:br/>
              <w:t>(b)</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A30AA2" w:rsidRPr="00A30AA2" w:rsidP="00A30AA2">
            <w:pPr>
              <w:widowControl/>
              <w:jc w:val="center"/>
            </w:pPr>
            <w:r w:rsidRPr="00A30AA2">
              <w:rPr>
                <w:rFonts w:ascii="Calibri" w:hAnsi="Calibri" w:cs="Calibri"/>
                <w:b/>
                <w:bCs/>
                <w:color w:val="000000"/>
                <w:sz w:val="16"/>
                <w:szCs w:val="16"/>
              </w:rPr>
              <w:t xml:space="preserve"> Total</w:t>
            </w:r>
            <w:r w:rsidRPr="00A30AA2">
              <w:rPr>
                <w:rFonts w:ascii="Calibri" w:hAnsi="Calibri" w:cs="Calibri"/>
                <w:b/>
                <w:bCs/>
                <w:color w:val="000000"/>
                <w:sz w:val="16"/>
                <w:szCs w:val="16"/>
              </w:rPr>
              <w:t xml:space="preserve"> # of Annual Responses</w:t>
            </w:r>
            <w:r w:rsidRPr="00A30AA2">
              <w:rPr>
                <w:rFonts w:ascii="Calibri" w:hAnsi="Calibri" w:cs="Calibri"/>
                <w:b/>
                <w:bCs/>
                <w:color w:val="000000"/>
                <w:sz w:val="16"/>
                <w:szCs w:val="16"/>
              </w:rPr>
              <w:br/>
              <w:t>(c) = (a) x (b)</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A30AA2" w:rsidRPr="00A30AA2" w:rsidP="00A30AA2">
            <w:pPr>
              <w:widowControl/>
              <w:jc w:val="center"/>
            </w:pPr>
            <w:r w:rsidRPr="00A30AA2">
              <w:rPr>
                <w:rFonts w:ascii="Calibri" w:hAnsi="Calibri" w:cs="Calibri"/>
                <w:b/>
                <w:bCs/>
                <w:color w:val="000000"/>
                <w:sz w:val="16"/>
                <w:szCs w:val="16"/>
              </w:rPr>
              <w:t>Cost Burden / Respondent</w:t>
            </w:r>
            <w:r w:rsidRPr="00A30AA2">
              <w:rPr>
                <w:rFonts w:ascii="Calibri" w:hAnsi="Calibri" w:cs="Calibri"/>
                <w:b/>
                <w:bCs/>
                <w:color w:val="000000"/>
                <w:sz w:val="16"/>
                <w:szCs w:val="16"/>
              </w:rPr>
              <w:br/>
              <w:t>(h)</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A30AA2" w:rsidRPr="00A30AA2" w:rsidP="00A30AA2">
            <w:pPr>
              <w:widowControl/>
              <w:jc w:val="center"/>
            </w:pPr>
            <w:r w:rsidRPr="00A30AA2">
              <w:rPr>
                <w:rFonts w:ascii="Calibri" w:hAnsi="Calibri" w:cs="Calibri"/>
                <w:b/>
                <w:bCs/>
                <w:color w:val="000000"/>
                <w:sz w:val="16"/>
                <w:szCs w:val="16"/>
              </w:rPr>
              <w:t>Total Annual Cost Burden</w:t>
            </w:r>
            <w:r w:rsidRPr="00A30AA2">
              <w:rPr>
                <w:rFonts w:ascii="Calibri" w:hAnsi="Calibri" w:cs="Calibri"/>
                <w:b/>
                <w:bCs/>
                <w:color w:val="000000"/>
                <w:sz w:val="16"/>
                <w:szCs w:val="16"/>
              </w:rPr>
              <w:br/>
              <w:t>(i) = (c) x (h)</w:t>
            </w:r>
          </w:p>
        </w:tc>
      </w:tr>
      <w:tr w:rsidTr="00A30AA2">
        <w:tblPrEx>
          <w:tblW w:w="0" w:type="auto"/>
          <w:tblCellMar>
            <w:top w:w="15" w:type="dxa"/>
            <w:left w:w="15" w:type="dxa"/>
            <w:bottom w:w="15" w:type="dxa"/>
            <w:right w:w="15" w:type="dxa"/>
          </w:tblCellMar>
          <w:tblLook w:val="04A0"/>
        </w:tblPrEx>
        <w:trPr>
          <w:trHeight w:val="300"/>
        </w:trPr>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30AA2" w:rsidRPr="00A30AA2" w:rsidP="00A30AA2">
            <w:pPr>
              <w:widowControl/>
            </w:pPr>
            <w:r w:rsidRPr="00A30AA2">
              <w:rPr>
                <w:rFonts w:ascii="Calibri" w:hAnsi="Calibri" w:cs="Calibri"/>
                <w:color w:val="000000"/>
                <w:sz w:val="16"/>
                <w:szCs w:val="16"/>
              </w:rPr>
              <w:t> </w:t>
            </w:r>
            <w:r w:rsidR="00442BD9">
              <w:rPr>
                <w:b/>
                <w:sz w:val="18"/>
                <w:szCs w:val="18"/>
              </w:rPr>
              <w:t>Sites for Potential Untrawlable Habitat Survey</w:t>
            </w:r>
          </w:p>
        </w:tc>
        <w:tc>
          <w:tcPr>
            <w:tcW w:w="0" w:type="auto"/>
            <w:tcBorders>
              <w:top w:val="single" w:sz="8"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A30AA2" w:rsidRPr="00A30AA2" w:rsidP="00A30AA2">
            <w:pPr>
              <w:widowControl/>
              <w:jc w:val="right"/>
            </w:pPr>
            <w:r>
              <w:rPr>
                <w:rFonts w:ascii="Calibri" w:hAnsi="Calibri" w:cs="Calibri"/>
                <w:color w:val="000000"/>
                <w:sz w:val="16"/>
                <w:szCs w:val="16"/>
              </w:rPr>
              <w:t>200</w:t>
            </w:r>
            <w:r w:rsidRPr="00A30AA2">
              <w:rPr>
                <w:rFonts w:ascii="Calibri" w:hAnsi="Calibri" w:cs="Calibri"/>
                <w:color w:val="000000"/>
                <w:sz w:val="16"/>
                <w:szCs w:val="16"/>
              </w:rPr>
              <w:t> </w:t>
            </w:r>
          </w:p>
        </w:tc>
        <w:tc>
          <w:tcPr>
            <w:tcW w:w="0" w:type="auto"/>
            <w:tcBorders>
              <w:top w:val="single" w:sz="8"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A30AA2" w:rsidRPr="00A30AA2" w:rsidP="00A30AA2">
            <w:pPr>
              <w:widowControl/>
              <w:jc w:val="right"/>
            </w:pPr>
            <w:r>
              <w:rPr>
                <w:rFonts w:ascii="Calibri" w:hAnsi="Calibri" w:cs="Calibri"/>
                <w:color w:val="000000"/>
                <w:sz w:val="16"/>
                <w:szCs w:val="16"/>
              </w:rPr>
              <w:t>1</w:t>
            </w:r>
            <w:r w:rsidRPr="00A30AA2">
              <w:rPr>
                <w:rFonts w:ascii="Calibri" w:hAnsi="Calibri" w:cs="Calibri"/>
                <w:color w:val="000000"/>
                <w:sz w:val="16"/>
                <w:szCs w:val="16"/>
              </w:rPr>
              <w:t> </w:t>
            </w:r>
          </w:p>
        </w:tc>
        <w:tc>
          <w:tcPr>
            <w:tcW w:w="0" w:type="auto"/>
            <w:tcBorders>
              <w:top w:val="single" w:sz="8"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A30AA2" w:rsidRPr="00A30AA2" w:rsidP="00A30AA2">
            <w:pPr>
              <w:widowControl/>
              <w:jc w:val="right"/>
            </w:pPr>
            <w:r>
              <w:rPr>
                <w:rFonts w:ascii="Calibri" w:hAnsi="Calibri" w:cs="Calibri"/>
                <w:color w:val="000000"/>
                <w:sz w:val="16"/>
                <w:szCs w:val="16"/>
              </w:rPr>
              <w:t>200</w:t>
            </w:r>
            <w:r w:rsidRPr="00A30AA2">
              <w:rPr>
                <w:rFonts w:ascii="Calibri" w:hAnsi="Calibri" w:cs="Calibri"/>
                <w:color w:val="000000"/>
                <w:sz w:val="16"/>
                <w:szCs w:val="16"/>
              </w:rPr>
              <w:t> </w:t>
            </w:r>
          </w:p>
        </w:tc>
        <w:tc>
          <w:tcPr>
            <w:tcW w:w="0" w:type="auto"/>
            <w:tcBorders>
              <w:top w:val="single" w:sz="8"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A30AA2" w:rsidRPr="00A30AA2" w:rsidP="00A30AA2">
            <w:pPr>
              <w:widowControl/>
              <w:jc w:val="right"/>
            </w:pPr>
            <w:r>
              <w:rPr>
                <w:rFonts w:ascii="Calibri" w:hAnsi="Calibri" w:cs="Calibri"/>
                <w:color w:val="000000"/>
                <w:sz w:val="16"/>
                <w:szCs w:val="16"/>
              </w:rPr>
              <w:t>$0.</w:t>
            </w:r>
            <w:r>
              <w:rPr>
                <w:rFonts w:ascii="Calibri" w:hAnsi="Calibri" w:cs="Calibri"/>
                <w:color w:val="000000"/>
                <w:sz w:val="16"/>
                <w:szCs w:val="16"/>
              </w:rPr>
              <w:t>68</w:t>
            </w:r>
            <w:r w:rsidRPr="00A30AA2">
              <w:rPr>
                <w:rFonts w:ascii="Calibri" w:hAnsi="Calibri" w:cs="Calibri"/>
                <w:color w:val="000000"/>
                <w:sz w:val="16"/>
                <w:szCs w:val="16"/>
              </w:rPr>
              <w:t> </w:t>
            </w:r>
          </w:p>
        </w:tc>
        <w:tc>
          <w:tcPr>
            <w:tcW w:w="0" w:type="auto"/>
            <w:tcBorders>
              <w:top w:val="single" w:sz="8" w:space="0" w:color="000000"/>
              <w:left w:val="single" w:sz="4" w:space="0" w:color="000000"/>
              <w:bottom w:val="single" w:sz="4" w:space="0" w:color="000000"/>
              <w:right w:val="single" w:sz="8" w:space="0" w:color="000000"/>
            </w:tcBorders>
            <w:shd w:val="clear" w:color="auto" w:fill="FFFFFF"/>
            <w:tcMar>
              <w:top w:w="0" w:type="dxa"/>
              <w:left w:w="115" w:type="dxa"/>
              <w:bottom w:w="0" w:type="dxa"/>
              <w:right w:w="115" w:type="dxa"/>
            </w:tcMar>
            <w:vAlign w:val="center"/>
            <w:hideMark/>
          </w:tcPr>
          <w:p w:rsidR="00A30AA2" w:rsidRPr="00A30AA2" w:rsidP="00A30AA2">
            <w:pPr>
              <w:widowControl/>
              <w:jc w:val="right"/>
            </w:pPr>
            <w:r>
              <w:rPr>
                <w:rFonts w:ascii="Calibri" w:hAnsi="Calibri" w:cs="Calibri"/>
                <w:color w:val="000000"/>
                <w:sz w:val="16"/>
                <w:szCs w:val="16"/>
              </w:rPr>
              <w:t>$13.60</w:t>
            </w:r>
            <w:r w:rsidRPr="00A30AA2">
              <w:rPr>
                <w:rFonts w:ascii="Calibri" w:hAnsi="Calibri" w:cs="Calibri"/>
                <w:color w:val="000000"/>
                <w:sz w:val="16"/>
                <w:szCs w:val="16"/>
              </w:rPr>
              <w:t> </w:t>
            </w:r>
          </w:p>
        </w:tc>
      </w:tr>
      <w:tr w:rsidTr="00A30AA2">
        <w:tblPrEx>
          <w:tblW w:w="0" w:type="auto"/>
          <w:tblCellMar>
            <w:top w:w="15" w:type="dxa"/>
            <w:left w:w="15" w:type="dxa"/>
            <w:bottom w:w="15" w:type="dxa"/>
            <w:right w:w="15" w:type="dxa"/>
          </w:tblCellMar>
          <w:tblLook w:val="04A0"/>
        </w:tblPrEx>
        <w:trPr>
          <w:trHeight w:val="315"/>
        </w:trPr>
        <w:tc>
          <w:tcPr>
            <w:tcW w:w="0" w:type="auto"/>
            <w:tcBorders>
              <w:top w:val="single" w:sz="8" w:space="0" w:color="000000"/>
              <w:left w:val="single" w:sz="8" w:space="0" w:color="000000"/>
              <w:bottom w:val="single" w:sz="8" w:space="0" w:color="000000"/>
              <w:right w:val="single" w:sz="4" w:space="0" w:color="000000"/>
            </w:tcBorders>
            <w:shd w:val="clear" w:color="auto" w:fill="DDEBF7"/>
            <w:tcMar>
              <w:top w:w="0" w:type="dxa"/>
              <w:left w:w="115" w:type="dxa"/>
              <w:bottom w:w="0" w:type="dxa"/>
              <w:right w:w="115" w:type="dxa"/>
            </w:tcMar>
            <w:vAlign w:val="center"/>
            <w:hideMark/>
          </w:tcPr>
          <w:p w:rsidR="001413EB" w:rsidRPr="00A30AA2" w:rsidP="001413EB">
            <w:pPr>
              <w:widowControl/>
              <w:jc w:val="right"/>
            </w:pPr>
            <w:r w:rsidRPr="00A30AA2">
              <w:rPr>
                <w:rFonts w:ascii="Calibri" w:hAnsi="Calibri" w:cs="Calibri"/>
                <w:b/>
                <w:bCs/>
                <w:color w:val="000000"/>
                <w:sz w:val="16"/>
                <w:szCs w:val="16"/>
              </w:rPr>
              <w:t>TOTALS</w:t>
            </w:r>
          </w:p>
        </w:tc>
        <w:tc>
          <w:tcPr>
            <w:tcW w:w="0" w:type="auto"/>
            <w:tcBorders>
              <w:top w:val="single" w:sz="8" w:space="0" w:color="000000"/>
              <w:left w:val="single" w:sz="4" w:space="0" w:color="000000"/>
              <w:bottom w:val="single" w:sz="8" w:space="0" w:color="000000"/>
              <w:right w:val="single" w:sz="4" w:space="0" w:color="000000"/>
            </w:tcBorders>
            <w:shd w:val="clear" w:color="auto" w:fill="DDEBF7"/>
            <w:tcMar>
              <w:top w:w="0" w:type="dxa"/>
              <w:left w:w="115" w:type="dxa"/>
              <w:bottom w:w="0" w:type="dxa"/>
              <w:right w:w="115" w:type="dxa"/>
            </w:tcMar>
            <w:vAlign w:val="center"/>
            <w:hideMark/>
          </w:tcPr>
          <w:p w:rsidR="001413EB" w:rsidRPr="00A30AA2" w:rsidP="001413EB">
            <w:pPr>
              <w:widowControl/>
              <w:jc w:val="right"/>
            </w:pPr>
            <w:r>
              <w:rPr>
                <w:rFonts w:ascii="Calibri" w:hAnsi="Calibri" w:cs="Calibri"/>
                <w:color w:val="000000"/>
                <w:sz w:val="16"/>
                <w:szCs w:val="16"/>
              </w:rPr>
              <w:t>200</w:t>
            </w:r>
            <w:r w:rsidRPr="00A30AA2">
              <w:rPr>
                <w:rFonts w:ascii="Calibri" w:hAnsi="Calibri" w:cs="Calibri"/>
                <w:color w:val="000000"/>
                <w:sz w:val="16"/>
                <w:szCs w:val="16"/>
              </w:rPr>
              <w:t> </w:t>
            </w:r>
          </w:p>
        </w:tc>
        <w:tc>
          <w:tcPr>
            <w:tcW w:w="0" w:type="auto"/>
            <w:tcBorders>
              <w:top w:val="single" w:sz="8" w:space="0" w:color="000000"/>
              <w:left w:val="single" w:sz="4" w:space="0" w:color="000000"/>
              <w:bottom w:val="single" w:sz="8" w:space="0" w:color="000000"/>
              <w:right w:val="single" w:sz="4" w:space="0" w:color="000000"/>
            </w:tcBorders>
            <w:shd w:val="clear" w:color="auto" w:fill="DDEBF7"/>
            <w:tcMar>
              <w:top w:w="0" w:type="dxa"/>
              <w:left w:w="115" w:type="dxa"/>
              <w:bottom w:w="0" w:type="dxa"/>
              <w:right w:w="115" w:type="dxa"/>
            </w:tcMar>
            <w:vAlign w:val="center"/>
            <w:hideMark/>
          </w:tcPr>
          <w:p w:rsidR="001413EB" w:rsidRPr="00A30AA2" w:rsidP="001413EB">
            <w:pPr>
              <w:widowControl/>
              <w:jc w:val="right"/>
            </w:pPr>
            <w:r>
              <w:rPr>
                <w:rFonts w:ascii="Calibri" w:hAnsi="Calibri" w:cs="Calibri"/>
                <w:color w:val="000000"/>
                <w:sz w:val="16"/>
                <w:szCs w:val="16"/>
              </w:rPr>
              <w:t>1</w:t>
            </w:r>
            <w:r w:rsidRPr="00A30AA2">
              <w:rPr>
                <w:rFonts w:ascii="Calibri" w:hAnsi="Calibri" w:cs="Calibri"/>
                <w:color w:val="000000"/>
                <w:sz w:val="16"/>
                <w:szCs w:val="16"/>
              </w:rPr>
              <w:t> </w:t>
            </w:r>
          </w:p>
        </w:tc>
        <w:tc>
          <w:tcPr>
            <w:tcW w:w="0" w:type="auto"/>
            <w:tcBorders>
              <w:top w:val="single" w:sz="8" w:space="0" w:color="000000"/>
              <w:left w:val="single" w:sz="4" w:space="0" w:color="000000"/>
              <w:bottom w:val="single" w:sz="8" w:space="0" w:color="000000"/>
              <w:right w:val="single" w:sz="4" w:space="0" w:color="000000"/>
            </w:tcBorders>
            <w:shd w:val="clear" w:color="auto" w:fill="DDEBF7"/>
            <w:tcMar>
              <w:top w:w="0" w:type="dxa"/>
              <w:left w:w="115" w:type="dxa"/>
              <w:bottom w:w="0" w:type="dxa"/>
              <w:right w:w="115" w:type="dxa"/>
            </w:tcMar>
            <w:vAlign w:val="center"/>
            <w:hideMark/>
          </w:tcPr>
          <w:p w:rsidR="001413EB" w:rsidRPr="00A30AA2" w:rsidP="001413EB">
            <w:pPr>
              <w:widowControl/>
              <w:jc w:val="right"/>
            </w:pPr>
            <w:r>
              <w:rPr>
                <w:rFonts w:ascii="Calibri" w:hAnsi="Calibri" w:cs="Calibri"/>
                <w:color w:val="000000"/>
                <w:sz w:val="16"/>
                <w:szCs w:val="16"/>
              </w:rPr>
              <w:t>200</w:t>
            </w:r>
            <w:r w:rsidRPr="00A30AA2">
              <w:rPr>
                <w:rFonts w:ascii="Calibri" w:hAnsi="Calibri" w:cs="Calibri"/>
                <w:color w:val="000000"/>
                <w:sz w:val="16"/>
                <w:szCs w:val="16"/>
              </w:rPr>
              <w:t> </w:t>
            </w:r>
          </w:p>
        </w:tc>
        <w:tc>
          <w:tcPr>
            <w:tcW w:w="0" w:type="auto"/>
            <w:tcBorders>
              <w:top w:val="single" w:sz="8" w:space="0" w:color="000000"/>
              <w:left w:val="single" w:sz="4" w:space="0" w:color="000000"/>
              <w:bottom w:val="single" w:sz="8" w:space="0" w:color="000000"/>
              <w:right w:val="single" w:sz="4" w:space="0" w:color="000000"/>
            </w:tcBorders>
            <w:shd w:val="clear" w:color="auto" w:fill="DDEBF7"/>
            <w:tcMar>
              <w:top w:w="0" w:type="dxa"/>
              <w:left w:w="115" w:type="dxa"/>
              <w:bottom w:w="0" w:type="dxa"/>
              <w:right w:w="115" w:type="dxa"/>
            </w:tcMar>
            <w:vAlign w:val="center"/>
            <w:hideMark/>
          </w:tcPr>
          <w:p w:rsidR="001413EB" w:rsidRPr="00A30AA2" w:rsidP="001413EB">
            <w:pPr>
              <w:widowControl/>
              <w:jc w:val="right"/>
            </w:pPr>
            <w:r>
              <w:rPr>
                <w:rFonts w:ascii="Calibri" w:hAnsi="Calibri" w:cs="Calibri"/>
                <w:color w:val="000000"/>
                <w:sz w:val="16"/>
                <w:szCs w:val="16"/>
              </w:rPr>
              <w:t>$0.</w:t>
            </w:r>
            <w:r>
              <w:rPr>
                <w:rFonts w:ascii="Calibri" w:hAnsi="Calibri" w:cs="Calibri"/>
                <w:color w:val="000000"/>
                <w:sz w:val="16"/>
                <w:szCs w:val="16"/>
              </w:rPr>
              <w:t>68</w:t>
            </w:r>
            <w:r w:rsidRPr="00A30AA2">
              <w:rPr>
                <w:rFonts w:ascii="Calibri" w:hAnsi="Calibri" w:cs="Calibri"/>
                <w:color w:val="000000"/>
                <w:sz w:val="16"/>
                <w:szCs w:val="16"/>
              </w:rPr>
              <w:t> </w:t>
            </w:r>
          </w:p>
        </w:tc>
        <w:tc>
          <w:tcPr>
            <w:tcW w:w="0" w:type="auto"/>
            <w:tcBorders>
              <w:top w:val="single" w:sz="8" w:space="0" w:color="000000"/>
              <w:left w:val="single" w:sz="4" w:space="0" w:color="000000"/>
              <w:bottom w:val="single" w:sz="8" w:space="0" w:color="000000"/>
              <w:right w:val="single" w:sz="8" w:space="0" w:color="000000"/>
            </w:tcBorders>
            <w:shd w:val="clear" w:color="auto" w:fill="DDEBF7"/>
            <w:tcMar>
              <w:top w:w="0" w:type="dxa"/>
              <w:left w:w="115" w:type="dxa"/>
              <w:bottom w:w="0" w:type="dxa"/>
              <w:right w:w="115" w:type="dxa"/>
            </w:tcMar>
            <w:vAlign w:val="center"/>
            <w:hideMark/>
          </w:tcPr>
          <w:p w:rsidR="001413EB" w:rsidRPr="00A30AA2" w:rsidP="00D82C5F">
            <w:pPr>
              <w:widowControl/>
              <w:jc w:val="right"/>
            </w:pPr>
            <w:r>
              <w:rPr>
                <w:rFonts w:ascii="Calibri" w:hAnsi="Calibri" w:cs="Calibri"/>
                <w:color w:val="000000"/>
                <w:sz w:val="16"/>
                <w:szCs w:val="16"/>
              </w:rPr>
              <w:t>$</w:t>
            </w:r>
            <w:r w:rsidR="00D82C5F">
              <w:rPr>
                <w:rFonts w:ascii="Calibri" w:hAnsi="Calibri" w:cs="Calibri"/>
                <w:color w:val="000000"/>
                <w:sz w:val="16"/>
                <w:szCs w:val="16"/>
              </w:rPr>
              <w:t>14</w:t>
            </w:r>
            <w:r w:rsidRPr="00A30AA2">
              <w:rPr>
                <w:rFonts w:ascii="Calibri" w:hAnsi="Calibri" w:cs="Calibri"/>
                <w:color w:val="000000"/>
                <w:sz w:val="16"/>
                <w:szCs w:val="16"/>
              </w:rPr>
              <w:t> </w:t>
            </w:r>
          </w:p>
        </w:tc>
      </w:tr>
    </w:tbl>
    <w:p w:rsidR="00247FBD">
      <w:pPr>
        <w:pBdr>
          <w:top w:val="nil"/>
          <w:left w:val="nil"/>
          <w:bottom w:val="nil"/>
          <w:right w:val="nil"/>
          <w:between w:val="nil"/>
        </w:pBdr>
        <w:spacing w:before="7"/>
        <w:rPr>
          <w:b/>
        </w:rPr>
      </w:pPr>
    </w:p>
    <w:p w:rsidR="00247FBD">
      <w:pPr>
        <w:pBdr>
          <w:top w:val="nil"/>
          <w:left w:val="nil"/>
          <w:bottom w:val="nil"/>
          <w:right w:val="nil"/>
          <w:between w:val="nil"/>
        </w:pBdr>
        <w:spacing w:before="7"/>
        <w:rPr>
          <w:b/>
        </w:rPr>
      </w:pPr>
    </w:p>
    <w:p w:rsidR="0003311A">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Provide estimates of annualized cost to the Federal government. Also, provide a description of the method used to estimate cost, which should include quantification of hours, operational expenses (such as equipment, overhead, printing, and support staff), </w:t>
      </w:r>
      <w:r>
        <w:rPr>
          <w:b/>
          <w:color w:val="000000"/>
        </w:rPr>
        <w:t xml:space="preserve">and any other expense that </w:t>
      </w:r>
      <w:r>
        <w:rPr>
          <w:b/>
          <w:color w:val="000000"/>
        </w:rPr>
        <w:t>would not have been incurred without this collection of information.</w:t>
      </w:r>
    </w:p>
    <w:p w:rsidR="0003311A" w:rsidRPr="00481B8A">
      <w:pPr>
        <w:pBdr>
          <w:top w:val="nil"/>
          <w:left w:val="nil"/>
          <w:bottom w:val="nil"/>
          <w:right w:val="nil"/>
          <w:between w:val="nil"/>
        </w:pBdr>
        <w:tabs>
          <w:tab w:val="left" w:pos="360"/>
        </w:tabs>
        <w:spacing w:before="80"/>
      </w:pPr>
      <w:r>
        <w:t>The Commerce Alternate Personnel System (CAPS) pay tables for the Rest of U.S. location was used to determine the base salary</w:t>
      </w:r>
      <w:r w:rsidR="00332463">
        <w:t>.  (</w:t>
      </w:r>
      <w:hyperlink r:id="rId5" w:history="1">
        <w:r w:rsidRPr="00447A9D" w:rsidR="00332463">
          <w:rPr>
            <w:rStyle w:val="Hyperlink"/>
          </w:rPr>
          <w:t>https://www.commerce.gov/sites/default/files/2024-01/CAPS_rpStandard_2024.pdf</w:t>
        </w:r>
      </w:hyperlink>
      <w:r w:rsidR="00332463">
        <w:t>)  The Rest of U.S. location was used as NOAA is geographically dispersed.  A multiplier of 1.5 was used to calculate the loaded salary rate.</w:t>
      </w:r>
    </w:p>
    <w:p w:rsidR="0003311A">
      <w:pPr>
        <w:pBdr>
          <w:top w:val="nil"/>
          <w:left w:val="nil"/>
          <w:bottom w:val="nil"/>
          <w:right w:val="nil"/>
          <w:between w:val="nil"/>
        </w:pBdr>
        <w:spacing w:before="9" w:after="1"/>
        <w:rPr>
          <w:b/>
          <w:color w:val="000000"/>
        </w:rPr>
      </w:pPr>
    </w:p>
    <w:tbl>
      <w:tblPr>
        <w:tblStyle w:val="a7"/>
        <w:tblW w:w="8240" w:type="dxa"/>
        <w:jc w:val="center"/>
        <w:tblLayout w:type="fixed"/>
        <w:tblLook w:val="0400"/>
      </w:tblPr>
      <w:tblGrid>
        <w:gridCol w:w="2280"/>
        <w:gridCol w:w="1120"/>
        <w:gridCol w:w="1140"/>
        <w:gridCol w:w="1120"/>
        <w:gridCol w:w="1280"/>
        <w:gridCol w:w="1300"/>
      </w:tblGrid>
      <w:tr w:rsidTr="00247FBD">
        <w:tblPrEx>
          <w:tblW w:w="8240" w:type="dxa"/>
          <w:jc w:val="center"/>
          <w:tblLayout w:type="fixed"/>
          <w:tblLook w:val="0400"/>
        </w:tblPrEx>
        <w:trPr>
          <w:trHeight w:val="450"/>
          <w:jc w:val="center"/>
        </w:trPr>
        <w:tc>
          <w:tcPr>
            <w:tcW w:w="2280" w:type="dxa"/>
            <w:tcBorders>
              <w:top w:val="single" w:sz="8" w:space="0" w:color="000000"/>
              <w:left w:val="single" w:sz="8" w:space="0" w:color="000000"/>
              <w:bottom w:val="nil"/>
              <w:right w:val="single" w:sz="8" w:space="0" w:color="000000"/>
            </w:tcBorders>
            <w:shd w:val="clear" w:color="auto" w:fill="BDD7EE"/>
            <w:vAlign w:val="center"/>
          </w:tcPr>
          <w:p w:rsidR="0003311A">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Descriptions</w:t>
            </w:r>
          </w:p>
        </w:tc>
        <w:tc>
          <w:tcPr>
            <w:tcW w:w="1120" w:type="dxa"/>
            <w:tcBorders>
              <w:top w:val="single" w:sz="8" w:space="0" w:color="000000"/>
              <w:left w:val="nil"/>
              <w:bottom w:val="nil"/>
              <w:right w:val="single" w:sz="8" w:space="0" w:color="000000"/>
            </w:tcBorders>
            <w:shd w:val="clear" w:color="auto" w:fill="BDD7EE"/>
            <w:vAlign w:val="center"/>
          </w:tcPr>
          <w:p w:rsidR="0003311A">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Grade/Step</w:t>
            </w:r>
          </w:p>
        </w:tc>
        <w:tc>
          <w:tcPr>
            <w:tcW w:w="1140" w:type="dxa"/>
            <w:tcBorders>
              <w:top w:val="single" w:sz="8" w:space="0" w:color="000000"/>
              <w:left w:val="nil"/>
              <w:bottom w:val="nil"/>
              <w:right w:val="single" w:sz="8" w:space="0" w:color="000000"/>
            </w:tcBorders>
            <w:shd w:val="clear" w:color="auto" w:fill="BDD7EE"/>
            <w:vAlign w:val="center"/>
          </w:tcPr>
          <w:p w:rsidR="0003311A">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Loaded Salary /Cost</w:t>
            </w:r>
          </w:p>
        </w:tc>
        <w:tc>
          <w:tcPr>
            <w:tcW w:w="1120" w:type="dxa"/>
            <w:tcBorders>
              <w:top w:val="single" w:sz="8" w:space="0" w:color="000000"/>
              <w:left w:val="nil"/>
              <w:bottom w:val="nil"/>
              <w:right w:val="single" w:sz="8" w:space="0" w:color="000000"/>
            </w:tcBorders>
            <w:shd w:val="clear" w:color="auto" w:fill="BDD7EE"/>
            <w:vAlign w:val="center"/>
          </w:tcPr>
          <w:p w:rsidR="0003311A">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Effort</w:t>
            </w:r>
          </w:p>
        </w:tc>
        <w:tc>
          <w:tcPr>
            <w:tcW w:w="1280" w:type="dxa"/>
            <w:tcBorders>
              <w:top w:val="single" w:sz="8" w:space="0" w:color="000000"/>
              <w:left w:val="nil"/>
              <w:bottom w:val="nil"/>
              <w:right w:val="single" w:sz="8" w:space="0" w:color="000000"/>
            </w:tcBorders>
            <w:shd w:val="clear" w:color="auto" w:fill="BDD7EE"/>
            <w:vAlign w:val="center"/>
          </w:tcPr>
          <w:p w:rsidR="0003311A">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Fringe (if Applicable)</w:t>
            </w:r>
          </w:p>
        </w:tc>
        <w:tc>
          <w:tcPr>
            <w:tcW w:w="1300" w:type="dxa"/>
            <w:tcBorders>
              <w:top w:val="single" w:sz="8" w:space="0" w:color="000000"/>
              <w:left w:val="nil"/>
              <w:bottom w:val="nil"/>
              <w:right w:val="single" w:sz="8" w:space="0" w:color="000000"/>
            </w:tcBorders>
            <w:shd w:val="clear" w:color="auto" w:fill="BDD7EE"/>
            <w:vAlign w:val="center"/>
          </w:tcPr>
          <w:p w:rsidR="0003311A">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Cost to Government</w:t>
            </w:r>
          </w:p>
        </w:tc>
      </w:tr>
      <w:tr w:rsidTr="00247FBD">
        <w:tblPrEx>
          <w:tblW w:w="8240" w:type="dxa"/>
          <w:jc w:val="center"/>
          <w:tblLayout w:type="fixed"/>
          <w:tblLook w:val="0400"/>
        </w:tblPrEx>
        <w:trPr>
          <w:trHeight w:val="465"/>
          <w:jc w:val="center"/>
        </w:trPr>
        <w:tc>
          <w:tcPr>
            <w:tcW w:w="2280" w:type="dxa"/>
            <w:tcBorders>
              <w:top w:val="single" w:sz="4" w:space="0" w:color="000000"/>
              <w:left w:val="single" w:sz="8" w:space="0" w:color="000000"/>
              <w:bottom w:val="single" w:sz="4" w:space="0" w:color="000000"/>
              <w:right w:val="single" w:sz="8" w:space="0" w:color="000000"/>
            </w:tcBorders>
            <w:shd w:val="clear" w:color="auto" w:fill="auto"/>
            <w:vAlign w:val="bottom"/>
          </w:tcPr>
          <w:p w:rsidR="0003311A">
            <w:pPr>
              <w:widowControl/>
              <w:rPr>
                <w:rFonts w:ascii="Calibri" w:eastAsia="Calibri" w:hAnsi="Calibri" w:cs="Calibri"/>
                <w:b/>
                <w:color w:val="000000"/>
                <w:sz w:val="16"/>
                <w:szCs w:val="16"/>
              </w:rPr>
            </w:pPr>
            <w:r>
              <w:rPr>
                <w:rFonts w:ascii="Calibri" w:eastAsia="Calibri" w:hAnsi="Calibri" w:cs="Calibri"/>
                <w:b/>
                <w:color w:val="000000"/>
                <w:sz w:val="16"/>
                <w:szCs w:val="16"/>
              </w:rPr>
              <w:t>Federal Oversight</w:t>
            </w:r>
          </w:p>
        </w:tc>
        <w:tc>
          <w:tcPr>
            <w:tcW w:w="1120" w:type="dxa"/>
            <w:tcBorders>
              <w:top w:val="nil"/>
              <w:left w:val="nil"/>
              <w:bottom w:val="single" w:sz="4" w:space="0" w:color="000000"/>
              <w:right w:val="single" w:sz="4" w:space="0" w:color="000000"/>
            </w:tcBorders>
            <w:shd w:val="clear" w:color="auto" w:fill="auto"/>
            <w:vAlign w:val="bottom"/>
          </w:tcPr>
          <w:p w:rsidR="0003311A">
            <w:pPr>
              <w:widowControl/>
              <w:rPr>
                <w:rFonts w:ascii="Calibri" w:eastAsia="Calibri" w:hAnsi="Calibri" w:cs="Calibri"/>
                <w:sz w:val="16"/>
                <w:szCs w:val="16"/>
              </w:rPr>
            </w:pPr>
            <w:r>
              <w:rPr>
                <w:rFonts w:ascii="Calibri" w:eastAsia="Calibri" w:hAnsi="Calibri" w:cs="Calibri"/>
                <w:sz w:val="16"/>
                <w:szCs w:val="16"/>
              </w:rPr>
              <w:t> ZP3/3</w:t>
            </w:r>
          </w:p>
        </w:tc>
        <w:tc>
          <w:tcPr>
            <w:tcW w:w="1140" w:type="dxa"/>
            <w:tcBorders>
              <w:top w:val="single" w:sz="4" w:space="0" w:color="000000"/>
              <w:left w:val="nil"/>
              <w:bottom w:val="single" w:sz="4" w:space="0" w:color="000000"/>
              <w:right w:val="single" w:sz="4" w:space="0" w:color="000000"/>
            </w:tcBorders>
            <w:shd w:val="clear" w:color="auto" w:fill="auto"/>
            <w:vAlign w:val="bottom"/>
          </w:tcPr>
          <w:p w:rsidR="0003311A">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sz w:val="16"/>
                <w:szCs w:val="16"/>
              </w:rPr>
              <w:t>$169,571</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03311A" w:rsidP="00332463">
            <w:pPr>
              <w:widowControl/>
              <w:ind w:left="38"/>
              <w:rPr>
                <w:rFonts w:ascii="Calibri" w:eastAsia="Calibri" w:hAnsi="Calibri" w:cs="Calibri"/>
                <w:color w:val="000000"/>
                <w:sz w:val="16"/>
                <w:szCs w:val="16"/>
              </w:rPr>
            </w:pPr>
            <w:r>
              <w:rPr>
                <w:rFonts w:ascii="Calibri" w:eastAsia="Calibri" w:hAnsi="Calibri" w:cs="Calibri"/>
                <w:sz w:val="16"/>
                <w:szCs w:val="16"/>
              </w:rPr>
              <w:t>5%</w:t>
            </w:r>
          </w:p>
        </w:tc>
        <w:tc>
          <w:tcPr>
            <w:tcW w:w="1280" w:type="dxa"/>
            <w:tcBorders>
              <w:top w:val="single" w:sz="4" w:space="0" w:color="000000"/>
              <w:left w:val="nil"/>
              <w:bottom w:val="single" w:sz="4" w:space="0" w:color="000000"/>
              <w:right w:val="single" w:sz="4" w:space="0" w:color="000000"/>
            </w:tcBorders>
            <w:shd w:val="clear" w:color="auto" w:fill="808080"/>
            <w:vAlign w:val="bottom"/>
          </w:tcPr>
          <w:p w:rsidR="0003311A">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4" w:space="0" w:color="000000"/>
              <w:left w:val="nil"/>
              <w:bottom w:val="single" w:sz="4" w:space="0" w:color="000000"/>
              <w:right w:val="single" w:sz="8" w:space="0" w:color="000000"/>
            </w:tcBorders>
            <w:shd w:val="clear" w:color="auto" w:fill="auto"/>
            <w:vAlign w:val="bottom"/>
          </w:tcPr>
          <w:p w:rsidR="0003311A">
            <w:pPr>
              <w:widowControl/>
              <w:rPr>
                <w:rFonts w:ascii="Calibri" w:eastAsia="Calibri" w:hAnsi="Calibri" w:cs="Calibri"/>
                <w:color w:val="000000"/>
                <w:sz w:val="16"/>
                <w:szCs w:val="16"/>
              </w:rPr>
            </w:pPr>
            <w:r>
              <w:rPr>
                <w:rFonts w:ascii="Calibri" w:eastAsia="Calibri" w:hAnsi="Calibri" w:cs="Calibri"/>
                <w:color w:val="000000"/>
                <w:sz w:val="16"/>
                <w:szCs w:val="16"/>
              </w:rPr>
              <w:t> $8,479</w:t>
            </w:r>
          </w:p>
        </w:tc>
      </w:tr>
      <w:tr w:rsidTr="00247FBD">
        <w:tblPrEx>
          <w:tblW w:w="8240" w:type="dxa"/>
          <w:jc w:val="center"/>
          <w:tblLayout w:type="fixed"/>
          <w:tblLook w:val="0400"/>
        </w:tblPrEx>
        <w:trPr>
          <w:trHeight w:val="300"/>
          <w:jc w:val="center"/>
        </w:trPr>
        <w:tc>
          <w:tcPr>
            <w:tcW w:w="2280" w:type="dxa"/>
            <w:tcBorders>
              <w:top w:val="nil"/>
              <w:left w:val="single" w:sz="8" w:space="0" w:color="000000"/>
              <w:bottom w:val="single" w:sz="4" w:space="0" w:color="000000"/>
              <w:right w:val="single" w:sz="8" w:space="0" w:color="000000"/>
            </w:tcBorders>
            <w:shd w:val="clear" w:color="auto" w:fill="auto"/>
            <w:vAlign w:val="bottom"/>
          </w:tcPr>
          <w:p w:rsidR="0003311A">
            <w:pPr>
              <w:widowControl/>
              <w:rPr>
                <w:rFonts w:ascii="Calibri" w:eastAsia="Calibri" w:hAnsi="Calibri" w:cs="Calibri"/>
                <w:color w:val="000000"/>
                <w:sz w:val="16"/>
                <w:szCs w:val="16"/>
              </w:rPr>
            </w:pPr>
            <w:r>
              <w:rPr>
                <w:rFonts w:ascii="Calibri" w:eastAsia="Calibri" w:hAnsi="Calibri" w:cs="Calibri"/>
                <w:color w:val="000000"/>
                <w:sz w:val="16"/>
                <w:szCs w:val="16"/>
              </w:rPr>
              <w:t>Other Federal Positions</w:t>
            </w:r>
          </w:p>
        </w:tc>
        <w:tc>
          <w:tcPr>
            <w:tcW w:w="1120" w:type="dxa"/>
            <w:tcBorders>
              <w:top w:val="nil"/>
              <w:left w:val="nil"/>
              <w:bottom w:val="single" w:sz="4" w:space="0" w:color="000000"/>
              <w:right w:val="single" w:sz="4" w:space="0" w:color="000000"/>
            </w:tcBorders>
            <w:shd w:val="clear" w:color="auto" w:fill="auto"/>
            <w:vAlign w:val="bottom"/>
          </w:tcPr>
          <w:p w:rsidR="0003311A">
            <w:pPr>
              <w:widowControl/>
              <w:rPr>
                <w:rFonts w:ascii="Calibri" w:eastAsia="Calibri" w:hAnsi="Calibri" w:cs="Calibri"/>
                <w:sz w:val="16"/>
                <w:szCs w:val="16"/>
              </w:rPr>
            </w:pPr>
            <w:r>
              <w:rPr>
                <w:rFonts w:ascii="Calibri" w:eastAsia="Calibri" w:hAnsi="Calibri" w:cs="Calibri"/>
                <w:sz w:val="16"/>
                <w:szCs w:val="16"/>
              </w:rPr>
              <w:t> ZP3/3</w:t>
            </w:r>
          </w:p>
        </w:tc>
        <w:tc>
          <w:tcPr>
            <w:tcW w:w="1140" w:type="dxa"/>
            <w:tcBorders>
              <w:top w:val="nil"/>
              <w:left w:val="nil"/>
              <w:bottom w:val="single" w:sz="4" w:space="0" w:color="000000"/>
              <w:right w:val="single" w:sz="4" w:space="0" w:color="000000"/>
            </w:tcBorders>
            <w:shd w:val="clear" w:color="auto" w:fill="auto"/>
            <w:vAlign w:val="bottom"/>
          </w:tcPr>
          <w:p w:rsidR="0003311A">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sz w:val="16"/>
                <w:szCs w:val="16"/>
              </w:rPr>
              <w:t>$169,571</w:t>
            </w:r>
          </w:p>
        </w:tc>
        <w:tc>
          <w:tcPr>
            <w:tcW w:w="1120" w:type="dxa"/>
            <w:tcBorders>
              <w:top w:val="nil"/>
              <w:left w:val="nil"/>
              <w:bottom w:val="single" w:sz="4" w:space="0" w:color="000000"/>
              <w:right w:val="single" w:sz="4" w:space="0" w:color="000000"/>
            </w:tcBorders>
            <w:shd w:val="clear" w:color="auto" w:fill="auto"/>
            <w:vAlign w:val="bottom"/>
          </w:tcPr>
          <w:p w:rsidR="0003311A" w:rsidP="00332463">
            <w:pPr>
              <w:widowControl/>
              <w:ind w:left="38"/>
              <w:rPr>
                <w:rFonts w:ascii="Calibri" w:eastAsia="Calibri" w:hAnsi="Calibri" w:cs="Calibri"/>
                <w:color w:val="000000"/>
                <w:sz w:val="16"/>
                <w:szCs w:val="16"/>
              </w:rPr>
            </w:pPr>
            <w:r>
              <w:rPr>
                <w:rFonts w:ascii="Calibri" w:eastAsia="Calibri" w:hAnsi="Calibri" w:cs="Calibri"/>
                <w:sz w:val="16"/>
                <w:szCs w:val="16"/>
              </w:rPr>
              <w:t>5%</w:t>
            </w:r>
          </w:p>
        </w:tc>
        <w:tc>
          <w:tcPr>
            <w:tcW w:w="1280" w:type="dxa"/>
            <w:tcBorders>
              <w:top w:val="nil"/>
              <w:left w:val="nil"/>
              <w:bottom w:val="single" w:sz="4" w:space="0" w:color="000000"/>
              <w:right w:val="single" w:sz="4" w:space="0" w:color="000000"/>
            </w:tcBorders>
            <w:shd w:val="clear" w:color="auto" w:fill="808080"/>
            <w:vAlign w:val="bottom"/>
          </w:tcPr>
          <w:p w:rsidR="0003311A">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03311A">
            <w:pPr>
              <w:widowControl/>
              <w:rPr>
                <w:rFonts w:ascii="Calibri" w:eastAsia="Calibri" w:hAnsi="Calibri" w:cs="Calibri"/>
                <w:color w:val="000000"/>
                <w:sz w:val="16"/>
                <w:szCs w:val="16"/>
              </w:rPr>
            </w:pPr>
            <w:r>
              <w:rPr>
                <w:rFonts w:ascii="Calibri" w:eastAsia="Calibri" w:hAnsi="Calibri" w:cs="Calibri"/>
                <w:color w:val="000000"/>
                <w:sz w:val="16"/>
                <w:szCs w:val="16"/>
              </w:rPr>
              <w:t> $8,479</w:t>
            </w:r>
          </w:p>
        </w:tc>
      </w:tr>
      <w:tr w:rsidTr="00247FBD">
        <w:tblPrEx>
          <w:tblW w:w="8240" w:type="dxa"/>
          <w:jc w:val="center"/>
          <w:tblLayout w:type="fixed"/>
          <w:tblLook w:val="0400"/>
        </w:tblPrEx>
        <w:trPr>
          <w:trHeight w:val="300"/>
          <w:jc w:val="center"/>
        </w:trPr>
        <w:tc>
          <w:tcPr>
            <w:tcW w:w="2280" w:type="dxa"/>
            <w:tcBorders>
              <w:top w:val="nil"/>
              <w:left w:val="single" w:sz="8" w:space="0" w:color="000000"/>
              <w:bottom w:val="single" w:sz="4" w:space="0" w:color="000000"/>
              <w:right w:val="single" w:sz="8" w:space="0" w:color="000000"/>
            </w:tcBorders>
            <w:shd w:val="clear" w:color="auto" w:fill="auto"/>
            <w:vAlign w:val="bottom"/>
          </w:tcPr>
          <w:p w:rsidR="0003311A">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03311A">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sz w:val="16"/>
                <w:szCs w:val="16"/>
              </w:rPr>
              <w:t> ZP3/1</w:t>
            </w:r>
          </w:p>
        </w:tc>
        <w:tc>
          <w:tcPr>
            <w:tcW w:w="1140" w:type="dxa"/>
            <w:tcBorders>
              <w:top w:val="nil"/>
              <w:left w:val="nil"/>
              <w:bottom w:val="single" w:sz="4" w:space="0" w:color="000000"/>
              <w:right w:val="single" w:sz="4" w:space="0" w:color="000000"/>
            </w:tcBorders>
            <w:shd w:val="clear" w:color="auto" w:fill="auto"/>
            <w:vAlign w:val="bottom"/>
          </w:tcPr>
          <w:p w:rsidR="0003311A">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sz w:val="16"/>
                <w:szCs w:val="16"/>
              </w:rPr>
              <w:t>$135,825</w:t>
            </w:r>
          </w:p>
        </w:tc>
        <w:tc>
          <w:tcPr>
            <w:tcW w:w="1120" w:type="dxa"/>
            <w:tcBorders>
              <w:top w:val="nil"/>
              <w:left w:val="nil"/>
              <w:bottom w:val="single" w:sz="4" w:space="0" w:color="000000"/>
              <w:right w:val="single" w:sz="4" w:space="0" w:color="000000"/>
            </w:tcBorders>
            <w:shd w:val="clear" w:color="auto" w:fill="auto"/>
            <w:vAlign w:val="bottom"/>
          </w:tcPr>
          <w:p w:rsidR="0003311A" w:rsidP="00332463">
            <w:pPr>
              <w:widowControl/>
              <w:ind w:left="38"/>
              <w:rPr>
                <w:rFonts w:ascii="Calibri" w:eastAsia="Calibri" w:hAnsi="Calibri" w:cs="Calibri"/>
                <w:color w:val="000000"/>
                <w:sz w:val="16"/>
                <w:szCs w:val="16"/>
              </w:rPr>
            </w:pPr>
            <w:r>
              <w:rPr>
                <w:rFonts w:ascii="Calibri" w:eastAsia="Calibri" w:hAnsi="Calibri" w:cs="Calibri"/>
                <w:sz w:val="16"/>
                <w:szCs w:val="16"/>
              </w:rPr>
              <w:t>5%</w:t>
            </w:r>
          </w:p>
        </w:tc>
        <w:tc>
          <w:tcPr>
            <w:tcW w:w="1280" w:type="dxa"/>
            <w:tcBorders>
              <w:top w:val="nil"/>
              <w:left w:val="nil"/>
              <w:bottom w:val="single" w:sz="4" w:space="0" w:color="000000"/>
              <w:right w:val="single" w:sz="4" w:space="0" w:color="000000"/>
            </w:tcBorders>
            <w:shd w:val="clear" w:color="auto" w:fill="808080"/>
            <w:vAlign w:val="bottom"/>
          </w:tcPr>
          <w:p w:rsidR="0003311A">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03311A">
            <w:pPr>
              <w:widowControl/>
              <w:rPr>
                <w:rFonts w:ascii="Calibri" w:eastAsia="Calibri" w:hAnsi="Calibri" w:cs="Calibri"/>
                <w:color w:val="000000"/>
                <w:sz w:val="16"/>
                <w:szCs w:val="16"/>
              </w:rPr>
            </w:pPr>
            <w:r>
              <w:rPr>
                <w:rFonts w:ascii="Calibri" w:eastAsia="Calibri" w:hAnsi="Calibri" w:cs="Calibri"/>
                <w:color w:val="000000"/>
                <w:sz w:val="16"/>
                <w:szCs w:val="16"/>
              </w:rPr>
              <w:t> $6,791</w:t>
            </w:r>
          </w:p>
        </w:tc>
      </w:tr>
      <w:tr w:rsidTr="00247FBD">
        <w:tblPrEx>
          <w:tblW w:w="8240" w:type="dxa"/>
          <w:jc w:val="center"/>
          <w:tblLayout w:type="fixed"/>
          <w:tblLook w:val="0400"/>
        </w:tblPrEx>
        <w:trPr>
          <w:trHeight w:val="315"/>
          <w:jc w:val="center"/>
        </w:trPr>
        <w:tc>
          <w:tcPr>
            <w:tcW w:w="228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03311A">
            <w:pPr>
              <w:widowControl/>
              <w:rPr>
                <w:rFonts w:ascii="Calibri" w:eastAsia="Calibri" w:hAnsi="Calibri" w:cs="Calibri"/>
                <w:b/>
                <w:color w:val="000000"/>
                <w:sz w:val="16"/>
                <w:szCs w:val="16"/>
              </w:rPr>
            </w:pPr>
            <w:r>
              <w:rPr>
                <w:rFonts w:ascii="Calibri" w:eastAsia="Calibri" w:hAnsi="Calibri" w:cs="Calibri"/>
                <w:b/>
                <w:color w:val="000000"/>
                <w:sz w:val="16"/>
                <w:szCs w:val="16"/>
              </w:rPr>
              <w:t>TOTAL</w:t>
            </w:r>
          </w:p>
        </w:tc>
        <w:tc>
          <w:tcPr>
            <w:tcW w:w="1120" w:type="dxa"/>
            <w:tcBorders>
              <w:top w:val="single" w:sz="8" w:space="0" w:color="000000"/>
              <w:left w:val="nil"/>
              <w:bottom w:val="single" w:sz="8" w:space="0" w:color="000000"/>
              <w:right w:val="single" w:sz="8" w:space="0" w:color="000000"/>
            </w:tcBorders>
            <w:shd w:val="clear" w:color="auto" w:fill="808080"/>
            <w:vAlign w:val="bottom"/>
          </w:tcPr>
          <w:p w:rsidR="0003311A">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single" w:sz="8" w:space="0" w:color="000000"/>
              <w:left w:val="nil"/>
              <w:bottom w:val="single" w:sz="8" w:space="0" w:color="000000"/>
              <w:right w:val="single" w:sz="8" w:space="0" w:color="000000"/>
            </w:tcBorders>
            <w:shd w:val="clear" w:color="auto" w:fill="808080"/>
            <w:vAlign w:val="bottom"/>
          </w:tcPr>
          <w:p w:rsidR="0003311A">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single" w:sz="8" w:space="0" w:color="000000"/>
              <w:left w:val="nil"/>
              <w:bottom w:val="single" w:sz="8" w:space="0" w:color="000000"/>
              <w:right w:val="single" w:sz="8" w:space="0" w:color="000000"/>
            </w:tcBorders>
            <w:shd w:val="clear" w:color="auto" w:fill="757171"/>
            <w:vAlign w:val="bottom"/>
          </w:tcPr>
          <w:p w:rsidR="0003311A">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single" w:sz="8" w:space="0" w:color="000000"/>
              <w:left w:val="nil"/>
              <w:bottom w:val="single" w:sz="8" w:space="0" w:color="000000"/>
              <w:right w:val="single" w:sz="8" w:space="0" w:color="000000"/>
            </w:tcBorders>
            <w:shd w:val="clear" w:color="auto" w:fill="DDEBF7"/>
            <w:vAlign w:val="bottom"/>
          </w:tcPr>
          <w:p w:rsidR="0003311A">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8" w:space="0" w:color="000000"/>
              <w:left w:val="nil"/>
              <w:bottom w:val="single" w:sz="8" w:space="0" w:color="000000"/>
              <w:right w:val="single" w:sz="8" w:space="0" w:color="000000"/>
            </w:tcBorders>
            <w:shd w:val="clear" w:color="auto" w:fill="DDEBF7"/>
            <w:vAlign w:val="bottom"/>
          </w:tcPr>
          <w:p w:rsidR="0003311A" w:rsidRPr="00332463">
            <w:pPr>
              <w:widowControl/>
              <w:rPr>
                <w:rFonts w:ascii="Calibri" w:eastAsia="Calibri" w:hAnsi="Calibri" w:cs="Calibri"/>
                <w:b/>
                <w:color w:val="000000"/>
                <w:sz w:val="16"/>
                <w:szCs w:val="16"/>
              </w:rPr>
            </w:pPr>
            <w:bookmarkStart w:id="9" w:name="_GoBack"/>
            <w:r w:rsidRPr="00332463">
              <w:rPr>
                <w:rFonts w:ascii="Calibri" w:eastAsia="Calibri" w:hAnsi="Calibri" w:cs="Calibri"/>
                <w:b/>
                <w:color w:val="000000"/>
                <w:sz w:val="16"/>
                <w:szCs w:val="16"/>
              </w:rPr>
              <w:t> $23,749</w:t>
            </w:r>
            <w:bookmarkEnd w:id="9"/>
          </w:p>
        </w:tc>
      </w:tr>
    </w:tbl>
    <w:p w:rsidR="0003311A">
      <w:pPr>
        <w:pBdr>
          <w:top w:val="nil"/>
          <w:left w:val="nil"/>
          <w:bottom w:val="nil"/>
          <w:right w:val="nil"/>
          <w:between w:val="nil"/>
        </w:pBdr>
        <w:spacing w:before="9" w:after="1"/>
        <w:rPr>
          <w:b/>
          <w:color w:val="000000"/>
        </w:rPr>
      </w:pPr>
    </w:p>
    <w:p w:rsidR="0003311A">
      <w:pPr>
        <w:pBdr>
          <w:top w:val="nil"/>
          <w:left w:val="nil"/>
          <w:bottom w:val="nil"/>
          <w:right w:val="nil"/>
          <w:between w:val="nil"/>
        </w:pBdr>
        <w:tabs>
          <w:tab w:val="left" w:pos="360"/>
        </w:tabs>
        <w:spacing w:before="80"/>
        <w:rPr>
          <w:b/>
        </w:rPr>
      </w:pPr>
    </w:p>
    <w:p w:rsidR="0003311A">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03311A">
      <w:pPr>
        <w:pBdr>
          <w:top w:val="nil"/>
          <w:left w:val="nil"/>
          <w:bottom w:val="nil"/>
          <w:right w:val="nil"/>
          <w:between w:val="nil"/>
        </w:pBdr>
        <w:spacing w:before="159"/>
        <w:rPr>
          <w:b/>
        </w:rPr>
      </w:pPr>
      <w:r>
        <w:t xml:space="preserve">This is a request for a new information collection, no changes have occurred. </w:t>
      </w:r>
    </w:p>
    <w:p w:rsidR="0003311A">
      <w:pPr>
        <w:pBdr>
          <w:top w:val="nil"/>
          <w:left w:val="nil"/>
          <w:bottom w:val="nil"/>
          <w:right w:val="nil"/>
          <w:between w:val="nil"/>
        </w:pBdr>
        <w:spacing w:before="159"/>
        <w:rPr>
          <w:b/>
        </w:rPr>
      </w:pPr>
    </w:p>
    <w:p w:rsidR="0003311A">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w:t>
      </w:r>
      <w:r>
        <w:rPr>
          <w:b/>
          <w:color w:val="000000"/>
        </w:rPr>
        <w:t>de the time schedule for the entire project, including beginning and ending dates of the collection of information, completion of report, publication dates, and other actions.</w:t>
      </w:r>
    </w:p>
    <w:p w:rsidR="0003311A">
      <w:pPr>
        <w:pBdr>
          <w:top w:val="nil"/>
          <w:left w:val="nil"/>
          <w:bottom w:val="nil"/>
          <w:right w:val="nil"/>
          <w:between w:val="nil"/>
        </w:pBdr>
        <w:spacing w:before="160"/>
      </w:pPr>
      <w:r>
        <w:t xml:space="preserve">The results of this information collection will inform site selection in potential survey expansion, and there are no plans to publish this information. </w:t>
      </w:r>
    </w:p>
    <w:p w:rsidR="0003311A">
      <w:pPr>
        <w:pBdr>
          <w:top w:val="nil"/>
          <w:left w:val="nil"/>
          <w:bottom w:val="nil"/>
          <w:right w:val="nil"/>
          <w:between w:val="nil"/>
        </w:pBdr>
        <w:spacing w:before="160"/>
        <w:rPr>
          <w:color w:val="000000"/>
        </w:rPr>
      </w:pPr>
    </w:p>
    <w:p w:rsidR="0003311A">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w:t>
      </w:r>
      <w:r>
        <w:rPr>
          <w:b/>
          <w:color w:val="000000"/>
        </w:rPr>
        <w:t>, explain the reasons that display would be inappropriate.</w:t>
      </w:r>
    </w:p>
    <w:p w:rsidR="0003311A">
      <w:pPr>
        <w:pBdr>
          <w:top w:val="nil"/>
          <w:left w:val="nil"/>
          <w:bottom w:val="nil"/>
          <w:right w:val="nil"/>
          <w:between w:val="nil"/>
        </w:pBdr>
        <w:spacing w:before="161"/>
        <w:rPr>
          <w:i/>
          <w:color w:val="2F5496"/>
        </w:rPr>
      </w:pPr>
      <w:r>
        <w:t>The agency plans to display the expiration date for OMB approval of the information collection on all instruments.</w:t>
      </w:r>
    </w:p>
    <w:p w:rsidR="0003311A">
      <w:pPr>
        <w:spacing w:before="161"/>
        <w:rPr>
          <w:i/>
        </w:rPr>
      </w:pPr>
    </w:p>
    <w:p w:rsidR="0003311A">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w:t>
      </w:r>
      <w:r>
        <w:rPr>
          <w:b/>
          <w:color w:val="000000"/>
        </w:rPr>
        <w:t>n for Paperwork Reduction Act Submissions."</w:t>
      </w:r>
    </w:p>
    <w:p w:rsidR="0003311A">
      <w:pPr>
        <w:spacing w:before="221" w:line="259" w:lineRule="auto"/>
        <w:jc w:val="both"/>
        <w:rPr>
          <w:b/>
        </w:rPr>
      </w:pPr>
      <w:r>
        <w:t xml:space="preserve">The agency certifies compliance with </w:t>
      </w:r>
      <w:hyperlink r:id="rId6">
        <w:r>
          <w:rPr>
            <w:color w:val="0563C1"/>
            <w:u w:val="single"/>
          </w:rPr>
          <w:t>5 CFR 1320.9</w:t>
        </w:r>
      </w:hyperlink>
      <w:hyperlink r:id="rId6">
        <w:r>
          <w:rPr>
            <w:color w:val="0563C1"/>
          </w:rPr>
          <w:t xml:space="preserve"> </w:t>
        </w:r>
      </w:hyperlink>
      <w:r>
        <w:t xml:space="preserve">and the related provisions of </w:t>
      </w:r>
      <w:hyperlink r:id="rId7">
        <w:r>
          <w:rPr>
            <w:color w:val="0563C1"/>
            <w:u w:val="single"/>
          </w:rPr>
          <w:t>5 CFR</w:t>
        </w:r>
      </w:hyperlink>
      <w:r>
        <w:rPr>
          <w:color w:val="0563C1"/>
        </w:rPr>
        <w:t xml:space="preserve"> </w:t>
      </w:r>
      <w:hyperlink r:id="rId7">
        <w:r>
          <w:rPr>
            <w:color w:val="0563C1"/>
            <w:u w:val="single"/>
          </w:rPr>
          <w:t>1320.8(b)(3)</w:t>
        </w:r>
      </w:hyperlink>
      <w:r>
        <w:t>.</w:t>
      </w:r>
    </w:p>
    <w:p w:rsidR="0003311A">
      <w:pPr>
        <w:pBdr>
          <w:top w:val="nil"/>
          <w:left w:val="nil"/>
          <w:bottom w:val="nil"/>
          <w:right w:val="nil"/>
          <w:between w:val="nil"/>
        </w:pBdr>
        <w:tabs>
          <w:tab w:val="left" w:pos="360"/>
        </w:tabs>
        <w:spacing w:before="80"/>
        <w:rPr>
          <w:b/>
        </w:rPr>
      </w:pPr>
    </w:p>
    <w:p w:rsidR="0003311A">
      <w:pPr>
        <w:spacing w:before="221" w:line="259" w:lineRule="auto"/>
        <w:jc w:val="both"/>
      </w:pPr>
    </w:p>
    <w:p w:rsidR="0003311A">
      <w:pPr>
        <w:spacing w:before="221" w:line="259" w:lineRule="auto"/>
        <w:jc w:val="both"/>
        <w:rPr>
          <w:color w:val="1F497D"/>
        </w:rPr>
      </w:pPr>
      <w:bookmarkStart w:id="10" w:name="_heading=h.gjdgxs" w:colFirst="0" w:colLast="0"/>
      <w:bookmarkEnd w:id="10"/>
    </w:p>
    <w:sectPr>
      <w:footerReference w:type="default" r:id="rId8"/>
      <w:pgSz w:w="12240" w:h="15840"/>
      <w:pgMar w:top="640" w:right="1080" w:bottom="1200" w:left="1080" w:header="0" w:footer="71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311A">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62722E"/>
    <w:multiLevelType w:val="multilevel"/>
    <w:tmpl w:val="52BC868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2B1A38B6"/>
    <w:multiLevelType w:val="multilevel"/>
    <w:tmpl w:val="D77C2C2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
    <w:nsid w:val="54CA05F2"/>
    <w:multiLevelType w:val="multilevel"/>
    <w:tmpl w:val="841C8B14"/>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3">
    <w:nsid w:val="7A9F082D"/>
    <w:multiLevelType w:val="multilevel"/>
    <w:tmpl w:val="8E8885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11A"/>
    <w:rsid w:val="0003311A"/>
    <w:rsid w:val="000B5D81"/>
    <w:rsid w:val="00122CBC"/>
    <w:rsid w:val="001413EB"/>
    <w:rsid w:val="00247FBD"/>
    <w:rsid w:val="00332463"/>
    <w:rsid w:val="00404F90"/>
    <w:rsid w:val="00442BD9"/>
    <w:rsid w:val="00447A9D"/>
    <w:rsid w:val="00481B8A"/>
    <w:rsid w:val="0067218B"/>
    <w:rsid w:val="0067223B"/>
    <w:rsid w:val="007B294A"/>
    <w:rsid w:val="008426B8"/>
    <w:rsid w:val="00984514"/>
    <w:rsid w:val="00A30AA2"/>
    <w:rsid w:val="00A63A60"/>
    <w:rsid w:val="00C92A1F"/>
    <w:rsid w:val="00CA48DA"/>
    <w:rsid w:val="00D82C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02D5A7"/>
  <w15:docId w15:val="{21A33168-DDB8-458A-9599-00870141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table" w:customStyle="1" w:styleId="a6">
    <w:name w:val="a6"/>
    <w:basedOn w:val="TableNormal"/>
    <w:tblPr>
      <w:tblStyleRowBandSize w:val="1"/>
      <w:tblStyleColBandSize w:val="1"/>
      <w:tblCellMar>
        <w:left w:w="0" w:type="dxa"/>
        <w:right w:w="0" w:type="dxa"/>
      </w:tblCellMar>
    </w:tblPr>
  </w:style>
  <w:style w:type="table" w:customStyle="1" w:styleId="a7">
    <w:name w:val="a7"/>
    <w:basedOn w:val="TableNormal"/>
    <w:tblPr>
      <w:tblStyleRowBandSize w:val="1"/>
      <w:tblStyleColBandSize w:val="1"/>
      <w:tblCellMar>
        <w:left w:w="0" w:type="dxa"/>
        <w:right w:w="0" w:type="dxa"/>
      </w:tblCellMar>
    </w:tblPr>
  </w:style>
  <w:style w:type="paragraph" w:styleId="NormalWeb">
    <w:name w:val="Normal (Web)"/>
    <w:basedOn w:val="Normal"/>
    <w:uiPriority w:val="99"/>
    <w:semiHidden/>
    <w:unhideWhenUsed/>
    <w:rsid w:val="00A63A60"/>
    <w:pPr>
      <w:widowControl/>
      <w:spacing w:before="100" w:beforeAutospacing="1" w:after="100" w:afterAutospacing="1"/>
    </w:pPr>
  </w:style>
  <w:style w:type="character" w:styleId="UnresolvedMention">
    <w:name w:val="Unresolved Mention"/>
    <w:basedOn w:val="DefaultParagraphFont"/>
    <w:uiPriority w:val="99"/>
    <w:semiHidden/>
    <w:unhideWhenUsed/>
    <w:rsid w:val="00332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ommerce.gov/sites/default/files/2024-01/CAPS_rpStandard_2024.pdf" TargetMode="External" /><Relationship Id="rId6" Type="http://schemas.openxmlformats.org/officeDocument/2006/relationships/hyperlink" Target="http://www.gpo.gov/fdsys/pkg/CFR-2014-title5-vol3/pdf/CFR-2014-title5-vol3-sec1320-9.pdf" TargetMode="External" /><Relationship Id="rId7" Type="http://schemas.openxmlformats.org/officeDocument/2006/relationships/hyperlink" Target="http://www.gpo.gov/fdsys/pkg/CFR-2014-title5-vol3/pdf/CFR-2014-title5-vol3-sec1320-8.pdf"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pj1aYpQYe2CbImN4FS3+RgWqmQ==">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3298</Words>
  <Characters>18799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22053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4</cp:revision>
  <dcterms:created xsi:type="dcterms:W3CDTF">2025-02-28T14:57:00Z</dcterms:created>
  <dcterms:modified xsi:type="dcterms:W3CDTF">2025-02-28T15:09:00Z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