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92B6C" w:rsidRPr="00601B1F" w:rsidP="00B92B6C" w14:paraId="7BB40C3E" w14:textId="64A7BCE2">
      <w:pPr>
        <w:spacing w:after="200" w:line="276" w:lineRule="auto"/>
        <w:rPr>
          <w:rFonts w:eastAsia="Calibri"/>
        </w:rPr>
      </w:pPr>
      <w:r w:rsidRPr="00B92B6C">
        <w:rPr>
          <w:rFonts w:eastAsia="Calibri"/>
          <w:b/>
        </w:rPr>
        <w:t>DATE:</w:t>
      </w:r>
      <w:r w:rsidRPr="00B92B6C">
        <w:rPr>
          <w:rFonts w:eastAsia="Calibri"/>
        </w:rPr>
        <w:tab/>
      </w:r>
      <w:r w:rsidRPr="00B92B6C">
        <w:rPr>
          <w:rFonts w:eastAsia="Calibri"/>
        </w:rPr>
        <w:tab/>
      </w:r>
      <w:r w:rsidRPr="00601B1F" w:rsidR="00601B1F">
        <w:rPr>
          <w:rFonts w:eastAsia="Calibri"/>
        </w:rPr>
        <w:t>12/4/2024</w:t>
      </w:r>
    </w:p>
    <w:p w:rsidR="00B92B6C" w:rsidRPr="00601B1F" w:rsidP="00B92B6C" w14:paraId="4546AFDE" w14:textId="64407E25">
      <w:pPr>
        <w:spacing w:after="200" w:line="276" w:lineRule="auto"/>
        <w:rPr>
          <w:rFonts w:eastAsia="Calibri"/>
        </w:rPr>
      </w:pPr>
      <w:r w:rsidRPr="00601B1F">
        <w:rPr>
          <w:rFonts w:eastAsia="Calibri"/>
          <w:b/>
        </w:rPr>
        <w:t>TO:</w:t>
      </w:r>
      <w:r w:rsidRPr="00601B1F">
        <w:rPr>
          <w:rFonts w:eastAsia="Calibri"/>
        </w:rPr>
        <w:tab/>
      </w:r>
      <w:r w:rsidRPr="00601B1F">
        <w:rPr>
          <w:rFonts w:eastAsia="Calibri"/>
        </w:rPr>
        <w:tab/>
      </w:r>
      <w:r w:rsidRPr="00601B1F">
        <w:rPr>
          <w:rFonts w:eastAsia="Calibri"/>
        </w:rPr>
        <w:tab/>
      </w:r>
      <w:r w:rsidRPr="00601B1F" w:rsidR="00601B1F">
        <w:rPr>
          <w:rFonts w:eastAsia="Calibri"/>
        </w:rPr>
        <w:t>Dan Cline</w:t>
      </w:r>
      <w:r w:rsidRPr="00601B1F">
        <w:rPr>
          <w:rFonts w:eastAsia="Calibri"/>
        </w:rPr>
        <w:t>, OMB Desk Officer</w:t>
      </w:r>
    </w:p>
    <w:p w:rsidR="00B92B6C" w:rsidRPr="00B92B6C" w:rsidP="00B92B6C" w14:paraId="77BC1D71" w14:textId="188ED2C8">
      <w:pPr>
        <w:spacing w:after="200" w:line="276" w:lineRule="auto"/>
        <w:rPr>
          <w:rFonts w:eastAsia="Calibri"/>
        </w:rPr>
      </w:pPr>
      <w:r w:rsidRPr="00601B1F">
        <w:rPr>
          <w:rFonts w:eastAsia="Calibri"/>
          <w:b/>
        </w:rPr>
        <w:t>FROM:</w:t>
      </w:r>
      <w:r w:rsidRPr="00601B1F">
        <w:rPr>
          <w:rFonts w:eastAsia="Calibri"/>
        </w:rPr>
        <w:tab/>
      </w:r>
      <w:r w:rsidRPr="00601B1F">
        <w:rPr>
          <w:rFonts w:eastAsia="Calibri"/>
        </w:rPr>
        <w:tab/>
      </w:r>
      <w:r w:rsidRPr="00601B1F" w:rsidR="00601B1F">
        <w:rPr>
          <w:rFonts w:eastAsia="Calibri"/>
        </w:rPr>
        <w:t>Joella Roland</w:t>
      </w:r>
      <w:r w:rsidRPr="00601B1F">
        <w:rPr>
          <w:rFonts w:eastAsia="Calibri"/>
        </w:rPr>
        <w:t>, HRSA Information Collection Clearance Officer</w:t>
      </w:r>
    </w:p>
    <w:p w:rsidR="00B92B6C" w:rsidRPr="00B92B6C" w:rsidP="00B92B6C" w14:paraId="06C26FDD" w14:textId="77777777">
      <w:pPr>
        <w:spacing w:after="200" w:line="276" w:lineRule="auto"/>
        <w:ind w:left="2160" w:hanging="2160"/>
        <w:rPr>
          <w:rFonts w:eastAsia="Calibri"/>
          <w:b/>
        </w:rPr>
      </w:pPr>
      <w:r w:rsidRPr="00B92B6C">
        <w:rPr>
          <w:rFonts w:eastAsia="Calibri"/>
          <w:b/>
        </w:rPr>
        <w:t>______________________________________________________________________________</w:t>
      </w:r>
    </w:p>
    <w:p w:rsidR="00B92B6C" w:rsidRPr="00B92B6C" w:rsidP="00B92B6C" w14:paraId="6C4A35D8" w14:textId="003C2E46">
      <w:pPr>
        <w:spacing w:after="200" w:line="276" w:lineRule="auto"/>
        <w:ind w:left="2160" w:hanging="2160"/>
        <w:rPr>
          <w:rFonts w:eastAsia="Calibri"/>
        </w:rPr>
      </w:pPr>
      <w:r w:rsidRPr="6C867B1B">
        <w:rPr>
          <w:rFonts w:eastAsia="Calibri"/>
          <w:b/>
          <w:bCs/>
        </w:rPr>
        <w:t>Request</w:t>
      </w:r>
      <w:r w:rsidRPr="6C867B1B">
        <w:rPr>
          <w:rFonts w:eastAsia="Calibri"/>
        </w:rPr>
        <w:t xml:space="preserve">: </w:t>
      </w:r>
      <w:r>
        <w:tab/>
      </w:r>
      <w:r w:rsidRPr="6C867B1B">
        <w:rPr>
          <w:rFonts w:eastAsia="Calibri"/>
        </w:rPr>
        <w:t>The Health Resources and Services Administration (HRSA)</w:t>
      </w:r>
      <w:r w:rsidR="00601B1F">
        <w:rPr>
          <w:rFonts w:eastAsia="Calibri"/>
        </w:rPr>
        <w:t xml:space="preserve">, </w:t>
      </w:r>
      <w:r w:rsidR="00654000">
        <w:rPr>
          <w:rFonts w:eastAsia="Calibri"/>
        </w:rPr>
        <w:t>Maternal and Child Health Bureau</w:t>
      </w:r>
      <w:r w:rsidRPr="6C867B1B" w:rsidR="07E4B64C">
        <w:rPr>
          <w:rFonts w:eastAsia="Calibri"/>
        </w:rPr>
        <w:t xml:space="preserve"> </w:t>
      </w:r>
      <w:r w:rsidRPr="6C867B1B">
        <w:rPr>
          <w:rFonts w:eastAsia="Calibri"/>
        </w:rPr>
        <w:t xml:space="preserve">requests approval for </w:t>
      </w:r>
      <w:r w:rsidR="00601B1F">
        <w:rPr>
          <w:rFonts w:eastAsia="Calibri"/>
        </w:rPr>
        <w:t xml:space="preserve">non-substantive </w:t>
      </w:r>
      <w:r w:rsidRPr="6C867B1B">
        <w:rPr>
          <w:rFonts w:eastAsia="Calibri"/>
        </w:rPr>
        <w:t xml:space="preserve">changes to the </w:t>
      </w:r>
      <w:r w:rsidR="00601B1F">
        <w:rPr>
          <w:rFonts w:eastAsia="Calibri"/>
        </w:rPr>
        <w:t>“</w:t>
      </w:r>
      <w:r w:rsidR="009C7168">
        <w:rPr>
          <w:rFonts w:eastAsia="Calibri"/>
        </w:rPr>
        <w:t>Assessing Strategies To Promote Children’s Engagement and Active Participation in Virtual Visits</w:t>
      </w:r>
      <w:r w:rsidR="00601B1F">
        <w:rPr>
          <w:rFonts w:eastAsia="Calibri"/>
        </w:rPr>
        <w:t>” Information Collection Request</w:t>
      </w:r>
      <w:r w:rsidRPr="6C867B1B" w:rsidR="00D07DD8">
        <w:rPr>
          <w:rFonts w:eastAsia="Calibri"/>
        </w:rPr>
        <w:t xml:space="preserve"> </w:t>
      </w:r>
      <w:r w:rsidRPr="6C867B1B" w:rsidR="001C250A">
        <w:rPr>
          <w:rFonts w:eastAsia="Calibri"/>
        </w:rPr>
        <w:t xml:space="preserve">(OMB </w:t>
      </w:r>
      <w:r w:rsidRPr="6C867B1B" w:rsidR="00C76C18">
        <w:rPr>
          <w:rFonts w:eastAsia="Calibri"/>
        </w:rPr>
        <w:t>0906</w:t>
      </w:r>
      <w:r w:rsidRPr="6C867B1B" w:rsidR="002B2C62">
        <w:rPr>
          <w:rFonts w:eastAsia="Calibri"/>
        </w:rPr>
        <w:t>-</w:t>
      </w:r>
      <w:r w:rsidR="009C7168">
        <w:rPr>
          <w:rFonts w:eastAsia="Calibri"/>
        </w:rPr>
        <w:t>0092</w:t>
      </w:r>
      <w:r w:rsidR="00601B1F">
        <w:rPr>
          <w:rFonts w:eastAsia="Calibri"/>
        </w:rPr>
        <w:t>,</w:t>
      </w:r>
      <w:r w:rsidRPr="6C867B1B">
        <w:rPr>
          <w:rFonts w:eastAsia="Calibri"/>
        </w:rPr>
        <w:t xml:space="preserve"> expiration date </w:t>
      </w:r>
      <w:r w:rsidR="0018789B">
        <w:rPr>
          <w:rFonts w:eastAsia="Calibri"/>
        </w:rPr>
        <w:t>06</w:t>
      </w:r>
      <w:r w:rsidRPr="6C867B1B" w:rsidR="00C76C18">
        <w:rPr>
          <w:rFonts w:eastAsia="Calibri"/>
        </w:rPr>
        <w:t>/</w:t>
      </w:r>
      <w:r w:rsidR="0018789B">
        <w:rPr>
          <w:rFonts w:eastAsia="Calibri"/>
        </w:rPr>
        <w:t>30</w:t>
      </w:r>
      <w:r w:rsidRPr="6C867B1B" w:rsidR="00C76C18">
        <w:rPr>
          <w:rFonts w:eastAsia="Calibri"/>
        </w:rPr>
        <w:t>/</w:t>
      </w:r>
      <w:r w:rsidR="0018789B">
        <w:rPr>
          <w:rFonts w:eastAsia="Calibri"/>
        </w:rPr>
        <w:t>2027</w:t>
      </w:r>
      <w:r w:rsidRPr="6C867B1B">
        <w:rPr>
          <w:rFonts w:eastAsia="Calibri"/>
        </w:rPr>
        <w:t xml:space="preserve">). </w:t>
      </w:r>
    </w:p>
    <w:p w:rsidR="00C456A8" w:rsidP="000211F3" w14:paraId="0571083A" w14:textId="61C880BC">
      <w:pPr>
        <w:spacing w:after="200" w:line="276" w:lineRule="auto"/>
        <w:ind w:left="2160" w:hanging="2160"/>
        <w:rPr>
          <w:rFonts w:eastAsia="Calibri"/>
        </w:rPr>
      </w:pPr>
      <w:r w:rsidRPr="00B92B6C">
        <w:rPr>
          <w:rFonts w:eastAsia="Calibri"/>
          <w:b/>
        </w:rPr>
        <w:t>Purpose</w:t>
      </w:r>
      <w:r w:rsidRPr="00B92B6C">
        <w:rPr>
          <w:rFonts w:eastAsia="Calibri"/>
        </w:rPr>
        <w:t xml:space="preserve">: </w:t>
      </w:r>
      <w:r w:rsidRPr="00B92B6C">
        <w:rPr>
          <w:rFonts w:eastAsia="Calibri"/>
        </w:rPr>
        <w:tab/>
      </w:r>
      <w:r w:rsidR="0018789B">
        <w:rPr>
          <w:rFonts w:eastAsia="Calibri"/>
        </w:rPr>
        <w:t xml:space="preserve">The purpose of this request is to make changes to the </w:t>
      </w:r>
      <w:r w:rsidR="00CE5BD7">
        <w:rPr>
          <w:rFonts w:eastAsia="Calibri"/>
        </w:rPr>
        <w:t xml:space="preserve">qualitative </w:t>
      </w:r>
      <w:r w:rsidR="0018789B">
        <w:rPr>
          <w:rFonts w:eastAsia="Calibri"/>
        </w:rPr>
        <w:t xml:space="preserve">analysis approach described </w:t>
      </w:r>
      <w:r w:rsidR="00CE5BD7">
        <w:rPr>
          <w:rFonts w:eastAsia="Calibri"/>
        </w:rPr>
        <w:t>under the “Procedures for Collection of Information” section in Supporting Statement B.</w:t>
      </w:r>
      <w:r w:rsidR="0018789B">
        <w:rPr>
          <w:rFonts w:eastAsia="Calibri"/>
        </w:rPr>
        <w:t xml:space="preserve"> </w:t>
      </w:r>
      <w:r w:rsidR="00BD0E8F">
        <w:rPr>
          <w:rFonts w:eastAsia="Calibri"/>
        </w:rPr>
        <w:t xml:space="preserve">The updated analysis approach will </w:t>
      </w:r>
      <w:r w:rsidR="006C4CA7">
        <w:rPr>
          <w:rFonts w:eastAsia="Calibri"/>
        </w:rPr>
        <w:t xml:space="preserve">better align </w:t>
      </w:r>
      <w:r w:rsidR="00585414">
        <w:rPr>
          <w:rFonts w:eastAsia="Calibri"/>
        </w:rPr>
        <w:t xml:space="preserve">with the </w:t>
      </w:r>
      <w:r w:rsidR="000211F3">
        <w:rPr>
          <w:rFonts w:eastAsia="Calibri"/>
        </w:rPr>
        <w:t xml:space="preserve">rapid-cycle design phases and timing. </w:t>
      </w:r>
      <w:r w:rsidR="004C5BA6">
        <w:rPr>
          <w:rFonts w:eastAsia="Calibri"/>
        </w:rPr>
        <w:t>T</w:t>
      </w:r>
      <w:r w:rsidRPr="00B92B6C" w:rsidR="004C5BA6">
        <w:rPr>
          <w:rFonts w:eastAsia="Calibri"/>
        </w:rPr>
        <w:t xml:space="preserve">his memo </w:t>
      </w:r>
      <w:r w:rsidR="004C5BA6">
        <w:rPr>
          <w:rFonts w:eastAsia="Calibri"/>
        </w:rPr>
        <w:t>explains t</w:t>
      </w:r>
      <w:r w:rsidRPr="00B92B6C">
        <w:rPr>
          <w:rFonts w:eastAsia="Calibri"/>
        </w:rPr>
        <w:t xml:space="preserve">he changes and supporting rationale. </w:t>
      </w:r>
      <w:r>
        <w:rPr>
          <w:rFonts w:eastAsia="Calibri"/>
          <w:b/>
        </w:rPr>
        <w:tab/>
      </w:r>
    </w:p>
    <w:p w:rsidR="000211F3" w:rsidP="00C456A8" w14:paraId="5F398252" w14:textId="6455F2EF">
      <w:pPr>
        <w:spacing w:after="200" w:line="276" w:lineRule="auto"/>
        <w:ind w:left="2160" w:hanging="2160"/>
        <w:rPr>
          <w:rFonts w:eastAsia="Calibri"/>
        </w:rPr>
      </w:pPr>
      <w:r w:rsidRPr="00C456A8">
        <w:rPr>
          <w:rFonts w:eastAsia="Calibri"/>
          <w:b/>
          <w:bCs/>
        </w:rPr>
        <w:t>Changes:</w:t>
      </w:r>
      <w:r>
        <w:rPr>
          <w:rFonts w:eastAsia="Calibri"/>
          <w:b/>
          <w:bCs/>
        </w:rPr>
        <w:tab/>
      </w:r>
      <w:r w:rsidR="008877D5">
        <w:rPr>
          <w:rFonts w:eastAsia="Calibri"/>
        </w:rPr>
        <w:t>The study involve</w:t>
      </w:r>
      <w:r w:rsidR="00315E8B">
        <w:rPr>
          <w:rFonts w:eastAsia="Calibri"/>
        </w:rPr>
        <w:t>s</w:t>
      </w:r>
      <w:r w:rsidR="008877D5">
        <w:rPr>
          <w:rFonts w:eastAsia="Calibri"/>
        </w:rPr>
        <w:t xml:space="preserve"> collecting </w:t>
      </w:r>
      <w:r w:rsidR="00315E8B">
        <w:rPr>
          <w:rFonts w:eastAsia="Calibri"/>
        </w:rPr>
        <w:t xml:space="preserve">qualitative </w:t>
      </w:r>
      <w:r w:rsidR="008877D5">
        <w:rPr>
          <w:rFonts w:eastAsia="Calibri"/>
        </w:rPr>
        <w:t xml:space="preserve">data through focus groups </w:t>
      </w:r>
      <w:r w:rsidR="000F4ECB">
        <w:rPr>
          <w:rFonts w:eastAsia="Calibri"/>
        </w:rPr>
        <w:t xml:space="preserve">across four phases of study implementation. </w:t>
      </w:r>
      <w:r w:rsidR="0042589E">
        <w:rPr>
          <w:rFonts w:eastAsia="Calibri"/>
        </w:rPr>
        <w:t xml:space="preserve">Currently, the </w:t>
      </w:r>
      <w:r w:rsidR="00DB5510">
        <w:rPr>
          <w:rFonts w:eastAsia="Calibri"/>
        </w:rPr>
        <w:t>focus group analysis approach described in Supporting Statement B includes: 1) using a professional service to transcribe focus group</w:t>
      </w:r>
      <w:r w:rsidR="002123DB">
        <w:rPr>
          <w:rFonts w:eastAsia="Calibri"/>
        </w:rPr>
        <w:t>s, 2) deductive coding of all focus group transcripts to extract key ideas and group data thematically for analysis, and 3) summarizing high-level themes and findings</w:t>
      </w:r>
      <w:r w:rsidR="007E7E3A">
        <w:rPr>
          <w:rFonts w:eastAsia="Calibri"/>
        </w:rPr>
        <w:t xml:space="preserve">. The goal of analysis is to inform modifications to the home visiting practices being tested during the study </w:t>
      </w:r>
      <w:r w:rsidR="00B55742">
        <w:rPr>
          <w:rFonts w:eastAsia="Calibri"/>
        </w:rPr>
        <w:t xml:space="preserve">and allow the study team to evaluate the success of practices being tested within each study site. </w:t>
      </w:r>
    </w:p>
    <w:p w:rsidR="00B55742" w:rsidP="00C456A8" w14:paraId="33BED50A" w14:textId="48B965FE">
      <w:pPr>
        <w:spacing w:after="200" w:line="276" w:lineRule="auto"/>
        <w:ind w:left="2160" w:hanging="2160"/>
        <w:rPr>
          <w:rFonts w:eastAsia="Calibri"/>
        </w:rPr>
      </w:pPr>
      <w:r>
        <w:rPr>
          <w:rFonts w:eastAsia="Calibri"/>
          <w:b/>
          <w:bCs/>
        </w:rPr>
        <w:tab/>
      </w:r>
      <w:r w:rsidR="006167BD">
        <w:rPr>
          <w:rFonts w:eastAsia="Calibri"/>
        </w:rPr>
        <w:t>The study team instead proposes to</w:t>
      </w:r>
      <w:r w:rsidR="005E634C">
        <w:rPr>
          <w:rFonts w:eastAsia="Calibri"/>
        </w:rPr>
        <w:t>: 1) take detailed notes during each focus group, 2) d</w:t>
      </w:r>
      <w:r w:rsidR="00982DA1">
        <w:rPr>
          <w:rFonts w:eastAsia="Calibri"/>
        </w:rPr>
        <w:t>uring and after each focus group, distill notes into structured documents that highlight key themes and findings</w:t>
      </w:r>
      <w:r w:rsidR="00A4140F">
        <w:rPr>
          <w:rFonts w:eastAsia="Calibri"/>
        </w:rPr>
        <w:t>, and 3) code these documents for analysis</w:t>
      </w:r>
      <w:r w:rsidR="00B14E63">
        <w:rPr>
          <w:rFonts w:eastAsia="Calibri"/>
        </w:rPr>
        <w:t>. Each focus group will be recorded</w:t>
      </w:r>
      <w:r w:rsidR="00AC7D3F">
        <w:rPr>
          <w:rFonts w:eastAsia="Calibri"/>
        </w:rPr>
        <w:t xml:space="preserve"> and the team will reference the recordings as needed to clarify information from the </w:t>
      </w:r>
      <w:r w:rsidR="00A31581">
        <w:rPr>
          <w:rFonts w:eastAsia="Calibri"/>
        </w:rPr>
        <w:t xml:space="preserve">notes. </w:t>
      </w:r>
      <w:r w:rsidR="0032014C">
        <w:rPr>
          <w:rFonts w:eastAsia="Calibri"/>
        </w:rPr>
        <w:t>T</w:t>
      </w:r>
      <w:r w:rsidR="00A31581">
        <w:rPr>
          <w:rFonts w:eastAsia="Calibri"/>
        </w:rPr>
        <w:t xml:space="preserve">he goal of the study is to refine home visiting practices </w:t>
      </w:r>
      <w:r w:rsidR="007E42FF">
        <w:rPr>
          <w:rFonts w:eastAsia="Calibri"/>
        </w:rPr>
        <w:t>between study phases and in partnership with participating sites</w:t>
      </w:r>
      <w:r w:rsidR="0032014C">
        <w:rPr>
          <w:rFonts w:eastAsia="Calibri"/>
        </w:rPr>
        <w:t>. The changes in the</w:t>
      </w:r>
      <w:r w:rsidR="007E42FF">
        <w:rPr>
          <w:rFonts w:eastAsia="Calibri"/>
        </w:rPr>
        <w:t xml:space="preserve"> proposed </w:t>
      </w:r>
      <w:r w:rsidR="0032014C">
        <w:rPr>
          <w:rFonts w:eastAsia="Calibri"/>
        </w:rPr>
        <w:t xml:space="preserve">analysis </w:t>
      </w:r>
      <w:r w:rsidR="007E42FF">
        <w:rPr>
          <w:rFonts w:eastAsia="Calibri"/>
        </w:rPr>
        <w:t xml:space="preserve">approach will benefit the study by </w:t>
      </w:r>
      <w:r w:rsidR="0032014C">
        <w:rPr>
          <w:rFonts w:eastAsia="Calibri"/>
        </w:rPr>
        <w:t xml:space="preserve">allowing </w:t>
      </w:r>
      <w:r w:rsidR="00CA6050">
        <w:rPr>
          <w:rFonts w:eastAsia="Calibri"/>
        </w:rPr>
        <w:t xml:space="preserve">a more efficient </w:t>
      </w:r>
      <w:r w:rsidR="004B268D">
        <w:rPr>
          <w:rFonts w:eastAsia="Calibri"/>
        </w:rPr>
        <w:t xml:space="preserve">and timely </w:t>
      </w:r>
      <w:r w:rsidR="00CA6050">
        <w:rPr>
          <w:rFonts w:eastAsia="Calibri"/>
        </w:rPr>
        <w:t xml:space="preserve">allocation of resources in distilling information and applying it to the next study cycle.  It also produces </w:t>
      </w:r>
      <w:r w:rsidR="00CA6050">
        <w:rPr>
          <w:rFonts w:eastAsia="Calibri"/>
        </w:rPr>
        <w:t xml:space="preserve">documents summarizing findings that home visiting sites have the option to review. </w:t>
      </w:r>
    </w:p>
    <w:p w:rsidR="00CA6050" w:rsidP="00C456A8" w14:paraId="28136B2D" w14:textId="4FB809FF">
      <w:pPr>
        <w:spacing w:after="200" w:line="276" w:lineRule="auto"/>
        <w:ind w:left="2160" w:hanging="2160"/>
        <w:rPr>
          <w:rFonts w:eastAsia="Calibri"/>
        </w:rPr>
      </w:pPr>
      <w:r>
        <w:rPr>
          <w:rFonts w:eastAsia="Calibri"/>
        </w:rPr>
        <w:tab/>
        <w:t>The change does not involve modifications to any of the instruments. The change will affect the analysis of data collected through the following instruments:</w:t>
      </w:r>
    </w:p>
    <w:p w:rsidR="00CA6050" w:rsidP="00CA6050" w14:paraId="32889443" w14:textId="2C91A67E">
      <w:pPr>
        <w:pStyle w:val="ListParagraph"/>
        <w:numPr>
          <w:ilvl w:val="0"/>
          <w:numId w:val="7"/>
        </w:numPr>
        <w:spacing w:after="200" w:line="276" w:lineRule="auto"/>
        <w:rPr>
          <w:rFonts w:eastAsia="Calibri"/>
        </w:rPr>
      </w:pPr>
      <w:r>
        <w:rPr>
          <w:rFonts w:eastAsia="Calibri"/>
        </w:rPr>
        <w:t>Program Staff Focus Group Protocol – Phase 1: Co-Definition, Focus Group 1 (Appendix F)</w:t>
      </w:r>
    </w:p>
    <w:p w:rsidR="00CA6050" w:rsidP="00CA6050" w14:paraId="27DE25BF" w14:textId="55B4CC95">
      <w:pPr>
        <w:pStyle w:val="ListParagraph"/>
        <w:numPr>
          <w:ilvl w:val="0"/>
          <w:numId w:val="7"/>
        </w:numPr>
        <w:spacing w:after="200" w:line="276" w:lineRule="auto"/>
        <w:rPr>
          <w:rFonts w:eastAsia="Calibri"/>
        </w:rPr>
      </w:pPr>
      <w:r>
        <w:rPr>
          <w:rFonts w:eastAsia="Calibri"/>
        </w:rPr>
        <w:t>Program Staff Focus Group Protocol – Phase 1: Co-Definition, Focus Group 2 (Appendix G)</w:t>
      </w:r>
    </w:p>
    <w:p w:rsidR="00CA6050" w:rsidP="00CA6050" w14:paraId="3E37C3EE" w14:textId="305A2240">
      <w:pPr>
        <w:pStyle w:val="ListParagraph"/>
        <w:numPr>
          <w:ilvl w:val="0"/>
          <w:numId w:val="7"/>
        </w:numPr>
        <w:spacing w:after="200" w:line="276" w:lineRule="auto"/>
        <w:rPr>
          <w:rFonts w:eastAsia="Calibri"/>
        </w:rPr>
      </w:pPr>
      <w:r>
        <w:rPr>
          <w:rFonts w:eastAsia="Calibri"/>
        </w:rPr>
        <w:t>Family Focus Group Protocol (Appendix H)</w:t>
      </w:r>
    </w:p>
    <w:p w:rsidR="00CA6050" w:rsidP="00CA6050" w14:paraId="52BE8917" w14:textId="202FAE2E">
      <w:pPr>
        <w:pStyle w:val="ListParagraph"/>
        <w:numPr>
          <w:ilvl w:val="0"/>
          <w:numId w:val="7"/>
        </w:numPr>
        <w:spacing w:after="200" w:line="276" w:lineRule="auto"/>
        <w:rPr>
          <w:rFonts w:eastAsia="Calibri"/>
        </w:rPr>
      </w:pPr>
      <w:r>
        <w:rPr>
          <w:rFonts w:eastAsia="Calibri"/>
        </w:rPr>
        <w:t>Program Staff Focus Group Protocol – Phase 2: Installation / Phase 3: Refinement (Appendix I)</w:t>
      </w:r>
    </w:p>
    <w:p w:rsidR="004B268D" w:rsidRPr="004B268D" w:rsidP="00844219" w14:paraId="51D1A2C5" w14:textId="4FBDF461">
      <w:pPr>
        <w:pStyle w:val="ListParagraph"/>
        <w:numPr>
          <w:ilvl w:val="0"/>
          <w:numId w:val="7"/>
        </w:numPr>
        <w:spacing w:after="200" w:line="276" w:lineRule="auto"/>
        <w:rPr>
          <w:rFonts w:eastAsia="Calibri"/>
        </w:rPr>
      </w:pPr>
      <w:r>
        <w:rPr>
          <w:rFonts w:eastAsia="Calibri"/>
        </w:rPr>
        <w:t>Program Staff Focus Group Protocol – Phase 4: Summary (Appendix L)</w:t>
      </w:r>
    </w:p>
    <w:p w:rsidR="002E3411" w:rsidP="00B92B6C" w14:paraId="54018758" w14:textId="376AD07B">
      <w:pPr>
        <w:spacing w:after="200" w:line="276" w:lineRule="auto"/>
        <w:ind w:left="2160" w:hanging="2160"/>
        <w:rPr>
          <w:rFonts w:eastAsia="Calibri"/>
        </w:rPr>
      </w:pPr>
      <w:r w:rsidRPr="00B92B6C">
        <w:rPr>
          <w:rFonts w:eastAsia="Calibri"/>
          <w:b/>
        </w:rPr>
        <w:t>Time Sensitivity</w:t>
      </w:r>
      <w:r w:rsidR="00816253">
        <w:rPr>
          <w:rFonts w:eastAsia="Calibri"/>
        </w:rPr>
        <w:t xml:space="preserve">: </w:t>
      </w:r>
      <w:r w:rsidR="00816253">
        <w:rPr>
          <w:rFonts w:eastAsia="Calibri"/>
        </w:rPr>
        <w:tab/>
      </w:r>
      <w:r w:rsidR="006235FC">
        <w:rPr>
          <w:rFonts w:eastAsia="Calibri"/>
        </w:rPr>
        <w:t xml:space="preserve">Approval of these changes is needed by </w:t>
      </w:r>
      <w:r w:rsidR="00617E4A">
        <w:rPr>
          <w:rFonts w:eastAsia="Calibri"/>
        </w:rPr>
        <w:t xml:space="preserve">December 19, 2024, to ensure the study team is not delayed in </w:t>
      </w:r>
      <w:r w:rsidR="00F2173E">
        <w:rPr>
          <w:rFonts w:eastAsia="Calibri"/>
        </w:rPr>
        <w:t xml:space="preserve">moving forward with </w:t>
      </w:r>
      <w:r w:rsidR="004F6D91">
        <w:rPr>
          <w:rFonts w:eastAsia="Calibri"/>
        </w:rPr>
        <w:t xml:space="preserve">the study. </w:t>
      </w:r>
    </w:p>
    <w:p w:rsidR="00F2173E" w:rsidP="00B92B6C" w14:paraId="484553A8" w14:textId="151D5986">
      <w:pPr>
        <w:spacing w:after="200" w:line="276" w:lineRule="auto"/>
        <w:ind w:left="2160" w:hanging="2160"/>
      </w:pPr>
      <w:r w:rsidRPr="118A5B19">
        <w:rPr>
          <w:rFonts w:eastAsia="Calibri"/>
          <w:b/>
          <w:bCs/>
        </w:rPr>
        <w:t>Burden:</w:t>
      </w:r>
      <w:r>
        <w:tab/>
      </w:r>
      <w:r>
        <w:t xml:space="preserve">The </w:t>
      </w:r>
      <w:r w:rsidR="0064442D">
        <w:t xml:space="preserve">proposed changes to the analysis approach do not affect the estimated reporting burden for </w:t>
      </w:r>
      <w:r w:rsidR="00315E8B">
        <w:t xml:space="preserve">all </w:t>
      </w:r>
      <w:r w:rsidR="0015669F">
        <w:t>respondents</w:t>
      </w:r>
      <w:r w:rsidR="0064442D">
        <w:t xml:space="preserve">. </w:t>
      </w:r>
      <w:r w:rsidR="0015669F">
        <w:t xml:space="preserve">There are no proposed changes to information collection instruments. </w:t>
      </w:r>
    </w:p>
    <w:sectPr w:rsidSect="00DB2ED0"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36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4905289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2B6C" w14:paraId="3701255B" w14:textId="4074B5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3D0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B92B6C" w14:paraId="03906C3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60EC9" w:rsidP="00E60EC9" w14:paraId="49DBEF95" w14:textId="50F795C1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F41D5" w:rsidP="00DF41D5" w14:paraId="3A758905" w14:textId="6C1B350C">
    <w:pPr>
      <w:widowControl w:val="0"/>
      <w:tabs>
        <w:tab w:val="left" w:pos="1540"/>
      </w:tabs>
      <w:autoSpaceDE w:val="0"/>
      <w:autoSpaceDN w:val="0"/>
      <w:spacing w:before="80"/>
      <w:ind w:left="-360" w:hanging="4"/>
      <w:outlineLvl w:val="0"/>
      <w:rPr>
        <w:rFonts w:ascii="Arial Nova Cond" w:hAnsi="Arial Nova Cond"/>
        <w:b/>
        <w:bCs/>
        <w:color w:val="000000" w:themeColor="text1"/>
        <w:sz w:val="20"/>
        <w:szCs w:val="20"/>
      </w:rPr>
    </w:pPr>
    <w:r w:rsidRPr="00146E41">
      <w:rPr>
        <w:rFonts w:eastAsia="Calibri"/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5236422</wp:posOffset>
          </wp:positionH>
          <wp:positionV relativeFrom="paragraph">
            <wp:posOffset>-148590</wp:posOffset>
          </wp:positionV>
          <wp:extent cx="1033455" cy="1044269"/>
          <wp:effectExtent l="0" t="0" r="0" b="3810"/>
          <wp:wrapNone/>
          <wp:docPr id="288821528" name="Picture 288821528" descr="Department of Health and Human Services, U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821528" name="Picture 695328733" descr="Department of Health and Human Services, USA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455" cy="10442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4058">
      <w:rPr>
        <w:rFonts w:eastAsia="Calibri"/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-270722</wp:posOffset>
          </wp:positionH>
          <wp:positionV relativeFrom="paragraph">
            <wp:posOffset>-66675</wp:posOffset>
          </wp:positionV>
          <wp:extent cx="1536065" cy="590550"/>
          <wp:effectExtent l="0" t="0" r="6985" b="0"/>
          <wp:wrapNone/>
          <wp:docPr id="417919702" name="Picture 417919702" descr="Health Resources and Services Administration (HRSA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7919702" name="Picture 892768734" descr="Health Resources and Services Administration (HRSA)"/>
                  <pic:cNvPicPr/>
                </pic:nvPicPr>
                <pic:blipFill>
                  <a:blip xmlns:r="http://schemas.openxmlformats.org/officeDocument/2006/relationships" r:embed="rId2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065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F41D5" w:rsidP="00DF41D5" w14:paraId="4A166998" w14:textId="0D9B4099">
    <w:pPr>
      <w:widowControl w:val="0"/>
      <w:tabs>
        <w:tab w:val="left" w:pos="1540"/>
      </w:tabs>
      <w:autoSpaceDE w:val="0"/>
      <w:autoSpaceDN w:val="0"/>
      <w:spacing w:before="80"/>
      <w:ind w:left="-360" w:hanging="4"/>
      <w:outlineLvl w:val="0"/>
      <w:rPr>
        <w:rFonts w:ascii="Arial Nova Cond" w:hAnsi="Arial Nova Cond"/>
        <w:b/>
        <w:bCs/>
        <w:color w:val="000000" w:themeColor="text1"/>
        <w:sz w:val="20"/>
        <w:szCs w:val="20"/>
      </w:rPr>
    </w:pPr>
  </w:p>
  <w:p w:rsidR="00DF41D5" w:rsidRPr="00D1135B" w:rsidP="00DF41D5" w14:paraId="58DDD1D2" w14:textId="77777777">
    <w:pPr>
      <w:widowControl w:val="0"/>
      <w:tabs>
        <w:tab w:val="left" w:pos="1540"/>
      </w:tabs>
      <w:autoSpaceDE w:val="0"/>
      <w:autoSpaceDN w:val="0"/>
      <w:outlineLvl w:val="0"/>
      <w:rPr>
        <w:rFonts w:ascii="Arial Nova Cond" w:hAnsi="Arial Nova Cond"/>
        <w:b/>
        <w:bCs/>
        <w:color w:val="000000" w:themeColor="text1"/>
        <w:sz w:val="20"/>
        <w:szCs w:val="20"/>
      </w:rPr>
    </w:pPr>
  </w:p>
  <w:p w:rsidR="00DF41D5" w:rsidP="00DF41D5" w14:paraId="50C74AD1" w14:textId="77777777">
    <w:pPr>
      <w:widowControl w:val="0"/>
      <w:tabs>
        <w:tab w:val="left" w:pos="1540"/>
      </w:tabs>
      <w:autoSpaceDE w:val="0"/>
      <w:autoSpaceDN w:val="0"/>
      <w:ind w:left="-360"/>
      <w:outlineLvl w:val="0"/>
      <w:rPr>
        <w:rFonts w:ascii="Arial Nova Cond" w:hAnsi="Arial Nova Cond"/>
        <w:color w:val="000000" w:themeColor="text1"/>
        <w:sz w:val="20"/>
        <w:szCs w:val="20"/>
      </w:rPr>
    </w:pPr>
    <w:r w:rsidRPr="00696C96">
      <w:rPr>
        <w:rFonts w:ascii="Arial Nova Cond" w:hAnsi="Arial Nova Cond"/>
        <w:color w:val="000000" w:themeColor="text1"/>
        <w:sz w:val="20"/>
        <w:szCs w:val="20"/>
      </w:rPr>
      <w:t>5600 Fishers Lane</w:t>
    </w:r>
  </w:p>
  <w:p w:rsidR="00DF41D5" w:rsidRPr="00971770" w:rsidP="00DF41D5" w14:paraId="088E127D" w14:textId="77777777">
    <w:pPr>
      <w:widowControl w:val="0"/>
      <w:tabs>
        <w:tab w:val="left" w:pos="1540"/>
      </w:tabs>
      <w:autoSpaceDE w:val="0"/>
      <w:autoSpaceDN w:val="0"/>
      <w:ind w:left="-360"/>
      <w:outlineLvl w:val="0"/>
      <w:rPr>
        <w:rFonts w:ascii="Arial Nova Cond" w:hAnsi="Arial Nova Cond"/>
        <w:color w:val="000000" w:themeColor="text1"/>
        <w:sz w:val="20"/>
        <w:szCs w:val="20"/>
      </w:rPr>
    </w:pPr>
    <w:r w:rsidRPr="00696C96">
      <w:rPr>
        <w:rFonts w:ascii="Arial Nova Cond" w:hAnsi="Arial Nova Cond"/>
        <w:color w:val="000000" w:themeColor="text1"/>
        <w:sz w:val="20"/>
        <w:szCs w:val="20"/>
      </w:rPr>
      <w:t>Rockville, MD 20857</w:t>
    </w:r>
  </w:p>
  <w:p w:rsidR="00E60EC9" w:rsidRPr="00DF41D5" w:rsidP="00DF41D5" w14:paraId="49DBEF9F" w14:textId="2F6BF67B">
    <w:pPr>
      <w:pStyle w:val="Header"/>
    </w:pPr>
    <w:r w:rsidRPr="001048BB">
      <w:rPr>
        <w:noProof/>
        <w:sz w:val="20"/>
        <w:szCs w:val="20"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column">
                <wp:posOffset>-233680</wp:posOffset>
              </wp:positionH>
              <wp:positionV relativeFrom="paragraph">
                <wp:posOffset>44450</wp:posOffset>
              </wp:positionV>
              <wp:extent cx="6553835" cy="45085"/>
              <wp:effectExtent l="0" t="0" r="0" b="0"/>
              <wp:wrapThrough wrapText="bothSides">
                <wp:wrapPolygon>
                  <wp:start x="0" y="0"/>
                  <wp:lineTo x="0" y="9127"/>
                  <wp:lineTo x="21535" y="9127"/>
                  <wp:lineTo x="21535" y="0"/>
                  <wp:lineTo x="0" y="0"/>
                </wp:wrapPolygon>
              </wp:wrapThrough>
              <wp:docPr id="4" name="Freeform 13">
                <a:extLst xmlns:a="http://schemas.openxmlformats.org/drawingml/2006/main">
                  <a:ext xmlns:a="http://schemas.openxmlformats.org/drawingml/2006/main"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6553835" cy="45085"/>
                      </a:xfrm>
                      <a:custGeom>
                        <a:avLst/>
                        <a:gdLst>
                          <a:gd name="T0" fmla="*/ 0 w 12206"/>
                          <a:gd name="T1" fmla="*/ 0 h 120"/>
                          <a:gd name="T2" fmla="*/ 0 w 12206"/>
                          <a:gd name="T3" fmla="*/ 119 h 120"/>
                          <a:gd name="T4" fmla="*/ 12205 w 12206"/>
                          <a:gd name="T5" fmla="*/ 119 h 120"/>
                          <a:gd name="T6" fmla="*/ 12205 w 12206"/>
                          <a:gd name="T7" fmla="*/ 0 h 120"/>
                          <a:gd name="T8" fmla="*/ 0 w 12206"/>
                          <a:gd name="T9" fmla="*/ 0 h 120"/>
                        </a:gdLst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fill="norm" h="120" w="12206" stroke="1">
                            <a:moveTo>
                              <a:pt x="0" y="0"/>
                            </a:moveTo>
                            <a:lnTo>
                              <a:pt x="0" y="119"/>
                            </a:lnTo>
                            <a:lnTo>
                              <a:pt x="12205" y="119"/>
                            </a:lnTo>
                            <a:lnTo>
                              <a:pt x="12205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388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Freeform 13" o:spid="_x0000_s2049" alt="&quot;&quot;" style="width:516.05pt;height:3.55pt;margin-top:3.5pt;margin-left:-18.4pt;mso-height-percent:0;mso-height-relative:margin;mso-width-percent:0;mso-width-relative:margin;mso-wrap-distance-bottom:0;mso-wrap-distance-left:0;mso-wrap-distance-right:0;mso-wrap-distance-top:0;mso-wrap-style:square;position:absolute;visibility:visible;v-text-anchor:top;z-index:251659264" coordsize="12206,120" path="m,l,119l12205,119l12205,,,xe" fillcolor="#001388" stroked="f">
              <v:path arrowok="t" o:connecttype="custom" o:connectlocs="0,0;0,44709;6553298,44709;6553298,0;0,0" o:connectangles="0,0,0,0,0"/>
              <o:lock v:ext="edit" aspectratio="t"/>
              <w10:wrap type="through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D2922D1"/>
    <w:multiLevelType w:val="hybridMultilevel"/>
    <w:tmpl w:val="B1DE09D0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2FB14D14"/>
    <w:multiLevelType w:val="hybridMultilevel"/>
    <w:tmpl w:val="3A88FCEE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D82945"/>
    <w:multiLevelType w:val="hybridMultilevel"/>
    <w:tmpl w:val="DE8A102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F91A32"/>
    <w:multiLevelType w:val="hybridMultilevel"/>
    <w:tmpl w:val="B67E9FC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AD604C"/>
    <w:multiLevelType w:val="hybridMultilevel"/>
    <w:tmpl w:val="214E28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DC0DFE"/>
    <w:multiLevelType w:val="hybridMultilevel"/>
    <w:tmpl w:val="09601F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8016E4"/>
    <w:multiLevelType w:val="hybridMultilevel"/>
    <w:tmpl w:val="97C28652"/>
    <w:lvl w:ilvl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486777302">
    <w:abstractNumId w:val="1"/>
  </w:num>
  <w:num w:numId="2" w16cid:durableId="1189493300">
    <w:abstractNumId w:val="0"/>
  </w:num>
  <w:num w:numId="3" w16cid:durableId="1131703119">
    <w:abstractNumId w:val="4"/>
  </w:num>
  <w:num w:numId="4" w16cid:durableId="77140030">
    <w:abstractNumId w:val="5"/>
  </w:num>
  <w:num w:numId="5" w16cid:durableId="818227811">
    <w:abstractNumId w:val="2"/>
  </w:num>
  <w:num w:numId="6" w16cid:durableId="412043533">
    <w:abstractNumId w:val="3"/>
  </w:num>
  <w:num w:numId="7" w16cid:durableId="15705729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AEE"/>
    <w:rsid w:val="00003763"/>
    <w:rsid w:val="000211F3"/>
    <w:rsid w:val="00045B42"/>
    <w:rsid w:val="00053774"/>
    <w:rsid w:val="00054659"/>
    <w:rsid w:val="00077FC4"/>
    <w:rsid w:val="00086224"/>
    <w:rsid w:val="00086A3E"/>
    <w:rsid w:val="000A7DE4"/>
    <w:rsid w:val="000D2751"/>
    <w:rsid w:val="000D4ED8"/>
    <w:rsid w:val="000E7CCD"/>
    <w:rsid w:val="000F2103"/>
    <w:rsid w:val="000F4ECB"/>
    <w:rsid w:val="00111C84"/>
    <w:rsid w:val="00114FE2"/>
    <w:rsid w:val="00122B02"/>
    <w:rsid w:val="00126866"/>
    <w:rsid w:val="0012775C"/>
    <w:rsid w:val="00141E59"/>
    <w:rsid w:val="00142733"/>
    <w:rsid w:val="0015669F"/>
    <w:rsid w:val="00161207"/>
    <w:rsid w:val="00161D18"/>
    <w:rsid w:val="001626D3"/>
    <w:rsid w:val="001709E2"/>
    <w:rsid w:val="00184624"/>
    <w:rsid w:val="0018789B"/>
    <w:rsid w:val="00190C2F"/>
    <w:rsid w:val="00191CE9"/>
    <w:rsid w:val="00193E7F"/>
    <w:rsid w:val="001A5F8A"/>
    <w:rsid w:val="001C250A"/>
    <w:rsid w:val="001E08B7"/>
    <w:rsid w:val="001E257B"/>
    <w:rsid w:val="001F7458"/>
    <w:rsid w:val="00204028"/>
    <w:rsid w:val="002123DB"/>
    <w:rsid w:val="00233631"/>
    <w:rsid w:val="00254744"/>
    <w:rsid w:val="002558F1"/>
    <w:rsid w:val="00255B93"/>
    <w:rsid w:val="0025694D"/>
    <w:rsid w:val="00270D9F"/>
    <w:rsid w:val="00270FE3"/>
    <w:rsid w:val="002774D5"/>
    <w:rsid w:val="002940FF"/>
    <w:rsid w:val="002B17DB"/>
    <w:rsid w:val="002B1E19"/>
    <w:rsid w:val="002B2C62"/>
    <w:rsid w:val="002E3411"/>
    <w:rsid w:val="00301C0B"/>
    <w:rsid w:val="00310E49"/>
    <w:rsid w:val="00315E8B"/>
    <w:rsid w:val="0032014C"/>
    <w:rsid w:val="00332AC4"/>
    <w:rsid w:val="00334D1E"/>
    <w:rsid w:val="003544DE"/>
    <w:rsid w:val="0037258C"/>
    <w:rsid w:val="003747B2"/>
    <w:rsid w:val="00383ECD"/>
    <w:rsid w:val="003901DB"/>
    <w:rsid w:val="003A6602"/>
    <w:rsid w:val="003B2616"/>
    <w:rsid w:val="003B3248"/>
    <w:rsid w:val="003D33F5"/>
    <w:rsid w:val="003D4040"/>
    <w:rsid w:val="003E0442"/>
    <w:rsid w:val="003F0F33"/>
    <w:rsid w:val="0042589E"/>
    <w:rsid w:val="004418A1"/>
    <w:rsid w:val="00441EE8"/>
    <w:rsid w:val="004473B6"/>
    <w:rsid w:val="00456345"/>
    <w:rsid w:val="00467E88"/>
    <w:rsid w:val="00474AF1"/>
    <w:rsid w:val="004870F0"/>
    <w:rsid w:val="00493F65"/>
    <w:rsid w:val="004A289E"/>
    <w:rsid w:val="004A3B9D"/>
    <w:rsid w:val="004B268D"/>
    <w:rsid w:val="004C5BA6"/>
    <w:rsid w:val="004E6DD2"/>
    <w:rsid w:val="004E733E"/>
    <w:rsid w:val="004F6D91"/>
    <w:rsid w:val="005114FA"/>
    <w:rsid w:val="00512E18"/>
    <w:rsid w:val="005302CD"/>
    <w:rsid w:val="005439D1"/>
    <w:rsid w:val="0055021B"/>
    <w:rsid w:val="005725D4"/>
    <w:rsid w:val="00573D0B"/>
    <w:rsid w:val="00574FDB"/>
    <w:rsid w:val="0057786D"/>
    <w:rsid w:val="00585414"/>
    <w:rsid w:val="005950E5"/>
    <w:rsid w:val="005B1738"/>
    <w:rsid w:val="005B3157"/>
    <w:rsid w:val="005E064E"/>
    <w:rsid w:val="005E634C"/>
    <w:rsid w:val="00601B1F"/>
    <w:rsid w:val="0061313F"/>
    <w:rsid w:val="00614C26"/>
    <w:rsid w:val="006167BD"/>
    <w:rsid w:val="00616B50"/>
    <w:rsid w:val="00617E4A"/>
    <w:rsid w:val="006235FC"/>
    <w:rsid w:val="006272EB"/>
    <w:rsid w:val="0063324E"/>
    <w:rsid w:val="006408E7"/>
    <w:rsid w:val="0064442D"/>
    <w:rsid w:val="00654000"/>
    <w:rsid w:val="006562F9"/>
    <w:rsid w:val="00657689"/>
    <w:rsid w:val="00657C22"/>
    <w:rsid w:val="00671F80"/>
    <w:rsid w:val="00680233"/>
    <w:rsid w:val="006934A4"/>
    <w:rsid w:val="00696C96"/>
    <w:rsid w:val="006A0213"/>
    <w:rsid w:val="006A4E88"/>
    <w:rsid w:val="006A5A87"/>
    <w:rsid w:val="006C099B"/>
    <w:rsid w:val="006C4CA7"/>
    <w:rsid w:val="006D6D68"/>
    <w:rsid w:val="00714AC6"/>
    <w:rsid w:val="007177BC"/>
    <w:rsid w:val="0072161F"/>
    <w:rsid w:val="007261EE"/>
    <w:rsid w:val="007279C1"/>
    <w:rsid w:val="00754D00"/>
    <w:rsid w:val="00782ABF"/>
    <w:rsid w:val="00783738"/>
    <w:rsid w:val="0078631F"/>
    <w:rsid w:val="0079084A"/>
    <w:rsid w:val="00791085"/>
    <w:rsid w:val="00793E52"/>
    <w:rsid w:val="007A3FC7"/>
    <w:rsid w:val="007B07DB"/>
    <w:rsid w:val="007B6733"/>
    <w:rsid w:val="007D344A"/>
    <w:rsid w:val="007E42FF"/>
    <w:rsid w:val="007E7E3A"/>
    <w:rsid w:val="007F4058"/>
    <w:rsid w:val="0081548F"/>
    <w:rsid w:val="00816253"/>
    <w:rsid w:val="00827ADF"/>
    <w:rsid w:val="00844219"/>
    <w:rsid w:val="00865C53"/>
    <w:rsid w:val="00867179"/>
    <w:rsid w:val="008672A0"/>
    <w:rsid w:val="00873737"/>
    <w:rsid w:val="00875450"/>
    <w:rsid w:val="008877D5"/>
    <w:rsid w:val="0089448C"/>
    <w:rsid w:val="008A09BF"/>
    <w:rsid w:val="008A3EF2"/>
    <w:rsid w:val="008A415A"/>
    <w:rsid w:val="008C5FD9"/>
    <w:rsid w:val="008C7857"/>
    <w:rsid w:val="008D25BE"/>
    <w:rsid w:val="008D35DB"/>
    <w:rsid w:val="008D4322"/>
    <w:rsid w:val="008D5DDD"/>
    <w:rsid w:val="008E1E20"/>
    <w:rsid w:val="008E6BB9"/>
    <w:rsid w:val="0090482D"/>
    <w:rsid w:val="009079C5"/>
    <w:rsid w:val="00914F17"/>
    <w:rsid w:val="00920EE1"/>
    <w:rsid w:val="00942426"/>
    <w:rsid w:val="00943979"/>
    <w:rsid w:val="0094649B"/>
    <w:rsid w:val="00971770"/>
    <w:rsid w:val="00982DA1"/>
    <w:rsid w:val="009A60CA"/>
    <w:rsid w:val="009B37A2"/>
    <w:rsid w:val="009C3060"/>
    <w:rsid w:val="009C34AD"/>
    <w:rsid w:val="009C61FB"/>
    <w:rsid w:val="009C7168"/>
    <w:rsid w:val="009E2112"/>
    <w:rsid w:val="009E2189"/>
    <w:rsid w:val="009E6D0C"/>
    <w:rsid w:val="009F1FA3"/>
    <w:rsid w:val="00A06906"/>
    <w:rsid w:val="00A1536E"/>
    <w:rsid w:val="00A31581"/>
    <w:rsid w:val="00A31978"/>
    <w:rsid w:val="00A31D65"/>
    <w:rsid w:val="00A4140F"/>
    <w:rsid w:val="00A60A57"/>
    <w:rsid w:val="00A73790"/>
    <w:rsid w:val="00AC73BA"/>
    <w:rsid w:val="00AC7D3F"/>
    <w:rsid w:val="00AF3431"/>
    <w:rsid w:val="00AF6A02"/>
    <w:rsid w:val="00B0690E"/>
    <w:rsid w:val="00B1243A"/>
    <w:rsid w:val="00B14E63"/>
    <w:rsid w:val="00B25482"/>
    <w:rsid w:val="00B50762"/>
    <w:rsid w:val="00B55742"/>
    <w:rsid w:val="00B6725E"/>
    <w:rsid w:val="00B727B5"/>
    <w:rsid w:val="00B81189"/>
    <w:rsid w:val="00B820BA"/>
    <w:rsid w:val="00B86A41"/>
    <w:rsid w:val="00B92B6C"/>
    <w:rsid w:val="00BB3521"/>
    <w:rsid w:val="00BB4E28"/>
    <w:rsid w:val="00BD0E8F"/>
    <w:rsid w:val="00BD0FD5"/>
    <w:rsid w:val="00C06EF5"/>
    <w:rsid w:val="00C23BA3"/>
    <w:rsid w:val="00C251B3"/>
    <w:rsid w:val="00C33C03"/>
    <w:rsid w:val="00C456A8"/>
    <w:rsid w:val="00C46224"/>
    <w:rsid w:val="00C5131A"/>
    <w:rsid w:val="00C51FB0"/>
    <w:rsid w:val="00C6196F"/>
    <w:rsid w:val="00C65821"/>
    <w:rsid w:val="00C76C18"/>
    <w:rsid w:val="00C80514"/>
    <w:rsid w:val="00C863D6"/>
    <w:rsid w:val="00C91D3D"/>
    <w:rsid w:val="00CA0734"/>
    <w:rsid w:val="00CA30CB"/>
    <w:rsid w:val="00CA6050"/>
    <w:rsid w:val="00CA698A"/>
    <w:rsid w:val="00CB6679"/>
    <w:rsid w:val="00CD3335"/>
    <w:rsid w:val="00CD382D"/>
    <w:rsid w:val="00CD6D52"/>
    <w:rsid w:val="00CE5BD7"/>
    <w:rsid w:val="00CF3D1C"/>
    <w:rsid w:val="00D00DA9"/>
    <w:rsid w:val="00D030FA"/>
    <w:rsid w:val="00D07DD8"/>
    <w:rsid w:val="00D1135B"/>
    <w:rsid w:val="00D3225E"/>
    <w:rsid w:val="00D46292"/>
    <w:rsid w:val="00D47431"/>
    <w:rsid w:val="00D561ED"/>
    <w:rsid w:val="00D66D58"/>
    <w:rsid w:val="00D72BAB"/>
    <w:rsid w:val="00D8185D"/>
    <w:rsid w:val="00D91EA3"/>
    <w:rsid w:val="00D972E0"/>
    <w:rsid w:val="00DA16FB"/>
    <w:rsid w:val="00DB2D70"/>
    <w:rsid w:val="00DB2ED0"/>
    <w:rsid w:val="00DB44FF"/>
    <w:rsid w:val="00DB5510"/>
    <w:rsid w:val="00DC13B0"/>
    <w:rsid w:val="00DD0EDB"/>
    <w:rsid w:val="00DE2FF6"/>
    <w:rsid w:val="00DF2527"/>
    <w:rsid w:val="00DF2945"/>
    <w:rsid w:val="00DF4076"/>
    <w:rsid w:val="00DF41D5"/>
    <w:rsid w:val="00E03B62"/>
    <w:rsid w:val="00E10C70"/>
    <w:rsid w:val="00E14FD5"/>
    <w:rsid w:val="00E25523"/>
    <w:rsid w:val="00E40EEC"/>
    <w:rsid w:val="00E471B0"/>
    <w:rsid w:val="00E47B16"/>
    <w:rsid w:val="00E60EC9"/>
    <w:rsid w:val="00E712E8"/>
    <w:rsid w:val="00E7389F"/>
    <w:rsid w:val="00E76C0F"/>
    <w:rsid w:val="00E90041"/>
    <w:rsid w:val="00E974A7"/>
    <w:rsid w:val="00EB1D65"/>
    <w:rsid w:val="00EC7B82"/>
    <w:rsid w:val="00ED3264"/>
    <w:rsid w:val="00ED3751"/>
    <w:rsid w:val="00EE3B20"/>
    <w:rsid w:val="00EE676F"/>
    <w:rsid w:val="00EF41AD"/>
    <w:rsid w:val="00F15689"/>
    <w:rsid w:val="00F2173E"/>
    <w:rsid w:val="00F23997"/>
    <w:rsid w:val="00F25576"/>
    <w:rsid w:val="00F609B2"/>
    <w:rsid w:val="00F8193D"/>
    <w:rsid w:val="00F90AEE"/>
    <w:rsid w:val="00FB215E"/>
    <w:rsid w:val="00FB4481"/>
    <w:rsid w:val="00FC1E4D"/>
    <w:rsid w:val="00FE6659"/>
    <w:rsid w:val="07E4B64C"/>
    <w:rsid w:val="118A5B19"/>
    <w:rsid w:val="3C8F4FD9"/>
    <w:rsid w:val="585C1C21"/>
    <w:rsid w:val="66B1907D"/>
    <w:rsid w:val="67CA327D"/>
    <w:rsid w:val="6C867B1B"/>
  </w:rsids>
  <w:docVars>
    <w:docVar w:name="__Grammarly_42___1" w:val="H4sIAAAAAAAEAKtWcslP9kxRslIyNDYyMjM1NjGzNDI2MDU2NTZU0lEKTi0uzszPAykwrAUANQ+YYC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9DBEF66"/>
  <w15:docId w15:val="{4CE4EBBC-C141-4D11-983A-3B8F6092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0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Heading3"/>
    <w:next w:val="Normal"/>
    <w:link w:val="Heading2Char"/>
    <w:autoRedefine/>
    <w:unhideWhenUsed/>
    <w:qFormat/>
    <w:rsid w:val="00E60EC9"/>
    <w:pPr>
      <w:keepLines w:val="0"/>
      <w:spacing w:before="0"/>
      <w:outlineLvl w:val="1"/>
    </w:pPr>
    <w:rPr>
      <w:rFonts w:ascii="Times New Roman" w:eastAsia="Times New Roman" w:hAnsi="Times New Roman" w:cs="Times New Roman"/>
      <w:color w:val="auto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EC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0A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0AEE"/>
  </w:style>
  <w:style w:type="paragraph" w:styleId="Footer">
    <w:name w:val="footer"/>
    <w:basedOn w:val="Normal"/>
    <w:link w:val="FooterChar"/>
    <w:uiPriority w:val="99"/>
    <w:unhideWhenUsed/>
    <w:rsid w:val="00F90A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0AEE"/>
  </w:style>
  <w:style w:type="paragraph" w:styleId="BalloonText">
    <w:name w:val="Balloon Text"/>
    <w:basedOn w:val="Normal"/>
    <w:link w:val="BalloonTextChar"/>
    <w:uiPriority w:val="99"/>
    <w:semiHidden/>
    <w:unhideWhenUsed/>
    <w:rsid w:val="00F90A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A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E60EC9"/>
    <w:rPr>
      <w:rFonts w:ascii="Times New Roman" w:eastAsia="Times New Roman" w:hAnsi="Times New Roman" w:cs="Times New Roman"/>
      <w:b/>
      <w:bCs/>
      <w:sz w:val="24"/>
      <w:szCs w:val="26"/>
      <w:u w:val="single"/>
    </w:rPr>
  </w:style>
  <w:style w:type="paragraph" w:styleId="BodyText">
    <w:name w:val="Body Text"/>
    <w:basedOn w:val="Normal"/>
    <w:link w:val="BodyTextChar"/>
    <w:unhideWhenUsed/>
    <w:rsid w:val="00E60EC9"/>
  </w:style>
  <w:style w:type="character" w:customStyle="1" w:styleId="BodyTextChar">
    <w:name w:val="Body Text Char"/>
    <w:basedOn w:val="DefaultParagraphFont"/>
    <w:link w:val="BodyText"/>
    <w:rsid w:val="00E60EC9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EC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974A7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2B6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92B6C"/>
    <w:rPr>
      <w:rFonts w:eastAsiaTheme="minorEastAsia"/>
      <w:color w:val="5A5A5A" w:themeColor="text1" w:themeTint="A5"/>
      <w:spacing w:val="15"/>
    </w:r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B92B6C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B92B6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92B6C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B92B6C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B92B6C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462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62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629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2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292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3F0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2FF6"/>
    <w:pPr>
      <w:ind w:left="720"/>
      <w:contextualSpacing/>
    </w:pPr>
  </w:style>
  <w:style w:type="paragraph" w:styleId="Revision">
    <w:name w:val="Revision"/>
    <w:hidden/>
    <w:uiPriority w:val="99"/>
    <w:semiHidden/>
    <w:rsid w:val="00654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12dafca-ffd2-47b9-a7dc-ea73860b958a">CHY75YFUAV2K-1400183454-25194</_dlc_DocId>
    <_dlc_DocIdUrl xmlns="f12dafca-ffd2-47b9-a7dc-ea73860b958a">
      <Url>https://nih.sharepoint.com/sites/HRSA-MCHB/MCHB-Team/DHVECS/_layouts/15/DocIdRedir.aspx?ID=CHY75YFUAV2K-1400183454-25194</Url>
      <Description>CHY75YFUAV2K-1400183454-25194</Description>
    </_dlc_DocIdUrl>
    <TaxCatchAll xmlns="f12dafca-ffd2-47b9-a7dc-ea73860b958a" xsi:nil="true"/>
    <lcf76f155ced4ddcb4097134ff3c332f xmlns="08c46ab1-79c2-41f2-85cd-dc2be6a31754">
      <Terms xmlns="http://schemas.microsoft.com/office/infopath/2007/PartnerControls"/>
    </lcf76f155ced4ddcb4097134ff3c332f>
    <PersonResponsible xmlns="08c46ab1-79c2-41f2-85cd-dc2be6a31754" xsi:nil="true"/>
    <Document_x0020_type xmlns="08c46ab1-79c2-41f2-85cd-dc2be6a3175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9A7DB51F2A941A4CC3460E10B6832" ma:contentTypeVersion="23" ma:contentTypeDescription="Create a new document." ma:contentTypeScope="" ma:versionID="4c4b229c23e24e909fbe4b7415f2d609">
  <xsd:schema xmlns:xsd="http://www.w3.org/2001/XMLSchema" xmlns:xs="http://www.w3.org/2001/XMLSchema" xmlns:p="http://schemas.microsoft.com/office/2006/metadata/properties" xmlns:ns2="f12dafca-ffd2-47b9-a7dc-ea73860b958a" xmlns:ns3="08c46ab1-79c2-41f2-85cd-dc2be6a31754" targetNamespace="http://schemas.microsoft.com/office/2006/metadata/properties" ma:root="true" ma:fieldsID="542c9b23b32154c9b3ca2804af1e2c72" ns2:_="" ns3:_="">
    <xsd:import namespace="f12dafca-ffd2-47b9-a7dc-ea73860b958a"/>
    <xsd:import namespace="08c46ab1-79c2-41f2-85cd-dc2be6a317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3:Document_x0020_typ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PersonResponsibl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dafca-ffd2-47b9-a7dc-ea73860b958a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7" nillable="true" ma:displayName="Taxonomy Catch All Column" ma:hidden="true" ma:list="{d102e559-a381-453e-8cb3-cfda999e277d}" ma:internalName="TaxCatchAll" ma:showField="CatchAllData" ma:web="f12dafca-ffd2-47b9-a7dc-ea73860b95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3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46ab1-79c2-41f2-85cd-dc2be6a31754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8" nillable="true" ma:displayName="Document type" ma:internalName="Document_x0020_typ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GIS (Discretionary Grant Information System )"/>
                    <xsd:enumeration value="Qualitative Data"/>
                    <xsd:enumeration value="Data Reports"/>
                    <xsd:enumeration value="OMB Documentation"/>
                    <xsd:enumeration value="Template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ersonResponsible" ma:index="26" nillable="true" ma:displayName="Person Responsible" ma:format="Dropdown" ma:internalName="PersonResponsible">
      <xsd:simpleType>
        <xsd:restriction base="dms:Text">
          <xsd:maxLength value="255"/>
        </xsd:restriction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76FBB-6048-4752-BD6E-DAC75FD2152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E8CBF77-6372-4304-AA4D-BDF3FD9952C9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08c46ab1-79c2-41f2-85cd-dc2be6a31754"/>
    <ds:schemaRef ds:uri="http://www.w3.org/XML/1998/namespace"/>
    <ds:schemaRef ds:uri="http://purl.org/dc/terms/"/>
    <ds:schemaRef ds:uri="http://schemas.microsoft.com/office/infopath/2007/PartnerControls"/>
    <ds:schemaRef ds:uri="f12dafca-ffd2-47b9-a7dc-ea73860b958a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4F8DAAE-6356-4B30-B96E-F4F38A1D2F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2dafca-ffd2-47b9-a7dc-ea73860b958a"/>
    <ds:schemaRef ds:uri="08c46ab1-79c2-41f2-85cd-dc2be6a317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1FA58D-00DC-41A1-9F58-38753BD3A2B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423F02D-0C66-448F-93F0-4A55349BA24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 memo</vt:lpstr>
    </vt:vector>
  </TitlesOfParts>
  <Company>HRSA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memo</dc:title>
  <dc:creator>Windows User</dc:creator>
  <cp:lastModifiedBy>HRSA</cp:lastModifiedBy>
  <cp:revision>8</cp:revision>
  <cp:lastPrinted>2015-10-27T13:28:00Z</cp:lastPrinted>
  <dcterms:created xsi:type="dcterms:W3CDTF">2024-12-03T17:16:00Z</dcterms:created>
  <dcterms:modified xsi:type="dcterms:W3CDTF">2024-12-04T19:24:00Z</dcterms:modified>
  <cp:category>Memo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0x010100FC49A7DB51F2A941A4CC3460E10B6832</vt:lpwstr>
  </property>
  <property fmtid="{D5CDD505-2E9C-101B-9397-08002B2CF9AE}" pid="3" name="MediaServiceImageTags">
    <vt:lpwstr/>
  </property>
  <property fmtid="{D5CDD505-2E9C-101B-9397-08002B2CF9AE}" pid="4" name="_dlc_DocIdItemGuid">
    <vt:lpwstr>1f01b742-6d3d-4cbf-b1f0-4278181427a2</vt:lpwstr>
  </property>
</Properties>
</file>