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EA0F98" w:rsidP="00021323" w14:paraId="42CDA2ED" w14:textId="600D351A">
      <w:pPr>
        <w:pStyle w:val="Title"/>
        <w:rPr>
          <w:b w:val="0"/>
          <w:szCs w:val="24"/>
        </w:rPr>
      </w:pPr>
      <w:r>
        <w:rPr>
          <w:b w:val="0"/>
          <w:szCs w:val="24"/>
        </w:rPr>
        <w:t>U.S. Food and Drug Administration</w:t>
      </w:r>
    </w:p>
    <w:p w:rsidR="00A874C5" w:rsidRPr="001054ED" w:rsidP="00021323" w14:paraId="49D8984B" w14:textId="75BB01C8">
      <w:pPr>
        <w:pStyle w:val="Title"/>
        <w:rPr>
          <w:b w:val="0"/>
          <w:szCs w:val="24"/>
        </w:rPr>
      </w:pPr>
      <w:r w:rsidRPr="001054ED">
        <w:rPr>
          <w:b w:val="0"/>
          <w:szCs w:val="24"/>
        </w:rPr>
        <w:t>Manufactured Food Regulatory Program Standards</w:t>
      </w:r>
    </w:p>
    <w:p w:rsidR="001054ED" w:rsidP="007A0C9D" w14:paraId="15574D97" w14:textId="2D9DFB90">
      <w:pPr>
        <w:pStyle w:val="Title"/>
        <w:rPr>
          <w:b w:val="0"/>
          <w:szCs w:val="24"/>
        </w:rPr>
      </w:pPr>
      <w:r>
        <w:rPr>
          <w:b w:val="0"/>
          <w:szCs w:val="24"/>
        </w:rPr>
        <w:t xml:space="preserve">OMB Control No. </w:t>
      </w:r>
      <w:r w:rsidRPr="001054ED" w:rsidR="007A0C9D">
        <w:rPr>
          <w:b w:val="0"/>
          <w:szCs w:val="24"/>
        </w:rPr>
        <w:t>0910-0601</w:t>
      </w:r>
      <w:r w:rsidR="000A4094">
        <w:rPr>
          <w:b w:val="0"/>
          <w:szCs w:val="24"/>
        </w:rPr>
        <w:t xml:space="preserve"> </w:t>
      </w:r>
    </w:p>
    <w:p w:rsidR="001054ED" w:rsidP="007A0C9D" w14:paraId="51485340" w14:textId="77777777">
      <w:pPr>
        <w:pStyle w:val="Title"/>
        <w:rPr>
          <w:b w:val="0"/>
          <w:szCs w:val="24"/>
        </w:rPr>
      </w:pPr>
    </w:p>
    <w:p w:rsidR="00E41263" w:rsidP="00832A62" w14:paraId="066A59C4" w14:textId="23DDB592">
      <w:pPr>
        <w:pStyle w:val="Heading4"/>
        <w:jc w:val="center"/>
        <w:rPr>
          <w:b w:val="0"/>
          <w:szCs w:val="24"/>
        </w:rPr>
      </w:pPr>
      <w:r w:rsidRPr="001054ED">
        <w:rPr>
          <w:b w:val="0"/>
          <w:szCs w:val="24"/>
        </w:rPr>
        <w:t>SUPPORTING STATEMENT</w:t>
      </w:r>
    </w:p>
    <w:p w:rsidR="00E41263" w14:paraId="5557C998" w14:textId="77777777">
      <w:pPr>
        <w:pStyle w:val="Heading4"/>
        <w:rPr>
          <w:b w:val="0"/>
          <w:szCs w:val="24"/>
        </w:rPr>
      </w:pPr>
    </w:p>
    <w:p w:rsidR="008A22D9" w14:paraId="6C3B1A51" w14:textId="2E1777B3">
      <w:pPr>
        <w:pStyle w:val="Heading4"/>
      </w:pPr>
      <w:r>
        <w:t>A</w:t>
      </w:r>
      <w:r>
        <w:t>.</w:t>
      </w:r>
      <w:r>
        <w:tab/>
        <w:t>J</w:t>
      </w:r>
      <w:r w:rsidR="00DE322B">
        <w:t>ustification</w:t>
      </w:r>
    </w:p>
    <w:p w:rsidR="008A22D9" w14:paraId="326D7E2D" w14:textId="77777777">
      <w:pPr>
        <w:rPr>
          <w:rFonts w:ascii="Times New Roman" w:hAnsi="Times New Roman"/>
          <w:sz w:val="22"/>
        </w:rPr>
      </w:pPr>
    </w:p>
    <w:p w:rsidR="008A22D9" w:rsidRPr="001054ED" w14:paraId="2D8E5BCA" w14:textId="77777777">
      <w:pPr>
        <w:numPr>
          <w:ilvl w:val="0"/>
          <w:numId w:val="2"/>
        </w:numPr>
        <w:tabs>
          <w:tab w:val="clear" w:pos="360"/>
          <w:tab w:val="num"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rPr>
          <w:rFonts w:ascii="Times New Roman" w:hAnsi="Times New Roman"/>
          <w:u w:val="single"/>
        </w:rPr>
      </w:pPr>
      <w:r w:rsidRPr="001054ED">
        <w:rPr>
          <w:rFonts w:ascii="Times New Roman" w:hAnsi="Times New Roman"/>
          <w:u w:val="single"/>
        </w:rPr>
        <w:t xml:space="preserve">Circumstances </w:t>
      </w:r>
      <w:r w:rsidRPr="001054ED" w:rsidR="00D77A45">
        <w:rPr>
          <w:rFonts w:ascii="Times New Roman" w:hAnsi="Times New Roman"/>
          <w:u w:val="single"/>
        </w:rPr>
        <w:t>Making the Collection of Information Necessary</w:t>
      </w:r>
    </w:p>
    <w:p w:rsidR="00AB36CC" w14:paraId="7FF67DFC" w14:textId="77777777">
      <w:pPr>
        <w:rPr>
          <w:rFonts w:ascii="Times New Roman" w:hAnsi="Times New Roman"/>
          <w:sz w:val="22"/>
        </w:rPr>
      </w:pPr>
    </w:p>
    <w:p w:rsidR="00C703DB" w:rsidP="006A4514" w14:paraId="25F0F068" w14:textId="6AEA093A">
      <w:pPr>
        <w:ind w:left="540"/>
      </w:pPr>
      <w:r w:rsidRPr="5AC08441">
        <w:rPr>
          <w:rFonts w:ascii="Times New Roman" w:hAnsi="Times New Roman"/>
          <w:szCs w:val="24"/>
        </w:rPr>
        <w:t>The Food Safety Modernization Act (FSMA) (P.L.111-353) provides FDA with tools to better protect public health by strengthening the human and animal food safety system.  In the United States, federal</w:t>
      </w:r>
      <w:r w:rsidR="00FF65A9">
        <w:rPr>
          <w:rFonts w:ascii="Times New Roman" w:hAnsi="Times New Roman"/>
          <w:szCs w:val="24"/>
        </w:rPr>
        <w:t xml:space="preserve"> and </w:t>
      </w:r>
      <w:r w:rsidRPr="5AC08441">
        <w:rPr>
          <w:rFonts w:ascii="Times New Roman" w:hAnsi="Times New Roman"/>
          <w:szCs w:val="24"/>
        </w:rPr>
        <w:t xml:space="preserve">state government agencies ensure the safety of human and animal food.  FDA is responsible for ensuring that all human and animal food moving in interstate commerce, except those under the U.S. Department of Agriculture jurisdiction, are safe, wholesome, and labeled properly.  States are responsible for conducting inspections and regulatory activities that help ensure human and animal food produced, processed, and distributed within their jurisdictions are safe and in compliance with State laws and regulations.  States primarily perform inspections under their own regulatory authority.  Some States conduct inspections of human or animal food facilities under contract with FDA.  Because jurisdictions may overlap, FDA and States collaborate and share resources to protect human and animal food.  </w:t>
      </w:r>
    </w:p>
    <w:p w:rsidR="00C703DB" w:rsidP="5AC08441" w14:paraId="1FE08C94" w14:textId="3A18880E">
      <w:pPr>
        <w:spacing w:line="257" w:lineRule="auto"/>
        <w:ind w:left="360"/>
      </w:pPr>
      <w:r w:rsidRPr="5AC08441">
        <w:rPr>
          <w:rFonts w:ascii="Times New Roman" w:hAnsi="Times New Roman"/>
          <w:szCs w:val="24"/>
        </w:rPr>
        <w:t xml:space="preserve"> </w:t>
      </w:r>
    </w:p>
    <w:p w:rsidR="00C703DB" w:rsidP="006A4514" w14:paraId="6301CC6B" w14:textId="1A78C705">
      <w:pPr>
        <w:ind w:left="540"/>
      </w:pPr>
      <w:r w:rsidRPr="5AC08441">
        <w:rPr>
          <w:rFonts w:ascii="Times New Roman" w:hAnsi="Times New Roman"/>
          <w:szCs w:val="24"/>
        </w:rPr>
        <w:t>Section 205(c) of FSMA (codified in 21 U.S.C. 2224) calls for enhanced partnerships and provides a legal mandate for developing an Integrated Food Safety System (IFSS).  FDA is committed to implementing an IFSS thereby optimizing coordination of human and animal food safety efforts with federal, state, local, tribal, and territorial regulatory and public health agencies.  Model standards provide a consistent, underlying foundation that is critical for uniformity across state and federal agencies to ensure credibility of human and animal food programs within the IFSS.</w:t>
      </w:r>
    </w:p>
    <w:p w:rsidR="00C703DB" w:rsidP="5AC08441" w14:paraId="3A2EA2A6" w14:textId="10BEFC56">
      <w:pPr>
        <w:ind w:left="360"/>
      </w:pPr>
      <w:r w:rsidRPr="5AC08441">
        <w:rPr>
          <w:rFonts w:ascii="Times New Roman" w:hAnsi="Times New Roman"/>
          <w:szCs w:val="24"/>
        </w:rPr>
        <w:t xml:space="preserve"> </w:t>
      </w:r>
    </w:p>
    <w:p w:rsidR="00C703DB" w:rsidP="006A4514" w14:paraId="595D270F" w14:textId="4B35F37F">
      <w:pPr>
        <w:ind w:left="540"/>
      </w:pPr>
      <w:r w:rsidRPr="5AC08441">
        <w:rPr>
          <w:rFonts w:ascii="Times New Roman" w:hAnsi="Times New Roman"/>
          <w:szCs w:val="24"/>
        </w:rPr>
        <w:t>As part of this effort, we have initiated programs that include developing and instituting regulatory standards intended to reduce the risk of foodborne illness through coordinated efforts with our strategic partners.  Regulatory program standards establish a uniform foundation for the design and management of State, local, tribal, and territorial programs that have the responsibility for regulating human and animal food.</w:t>
      </w:r>
      <w:r w:rsidR="00C862E2">
        <w:rPr>
          <w:rFonts w:ascii="Times New Roman" w:hAnsi="Times New Roman"/>
          <w:szCs w:val="24"/>
        </w:rPr>
        <w:t xml:space="preserve"> </w:t>
      </w:r>
      <w:r w:rsidR="00A25F5F">
        <w:rPr>
          <w:rFonts w:ascii="Times New Roman" w:hAnsi="Times New Roman"/>
          <w:szCs w:val="24"/>
        </w:rPr>
        <w:t xml:space="preserve"> </w:t>
      </w:r>
      <w:r w:rsidR="00462EB1">
        <w:rPr>
          <w:rFonts w:ascii="Times New Roman" w:hAnsi="Times New Roman"/>
          <w:szCs w:val="24"/>
        </w:rPr>
        <w:t>There are no changes to the existing program standards.</w:t>
      </w:r>
      <w:r w:rsidRPr="5AC08441">
        <w:rPr>
          <w:rFonts w:ascii="Times New Roman" w:hAnsi="Times New Roman"/>
          <w:szCs w:val="24"/>
        </w:rPr>
        <w:t xml:space="preserve">  Partnering with other regulatory officials also helps maximize limited resources in administering FDA regulations pertaining to the manufacturing/processing, packing, or holding of </w:t>
      </w:r>
      <w:r w:rsidR="00950A8A">
        <w:rPr>
          <w:rFonts w:ascii="Times New Roman" w:hAnsi="Times New Roman"/>
          <w:szCs w:val="24"/>
        </w:rPr>
        <w:t>manufactured food</w:t>
      </w:r>
      <w:r w:rsidRPr="5AC08441">
        <w:rPr>
          <w:rFonts w:ascii="Times New Roman" w:hAnsi="Times New Roman"/>
          <w:szCs w:val="24"/>
        </w:rPr>
        <w:t xml:space="preserve"> for consumption in the United States.</w:t>
      </w:r>
    </w:p>
    <w:p w:rsidR="00C703DB" w:rsidP="687E0DC5" w14:paraId="6647C9ED" w14:textId="0D7C64AA">
      <w:pPr>
        <w:ind w:left="360"/>
        <w:rPr>
          <w:rFonts w:ascii="Times New Roman" w:hAnsi="Times New Roman"/>
        </w:rPr>
      </w:pPr>
    </w:p>
    <w:p w:rsidR="00AB36CC" w:rsidP="00AB36CC" w14:paraId="6C2DD597" w14:textId="4FBC72AD">
      <w:pPr>
        <w:ind w:left="540"/>
        <w:rPr>
          <w:rFonts w:ascii="Times New Roman" w:hAnsi="Times New Roman"/>
        </w:rPr>
      </w:pPr>
      <w:r>
        <w:rPr>
          <w:rFonts w:ascii="Times New Roman" w:hAnsi="Times New Roman"/>
        </w:rPr>
        <w:t xml:space="preserve">We </w:t>
      </w:r>
      <w:r w:rsidR="00163783">
        <w:rPr>
          <w:rFonts w:ascii="Times New Roman" w:hAnsi="Times New Roman"/>
        </w:rPr>
        <w:t xml:space="preserve">therefore </w:t>
      </w:r>
      <w:r>
        <w:rPr>
          <w:rFonts w:ascii="Times New Roman" w:hAnsi="Times New Roman"/>
        </w:rPr>
        <w:t xml:space="preserve">request </w:t>
      </w:r>
      <w:r>
        <w:rPr>
          <w:rFonts w:ascii="Times New Roman" w:hAnsi="Times New Roman"/>
        </w:rPr>
        <w:t>OMB approval of the information collection contained in the</w:t>
      </w:r>
      <w:r w:rsidR="00875E84">
        <w:rPr>
          <w:rFonts w:ascii="Times New Roman" w:hAnsi="Times New Roman"/>
          <w:szCs w:val="24"/>
        </w:rPr>
        <w:t xml:space="preserve"> </w:t>
      </w:r>
      <w:r w:rsidRPr="00E41263" w:rsidR="00B941E2">
        <w:rPr>
          <w:rFonts w:ascii="Times New Roman" w:hAnsi="Times New Roman"/>
          <w:szCs w:val="24"/>
        </w:rPr>
        <w:t>Manufactured Food Regulatory Program Standards</w:t>
      </w:r>
      <w:r w:rsidR="00D66446">
        <w:rPr>
          <w:rFonts w:ascii="Times New Roman" w:hAnsi="Times New Roman"/>
          <w:szCs w:val="24"/>
        </w:rPr>
        <w:t xml:space="preserve"> (MFRPS)</w:t>
      </w:r>
      <w:r>
        <w:rPr>
          <w:rFonts w:ascii="Times New Roman" w:hAnsi="Times New Roman"/>
        </w:rPr>
        <w:t>.</w:t>
      </w:r>
      <w:r w:rsidR="00B941E2">
        <w:rPr>
          <w:rFonts w:ascii="Times New Roman" w:hAnsi="Times New Roman"/>
        </w:rPr>
        <w:t xml:space="preserve"> </w:t>
      </w:r>
    </w:p>
    <w:p w:rsidR="00DC4C98" w:rsidP="0081093A" w14:paraId="6B908C0C" w14:textId="77777777">
      <w:pPr>
        <w:rPr>
          <w:rFonts w:ascii="Times New Roman" w:hAnsi="Times New Roman"/>
        </w:rPr>
      </w:pPr>
    </w:p>
    <w:p w:rsidR="008A22D9" w:rsidRPr="00DB79EE" w14:paraId="23599814" w14:textId="77777777">
      <w:pPr>
        <w:numPr>
          <w:ilvl w:val="0"/>
          <w:numId w:val="2"/>
        </w:numPr>
        <w:tabs>
          <w:tab w:val="clear" w:pos="360"/>
          <w:tab w:val="num"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rPr>
          <w:rFonts w:ascii="Times New Roman" w:hAnsi="Times New Roman"/>
          <w:u w:val="single"/>
        </w:rPr>
      </w:pPr>
      <w:r w:rsidRPr="00DB79EE">
        <w:rPr>
          <w:rFonts w:ascii="Times New Roman" w:hAnsi="Times New Roman"/>
          <w:u w:val="single"/>
        </w:rPr>
        <w:t>Purpose and Use of the Information Collection</w:t>
      </w:r>
    </w:p>
    <w:p w:rsidR="008A22D9" w:rsidRPr="00DB79EE" w14:paraId="3F2C0A83" w14:textId="77777777">
      <w:pPr>
        <w:ind w:left="540"/>
        <w:rPr>
          <w:rFonts w:ascii="Times New Roman" w:hAnsi="Times New Roman"/>
        </w:rPr>
      </w:pPr>
    </w:p>
    <w:p w:rsidR="004B47C2" w:rsidP="004B47C2" w14:paraId="68FE79AB" w14:textId="251C73DA">
      <w:pPr>
        <w:pStyle w:val="BodyTextIndent"/>
      </w:pPr>
      <w:r w:rsidRPr="004B47C2">
        <w:t xml:space="preserve">This information collection </w:t>
      </w:r>
      <w:r w:rsidR="00D56C9B">
        <w:t xml:space="preserve">is </w:t>
      </w:r>
      <w:r w:rsidRPr="004B47C2">
        <w:t xml:space="preserve">used by both FDA and the states to maximize the use of resources and better direct their regulatory activities to help ensure food manufactured, processed, packed, or held for consumption in each jurisdiction is safe and in compliance with state laws and regulations.  </w:t>
      </w:r>
    </w:p>
    <w:p w:rsidR="004B47C2" w:rsidRPr="004B47C2" w:rsidP="004B47C2" w14:paraId="13DF3A0F" w14:textId="77777777">
      <w:pPr>
        <w:pStyle w:val="BodyTextIndent"/>
      </w:pPr>
    </w:p>
    <w:p w:rsidR="004B47C2" w:rsidP="004B47C2" w14:paraId="058E861E" w14:textId="1B64F7E6">
      <w:pPr>
        <w:pStyle w:val="BodyTextIndent"/>
      </w:pPr>
      <w:r w:rsidRPr="004B47C2">
        <w:t xml:space="preserve">The regulatory program standards provide a uniform and consistent approach to </w:t>
      </w:r>
      <w:r w:rsidR="00A05F8A">
        <w:t>manufactured food</w:t>
      </w:r>
      <w:r w:rsidRPr="004B47C2">
        <w:t xml:space="preserve"> regulation in the United States.  States may implement the program standards on a voluntary basis.  The </w:t>
      </w:r>
      <w:r w:rsidR="08D61344">
        <w:t>MF</w:t>
      </w:r>
      <w:r>
        <w:t>RPS</w:t>
      </w:r>
      <w:r w:rsidRPr="004B47C2">
        <w:t xml:space="preserve"> is the framework that each participating state should use to design, manage, and improve its </w:t>
      </w:r>
      <w:r w:rsidR="00A05F8A">
        <w:t>manufactured food</w:t>
      </w:r>
      <w:r w:rsidRPr="004B47C2">
        <w:t xml:space="preserve"> regulatory programs.  The MFRPS provide for the following ten standards: (1) regulatory foundation; (2) training program; (3) inspection program; (4) audit program; (5) </w:t>
      </w:r>
      <w:r w:rsidR="00D66446">
        <w:t>food-related illness, outbreak</w:t>
      </w:r>
      <w:r w:rsidR="00073CA7">
        <w:t>,</w:t>
      </w:r>
      <w:r w:rsidR="00D66446">
        <w:t xml:space="preserve"> and hazards response</w:t>
      </w:r>
      <w:r w:rsidRPr="004B47C2">
        <w:t xml:space="preserve">; (6) compliance and enforcement program; (7) outreach activities; (8) program resources; (9) </w:t>
      </w:r>
      <w:r w:rsidR="00D66446">
        <w:t xml:space="preserve">program </w:t>
      </w:r>
      <w:r w:rsidRPr="004B47C2">
        <w:t xml:space="preserve">assessment; and (10) laboratory </w:t>
      </w:r>
      <w:r w:rsidRPr="004B47C2" w:rsidR="00D66446">
        <w:t>s</w:t>
      </w:r>
      <w:r w:rsidR="00D66446">
        <w:t>upport</w:t>
      </w:r>
      <w:r w:rsidRPr="004B47C2">
        <w:t xml:space="preserve">.  </w:t>
      </w:r>
      <w:r w:rsidR="00C97BD1">
        <w:t>There are no changes to the existing program standards.</w:t>
      </w:r>
    </w:p>
    <w:p w:rsidR="004B47C2" w:rsidRPr="004B47C2" w:rsidP="004B47C2" w14:paraId="548156B3" w14:textId="77777777">
      <w:pPr>
        <w:pStyle w:val="BodyTextIndent"/>
      </w:pPr>
    </w:p>
    <w:p w:rsidR="004B47C2" w:rsidP="004B47C2" w14:paraId="47BBDD14" w14:textId="1879B8FF">
      <w:pPr>
        <w:pStyle w:val="BodyTextIndent"/>
      </w:pPr>
      <w:r w:rsidRPr="004B47C2">
        <w:t>Each standard has a purpose statement, requirement summary, description of program elements, projected outcomes, and a list of required documentation.  When a state program voluntarily agrees to implement the standards, it must fully implement and maintain the individual program elements and documentation requirements in each standard to fully implement the standard.</w:t>
      </w:r>
      <w:r>
        <w:t xml:space="preserve"> </w:t>
      </w:r>
      <w:r w:rsidRPr="004B47C2">
        <w:t xml:space="preserve"> We invite you to visit our website (</w:t>
      </w:r>
      <w:hyperlink r:id="rId9" w:history="1">
        <w:r w:rsidRPr="004B47C2">
          <w:rPr>
            <w:rStyle w:val="Hyperlink"/>
          </w:rPr>
          <w:t xml:space="preserve">FDA </w:t>
        </w:r>
        <w:r w:rsidRPr="004B47C2">
          <w:rPr>
            <w:rStyle w:val="Hyperlink"/>
          </w:rPr>
          <w:t>R</w:t>
        </w:r>
        <w:r w:rsidRPr="004B47C2">
          <w:rPr>
            <w:rStyle w:val="Hyperlink"/>
          </w:rPr>
          <w:t>egulatory Program Standards</w:t>
        </w:r>
      </w:hyperlink>
      <w:r w:rsidRPr="004B47C2">
        <w:t>) for more information.</w:t>
      </w:r>
    </w:p>
    <w:p w:rsidR="004B47C2" w:rsidRPr="004B47C2" w:rsidP="004B47C2" w14:paraId="6062E7B1" w14:textId="77777777">
      <w:pPr>
        <w:pStyle w:val="BodyTextIndent"/>
      </w:pPr>
    </w:p>
    <w:p w:rsidR="004B47C2" w:rsidRPr="004B47C2" w:rsidP="00985645" w14:paraId="30846510" w14:textId="43028A2D">
      <w:pPr>
        <w:pStyle w:val="BodyTextIndent"/>
      </w:pPr>
      <w:r w:rsidRPr="004B47C2">
        <w:t xml:space="preserve">The MFPS includes </w:t>
      </w:r>
      <w:r w:rsidR="00D66446">
        <w:t>appendices</w:t>
      </w:r>
      <w:r w:rsidRPr="004B47C2">
        <w:t xml:space="preserve"> to help the state program assess and meet the program elements in the standard</w:t>
      </w:r>
      <w:r w:rsidR="00D66446">
        <w:t>s</w:t>
      </w:r>
      <w:r w:rsidRPr="004B47C2">
        <w:t xml:space="preserve">.  State programs are not obligated to use the </w:t>
      </w:r>
      <w:r w:rsidR="00D66446">
        <w:t>appendices</w:t>
      </w:r>
      <w:r w:rsidRPr="004B47C2">
        <w:t xml:space="preserve"> provided with the standards.  Other manual or automated forms, worksheets, and templates may be used as long as the pertinent data elements are present.  Records and other documents specified in the standards must be </w:t>
      </w:r>
      <w:r w:rsidR="00D66446">
        <w:t xml:space="preserve">current and fit for use </w:t>
      </w:r>
      <w:r w:rsidRPr="004B47C2">
        <w:t xml:space="preserve">and must be available to verify the implementation of each standard.  </w:t>
      </w:r>
      <w:r w:rsidRPr="004B47C2" w:rsidR="009A7708">
        <w:t xml:space="preserve">As set forth in the standards, the state program is expected to </w:t>
      </w:r>
      <w:r w:rsidR="009A7708">
        <w:t xml:space="preserve">develop </w:t>
      </w:r>
      <w:r w:rsidR="00F6307A">
        <w:rPr>
          <w:rStyle w:val="ui-provider"/>
        </w:rPr>
        <w:t>or update a strategic improvement plan that aids the state program in achieving and maintaining conformance with the program elements of each standard and addresses any necessary corrective actions.</w:t>
      </w:r>
    </w:p>
    <w:p w:rsidR="008A22D9" w:rsidP="002F2467" w14:paraId="4DEA9F3C" w14:textId="77777777">
      <w:pPr>
        <w:pStyle w:val="BodyTextIndent"/>
      </w:pPr>
    </w:p>
    <w:p w:rsidR="008A22D9" w:rsidRPr="001054ED" w14:paraId="3CEB964A" w14:textId="77777777">
      <w:pPr>
        <w:numPr>
          <w:ilvl w:val="0"/>
          <w:numId w:val="2"/>
        </w:numPr>
        <w:tabs>
          <w:tab w:val="clear"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rPr>
          <w:rFonts w:ascii="Times New Roman" w:hAnsi="Times New Roman"/>
          <w:u w:val="single"/>
        </w:rPr>
      </w:pPr>
      <w:r w:rsidRPr="001054ED">
        <w:rPr>
          <w:rFonts w:ascii="Times New Roman" w:hAnsi="Times New Roman"/>
          <w:u w:val="single"/>
        </w:rPr>
        <w:t xml:space="preserve">Use of Improved </w:t>
      </w:r>
      <w:r w:rsidRPr="001054ED">
        <w:rPr>
          <w:rFonts w:ascii="Times New Roman" w:hAnsi="Times New Roman"/>
          <w:u w:val="single"/>
        </w:rPr>
        <w:t>Information Technology</w:t>
      </w:r>
      <w:r w:rsidRPr="001054ED">
        <w:rPr>
          <w:rFonts w:ascii="Times New Roman" w:hAnsi="Times New Roman"/>
          <w:u w:val="single"/>
        </w:rPr>
        <w:t xml:space="preserve"> and Burden Reduction</w:t>
      </w:r>
    </w:p>
    <w:p w:rsidR="008A22D9" w14:paraId="34F17863" w14:textId="77777777">
      <w:pPr>
        <w:ind w:left="540"/>
        <w:rPr>
          <w:rFonts w:ascii="Times New Roman" w:hAnsi="Times New Roman"/>
          <w:u w:val="single"/>
        </w:rPr>
      </w:pPr>
    </w:p>
    <w:p w:rsidR="00301B3B" w:rsidRPr="00301B3B" w:rsidP="00301B3B" w14:paraId="5118A832" w14:textId="2B1121C9">
      <w:pPr>
        <w:ind w:left="540"/>
        <w:rPr>
          <w:rFonts w:ascii="Times New Roman" w:hAnsi="Times New Roman"/>
        </w:rPr>
      </w:pPr>
      <w:r>
        <w:rPr>
          <w:rFonts w:ascii="Times New Roman" w:hAnsi="Times New Roman"/>
        </w:rPr>
        <w:t xml:space="preserve">The </w:t>
      </w:r>
      <w:r w:rsidRPr="00301B3B">
        <w:rPr>
          <w:rFonts w:ascii="Times New Roman" w:hAnsi="Times New Roman"/>
        </w:rPr>
        <w:t xml:space="preserve">FDA estimates that 100 percent of the respondents will use electronic means to fulfill the agency’s requirement or request. </w:t>
      </w:r>
      <w:r w:rsidR="00CE40BB">
        <w:rPr>
          <w:rFonts w:ascii="Times New Roman" w:hAnsi="Times New Roman"/>
        </w:rPr>
        <w:t xml:space="preserve"> </w:t>
      </w:r>
      <w:r w:rsidRPr="00301B3B">
        <w:rPr>
          <w:rFonts w:ascii="Times New Roman" w:hAnsi="Times New Roman"/>
        </w:rPr>
        <w:t xml:space="preserve">Current practices allow the reporting and recordkeeping requirements to be met through electronic means. </w:t>
      </w:r>
      <w:r w:rsidR="00CE40BB">
        <w:rPr>
          <w:rFonts w:ascii="Times New Roman" w:hAnsi="Times New Roman"/>
        </w:rPr>
        <w:t xml:space="preserve"> </w:t>
      </w:r>
      <w:r w:rsidRPr="00301B3B">
        <w:rPr>
          <w:rFonts w:ascii="Times New Roman" w:hAnsi="Times New Roman"/>
        </w:rPr>
        <w:t xml:space="preserve">The </w:t>
      </w:r>
      <w:r w:rsidR="00F6307A">
        <w:rPr>
          <w:rFonts w:ascii="Times New Roman" w:hAnsi="Times New Roman"/>
        </w:rPr>
        <w:t>fillable appendices</w:t>
      </w:r>
      <w:r w:rsidRPr="00301B3B">
        <w:rPr>
          <w:rFonts w:ascii="Times New Roman" w:hAnsi="Times New Roman"/>
        </w:rPr>
        <w:t xml:space="preserve"> will be in Portable Document Format (PDF), Excel or Word Format and available on the internet.</w:t>
      </w:r>
      <w:r w:rsidR="00CE40BB">
        <w:rPr>
          <w:rFonts w:ascii="Times New Roman" w:hAnsi="Times New Roman"/>
        </w:rPr>
        <w:t xml:space="preserve"> </w:t>
      </w:r>
      <w:r w:rsidRPr="00301B3B">
        <w:rPr>
          <w:rFonts w:ascii="Times New Roman" w:hAnsi="Times New Roman"/>
        </w:rPr>
        <w:t xml:space="preserve"> </w:t>
      </w:r>
      <w:r>
        <w:rPr>
          <w:rFonts w:ascii="Times New Roman" w:hAnsi="Times New Roman"/>
        </w:rPr>
        <w:t xml:space="preserve">The MFRPS is publicly available for download at the FDA’s </w:t>
      </w:r>
      <w:hyperlink r:id="rId10" w:history="1">
        <w:r w:rsidRPr="00301B3B">
          <w:rPr>
            <w:rStyle w:val="Hyperlink"/>
            <w:rFonts w:ascii="Times New Roman" w:hAnsi="Times New Roman"/>
          </w:rPr>
          <w:t>Regulatory Program Standards</w:t>
        </w:r>
      </w:hyperlink>
      <w:r>
        <w:rPr>
          <w:rStyle w:val="Hyperlink"/>
          <w:rFonts w:ascii="Times New Roman" w:hAnsi="Times New Roman"/>
        </w:rPr>
        <w:t xml:space="preserve"> website </w:t>
      </w:r>
      <w:r w:rsidRPr="00301B3B">
        <w:rPr>
          <w:rFonts w:ascii="Times New Roman" w:hAnsi="Times New Roman"/>
        </w:rPr>
        <w:t>and questions may be directed to FDA through dedicated e-mail.</w:t>
      </w:r>
    </w:p>
    <w:p w:rsidR="00EE3CF7" w14:paraId="7F888374" w14:textId="77777777">
      <w:pPr>
        <w:ind w:left="540"/>
        <w:rPr>
          <w:rFonts w:ascii="Times New Roman" w:hAnsi="Times New Roman"/>
        </w:rPr>
      </w:pPr>
    </w:p>
    <w:p w:rsidR="008A22D9" w:rsidRPr="001054ED" w14:paraId="15545760" w14:textId="77777777">
      <w:pPr>
        <w:numPr>
          <w:ilvl w:val="0"/>
          <w:numId w:val="2"/>
        </w:numPr>
        <w:tabs>
          <w:tab w:val="clear" w:pos="360"/>
          <w:tab w:val="num"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rPr>
          <w:rFonts w:ascii="Times New Roman" w:hAnsi="Times New Roman"/>
          <w:u w:val="single"/>
        </w:rPr>
      </w:pPr>
      <w:r w:rsidRPr="001054ED">
        <w:rPr>
          <w:rFonts w:ascii="Times New Roman" w:hAnsi="Times New Roman"/>
          <w:u w:val="single"/>
        </w:rPr>
        <w:t>Efforts to Identify Duplication and Simil</w:t>
      </w:r>
      <w:r w:rsidRPr="001054ED" w:rsidR="00065A9D">
        <w:rPr>
          <w:rFonts w:ascii="Times New Roman" w:hAnsi="Times New Roman"/>
          <w:u w:val="single"/>
        </w:rPr>
        <w:t>ar Information</w:t>
      </w:r>
    </w:p>
    <w:p w:rsidR="008A22D9" w14:paraId="5FA8A968" w14:textId="77777777">
      <w:pPr>
        <w:ind w:left="540"/>
        <w:rPr>
          <w:rFonts w:ascii="Times New Roman" w:hAnsi="Times New Roman"/>
        </w:rPr>
      </w:pPr>
    </w:p>
    <w:p w:rsidR="008A22D9" w14:paraId="6477E913" w14:textId="46ADDB00">
      <w:pPr>
        <w:ind w:left="540"/>
        <w:rPr>
          <w:rFonts w:ascii="Times New Roman" w:hAnsi="Times New Roman"/>
        </w:rPr>
      </w:pPr>
      <w:r>
        <w:rPr>
          <w:rFonts w:ascii="Times New Roman" w:hAnsi="Times New Roman"/>
        </w:rPr>
        <w:t xml:space="preserve">The </w:t>
      </w:r>
      <w:r>
        <w:rPr>
          <w:rFonts w:ascii="Times New Roman" w:hAnsi="Times New Roman"/>
        </w:rPr>
        <w:t xml:space="preserve">information </w:t>
      </w:r>
      <w:r>
        <w:rPr>
          <w:rFonts w:ascii="Times New Roman" w:hAnsi="Times New Roman"/>
        </w:rPr>
        <w:t>described</w:t>
      </w:r>
      <w:r w:rsidR="00BF3C2D">
        <w:rPr>
          <w:rFonts w:ascii="Times New Roman" w:hAnsi="Times New Roman"/>
        </w:rPr>
        <w:t xml:space="preserve"> is not duplicative and must be obtained from the </w:t>
      </w:r>
      <w:r w:rsidR="00301B3B">
        <w:rPr>
          <w:rFonts w:ascii="Times New Roman" w:hAnsi="Times New Roman"/>
        </w:rPr>
        <w:t>enrolled programs</w:t>
      </w:r>
      <w:r w:rsidR="00BF3C2D">
        <w:rPr>
          <w:rFonts w:ascii="Times New Roman" w:hAnsi="Times New Roman"/>
        </w:rPr>
        <w:t>.</w:t>
      </w:r>
      <w:r>
        <w:rPr>
          <w:rFonts w:ascii="Times New Roman" w:hAnsi="Times New Roman"/>
        </w:rPr>
        <w:t xml:space="preserve"> </w:t>
      </w:r>
    </w:p>
    <w:p w:rsidR="004D30B4" w14:paraId="43DD3615" w14:textId="77777777">
      <w:pPr>
        <w:ind w:left="540"/>
        <w:rPr>
          <w:rFonts w:ascii="Times New Roman" w:hAnsi="Times New Roman"/>
        </w:rPr>
      </w:pPr>
    </w:p>
    <w:p w:rsidR="008A22D9" w:rsidRPr="001054ED" w14:paraId="069BCCDE" w14:textId="77777777">
      <w:pPr>
        <w:numPr>
          <w:ilvl w:val="0"/>
          <w:numId w:val="2"/>
        </w:numPr>
        <w:tabs>
          <w:tab w:val="clear" w:pos="360"/>
          <w:tab w:val="num"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rPr>
          <w:rFonts w:ascii="Times New Roman" w:hAnsi="Times New Roman"/>
          <w:u w:val="single"/>
        </w:rPr>
      </w:pPr>
      <w:r w:rsidRPr="001054ED">
        <w:rPr>
          <w:rFonts w:ascii="Times New Roman" w:hAnsi="Times New Roman"/>
          <w:u w:val="single"/>
        </w:rPr>
        <w:t>Impact on Small Business or Other Small Entities</w:t>
      </w:r>
    </w:p>
    <w:p w:rsidR="008A22D9" w14:paraId="220F2210" w14:textId="77777777">
      <w:pPr>
        <w:ind w:left="540"/>
        <w:rPr>
          <w:rFonts w:ascii="Times New Roman" w:hAnsi="Times New Roman"/>
        </w:rPr>
      </w:pPr>
    </w:p>
    <w:p w:rsidR="009F5ED6" w14:paraId="399A893E" w14:textId="683359EC">
      <w:pPr>
        <w:ind w:left="540"/>
        <w:rPr>
          <w:rFonts w:ascii="Times New Roman" w:hAnsi="Times New Roman"/>
        </w:rPr>
      </w:pPr>
      <w:r>
        <w:rPr>
          <w:rFonts w:ascii="Times New Roman" w:hAnsi="Times New Roman"/>
        </w:rPr>
        <w:t xml:space="preserve">FDA </w:t>
      </w:r>
      <w:r w:rsidR="002F5C06">
        <w:rPr>
          <w:rFonts w:ascii="Times New Roman" w:hAnsi="Times New Roman"/>
        </w:rPr>
        <w:t>does not anticipate</w:t>
      </w:r>
      <w:r>
        <w:rPr>
          <w:rFonts w:ascii="Times New Roman" w:hAnsi="Times New Roman"/>
        </w:rPr>
        <w:t xml:space="preserve"> </w:t>
      </w:r>
      <w:r w:rsidR="002F5C06">
        <w:rPr>
          <w:rFonts w:ascii="Times New Roman" w:hAnsi="Times New Roman"/>
        </w:rPr>
        <w:t xml:space="preserve">responses from small businesses and does not believe it </w:t>
      </w:r>
      <w:r w:rsidR="007863CC">
        <w:rPr>
          <w:rFonts w:ascii="Times New Roman" w:hAnsi="Times New Roman"/>
        </w:rPr>
        <w:t>will adversely</w:t>
      </w:r>
      <w:r w:rsidR="008A22D9">
        <w:rPr>
          <w:rFonts w:ascii="Times New Roman" w:hAnsi="Times New Roman"/>
        </w:rPr>
        <w:t xml:space="preserve"> affect small businesses or other small entities</w:t>
      </w:r>
      <w:r w:rsidR="00737B29">
        <w:rPr>
          <w:rFonts w:ascii="Times New Roman" w:hAnsi="Times New Roman"/>
        </w:rPr>
        <w:t>.</w:t>
      </w:r>
      <w:r w:rsidR="00301B3B">
        <w:rPr>
          <w:rFonts w:ascii="Times New Roman" w:hAnsi="Times New Roman"/>
        </w:rPr>
        <w:t xml:space="preserve"> </w:t>
      </w:r>
      <w:r w:rsidR="00737B29">
        <w:rPr>
          <w:rFonts w:ascii="Times New Roman" w:hAnsi="Times New Roman"/>
        </w:rPr>
        <w:t xml:space="preserve"> </w:t>
      </w:r>
      <w:r w:rsidR="00DC4C98">
        <w:rPr>
          <w:rFonts w:ascii="Times New Roman" w:hAnsi="Times New Roman"/>
        </w:rPr>
        <w:t xml:space="preserve">The </w:t>
      </w:r>
      <w:r w:rsidR="00623701">
        <w:rPr>
          <w:rFonts w:ascii="Times New Roman" w:hAnsi="Times New Roman"/>
        </w:rPr>
        <w:t>MFRPS</w:t>
      </w:r>
      <w:r w:rsidR="00DC4C98">
        <w:rPr>
          <w:rFonts w:ascii="Times New Roman" w:hAnsi="Times New Roman"/>
        </w:rPr>
        <w:t xml:space="preserve"> do not impact business or small entities. </w:t>
      </w:r>
    </w:p>
    <w:p w:rsidR="008A22D9" w14:paraId="788FE9A9" w14:textId="77777777">
      <w:pPr>
        <w:ind w:left="540"/>
        <w:rPr>
          <w:rFonts w:ascii="Times New Roman" w:hAnsi="Times New Roman"/>
        </w:rPr>
      </w:pPr>
    </w:p>
    <w:p w:rsidR="008A22D9" w:rsidRPr="001054ED" w14:paraId="4403E5F1" w14:textId="77777777">
      <w:pPr>
        <w:numPr>
          <w:ilvl w:val="0"/>
          <w:numId w:val="2"/>
        </w:numPr>
        <w:tabs>
          <w:tab w:val="clear" w:pos="360"/>
          <w:tab w:val="num"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rPr>
          <w:rFonts w:ascii="Times New Roman" w:hAnsi="Times New Roman"/>
          <w:u w:val="single"/>
        </w:rPr>
      </w:pPr>
      <w:r w:rsidRPr="001054ED">
        <w:rPr>
          <w:rFonts w:ascii="Times New Roman" w:hAnsi="Times New Roman"/>
          <w:u w:val="single"/>
        </w:rPr>
        <w:t>Consequences of Collecting the I</w:t>
      </w:r>
      <w:r w:rsidRPr="001054ED" w:rsidR="008E7BF9">
        <w:rPr>
          <w:rFonts w:ascii="Times New Roman" w:hAnsi="Times New Roman"/>
          <w:u w:val="single"/>
        </w:rPr>
        <w:t>nformation Less Frequently</w:t>
      </w:r>
    </w:p>
    <w:p w:rsidR="008A22D9" w14:paraId="6499179B" w14:textId="45BDB904">
      <w:pPr>
        <w:ind w:left="540"/>
        <w:rPr>
          <w:rFonts w:ascii="Times New Roman" w:hAnsi="Times New Roman"/>
        </w:rPr>
      </w:pPr>
    </w:p>
    <w:p w:rsidR="00C0200A" w:rsidP="00C0200A" w14:paraId="004533E0" w14:textId="1800F1F7">
      <w:pPr>
        <w:ind w:left="540"/>
        <w:rPr>
          <w:rFonts w:ascii="Times New Roman" w:hAnsi="Times New Roman"/>
        </w:rPr>
      </w:pPr>
      <w:r>
        <w:rPr>
          <w:rFonts w:ascii="Times New Roman" w:hAnsi="Times New Roman"/>
        </w:rPr>
        <w:t xml:space="preserve">Collecting the information solicited in this collection less frequently would negatively impact FDA’s ability to evaluate annual grantee performance. </w:t>
      </w:r>
      <w:r w:rsidR="00301B3B">
        <w:rPr>
          <w:rFonts w:ascii="Times New Roman" w:hAnsi="Times New Roman"/>
        </w:rPr>
        <w:t xml:space="preserve"> </w:t>
      </w:r>
      <w:r>
        <w:rPr>
          <w:rFonts w:ascii="Times New Roman" w:hAnsi="Times New Roman"/>
        </w:rPr>
        <w:t>The annual collection is proportionate and appropriate.</w:t>
      </w:r>
    </w:p>
    <w:p w:rsidR="008A22D9" w:rsidRPr="003D238D" w14:paraId="326211AF" w14:textId="77777777">
      <w:pPr>
        <w:ind w:left="540"/>
        <w:rPr>
          <w:rFonts w:ascii="Times New Roman" w:hAnsi="Times New Roman"/>
          <w:szCs w:val="24"/>
        </w:rPr>
      </w:pPr>
      <w:r w:rsidRPr="003D238D">
        <w:rPr>
          <w:rFonts w:ascii="Times New Roman" w:hAnsi="Times New Roman"/>
          <w:szCs w:val="24"/>
        </w:rPr>
        <w:t xml:space="preserve">  </w:t>
      </w:r>
    </w:p>
    <w:p w:rsidR="008A22D9" w14:paraId="774D3E89" w14:textId="77777777">
      <w:pPr>
        <w:pStyle w:val="BodyText"/>
        <w:ind w:left="540"/>
      </w:pPr>
      <w:r>
        <w:t>There are no technical or legal obstacles to the collection of this information.</w:t>
      </w:r>
    </w:p>
    <w:p w:rsidR="008A22D9" w14:paraId="69651769" w14:textId="77777777">
      <w:pPr>
        <w:ind w:left="540"/>
        <w:rPr>
          <w:rFonts w:ascii="Times New Roman" w:hAnsi="Times New Roman"/>
        </w:rPr>
      </w:pPr>
    </w:p>
    <w:p w:rsidR="008A22D9" w:rsidRPr="001054ED" w14:paraId="66400AE8" w14:textId="77777777">
      <w:pPr>
        <w:numPr>
          <w:ilvl w:val="0"/>
          <w:numId w:val="2"/>
        </w:numPr>
        <w:tabs>
          <w:tab w:val="clear" w:pos="360"/>
          <w:tab w:val="num"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rPr>
          <w:rFonts w:ascii="Times New Roman" w:hAnsi="Times New Roman"/>
          <w:u w:val="single"/>
        </w:rPr>
      </w:pPr>
      <w:r w:rsidRPr="001054ED">
        <w:rPr>
          <w:rFonts w:ascii="Times New Roman" w:hAnsi="Times New Roman"/>
          <w:u w:val="single"/>
        </w:rPr>
        <w:t>Consistency with the Guidelines in 5 C</w:t>
      </w:r>
      <w:r w:rsidRPr="001054ED" w:rsidR="002C6C2F">
        <w:rPr>
          <w:rFonts w:ascii="Times New Roman" w:hAnsi="Times New Roman"/>
          <w:u w:val="single"/>
        </w:rPr>
        <w:t>FR 1320.5</w:t>
      </w:r>
    </w:p>
    <w:p w:rsidR="008A22D9" w14:paraId="41EF5879" w14:textId="77777777">
      <w:pPr>
        <w:ind w:left="540"/>
        <w:rPr>
          <w:rFonts w:ascii="Times New Roman" w:hAnsi="Times New Roman"/>
        </w:rPr>
      </w:pPr>
    </w:p>
    <w:p w:rsidR="008A22D9" w14:paraId="1621ECE8" w14:textId="77777777">
      <w:pPr>
        <w:ind w:left="540"/>
        <w:rPr>
          <w:rFonts w:ascii="Times New Roman" w:hAnsi="Times New Roman"/>
        </w:rPr>
      </w:pPr>
      <w:r>
        <w:rPr>
          <w:rFonts w:ascii="Times New Roman" w:hAnsi="Times New Roman"/>
        </w:rPr>
        <w:t>There are no special circumstances for this collection of this information</w:t>
      </w:r>
      <w:r w:rsidR="00737B29">
        <w:rPr>
          <w:rFonts w:ascii="Times New Roman" w:hAnsi="Times New Roman"/>
        </w:rPr>
        <w:t xml:space="preserve">. </w:t>
      </w:r>
    </w:p>
    <w:p w:rsidR="008A22D9" w14:paraId="2E8A36AE" w14:textId="77777777">
      <w:pPr>
        <w:ind w:left="540"/>
        <w:rPr>
          <w:rFonts w:ascii="Times New Roman" w:hAnsi="Times New Roman"/>
        </w:rPr>
      </w:pPr>
    </w:p>
    <w:p w:rsidR="008A22D9" w:rsidRPr="001054ED" w14:paraId="0760861C" w14:textId="77777777">
      <w:pPr>
        <w:numPr>
          <w:ilvl w:val="0"/>
          <w:numId w:val="2"/>
        </w:numPr>
        <w:tabs>
          <w:tab w:val="clear" w:pos="360"/>
          <w:tab w:val="num"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rPr>
          <w:rFonts w:ascii="Times New Roman" w:hAnsi="Times New Roman"/>
          <w:u w:val="single"/>
        </w:rPr>
      </w:pPr>
      <w:r w:rsidRPr="3FBA9B50">
        <w:rPr>
          <w:rFonts w:ascii="Times New Roman" w:hAnsi="Times New Roman"/>
          <w:u w:val="single"/>
        </w:rPr>
        <w:t>Comments in Response to the Federal Register Notice and Efforts to Consult Outside the Agency</w:t>
      </w:r>
    </w:p>
    <w:p w:rsidR="008A22D9" w14:paraId="1D058BEF" w14:textId="77777777">
      <w:pPr>
        <w:ind w:left="540"/>
        <w:rPr>
          <w:rFonts w:ascii="Times New Roman" w:hAnsi="Times New Roman"/>
          <w:u w:val="single"/>
        </w:rPr>
      </w:pPr>
    </w:p>
    <w:p w:rsidR="00AC739D" w:rsidP="3FBA9B50" w14:paraId="45A02AC4" w14:textId="117CEDFF">
      <w:pPr>
        <w:ind w:left="540"/>
        <w:rPr>
          <w:rFonts w:ascii="Times New Roman" w:hAnsi="Times New Roman"/>
        </w:rPr>
      </w:pPr>
      <w:r w:rsidRPr="0D355076">
        <w:rPr>
          <w:rFonts w:ascii="Times New Roman" w:hAnsi="Times New Roman"/>
        </w:rPr>
        <w:t>In accordance with 5 CFR 1320.8(d), FDA published a 60</w:t>
      </w:r>
      <w:r w:rsidRPr="0D355076" w:rsidR="00832A62">
        <w:rPr>
          <w:rFonts w:ascii="Times New Roman" w:hAnsi="Times New Roman"/>
        </w:rPr>
        <w:t>-</w:t>
      </w:r>
      <w:r w:rsidRPr="0D355076">
        <w:rPr>
          <w:rFonts w:ascii="Times New Roman" w:hAnsi="Times New Roman"/>
        </w:rPr>
        <w:t xml:space="preserve">day notice for public comment in the </w:t>
      </w:r>
      <w:r w:rsidRPr="0D355076" w:rsidR="00512C49">
        <w:rPr>
          <w:rFonts w:ascii="Times New Roman" w:hAnsi="Times New Roman"/>
          <w:i/>
          <w:iCs/>
        </w:rPr>
        <w:t>Federal Register</w:t>
      </w:r>
      <w:r w:rsidRPr="0D355076" w:rsidR="00512C49">
        <w:rPr>
          <w:rFonts w:ascii="Times New Roman" w:hAnsi="Times New Roman"/>
        </w:rPr>
        <w:t xml:space="preserve"> </w:t>
      </w:r>
      <w:r w:rsidRPr="0D355076">
        <w:rPr>
          <w:rFonts w:ascii="Times New Roman" w:hAnsi="Times New Roman"/>
        </w:rPr>
        <w:t>of</w:t>
      </w:r>
      <w:r w:rsidRPr="0D355076" w:rsidR="007E63C8">
        <w:rPr>
          <w:rFonts w:ascii="Times New Roman" w:hAnsi="Times New Roman"/>
        </w:rPr>
        <w:t xml:space="preserve"> </w:t>
      </w:r>
      <w:r w:rsidRPr="0D355076" w:rsidR="62FD7D88">
        <w:rPr>
          <w:rFonts w:ascii="Times New Roman" w:hAnsi="Times New Roman"/>
        </w:rPr>
        <w:t>June 16, 2025</w:t>
      </w:r>
      <w:r w:rsidR="00412FB6">
        <w:rPr>
          <w:rFonts w:ascii="Times New Roman" w:hAnsi="Times New Roman"/>
        </w:rPr>
        <w:t xml:space="preserve"> (</w:t>
      </w:r>
      <w:r w:rsidRPr="0D355076" w:rsidR="62FD7D88">
        <w:rPr>
          <w:rFonts w:ascii="Times New Roman" w:hAnsi="Times New Roman"/>
        </w:rPr>
        <w:t>90 FR 25309</w:t>
      </w:r>
      <w:r w:rsidR="00412FB6">
        <w:rPr>
          <w:rFonts w:ascii="Times New Roman" w:hAnsi="Times New Roman"/>
        </w:rPr>
        <w:t>). N</w:t>
      </w:r>
      <w:r w:rsidRPr="0D355076" w:rsidR="005C13F9">
        <w:rPr>
          <w:rFonts w:ascii="Times New Roman" w:hAnsi="Times New Roman"/>
        </w:rPr>
        <w:t>o</w:t>
      </w:r>
      <w:r w:rsidRPr="0D355076">
        <w:rPr>
          <w:rFonts w:ascii="Times New Roman" w:hAnsi="Times New Roman"/>
        </w:rPr>
        <w:t xml:space="preserve"> comments</w:t>
      </w:r>
      <w:r w:rsidR="00412FB6">
        <w:rPr>
          <w:rFonts w:ascii="Times New Roman" w:hAnsi="Times New Roman"/>
        </w:rPr>
        <w:t xml:space="preserve"> were received</w:t>
      </w:r>
      <w:r w:rsidRPr="0D355076">
        <w:rPr>
          <w:rFonts w:ascii="Times New Roman" w:hAnsi="Times New Roman"/>
        </w:rPr>
        <w:t>.    </w:t>
      </w:r>
    </w:p>
    <w:p w:rsidR="00134983" w:rsidP="00AC739D" w14:paraId="31061FEA" w14:textId="77777777">
      <w:pPr>
        <w:ind w:left="540"/>
        <w:rPr>
          <w:rFonts w:ascii="Times New Roman" w:hAnsi="Times New Roman"/>
          <w:szCs w:val="24"/>
        </w:rPr>
      </w:pPr>
    </w:p>
    <w:p w:rsidR="00977E4A" w:rsidP="00AC739D" w14:paraId="71534414" w14:textId="4503DFDE">
      <w:pPr>
        <w:ind w:left="540"/>
        <w:rPr>
          <w:rFonts w:ascii="Times New Roman" w:hAnsi="Times New Roman"/>
          <w:szCs w:val="24"/>
        </w:rPr>
      </w:pPr>
      <w:r w:rsidRPr="00977E4A">
        <w:rPr>
          <w:rFonts w:ascii="Times New Roman" w:hAnsi="Times New Roman"/>
          <w:szCs w:val="24"/>
        </w:rPr>
        <w:t>The FDA work</w:t>
      </w:r>
      <w:r>
        <w:rPr>
          <w:rFonts w:ascii="Times New Roman" w:hAnsi="Times New Roman"/>
          <w:szCs w:val="24"/>
        </w:rPr>
        <w:t>s</w:t>
      </w:r>
      <w:r w:rsidRPr="00977E4A">
        <w:rPr>
          <w:rFonts w:ascii="Times New Roman" w:hAnsi="Times New Roman"/>
          <w:szCs w:val="24"/>
        </w:rPr>
        <w:t xml:space="preserve"> closely with </w:t>
      </w:r>
      <w:r>
        <w:rPr>
          <w:rFonts w:ascii="Times New Roman" w:hAnsi="Times New Roman"/>
          <w:szCs w:val="24"/>
        </w:rPr>
        <w:t xml:space="preserve">state agencies participating in the MFRPS program </w:t>
      </w:r>
      <w:r w:rsidRPr="00977E4A">
        <w:rPr>
          <w:rFonts w:ascii="Times New Roman" w:hAnsi="Times New Roman"/>
          <w:szCs w:val="24"/>
        </w:rPr>
        <w:t xml:space="preserve">through the </w:t>
      </w:r>
      <w:r>
        <w:rPr>
          <w:rFonts w:ascii="Times New Roman" w:hAnsi="Times New Roman"/>
          <w:szCs w:val="24"/>
        </w:rPr>
        <w:t>AFDO MFRPA</w:t>
      </w:r>
      <w:r w:rsidRPr="00977E4A">
        <w:rPr>
          <w:rFonts w:ascii="Times New Roman" w:hAnsi="Times New Roman"/>
          <w:szCs w:val="24"/>
        </w:rPr>
        <w:t xml:space="preserve"> </w:t>
      </w:r>
      <w:r>
        <w:rPr>
          <w:rFonts w:ascii="Times New Roman" w:hAnsi="Times New Roman"/>
          <w:szCs w:val="24"/>
        </w:rPr>
        <w:t>Board</w:t>
      </w:r>
      <w:r w:rsidRPr="00977E4A">
        <w:rPr>
          <w:rFonts w:ascii="Times New Roman" w:hAnsi="Times New Roman"/>
          <w:szCs w:val="24"/>
        </w:rPr>
        <w:t xml:space="preserve"> to review </w:t>
      </w:r>
      <w:r>
        <w:rPr>
          <w:rFonts w:ascii="Times New Roman" w:hAnsi="Times New Roman"/>
          <w:szCs w:val="24"/>
        </w:rPr>
        <w:t xml:space="preserve">and evaluate </w:t>
      </w:r>
      <w:r w:rsidRPr="00977E4A">
        <w:rPr>
          <w:rFonts w:ascii="Times New Roman" w:hAnsi="Times New Roman"/>
          <w:szCs w:val="24"/>
        </w:rPr>
        <w:t>the</w:t>
      </w:r>
      <w:r>
        <w:rPr>
          <w:rFonts w:ascii="Times New Roman" w:hAnsi="Times New Roman"/>
          <w:szCs w:val="24"/>
        </w:rPr>
        <w:t xml:space="preserve"> program standards. </w:t>
      </w:r>
      <w:r w:rsidR="00487E8E">
        <w:rPr>
          <w:rFonts w:ascii="Times New Roman" w:hAnsi="Times New Roman"/>
          <w:szCs w:val="24"/>
        </w:rPr>
        <w:t xml:space="preserve">There were no changes made to this version of the MFRPS. </w:t>
      </w:r>
      <w:r w:rsidRPr="00AC739D" w:rsidR="00AC739D">
        <w:rPr>
          <w:rFonts w:ascii="Times New Roman" w:hAnsi="Times New Roman"/>
          <w:szCs w:val="24"/>
        </w:rPr>
        <w:t xml:space="preserve">The </w:t>
      </w:r>
      <w:r w:rsidR="00556B95">
        <w:rPr>
          <w:rFonts w:ascii="Times New Roman" w:hAnsi="Times New Roman"/>
          <w:szCs w:val="24"/>
        </w:rPr>
        <w:t xml:space="preserve">program standards </w:t>
      </w:r>
      <w:r w:rsidR="00487E8E">
        <w:rPr>
          <w:rFonts w:ascii="Times New Roman" w:hAnsi="Times New Roman"/>
          <w:szCs w:val="24"/>
        </w:rPr>
        <w:t>are</w:t>
      </w:r>
      <w:r w:rsidR="00556B95">
        <w:rPr>
          <w:rFonts w:ascii="Times New Roman" w:hAnsi="Times New Roman"/>
          <w:szCs w:val="24"/>
        </w:rPr>
        <w:t xml:space="preserve"> </w:t>
      </w:r>
      <w:r w:rsidRPr="00AC739D" w:rsidR="00AC739D">
        <w:rPr>
          <w:rFonts w:ascii="Times New Roman" w:hAnsi="Times New Roman"/>
          <w:szCs w:val="24"/>
        </w:rPr>
        <w:t>the result of external collaboration and coordination between FDA and the Association of Food and Drug Officials (AFDO) Manufactured Food Regulatory Program Alliance (MFRPA)</w:t>
      </w:r>
      <w:r w:rsidR="00842366">
        <w:rPr>
          <w:rFonts w:ascii="Times New Roman" w:hAnsi="Times New Roman"/>
          <w:szCs w:val="24"/>
        </w:rPr>
        <w:t>.</w:t>
      </w:r>
      <w:r w:rsidRPr="00AC739D" w:rsidR="00AC739D">
        <w:rPr>
          <w:rFonts w:ascii="Times New Roman" w:hAnsi="Times New Roman"/>
          <w:szCs w:val="24"/>
        </w:rPr>
        <w:t xml:space="preserve"> We consider any formal comments received on the previous edition of the</w:t>
      </w:r>
      <w:r w:rsidR="00842366">
        <w:rPr>
          <w:rFonts w:ascii="Times New Roman" w:hAnsi="Times New Roman"/>
          <w:szCs w:val="24"/>
        </w:rPr>
        <w:t>se</w:t>
      </w:r>
      <w:r w:rsidRPr="00AC739D" w:rsidR="00AC739D">
        <w:rPr>
          <w:rFonts w:ascii="Times New Roman" w:hAnsi="Times New Roman"/>
          <w:szCs w:val="24"/>
        </w:rPr>
        <w:t xml:space="preserve"> program standards and feedback obtained from our collaboration with the </w:t>
      </w:r>
      <w:r w:rsidR="00842366">
        <w:rPr>
          <w:rFonts w:ascii="Times New Roman" w:hAnsi="Times New Roman"/>
          <w:szCs w:val="24"/>
        </w:rPr>
        <w:t>s</w:t>
      </w:r>
      <w:r w:rsidRPr="00AC739D" w:rsidR="00AC739D">
        <w:rPr>
          <w:rFonts w:ascii="Times New Roman" w:hAnsi="Times New Roman"/>
          <w:szCs w:val="24"/>
        </w:rPr>
        <w:t xml:space="preserve">tates.  </w:t>
      </w:r>
    </w:p>
    <w:p w:rsidR="00B069D1" w:rsidP="0000779B" w14:paraId="49E8F932" w14:textId="77777777">
      <w:pPr>
        <w:rPr>
          <w:rFonts w:ascii="Candara" w:hAnsi="Candara"/>
          <w:color w:val="1F497D"/>
          <w:szCs w:val="24"/>
        </w:rPr>
      </w:pPr>
    </w:p>
    <w:p w:rsidR="008A22D9" w14:paraId="68C0891B" w14:textId="529457C9">
      <w:pPr>
        <w:widowControl w:val="0"/>
        <w:tabs>
          <w:tab w:val="left" w:pos="-1440"/>
          <w:tab w:val="left" w:pos="540"/>
        </w:tabs>
        <w:ind w:left="540" w:hanging="540"/>
        <w:rPr>
          <w:rFonts w:ascii="Times New Roman" w:hAnsi="Times New Roman"/>
          <w:b/>
        </w:rPr>
      </w:pPr>
      <w:r w:rsidRPr="001054ED">
        <w:rPr>
          <w:rFonts w:ascii="Times New Roman" w:hAnsi="Times New Roman"/>
        </w:rPr>
        <w:t>9.</w:t>
      </w:r>
      <w:r>
        <w:rPr>
          <w:rFonts w:ascii="Times New Roman" w:hAnsi="Times New Roman"/>
          <w:b/>
        </w:rPr>
        <w:tab/>
      </w:r>
      <w:r w:rsidRPr="001054ED">
        <w:rPr>
          <w:rFonts w:ascii="Times New Roman" w:hAnsi="Times New Roman"/>
          <w:u w:val="single"/>
        </w:rPr>
        <w:t>Explanation of any Payment o</w:t>
      </w:r>
      <w:r w:rsidR="005905FB">
        <w:rPr>
          <w:rFonts w:ascii="Times New Roman" w:hAnsi="Times New Roman"/>
          <w:u w:val="single"/>
        </w:rPr>
        <w:t>r</w:t>
      </w:r>
      <w:r w:rsidRPr="001054ED">
        <w:rPr>
          <w:rFonts w:ascii="Times New Roman" w:hAnsi="Times New Roman"/>
          <w:u w:val="single"/>
        </w:rPr>
        <w:t xml:space="preserve"> Gift to Respondents</w:t>
      </w:r>
    </w:p>
    <w:p w:rsidR="002E096D" w:rsidP="002E096D" w14:paraId="263BDF57" w14:textId="77777777">
      <w:pPr>
        <w:ind w:left="540"/>
        <w:rPr>
          <w:rFonts w:ascii="Times New Roman" w:hAnsi="Times New Roman"/>
        </w:rPr>
      </w:pPr>
    </w:p>
    <w:p w:rsidR="002E096D" w:rsidRPr="002E096D" w:rsidP="002E096D" w14:paraId="02ACFB27" w14:textId="61110D5B">
      <w:pPr>
        <w:ind w:left="540"/>
        <w:rPr>
          <w:rFonts w:ascii="Times New Roman" w:hAnsi="Times New Roman"/>
        </w:rPr>
      </w:pPr>
      <w:r w:rsidRPr="002E096D">
        <w:rPr>
          <w:rFonts w:ascii="Times New Roman" w:hAnsi="Times New Roman"/>
        </w:rPr>
        <w:t>No gift or payment is offered to respondents for completing the information collection.</w:t>
      </w:r>
      <w:r w:rsidR="004D397B">
        <w:rPr>
          <w:rFonts w:ascii="Times New Roman" w:hAnsi="Times New Roman"/>
        </w:rPr>
        <w:t xml:space="preserve"> </w:t>
      </w:r>
      <w:r w:rsidRPr="002E096D">
        <w:rPr>
          <w:rFonts w:ascii="Times New Roman" w:hAnsi="Times New Roman"/>
        </w:rPr>
        <w:t xml:space="preserve"> The standards do correspond to a grant program that conforms to federal regulations.</w:t>
      </w:r>
    </w:p>
    <w:p w:rsidR="00EE3CF7" w14:paraId="52284F87" w14:textId="77777777">
      <w:pPr>
        <w:ind w:left="540"/>
        <w:rPr>
          <w:rFonts w:ascii="Times New Roman" w:hAnsi="Times New Roman"/>
        </w:rPr>
      </w:pPr>
    </w:p>
    <w:p w:rsidR="008A22D9" w:rsidP="007E63C8" w14:paraId="3CDE3813" w14:textId="77777777">
      <w:pPr>
        <w:widowControl w:val="0"/>
        <w:tabs>
          <w:tab w:val="left" w:pos="-1440"/>
          <w:tab w:val="left" w:pos="540"/>
        </w:tabs>
        <w:ind w:left="540" w:hanging="540"/>
        <w:rPr>
          <w:rFonts w:ascii="Times New Roman" w:hAnsi="Times New Roman"/>
          <w:u w:val="single"/>
        </w:rPr>
      </w:pPr>
      <w:r w:rsidRPr="00CD233E">
        <w:rPr>
          <w:rFonts w:ascii="Times New Roman" w:hAnsi="Times New Roman"/>
        </w:rPr>
        <w:t>10</w:t>
      </w:r>
      <w:r w:rsidRPr="007E63C8">
        <w:t>.</w:t>
      </w:r>
      <w:r w:rsidRPr="007E63C8">
        <w:rPr>
          <w:b/>
        </w:rPr>
        <w:tab/>
      </w:r>
      <w:r w:rsidRPr="00832A62">
        <w:rPr>
          <w:rFonts w:ascii="Times New Roman" w:hAnsi="Times New Roman"/>
          <w:u w:val="single"/>
        </w:rPr>
        <w:t>Assurance of Confidentiality Provided to Respondent</w:t>
      </w:r>
      <w:r w:rsidRPr="00832A62" w:rsidR="003239BB">
        <w:rPr>
          <w:rFonts w:ascii="Times New Roman" w:hAnsi="Times New Roman"/>
          <w:u w:val="single"/>
        </w:rPr>
        <w:t>s</w:t>
      </w:r>
    </w:p>
    <w:p w:rsidR="00C949F6" w:rsidP="007E63C8" w14:paraId="3DAA1ADC" w14:textId="77777777">
      <w:pPr>
        <w:widowControl w:val="0"/>
        <w:tabs>
          <w:tab w:val="left" w:pos="-1440"/>
          <w:tab w:val="left" w:pos="540"/>
        </w:tabs>
        <w:ind w:left="540" w:hanging="540"/>
      </w:pPr>
    </w:p>
    <w:p w:rsidR="00C949F6" w:rsidRPr="00C949F6" w:rsidP="0026100F" w14:paraId="08869272" w14:textId="6861387F">
      <w:pPr>
        <w:ind w:left="540"/>
        <w:rPr>
          <w:rFonts w:ascii="Times New Roman" w:hAnsi="Times New Roman" w:eastAsiaTheme="minorHAnsi"/>
          <w:i/>
          <w:iCs/>
          <w:szCs w:val="24"/>
        </w:rPr>
      </w:pPr>
      <w:r w:rsidRPr="00C949F6">
        <w:rPr>
          <w:rFonts w:ascii="Times New Roman" w:hAnsi="Times New Roman" w:eastAsiaTheme="minorHAnsi"/>
          <w:i/>
          <w:iCs/>
          <w:szCs w:val="24"/>
        </w:rPr>
        <w:t>The Privacy Act of 1974 [5 U.S.C. 552a]</w:t>
      </w:r>
    </w:p>
    <w:p w:rsidR="00C949F6" w:rsidRPr="00C949F6" w:rsidP="0026100F" w14:paraId="376C145E" w14:textId="77777777">
      <w:pPr>
        <w:ind w:left="540"/>
        <w:rPr>
          <w:rFonts w:ascii="Times New Roman" w:hAnsi="Times New Roman" w:eastAsiaTheme="minorHAnsi"/>
          <w:szCs w:val="24"/>
        </w:rPr>
      </w:pPr>
    </w:p>
    <w:p w:rsidR="00C949F6" w:rsidRPr="0026100F" w:rsidP="0026100F" w14:paraId="2DACD883" w14:textId="4FDEFA93">
      <w:pPr>
        <w:spacing w:after="160" w:line="259" w:lineRule="auto"/>
        <w:ind w:left="540"/>
        <w:rPr>
          <w:rFonts w:ascii="Times New Roman" w:hAnsi="Times New Roman" w:eastAsiaTheme="minorHAnsi"/>
          <w:szCs w:val="24"/>
        </w:rPr>
      </w:pPr>
      <w:r w:rsidRPr="0026100F">
        <w:rPr>
          <w:rFonts w:ascii="Times New Roman" w:hAnsi="Times New Roman" w:eastAsiaTheme="minorHAnsi"/>
          <w:szCs w:val="24"/>
        </w:rPr>
        <w:t xml:space="preserve">In preparing this supporting statement, we consulted our Privacy Office to ensure appropriate identification and handling of information collected.  Although this ICR collects personally identifiable information (PII), it is collected in the context of the subject individuals’ professional capacity and the FDA-related work performed for their employer (e.g., point of contact at a regulated entity).  The PII submitted via </w:t>
      </w:r>
      <w:r w:rsidRPr="0026100F" w:rsidR="00574749">
        <w:rPr>
          <w:rFonts w:ascii="Times New Roman" w:hAnsi="Times New Roman" w:eastAsiaTheme="minorHAnsi"/>
          <w:szCs w:val="24"/>
        </w:rPr>
        <w:t xml:space="preserve">the Manufactured Food Regulatory Program Standards (MFRPS) Appendices 10.5.1 through 10.5.6.5 is </w:t>
      </w:r>
      <w:r w:rsidRPr="0026100F">
        <w:rPr>
          <w:rFonts w:ascii="Times New Roman" w:hAnsi="Times New Roman" w:eastAsiaTheme="minorHAnsi"/>
          <w:szCs w:val="24"/>
        </w:rPr>
        <w:t>name, email address,</w:t>
      </w:r>
      <w:r w:rsidRPr="0026100F" w:rsidR="00574749">
        <w:rPr>
          <w:rFonts w:ascii="Times New Roman" w:hAnsi="Times New Roman" w:eastAsiaTheme="minorHAnsi"/>
          <w:szCs w:val="24"/>
        </w:rPr>
        <w:t xml:space="preserve"> and business address</w:t>
      </w:r>
      <w:r w:rsidRPr="0026100F">
        <w:rPr>
          <w:rFonts w:ascii="Times New Roman" w:hAnsi="Times New Roman" w:eastAsiaTheme="minorHAnsi"/>
          <w:szCs w:val="24"/>
        </w:rPr>
        <w:t>.  We have determined that although PII is collected, the collection is not subject to the Privacy Act of 1974 and the particular notice and other requirements of the Privacy</w:t>
      </w:r>
      <w:r w:rsidRPr="0026100F">
        <w:rPr>
          <w:rFonts w:ascii="Times New Roman" w:hAnsi="Times New Roman" w:eastAsiaTheme="minorHAnsi"/>
          <w:b/>
          <w:bCs/>
          <w:szCs w:val="24"/>
        </w:rPr>
        <w:t xml:space="preserve"> </w:t>
      </w:r>
      <w:r w:rsidRPr="0026100F">
        <w:rPr>
          <w:rFonts w:ascii="Times New Roman" w:hAnsi="Times New Roman" w:eastAsiaTheme="minorHAnsi"/>
          <w:szCs w:val="24"/>
        </w:rPr>
        <w:t>Act do not apply. Specifically, the FDA does not use name or any other personal identifier to retrieve records from the information collected.  Through appropriate form and/or webpage design, FDA limited submission fields and minimized the PII collected to protect the privacy of the individuals.</w:t>
      </w:r>
    </w:p>
    <w:p w:rsidR="00C949F6" w:rsidRPr="0026100F" w:rsidP="0026100F" w14:paraId="5AFADCCD" w14:textId="77777777">
      <w:pPr>
        <w:spacing w:after="160" w:line="259" w:lineRule="auto"/>
        <w:ind w:left="540"/>
        <w:rPr>
          <w:rFonts w:ascii="Times New Roman" w:hAnsi="Times New Roman" w:eastAsiaTheme="minorHAnsi"/>
          <w:szCs w:val="24"/>
        </w:rPr>
      </w:pPr>
      <w:r w:rsidRPr="0026100F">
        <w:rPr>
          <w:rFonts w:ascii="Times New Roman" w:hAnsi="Times New Roman" w:eastAsiaTheme="minorHAnsi"/>
          <w:i/>
          <w:iCs/>
          <w:szCs w:val="24"/>
        </w:rPr>
        <w:t>The Freedom of Information Act (FOIA)</w:t>
      </w:r>
    </w:p>
    <w:p w:rsidR="00C949F6" w:rsidRPr="0026100F" w:rsidP="0026100F" w14:paraId="64F57BB0" w14:textId="77777777">
      <w:pPr>
        <w:spacing w:after="160" w:line="259" w:lineRule="auto"/>
        <w:ind w:left="540"/>
        <w:rPr>
          <w:rFonts w:ascii="Times New Roman" w:hAnsi="Times New Roman" w:eastAsiaTheme="minorHAnsi"/>
          <w:szCs w:val="24"/>
        </w:rPr>
      </w:pPr>
      <w:r w:rsidRPr="0026100F">
        <w:rPr>
          <w:rFonts w:ascii="Times New Roman" w:hAnsi="Times New Roman" w:eastAsiaTheme="minorHAnsi"/>
          <w:szCs w:val="24"/>
        </w:rPr>
        <w:t>Under FOIA (5 U.S.C. 552), the public has broad access to government documents. However, FOIA provides certain exemptions from mandatory public disclosure of government records (5 U.S.C. 552(b)(1-9)).  FDA will make the fullest possible disclosure of records to the public (see 21 CFR 20), consistent with the rights of individuals to privacy, the property rights of persons in trade and confidential commercial or financial information.</w:t>
      </w:r>
    </w:p>
    <w:p w:rsidR="008A22D9" w14:paraId="30840A53" w14:textId="77777777">
      <w:pPr>
        <w:rPr>
          <w:rFonts w:ascii="Times New Roman" w:hAnsi="Times New Roman"/>
        </w:rPr>
      </w:pPr>
    </w:p>
    <w:p w:rsidR="008A22D9" w14:paraId="548CEF4A" w14:textId="77777777">
      <w:pPr>
        <w:widowControl w:val="0"/>
        <w:tabs>
          <w:tab w:val="left" w:pos="-1440"/>
          <w:tab w:val="left" w:pos="540"/>
        </w:tabs>
        <w:ind w:left="540" w:hanging="540"/>
        <w:rPr>
          <w:rFonts w:ascii="Times New Roman" w:hAnsi="Times New Roman"/>
          <w:b/>
        </w:rPr>
      </w:pPr>
      <w:r w:rsidRPr="001054ED">
        <w:rPr>
          <w:rFonts w:ascii="Times New Roman" w:hAnsi="Times New Roman"/>
        </w:rPr>
        <w:t>11.</w:t>
      </w:r>
      <w:r>
        <w:rPr>
          <w:rFonts w:ascii="Times New Roman" w:hAnsi="Times New Roman"/>
          <w:b/>
        </w:rPr>
        <w:tab/>
      </w:r>
      <w:r w:rsidRPr="001054ED">
        <w:rPr>
          <w:rFonts w:ascii="Times New Roman" w:hAnsi="Times New Roman"/>
          <w:u w:val="single"/>
        </w:rPr>
        <w:t>Justification of Sensitive Questions</w:t>
      </w:r>
    </w:p>
    <w:p w:rsidR="008A22D9" w14:paraId="3DC4BB41" w14:textId="77777777">
      <w:pPr>
        <w:rPr>
          <w:rFonts w:ascii="Times New Roman" w:hAnsi="Times New Roman"/>
          <w:u w:val="single"/>
        </w:rPr>
      </w:pPr>
    </w:p>
    <w:p w:rsidR="0026100F" w:rsidP="00412FB6" w14:paraId="58176093" w14:textId="25983642">
      <w:pPr>
        <w:pStyle w:val="BodyTextIndent"/>
      </w:pPr>
      <w:r>
        <w:t xml:space="preserve">This information collection does not include </w:t>
      </w:r>
      <w:r w:rsidR="00AF0CE9">
        <w:t>sensitive questions.</w:t>
      </w:r>
    </w:p>
    <w:p w:rsidR="00DF4FF3" w:rsidP="00412FB6" w14:paraId="6056416E" w14:textId="77777777">
      <w:pPr>
        <w:pStyle w:val="BodyTextIndent"/>
      </w:pPr>
    </w:p>
    <w:p w:rsidR="00412FB6" w:rsidP="00412FB6" w14:paraId="009B1594" w14:textId="77777777">
      <w:pPr>
        <w:pStyle w:val="BodyTextIndent"/>
      </w:pPr>
    </w:p>
    <w:p w:rsidR="00412FB6" w:rsidP="00412FB6" w14:paraId="44501A05" w14:textId="77777777">
      <w:pPr>
        <w:pStyle w:val="BodyTextIndent"/>
      </w:pPr>
    </w:p>
    <w:p w:rsidR="00412FB6" w:rsidP="00412FB6" w14:paraId="20223ADC" w14:textId="77777777">
      <w:pPr>
        <w:pStyle w:val="BodyTextIndent"/>
      </w:pPr>
    </w:p>
    <w:p w:rsidR="00412FB6" w:rsidP="00412FB6" w14:paraId="0B5E9A59" w14:textId="77777777">
      <w:pPr>
        <w:pStyle w:val="BodyTextIndent"/>
      </w:pPr>
    </w:p>
    <w:p w:rsidR="00412FB6" w:rsidP="00412FB6" w14:paraId="79B6DF79" w14:textId="77777777">
      <w:pPr>
        <w:pStyle w:val="BodyTextIndent"/>
      </w:pPr>
    </w:p>
    <w:p w:rsidR="00412FB6" w:rsidP="00412FB6" w14:paraId="0A21D693" w14:textId="77777777">
      <w:pPr>
        <w:pStyle w:val="BodyTextIndent"/>
      </w:pPr>
    </w:p>
    <w:p w:rsidR="00412FB6" w:rsidP="00412FB6" w14:paraId="37EBA1EE" w14:textId="77777777">
      <w:pPr>
        <w:pStyle w:val="BodyTextIndent"/>
      </w:pPr>
    </w:p>
    <w:p w:rsidR="00412FB6" w:rsidP="00412FB6" w14:paraId="28D61F2F" w14:textId="77777777">
      <w:pPr>
        <w:pStyle w:val="BodyTextIndent"/>
      </w:pPr>
    </w:p>
    <w:p w:rsidR="00412FB6" w:rsidP="00412FB6" w14:paraId="2B430DAE" w14:textId="77777777">
      <w:pPr>
        <w:pStyle w:val="BodyTextIndent"/>
      </w:pPr>
    </w:p>
    <w:p w:rsidR="00412FB6" w:rsidP="00412FB6" w14:paraId="6A8DD32B" w14:textId="77777777">
      <w:pPr>
        <w:pStyle w:val="BodyTextIndent"/>
      </w:pPr>
    </w:p>
    <w:p w:rsidR="00412FB6" w:rsidP="00412FB6" w14:paraId="1D07C0A4" w14:textId="77777777">
      <w:pPr>
        <w:pStyle w:val="BodyTextIndent"/>
      </w:pPr>
    </w:p>
    <w:p w:rsidR="00412FB6" w:rsidP="00412FB6" w14:paraId="4507A99A" w14:textId="77777777">
      <w:pPr>
        <w:pStyle w:val="BodyTextIndent"/>
      </w:pPr>
    </w:p>
    <w:p w:rsidR="00412FB6" w:rsidP="00412FB6" w14:paraId="3D8DC1EF" w14:textId="77777777">
      <w:pPr>
        <w:pStyle w:val="BodyTextIndent"/>
      </w:pPr>
    </w:p>
    <w:p w:rsidR="008A22D9" w14:paraId="4CB92F4D" w14:textId="3B8E2B14">
      <w:pPr>
        <w:widowControl w:val="0"/>
        <w:tabs>
          <w:tab w:val="left" w:pos="-1440"/>
          <w:tab w:val="left" w:pos="540"/>
        </w:tabs>
        <w:ind w:left="540" w:hanging="540"/>
        <w:rPr>
          <w:rFonts w:ascii="Times New Roman" w:hAnsi="Times New Roman"/>
          <w:b/>
          <w:u w:val="single"/>
        </w:rPr>
      </w:pPr>
      <w:r w:rsidRPr="001054ED">
        <w:rPr>
          <w:rFonts w:ascii="Times New Roman" w:hAnsi="Times New Roman"/>
        </w:rPr>
        <w:t>12.</w:t>
      </w:r>
      <w:r>
        <w:rPr>
          <w:rFonts w:ascii="Times New Roman" w:hAnsi="Times New Roman"/>
          <w:b/>
        </w:rPr>
        <w:tab/>
      </w:r>
      <w:r w:rsidRPr="001054ED">
        <w:rPr>
          <w:rFonts w:ascii="Times New Roman" w:hAnsi="Times New Roman"/>
          <w:u w:val="single"/>
        </w:rPr>
        <w:t>Estimate</w:t>
      </w:r>
      <w:r w:rsidRPr="001054ED" w:rsidR="003239BB">
        <w:rPr>
          <w:rFonts w:ascii="Times New Roman" w:hAnsi="Times New Roman"/>
          <w:u w:val="single"/>
        </w:rPr>
        <w:t>s</w:t>
      </w:r>
      <w:r w:rsidRPr="001054ED">
        <w:rPr>
          <w:rFonts w:ascii="Times New Roman" w:hAnsi="Times New Roman"/>
          <w:u w:val="single"/>
        </w:rPr>
        <w:t xml:space="preserve"> of </w:t>
      </w:r>
      <w:r w:rsidRPr="001054ED" w:rsidR="003239BB">
        <w:rPr>
          <w:rFonts w:ascii="Times New Roman" w:hAnsi="Times New Roman"/>
          <w:u w:val="single"/>
        </w:rPr>
        <w:t xml:space="preserve">Annualized </w:t>
      </w:r>
      <w:r w:rsidRPr="001054ED">
        <w:rPr>
          <w:rFonts w:ascii="Times New Roman" w:hAnsi="Times New Roman"/>
          <w:u w:val="single"/>
        </w:rPr>
        <w:t xml:space="preserve">Burden </w:t>
      </w:r>
      <w:r w:rsidRPr="001054ED" w:rsidR="003239BB">
        <w:rPr>
          <w:rFonts w:ascii="Times New Roman" w:hAnsi="Times New Roman"/>
          <w:u w:val="single"/>
        </w:rPr>
        <w:t>Hours and Costs</w:t>
      </w:r>
    </w:p>
    <w:p w:rsidR="00DE322B" w14:paraId="77587709" w14:textId="77777777">
      <w:pPr>
        <w:widowControl w:val="0"/>
        <w:tabs>
          <w:tab w:val="left" w:pos="-1440"/>
          <w:tab w:val="left" w:pos="540"/>
        </w:tabs>
        <w:ind w:left="540" w:hanging="540"/>
        <w:rPr>
          <w:rFonts w:ascii="Times New Roman" w:hAnsi="Times New Roman"/>
          <w:b/>
          <w:u w:val="single"/>
        </w:rPr>
      </w:pPr>
    </w:p>
    <w:p w:rsidR="00DE322B" w14:paraId="17DB7AD9" w14:textId="77777777">
      <w:pPr>
        <w:widowControl w:val="0"/>
        <w:tabs>
          <w:tab w:val="left" w:pos="-1440"/>
          <w:tab w:val="left" w:pos="540"/>
        </w:tabs>
        <w:ind w:left="540" w:hanging="540"/>
        <w:rPr>
          <w:rFonts w:ascii="Times New Roman" w:hAnsi="Times New Roman"/>
          <w:u w:val="single"/>
        </w:rPr>
      </w:pPr>
      <w:r w:rsidRPr="001054ED">
        <w:rPr>
          <w:rFonts w:ascii="Times New Roman" w:hAnsi="Times New Roman"/>
          <w:b/>
        </w:rPr>
        <w:tab/>
      </w:r>
      <w:r w:rsidRPr="001054ED">
        <w:rPr>
          <w:rFonts w:ascii="Times New Roman" w:hAnsi="Times New Roman"/>
        </w:rPr>
        <w:t>12a.</w:t>
      </w:r>
      <w:r w:rsidRPr="001054ED">
        <w:rPr>
          <w:rFonts w:ascii="Times New Roman" w:hAnsi="Times New Roman"/>
          <w:b/>
        </w:rPr>
        <w:tab/>
      </w:r>
      <w:r w:rsidRPr="001054ED">
        <w:rPr>
          <w:rFonts w:ascii="Times New Roman" w:hAnsi="Times New Roman"/>
          <w:u w:val="single"/>
        </w:rPr>
        <w:t>Annualized Hour Burden Estimate</w:t>
      </w:r>
    </w:p>
    <w:p w:rsidR="002336F6" w14:paraId="62EF357A" w14:textId="77777777">
      <w:pPr>
        <w:widowControl w:val="0"/>
        <w:tabs>
          <w:tab w:val="left" w:pos="-1440"/>
          <w:tab w:val="left" w:pos="540"/>
        </w:tabs>
        <w:ind w:left="540" w:hanging="540"/>
        <w:rPr>
          <w:rFonts w:ascii="Times New Roman" w:hAnsi="Times New Roman"/>
          <w:u w:val="single"/>
        </w:rPr>
      </w:pPr>
    </w:p>
    <w:p w:rsidR="002336F6" w:rsidP="002336F6" w14:paraId="6BCE92DA" w14:textId="457384AE">
      <w:pPr>
        <w:widowControl w:val="0"/>
        <w:tabs>
          <w:tab w:val="left" w:pos="-1440"/>
          <w:tab w:val="left" w:pos="540"/>
        </w:tabs>
        <w:ind w:left="540" w:hanging="540"/>
        <w:jc w:val="center"/>
        <w:rPr>
          <w:rFonts w:ascii="Times New Roman" w:hAnsi="Times New Roman"/>
          <w:u w:val="single"/>
        </w:rPr>
      </w:pPr>
      <w:r w:rsidRPr="0026100F">
        <w:rPr>
          <w:rFonts w:ascii="Times New Roman" w:hAnsi="Times New Roman"/>
          <w:szCs w:val="24"/>
        </w:rPr>
        <w:t xml:space="preserve">Table </w:t>
      </w:r>
      <w:r>
        <w:rPr>
          <w:rFonts w:ascii="Times New Roman" w:hAnsi="Times New Roman"/>
          <w:szCs w:val="24"/>
        </w:rPr>
        <w:t>1</w:t>
      </w:r>
      <w:r w:rsidRPr="0026100F">
        <w:rPr>
          <w:rFonts w:ascii="Times New Roman" w:hAnsi="Times New Roman"/>
          <w:szCs w:val="24"/>
        </w:rPr>
        <w:t xml:space="preserve"> -- Estimated Annual Re</w:t>
      </w:r>
      <w:r>
        <w:rPr>
          <w:rFonts w:ascii="Times New Roman" w:hAnsi="Times New Roman"/>
          <w:szCs w:val="24"/>
        </w:rPr>
        <w:t>porting</w:t>
      </w:r>
      <w:r w:rsidRPr="0026100F">
        <w:rPr>
          <w:rFonts w:ascii="Times New Roman" w:hAnsi="Times New Roman"/>
          <w:szCs w:val="24"/>
        </w:rPr>
        <w:t xml:space="preserve"> Burden</w:t>
      </w:r>
      <w:r w:rsidRPr="0026100F">
        <w:rPr>
          <w:rFonts w:ascii="Times New Roman" w:hAnsi="Times New Roman"/>
          <w:szCs w:val="24"/>
          <w:vertAlign w:val="superscript"/>
        </w:rPr>
        <w:t>1,2</w:t>
      </w:r>
    </w:p>
    <w:p w:rsidR="002336F6" w:rsidP="002336F6" w14:paraId="62FB95BC" w14:textId="77777777">
      <w:pPr>
        <w:widowControl w:val="0"/>
        <w:tabs>
          <w:tab w:val="left" w:pos="-1440"/>
          <w:tab w:val="left" w:pos="540"/>
        </w:tabs>
        <w:ind w:left="540" w:hanging="540"/>
        <w:jc w:val="center"/>
        <w:rPr>
          <w:rFonts w:ascii="Times New Roman" w:hAnsi="Times New Roman"/>
          <w:u w:val="single"/>
        </w:rPr>
      </w:pPr>
    </w:p>
    <w:tbl>
      <w:tblPr>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93"/>
        <w:gridCol w:w="1440"/>
        <w:gridCol w:w="1707"/>
        <w:gridCol w:w="1350"/>
        <w:gridCol w:w="1801"/>
        <w:gridCol w:w="1168"/>
      </w:tblGrid>
      <w:tr w14:paraId="0EA03CDA" w14:textId="77777777">
        <w:tblPrEx>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1133"/>
          <w:tblHeader/>
        </w:trPr>
        <w:tc>
          <w:tcPr>
            <w:tcW w:w="1011" w:type="pct"/>
            <w:shd w:val="clear" w:color="auto" w:fill="auto"/>
          </w:tcPr>
          <w:p w:rsidR="002336F6" w:rsidRPr="0026100F" w14:paraId="1ECF2A3E" w14:textId="77777777">
            <w:pPr>
              <w:keepNext/>
              <w:jc w:val="center"/>
              <w:rPr>
                <w:rFonts w:ascii="Times New Roman" w:hAnsi="Times New Roman"/>
                <w:sz w:val="20"/>
              </w:rPr>
            </w:pPr>
            <w:r w:rsidRPr="0026100F">
              <w:rPr>
                <w:rFonts w:ascii="Times New Roman" w:hAnsi="Times New Roman"/>
                <w:sz w:val="20"/>
              </w:rPr>
              <w:t>Type of Respondent; Information Collection Activity</w:t>
            </w:r>
          </w:p>
        </w:tc>
        <w:tc>
          <w:tcPr>
            <w:tcW w:w="769" w:type="pct"/>
            <w:shd w:val="clear" w:color="auto" w:fill="auto"/>
          </w:tcPr>
          <w:p w:rsidR="002336F6" w:rsidRPr="0026100F" w14:paraId="0C9458F4" w14:textId="57A7BF17">
            <w:pPr>
              <w:keepNext/>
              <w:jc w:val="center"/>
              <w:rPr>
                <w:rFonts w:ascii="Times New Roman" w:hAnsi="Times New Roman"/>
                <w:sz w:val="20"/>
              </w:rPr>
            </w:pPr>
            <w:r w:rsidRPr="0026100F">
              <w:rPr>
                <w:rFonts w:ascii="Times New Roman" w:hAnsi="Times New Roman"/>
                <w:sz w:val="20"/>
              </w:rPr>
              <w:t xml:space="preserve">No. of </w:t>
            </w:r>
            <w:r>
              <w:rPr>
                <w:rFonts w:ascii="Times New Roman" w:hAnsi="Times New Roman"/>
                <w:sz w:val="20"/>
              </w:rPr>
              <w:t>Re</w:t>
            </w:r>
            <w:r w:rsidR="004157AF">
              <w:rPr>
                <w:rFonts w:ascii="Times New Roman" w:hAnsi="Times New Roman"/>
                <w:sz w:val="20"/>
              </w:rPr>
              <w:t>spondents</w:t>
            </w:r>
          </w:p>
        </w:tc>
        <w:tc>
          <w:tcPr>
            <w:tcW w:w="912" w:type="pct"/>
            <w:shd w:val="clear" w:color="auto" w:fill="auto"/>
          </w:tcPr>
          <w:p w:rsidR="002336F6" w:rsidRPr="0026100F" w14:paraId="3225469C" w14:textId="15C00E68">
            <w:pPr>
              <w:keepNext/>
              <w:jc w:val="center"/>
              <w:rPr>
                <w:rFonts w:ascii="Times New Roman" w:hAnsi="Times New Roman"/>
                <w:sz w:val="20"/>
              </w:rPr>
            </w:pPr>
            <w:r w:rsidRPr="0026100F">
              <w:rPr>
                <w:rFonts w:ascii="Times New Roman" w:hAnsi="Times New Roman"/>
                <w:bCs/>
                <w:sz w:val="20"/>
              </w:rPr>
              <w:t xml:space="preserve">No. of </w:t>
            </w:r>
            <w:r w:rsidR="004157AF">
              <w:rPr>
                <w:rFonts w:ascii="Times New Roman" w:hAnsi="Times New Roman"/>
                <w:bCs/>
                <w:sz w:val="20"/>
              </w:rPr>
              <w:t>Responses per Respondent</w:t>
            </w:r>
          </w:p>
        </w:tc>
        <w:tc>
          <w:tcPr>
            <w:tcW w:w="721" w:type="pct"/>
            <w:shd w:val="clear" w:color="auto" w:fill="auto"/>
          </w:tcPr>
          <w:p w:rsidR="002336F6" w:rsidRPr="0026100F" w14:paraId="5B128A77" w14:textId="7A95D324">
            <w:pPr>
              <w:keepNext/>
              <w:jc w:val="center"/>
              <w:rPr>
                <w:rFonts w:ascii="Times New Roman" w:hAnsi="Times New Roman"/>
                <w:sz w:val="20"/>
              </w:rPr>
            </w:pPr>
            <w:r w:rsidRPr="0026100F">
              <w:rPr>
                <w:rFonts w:ascii="Times New Roman" w:hAnsi="Times New Roman"/>
                <w:sz w:val="20"/>
              </w:rPr>
              <w:t xml:space="preserve">Total Annual </w:t>
            </w:r>
            <w:r w:rsidR="004157AF">
              <w:rPr>
                <w:rFonts w:ascii="Times New Roman" w:hAnsi="Times New Roman"/>
                <w:sz w:val="20"/>
              </w:rPr>
              <w:t>Responses</w:t>
            </w:r>
          </w:p>
        </w:tc>
        <w:tc>
          <w:tcPr>
            <w:tcW w:w="962" w:type="pct"/>
            <w:shd w:val="clear" w:color="auto" w:fill="auto"/>
          </w:tcPr>
          <w:p w:rsidR="002336F6" w:rsidRPr="0026100F" w14:paraId="7156CF1E" w14:textId="3EC4B235">
            <w:pPr>
              <w:keepNext/>
              <w:jc w:val="center"/>
              <w:rPr>
                <w:rFonts w:ascii="Times New Roman" w:hAnsi="Times New Roman"/>
                <w:sz w:val="20"/>
              </w:rPr>
            </w:pPr>
            <w:r w:rsidRPr="0026100F">
              <w:rPr>
                <w:rFonts w:ascii="Times New Roman" w:hAnsi="Times New Roman"/>
                <w:bCs/>
                <w:sz w:val="20"/>
              </w:rPr>
              <w:t>Average Burden per R</w:t>
            </w:r>
            <w:r w:rsidR="004157AF">
              <w:rPr>
                <w:rFonts w:ascii="Times New Roman" w:hAnsi="Times New Roman"/>
                <w:bCs/>
                <w:sz w:val="20"/>
              </w:rPr>
              <w:t>esponse</w:t>
            </w:r>
            <w:r w:rsidRPr="0026100F">
              <w:rPr>
                <w:rFonts w:ascii="Times New Roman" w:hAnsi="Times New Roman"/>
                <w:bCs/>
                <w:sz w:val="20"/>
              </w:rPr>
              <w:t xml:space="preserve"> </w:t>
            </w:r>
          </w:p>
        </w:tc>
        <w:tc>
          <w:tcPr>
            <w:tcW w:w="624" w:type="pct"/>
            <w:shd w:val="clear" w:color="auto" w:fill="auto"/>
          </w:tcPr>
          <w:p w:rsidR="002336F6" w:rsidRPr="0026100F" w14:paraId="2A54B493" w14:textId="77777777">
            <w:pPr>
              <w:keepNext/>
              <w:jc w:val="center"/>
              <w:rPr>
                <w:rFonts w:ascii="Times New Roman" w:hAnsi="Times New Roman"/>
                <w:sz w:val="20"/>
              </w:rPr>
            </w:pPr>
            <w:r w:rsidRPr="0026100F">
              <w:rPr>
                <w:rFonts w:ascii="Times New Roman" w:hAnsi="Times New Roman"/>
                <w:sz w:val="20"/>
              </w:rPr>
              <w:t>Total Hours</w:t>
            </w:r>
          </w:p>
        </w:tc>
      </w:tr>
      <w:tr w14:paraId="7BE7E8B1" w14:textId="77777777">
        <w:tblPrEx>
          <w:tblW w:w="5005" w:type="pct"/>
          <w:tblInd w:w="-5" w:type="dxa"/>
          <w:tblLayout w:type="fixed"/>
          <w:tblLook w:val="01E0"/>
        </w:tblPrEx>
        <w:trPr>
          <w:trHeight w:val="1088"/>
        </w:trPr>
        <w:tc>
          <w:tcPr>
            <w:tcW w:w="1011" w:type="pct"/>
            <w:shd w:val="clear" w:color="auto" w:fill="auto"/>
          </w:tcPr>
          <w:p w:rsidR="002336F6" w:rsidRPr="0026100F" w14:paraId="344B3BAE" w14:textId="77777777">
            <w:pPr>
              <w:keepNext/>
              <w:rPr>
                <w:rFonts w:ascii="Times New Roman" w:hAnsi="Times New Roman"/>
                <w:sz w:val="20"/>
              </w:rPr>
            </w:pPr>
            <w:r w:rsidRPr="0026100F">
              <w:rPr>
                <w:rFonts w:ascii="Times New Roman" w:hAnsi="Times New Roman"/>
                <w:sz w:val="20"/>
              </w:rPr>
              <w:t>State Governments; Maintenance of data records consistent with the MFRPS</w:t>
            </w:r>
          </w:p>
        </w:tc>
        <w:tc>
          <w:tcPr>
            <w:tcW w:w="769" w:type="pct"/>
            <w:shd w:val="clear" w:color="auto" w:fill="auto"/>
          </w:tcPr>
          <w:p w:rsidR="002336F6" w:rsidRPr="0026100F" w14:paraId="453D5CCD" w14:textId="77777777">
            <w:pPr>
              <w:keepNext/>
              <w:jc w:val="center"/>
              <w:rPr>
                <w:rFonts w:ascii="Times New Roman" w:hAnsi="Times New Roman"/>
                <w:sz w:val="20"/>
              </w:rPr>
            </w:pPr>
          </w:p>
          <w:p w:rsidR="002336F6" w:rsidRPr="0026100F" w14:paraId="5E1DEF1A" w14:textId="77777777">
            <w:pPr>
              <w:keepNext/>
              <w:jc w:val="right"/>
              <w:rPr>
                <w:rFonts w:ascii="Times New Roman" w:hAnsi="Times New Roman"/>
                <w:sz w:val="20"/>
              </w:rPr>
            </w:pPr>
            <w:r w:rsidRPr="0026100F">
              <w:rPr>
                <w:rFonts w:ascii="Times New Roman" w:hAnsi="Times New Roman"/>
                <w:sz w:val="20"/>
              </w:rPr>
              <w:t>42</w:t>
            </w:r>
          </w:p>
        </w:tc>
        <w:tc>
          <w:tcPr>
            <w:tcW w:w="912" w:type="pct"/>
            <w:shd w:val="clear" w:color="auto" w:fill="auto"/>
          </w:tcPr>
          <w:p w:rsidR="002336F6" w:rsidRPr="0026100F" w14:paraId="3D6A8EFD" w14:textId="77777777">
            <w:pPr>
              <w:keepNext/>
              <w:jc w:val="center"/>
              <w:rPr>
                <w:rFonts w:ascii="Times New Roman" w:hAnsi="Times New Roman"/>
                <w:sz w:val="20"/>
              </w:rPr>
            </w:pPr>
          </w:p>
          <w:p w:rsidR="002336F6" w:rsidRPr="0026100F" w14:paraId="3BFC51E2" w14:textId="55307350">
            <w:pPr>
              <w:keepNext/>
              <w:jc w:val="right"/>
              <w:rPr>
                <w:rFonts w:ascii="Times New Roman" w:hAnsi="Times New Roman"/>
                <w:sz w:val="20"/>
              </w:rPr>
            </w:pPr>
            <w:r w:rsidRPr="0026100F">
              <w:rPr>
                <w:rFonts w:ascii="Times New Roman" w:hAnsi="Times New Roman"/>
                <w:sz w:val="20"/>
              </w:rPr>
              <w:t>1</w:t>
            </w:r>
          </w:p>
        </w:tc>
        <w:tc>
          <w:tcPr>
            <w:tcW w:w="721" w:type="pct"/>
            <w:shd w:val="clear" w:color="auto" w:fill="auto"/>
          </w:tcPr>
          <w:p w:rsidR="002336F6" w:rsidRPr="0026100F" w14:paraId="59DE1A00" w14:textId="77777777">
            <w:pPr>
              <w:keepNext/>
              <w:jc w:val="center"/>
              <w:rPr>
                <w:rFonts w:ascii="Times New Roman" w:hAnsi="Times New Roman"/>
                <w:sz w:val="20"/>
              </w:rPr>
            </w:pPr>
          </w:p>
          <w:p w:rsidR="002336F6" w:rsidRPr="0026100F" w14:paraId="3898561B" w14:textId="228EB010">
            <w:pPr>
              <w:keepNext/>
              <w:jc w:val="right"/>
              <w:rPr>
                <w:rFonts w:ascii="Times New Roman" w:hAnsi="Times New Roman"/>
                <w:sz w:val="20"/>
              </w:rPr>
            </w:pPr>
            <w:r w:rsidRPr="0026100F">
              <w:rPr>
                <w:rFonts w:ascii="Times New Roman" w:hAnsi="Times New Roman"/>
                <w:sz w:val="20"/>
              </w:rPr>
              <w:t>4</w:t>
            </w:r>
            <w:r w:rsidR="004157AF">
              <w:rPr>
                <w:rFonts w:ascii="Times New Roman" w:hAnsi="Times New Roman"/>
                <w:sz w:val="20"/>
              </w:rPr>
              <w:t>2</w:t>
            </w:r>
          </w:p>
        </w:tc>
        <w:tc>
          <w:tcPr>
            <w:tcW w:w="962" w:type="pct"/>
            <w:shd w:val="clear" w:color="auto" w:fill="auto"/>
          </w:tcPr>
          <w:p w:rsidR="002336F6" w:rsidRPr="0026100F" w14:paraId="472C170F" w14:textId="77777777">
            <w:pPr>
              <w:keepNext/>
              <w:jc w:val="center"/>
              <w:rPr>
                <w:rFonts w:ascii="Times New Roman" w:hAnsi="Times New Roman"/>
                <w:sz w:val="20"/>
              </w:rPr>
            </w:pPr>
          </w:p>
          <w:p w:rsidR="002336F6" w:rsidRPr="0026100F" w14:paraId="017D7EB5" w14:textId="063C3FAA">
            <w:pPr>
              <w:keepNext/>
              <w:jc w:val="right"/>
              <w:rPr>
                <w:rFonts w:ascii="Times New Roman" w:hAnsi="Times New Roman"/>
                <w:sz w:val="20"/>
              </w:rPr>
            </w:pPr>
            <w:r>
              <w:rPr>
                <w:rFonts w:ascii="Times New Roman" w:hAnsi="Times New Roman"/>
                <w:sz w:val="20"/>
              </w:rPr>
              <w:t>569</w:t>
            </w:r>
          </w:p>
        </w:tc>
        <w:tc>
          <w:tcPr>
            <w:tcW w:w="624" w:type="pct"/>
            <w:shd w:val="clear" w:color="auto" w:fill="auto"/>
          </w:tcPr>
          <w:p w:rsidR="002336F6" w:rsidRPr="0026100F" w14:paraId="46729A94" w14:textId="77777777">
            <w:pPr>
              <w:keepNext/>
              <w:jc w:val="center"/>
              <w:rPr>
                <w:rFonts w:ascii="Times New Roman" w:hAnsi="Times New Roman"/>
                <w:sz w:val="20"/>
              </w:rPr>
            </w:pPr>
          </w:p>
          <w:p w:rsidR="002336F6" w:rsidRPr="0026100F" w14:paraId="35A0FBC8" w14:textId="46B9A8D0">
            <w:pPr>
              <w:keepNext/>
              <w:jc w:val="right"/>
              <w:rPr>
                <w:rFonts w:ascii="Times New Roman" w:hAnsi="Times New Roman"/>
                <w:sz w:val="20"/>
              </w:rPr>
            </w:pPr>
            <w:r>
              <w:rPr>
                <w:rFonts w:ascii="Times New Roman" w:hAnsi="Times New Roman"/>
                <w:sz w:val="20"/>
              </w:rPr>
              <w:t>23,898</w:t>
            </w:r>
          </w:p>
        </w:tc>
      </w:tr>
    </w:tbl>
    <w:p w:rsidR="002336F6" w:rsidRPr="0026100F" w:rsidP="002336F6" w14:paraId="49CBB814" w14:textId="77777777">
      <w:pPr>
        <w:rPr>
          <w:rFonts w:ascii="Times New Roman" w:hAnsi="Times New Roman"/>
          <w:sz w:val="20"/>
        </w:rPr>
      </w:pPr>
      <w:r w:rsidRPr="0026100F">
        <w:rPr>
          <w:rFonts w:ascii="Times New Roman" w:hAnsi="Times New Roman"/>
          <w:sz w:val="20"/>
          <w:vertAlign w:val="superscript"/>
        </w:rPr>
        <w:t>1</w:t>
      </w:r>
      <w:r w:rsidRPr="0026100F">
        <w:rPr>
          <w:rFonts w:ascii="Times New Roman" w:hAnsi="Times New Roman"/>
          <w:sz w:val="20"/>
        </w:rPr>
        <w:t xml:space="preserve"> There are no capital costs or operating and maintenance costs associated with this collection of information.</w:t>
      </w:r>
    </w:p>
    <w:p w:rsidR="002336F6" w:rsidRPr="002336F6" w:rsidP="002336F6" w14:paraId="2987A2FF" w14:textId="67E000FB">
      <w:pPr>
        <w:rPr>
          <w:rFonts w:ascii="Times New Roman" w:hAnsi="Times New Roman"/>
          <w:sz w:val="20"/>
        </w:rPr>
      </w:pPr>
      <w:r w:rsidRPr="0026100F">
        <w:rPr>
          <w:rFonts w:ascii="Times New Roman" w:hAnsi="Times New Roman"/>
          <w:sz w:val="20"/>
          <w:vertAlign w:val="superscript"/>
        </w:rPr>
        <w:t xml:space="preserve">2 </w:t>
      </w:r>
      <w:r w:rsidRPr="0026100F">
        <w:rPr>
          <w:rFonts w:ascii="Times New Roman" w:hAnsi="Times New Roman"/>
          <w:sz w:val="20"/>
        </w:rPr>
        <w:t>Totals may not sum due to rounding.</w:t>
      </w:r>
    </w:p>
    <w:p w:rsidR="0026100F" w14:paraId="48BC6B39" w14:textId="77777777">
      <w:pPr>
        <w:widowControl w:val="0"/>
        <w:tabs>
          <w:tab w:val="left" w:pos="-1440"/>
          <w:tab w:val="left" w:pos="540"/>
        </w:tabs>
        <w:ind w:left="540" w:hanging="540"/>
        <w:rPr>
          <w:rFonts w:ascii="Times New Roman" w:hAnsi="Times New Roman"/>
          <w:b/>
          <w:u w:val="single"/>
        </w:rPr>
      </w:pPr>
    </w:p>
    <w:p w:rsidR="0026100F" w:rsidRPr="0026100F" w:rsidP="0026100F" w14:paraId="28966DAA" w14:textId="50E85E05">
      <w:pPr>
        <w:keepNext/>
        <w:tabs>
          <w:tab w:val="left" w:pos="220"/>
        </w:tabs>
        <w:jc w:val="center"/>
        <w:rPr>
          <w:rFonts w:ascii="Times New Roman" w:hAnsi="Times New Roman"/>
          <w:szCs w:val="24"/>
          <w:vertAlign w:val="superscript"/>
        </w:rPr>
      </w:pPr>
      <w:r w:rsidRPr="0026100F">
        <w:rPr>
          <w:rFonts w:ascii="Times New Roman" w:hAnsi="Times New Roman"/>
          <w:szCs w:val="24"/>
        </w:rPr>
        <w:t>Table</w:t>
      </w:r>
      <w:r w:rsidRPr="0026100F">
        <w:rPr>
          <w:rFonts w:ascii="Times New Roman" w:hAnsi="Times New Roman"/>
          <w:szCs w:val="24"/>
        </w:rPr>
        <w:t xml:space="preserve"> </w:t>
      </w:r>
      <w:r w:rsidR="002336F6">
        <w:rPr>
          <w:rFonts w:ascii="Times New Roman" w:hAnsi="Times New Roman"/>
          <w:szCs w:val="24"/>
        </w:rPr>
        <w:t>2</w:t>
      </w:r>
      <w:r w:rsidRPr="0026100F">
        <w:rPr>
          <w:rFonts w:ascii="Times New Roman" w:hAnsi="Times New Roman"/>
          <w:szCs w:val="24"/>
        </w:rPr>
        <w:t xml:space="preserve"> -- Estimated Annual Recordkeeping Burden</w:t>
      </w:r>
      <w:r w:rsidRPr="0026100F">
        <w:rPr>
          <w:rFonts w:ascii="Times New Roman" w:hAnsi="Times New Roman"/>
          <w:szCs w:val="24"/>
          <w:vertAlign w:val="superscript"/>
        </w:rPr>
        <w:t>1,2</w:t>
      </w:r>
    </w:p>
    <w:p w:rsidR="0026100F" w14:paraId="10124607" w14:textId="77777777">
      <w:pPr>
        <w:widowControl w:val="0"/>
        <w:tabs>
          <w:tab w:val="left" w:pos="-1440"/>
          <w:tab w:val="left" w:pos="540"/>
        </w:tabs>
        <w:ind w:left="540" w:hanging="540"/>
        <w:rPr>
          <w:rFonts w:ascii="Times New Roman" w:hAnsi="Times New Roman"/>
          <w:b/>
        </w:rPr>
      </w:pPr>
    </w:p>
    <w:tbl>
      <w:tblPr>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93"/>
        <w:gridCol w:w="1440"/>
        <w:gridCol w:w="1707"/>
        <w:gridCol w:w="1350"/>
        <w:gridCol w:w="1801"/>
        <w:gridCol w:w="1168"/>
      </w:tblGrid>
      <w:tr w14:paraId="7EAC7914" w14:textId="77777777">
        <w:tblPrEx>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1133"/>
          <w:tblHeader/>
        </w:trPr>
        <w:tc>
          <w:tcPr>
            <w:tcW w:w="1011" w:type="pct"/>
            <w:shd w:val="clear" w:color="auto" w:fill="auto"/>
          </w:tcPr>
          <w:p w:rsidR="0026100F" w:rsidRPr="0026100F" w:rsidP="0026100F" w14:paraId="438C9B1A" w14:textId="77777777">
            <w:pPr>
              <w:keepNext/>
              <w:jc w:val="center"/>
              <w:rPr>
                <w:rFonts w:ascii="Times New Roman" w:hAnsi="Times New Roman"/>
                <w:sz w:val="20"/>
              </w:rPr>
            </w:pPr>
            <w:r w:rsidRPr="0026100F">
              <w:rPr>
                <w:rFonts w:ascii="Times New Roman" w:hAnsi="Times New Roman"/>
                <w:sz w:val="20"/>
              </w:rPr>
              <w:t>Type of Respondent; Information Collection Activity</w:t>
            </w:r>
          </w:p>
        </w:tc>
        <w:tc>
          <w:tcPr>
            <w:tcW w:w="769" w:type="pct"/>
            <w:shd w:val="clear" w:color="auto" w:fill="auto"/>
          </w:tcPr>
          <w:p w:rsidR="0026100F" w:rsidRPr="0026100F" w:rsidP="0026100F" w14:paraId="04270A8B" w14:textId="77777777">
            <w:pPr>
              <w:keepNext/>
              <w:jc w:val="center"/>
              <w:rPr>
                <w:rFonts w:ascii="Times New Roman" w:hAnsi="Times New Roman"/>
                <w:sz w:val="20"/>
              </w:rPr>
            </w:pPr>
            <w:r w:rsidRPr="0026100F">
              <w:rPr>
                <w:rFonts w:ascii="Times New Roman" w:hAnsi="Times New Roman"/>
                <w:sz w:val="20"/>
              </w:rPr>
              <w:t>No. of Recordkeepers</w:t>
            </w:r>
          </w:p>
        </w:tc>
        <w:tc>
          <w:tcPr>
            <w:tcW w:w="912" w:type="pct"/>
            <w:shd w:val="clear" w:color="auto" w:fill="auto"/>
          </w:tcPr>
          <w:p w:rsidR="0026100F" w:rsidRPr="0026100F" w:rsidP="0026100F" w14:paraId="68CC1EA8" w14:textId="77777777">
            <w:pPr>
              <w:keepNext/>
              <w:jc w:val="center"/>
              <w:rPr>
                <w:rFonts w:ascii="Times New Roman" w:hAnsi="Times New Roman"/>
                <w:sz w:val="20"/>
              </w:rPr>
            </w:pPr>
            <w:r w:rsidRPr="0026100F">
              <w:rPr>
                <w:rFonts w:ascii="Times New Roman" w:hAnsi="Times New Roman"/>
                <w:bCs/>
                <w:sz w:val="20"/>
              </w:rPr>
              <w:t>No. of Records per Recordkeeper</w:t>
            </w:r>
          </w:p>
        </w:tc>
        <w:tc>
          <w:tcPr>
            <w:tcW w:w="721" w:type="pct"/>
            <w:shd w:val="clear" w:color="auto" w:fill="auto"/>
          </w:tcPr>
          <w:p w:rsidR="0026100F" w:rsidRPr="0026100F" w:rsidP="0026100F" w14:paraId="79C0FAA7" w14:textId="77777777">
            <w:pPr>
              <w:keepNext/>
              <w:jc w:val="center"/>
              <w:rPr>
                <w:rFonts w:ascii="Times New Roman" w:hAnsi="Times New Roman"/>
                <w:sz w:val="20"/>
              </w:rPr>
            </w:pPr>
            <w:r w:rsidRPr="0026100F">
              <w:rPr>
                <w:rFonts w:ascii="Times New Roman" w:hAnsi="Times New Roman"/>
                <w:sz w:val="20"/>
              </w:rPr>
              <w:t>Total Annual Records</w:t>
            </w:r>
          </w:p>
        </w:tc>
        <w:tc>
          <w:tcPr>
            <w:tcW w:w="962" w:type="pct"/>
            <w:shd w:val="clear" w:color="auto" w:fill="auto"/>
          </w:tcPr>
          <w:p w:rsidR="0026100F" w:rsidRPr="0026100F" w:rsidP="0026100F" w14:paraId="7B5CE0E2" w14:textId="77777777">
            <w:pPr>
              <w:keepNext/>
              <w:jc w:val="center"/>
              <w:rPr>
                <w:rFonts w:ascii="Times New Roman" w:hAnsi="Times New Roman"/>
                <w:sz w:val="20"/>
              </w:rPr>
            </w:pPr>
            <w:r w:rsidRPr="0026100F">
              <w:rPr>
                <w:rFonts w:ascii="Times New Roman" w:hAnsi="Times New Roman"/>
                <w:bCs/>
                <w:sz w:val="20"/>
              </w:rPr>
              <w:t xml:space="preserve">Average Burden per Recordkeeping </w:t>
            </w:r>
          </w:p>
        </w:tc>
        <w:tc>
          <w:tcPr>
            <w:tcW w:w="624" w:type="pct"/>
            <w:shd w:val="clear" w:color="auto" w:fill="auto"/>
          </w:tcPr>
          <w:p w:rsidR="0026100F" w:rsidRPr="0026100F" w:rsidP="0026100F" w14:paraId="352C46FF" w14:textId="77777777">
            <w:pPr>
              <w:keepNext/>
              <w:jc w:val="center"/>
              <w:rPr>
                <w:rFonts w:ascii="Times New Roman" w:hAnsi="Times New Roman"/>
                <w:sz w:val="20"/>
              </w:rPr>
            </w:pPr>
            <w:r w:rsidRPr="0026100F">
              <w:rPr>
                <w:rFonts w:ascii="Times New Roman" w:hAnsi="Times New Roman"/>
                <w:sz w:val="20"/>
              </w:rPr>
              <w:t>Total Hours</w:t>
            </w:r>
          </w:p>
        </w:tc>
      </w:tr>
      <w:tr w14:paraId="6C5DAE6E" w14:textId="77777777">
        <w:tblPrEx>
          <w:tblW w:w="5005" w:type="pct"/>
          <w:tblInd w:w="-5" w:type="dxa"/>
          <w:tblLayout w:type="fixed"/>
          <w:tblLook w:val="01E0"/>
        </w:tblPrEx>
        <w:trPr>
          <w:trHeight w:val="1088"/>
        </w:trPr>
        <w:tc>
          <w:tcPr>
            <w:tcW w:w="1011" w:type="pct"/>
            <w:shd w:val="clear" w:color="auto" w:fill="auto"/>
          </w:tcPr>
          <w:p w:rsidR="0026100F" w:rsidRPr="0026100F" w:rsidP="0026100F" w14:paraId="39ADE94E" w14:textId="77777777">
            <w:pPr>
              <w:keepNext/>
              <w:rPr>
                <w:rFonts w:ascii="Times New Roman" w:hAnsi="Times New Roman"/>
                <w:sz w:val="20"/>
              </w:rPr>
            </w:pPr>
            <w:r w:rsidRPr="0026100F">
              <w:rPr>
                <w:rFonts w:ascii="Times New Roman" w:hAnsi="Times New Roman"/>
                <w:sz w:val="20"/>
              </w:rPr>
              <w:t>State Governments; Maintenance of data records consistent with the MFRPS</w:t>
            </w:r>
          </w:p>
        </w:tc>
        <w:tc>
          <w:tcPr>
            <w:tcW w:w="769" w:type="pct"/>
            <w:shd w:val="clear" w:color="auto" w:fill="auto"/>
          </w:tcPr>
          <w:p w:rsidR="0026100F" w:rsidRPr="0026100F" w:rsidP="0026100F" w14:paraId="5FDC24AF" w14:textId="77777777">
            <w:pPr>
              <w:keepNext/>
              <w:jc w:val="center"/>
              <w:rPr>
                <w:rFonts w:ascii="Times New Roman" w:hAnsi="Times New Roman"/>
                <w:sz w:val="20"/>
              </w:rPr>
            </w:pPr>
          </w:p>
          <w:p w:rsidR="0026100F" w:rsidRPr="0026100F" w:rsidP="0026100F" w14:paraId="1B783521" w14:textId="77777777">
            <w:pPr>
              <w:keepNext/>
              <w:jc w:val="right"/>
              <w:rPr>
                <w:rFonts w:ascii="Times New Roman" w:hAnsi="Times New Roman"/>
                <w:sz w:val="20"/>
              </w:rPr>
            </w:pPr>
            <w:r w:rsidRPr="0026100F">
              <w:rPr>
                <w:rFonts w:ascii="Times New Roman" w:hAnsi="Times New Roman"/>
                <w:sz w:val="20"/>
              </w:rPr>
              <w:t>42</w:t>
            </w:r>
          </w:p>
        </w:tc>
        <w:tc>
          <w:tcPr>
            <w:tcW w:w="912" w:type="pct"/>
            <w:shd w:val="clear" w:color="auto" w:fill="auto"/>
          </w:tcPr>
          <w:p w:rsidR="0026100F" w:rsidRPr="0026100F" w:rsidP="0026100F" w14:paraId="6D9AE783" w14:textId="77777777">
            <w:pPr>
              <w:keepNext/>
              <w:jc w:val="center"/>
              <w:rPr>
                <w:rFonts w:ascii="Times New Roman" w:hAnsi="Times New Roman"/>
                <w:sz w:val="20"/>
              </w:rPr>
            </w:pPr>
          </w:p>
          <w:p w:rsidR="0026100F" w:rsidRPr="0026100F" w:rsidP="0026100F" w14:paraId="6AB07317" w14:textId="07E5F14E">
            <w:pPr>
              <w:keepNext/>
              <w:jc w:val="right"/>
              <w:rPr>
                <w:rFonts w:ascii="Times New Roman" w:hAnsi="Times New Roman"/>
                <w:sz w:val="20"/>
              </w:rPr>
            </w:pPr>
            <w:r w:rsidRPr="0026100F">
              <w:rPr>
                <w:rFonts w:ascii="Times New Roman" w:hAnsi="Times New Roman"/>
                <w:sz w:val="20"/>
              </w:rPr>
              <w:t>1</w:t>
            </w:r>
            <w:r w:rsidR="00046BA8">
              <w:rPr>
                <w:rFonts w:ascii="Times New Roman" w:hAnsi="Times New Roman"/>
                <w:sz w:val="20"/>
              </w:rPr>
              <w:t>0</w:t>
            </w:r>
          </w:p>
        </w:tc>
        <w:tc>
          <w:tcPr>
            <w:tcW w:w="721" w:type="pct"/>
            <w:shd w:val="clear" w:color="auto" w:fill="auto"/>
          </w:tcPr>
          <w:p w:rsidR="0026100F" w:rsidRPr="0026100F" w:rsidP="0026100F" w14:paraId="0E3C25C8" w14:textId="77777777">
            <w:pPr>
              <w:keepNext/>
              <w:jc w:val="center"/>
              <w:rPr>
                <w:rFonts w:ascii="Times New Roman" w:hAnsi="Times New Roman"/>
                <w:sz w:val="20"/>
              </w:rPr>
            </w:pPr>
          </w:p>
          <w:p w:rsidR="0026100F" w:rsidRPr="0026100F" w:rsidP="0026100F" w14:paraId="348216C4" w14:textId="03E0060B">
            <w:pPr>
              <w:keepNext/>
              <w:jc w:val="right"/>
              <w:rPr>
                <w:rFonts w:ascii="Times New Roman" w:hAnsi="Times New Roman"/>
                <w:sz w:val="20"/>
              </w:rPr>
            </w:pPr>
            <w:r w:rsidRPr="0026100F">
              <w:rPr>
                <w:rFonts w:ascii="Times New Roman" w:hAnsi="Times New Roman"/>
                <w:sz w:val="20"/>
              </w:rPr>
              <w:t>4</w:t>
            </w:r>
            <w:r w:rsidR="00046BA8">
              <w:rPr>
                <w:rFonts w:ascii="Times New Roman" w:hAnsi="Times New Roman"/>
                <w:sz w:val="20"/>
              </w:rPr>
              <w:t>20</w:t>
            </w:r>
          </w:p>
        </w:tc>
        <w:tc>
          <w:tcPr>
            <w:tcW w:w="962" w:type="pct"/>
            <w:shd w:val="clear" w:color="auto" w:fill="auto"/>
          </w:tcPr>
          <w:p w:rsidR="0026100F" w:rsidRPr="0026100F" w:rsidP="0026100F" w14:paraId="7DB01E03" w14:textId="77777777">
            <w:pPr>
              <w:keepNext/>
              <w:jc w:val="center"/>
              <w:rPr>
                <w:rFonts w:ascii="Times New Roman" w:hAnsi="Times New Roman"/>
                <w:sz w:val="20"/>
              </w:rPr>
            </w:pPr>
          </w:p>
          <w:p w:rsidR="0026100F" w:rsidRPr="0026100F" w:rsidP="0026100F" w14:paraId="687C5DDC" w14:textId="67A7F55B">
            <w:pPr>
              <w:keepNext/>
              <w:jc w:val="right"/>
              <w:rPr>
                <w:rFonts w:ascii="Times New Roman" w:hAnsi="Times New Roman"/>
                <w:sz w:val="20"/>
              </w:rPr>
            </w:pPr>
            <w:r>
              <w:rPr>
                <w:rFonts w:ascii="Times New Roman" w:hAnsi="Times New Roman"/>
                <w:sz w:val="20"/>
              </w:rPr>
              <w:t>40</w:t>
            </w:r>
          </w:p>
        </w:tc>
        <w:tc>
          <w:tcPr>
            <w:tcW w:w="624" w:type="pct"/>
            <w:shd w:val="clear" w:color="auto" w:fill="auto"/>
          </w:tcPr>
          <w:p w:rsidR="0026100F" w:rsidRPr="0026100F" w:rsidP="0026100F" w14:paraId="0629BC08" w14:textId="77777777">
            <w:pPr>
              <w:keepNext/>
              <w:jc w:val="center"/>
              <w:rPr>
                <w:rFonts w:ascii="Times New Roman" w:hAnsi="Times New Roman"/>
                <w:sz w:val="20"/>
              </w:rPr>
            </w:pPr>
          </w:p>
          <w:p w:rsidR="0026100F" w:rsidRPr="0026100F" w:rsidP="0026100F" w14:paraId="0A1F4318" w14:textId="5E6D738C">
            <w:pPr>
              <w:keepNext/>
              <w:jc w:val="right"/>
              <w:rPr>
                <w:rFonts w:ascii="Times New Roman" w:hAnsi="Times New Roman"/>
                <w:sz w:val="20"/>
              </w:rPr>
            </w:pPr>
            <w:r>
              <w:rPr>
                <w:rFonts w:ascii="Times New Roman" w:hAnsi="Times New Roman"/>
                <w:sz w:val="20"/>
              </w:rPr>
              <w:t>16,800</w:t>
            </w:r>
          </w:p>
        </w:tc>
      </w:tr>
    </w:tbl>
    <w:p w:rsidR="0026100F" w:rsidRPr="0026100F" w:rsidP="0026100F" w14:paraId="227B82D3" w14:textId="77777777">
      <w:pPr>
        <w:rPr>
          <w:rFonts w:ascii="Times New Roman" w:hAnsi="Times New Roman"/>
          <w:sz w:val="20"/>
        </w:rPr>
      </w:pPr>
      <w:r w:rsidRPr="0026100F">
        <w:rPr>
          <w:rFonts w:ascii="Times New Roman" w:hAnsi="Times New Roman"/>
          <w:sz w:val="20"/>
          <w:vertAlign w:val="superscript"/>
        </w:rPr>
        <w:t>1</w:t>
      </w:r>
      <w:r w:rsidRPr="0026100F">
        <w:rPr>
          <w:rFonts w:ascii="Times New Roman" w:hAnsi="Times New Roman"/>
          <w:sz w:val="20"/>
        </w:rPr>
        <w:t xml:space="preserve"> There are no capital costs or operating and maintenance costs associated with this collection of information.</w:t>
      </w:r>
    </w:p>
    <w:p w:rsidR="0026100F" w:rsidRPr="0026100F" w:rsidP="0026100F" w14:paraId="7756A321" w14:textId="77777777">
      <w:pPr>
        <w:rPr>
          <w:rFonts w:ascii="Times New Roman" w:hAnsi="Times New Roman"/>
          <w:sz w:val="20"/>
        </w:rPr>
      </w:pPr>
      <w:r w:rsidRPr="0026100F">
        <w:rPr>
          <w:rFonts w:ascii="Times New Roman" w:hAnsi="Times New Roman"/>
          <w:sz w:val="20"/>
          <w:vertAlign w:val="superscript"/>
        </w:rPr>
        <w:t xml:space="preserve">2 </w:t>
      </w:r>
      <w:r w:rsidRPr="0026100F">
        <w:rPr>
          <w:rFonts w:ascii="Times New Roman" w:hAnsi="Times New Roman"/>
          <w:sz w:val="20"/>
        </w:rPr>
        <w:t>Totals may not sum due to rounding.</w:t>
      </w:r>
    </w:p>
    <w:p w:rsidR="008A22D9" w14:paraId="6B83EE81" w14:textId="3F955A36">
      <w:pPr>
        <w:widowControl w:val="0"/>
        <w:ind w:left="540"/>
        <w:rPr>
          <w:rFonts w:ascii="Times New Roman" w:hAnsi="Times New Roman"/>
        </w:rPr>
      </w:pPr>
    </w:p>
    <w:p w:rsidR="0026100F" w14:paraId="15449849" w14:textId="77777777">
      <w:pPr>
        <w:widowControl w:val="0"/>
        <w:ind w:left="540"/>
        <w:rPr>
          <w:rFonts w:ascii="Times New Roman" w:hAnsi="Times New Roman"/>
        </w:rPr>
      </w:pPr>
    </w:p>
    <w:p w:rsidR="0026100F" w:rsidRPr="0026100F" w:rsidP="0026100F" w14:paraId="64E39F78" w14:textId="27F6A24B">
      <w:pPr>
        <w:ind w:left="540"/>
        <w:rPr>
          <w:rFonts w:ascii="Times New Roman" w:hAnsi="Times New Roman"/>
          <w:szCs w:val="24"/>
        </w:rPr>
      </w:pPr>
      <w:r w:rsidRPr="0026100F">
        <w:rPr>
          <w:rFonts w:ascii="Times New Roman" w:hAnsi="Times New Roman"/>
          <w:szCs w:val="24"/>
        </w:rPr>
        <w:t xml:space="preserve">One state program is no longer participating in the MFRPS and two enrolled state agencies have been reorganized into one state agency since our last evaluation. </w:t>
      </w:r>
    </w:p>
    <w:p w:rsidR="00715BB1" w:rsidP="0026100F" w14:paraId="012DB631" w14:textId="77777777">
      <w:pPr>
        <w:tabs>
          <w:tab w:val="left" w:pos="-720"/>
          <w:tab w:val="left" w:pos="0"/>
          <w:tab w:val="left" w:pos="1440"/>
          <w:tab w:val="left" w:pos="2160"/>
          <w:tab w:val="left" w:pos="3600"/>
          <w:tab w:val="left" w:pos="4320"/>
          <w:tab w:val="left" w:leader="dot" w:pos="4500"/>
        </w:tabs>
        <w:ind w:right="720"/>
        <w:rPr>
          <w:rFonts w:ascii="Times New Roman" w:hAnsi="Times New Roman"/>
        </w:rPr>
      </w:pPr>
      <w:bookmarkStart w:id="0" w:name="_Hlk180658584"/>
    </w:p>
    <w:p w:rsidR="00715BB1" w:rsidP="00B913EE" w14:paraId="1C38032F" w14:textId="7A767692">
      <w:pPr>
        <w:tabs>
          <w:tab w:val="left" w:pos="-720"/>
          <w:tab w:val="left" w:pos="0"/>
          <w:tab w:val="left" w:pos="810"/>
          <w:tab w:val="left" w:pos="1440"/>
          <w:tab w:val="left" w:pos="2160"/>
          <w:tab w:val="left" w:pos="3600"/>
          <w:tab w:val="left" w:pos="4320"/>
          <w:tab w:val="left" w:leader="dot" w:pos="4500"/>
        </w:tabs>
        <w:ind w:right="720"/>
        <w:rPr>
          <w:rFonts w:ascii="Times New Roman" w:hAnsi="Times New Roman"/>
          <w:u w:val="single"/>
        </w:rPr>
      </w:pPr>
      <w:r>
        <w:rPr>
          <w:rFonts w:ascii="Times New Roman" w:hAnsi="Times New Roman"/>
        </w:rPr>
        <w:t xml:space="preserve">        </w:t>
      </w:r>
      <w:r>
        <w:rPr>
          <w:rFonts w:ascii="Times New Roman" w:hAnsi="Times New Roman"/>
        </w:rPr>
        <w:t xml:space="preserve">12.b.  </w:t>
      </w:r>
      <w:r w:rsidR="00F643A8">
        <w:rPr>
          <w:rFonts w:ascii="Times New Roman" w:hAnsi="Times New Roman"/>
        </w:rPr>
        <w:tab/>
      </w:r>
      <w:r w:rsidRPr="00BA2E16">
        <w:rPr>
          <w:rFonts w:ascii="Times New Roman" w:hAnsi="Times New Roman"/>
          <w:u w:val="single"/>
        </w:rPr>
        <w:t>Annualized Cost Burden Estimate</w:t>
      </w:r>
    </w:p>
    <w:p w:rsidR="00715BB1" w:rsidP="00C64A74" w14:paraId="0D7E7923" w14:textId="77777777">
      <w:pPr>
        <w:tabs>
          <w:tab w:val="left" w:pos="-720"/>
          <w:tab w:val="left" w:pos="0"/>
          <w:tab w:val="left" w:pos="1440"/>
          <w:tab w:val="left" w:pos="2160"/>
          <w:tab w:val="left" w:pos="3600"/>
          <w:tab w:val="left" w:pos="4320"/>
          <w:tab w:val="left" w:leader="dot" w:pos="4500"/>
        </w:tabs>
        <w:ind w:left="540" w:right="720"/>
        <w:rPr>
          <w:rFonts w:ascii="Times New Roman" w:hAnsi="Times New Roman"/>
          <w:u w:val="single"/>
        </w:rPr>
      </w:pPr>
    </w:p>
    <w:p w:rsidR="00715BB1" w:rsidP="00C64A74" w14:paraId="10B316C9" w14:textId="5157077E">
      <w:pPr>
        <w:tabs>
          <w:tab w:val="left" w:pos="-720"/>
          <w:tab w:val="left" w:pos="0"/>
          <w:tab w:val="left" w:pos="1440"/>
          <w:tab w:val="left" w:pos="2160"/>
          <w:tab w:val="left" w:pos="3600"/>
          <w:tab w:val="left" w:pos="4320"/>
          <w:tab w:val="left" w:leader="dot" w:pos="4500"/>
        </w:tabs>
        <w:ind w:left="540" w:right="720"/>
        <w:rPr>
          <w:rFonts w:ascii="Times New Roman" w:hAnsi="Times New Roman"/>
        </w:rPr>
      </w:pPr>
      <w:r w:rsidRPr="00715BB1">
        <w:rPr>
          <w:rFonts w:ascii="Times New Roman" w:hAnsi="Times New Roman"/>
        </w:rPr>
        <w:t>FDA assumes an average hourly wage rate of $43.55 per hour. Doubling that to approximate a “fully loaded” cost estimate produces $87.10/hr. We therefore calculate respondent costs to be $</w:t>
      </w:r>
      <w:r w:rsidR="00DA27F9">
        <w:rPr>
          <w:rFonts w:ascii="Times New Roman" w:hAnsi="Times New Roman"/>
        </w:rPr>
        <w:t>3,544,795.80</w:t>
      </w:r>
      <w:r w:rsidRPr="00715BB1">
        <w:rPr>
          <w:rFonts w:ascii="Times New Roman" w:hAnsi="Times New Roman"/>
        </w:rPr>
        <w:t xml:space="preserve"> (</w:t>
      </w:r>
      <w:r w:rsidR="00DA27F9">
        <w:rPr>
          <w:rFonts w:ascii="Times New Roman" w:hAnsi="Times New Roman"/>
        </w:rPr>
        <w:t>40,698</w:t>
      </w:r>
      <w:r w:rsidRPr="00715BB1">
        <w:rPr>
          <w:rFonts w:ascii="Times New Roman" w:hAnsi="Times New Roman"/>
        </w:rPr>
        <w:t xml:space="preserve"> x $87.10). </w:t>
      </w:r>
      <w:r>
        <w:rPr>
          <w:rStyle w:val="FootnoteReference"/>
          <w:rFonts w:ascii="Times New Roman" w:hAnsi="Times New Roman"/>
        </w:rPr>
        <w:footnoteReference w:id="3"/>
      </w:r>
    </w:p>
    <w:bookmarkEnd w:id="0"/>
    <w:p w:rsidR="00DC4BEF" w:rsidRPr="00B440CE" w14:paraId="4B9CEB31" w14:textId="77777777">
      <w:pPr>
        <w:widowControl w:val="0"/>
        <w:tabs>
          <w:tab w:val="left" w:pos="540"/>
        </w:tabs>
        <w:ind w:left="540" w:hanging="540"/>
        <w:rPr>
          <w:rFonts w:ascii="Times New Roman" w:hAnsi="Times New Roman"/>
          <w:sz w:val="22"/>
          <w:szCs w:val="22"/>
        </w:rPr>
      </w:pPr>
    </w:p>
    <w:p w:rsidR="008A22D9" w14:paraId="5DF7A060" w14:textId="77777777">
      <w:pPr>
        <w:widowControl w:val="0"/>
        <w:tabs>
          <w:tab w:val="left" w:pos="540"/>
        </w:tabs>
        <w:ind w:left="540" w:hanging="540"/>
        <w:rPr>
          <w:rFonts w:ascii="Times New Roman" w:hAnsi="Times New Roman"/>
          <w:b/>
          <w:u w:val="single"/>
        </w:rPr>
      </w:pPr>
      <w:r w:rsidRPr="001054ED">
        <w:rPr>
          <w:rFonts w:ascii="Times New Roman" w:hAnsi="Times New Roman"/>
        </w:rPr>
        <w:t>13.</w:t>
      </w:r>
      <w:r>
        <w:rPr>
          <w:rFonts w:ascii="Times New Roman" w:hAnsi="Times New Roman"/>
          <w:b/>
        </w:rPr>
        <w:tab/>
      </w:r>
      <w:r w:rsidRPr="001054ED">
        <w:rPr>
          <w:rFonts w:ascii="Times New Roman" w:hAnsi="Times New Roman"/>
          <w:u w:val="single"/>
        </w:rPr>
        <w:t>Estimate of the Other Total Annual Cost</w:t>
      </w:r>
      <w:r w:rsidRPr="001054ED" w:rsidR="00CC73B1">
        <w:rPr>
          <w:rFonts w:ascii="Times New Roman" w:hAnsi="Times New Roman"/>
          <w:u w:val="single"/>
        </w:rPr>
        <w:t xml:space="preserve">s </w:t>
      </w:r>
      <w:r w:rsidRPr="001054ED">
        <w:rPr>
          <w:rFonts w:ascii="Times New Roman" w:hAnsi="Times New Roman"/>
          <w:u w:val="single"/>
        </w:rPr>
        <w:t xml:space="preserve">to Respondents </w:t>
      </w:r>
      <w:r w:rsidRPr="001054ED" w:rsidR="00CC73B1">
        <w:rPr>
          <w:rFonts w:ascii="Times New Roman" w:hAnsi="Times New Roman"/>
          <w:u w:val="single"/>
        </w:rPr>
        <w:t>and/</w:t>
      </w:r>
      <w:r w:rsidRPr="001054ED">
        <w:rPr>
          <w:rFonts w:ascii="Times New Roman" w:hAnsi="Times New Roman"/>
          <w:u w:val="single"/>
        </w:rPr>
        <w:t>or Recordkeepers</w:t>
      </w:r>
      <w:r w:rsidRPr="001054ED" w:rsidR="00CC73B1">
        <w:rPr>
          <w:rFonts w:ascii="Times New Roman" w:hAnsi="Times New Roman"/>
          <w:u w:val="single"/>
        </w:rPr>
        <w:t>/Capital Costs</w:t>
      </w:r>
    </w:p>
    <w:p w:rsidR="00D3401D" w:rsidP="00D3401D" w14:paraId="7FD05A17" w14:textId="77777777">
      <w:pPr>
        <w:tabs>
          <w:tab w:val="left" w:pos="900"/>
        </w:tabs>
        <w:ind w:left="540"/>
        <w:rPr>
          <w:rFonts w:ascii="Times New Roman" w:hAnsi="Times New Roman"/>
          <w:b/>
        </w:rPr>
      </w:pPr>
    </w:p>
    <w:p w:rsidR="00BA48C8" w:rsidP="005E4D1E" w14:paraId="3EB01537" w14:textId="667615DC">
      <w:pPr>
        <w:tabs>
          <w:tab w:val="left" w:pos="900"/>
        </w:tabs>
        <w:ind w:left="540"/>
        <w:rPr>
          <w:rFonts w:ascii="Times New Roman" w:hAnsi="Times New Roman"/>
          <w:b/>
        </w:rPr>
      </w:pPr>
      <w:r w:rsidRPr="00D3401D">
        <w:rPr>
          <w:rFonts w:ascii="Times New Roman" w:hAnsi="Times New Roman"/>
        </w:rPr>
        <w:t>There are no capital</w:t>
      </w:r>
      <w:r w:rsidR="00DE322B">
        <w:rPr>
          <w:rFonts w:ascii="Times New Roman" w:hAnsi="Times New Roman"/>
        </w:rPr>
        <w:t xml:space="preserve">, start-up, </w:t>
      </w:r>
      <w:r w:rsidRPr="00D3401D">
        <w:rPr>
          <w:rFonts w:ascii="Times New Roman" w:hAnsi="Times New Roman"/>
        </w:rPr>
        <w:t>operating</w:t>
      </w:r>
      <w:r w:rsidR="00DE322B">
        <w:rPr>
          <w:rFonts w:ascii="Times New Roman" w:hAnsi="Times New Roman"/>
        </w:rPr>
        <w:t xml:space="preserve"> or</w:t>
      </w:r>
      <w:r w:rsidRPr="00D3401D">
        <w:rPr>
          <w:rFonts w:ascii="Times New Roman" w:hAnsi="Times New Roman"/>
        </w:rPr>
        <w:t xml:space="preserve"> maintenance costs associated with this collection of </w:t>
      </w:r>
      <w:r w:rsidRPr="00A71B13">
        <w:rPr>
          <w:rFonts w:ascii="Times New Roman" w:hAnsi="Times New Roman"/>
        </w:rPr>
        <w:t>information</w:t>
      </w:r>
      <w:r w:rsidRPr="00A71B13" w:rsidR="00D3401D">
        <w:rPr>
          <w:rFonts w:ascii="Times New Roman" w:hAnsi="Times New Roman"/>
        </w:rPr>
        <w:t>.</w:t>
      </w:r>
    </w:p>
    <w:p w:rsidR="00BA48C8" w:rsidRPr="00A71B13" w14:paraId="7731D440" w14:textId="77777777">
      <w:pPr>
        <w:tabs>
          <w:tab w:val="left" w:pos="-720"/>
          <w:tab w:val="left" w:pos="0"/>
          <w:tab w:val="left" w:pos="1440"/>
          <w:tab w:val="left" w:pos="2160"/>
          <w:tab w:val="left" w:pos="3600"/>
          <w:tab w:val="left" w:pos="4320"/>
          <w:tab w:val="left" w:leader="dot" w:pos="4500"/>
        </w:tabs>
        <w:ind w:left="720" w:right="720"/>
        <w:rPr>
          <w:rFonts w:ascii="Times New Roman" w:hAnsi="Times New Roman"/>
          <w:b/>
        </w:rPr>
      </w:pPr>
    </w:p>
    <w:p w:rsidR="008F370F" w:rsidRPr="008F370F" w:rsidP="008F370F" w14:paraId="10EF502D" w14:textId="77777777">
      <w:pPr>
        <w:ind w:left="540" w:hanging="540"/>
        <w:rPr>
          <w:rFonts w:ascii="Times New Roman" w:eastAsia="Calibri" w:hAnsi="Times New Roman"/>
          <w:b/>
          <w:bCs/>
          <w:szCs w:val="24"/>
          <w:u w:val="single"/>
        </w:rPr>
      </w:pPr>
      <w:r w:rsidRPr="008F370F">
        <w:rPr>
          <w:rFonts w:ascii="Times New Roman" w:eastAsia="Calibri" w:hAnsi="Times New Roman"/>
          <w:color w:val="000000"/>
          <w:szCs w:val="24"/>
        </w:rPr>
        <w:t>14.</w:t>
      </w:r>
      <w:r w:rsidRPr="008F370F">
        <w:rPr>
          <w:rFonts w:ascii="Times New Roman" w:eastAsia="Calibri" w:hAnsi="Times New Roman"/>
          <w:b/>
          <w:bCs/>
          <w:color w:val="000000"/>
          <w:szCs w:val="24"/>
        </w:rPr>
        <w:t xml:space="preserve">    </w:t>
      </w:r>
      <w:r w:rsidRPr="008F370F">
        <w:rPr>
          <w:rFonts w:ascii="Times New Roman" w:eastAsia="Calibri" w:hAnsi="Times New Roman"/>
          <w:color w:val="000000"/>
          <w:szCs w:val="24"/>
          <w:u w:val="single"/>
        </w:rPr>
        <w:t>Annualized Cost to the Federal Government</w:t>
      </w:r>
    </w:p>
    <w:p w:rsidR="008F370F" w:rsidRPr="008F370F" w:rsidP="008F370F" w14:paraId="47E39382" w14:textId="77777777">
      <w:pPr>
        <w:rPr>
          <w:rFonts w:ascii="Calibri" w:eastAsia="Calibri" w:hAnsi="Calibri" w:cs="Calibri"/>
          <w:sz w:val="22"/>
          <w:szCs w:val="22"/>
        </w:rPr>
      </w:pPr>
    </w:p>
    <w:p w:rsidR="008F370F" w:rsidRPr="008F370F" w:rsidP="008F370F" w14:paraId="009EAECF" w14:textId="77777777">
      <w:pPr>
        <w:rPr>
          <w:rFonts w:ascii="Times New Roman" w:eastAsia="Calibri" w:hAnsi="Times New Roman"/>
          <w:color w:val="000000"/>
          <w:szCs w:val="24"/>
        </w:rPr>
      </w:pPr>
      <w:r w:rsidRPr="008F370F">
        <w:rPr>
          <w:rFonts w:ascii="Times New Roman" w:eastAsia="Calibri" w:hAnsi="Times New Roman"/>
          <w:color w:val="000000"/>
          <w:szCs w:val="24"/>
        </w:rPr>
        <w:t>Staff needs specific to this collection include effort to review report submissions, provide technical guidance to program participants on using the forms, and facilitation of periodic review and updates to the MFRPS when needed.</w:t>
      </w:r>
    </w:p>
    <w:p w:rsidR="008F370F" w:rsidRPr="008F370F" w:rsidP="008F370F" w14:paraId="62A4E0BD" w14:textId="77777777">
      <w:pPr>
        <w:rPr>
          <w:rFonts w:ascii="Verdana" w:eastAsia="Calibri" w:hAnsi="Verdana" w:cs="Calibri"/>
          <w:color w:val="000000"/>
          <w:szCs w:val="24"/>
        </w:rPr>
      </w:pPr>
    </w:p>
    <w:tbl>
      <w:tblPr>
        <w:tblW w:w="0" w:type="auto"/>
        <w:tblInd w:w="-5" w:type="dxa"/>
        <w:tblCellMar>
          <w:left w:w="0" w:type="dxa"/>
          <w:right w:w="0" w:type="dxa"/>
        </w:tblCellMar>
        <w:tblLook w:val="04A0"/>
      </w:tblPr>
      <w:tblGrid>
        <w:gridCol w:w="2430"/>
        <w:gridCol w:w="2160"/>
        <w:gridCol w:w="2520"/>
        <w:gridCol w:w="1530"/>
      </w:tblGrid>
      <w:tr w14:paraId="6273C781" w14:textId="77777777" w:rsidTr="008F370F">
        <w:tblPrEx>
          <w:tblW w:w="0" w:type="auto"/>
          <w:tblInd w:w="-5" w:type="dxa"/>
          <w:tblCellMar>
            <w:left w:w="0" w:type="dxa"/>
            <w:right w:w="0" w:type="dxa"/>
          </w:tblCellMar>
          <w:tblLook w:val="04A0"/>
        </w:tblPrEx>
        <w:tc>
          <w:tcPr>
            <w:tcW w:w="8640"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F370F" w:rsidRPr="008F370F" w:rsidP="008F370F" w14:paraId="6A4E8C93" w14:textId="1DABBB40">
            <w:pPr>
              <w:autoSpaceDE w:val="0"/>
              <w:autoSpaceDN w:val="0"/>
              <w:rPr>
                <w:rFonts w:ascii="Times New Roman" w:eastAsia="Calibri" w:hAnsi="Times New Roman"/>
                <w:color w:val="000000"/>
                <w:szCs w:val="24"/>
              </w:rPr>
            </w:pPr>
            <w:r w:rsidRPr="008F370F">
              <w:rPr>
                <w:rFonts w:ascii="Times New Roman" w:eastAsia="Calibri" w:hAnsi="Times New Roman"/>
                <w:color w:val="000000"/>
                <w:szCs w:val="24"/>
              </w:rPr>
              <w:t xml:space="preserve">Table </w:t>
            </w:r>
            <w:r w:rsidR="00917017">
              <w:rPr>
                <w:rFonts w:ascii="Times New Roman" w:eastAsia="Calibri" w:hAnsi="Times New Roman"/>
                <w:color w:val="000000"/>
                <w:szCs w:val="24"/>
              </w:rPr>
              <w:t>2</w:t>
            </w:r>
            <w:r w:rsidRPr="008F370F">
              <w:rPr>
                <w:rFonts w:ascii="Times New Roman" w:eastAsia="Calibri" w:hAnsi="Times New Roman"/>
                <w:color w:val="000000"/>
                <w:szCs w:val="24"/>
              </w:rPr>
              <w:t xml:space="preserve">.--Estimated Government Costs Using the </w:t>
            </w:r>
            <w:r w:rsidRPr="00505BC7">
              <w:rPr>
                <w:rFonts w:ascii="Times New Roman" w:eastAsia="Calibri" w:hAnsi="Times New Roman"/>
                <w:color w:val="000000"/>
                <w:szCs w:val="24"/>
              </w:rPr>
              <w:t>202</w:t>
            </w:r>
            <w:r w:rsidRPr="00FC656C" w:rsidR="00715BB1">
              <w:rPr>
                <w:rFonts w:ascii="Times New Roman" w:eastAsia="Calibri" w:hAnsi="Times New Roman"/>
                <w:color w:val="000000"/>
                <w:szCs w:val="24"/>
              </w:rPr>
              <w:t>5</w:t>
            </w:r>
            <w:r w:rsidRPr="008F370F">
              <w:rPr>
                <w:rFonts w:ascii="Times New Roman" w:eastAsia="Calibri" w:hAnsi="Times New Roman"/>
                <w:color w:val="000000"/>
                <w:szCs w:val="24"/>
              </w:rPr>
              <w:t xml:space="preserve"> Salary Tables</w:t>
            </w:r>
          </w:p>
        </w:tc>
      </w:tr>
      <w:tr w14:paraId="1E598BF9" w14:textId="77777777" w:rsidTr="008F370F">
        <w:tblPrEx>
          <w:tblW w:w="0" w:type="auto"/>
          <w:tblInd w:w="-5" w:type="dxa"/>
          <w:tblCellMar>
            <w:left w:w="0" w:type="dxa"/>
            <w:right w:w="0" w:type="dxa"/>
          </w:tblCellMar>
          <w:tblLook w:val="04A0"/>
        </w:tblPrEx>
        <w:tc>
          <w:tcPr>
            <w:tcW w:w="24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370F" w:rsidRPr="008F370F" w:rsidP="008F370F" w14:paraId="0EB9937B" w14:textId="77777777">
            <w:pPr>
              <w:autoSpaceDE w:val="0"/>
              <w:autoSpaceDN w:val="0"/>
              <w:rPr>
                <w:rFonts w:ascii="Times New Roman" w:eastAsia="Calibri" w:hAnsi="Times New Roman"/>
                <w:color w:val="000000"/>
                <w:szCs w:val="24"/>
              </w:rPr>
            </w:pPr>
            <w:r w:rsidRPr="008F370F">
              <w:rPr>
                <w:rFonts w:ascii="Times New Roman" w:eastAsia="Calibri" w:hAnsi="Times New Roman"/>
                <w:color w:val="000000"/>
                <w:szCs w:val="24"/>
              </w:rPr>
              <w:t>Government Personnel</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8F370F" w:rsidRPr="008F370F" w:rsidP="008F370F" w14:paraId="005B9394" w14:textId="77777777">
            <w:pPr>
              <w:autoSpaceDE w:val="0"/>
              <w:autoSpaceDN w:val="0"/>
              <w:rPr>
                <w:rFonts w:ascii="Times New Roman" w:eastAsia="Calibri" w:hAnsi="Times New Roman"/>
                <w:color w:val="000000"/>
                <w:szCs w:val="24"/>
              </w:rPr>
            </w:pPr>
            <w:r w:rsidRPr="008F370F">
              <w:rPr>
                <w:rFonts w:ascii="Times New Roman" w:eastAsia="Calibri" w:hAnsi="Times New Roman"/>
                <w:color w:val="000000"/>
                <w:szCs w:val="24"/>
              </w:rPr>
              <w:t>Effort Commitment</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8F370F" w:rsidRPr="008F370F" w:rsidP="008F370F" w14:paraId="54394997" w14:textId="77777777">
            <w:pPr>
              <w:autoSpaceDE w:val="0"/>
              <w:autoSpaceDN w:val="0"/>
              <w:rPr>
                <w:rFonts w:ascii="Times New Roman" w:eastAsia="Calibri" w:hAnsi="Times New Roman"/>
                <w:color w:val="000000"/>
                <w:szCs w:val="24"/>
              </w:rPr>
            </w:pPr>
            <w:r w:rsidRPr="008F370F">
              <w:rPr>
                <w:rFonts w:ascii="Times New Roman" w:eastAsia="Calibri" w:hAnsi="Times New Roman"/>
                <w:color w:val="000000"/>
                <w:szCs w:val="24"/>
              </w:rPr>
              <w:t>Average Annual Salary</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8F370F" w:rsidRPr="008F370F" w:rsidP="008F370F" w14:paraId="34C901DF" w14:textId="77777777">
            <w:pPr>
              <w:autoSpaceDE w:val="0"/>
              <w:autoSpaceDN w:val="0"/>
              <w:rPr>
                <w:rFonts w:ascii="Times New Roman" w:eastAsia="Calibri" w:hAnsi="Times New Roman"/>
                <w:color w:val="000000"/>
                <w:szCs w:val="24"/>
              </w:rPr>
            </w:pPr>
            <w:r w:rsidRPr="008F370F">
              <w:rPr>
                <w:rFonts w:ascii="Times New Roman" w:eastAsia="Calibri" w:hAnsi="Times New Roman"/>
                <w:color w:val="000000"/>
                <w:szCs w:val="24"/>
              </w:rPr>
              <w:t>Total Costs</w:t>
            </w:r>
          </w:p>
        </w:tc>
      </w:tr>
      <w:tr w14:paraId="7F00FD08" w14:textId="77777777" w:rsidTr="008F370F">
        <w:tblPrEx>
          <w:tblW w:w="0" w:type="auto"/>
          <w:tblInd w:w="-5" w:type="dxa"/>
          <w:tblCellMar>
            <w:left w:w="0" w:type="dxa"/>
            <w:right w:w="0" w:type="dxa"/>
          </w:tblCellMar>
          <w:tblLook w:val="04A0"/>
        </w:tblPrEx>
        <w:tc>
          <w:tcPr>
            <w:tcW w:w="24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370F" w:rsidRPr="008F370F" w:rsidP="008F370F" w14:paraId="6C5B9FA1" w14:textId="77777777">
            <w:pPr>
              <w:autoSpaceDE w:val="0"/>
              <w:autoSpaceDN w:val="0"/>
              <w:rPr>
                <w:rFonts w:ascii="Times New Roman" w:eastAsia="Calibri" w:hAnsi="Times New Roman"/>
                <w:color w:val="000000"/>
                <w:szCs w:val="24"/>
              </w:rPr>
            </w:pPr>
            <w:r w:rsidRPr="00FC656C">
              <w:rPr>
                <w:rFonts w:ascii="Times New Roman" w:eastAsia="Calibri" w:hAnsi="Times New Roman"/>
                <w:color w:val="000000"/>
                <w:szCs w:val="24"/>
              </w:rPr>
              <w:t>GS-12 (1)</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8F370F" w:rsidRPr="008F370F" w:rsidP="008F370F" w14:paraId="1207CAF8" w14:textId="77777777">
            <w:pPr>
              <w:autoSpaceDE w:val="0"/>
              <w:autoSpaceDN w:val="0"/>
              <w:rPr>
                <w:rFonts w:ascii="Times New Roman" w:eastAsia="Calibri" w:hAnsi="Times New Roman"/>
                <w:color w:val="000000"/>
                <w:szCs w:val="24"/>
              </w:rPr>
            </w:pPr>
            <w:r w:rsidRPr="008F370F">
              <w:rPr>
                <w:rFonts w:ascii="Times New Roman" w:eastAsia="Calibri" w:hAnsi="Times New Roman"/>
                <w:color w:val="000000"/>
                <w:szCs w:val="24"/>
              </w:rPr>
              <w:t>5%</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8F370F" w:rsidRPr="008F370F" w:rsidP="008F370F" w14:paraId="500239B9" w14:textId="0D4167CB">
            <w:pPr>
              <w:autoSpaceDE w:val="0"/>
              <w:autoSpaceDN w:val="0"/>
              <w:rPr>
                <w:rFonts w:ascii="Times New Roman" w:eastAsia="Calibri" w:hAnsi="Times New Roman"/>
                <w:color w:val="000000"/>
                <w:szCs w:val="24"/>
              </w:rPr>
            </w:pPr>
            <w:r w:rsidRPr="008F370F">
              <w:rPr>
                <w:rFonts w:ascii="Times New Roman" w:eastAsia="Calibri" w:hAnsi="Times New Roman"/>
                <w:color w:val="000000"/>
                <w:szCs w:val="24"/>
              </w:rPr>
              <w:t>$</w:t>
            </w:r>
            <w:r w:rsidR="00625068">
              <w:rPr>
                <w:rFonts w:ascii="Times New Roman" w:eastAsia="Calibri" w:hAnsi="Times New Roman"/>
                <w:color w:val="000000"/>
                <w:szCs w:val="24"/>
              </w:rPr>
              <w:t>101,401</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8F370F" w:rsidRPr="008F370F" w:rsidP="008F370F" w14:paraId="006D5FCD" w14:textId="28693D6E">
            <w:pPr>
              <w:autoSpaceDE w:val="0"/>
              <w:autoSpaceDN w:val="0"/>
              <w:rPr>
                <w:rFonts w:ascii="Times New Roman" w:eastAsia="Calibri" w:hAnsi="Times New Roman"/>
                <w:color w:val="000000"/>
                <w:szCs w:val="24"/>
              </w:rPr>
            </w:pPr>
            <w:r w:rsidRPr="008F370F">
              <w:rPr>
                <w:rFonts w:ascii="Times New Roman" w:eastAsia="Calibri" w:hAnsi="Times New Roman"/>
                <w:color w:val="000000"/>
                <w:szCs w:val="24"/>
              </w:rPr>
              <w:t>$</w:t>
            </w:r>
            <w:r w:rsidR="00747A82">
              <w:rPr>
                <w:rFonts w:ascii="Times New Roman" w:eastAsia="Calibri" w:hAnsi="Times New Roman"/>
                <w:color w:val="000000"/>
                <w:szCs w:val="24"/>
              </w:rPr>
              <w:t>5,070.05</w:t>
            </w:r>
          </w:p>
        </w:tc>
      </w:tr>
      <w:tr w14:paraId="63DF019B" w14:textId="77777777" w:rsidTr="008F370F">
        <w:tblPrEx>
          <w:tblW w:w="0" w:type="auto"/>
          <w:tblInd w:w="-5" w:type="dxa"/>
          <w:tblCellMar>
            <w:left w:w="0" w:type="dxa"/>
            <w:right w:w="0" w:type="dxa"/>
          </w:tblCellMar>
          <w:tblLook w:val="04A0"/>
        </w:tblPrEx>
        <w:tc>
          <w:tcPr>
            <w:tcW w:w="24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370F" w:rsidRPr="008F370F" w:rsidP="008F370F" w14:paraId="63F819A3" w14:textId="4D925A09">
            <w:pPr>
              <w:autoSpaceDE w:val="0"/>
              <w:autoSpaceDN w:val="0"/>
              <w:rPr>
                <w:rFonts w:ascii="Times New Roman" w:eastAsia="Calibri" w:hAnsi="Times New Roman"/>
                <w:color w:val="000000"/>
                <w:szCs w:val="24"/>
              </w:rPr>
            </w:pPr>
            <w:r w:rsidRPr="008F370F">
              <w:rPr>
                <w:rFonts w:ascii="Times New Roman" w:eastAsia="Calibri" w:hAnsi="Times New Roman"/>
                <w:color w:val="000000"/>
                <w:szCs w:val="24"/>
              </w:rPr>
              <w:t xml:space="preserve">GS-13 </w:t>
            </w:r>
            <w:r w:rsidRPr="00FC656C">
              <w:rPr>
                <w:rFonts w:ascii="Times New Roman" w:eastAsia="Calibri" w:hAnsi="Times New Roman"/>
                <w:color w:val="000000"/>
                <w:szCs w:val="24"/>
              </w:rPr>
              <w:t>(</w:t>
            </w:r>
            <w:r w:rsidRPr="00FC656C" w:rsidR="006613D7">
              <w:rPr>
                <w:rFonts w:ascii="Times New Roman" w:eastAsia="Calibri" w:hAnsi="Times New Roman"/>
                <w:color w:val="000000"/>
                <w:szCs w:val="24"/>
              </w:rPr>
              <w:t>6</w:t>
            </w:r>
            <w:r w:rsidRPr="00FC656C">
              <w:rPr>
                <w:rFonts w:ascii="Times New Roman" w:eastAsia="Calibri" w:hAnsi="Times New Roman"/>
                <w:color w:val="000000"/>
                <w:szCs w:val="24"/>
              </w:rPr>
              <w:t xml:space="preserve"> @ </w:t>
            </w:r>
            <w:r w:rsidRPr="00505BC7">
              <w:rPr>
                <w:rFonts w:ascii="Times New Roman" w:eastAsia="Calibri" w:hAnsi="Times New Roman"/>
                <w:color w:val="000000"/>
                <w:szCs w:val="24"/>
              </w:rPr>
              <w:t>25%</w:t>
            </w:r>
            <w:r w:rsidRPr="008F370F">
              <w:rPr>
                <w:rFonts w:ascii="Times New Roman" w:eastAsia="Calibri" w:hAnsi="Times New Roman"/>
                <w:color w:val="000000"/>
                <w:szCs w:val="24"/>
              </w:rPr>
              <w:t xml:space="preserve"> each)</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8F370F" w:rsidRPr="008F370F" w:rsidP="008F370F" w14:paraId="3FFC5FA7" w14:textId="392FFF75">
            <w:pPr>
              <w:autoSpaceDE w:val="0"/>
              <w:autoSpaceDN w:val="0"/>
              <w:rPr>
                <w:rFonts w:ascii="Times New Roman" w:eastAsia="Calibri" w:hAnsi="Times New Roman"/>
                <w:color w:val="000000"/>
                <w:szCs w:val="24"/>
              </w:rPr>
            </w:pPr>
            <w:r w:rsidRPr="008F370F">
              <w:rPr>
                <w:rFonts w:ascii="Times New Roman" w:eastAsia="Calibri" w:hAnsi="Times New Roman"/>
                <w:color w:val="000000"/>
                <w:szCs w:val="24"/>
              </w:rPr>
              <w:t>1</w:t>
            </w:r>
            <w:r>
              <w:rPr>
                <w:rFonts w:ascii="Times New Roman" w:eastAsia="Calibri" w:hAnsi="Times New Roman"/>
                <w:color w:val="000000"/>
                <w:szCs w:val="24"/>
              </w:rPr>
              <w:t>50</w:t>
            </w:r>
            <w:r w:rsidRPr="008F370F">
              <w:rPr>
                <w:rFonts w:ascii="Times New Roman" w:eastAsia="Calibri" w:hAnsi="Times New Roman"/>
                <w:color w:val="000000"/>
                <w:szCs w:val="24"/>
              </w:rPr>
              <w:t>%</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8F370F" w:rsidRPr="008F370F" w:rsidP="008F370F" w14:paraId="4FEE508D" w14:textId="7D56C8D0">
            <w:pPr>
              <w:autoSpaceDE w:val="0"/>
              <w:autoSpaceDN w:val="0"/>
              <w:rPr>
                <w:rFonts w:ascii="Times New Roman" w:eastAsia="Calibri" w:hAnsi="Times New Roman"/>
                <w:color w:val="000000"/>
                <w:szCs w:val="24"/>
              </w:rPr>
            </w:pPr>
            <w:r>
              <w:rPr>
                <w:rFonts w:ascii="Times New Roman" w:eastAsia="Calibri" w:hAnsi="Times New Roman"/>
                <w:color w:val="000000"/>
                <w:szCs w:val="24"/>
              </w:rPr>
              <w:t>$</w:t>
            </w:r>
            <w:r w:rsidR="00625068">
              <w:rPr>
                <w:rFonts w:ascii="Times New Roman" w:eastAsia="Calibri" w:hAnsi="Times New Roman"/>
                <w:color w:val="000000"/>
                <w:szCs w:val="24"/>
              </w:rPr>
              <w:t>120,579</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8F370F" w:rsidRPr="008F370F" w:rsidP="008F370F" w14:paraId="0495049F" w14:textId="092AB357">
            <w:pPr>
              <w:autoSpaceDE w:val="0"/>
              <w:autoSpaceDN w:val="0"/>
              <w:rPr>
                <w:rFonts w:ascii="Times New Roman" w:eastAsia="Calibri" w:hAnsi="Times New Roman"/>
                <w:color w:val="000000"/>
                <w:szCs w:val="24"/>
              </w:rPr>
            </w:pPr>
            <w:r w:rsidRPr="008F370F">
              <w:rPr>
                <w:rFonts w:ascii="Times New Roman" w:eastAsia="Calibri" w:hAnsi="Times New Roman"/>
                <w:color w:val="000000"/>
                <w:szCs w:val="24"/>
              </w:rPr>
              <w:t>$</w:t>
            </w:r>
            <w:r w:rsidR="00B102E1">
              <w:rPr>
                <w:rFonts w:ascii="Times New Roman" w:eastAsia="Calibri" w:hAnsi="Times New Roman"/>
                <w:color w:val="000000"/>
                <w:szCs w:val="24"/>
              </w:rPr>
              <w:t>1</w:t>
            </w:r>
            <w:r w:rsidR="003234D9">
              <w:rPr>
                <w:rFonts w:ascii="Times New Roman" w:eastAsia="Calibri" w:hAnsi="Times New Roman"/>
                <w:color w:val="000000"/>
                <w:szCs w:val="24"/>
              </w:rPr>
              <w:t>8</w:t>
            </w:r>
            <w:r w:rsidR="00B102E1">
              <w:rPr>
                <w:rFonts w:ascii="Times New Roman" w:eastAsia="Calibri" w:hAnsi="Times New Roman"/>
                <w:color w:val="000000"/>
                <w:szCs w:val="24"/>
              </w:rPr>
              <w:t>0,</w:t>
            </w:r>
            <w:r w:rsidR="003234D9">
              <w:rPr>
                <w:rFonts w:ascii="Times New Roman" w:eastAsia="Calibri" w:hAnsi="Times New Roman"/>
                <w:color w:val="000000"/>
                <w:szCs w:val="24"/>
              </w:rPr>
              <w:t>868.50</w:t>
            </w:r>
          </w:p>
        </w:tc>
      </w:tr>
      <w:tr w14:paraId="3A42634F" w14:textId="77777777" w:rsidTr="008F370F">
        <w:tblPrEx>
          <w:tblW w:w="0" w:type="auto"/>
          <w:tblInd w:w="-5" w:type="dxa"/>
          <w:tblCellMar>
            <w:left w:w="0" w:type="dxa"/>
            <w:right w:w="0" w:type="dxa"/>
          </w:tblCellMar>
          <w:tblLook w:val="04A0"/>
        </w:tblPrEx>
        <w:tc>
          <w:tcPr>
            <w:tcW w:w="24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370F" w:rsidRPr="008F370F" w:rsidP="008F370F" w14:paraId="7D4D79D6" w14:textId="77777777">
            <w:pPr>
              <w:autoSpaceDE w:val="0"/>
              <w:autoSpaceDN w:val="0"/>
              <w:rPr>
                <w:rFonts w:ascii="Times New Roman" w:eastAsia="Calibri" w:hAnsi="Times New Roman"/>
                <w:color w:val="000000"/>
                <w:szCs w:val="24"/>
              </w:rPr>
            </w:pPr>
            <w:r w:rsidRPr="00505BC7">
              <w:rPr>
                <w:rFonts w:ascii="Times New Roman" w:eastAsia="Calibri" w:hAnsi="Times New Roman"/>
                <w:color w:val="000000"/>
                <w:szCs w:val="24"/>
              </w:rPr>
              <w:t>GS-14 (1)</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8F370F" w:rsidRPr="008F370F" w:rsidP="008F370F" w14:paraId="2048017A" w14:textId="77777777">
            <w:pPr>
              <w:autoSpaceDE w:val="0"/>
              <w:autoSpaceDN w:val="0"/>
              <w:rPr>
                <w:rFonts w:ascii="Times New Roman" w:eastAsia="Calibri" w:hAnsi="Times New Roman"/>
                <w:color w:val="000000"/>
                <w:szCs w:val="24"/>
              </w:rPr>
            </w:pPr>
            <w:r w:rsidRPr="008F370F">
              <w:rPr>
                <w:rFonts w:ascii="Times New Roman" w:eastAsia="Calibri" w:hAnsi="Times New Roman"/>
                <w:color w:val="000000"/>
                <w:szCs w:val="24"/>
              </w:rPr>
              <w:t>10%</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8F370F" w:rsidRPr="008F370F" w:rsidP="008F370F" w14:paraId="056D6D2E" w14:textId="575F98B8">
            <w:pPr>
              <w:autoSpaceDE w:val="0"/>
              <w:autoSpaceDN w:val="0"/>
              <w:rPr>
                <w:rFonts w:ascii="Times New Roman" w:eastAsia="Calibri" w:hAnsi="Times New Roman"/>
                <w:color w:val="000000"/>
                <w:szCs w:val="24"/>
              </w:rPr>
            </w:pPr>
            <w:r w:rsidRPr="008F370F">
              <w:rPr>
                <w:rFonts w:ascii="Times New Roman" w:eastAsia="Calibri" w:hAnsi="Times New Roman"/>
                <w:color w:val="000000"/>
                <w:szCs w:val="24"/>
              </w:rPr>
              <w:t>$</w:t>
            </w:r>
            <w:r w:rsidR="00625068">
              <w:rPr>
                <w:rFonts w:ascii="Times New Roman" w:eastAsia="Calibri" w:hAnsi="Times New Roman"/>
                <w:color w:val="000000"/>
                <w:szCs w:val="24"/>
              </w:rPr>
              <w:t>14</w:t>
            </w:r>
            <w:r w:rsidR="006A1AD6">
              <w:rPr>
                <w:rFonts w:ascii="Times New Roman" w:eastAsia="Calibri" w:hAnsi="Times New Roman"/>
                <w:color w:val="000000"/>
                <w:szCs w:val="24"/>
              </w:rPr>
              <w:t>2</w:t>
            </w:r>
            <w:r w:rsidR="00625068">
              <w:rPr>
                <w:rFonts w:ascii="Times New Roman" w:eastAsia="Calibri" w:hAnsi="Times New Roman"/>
                <w:color w:val="000000"/>
                <w:szCs w:val="24"/>
              </w:rPr>
              <w:t>,488</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8F370F" w:rsidRPr="008F370F" w:rsidP="008F370F" w14:paraId="5202389B" w14:textId="47D9CAB4">
            <w:pPr>
              <w:autoSpaceDE w:val="0"/>
              <w:autoSpaceDN w:val="0"/>
              <w:rPr>
                <w:rFonts w:ascii="Times New Roman" w:eastAsia="Calibri" w:hAnsi="Times New Roman"/>
                <w:color w:val="000000"/>
                <w:szCs w:val="24"/>
              </w:rPr>
            </w:pPr>
            <w:r w:rsidRPr="008F370F">
              <w:rPr>
                <w:rFonts w:ascii="Times New Roman" w:eastAsia="Calibri" w:hAnsi="Times New Roman"/>
                <w:color w:val="000000"/>
                <w:szCs w:val="24"/>
              </w:rPr>
              <w:t>$</w:t>
            </w:r>
            <w:r w:rsidR="001C285E">
              <w:rPr>
                <w:rFonts w:ascii="Times New Roman" w:eastAsia="Calibri" w:hAnsi="Times New Roman"/>
                <w:color w:val="000000"/>
                <w:szCs w:val="24"/>
              </w:rPr>
              <w:t>14,</w:t>
            </w:r>
            <w:r w:rsidR="00F641B1">
              <w:rPr>
                <w:rFonts w:ascii="Times New Roman" w:eastAsia="Calibri" w:hAnsi="Times New Roman"/>
                <w:color w:val="000000"/>
                <w:szCs w:val="24"/>
              </w:rPr>
              <w:t>2</w:t>
            </w:r>
            <w:r w:rsidR="001C285E">
              <w:rPr>
                <w:rFonts w:ascii="Times New Roman" w:eastAsia="Calibri" w:hAnsi="Times New Roman"/>
                <w:color w:val="000000"/>
                <w:szCs w:val="24"/>
              </w:rPr>
              <w:t>48.80</w:t>
            </w:r>
          </w:p>
        </w:tc>
      </w:tr>
      <w:tr w14:paraId="5CF72539" w14:textId="77777777" w:rsidTr="008F370F">
        <w:tblPrEx>
          <w:tblW w:w="0" w:type="auto"/>
          <w:tblInd w:w="-5" w:type="dxa"/>
          <w:tblCellMar>
            <w:left w:w="0" w:type="dxa"/>
            <w:right w:w="0" w:type="dxa"/>
          </w:tblCellMar>
          <w:tblLook w:val="04A0"/>
        </w:tblPrEx>
        <w:tc>
          <w:tcPr>
            <w:tcW w:w="24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370F" w:rsidRPr="008F370F" w:rsidP="008F370F" w14:paraId="1FE88EBD" w14:textId="77777777">
            <w:pPr>
              <w:autoSpaceDE w:val="0"/>
              <w:autoSpaceDN w:val="0"/>
              <w:rPr>
                <w:rFonts w:ascii="Times New Roman" w:eastAsia="Calibri" w:hAnsi="Times New Roman"/>
                <w:color w:val="000000"/>
                <w:szCs w:val="24"/>
              </w:rPr>
            </w:pPr>
            <w:r w:rsidRPr="008F370F">
              <w:rPr>
                <w:rFonts w:ascii="Times New Roman" w:eastAsia="Calibri" w:hAnsi="Times New Roman"/>
                <w:color w:val="000000"/>
                <w:szCs w:val="24"/>
              </w:rPr>
              <w:t>GS-15 (1)</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8F370F" w:rsidRPr="008F370F" w:rsidP="008F370F" w14:paraId="37B8B59D" w14:textId="77777777">
            <w:pPr>
              <w:autoSpaceDE w:val="0"/>
              <w:autoSpaceDN w:val="0"/>
              <w:rPr>
                <w:rFonts w:ascii="Times New Roman" w:eastAsia="Calibri" w:hAnsi="Times New Roman"/>
                <w:color w:val="000000"/>
                <w:szCs w:val="24"/>
              </w:rPr>
            </w:pPr>
            <w:r w:rsidRPr="008F370F">
              <w:rPr>
                <w:rFonts w:ascii="Times New Roman" w:eastAsia="Calibri" w:hAnsi="Times New Roman"/>
                <w:color w:val="000000"/>
                <w:szCs w:val="24"/>
              </w:rPr>
              <w:t>5%</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8F370F" w:rsidRPr="008F370F" w:rsidP="008F370F" w14:paraId="441C106A" w14:textId="2665BF8D">
            <w:pPr>
              <w:autoSpaceDE w:val="0"/>
              <w:autoSpaceDN w:val="0"/>
              <w:rPr>
                <w:rFonts w:ascii="Times New Roman" w:eastAsia="Calibri" w:hAnsi="Times New Roman"/>
                <w:color w:val="000000"/>
                <w:szCs w:val="24"/>
              </w:rPr>
            </w:pPr>
            <w:r w:rsidRPr="008F370F">
              <w:rPr>
                <w:rFonts w:ascii="Times New Roman" w:eastAsia="Calibri" w:hAnsi="Times New Roman"/>
                <w:color w:val="000000"/>
                <w:szCs w:val="24"/>
              </w:rPr>
              <w:t>$</w:t>
            </w:r>
            <w:r w:rsidR="00625068">
              <w:rPr>
                <w:rFonts w:ascii="Times New Roman" w:eastAsia="Calibri" w:hAnsi="Times New Roman"/>
                <w:color w:val="000000"/>
                <w:szCs w:val="24"/>
              </w:rPr>
              <w:t>167,603</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8F370F" w:rsidRPr="008F370F" w:rsidP="008F370F" w14:paraId="03AE9E2F" w14:textId="7A371806">
            <w:pPr>
              <w:autoSpaceDE w:val="0"/>
              <w:autoSpaceDN w:val="0"/>
              <w:rPr>
                <w:rFonts w:ascii="Times New Roman" w:eastAsia="Calibri" w:hAnsi="Times New Roman"/>
                <w:color w:val="000000"/>
                <w:szCs w:val="24"/>
              </w:rPr>
            </w:pPr>
            <w:r w:rsidRPr="008F370F">
              <w:rPr>
                <w:rFonts w:ascii="Times New Roman" w:eastAsia="Calibri" w:hAnsi="Times New Roman"/>
                <w:color w:val="000000"/>
                <w:szCs w:val="24"/>
              </w:rPr>
              <w:t>$</w:t>
            </w:r>
            <w:r w:rsidR="00BB6CF1">
              <w:rPr>
                <w:rFonts w:ascii="Times New Roman" w:eastAsia="Calibri" w:hAnsi="Times New Roman"/>
                <w:color w:val="000000"/>
                <w:szCs w:val="24"/>
              </w:rPr>
              <w:t>8,380.15</w:t>
            </w:r>
          </w:p>
        </w:tc>
      </w:tr>
      <w:tr w14:paraId="1574EC2F" w14:textId="77777777" w:rsidTr="008F370F">
        <w:tblPrEx>
          <w:tblW w:w="0" w:type="auto"/>
          <w:tblInd w:w="-5" w:type="dxa"/>
          <w:tblCellMar>
            <w:left w:w="0" w:type="dxa"/>
            <w:right w:w="0" w:type="dxa"/>
          </w:tblCellMar>
          <w:tblLook w:val="04A0"/>
        </w:tblPrEx>
        <w:tc>
          <w:tcPr>
            <w:tcW w:w="711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370F" w:rsidRPr="008F370F" w:rsidP="008F370F" w14:paraId="105BE5BC" w14:textId="77777777">
            <w:pPr>
              <w:autoSpaceDE w:val="0"/>
              <w:autoSpaceDN w:val="0"/>
              <w:rPr>
                <w:rFonts w:ascii="Times New Roman" w:eastAsia="Calibri" w:hAnsi="Times New Roman"/>
                <w:color w:val="000000"/>
                <w:szCs w:val="24"/>
              </w:rPr>
            </w:pPr>
            <w:r w:rsidRPr="008F370F">
              <w:rPr>
                <w:rFonts w:ascii="Times New Roman" w:eastAsia="Calibri" w:hAnsi="Times New Roman"/>
                <w:color w:val="000000"/>
                <w:szCs w:val="24"/>
              </w:rPr>
              <w:t>Total</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8F370F" w:rsidRPr="008F370F" w:rsidP="008F370F" w14:paraId="30891199" w14:textId="0208031B">
            <w:pPr>
              <w:autoSpaceDE w:val="0"/>
              <w:autoSpaceDN w:val="0"/>
              <w:rPr>
                <w:rFonts w:ascii="Times New Roman" w:eastAsia="Calibri" w:hAnsi="Times New Roman"/>
                <w:color w:val="000000"/>
                <w:szCs w:val="24"/>
              </w:rPr>
            </w:pPr>
            <w:r w:rsidRPr="008F370F">
              <w:rPr>
                <w:rFonts w:ascii="Times New Roman" w:eastAsia="Calibri" w:hAnsi="Times New Roman"/>
                <w:color w:val="000000"/>
                <w:szCs w:val="24"/>
              </w:rPr>
              <w:t>$</w:t>
            </w:r>
            <w:r w:rsidR="00BD78CB">
              <w:rPr>
                <w:rFonts w:ascii="Times New Roman" w:eastAsia="Calibri" w:hAnsi="Times New Roman"/>
                <w:color w:val="000000"/>
                <w:szCs w:val="24"/>
              </w:rPr>
              <w:t>20</w:t>
            </w:r>
            <w:r w:rsidR="00CB3535">
              <w:rPr>
                <w:rFonts w:ascii="Times New Roman" w:eastAsia="Calibri" w:hAnsi="Times New Roman"/>
                <w:color w:val="000000"/>
                <w:szCs w:val="24"/>
              </w:rPr>
              <w:t>8,567.50</w:t>
            </w:r>
          </w:p>
        </w:tc>
      </w:tr>
    </w:tbl>
    <w:p w:rsidR="00EE3CF7" w:rsidRPr="00CA3D26" w:rsidP="0081093A" w14:paraId="04E48E33" w14:textId="77777777">
      <w:pPr>
        <w:rPr>
          <w:rFonts w:ascii="Times New Roman" w:hAnsi="Times New Roman"/>
        </w:rPr>
      </w:pPr>
    </w:p>
    <w:p w:rsidR="008A22D9" w:rsidP="0030224E" w14:paraId="59099741" w14:textId="4E8A8A5A">
      <w:pPr>
        <w:rPr>
          <w:rFonts w:ascii="Times New Roman" w:hAnsi="Times New Roman"/>
          <w:b/>
        </w:rPr>
      </w:pPr>
      <w:r w:rsidRPr="001054ED">
        <w:rPr>
          <w:rFonts w:ascii="Times New Roman" w:hAnsi="Times New Roman"/>
        </w:rPr>
        <w:t>15.</w:t>
      </w:r>
      <w:r w:rsidR="006523F7">
        <w:rPr>
          <w:rFonts w:ascii="Times New Roman" w:hAnsi="Times New Roman"/>
          <w:b/>
        </w:rPr>
        <w:t xml:space="preserve">    </w:t>
      </w:r>
      <w:r w:rsidRPr="001054ED">
        <w:rPr>
          <w:rFonts w:ascii="Times New Roman" w:hAnsi="Times New Roman"/>
          <w:u w:val="single"/>
        </w:rPr>
        <w:t>Explanation for Program Changes or Adjustments</w:t>
      </w:r>
    </w:p>
    <w:p w:rsidR="008A22D9" w14:paraId="5FFC7D8A" w14:textId="77777777">
      <w:pPr>
        <w:tabs>
          <w:tab w:val="left" w:pos="-720"/>
          <w:tab w:val="left" w:pos="0"/>
          <w:tab w:val="left" w:pos="1440"/>
          <w:tab w:val="left" w:pos="2160"/>
          <w:tab w:val="left" w:pos="3600"/>
          <w:tab w:val="left" w:pos="4320"/>
          <w:tab w:val="left" w:leader="dot" w:pos="4500"/>
        </w:tabs>
        <w:ind w:left="540" w:right="720"/>
        <w:rPr>
          <w:rFonts w:ascii="Times New Roman" w:hAnsi="Times New Roman"/>
        </w:rPr>
      </w:pPr>
    </w:p>
    <w:p w:rsidR="003551E0" w:rsidRPr="003551E0" w:rsidP="003551E0" w14:paraId="4E429CFA" w14:textId="5ADABC01">
      <w:pPr>
        <w:ind w:left="540"/>
        <w:rPr>
          <w:rFonts w:ascii="Times New Roman" w:hAnsi="Times New Roman"/>
          <w:szCs w:val="24"/>
        </w:rPr>
      </w:pPr>
      <w:r w:rsidRPr="003551E0">
        <w:rPr>
          <w:rFonts w:ascii="Times New Roman" w:hAnsi="Times New Roman"/>
          <w:szCs w:val="24"/>
        </w:rPr>
        <w:t xml:space="preserve">One State program is no longer participating in the MFRPS and two enrolled state agencies have been reorganized into one state agency since our last evaluation. </w:t>
      </w:r>
      <w:r w:rsidRPr="003551E0">
        <w:rPr>
          <w:rFonts w:ascii="Times New Roman" w:hAnsi="Times New Roman"/>
        </w:rPr>
        <w:t>D</w:t>
      </w:r>
      <w:r w:rsidRPr="003551E0">
        <w:rPr>
          <w:rFonts w:ascii="Times New Roman" w:hAnsi="Times New Roman"/>
          <w:szCs w:val="24"/>
        </w:rPr>
        <w:t>ue to the decrease in respondents, the total estimated burden for this collection has decreased by 1,938 hours.</w:t>
      </w:r>
    </w:p>
    <w:p w:rsidR="00CF7622" w:rsidP="00CC73B1" w14:paraId="1D4075F4" w14:textId="4F2FF98B">
      <w:pPr>
        <w:pStyle w:val="BlockText"/>
      </w:pPr>
      <w:r>
        <w:t xml:space="preserve"> </w:t>
      </w:r>
    </w:p>
    <w:p w:rsidR="008A22D9" w:rsidRPr="001054ED" w14:paraId="4CF9CDF5" w14:textId="77777777">
      <w:pPr>
        <w:widowControl w:val="0"/>
        <w:numPr>
          <w:ilvl w:val="0"/>
          <w:numId w:val="4"/>
        </w:numPr>
        <w:rPr>
          <w:rFonts w:ascii="Times New Roman" w:hAnsi="Times New Roman"/>
          <w:u w:val="single"/>
        </w:rPr>
      </w:pPr>
      <w:r w:rsidRPr="001054ED">
        <w:rPr>
          <w:rFonts w:ascii="Times New Roman" w:hAnsi="Times New Roman"/>
          <w:u w:val="single"/>
        </w:rPr>
        <w:t>Plans for Tabulation and Publication and Project Time Schedule</w:t>
      </w:r>
    </w:p>
    <w:p w:rsidR="008A22D9" w:rsidRPr="00C673C7" w14:paraId="265F1250" w14:textId="77777777">
      <w:pPr>
        <w:pStyle w:val="Header"/>
        <w:widowControl w:val="0"/>
        <w:tabs>
          <w:tab w:val="left" w:pos="540"/>
          <w:tab w:val="clear" w:pos="4320"/>
          <w:tab w:val="clear" w:pos="8640"/>
        </w:tabs>
        <w:ind w:left="540"/>
        <w:rPr>
          <w:rFonts w:ascii="Times New Roman" w:hAnsi="Times New Roman"/>
        </w:rPr>
      </w:pPr>
    </w:p>
    <w:p w:rsidR="008A22D9" w14:paraId="284E4687" w14:textId="77777777">
      <w:pPr>
        <w:pStyle w:val="BlockText"/>
      </w:pPr>
      <w:r>
        <w:t>FDA does not intend to publish the results of this information collection.</w:t>
      </w:r>
    </w:p>
    <w:p w:rsidR="008A22D9" w14:paraId="5DF47D1C" w14:textId="77777777">
      <w:pPr>
        <w:tabs>
          <w:tab w:val="left" w:pos="-720"/>
          <w:tab w:val="left" w:pos="0"/>
          <w:tab w:val="left" w:pos="1440"/>
          <w:tab w:val="left" w:pos="2160"/>
          <w:tab w:val="left" w:pos="3600"/>
          <w:tab w:val="left" w:pos="4320"/>
          <w:tab w:val="left" w:leader="dot" w:pos="4500"/>
        </w:tabs>
        <w:ind w:left="540" w:right="720"/>
        <w:rPr>
          <w:rFonts w:ascii="Times New Roman" w:hAnsi="Times New Roman"/>
        </w:rPr>
      </w:pPr>
    </w:p>
    <w:p w:rsidR="008A22D9" w:rsidRPr="001054ED" w14:paraId="077093BC" w14:textId="77777777">
      <w:pPr>
        <w:widowControl w:val="0"/>
        <w:tabs>
          <w:tab w:val="left" w:pos="540"/>
        </w:tabs>
        <w:rPr>
          <w:rFonts w:ascii="Times New Roman" w:hAnsi="Times New Roman"/>
        </w:rPr>
      </w:pPr>
      <w:r w:rsidRPr="001054ED">
        <w:rPr>
          <w:rFonts w:ascii="Times New Roman" w:hAnsi="Times New Roman"/>
        </w:rPr>
        <w:t>17.</w:t>
      </w:r>
      <w:r>
        <w:rPr>
          <w:rFonts w:ascii="Times New Roman" w:hAnsi="Times New Roman"/>
          <w:b/>
        </w:rPr>
        <w:tab/>
      </w:r>
      <w:r w:rsidRPr="001054ED">
        <w:rPr>
          <w:rFonts w:ascii="Times New Roman" w:hAnsi="Times New Roman"/>
          <w:u w:val="single"/>
        </w:rPr>
        <w:t>Reason(s) Display of OMB Expiration Date is Inappropriate</w:t>
      </w:r>
    </w:p>
    <w:p w:rsidR="008A22D9" w:rsidRPr="00C673C7" w14:paraId="04E050BE" w14:textId="77777777">
      <w:pPr>
        <w:tabs>
          <w:tab w:val="left" w:pos="-720"/>
          <w:tab w:val="left" w:pos="0"/>
          <w:tab w:val="left" w:pos="1440"/>
          <w:tab w:val="left" w:pos="2160"/>
          <w:tab w:val="left" w:pos="3600"/>
          <w:tab w:val="left" w:pos="4320"/>
          <w:tab w:val="left" w:leader="dot" w:pos="4500"/>
        </w:tabs>
        <w:ind w:left="540" w:right="720"/>
        <w:rPr>
          <w:rFonts w:ascii="Times New Roman" w:hAnsi="Times New Roman"/>
        </w:rPr>
      </w:pPr>
    </w:p>
    <w:p w:rsidR="008A22D9" w14:paraId="2C863A67" w14:textId="77777777">
      <w:pPr>
        <w:tabs>
          <w:tab w:val="left" w:pos="-720"/>
          <w:tab w:val="left" w:pos="0"/>
          <w:tab w:val="left" w:pos="1440"/>
          <w:tab w:val="left" w:pos="2160"/>
          <w:tab w:val="left" w:pos="3600"/>
          <w:tab w:val="left" w:pos="4320"/>
          <w:tab w:val="left" w:leader="dot" w:pos="4500"/>
        </w:tabs>
        <w:ind w:left="540" w:right="720"/>
        <w:rPr>
          <w:rFonts w:ascii="Times New Roman" w:hAnsi="Times New Roman"/>
        </w:rPr>
      </w:pPr>
      <w:r>
        <w:rPr>
          <w:rFonts w:ascii="Times New Roman" w:hAnsi="Times New Roman"/>
        </w:rPr>
        <w:t>Not a</w:t>
      </w:r>
      <w:r>
        <w:rPr>
          <w:rFonts w:ascii="Times New Roman" w:hAnsi="Times New Roman"/>
        </w:rPr>
        <w:t>pplicable</w:t>
      </w:r>
      <w:r>
        <w:rPr>
          <w:rFonts w:ascii="Times New Roman" w:hAnsi="Times New Roman"/>
        </w:rPr>
        <w:t>.</w:t>
      </w:r>
    </w:p>
    <w:p w:rsidR="008A22D9" w14:paraId="347B4FCB" w14:textId="77777777">
      <w:pPr>
        <w:tabs>
          <w:tab w:val="left" w:pos="-720"/>
          <w:tab w:val="left" w:pos="0"/>
          <w:tab w:val="left" w:pos="1440"/>
          <w:tab w:val="left" w:pos="2160"/>
          <w:tab w:val="left" w:pos="3600"/>
          <w:tab w:val="left" w:pos="4320"/>
          <w:tab w:val="left" w:leader="dot" w:pos="4500"/>
        </w:tabs>
        <w:ind w:left="540" w:right="720"/>
        <w:rPr>
          <w:rFonts w:ascii="Times New Roman" w:hAnsi="Times New Roman"/>
        </w:rPr>
      </w:pPr>
    </w:p>
    <w:p w:rsidR="008A22D9" w:rsidRPr="001054ED" w14:paraId="79B0F86F" w14:textId="77777777">
      <w:pPr>
        <w:widowControl w:val="0"/>
        <w:tabs>
          <w:tab w:val="left" w:pos="540"/>
        </w:tabs>
        <w:rPr>
          <w:rFonts w:ascii="Times New Roman" w:hAnsi="Times New Roman"/>
        </w:rPr>
      </w:pPr>
      <w:r w:rsidRPr="001054ED">
        <w:rPr>
          <w:rFonts w:ascii="Times New Roman" w:hAnsi="Times New Roman"/>
        </w:rPr>
        <w:t>18.</w:t>
      </w:r>
      <w:r>
        <w:rPr>
          <w:rFonts w:ascii="Times New Roman" w:hAnsi="Times New Roman"/>
          <w:b/>
        </w:rPr>
        <w:tab/>
      </w:r>
      <w:r w:rsidRPr="001054ED">
        <w:rPr>
          <w:rFonts w:ascii="Times New Roman" w:hAnsi="Times New Roman"/>
          <w:u w:val="single"/>
        </w:rPr>
        <w:t>Exception to Certification for Paperwork Reduction Act Submissions</w:t>
      </w:r>
    </w:p>
    <w:p w:rsidR="008A22D9" w:rsidRPr="00C673C7" w14:paraId="1537A46D" w14:textId="77777777">
      <w:pPr>
        <w:tabs>
          <w:tab w:val="left" w:pos="-1440"/>
          <w:tab w:val="left" w:pos="-720"/>
          <w:tab w:val="left" w:pos="720"/>
          <w:tab w:val="left" w:pos="1440"/>
          <w:tab w:val="left" w:pos="2880"/>
          <w:tab w:val="left" w:pos="3600"/>
          <w:tab w:val="left" w:leader="dot" w:pos="3780"/>
        </w:tabs>
        <w:rPr>
          <w:rFonts w:ascii="Times New Roman" w:hAnsi="Times New Roman"/>
        </w:rPr>
      </w:pPr>
    </w:p>
    <w:p w:rsidR="008A22D9" w:rsidP="003C7649" w14:paraId="12ABA4DE" w14:textId="77777777">
      <w:pPr>
        <w:ind w:left="450"/>
      </w:pPr>
      <w:r>
        <w:rPr>
          <w:rFonts w:ascii="Times New Roman" w:hAnsi="Times New Roman"/>
        </w:rPr>
        <w:t>There are no exceptions to the certification.</w:t>
      </w:r>
    </w:p>
    <w:sectPr w:rsidSect="00E16C5D">
      <w:headerReference w:type="default" r:id="rId11"/>
      <w:footerReference w:type="even" r:id="rId12"/>
      <w:footerReference w:type="default" r:id="rId13"/>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P TypographicSymbols">
    <w:charset w:val="00"/>
    <w:family w:val="auto"/>
    <w:pitch w:val="variable"/>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6346BA" w14:paraId="114726D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346BA" w14:paraId="71AA06E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6346BA" w14:paraId="4D20232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034BD">
      <w:rPr>
        <w:rStyle w:val="PageNumber"/>
        <w:noProof/>
      </w:rPr>
      <w:t>1</w:t>
    </w:r>
    <w:r>
      <w:rPr>
        <w:rStyle w:val="PageNumber"/>
      </w:rPr>
      <w:fldChar w:fldCharType="end"/>
    </w:r>
  </w:p>
  <w:p w:rsidR="006346BA" w14:paraId="64F2548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102212" w14:paraId="5441FD82" w14:textId="77777777">
      <w:r>
        <w:separator/>
      </w:r>
    </w:p>
  </w:footnote>
  <w:footnote w:type="continuationSeparator" w:id="1">
    <w:p w:rsidR="00102212" w14:paraId="653E6142" w14:textId="77777777">
      <w:r>
        <w:continuationSeparator/>
      </w:r>
    </w:p>
  </w:footnote>
  <w:footnote w:type="continuationNotice" w:id="2">
    <w:p w:rsidR="00102212" w14:paraId="41E814FE" w14:textId="77777777"/>
  </w:footnote>
  <w:footnote w:id="3">
    <w:p w:rsidR="00715BB1" w14:paraId="348BB0F8" w14:textId="18D7F925">
      <w:pPr>
        <w:pStyle w:val="FootnoteText"/>
      </w:pPr>
      <w:r>
        <w:rPr>
          <w:rStyle w:val="FootnoteReference"/>
        </w:rPr>
        <w:footnoteRef/>
      </w:r>
      <w:r>
        <w:t xml:space="preserve"> </w:t>
      </w:r>
      <w:r w:rsidRPr="00715BB1">
        <w:t xml:space="preserve">Per U.S. Bureau of Labor Statistics May 2023 National Occupational Employment and Wage Estimates – Mean hourly wage for Business and Financial Operations occupations: </w:t>
      </w:r>
      <w:hyperlink r:id="rId1" w:anchor="13-0000" w:tgtFrame="_blank" w:tooltip="https://www.bls.gov/oes/current/oes_nat.htm#13-0000" w:history="1">
        <w:r w:rsidRPr="00715BB1">
          <w:rPr>
            <w:rStyle w:val="Hyperlink"/>
          </w:rPr>
          <w:t>https://www.bls.gov/oes/current/oes_nat.htm#13-0000</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6346BA" w14:paraId="75C2150D" w14:textId="77777777">
    <w:pPr>
      <w:widowControl w:val="0"/>
      <w:rPr>
        <w:rFonts w:ascii="Times New Roman" w:hAnsi="Times New Roman"/>
      </w:rPr>
    </w:pPr>
  </w:p>
  <w:p w:rsidR="006346BA" w14:paraId="31AE7881" w14:textId="77777777">
    <w:pPr>
      <w:widowControl w:val="0"/>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FFFFFFFE"/>
    <w:multiLevelType w:val="singleLevel"/>
    <w:tmpl w:val="FFFFFFFF"/>
    <w:lvl w:ilvl="0">
      <w:start w:val="0"/>
      <w:numFmt w:val="decimal"/>
      <w:lvlText w:val="*"/>
      <w:lvlJc w:val="left"/>
    </w:lvl>
  </w:abstractNum>
  <w:abstractNum w:abstractNumId="1">
    <w:nsid w:val="0CC62C10"/>
    <w:multiLevelType w:val="singleLevel"/>
    <w:tmpl w:val="5544A46C"/>
    <w:lvl w:ilvl="0">
      <w:start w:val="1"/>
      <w:numFmt w:val="decimal"/>
      <w:lvlText w:val="%1."/>
      <w:lvlJc w:val="left"/>
      <w:pPr>
        <w:tabs>
          <w:tab w:val="num" w:pos="360"/>
        </w:tabs>
        <w:ind w:left="360" w:hanging="360"/>
      </w:pPr>
      <w:rPr>
        <w:rFonts w:hint="default"/>
        <w:b w:val="0"/>
        <w:u w:val="none"/>
      </w:rPr>
    </w:lvl>
  </w:abstractNum>
  <w:abstractNum w:abstractNumId="2">
    <w:nsid w:val="18495EC5"/>
    <w:multiLevelType w:val="singleLevel"/>
    <w:tmpl w:val="DE2002D8"/>
    <w:lvl w:ilvl="0">
      <w:start w:val="16"/>
      <w:numFmt w:val="decimal"/>
      <w:lvlText w:val="%1."/>
      <w:lvlJc w:val="left"/>
      <w:pPr>
        <w:tabs>
          <w:tab w:val="num" w:pos="540"/>
        </w:tabs>
        <w:ind w:left="540" w:hanging="540"/>
      </w:pPr>
      <w:rPr>
        <w:rFonts w:hint="default"/>
        <w:u w:val="none"/>
      </w:rPr>
    </w:lvl>
  </w:abstractNum>
  <w:abstractNum w:abstractNumId="3">
    <w:nsid w:val="2DF67DF7"/>
    <w:multiLevelType w:val="hybridMultilevel"/>
    <w:tmpl w:val="6AF009F2"/>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
    <w:nsid w:val="43C362F6"/>
    <w:multiLevelType w:val="hybridMultilevel"/>
    <w:tmpl w:val="C5DE5F6C"/>
    <w:lvl w:ilvl="0">
      <w:start w:val="1"/>
      <w:numFmt w:val="upperLetter"/>
      <w:lvlText w:val="%1."/>
      <w:lvlJc w:val="left"/>
      <w:pPr>
        <w:tabs>
          <w:tab w:val="num" w:pos="540"/>
        </w:tabs>
        <w:ind w:left="540" w:hanging="540"/>
      </w:pPr>
      <w:rPr>
        <w:rFonts w:ascii="Times New Roman" w:hAnsi="Times New Roman" w:hint="default"/>
        <w:b/>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
    <w:nsid w:val="4F900394"/>
    <w:multiLevelType w:val="hybridMultilevel"/>
    <w:tmpl w:val="C6DA33F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58F74C8C"/>
    <w:multiLevelType w:val="hybridMultilevel"/>
    <w:tmpl w:val="49BAEC5C"/>
    <w:lvl w:ilvl="0">
      <w:start w:val="1"/>
      <w:numFmt w:val="upperLetter"/>
      <w:lvlText w:val="%1."/>
      <w:lvlJc w:val="left"/>
      <w:pPr>
        <w:tabs>
          <w:tab w:val="num" w:pos="1080"/>
        </w:tabs>
        <w:ind w:left="1080" w:hanging="720"/>
      </w:pPr>
      <w:rPr>
        <w:rFonts w:ascii="Arial" w:hAnsi="Arial"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65B7584B"/>
    <w:multiLevelType w:val="hybridMultilevel"/>
    <w:tmpl w:val="E9BA4C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6AEE7012"/>
    <w:multiLevelType w:val="hybridMultilevel"/>
    <w:tmpl w:val="67D48F1C"/>
    <w:lvl w:ilvl="0">
      <w:start w:val="1"/>
      <w:numFmt w:val="bullet"/>
      <w:lvlText w:val="o"/>
      <w:lvlJc w:val="left"/>
      <w:pPr>
        <w:tabs>
          <w:tab w:val="num" w:pos="780"/>
        </w:tabs>
        <w:ind w:left="780" w:hanging="360"/>
      </w:pPr>
      <w:rPr>
        <w:rFonts w:ascii="Courier New" w:hAnsi="Courier New" w:cs="Courier New" w:hint="default"/>
      </w:rPr>
    </w:lvl>
    <w:lvl w:ilvl="1" w:tentative="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9">
    <w:nsid w:val="7790339C"/>
    <w:multiLevelType w:val="singleLevel"/>
    <w:tmpl w:val="6142801C"/>
    <w:lvl w:ilvl="0">
      <w:start w:val="19"/>
      <w:numFmt w:val="decimal"/>
      <w:lvlText w:val="%1."/>
      <w:lvlJc w:val="left"/>
      <w:pPr>
        <w:tabs>
          <w:tab w:val="num" w:pos="540"/>
        </w:tabs>
        <w:ind w:left="540" w:hanging="540"/>
      </w:pPr>
      <w:rPr>
        <w:rFonts w:hint="default"/>
        <w:u w:val="none"/>
      </w:rPr>
    </w:lvl>
  </w:abstractNum>
  <w:abstractNum w:abstractNumId="10">
    <w:nsid w:val="797B4879"/>
    <w:multiLevelType w:val="hybridMultilevel"/>
    <w:tmpl w:val="2F62098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7A5F6B6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836268469">
    <w:abstractNumId w:val="0"/>
    <w:lvlOverride w:ilvl="0">
      <w:lvl w:ilvl="0">
        <w:start w:val="0"/>
        <w:numFmt w:val="bullet"/>
        <w:lvlText w:val=""/>
        <w:legacy w:legacy="1" w:legacySpace="0" w:legacyIndent="720"/>
        <w:lvlJc w:val="left"/>
        <w:pPr>
          <w:ind w:left="720" w:hanging="720"/>
        </w:pPr>
        <w:rPr>
          <w:rFonts w:ascii="WP TypographicSymbols" w:hAnsi="WP TypographicSymbols" w:hint="default"/>
        </w:rPr>
      </w:lvl>
    </w:lvlOverride>
  </w:num>
  <w:num w:numId="2" w16cid:durableId="302545415">
    <w:abstractNumId w:val="1"/>
  </w:num>
  <w:num w:numId="3" w16cid:durableId="1592590641">
    <w:abstractNumId w:val="11"/>
  </w:num>
  <w:num w:numId="4" w16cid:durableId="932860185">
    <w:abstractNumId w:val="2"/>
  </w:num>
  <w:num w:numId="5" w16cid:durableId="1277759958">
    <w:abstractNumId w:val="9"/>
  </w:num>
  <w:num w:numId="6" w16cid:durableId="199827856">
    <w:abstractNumId w:val="3"/>
  </w:num>
  <w:num w:numId="7" w16cid:durableId="879393211">
    <w:abstractNumId w:val="8"/>
  </w:num>
  <w:num w:numId="8" w16cid:durableId="121967253">
    <w:abstractNumId w:val="5"/>
  </w:num>
  <w:num w:numId="9" w16cid:durableId="135686028">
    <w:abstractNumId w:val="10"/>
  </w:num>
  <w:num w:numId="10" w16cid:durableId="1876579349">
    <w:abstractNumId w:val="6"/>
  </w:num>
  <w:num w:numId="11" w16cid:durableId="305815294">
    <w:abstractNumId w:val="4"/>
  </w:num>
  <w:num w:numId="12" w16cid:durableId="129351426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Sanford, Amber">
    <w15:presenceInfo w15:providerId="AD" w15:userId="S::Amber.Sanford@fda.gov::47de8c1f-a16a-4baf-bf59-bd48f82a59c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 w:id="2"/>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170"/>
    <w:rsid w:val="00000B2A"/>
    <w:rsid w:val="000027CA"/>
    <w:rsid w:val="0000779B"/>
    <w:rsid w:val="00007B06"/>
    <w:rsid w:val="00010410"/>
    <w:rsid w:val="00012C22"/>
    <w:rsid w:val="000203A5"/>
    <w:rsid w:val="00021323"/>
    <w:rsid w:val="00022B44"/>
    <w:rsid w:val="0002332A"/>
    <w:rsid w:val="000314FC"/>
    <w:rsid w:val="00033FCE"/>
    <w:rsid w:val="0004043D"/>
    <w:rsid w:val="0004472E"/>
    <w:rsid w:val="00046BA8"/>
    <w:rsid w:val="00052BE0"/>
    <w:rsid w:val="000545B9"/>
    <w:rsid w:val="00063890"/>
    <w:rsid w:val="00063D0D"/>
    <w:rsid w:val="00064232"/>
    <w:rsid w:val="00065A9D"/>
    <w:rsid w:val="00073CA7"/>
    <w:rsid w:val="00085AD5"/>
    <w:rsid w:val="00086714"/>
    <w:rsid w:val="00096DE6"/>
    <w:rsid w:val="000A4022"/>
    <w:rsid w:val="000A4094"/>
    <w:rsid w:val="000B5FDC"/>
    <w:rsid w:val="000B61BE"/>
    <w:rsid w:val="000C04D6"/>
    <w:rsid w:val="000C44D3"/>
    <w:rsid w:val="000C63AF"/>
    <w:rsid w:val="000D1FE4"/>
    <w:rsid w:val="000D4843"/>
    <w:rsid w:val="000D5FFC"/>
    <w:rsid w:val="000D6DE9"/>
    <w:rsid w:val="000E1B03"/>
    <w:rsid w:val="000F5507"/>
    <w:rsid w:val="000F7BA1"/>
    <w:rsid w:val="0010198F"/>
    <w:rsid w:val="00102212"/>
    <w:rsid w:val="00102BE5"/>
    <w:rsid w:val="001034BD"/>
    <w:rsid w:val="001054ED"/>
    <w:rsid w:val="00105EEA"/>
    <w:rsid w:val="00113862"/>
    <w:rsid w:val="00120630"/>
    <w:rsid w:val="00123844"/>
    <w:rsid w:val="001317A1"/>
    <w:rsid w:val="00134983"/>
    <w:rsid w:val="00134F94"/>
    <w:rsid w:val="0013670D"/>
    <w:rsid w:val="00140C8D"/>
    <w:rsid w:val="0014304D"/>
    <w:rsid w:val="0014504D"/>
    <w:rsid w:val="001510F1"/>
    <w:rsid w:val="0015481D"/>
    <w:rsid w:val="00155DE6"/>
    <w:rsid w:val="0016345F"/>
    <w:rsid w:val="00163783"/>
    <w:rsid w:val="001678FB"/>
    <w:rsid w:val="00172803"/>
    <w:rsid w:val="001764CF"/>
    <w:rsid w:val="00177118"/>
    <w:rsid w:val="00177390"/>
    <w:rsid w:val="0017755F"/>
    <w:rsid w:val="00180BDA"/>
    <w:rsid w:val="00181ECD"/>
    <w:rsid w:val="00184B9D"/>
    <w:rsid w:val="00185492"/>
    <w:rsid w:val="001858B4"/>
    <w:rsid w:val="00192552"/>
    <w:rsid w:val="001964E0"/>
    <w:rsid w:val="001A1EB6"/>
    <w:rsid w:val="001B1932"/>
    <w:rsid w:val="001B5053"/>
    <w:rsid w:val="001C27BC"/>
    <w:rsid w:val="001C285E"/>
    <w:rsid w:val="001C3FDC"/>
    <w:rsid w:val="001D0CEC"/>
    <w:rsid w:val="001D0E44"/>
    <w:rsid w:val="001E3C42"/>
    <w:rsid w:val="001E3CF8"/>
    <w:rsid w:val="001F0979"/>
    <w:rsid w:val="001F3FD7"/>
    <w:rsid w:val="001F70BE"/>
    <w:rsid w:val="0020653C"/>
    <w:rsid w:val="00206D82"/>
    <w:rsid w:val="00221BC2"/>
    <w:rsid w:val="0022785D"/>
    <w:rsid w:val="00230152"/>
    <w:rsid w:val="002336F6"/>
    <w:rsid w:val="00234362"/>
    <w:rsid w:val="0023614B"/>
    <w:rsid w:val="00251ECB"/>
    <w:rsid w:val="00254769"/>
    <w:rsid w:val="0026100F"/>
    <w:rsid w:val="002657A3"/>
    <w:rsid w:val="00273053"/>
    <w:rsid w:val="00274C59"/>
    <w:rsid w:val="00281769"/>
    <w:rsid w:val="00283C7A"/>
    <w:rsid w:val="0028619C"/>
    <w:rsid w:val="00294685"/>
    <w:rsid w:val="002B0680"/>
    <w:rsid w:val="002B34AD"/>
    <w:rsid w:val="002B470E"/>
    <w:rsid w:val="002C0994"/>
    <w:rsid w:val="002C1D1D"/>
    <w:rsid w:val="002C6C2F"/>
    <w:rsid w:val="002E096D"/>
    <w:rsid w:val="002E17F1"/>
    <w:rsid w:val="002E1ADF"/>
    <w:rsid w:val="002F0DFD"/>
    <w:rsid w:val="002F2467"/>
    <w:rsid w:val="002F595C"/>
    <w:rsid w:val="002F5C06"/>
    <w:rsid w:val="00301B3B"/>
    <w:rsid w:val="0030224E"/>
    <w:rsid w:val="00302C6B"/>
    <w:rsid w:val="003036D2"/>
    <w:rsid w:val="00313CC4"/>
    <w:rsid w:val="003234D9"/>
    <w:rsid w:val="003239BB"/>
    <w:rsid w:val="00326DB2"/>
    <w:rsid w:val="0033395C"/>
    <w:rsid w:val="003415D2"/>
    <w:rsid w:val="003418A0"/>
    <w:rsid w:val="003507BA"/>
    <w:rsid w:val="003551E0"/>
    <w:rsid w:val="00374A2E"/>
    <w:rsid w:val="00376321"/>
    <w:rsid w:val="00381E37"/>
    <w:rsid w:val="0038374F"/>
    <w:rsid w:val="003856DE"/>
    <w:rsid w:val="00392D19"/>
    <w:rsid w:val="003955C0"/>
    <w:rsid w:val="003A1526"/>
    <w:rsid w:val="003A4E3B"/>
    <w:rsid w:val="003B0C4B"/>
    <w:rsid w:val="003B461A"/>
    <w:rsid w:val="003C0CC8"/>
    <w:rsid w:val="003C7649"/>
    <w:rsid w:val="003D030C"/>
    <w:rsid w:val="003D238D"/>
    <w:rsid w:val="003E0D53"/>
    <w:rsid w:val="003E3E28"/>
    <w:rsid w:val="003F31AE"/>
    <w:rsid w:val="003F43FF"/>
    <w:rsid w:val="0040544C"/>
    <w:rsid w:val="004108D5"/>
    <w:rsid w:val="00412FB6"/>
    <w:rsid w:val="00414035"/>
    <w:rsid w:val="004157AF"/>
    <w:rsid w:val="004234D5"/>
    <w:rsid w:val="00423993"/>
    <w:rsid w:val="00430B2D"/>
    <w:rsid w:val="004336FB"/>
    <w:rsid w:val="00435E0B"/>
    <w:rsid w:val="00435FD6"/>
    <w:rsid w:val="00445DCB"/>
    <w:rsid w:val="0045393D"/>
    <w:rsid w:val="0045566C"/>
    <w:rsid w:val="00462EB1"/>
    <w:rsid w:val="00473C81"/>
    <w:rsid w:val="0047501E"/>
    <w:rsid w:val="0047570B"/>
    <w:rsid w:val="00483E9C"/>
    <w:rsid w:val="00487E8E"/>
    <w:rsid w:val="00494572"/>
    <w:rsid w:val="004977B9"/>
    <w:rsid w:val="004A1E91"/>
    <w:rsid w:val="004A5A13"/>
    <w:rsid w:val="004B47C2"/>
    <w:rsid w:val="004B6C21"/>
    <w:rsid w:val="004C1EC3"/>
    <w:rsid w:val="004C55B0"/>
    <w:rsid w:val="004D30B4"/>
    <w:rsid w:val="004D397B"/>
    <w:rsid w:val="004D6092"/>
    <w:rsid w:val="004D7240"/>
    <w:rsid w:val="004E20A1"/>
    <w:rsid w:val="004E6A2F"/>
    <w:rsid w:val="004F1357"/>
    <w:rsid w:val="004F46CC"/>
    <w:rsid w:val="004F72A3"/>
    <w:rsid w:val="00505356"/>
    <w:rsid w:val="00505BC7"/>
    <w:rsid w:val="00507DEF"/>
    <w:rsid w:val="00512C49"/>
    <w:rsid w:val="0051388E"/>
    <w:rsid w:val="00514536"/>
    <w:rsid w:val="00520DA1"/>
    <w:rsid w:val="00542318"/>
    <w:rsid w:val="0054247F"/>
    <w:rsid w:val="00544BC7"/>
    <w:rsid w:val="00544E62"/>
    <w:rsid w:val="00556B95"/>
    <w:rsid w:val="005571F6"/>
    <w:rsid w:val="00566C5C"/>
    <w:rsid w:val="00574749"/>
    <w:rsid w:val="00575E01"/>
    <w:rsid w:val="005905FB"/>
    <w:rsid w:val="0059335F"/>
    <w:rsid w:val="00594A8B"/>
    <w:rsid w:val="00595779"/>
    <w:rsid w:val="0059615A"/>
    <w:rsid w:val="00596272"/>
    <w:rsid w:val="005A29FE"/>
    <w:rsid w:val="005B1B2E"/>
    <w:rsid w:val="005B450C"/>
    <w:rsid w:val="005B4DA1"/>
    <w:rsid w:val="005B7EED"/>
    <w:rsid w:val="005C13F9"/>
    <w:rsid w:val="005D11B4"/>
    <w:rsid w:val="005E0824"/>
    <w:rsid w:val="005E127E"/>
    <w:rsid w:val="005E4D1E"/>
    <w:rsid w:val="005F7F72"/>
    <w:rsid w:val="0060107A"/>
    <w:rsid w:val="00604F25"/>
    <w:rsid w:val="006064CD"/>
    <w:rsid w:val="00613B12"/>
    <w:rsid w:val="00617622"/>
    <w:rsid w:val="0062296A"/>
    <w:rsid w:val="006231A7"/>
    <w:rsid w:val="00623701"/>
    <w:rsid w:val="00624A16"/>
    <w:rsid w:val="00624A81"/>
    <w:rsid w:val="00625068"/>
    <w:rsid w:val="006332E4"/>
    <w:rsid w:val="006333E3"/>
    <w:rsid w:val="006346BA"/>
    <w:rsid w:val="0063477F"/>
    <w:rsid w:val="00634F79"/>
    <w:rsid w:val="00636471"/>
    <w:rsid w:val="00645559"/>
    <w:rsid w:val="006468A9"/>
    <w:rsid w:val="00651EBD"/>
    <w:rsid w:val="006523F7"/>
    <w:rsid w:val="00652F6A"/>
    <w:rsid w:val="00654BF3"/>
    <w:rsid w:val="0066016A"/>
    <w:rsid w:val="006613D7"/>
    <w:rsid w:val="0066218A"/>
    <w:rsid w:val="0067158D"/>
    <w:rsid w:val="00673D08"/>
    <w:rsid w:val="006769B7"/>
    <w:rsid w:val="00676DE9"/>
    <w:rsid w:val="00682E39"/>
    <w:rsid w:val="00685F7F"/>
    <w:rsid w:val="0069588B"/>
    <w:rsid w:val="00696093"/>
    <w:rsid w:val="0069710E"/>
    <w:rsid w:val="006A1AD6"/>
    <w:rsid w:val="006A22F4"/>
    <w:rsid w:val="006A4514"/>
    <w:rsid w:val="006A762E"/>
    <w:rsid w:val="006B4FF1"/>
    <w:rsid w:val="006B5F0B"/>
    <w:rsid w:val="006B639C"/>
    <w:rsid w:val="006B63D1"/>
    <w:rsid w:val="006C12C1"/>
    <w:rsid w:val="006E44FE"/>
    <w:rsid w:val="006F27AC"/>
    <w:rsid w:val="006F5D67"/>
    <w:rsid w:val="00703638"/>
    <w:rsid w:val="00714D32"/>
    <w:rsid w:val="00715BB1"/>
    <w:rsid w:val="00720571"/>
    <w:rsid w:val="00724EA0"/>
    <w:rsid w:val="00735884"/>
    <w:rsid w:val="00737B29"/>
    <w:rsid w:val="007414B2"/>
    <w:rsid w:val="00745E5D"/>
    <w:rsid w:val="00747A82"/>
    <w:rsid w:val="00762F83"/>
    <w:rsid w:val="00775B1D"/>
    <w:rsid w:val="007822AA"/>
    <w:rsid w:val="0078420C"/>
    <w:rsid w:val="00785E0B"/>
    <w:rsid w:val="007863CC"/>
    <w:rsid w:val="0078739E"/>
    <w:rsid w:val="007905A5"/>
    <w:rsid w:val="007963AE"/>
    <w:rsid w:val="007977AB"/>
    <w:rsid w:val="007A0C9D"/>
    <w:rsid w:val="007A404B"/>
    <w:rsid w:val="007B6456"/>
    <w:rsid w:val="007C1087"/>
    <w:rsid w:val="007C349A"/>
    <w:rsid w:val="007C377B"/>
    <w:rsid w:val="007C5853"/>
    <w:rsid w:val="007C5CD5"/>
    <w:rsid w:val="007C7293"/>
    <w:rsid w:val="007D13D0"/>
    <w:rsid w:val="007D6A7D"/>
    <w:rsid w:val="007D7396"/>
    <w:rsid w:val="007E31C9"/>
    <w:rsid w:val="007E340C"/>
    <w:rsid w:val="007E4F0C"/>
    <w:rsid w:val="007E63C8"/>
    <w:rsid w:val="007E733D"/>
    <w:rsid w:val="007F3921"/>
    <w:rsid w:val="008049BF"/>
    <w:rsid w:val="00807349"/>
    <w:rsid w:val="0081093A"/>
    <w:rsid w:val="00813B61"/>
    <w:rsid w:val="00815273"/>
    <w:rsid w:val="00817B56"/>
    <w:rsid w:val="008208DC"/>
    <w:rsid w:val="0082158A"/>
    <w:rsid w:val="00831F96"/>
    <w:rsid w:val="00832A62"/>
    <w:rsid w:val="00835F5F"/>
    <w:rsid w:val="00842366"/>
    <w:rsid w:val="0084496E"/>
    <w:rsid w:val="00845364"/>
    <w:rsid w:val="0085191E"/>
    <w:rsid w:val="00851FA1"/>
    <w:rsid w:val="00860EAC"/>
    <w:rsid w:val="00863862"/>
    <w:rsid w:val="0086777A"/>
    <w:rsid w:val="008713C5"/>
    <w:rsid w:val="00875E84"/>
    <w:rsid w:val="00884229"/>
    <w:rsid w:val="0088732B"/>
    <w:rsid w:val="00892408"/>
    <w:rsid w:val="00894684"/>
    <w:rsid w:val="00894D30"/>
    <w:rsid w:val="008A22D9"/>
    <w:rsid w:val="008A6B96"/>
    <w:rsid w:val="008B0275"/>
    <w:rsid w:val="008B7175"/>
    <w:rsid w:val="008C5893"/>
    <w:rsid w:val="008D2F9D"/>
    <w:rsid w:val="008D5CBD"/>
    <w:rsid w:val="008E0A9B"/>
    <w:rsid w:val="008E29F7"/>
    <w:rsid w:val="008E47BA"/>
    <w:rsid w:val="008E7BF9"/>
    <w:rsid w:val="008F0A07"/>
    <w:rsid w:val="008F370F"/>
    <w:rsid w:val="008F37F3"/>
    <w:rsid w:val="008F5054"/>
    <w:rsid w:val="008F7FB8"/>
    <w:rsid w:val="009058D7"/>
    <w:rsid w:val="009121C9"/>
    <w:rsid w:val="00913644"/>
    <w:rsid w:val="00917017"/>
    <w:rsid w:val="0092080E"/>
    <w:rsid w:val="00921322"/>
    <w:rsid w:val="00921616"/>
    <w:rsid w:val="00923C1A"/>
    <w:rsid w:val="009253C6"/>
    <w:rsid w:val="009265EB"/>
    <w:rsid w:val="00935745"/>
    <w:rsid w:val="00942C35"/>
    <w:rsid w:val="0094489C"/>
    <w:rsid w:val="00950A8A"/>
    <w:rsid w:val="0095732B"/>
    <w:rsid w:val="00965608"/>
    <w:rsid w:val="00977E4A"/>
    <w:rsid w:val="00981267"/>
    <w:rsid w:val="00985530"/>
    <w:rsid w:val="00985645"/>
    <w:rsid w:val="00992757"/>
    <w:rsid w:val="00992D99"/>
    <w:rsid w:val="009A00B3"/>
    <w:rsid w:val="009A18D3"/>
    <w:rsid w:val="009A23C6"/>
    <w:rsid w:val="009A3AC3"/>
    <w:rsid w:val="009A6B95"/>
    <w:rsid w:val="009A7708"/>
    <w:rsid w:val="009B4F3D"/>
    <w:rsid w:val="009B69E9"/>
    <w:rsid w:val="009C50E0"/>
    <w:rsid w:val="009C63A2"/>
    <w:rsid w:val="009E4E10"/>
    <w:rsid w:val="009E4F0A"/>
    <w:rsid w:val="009E7BDF"/>
    <w:rsid w:val="009F0DA7"/>
    <w:rsid w:val="009F5ED6"/>
    <w:rsid w:val="00A02607"/>
    <w:rsid w:val="00A041F1"/>
    <w:rsid w:val="00A0470A"/>
    <w:rsid w:val="00A05F8A"/>
    <w:rsid w:val="00A13BCA"/>
    <w:rsid w:val="00A144E0"/>
    <w:rsid w:val="00A14B43"/>
    <w:rsid w:val="00A25318"/>
    <w:rsid w:val="00A25F5F"/>
    <w:rsid w:val="00A3003B"/>
    <w:rsid w:val="00A31ED1"/>
    <w:rsid w:val="00A33C06"/>
    <w:rsid w:val="00A42170"/>
    <w:rsid w:val="00A465F9"/>
    <w:rsid w:val="00A53E17"/>
    <w:rsid w:val="00A55C21"/>
    <w:rsid w:val="00A6303A"/>
    <w:rsid w:val="00A6457C"/>
    <w:rsid w:val="00A658BE"/>
    <w:rsid w:val="00A66B7F"/>
    <w:rsid w:val="00A71B13"/>
    <w:rsid w:val="00A727A9"/>
    <w:rsid w:val="00A75660"/>
    <w:rsid w:val="00A8707D"/>
    <w:rsid w:val="00A874C5"/>
    <w:rsid w:val="00A9196C"/>
    <w:rsid w:val="00A92154"/>
    <w:rsid w:val="00A94758"/>
    <w:rsid w:val="00A964C7"/>
    <w:rsid w:val="00A977DC"/>
    <w:rsid w:val="00AA1681"/>
    <w:rsid w:val="00AA2936"/>
    <w:rsid w:val="00AA3F76"/>
    <w:rsid w:val="00AB36CC"/>
    <w:rsid w:val="00AC20E2"/>
    <w:rsid w:val="00AC5881"/>
    <w:rsid w:val="00AC739D"/>
    <w:rsid w:val="00AD1D62"/>
    <w:rsid w:val="00AD6E21"/>
    <w:rsid w:val="00AD705A"/>
    <w:rsid w:val="00AE0DFD"/>
    <w:rsid w:val="00AF0CE9"/>
    <w:rsid w:val="00AF1CE6"/>
    <w:rsid w:val="00AF48D8"/>
    <w:rsid w:val="00AF7ADB"/>
    <w:rsid w:val="00B02636"/>
    <w:rsid w:val="00B05483"/>
    <w:rsid w:val="00B0644E"/>
    <w:rsid w:val="00B069D1"/>
    <w:rsid w:val="00B102E1"/>
    <w:rsid w:val="00B20935"/>
    <w:rsid w:val="00B230CE"/>
    <w:rsid w:val="00B24601"/>
    <w:rsid w:val="00B30068"/>
    <w:rsid w:val="00B40BC0"/>
    <w:rsid w:val="00B434CB"/>
    <w:rsid w:val="00B440CE"/>
    <w:rsid w:val="00B47783"/>
    <w:rsid w:val="00B52225"/>
    <w:rsid w:val="00B572E0"/>
    <w:rsid w:val="00B61617"/>
    <w:rsid w:val="00B67600"/>
    <w:rsid w:val="00B829EC"/>
    <w:rsid w:val="00B87768"/>
    <w:rsid w:val="00B913EE"/>
    <w:rsid w:val="00B941E2"/>
    <w:rsid w:val="00B95830"/>
    <w:rsid w:val="00BA0359"/>
    <w:rsid w:val="00BA1099"/>
    <w:rsid w:val="00BA2E16"/>
    <w:rsid w:val="00BA48C8"/>
    <w:rsid w:val="00BA539D"/>
    <w:rsid w:val="00BA65EF"/>
    <w:rsid w:val="00BB291C"/>
    <w:rsid w:val="00BB6CF1"/>
    <w:rsid w:val="00BC0F36"/>
    <w:rsid w:val="00BC3D24"/>
    <w:rsid w:val="00BC77AD"/>
    <w:rsid w:val="00BD78CB"/>
    <w:rsid w:val="00BE12AC"/>
    <w:rsid w:val="00BE3048"/>
    <w:rsid w:val="00BE6010"/>
    <w:rsid w:val="00BF3054"/>
    <w:rsid w:val="00BF3C2D"/>
    <w:rsid w:val="00BF4ADE"/>
    <w:rsid w:val="00BF5FAC"/>
    <w:rsid w:val="00BF70BD"/>
    <w:rsid w:val="00BF7724"/>
    <w:rsid w:val="00C0200A"/>
    <w:rsid w:val="00C175C7"/>
    <w:rsid w:val="00C2603B"/>
    <w:rsid w:val="00C3101F"/>
    <w:rsid w:val="00C40410"/>
    <w:rsid w:val="00C4192E"/>
    <w:rsid w:val="00C42C5B"/>
    <w:rsid w:val="00C56D07"/>
    <w:rsid w:val="00C60CCE"/>
    <w:rsid w:val="00C612B8"/>
    <w:rsid w:val="00C64A74"/>
    <w:rsid w:val="00C673C7"/>
    <w:rsid w:val="00C6745F"/>
    <w:rsid w:val="00C67616"/>
    <w:rsid w:val="00C703DB"/>
    <w:rsid w:val="00C821E7"/>
    <w:rsid w:val="00C84B85"/>
    <w:rsid w:val="00C862E2"/>
    <w:rsid w:val="00C949F6"/>
    <w:rsid w:val="00C95191"/>
    <w:rsid w:val="00C970CD"/>
    <w:rsid w:val="00C97A8C"/>
    <w:rsid w:val="00C97BD1"/>
    <w:rsid w:val="00CA3D26"/>
    <w:rsid w:val="00CB3535"/>
    <w:rsid w:val="00CB5269"/>
    <w:rsid w:val="00CB5BC4"/>
    <w:rsid w:val="00CB6425"/>
    <w:rsid w:val="00CC5474"/>
    <w:rsid w:val="00CC55CF"/>
    <w:rsid w:val="00CC5E61"/>
    <w:rsid w:val="00CC73B1"/>
    <w:rsid w:val="00CD14EB"/>
    <w:rsid w:val="00CD20F4"/>
    <w:rsid w:val="00CD233E"/>
    <w:rsid w:val="00CE40BB"/>
    <w:rsid w:val="00CE7C92"/>
    <w:rsid w:val="00CF5329"/>
    <w:rsid w:val="00CF7622"/>
    <w:rsid w:val="00D027B7"/>
    <w:rsid w:val="00D07AD0"/>
    <w:rsid w:val="00D10612"/>
    <w:rsid w:val="00D1464E"/>
    <w:rsid w:val="00D205D1"/>
    <w:rsid w:val="00D22819"/>
    <w:rsid w:val="00D26651"/>
    <w:rsid w:val="00D27ED0"/>
    <w:rsid w:val="00D31B6A"/>
    <w:rsid w:val="00D3401D"/>
    <w:rsid w:val="00D3687A"/>
    <w:rsid w:val="00D36C40"/>
    <w:rsid w:val="00D41ADD"/>
    <w:rsid w:val="00D41EF5"/>
    <w:rsid w:val="00D4262F"/>
    <w:rsid w:val="00D47025"/>
    <w:rsid w:val="00D54BC0"/>
    <w:rsid w:val="00D562BB"/>
    <w:rsid w:val="00D56C9B"/>
    <w:rsid w:val="00D575BE"/>
    <w:rsid w:val="00D57CCE"/>
    <w:rsid w:val="00D65A80"/>
    <w:rsid w:val="00D66446"/>
    <w:rsid w:val="00D665A9"/>
    <w:rsid w:val="00D669DE"/>
    <w:rsid w:val="00D6732A"/>
    <w:rsid w:val="00D72172"/>
    <w:rsid w:val="00D77A45"/>
    <w:rsid w:val="00D77B06"/>
    <w:rsid w:val="00D80F51"/>
    <w:rsid w:val="00D8538B"/>
    <w:rsid w:val="00D9079B"/>
    <w:rsid w:val="00D91B16"/>
    <w:rsid w:val="00DA27F9"/>
    <w:rsid w:val="00DA482E"/>
    <w:rsid w:val="00DA77B6"/>
    <w:rsid w:val="00DB25D3"/>
    <w:rsid w:val="00DB443D"/>
    <w:rsid w:val="00DB79EE"/>
    <w:rsid w:val="00DC2F6F"/>
    <w:rsid w:val="00DC43DD"/>
    <w:rsid w:val="00DC4BEF"/>
    <w:rsid w:val="00DC4C98"/>
    <w:rsid w:val="00DC6184"/>
    <w:rsid w:val="00DC6F39"/>
    <w:rsid w:val="00DC76A0"/>
    <w:rsid w:val="00DD0F01"/>
    <w:rsid w:val="00DD6414"/>
    <w:rsid w:val="00DD67B3"/>
    <w:rsid w:val="00DD684B"/>
    <w:rsid w:val="00DD732F"/>
    <w:rsid w:val="00DD7A4C"/>
    <w:rsid w:val="00DD7C70"/>
    <w:rsid w:val="00DE322B"/>
    <w:rsid w:val="00DE578A"/>
    <w:rsid w:val="00DE5E61"/>
    <w:rsid w:val="00DF154B"/>
    <w:rsid w:val="00DF25A7"/>
    <w:rsid w:val="00DF4FF3"/>
    <w:rsid w:val="00DF6A94"/>
    <w:rsid w:val="00DF7568"/>
    <w:rsid w:val="00E07E23"/>
    <w:rsid w:val="00E131FE"/>
    <w:rsid w:val="00E143E8"/>
    <w:rsid w:val="00E16C5D"/>
    <w:rsid w:val="00E17AF9"/>
    <w:rsid w:val="00E23914"/>
    <w:rsid w:val="00E23D33"/>
    <w:rsid w:val="00E24F14"/>
    <w:rsid w:val="00E3004D"/>
    <w:rsid w:val="00E332A8"/>
    <w:rsid w:val="00E374D7"/>
    <w:rsid w:val="00E41263"/>
    <w:rsid w:val="00E47B45"/>
    <w:rsid w:val="00E47DFE"/>
    <w:rsid w:val="00E54A10"/>
    <w:rsid w:val="00E55634"/>
    <w:rsid w:val="00E5776C"/>
    <w:rsid w:val="00E719BB"/>
    <w:rsid w:val="00E72358"/>
    <w:rsid w:val="00E762EA"/>
    <w:rsid w:val="00E871A7"/>
    <w:rsid w:val="00E87E01"/>
    <w:rsid w:val="00E908C3"/>
    <w:rsid w:val="00EA0F98"/>
    <w:rsid w:val="00EA2412"/>
    <w:rsid w:val="00EA2DB7"/>
    <w:rsid w:val="00EB4472"/>
    <w:rsid w:val="00EB576B"/>
    <w:rsid w:val="00EC3230"/>
    <w:rsid w:val="00EC6563"/>
    <w:rsid w:val="00ED3E61"/>
    <w:rsid w:val="00ED5E4B"/>
    <w:rsid w:val="00ED667E"/>
    <w:rsid w:val="00ED6C2D"/>
    <w:rsid w:val="00EE3CF7"/>
    <w:rsid w:val="00EE523A"/>
    <w:rsid w:val="00EF7F34"/>
    <w:rsid w:val="00F042A8"/>
    <w:rsid w:val="00F10F88"/>
    <w:rsid w:val="00F17F03"/>
    <w:rsid w:val="00F26E45"/>
    <w:rsid w:val="00F2709F"/>
    <w:rsid w:val="00F37B75"/>
    <w:rsid w:val="00F50D98"/>
    <w:rsid w:val="00F5333A"/>
    <w:rsid w:val="00F6307A"/>
    <w:rsid w:val="00F641B1"/>
    <w:rsid w:val="00F643A8"/>
    <w:rsid w:val="00F7201A"/>
    <w:rsid w:val="00F7497C"/>
    <w:rsid w:val="00F8080B"/>
    <w:rsid w:val="00F80C4C"/>
    <w:rsid w:val="00F816EC"/>
    <w:rsid w:val="00F84FA3"/>
    <w:rsid w:val="00F9469F"/>
    <w:rsid w:val="00F94C68"/>
    <w:rsid w:val="00F96A63"/>
    <w:rsid w:val="00FA096B"/>
    <w:rsid w:val="00FA5A07"/>
    <w:rsid w:val="00FB7D9D"/>
    <w:rsid w:val="00FC1E91"/>
    <w:rsid w:val="00FC284E"/>
    <w:rsid w:val="00FC3693"/>
    <w:rsid w:val="00FC656C"/>
    <w:rsid w:val="00FC7F7A"/>
    <w:rsid w:val="00FE48ED"/>
    <w:rsid w:val="00FF0DA8"/>
    <w:rsid w:val="00FF65A9"/>
    <w:rsid w:val="08D61344"/>
    <w:rsid w:val="0AFE67FA"/>
    <w:rsid w:val="0D355076"/>
    <w:rsid w:val="295C624A"/>
    <w:rsid w:val="3FBA9B50"/>
    <w:rsid w:val="59DDAA24"/>
    <w:rsid w:val="5AC08441"/>
    <w:rsid w:val="62FD7D88"/>
    <w:rsid w:val="687E0DC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47C14BD"/>
  <w15:docId w15:val="{C5DA99ED-1CE8-41E2-A5FC-AFA44F63C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tabs>
        <w:tab w:val="left" w:pos="1260"/>
      </w:tabs>
      <w:ind w:firstLine="900"/>
      <w:outlineLvl w:val="0"/>
    </w:pPr>
    <w:rPr>
      <w:rFonts w:ascii="Times New Roman" w:hAnsi="Times New Roman"/>
      <w:b/>
    </w:rPr>
  </w:style>
  <w:style w:type="paragraph" w:styleId="Heading2">
    <w:name w:val="heading 2"/>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1"/>
    </w:pPr>
    <w:rPr>
      <w:rFonts w:ascii="Times New Roman" w:hAnsi="Times New Roman"/>
      <w:b/>
      <w:u w:val="single"/>
    </w:rPr>
  </w:style>
  <w:style w:type="paragraph" w:styleId="Heading3">
    <w:name w:val="heading 3"/>
    <w:basedOn w:val="Normal"/>
    <w:next w:val="Normal"/>
    <w:qFormat/>
    <w:pPr>
      <w:keepNext/>
      <w:widowControl w:val="0"/>
      <w:tabs>
        <w:tab w:val="left" w:pos="-1440"/>
        <w:tab w:val="left" w:pos="-720"/>
        <w:tab w:val="left" w:pos="0"/>
        <w:tab w:val="left" w:pos="540"/>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ind w:left="540"/>
      <w:outlineLvl w:val="2"/>
    </w:pPr>
    <w:rPr>
      <w:rFonts w:ascii="Times New Roman" w:hAnsi="Times New Roman"/>
    </w:rPr>
  </w:style>
  <w:style w:type="paragraph" w:styleId="Heading4">
    <w:name w:val="heading 4"/>
    <w:basedOn w:val="Normal"/>
    <w:next w:val="Normal"/>
    <w:qFormat/>
    <w:pPr>
      <w:keepNext/>
      <w:widowControl w:val="0"/>
      <w:tabs>
        <w:tab w:val="left" w:pos="540"/>
      </w:tabs>
      <w:outlineLvl w:val="3"/>
    </w:pPr>
    <w:rPr>
      <w:rFonts w:ascii="Times New Roman" w:hAnsi="Times New Roman"/>
      <w:b/>
    </w:rPr>
  </w:style>
  <w:style w:type="paragraph" w:styleId="Heading5">
    <w:name w:val="heading 5"/>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4"/>
    </w:pPr>
    <w:rPr>
      <w:rFonts w:ascii="Times New Roman" w:hAnsi="Times New Roman"/>
      <w:b/>
      <w:sz w:val="28"/>
    </w:rPr>
  </w:style>
  <w:style w:type="paragraph" w:styleId="Heading6">
    <w:name w:val="heading 6"/>
    <w:basedOn w:val="Normal"/>
    <w:next w:val="Normal"/>
    <w:qFormat/>
    <w:pPr>
      <w:keepNext/>
      <w:tabs>
        <w:tab w:val="center" w:pos="7200"/>
      </w:tabs>
      <w:jc w:val="center"/>
      <w:outlineLvl w:val="5"/>
    </w:pPr>
    <w:rPr>
      <w:rFonts w:ascii="Times New Roman" w:hAnsi="Times New Roman"/>
      <w:b/>
    </w:rPr>
  </w:style>
  <w:style w:type="paragraph" w:styleId="Heading7">
    <w:name w:val="heading 7"/>
    <w:basedOn w:val="Normal"/>
    <w:next w:val="Normal"/>
    <w:qFormat/>
    <w:pPr>
      <w:keepNext/>
      <w:widowControl w:val="0"/>
      <w:ind w:left="540"/>
      <w:outlineLvl w:val="6"/>
    </w:pPr>
    <w:rPr>
      <w:rFonts w:ascii="Times New Roman" w:hAnsi="Times New Roman"/>
      <w:snapToGrid w:val="0"/>
      <w:color w:val="000000"/>
      <w:u w:val="single"/>
    </w:rPr>
  </w:style>
  <w:style w:type="paragraph" w:styleId="Heading8">
    <w:name w:val="heading 8"/>
    <w:basedOn w:val="Normal"/>
    <w:next w:val="Normal"/>
    <w:qFormat/>
    <w:pPr>
      <w:keepNext/>
      <w:ind w:left="540"/>
      <w:outlineLvl w:val="7"/>
    </w:pPr>
    <w:rPr>
      <w:rFonts w:ascii="Times New Roman" w:hAnsi="Times New Roman"/>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a">
    <w:name w:val="_"/>
    <w:basedOn w:val="Normal"/>
    <w:pPr>
      <w:widowControl w:val="0"/>
      <w:ind w:left="720" w:hanging="720"/>
    </w:pPr>
    <w:rPr>
      <w:rFonts w:ascii="Courier" w:hAnsi="Courier"/>
      <w:snapToGrid w:val="0"/>
    </w:rPr>
  </w:style>
  <w:style w:type="paragraph" w:styleId="Title">
    <w:name w:val="Title"/>
    <w:basedOn w:val="Normal"/>
    <w:qFormat/>
    <w:pPr>
      <w:widowControl w:val="0"/>
      <w:jc w:val="center"/>
    </w:pPr>
    <w:rPr>
      <w:rFonts w:ascii="Times New Roman" w:hAnsi="Times New Roman"/>
      <w:b/>
    </w:rPr>
  </w:style>
  <w:style w:type="paragraph" w:styleId="Caption">
    <w:name w:val="caption"/>
    <w:basedOn w:val="Normal"/>
    <w:next w:val="Normal"/>
    <w:qFormat/>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s>
    </w:pPr>
    <w:rPr>
      <w:rFonts w:ascii="Univers" w:hAnsi="Univers"/>
    </w:rPr>
  </w:style>
  <w:style w:type="paragraph" w:styleId="BodyTextIndent">
    <w:name w:val="Body Text Indent"/>
    <w:basedOn w:val="Normal"/>
    <w:pPr>
      <w:ind w:left="540"/>
    </w:pPr>
    <w:rPr>
      <w:rFonts w:ascii="Times New Roman" w:hAnsi="Times New Roman"/>
    </w:rPr>
  </w:style>
  <w:style w:type="character" w:styleId="Hyperlink">
    <w:name w:val="Hyperlink"/>
    <w:rPr>
      <w:color w:val="0000FF"/>
      <w:u w:val="single"/>
    </w:rPr>
  </w:style>
  <w:style w:type="paragraph" w:styleId="BodyText">
    <w:name w:val="Body Text"/>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Times New Roman" w:hAnsi="Times New Roman"/>
    </w:rPr>
  </w:style>
  <w:style w:type="paragraph" w:styleId="BodyTextIndent2">
    <w:name w:val="Body Text Indent 2"/>
    <w:basedOn w:val="Normal"/>
    <w:pPr>
      <w:ind w:left="1260"/>
    </w:pPr>
    <w:rPr>
      <w:rFonts w:ascii="Times New Roman" w:hAnsi="Times New Roman"/>
    </w:rPr>
  </w:style>
  <w:style w:type="paragraph" w:styleId="BlockText">
    <w:name w:val="Block Text"/>
    <w:basedOn w:val="Normal"/>
    <w:pPr>
      <w:tabs>
        <w:tab w:val="left" w:pos="-720"/>
        <w:tab w:val="left" w:pos="0"/>
        <w:tab w:val="left" w:pos="1440"/>
        <w:tab w:val="left" w:pos="2160"/>
        <w:tab w:val="left" w:pos="3600"/>
        <w:tab w:val="left" w:pos="4320"/>
        <w:tab w:val="left" w:leader="dot" w:pos="4500"/>
      </w:tabs>
      <w:ind w:left="540" w:right="720"/>
    </w:pPr>
    <w:rPr>
      <w:rFonts w:ascii="Times New Roman" w:hAnsi="Times New Roman"/>
    </w:rPr>
  </w:style>
  <w:style w:type="paragraph" w:styleId="BodyTextIndent3">
    <w:name w:val="Body Text Indent 3"/>
    <w:basedOn w:val="Normal"/>
    <w:pPr>
      <w:tabs>
        <w:tab w:val="left" w:pos="-1440"/>
        <w:tab w:val="left" w:pos="-720"/>
        <w:tab w:val="left" w:pos="720"/>
        <w:tab w:val="left" w:pos="1440"/>
        <w:tab w:val="left" w:pos="2880"/>
        <w:tab w:val="left" w:pos="3600"/>
        <w:tab w:val="left" w:leader="dot" w:pos="3780"/>
      </w:tabs>
      <w:ind w:left="2880" w:hanging="2340"/>
    </w:pPr>
    <w:rPr>
      <w:rFonts w:ascii="Times New Roman" w:hAnsi="Times New Roman"/>
    </w:rPr>
  </w:style>
  <w:style w:type="paragraph" w:styleId="BodyText2">
    <w:name w:val="Body Text 2"/>
    <w:basedOn w:val="Normal"/>
    <w:pPr>
      <w:tabs>
        <w:tab w:val="left" w:pos="-1440"/>
        <w:tab w:val="left" w:pos="-720"/>
        <w:tab w:val="left" w:pos="720"/>
        <w:tab w:val="left" w:pos="1440"/>
        <w:tab w:val="left" w:pos="2880"/>
        <w:tab w:val="left" w:pos="3600"/>
        <w:tab w:val="left" w:leader="dot" w:pos="3780"/>
      </w:tabs>
      <w:jc w:val="center"/>
    </w:pPr>
    <w:rPr>
      <w:rFonts w:ascii="Times New Roman" w:hAnsi="Times New Roman"/>
      <w:b/>
    </w:rPr>
  </w:style>
  <w:style w:type="paragraph" w:styleId="BalloonText">
    <w:name w:val="Balloon Text"/>
    <w:basedOn w:val="Normal"/>
    <w:semiHidden/>
    <w:rsid w:val="00E143E8"/>
    <w:rPr>
      <w:rFonts w:ascii="Tahoma" w:hAnsi="Tahoma" w:cs="Tahoma"/>
      <w:sz w:val="16"/>
      <w:szCs w:val="16"/>
    </w:rPr>
  </w:style>
  <w:style w:type="table" w:styleId="TableGrid">
    <w:name w:val="Table Grid"/>
    <w:basedOn w:val="TableNormal"/>
    <w:rsid w:val="00D340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2F2467"/>
    <w:rPr>
      <w:sz w:val="20"/>
    </w:rPr>
  </w:style>
  <w:style w:type="character" w:styleId="FootnoteReference">
    <w:name w:val="footnote reference"/>
    <w:semiHidden/>
    <w:rsid w:val="002F2467"/>
    <w:rPr>
      <w:vertAlign w:val="superscript"/>
    </w:rPr>
  </w:style>
  <w:style w:type="character" w:styleId="CommentReference">
    <w:name w:val="annotation reference"/>
    <w:semiHidden/>
    <w:rsid w:val="00E5776C"/>
    <w:rPr>
      <w:sz w:val="16"/>
      <w:szCs w:val="16"/>
    </w:rPr>
  </w:style>
  <w:style w:type="paragraph" w:styleId="CommentText">
    <w:name w:val="annotation text"/>
    <w:basedOn w:val="Normal"/>
    <w:semiHidden/>
    <w:rsid w:val="00E5776C"/>
    <w:rPr>
      <w:sz w:val="20"/>
    </w:rPr>
  </w:style>
  <w:style w:type="paragraph" w:styleId="CommentSubject">
    <w:name w:val="annotation subject"/>
    <w:basedOn w:val="CommentText"/>
    <w:next w:val="CommentText"/>
    <w:semiHidden/>
    <w:rsid w:val="00E5776C"/>
    <w:rPr>
      <w:b/>
      <w:bCs/>
    </w:rPr>
  </w:style>
  <w:style w:type="paragraph" w:styleId="Revision">
    <w:name w:val="Revision"/>
    <w:hidden/>
    <w:uiPriority w:val="99"/>
    <w:semiHidden/>
    <w:rsid w:val="00086714"/>
    <w:rPr>
      <w:rFonts w:ascii="Arial" w:hAnsi="Arial"/>
      <w:sz w:val="24"/>
    </w:rPr>
  </w:style>
  <w:style w:type="paragraph" w:styleId="ListParagraph">
    <w:name w:val="List Paragraph"/>
    <w:basedOn w:val="Normal"/>
    <w:uiPriority w:val="34"/>
    <w:qFormat/>
    <w:rsid w:val="007E63C8"/>
    <w:pPr>
      <w:ind w:left="720"/>
      <w:contextualSpacing/>
    </w:pPr>
  </w:style>
  <w:style w:type="character" w:styleId="UnresolvedMention">
    <w:name w:val="Unresolved Mention"/>
    <w:basedOn w:val="DefaultParagraphFont"/>
    <w:uiPriority w:val="99"/>
    <w:semiHidden/>
    <w:unhideWhenUsed/>
    <w:rsid w:val="009A00B3"/>
    <w:rPr>
      <w:color w:val="605E5C"/>
      <w:shd w:val="clear" w:color="auto" w:fill="E1DFDD"/>
    </w:rPr>
  </w:style>
  <w:style w:type="character" w:styleId="FollowedHyperlink">
    <w:name w:val="FollowedHyperlink"/>
    <w:basedOn w:val="DefaultParagraphFont"/>
    <w:semiHidden/>
    <w:unhideWhenUsed/>
    <w:rsid w:val="001B5053"/>
    <w:rPr>
      <w:color w:val="954F72" w:themeColor="followedHyperlink"/>
      <w:u w:val="single"/>
    </w:rPr>
  </w:style>
  <w:style w:type="character" w:customStyle="1" w:styleId="ui-provider">
    <w:name w:val="ui-provider"/>
    <w:basedOn w:val="DefaultParagraphFont"/>
    <w:rsid w:val="00F630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da.gov/federal-state-local-tribal-and-territorial-officials/integrated-food-safety-system-ifss-programs-and-initiatives/regulatory-program-standards"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17" Type="http://schemas.microsoft.com/office/2011/relationships/people" Target="people.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fda.gov/food/integrated-food-safety-system-ifss/regulatory-program-standards-food"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6539aba-9fea-48d7-9c78-a542c0b25bd7" xsi:nil="true"/>
    <lcf76f155ced4ddcb4097134ff3c332f xmlns="97518f9f-62e0-4c6e-a9e8-9f0d238cedf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5D27B522B184646A03C61AD9DE88DC7" ma:contentTypeVersion="16" ma:contentTypeDescription="Create a new document." ma:contentTypeScope="" ma:versionID="26f3378baedf27435a62bcd7c8779f19">
  <xsd:schema xmlns:xsd="http://www.w3.org/2001/XMLSchema" xmlns:xs="http://www.w3.org/2001/XMLSchema" xmlns:p="http://schemas.microsoft.com/office/2006/metadata/properties" xmlns:ns2="97518f9f-62e0-4c6e-a9e8-9f0d238cedf4" xmlns:ns3="76539aba-9fea-48d7-9c78-a542c0b25bd7" targetNamespace="http://schemas.microsoft.com/office/2006/metadata/properties" ma:root="true" ma:fieldsID="4e6ee9a7e60f0a18f9a0017a8963ac3a" ns2:_="" ns3:_="">
    <xsd:import namespace="97518f9f-62e0-4c6e-a9e8-9f0d238cedf4"/>
    <xsd:import namespace="76539aba-9fea-48d7-9c78-a542c0b25bd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518f9f-62e0-4c6e-a9e8-9f0d238cedf4"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ObjectDetectorVersions" ma:index="6" nillable="true" ma:displayName="MediaServiceObjectDetectorVersions" ma:hidden="true" ma:indexed="true" ma:internalName="MediaServiceObjectDetectorVersions" ma:readOnly="true">
      <xsd:simpleType>
        <xsd:restriction base="dms:Text"/>
      </xsd:simpleType>
    </xsd:element>
    <xsd:element name="MediaServiceGenerationTime" ma:index="7" nillable="true" ma:displayName="MediaServiceGenerationTime" ma:hidden="true" ma:internalName="MediaServiceGenerationTime" ma:readOnly="true">
      <xsd:simpleType>
        <xsd:restriction base="dms:Text"/>
      </xsd:simpleType>
    </xsd:element>
    <xsd:element name="MediaServiceEventHashCode" ma:index="8" nillable="true" ma:displayName="MediaServiceEventHashCode" ma:hidden="true" ma:internalName="MediaServiceEventHashCode" ma:readOnly="true">
      <xsd:simpleType>
        <xsd:restriction base="dms:Text"/>
      </xsd:simpleType>
    </xsd:element>
    <xsd:element name="MediaServiceSearchProperties" ma:index="9" nillable="true" ma:displayName="MediaServiceSearchProperties" ma:hidden="true" ma:internalName="MediaServiceSearchProperties"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9cf906e-e933-44a8-8421-1c91ada6f12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539aba-9fea-48d7-9c78-a542c0b25bd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5f766f7-ccc0-4bc7-9122-648f0ea65a7c}" ma:internalName="TaxCatchAll" ma:showField="CatchAllData" ma:web="76539aba-9fea-48d7-9c78-a542c0b25b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265712-C2AE-4C17-8688-6EFE7AD35595}">
  <ds:schemaRefs>
    <ds:schemaRef ds:uri="http://schemas.microsoft.com/office/2006/metadata/properties"/>
    <ds:schemaRef ds:uri="http://schemas.microsoft.com/office/infopath/2007/PartnerControls"/>
    <ds:schemaRef ds:uri="76539aba-9fea-48d7-9c78-a542c0b25bd7"/>
    <ds:schemaRef ds:uri="97518f9f-62e0-4c6e-a9e8-9f0d238cedf4"/>
  </ds:schemaRefs>
</ds:datastoreItem>
</file>

<file path=customXml/itemProps2.xml><?xml version="1.0" encoding="utf-8"?>
<ds:datastoreItem xmlns:ds="http://schemas.openxmlformats.org/officeDocument/2006/customXml" ds:itemID="{C0BBEEE9-6187-4CD0-B915-86975B690BEF}">
  <ds:schemaRefs>
    <ds:schemaRef ds:uri="http://schemas.openxmlformats.org/officeDocument/2006/bibliography"/>
  </ds:schemaRefs>
</ds:datastoreItem>
</file>

<file path=customXml/itemProps3.xml><?xml version="1.0" encoding="utf-8"?>
<ds:datastoreItem xmlns:ds="http://schemas.openxmlformats.org/officeDocument/2006/customXml" ds:itemID="{27DCB02F-3073-44AF-8590-0E54601980D8}">
  <ds:schemaRefs>
    <ds:schemaRef ds:uri="http://schemas.microsoft.com/sharepoint/v3/contenttype/forms"/>
  </ds:schemaRefs>
</ds:datastoreItem>
</file>

<file path=customXml/itemProps4.xml><?xml version="1.0" encoding="utf-8"?>
<ds:datastoreItem xmlns:ds="http://schemas.openxmlformats.org/officeDocument/2006/customXml" ds:itemID="{8877882F-D005-4A0E-85A5-A66D7672B9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518f9f-62e0-4c6e-a9e8-9f0d238cedf4"/>
    <ds:schemaRef ds:uri="76539aba-9fea-48d7-9c78-a542c0b25b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Template>
  <TotalTime>3</TotalTime>
  <Pages>6</Pages>
  <Words>1855</Words>
  <Characters>10580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OMB INFORMATION COLLECTION FOR</vt:lpstr>
    </vt:vector>
  </TitlesOfParts>
  <Company>FDA/CDRH</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INFORMATION COLLECTION FOR</dc:title>
  <dc:creator>Chris Colburn</dc:creator>
  <cp:lastModifiedBy>Sanford, Amber</cp:lastModifiedBy>
  <cp:revision>3</cp:revision>
  <cp:lastPrinted>2010-02-17T16:27:00Z</cp:lastPrinted>
  <dcterms:created xsi:type="dcterms:W3CDTF">2025-09-15T14:52:00Z</dcterms:created>
  <dcterms:modified xsi:type="dcterms:W3CDTF">2025-09-15T14:53:00Z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0x01010005D27B522B184646A03C61AD9DE88DC7</vt:lpwstr>
  </property>
  <property fmtid="{D5CDD505-2E9C-101B-9397-08002B2CF9AE}" pid="3" name="MediaServiceImageTags">
    <vt:lpwstr/>
  </property>
</Properties>
</file>