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1265" w:rsidRPr="00D450CD" w:rsidP="006801DC" w14:paraId="3612E7DE" w14:textId="77777777">
      <w:pPr>
        <w:jc w:val="center"/>
        <w:rPr>
          <w:rFonts w:ascii="Times New Roman" w:hAnsi="Times New Roman"/>
          <w:b/>
          <w:bCs/>
          <w:szCs w:val="24"/>
        </w:rPr>
      </w:pPr>
      <w:r w:rsidRPr="00D450CD">
        <w:rPr>
          <w:rFonts w:ascii="Times New Roman" w:hAnsi="Times New Roman"/>
          <w:b/>
          <w:bCs/>
          <w:szCs w:val="24"/>
        </w:rPr>
        <w:t xml:space="preserve">Prescription Drug </w:t>
      </w:r>
      <w:r w:rsidRPr="00D450CD" w:rsidR="003909ED">
        <w:rPr>
          <w:rFonts w:ascii="Times New Roman" w:hAnsi="Times New Roman"/>
          <w:b/>
          <w:bCs/>
          <w:szCs w:val="24"/>
        </w:rPr>
        <w:t>Marketing</w:t>
      </w:r>
    </w:p>
    <w:p w:rsidR="003546A6" w:rsidP="006801DC" w14:paraId="48483EE5" w14:textId="77777777">
      <w:pPr>
        <w:jc w:val="center"/>
        <w:rPr>
          <w:rFonts w:ascii="Times New Roman" w:hAnsi="Times New Roman"/>
          <w:szCs w:val="24"/>
        </w:rPr>
      </w:pPr>
    </w:p>
    <w:p w:rsidR="00C47FF3" w:rsidRPr="00C76511" w:rsidP="006801DC" w14:paraId="170A02D3" w14:textId="7821EB2E">
      <w:pPr>
        <w:jc w:val="center"/>
        <w:rPr>
          <w:rFonts w:ascii="Times New Roman" w:hAnsi="Times New Roman"/>
          <w:szCs w:val="24"/>
          <w:u w:val="single"/>
        </w:rPr>
      </w:pPr>
      <w:r w:rsidRPr="00C76511">
        <w:rPr>
          <w:rFonts w:ascii="Times New Roman" w:hAnsi="Times New Roman"/>
          <w:szCs w:val="24"/>
          <w:u w:val="single"/>
        </w:rPr>
        <w:t xml:space="preserve">OMB Control No. </w:t>
      </w:r>
      <w:r w:rsidRPr="00C76511" w:rsidR="00C839C5">
        <w:rPr>
          <w:rFonts w:ascii="Times New Roman" w:hAnsi="Times New Roman"/>
          <w:szCs w:val="24"/>
          <w:u w:val="single"/>
        </w:rPr>
        <w:t>0910-0435</w:t>
      </w:r>
      <w:r w:rsidRPr="00C76511" w:rsidR="00AD75A5">
        <w:rPr>
          <w:rFonts w:ascii="Times New Roman" w:hAnsi="Times New Roman"/>
          <w:szCs w:val="24"/>
          <w:u w:val="single"/>
        </w:rPr>
        <w:t xml:space="preserve"> - Extension</w:t>
      </w:r>
    </w:p>
    <w:p w:rsidR="00FF493D" w:rsidRPr="006801DC" w:rsidP="006801DC" w14:paraId="761B181D" w14:textId="77777777">
      <w:pPr>
        <w:rPr>
          <w:rFonts w:ascii="Times New Roman" w:hAnsi="Times New Roman"/>
          <w:szCs w:val="24"/>
        </w:rPr>
      </w:pPr>
    </w:p>
    <w:p w:rsidR="00AB2C2A" w:rsidP="001955A6" w14:paraId="08790AF9" w14:textId="77777777">
      <w:pPr>
        <w:jc w:val="center"/>
        <w:rPr>
          <w:rFonts w:ascii="Times New Roman" w:hAnsi="Times New Roman"/>
          <w:szCs w:val="24"/>
        </w:rPr>
      </w:pPr>
      <w:r w:rsidRPr="006801DC">
        <w:rPr>
          <w:rFonts w:ascii="Times New Roman" w:hAnsi="Times New Roman"/>
          <w:szCs w:val="24"/>
        </w:rPr>
        <w:t>SUPPORTING STATEMENT</w:t>
      </w:r>
    </w:p>
    <w:p w:rsidR="00DE0CDB" w:rsidP="002942D9" w14:paraId="17DDAA84" w14:textId="77777777">
      <w:pPr>
        <w:jc w:val="center"/>
        <w:rPr>
          <w:rFonts w:ascii="Times New Roman" w:hAnsi="Times New Roman"/>
          <w:szCs w:val="24"/>
        </w:rPr>
      </w:pPr>
    </w:p>
    <w:p w:rsidR="00F05F13" w:rsidP="00F05F13" w14:paraId="63D7CA1C" w14:textId="49C02D23">
      <w:pPr>
        <w:rPr>
          <w:rFonts w:ascii="Times New Roman" w:hAnsi="Times New Roman"/>
          <w:i/>
          <w:iCs/>
          <w:szCs w:val="24"/>
        </w:rPr>
      </w:pPr>
      <w:r w:rsidRPr="00DE06BF">
        <w:rPr>
          <w:rFonts w:ascii="Times New Roman" w:hAnsi="Times New Roman"/>
          <w:b/>
          <w:bCs/>
          <w:i/>
          <w:iCs/>
          <w:szCs w:val="24"/>
        </w:rPr>
        <w:t>Terms of Clearance</w:t>
      </w:r>
      <w:r w:rsidR="00627064">
        <w:rPr>
          <w:rFonts w:ascii="Times New Roman" w:hAnsi="Times New Roman"/>
          <w:szCs w:val="24"/>
        </w:rPr>
        <w:t xml:space="preserve"> – </w:t>
      </w:r>
      <w:r w:rsidRPr="00DE06BF" w:rsidR="00627064">
        <w:rPr>
          <w:rFonts w:ascii="Times New Roman" w:hAnsi="Times New Roman"/>
          <w:i/>
          <w:iCs/>
          <w:szCs w:val="24"/>
        </w:rPr>
        <w:t>T</w:t>
      </w:r>
      <w:r w:rsidRPr="00DE06BF">
        <w:rPr>
          <w:rFonts w:ascii="Times New Roman" w:hAnsi="Times New Roman"/>
          <w:i/>
          <w:iCs/>
          <w:szCs w:val="24"/>
        </w:rPr>
        <w:t>erms continue: Approved consistent with the understanding that, upon finalization of any agency rulemaking amending 21 CFR Part 203 (see RIN 0910-AH56), FDA will submit a request to revise the information collection accordingly.</w:t>
      </w:r>
    </w:p>
    <w:p w:rsidR="006B1265" w:rsidP="006801DC" w14:paraId="6119206D" w14:textId="77777777">
      <w:pPr>
        <w:rPr>
          <w:rFonts w:ascii="Times New Roman" w:hAnsi="Times New Roman"/>
          <w:bCs/>
          <w:szCs w:val="24"/>
        </w:rPr>
      </w:pPr>
    </w:p>
    <w:p w:rsidR="00A959F0" w:rsidP="006801DC" w14:paraId="05C51B18" w14:textId="73A07743">
      <w:pPr>
        <w:rPr>
          <w:rFonts w:ascii="Times New Roman" w:hAnsi="Times New Roman"/>
          <w:bCs/>
          <w:szCs w:val="24"/>
        </w:rPr>
      </w:pPr>
      <w:r>
        <w:rPr>
          <w:rFonts w:ascii="Times New Roman" w:hAnsi="Times New Roman"/>
          <w:bCs/>
          <w:szCs w:val="24"/>
        </w:rPr>
        <w:t>We discuss rulemaking</w:t>
      </w:r>
      <w:r w:rsidR="00667B15">
        <w:rPr>
          <w:rFonts w:ascii="Times New Roman" w:hAnsi="Times New Roman"/>
          <w:bCs/>
          <w:szCs w:val="24"/>
        </w:rPr>
        <w:t xml:space="preserve"> 0910-AH56 and its impact on the information collection at Q-15 below.</w:t>
      </w:r>
    </w:p>
    <w:p w:rsidR="00A959F0" w:rsidP="006801DC" w14:paraId="3838F3BF" w14:textId="77777777">
      <w:pPr>
        <w:rPr>
          <w:rFonts w:ascii="Times New Roman" w:hAnsi="Times New Roman"/>
          <w:bCs/>
          <w:szCs w:val="24"/>
        </w:rPr>
      </w:pPr>
    </w:p>
    <w:p w:rsidR="00FF493D" w:rsidRPr="006801DC" w:rsidP="006801DC" w14:paraId="1BFDEB76" w14:textId="4668A96F">
      <w:pPr>
        <w:rPr>
          <w:rFonts w:ascii="Times New Roman" w:hAnsi="Times New Roman"/>
          <w:szCs w:val="24"/>
        </w:rPr>
      </w:pPr>
      <w:r>
        <w:rPr>
          <w:rFonts w:ascii="Times New Roman" w:hAnsi="Times New Roman"/>
          <w:bCs/>
          <w:szCs w:val="24"/>
        </w:rPr>
        <w:t xml:space="preserve">SUPPORTING STATEMENT - </w:t>
      </w:r>
      <w:r w:rsidRPr="006801DC" w:rsidR="00304F60">
        <w:rPr>
          <w:rFonts w:ascii="Times New Roman" w:hAnsi="Times New Roman"/>
          <w:b/>
          <w:szCs w:val="24"/>
        </w:rPr>
        <w:t>Part A:  Justification</w:t>
      </w:r>
    </w:p>
    <w:p w:rsidR="00AB2C2A" w:rsidP="006801DC" w14:paraId="773EDCFD" w14:textId="77777777">
      <w:pPr>
        <w:rPr>
          <w:rFonts w:ascii="Times New Roman" w:hAnsi="Times New Roman"/>
          <w:szCs w:val="24"/>
        </w:rPr>
      </w:pPr>
    </w:p>
    <w:p w:rsidR="00C47FF3" w:rsidRPr="004A3749" w:rsidP="00584BA3" w14:paraId="41B0CEEB" w14:textId="77777777">
      <w:pPr>
        <w:pStyle w:val="ListParagraph"/>
        <w:numPr>
          <w:ilvl w:val="0"/>
          <w:numId w:val="5"/>
        </w:numPr>
        <w:ind w:left="360"/>
        <w:rPr>
          <w:rFonts w:ascii="Times New Roman" w:hAnsi="Times New Roman"/>
          <w:szCs w:val="24"/>
        </w:rPr>
      </w:pPr>
      <w:r w:rsidRPr="004A3749">
        <w:rPr>
          <w:rFonts w:ascii="Times New Roman" w:hAnsi="Times New Roman"/>
          <w:szCs w:val="24"/>
          <w:u w:val="single"/>
        </w:rPr>
        <w:t>Circumstances Making the Collection of Information Necessary</w:t>
      </w:r>
      <w:r w:rsidRPr="004A3749">
        <w:rPr>
          <w:rFonts w:ascii="Times New Roman" w:hAnsi="Times New Roman"/>
          <w:szCs w:val="24"/>
        </w:rPr>
        <w:t xml:space="preserve"> </w:t>
      </w:r>
    </w:p>
    <w:p w:rsidR="00C47FF3" w:rsidRPr="006801DC" w:rsidP="006801DC" w14:paraId="36FEF4B3" w14:textId="77777777">
      <w:pPr>
        <w:rPr>
          <w:rFonts w:ascii="Times New Roman" w:hAnsi="Times New Roman"/>
          <w:szCs w:val="24"/>
        </w:rPr>
      </w:pPr>
    </w:p>
    <w:p w:rsidR="009C4C2A" w:rsidRPr="003038A6" w:rsidP="009C4C2A" w14:paraId="6DFE3D02" w14:textId="77777777">
      <w:pPr>
        <w:rPr>
          <w:rFonts w:ascii="Times New Roman" w:hAnsi="Times New Roman"/>
          <w:szCs w:val="24"/>
        </w:rPr>
      </w:pPr>
      <w:r w:rsidRPr="0095160D">
        <w:rPr>
          <w:rFonts w:ascii="Times New Roman" w:hAnsi="Times New Roman"/>
          <w:szCs w:val="24"/>
        </w:rPr>
        <w:t>This information collection</w:t>
      </w:r>
      <w:r w:rsidR="00C76511">
        <w:rPr>
          <w:rFonts w:ascii="Times New Roman" w:hAnsi="Times New Roman"/>
          <w:szCs w:val="24"/>
        </w:rPr>
        <w:t xml:space="preserve"> helps</w:t>
      </w:r>
      <w:r w:rsidRPr="0095160D">
        <w:rPr>
          <w:rFonts w:ascii="Times New Roman" w:hAnsi="Times New Roman"/>
          <w:szCs w:val="24"/>
        </w:rPr>
        <w:t xml:space="preserve"> support Food and Drug Administratio</w:t>
      </w:r>
      <w:r w:rsidRPr="0095160D" w:rsidR="00AB2C2A">
        <w:rPr>
          <w:rFonts w:ascii="Times New Roman" w:hAnsi="Times New Roman"/>
          <w:szCs w:val="24"/>
        </w:rPr>
        <w:t>n (FDA, us or we) regulations</w:t>
      </w:r>
      <w:r w:rsidR="00C76511">
        <w:rPr>
          <w:rFonts w:ascii="Times New Roman" w:hAnsi="Times New Roman"/>
          <w:szCs w:val="24"/>
        </w:rPr>
        <w:t xml:space="preserve"> and statutory requirements that govern prescription drug marketing</w:t>
      </w:r>
      <w:r w:rsidRPr="0095160D" w:rsidR="003909ED">
        <w:rPr>
          <w:rFonts w:ascii="Times New Roman" w:hAnsi="Times New Roman"/>
          <w:szCs w:val="24"/>
        </w:rPr>
        <w:t xml:space="preserve">.  </w:t>
      </w:r>
      <w:r w:rsidRPr="0095160D">
        <w:rPr>
          <w:rFonts w:ascii="Times New Roman" w:hAnsi="Times New Roman"/>
          <w:szCs w:val="24"/>
        </w:rPr>
        <w:t xml:space="preserve">Specifically, the Federal Food, Drug, and Cosmetic Act (FD&amp;C Act), as amended by the Prescription Drug Marketing Act of 1987 </w:t>
      </w:r>
      <w:r w:rsidRPr="0095160D" w:rsidR="00B2384C">
        <w:rPr>
          <w:rFonts w:ascii="Times New Roman" w:hAnsi="Times New Roman"/>
          <w:szCs w:val="24"/>
        </w:rPr>
        <w:t xml:space="preserve">(Pub. L. 100-293) </w:t>
      </w:r>
      <w:r w:rsidRPr="0095160D">
        <w:rPr>
          <w:rFonts w:ascii="Times New Roman" w:hAnsi="Times New Roman"/>
          <w:szCs w:val="24"/>
        </w:rPr>
        <w:t>(PDMA)</w:t>
      </w:r>
      <w:r w:rsidRPr="0095160D" w:rsidR="003909ED">
        <w:rPr>
          <w:rFonts w:ascii="Times New Roman" w:hAnsi="Times New Roman"/>
          <w:szCs w:val="24"/>
        </w:rPr>
        <w:t xml:space="preserve"> and Prescription Drug Amendments of 1992</w:t>
      </w:r>
      <w:r w:rsidRPr="0095160D">
        <w:rPr>
          <w:rFonts w:ascii="Times New Roman" w:hAnsi="Times New Roman"/>
          <w:szCs w:val="24"/>
        </w:rPr>
        <w:t>, establishes requirements for the</w:t>
      </w:r>
      <w:r w:rsidRPr="0095160D" w:rsidR="00B2384C">
        <w:rPr>
          <w:rFonts w:ascii="Times New Roman" w:hAnsi="Times New Roman"/>
          <w:szCs w:val="24"/>
        </w:rPr>
        <w:t>:</w:t>
      </w:r>
      <w:r w:rsidRPr="0095160D" w:rsidR="00CF0020">
        <w:rPr>
          <w:rFonts w:ascii="Times New Roman" w:hAnsi="Times New Roman"/>
          <w:szCs w:val="24"/>
        </w:rPr>
        <w:t xml:space="preserve"> </w:t>
      </w:r>
      <w:r w:rsidRPr="0095160D" w:rsidR="00B2384C">
        <w:rPr>
          <w:rFonts w:ascii="Times New Roman" w:hAnsi="Times New Roman"/>
          <w:szCs w:val="24"/>
        </w:rPr>
        <w:t xml:space="preserve">(1) </w:t>
      </w:r>
      <w:r w:rsidRPr="0095160D">
        <w:rPr>
          <w:rFonts w:ascii="Times New Roman" w:hAnsi="Times New Roman"/>
          <w:szCs w:val="24"/>
        </w:rPr>
        <w:t>reimportation and wholesale distribution of prescription drugs;</w:t>
      </w:r>
      <w:r w:rsidRPr="0095160D" w:rsidR="00B2384C">
        <w:rPr>
          <w:rFonts w:ascii="Times New Roman" w:hAnsi="Times New Roman"/>
          <w:szCs w:val="24"/>
        </w:rPr>
        <w:t xml:space="preserve"> (2) </w:t>
      </w:r>
      <w:r w:rsidRPr="0095160D">
        <w:rPr>
          <w:rFonts w:ascii="Times New Roman" w:hAnsi="Times New Roman"/>
          <w:szCs w:val="24"/>
        </w:rPr>
        <w:t>sale, purchase, or trade of, or the offer to sell, purchase, or trade, prescription drugs that were purchased by hospitals or health care entities, or donated to charitable organizations; and</w:t>
      </w:r>
      <w:r w:rsidRPr="0095160D" w:rsidR="00B2384C">
        <w:rPr>
          <w:rFonts w:ascii="Times New Roman" w:hAnsi="Times New Roman"/>
          <w:szCs w:val="24"/>
        </w:rPr>
        <w:t xml:space="preserve"> (3)</w:t>
      </w:r>
      <w:r w:rsidRPr="0095160D">
        <w:rPr>
          <w:rFonts w:ascii="Times New Roman" w:hAnsi="Times New Roman"/>
          <w:szCs w:val="24"/>
        </w:rPr>
        <w:t xml:space="preserve"> distribution of prescription drug samples.</w:t>
      </w:r>
      <w:r w:rsidRPr="0095160D" w:rsidR="00C71870">
        <w:rPr>
          <w:rFonts w:ascii="Times New Roman" w:hAnsi="Times New Roman"/>
          <w:szCs w:val="24"/>
        </w:rPr>
        <w:t xml:space="preserve">  Because insufficient safeguards existed over the drug distribution system to prevent the introduction and retail sale of substandard, ineffective, or counterfeit drugs, and that a wholesale drug diversion submarket had developed that prevented effective control over the true sources of drugs, PDMA was enacted</w:t>
      </w:r>
      <w:r w:rsidRPr="00EF2FD6" w:rsidR="00C71870">
        <w:rPr>
          <w:rFonts w:ascii="Times New Roman" w:hAnsi="Times New Roman"/>
          <w:szCs w:val="24"/>
        </w:rPr>
        <w:t xml:space="preserve">.  </w:t>
      </w:r>
      <w:r w:rsidRPr="00EF2FD6">
        <w:rPr>
          <w:rFonts w:ascii="Times New Roman" w:hAnsi="Times New Roman"/>
          <w:szCs w:val="24"/>
        </w:rPr>
        <w:t xml:space="preserve">PDMA is intended to ensure that drug products purchased by consumers are safe and effective and to avoid an unacceptable risk that counterfeit, adulterated, misbranded, subpotent, or expired drugs are sold.  </w:t>
      </w:r>
      <w:r w:rsidR="00C76511">
        <w:rPr>
          <w:rFonts w:ascii="Times New Roman" w:hAnsi="Times New Roman"/>
          <w:szCs w:val="24"/>
        </w:rPr>
        <w:t>Agency regulations implementing PDMA r</w:t>
      </w:r>
      <w:r w:rsidRPr="00EF2FD6">
        <w:rPr>
          <w:rFonts w:ascii="Times New Roman" w:hAnsi="Times New Roman"/>
          <w:szCs w:val="24"/>
        </w:rPr>
        <w:t xml:space="preserve">equirements are codified </w:t>
      </w:r>
      <w:r w:rsidR="00C76511">
        <w:rPr>
          <w:rFonts w:ascii="Times New Roman" w:hAnsi="Times New Roman"/>
          <w:szCs w:val="24"/>
        </w:rPr>
        <w:t xml:space="preserve">in </w:t>
      </w:r>
      <w:r w:rsidRPr="00D450CD" w:rsidR="00C76511">
        <w:rPr>
          <w:rFonts w:ascii="Times New Roman" w:hAnsi="Times New Roman"/>
          <w:b/>
          <w:bCs/>
          <w:szCs w:val="24"/>
        </w:rPr>
        <w:t xml:space="preserve">21 CFR </w:t>
      </w:r>
      <w:r w:rsidRPr="00D450CD" w:rsidR="005D46CC">
        <w:rPr>
          <w:rFonts w:ascii="Times New Roman" w:hAnsi="Times New Roman"/>
          <w:b/>
          <w:bCs/>
          <w:szCs w:val="24"/>
        </w:rPr>
        <w:t>part 203</w:t>
      </w:r>
      <w:r w:rsidR="00C76511">
        <w:rPr>
          <w:rFonts w:ascii="Times New Roman" w:hAnsi="Times New Roman"/>
          <w:szCs w:val="24"/>
        </w:rPr>
        <w:t>.</w:t>
      </w:r>
    </w:p>
    <w:p w:rsidR="00D4274A" w:rsidRPr="003038A6" w:rsidP="009C4C2A" w14:paraId="4D776897" w14:textId="77777777">
      <w:pPr>
        <w:rPr>
          <w:rFonts w:ascii="Times New Roman" w:hAnsi="Times New Roman"/>
          <w:szCs w:val="24"/>
        </w:rPr>
      </w:pPr>
    </w:p>
    <w:p w:rsidR="00D4274A" w:rsidP="009C4C2A" w14:paraId="78F45439" w14:textId="77777777">
      <w:pPr>
        <w:rPr>
          <w:rFonts w:ascii="Times New Roman" w:hAnsi="Times New Roman"/>
          <w:szCs w:val="24"/>
        </w:rPr>
      </w:pPr>
      <w:r w:rsidRPr="003038A6">
        <w:rPr>
          <w:rFonts w:ascii="Times New Roman" w:hAnsi="Times New Roman"/>
          <w:szCs w:val="24"/>
        </w:rPr>
        <w:t xml:space="preserve">The regulations </w:t>
      </w:r>
      <w:r w:rsidRPr="003038A6" w:rsidR="00FC29F8">
        <w:rPr>
          <w:rFonts w:ascii="Times New Roman" w:hAnsi="Times New Roman"/>
          <w:szCs w:val="24"/>
        </w:rPr>
        <w:t xml:space="preserve">in </w:t>
      </w:r>
      <w:r w:rsidRPr="003038A6" w:rsidR="005D46CC">
        <w:rPr>
          <w:rFonts w:ascii="Times New Roman" w:hAnsi="Times New Roman"/>
          <w:szCs w:val="24"/>
        </w:rPr>
        <w:t>part</w:t>
      </w:r>
      <w:r w:rsidRPr="003038A6" w:rsidR="00D752EA">
        <w:rPr>
          <w:rFonts w:ascii="Times New Roman" w:hAnsi="Times New Roman"/>
          <w:szCs w:val="24"/>
        </w:rPr>
        <w:t xml:space="preserve"> 203 </w:t>
      </w:r>
      <w:r w:rsidRPr="003038A6">
        <w:rPr>
          <w:rFonts w:ascii="Times New Roman" w:hAnsi="Times New Roman"/>
          <w:szCs w:val="24"/>
        </w:rPr>
        <w:t>include reporting and recordkeeping requirements intended to help achieve the following goals</w:t>
      </w:r>
      <w:r w:rsidRPr="003038A6" w:rsidR="005D46CC">
        <w:rPr>
          <w:rFonts w:ascii="Times New Roman" w:hAnsi="Times New Roman"/>
          <w:szCs w:val="24"/>
        </w:rPr>
        <w:t xml:space="preserve"> to</w:t>
      </w:r>
      <w:r w:rsidRPr="003038A6">
        <w:rPr>
          <w:rFonts w:ascii="Times New Roman" w:hAnsi="Times New Roman"/>
          <w:szCs w:val="24"/>
        </w:rPr>
        <w:t>: (1) ban the reimportation of prescription drugs produced in the United States, except when reimported by the manufacturer or under FDA authorization for emergency medical care; (2) ban the sale, purchase, or trade, or the offer to sell, purchase, or trade, of any prescription drug sample; (3) limit the distribution of drug samples to practitioners licensed or authorized to prescribe such drugs or to pharmacies of hospitals or other healthcare entities at the request of a licensed or authorized practitioner; (4) require licensed or authorized practitioners to request prescription drug samples in writing; (5) mandate storage, handling, and recordkeeping requirements for prescription drug samples; and (6) prohibit, with certain exceptions, the sale, purchase, or trade, or the offer to sell, purchase, or trade, of prescription drugs that were purchased by hospitals or other healthcare entities or that were donated or supplied at a reduced price to a charitable organization.</w:t>
      </w:r>
    </w:p>
    <w:p w:rsidR="009C4C2A" w:rsidP="009C4C2A" w14:paraId="50501A13" w14:textId="77777777">
      <w:pPr>
        <w:rPr>
          <w:rFonts w:ascii="Times New Roman" w:hAnsi="Times New Roman"/>
          <w:szCs w:val="24"/>
        </w:rPr>
      </w:pPr>
    </w:p>
    <w:p w:rsidR="002D29D3" w:rsidP="006801DC" w14:paraId="2C051F0C" w14:textId="43E466B5">
      <w:pPr>
        <w:rPr>
          <w:rFonts w:ascii="Times New Roman" w:hAnsi="Times New Roman"/>
          <w:szCs w:val="24"/>
        </w:rPr>
      </w:pPr>
      <w:r>
        <w:rPr>
          <w:rFonts w:ascii="Times New Roman" w:hAnsi="Times New Roman"/>
          <w:szCs w:val="24"/>
        </w:rPr>
        <w:t xml:space="preserve">We are </w:t>
      </w:r>
      <w:r w:rsidRPr="00887763" w:rsidR="00C054DF">
        <w:rPr>
          <w:rFonts w:ascii="Times New Roman" w:hAnsi="Times New Roman"/>
          <w:szCs w:val="24"/>
        </w:rPr>
        <w:t>request</w:t>
      </w:r>
      <w:r>
        <w:rPr>
          <w:rFonts w:ascii="Times New Roman" w:hAnsi="Times New Roman"/>
          <w:szCs w:val="24"/>
        </w:rPr>
        <w:t>ing</w:t>
      </w:r>
      <w:r w:rsidRPr="00887763" w:rsidR="00304F60">
        <w:rPr>
          <w:rFonts w:ascii="Times New Roman" w:hAnsi="Times New Roman"/>
          <w:szCs w:val="24"/>
        </w:rPr>
        <w:t xml:space="preserve"> </w:t>
      </w:r>
      <w:r w:rsidRPr="00887763" w:rsidR="00C054DF">
        <w:rPr>
          <w:rFonts w:ascii="Times New Roman" w:hAnsi="Times New Roman"/>
          <w:szCs w:val="24"/>
        </w:rPr>
        <w:t>extension</w:t>
      </w:r>
      <w:r w:rsidRPr="00887763" w:rsidR="00304F60">
        <w:rPr>
          <w:rFonts w:ascii="Times New Roman" w:hAnsi="Times New Roman"/>
          <w:szCs w:val="24"/>
        </w:rPr>
        <w:t xml:space="preserve"> of OMB approval for the information collection provisions set forth </w:t>
      </w:r>
      <w:r w:rsidRPr="00887763" w:rsidR="00304F60">
        <w:rPr>
          <w:rFonts w:ascii="Times New Roman" w:hAnsi="Times New Roman"/>
          <w:szCs w:val="24"/>
        </w:rPr>
        <w:t xml:space="preserve">under </w:t>
      </w:r>
      <w:r w:rsidR="00E827FD">
        <w:rPr>
          <w:rFonts w:ascii="Times New Roman" w:hAnsi="Times New Roman"/>
          <w:szCs w:val="24"/>
        </w:rPr>
        <w:t xml:space="preserve">21 CFR </w:t>
      </w:r>
      <w:r w:rsidRPr="00887763" w:rsidR="005D46CC">
        <w:rPr>
          <w:rFonts w:ascii="Times New Roman" w:hAnsi="Times New Roman"/>
          <w:szCs w:val="24"/>
        </w:rPr>
        <w:t>p</w:t>
      </w:r>
      <w:r w:rsidRPr="00887763" w:rsidR="00304F60">
        <w:rPr>
          <w:rFonts w:ascii="Times New Roman" w:hAnsi="Times New Roman"/>
          <w:szCs w:val="24"/>
        </w:rPr>
        <w:t>art 203</w:t>
      </w:r>
      <w:r w:rsidR="00C76511">
        <w:rPr>
          <w:rFonts w:ascii="Times New Roman" w:hAnsi="Times New Roman"/>
          <w:szCs w:val="24"/>
        </w:rPr>
        <w:t>, and</w:t>
      </w:r>
      <w:r w:rsidRPr="00887763" w:rsidR="00304F60">
        <w:rPr>
          <w:rFonts w:ascii="Times New Roman" w:hAnsi="Times New Roman"/>
          <w:szCs w:val="24"/>
        </w:rPr>
        <w:t xml:space="preserve"> discussed in this supporting statement.</w:t>
      </w:r>
    </w:p>
    <w:p w:rsidR="00840A83" w:rsidP="006801DC" w14:paraId="4E95E099" w14:textId="77777777">
      <w:pPr>
        <w:rPr>
          <w:rFonts w:ascii="Times New Roman" w:hAnsi="Times New Roman"/>
          <w:szCs w:val="24"/>
        </w:rPr>
      </w:pPr>
    </w:p>
    <w:p w:rsidR="00C47FF3" w:rsidRPr="002E72D7" w:rsidP="002E72D7" w14:paraId="6CED93E6" w14:textId="77777777">
      <w:pPr>
        <w:pStyle w:val="ListParagraph"/>
        <w:numPr>
          <w:ilvl w:val="0"/>
          <w:numId w:val="5"/>
        </w:numPr>
        <w:ind w:left="360"/>
        <w:rPr>
          <w:rFonts w:ascii="Times New Roman" w:hAnsi="Times New Roman"/>
          <w:szCs w:val="24"/>
        </w:rPr>
      </w:pPr>
      <w:r w:rsidRPr="002E72D7">
        <w:rPr>
          <w:rFonts w:ascii="Times New Roman" w:hAnsi="Times New Roman"/>
          <w:szCs w:val="24"/>
          <w:u w:val="single"/>
        </w:rPr>
        <w:t>Purpose and Use of the Information Collection</w:t>
      </w:r>
    </w:p>
    <w:p w:rsidR="00073D72" w:rsidP="006801DC" w14:paraId="714FCFC5" w14:textId="77777777">
      <w:pPr>
        <w:rPr>
          <w:rFonts w:ascii="Times New Roman" w:hAnsi="Times New Roman"/>
          <w:szCs w:val="24"/>
        </w:rPr>
      </w:pPr>
    </w:p>
    <w:p w:rsidR="003E61D3" w:rsidRPr="00D91A25" w:rsidP="006801DC" w14:paraId="7DE9F379" w14:textId="77777777">
      <w:pPr>
        <w:rPr>
          <w:rFonts w:ascii="Times New Roman" w:hAnsi="Times New Roman"/>
          <w:color w:val="000000" w:themeColor="text1"/>
          <w:szCs w:val="24"/>
        </w:rPr>
      </w:pPr>
      <w:r>
        <w:rPr>
          <w:rFonts w:ascii="Times New Roman" w:hAnsi="Times New Roman"/>
          <w:szCs w:val="24"/>
        </w:rPr>
        <w:t>The purpose of</w:t>
      </w:r>
      <w:r w:rsidR="00C76511">
        <w:rPr>
          <w:rFonts w:ascii="Times New Roman" w:hAnsi="Times New Roman"/>
          <w:szCs w:val="24"/>
        </w:rPr>
        <w:t xml:space="preserve"> </w:t>
      </w:r>
      <w:r w:rsidRPr="00073D72">
        <w:rPr>
          <w:rFonts w:ascii="Times New Roman" w:hAnsi="Times New Roman"/>
          <w:szCs w:val="24"/>
        </w:rPr>
        <w:t>P</w:t>
      </w:r>
      <w:r w:rsidR="00883B44">
        <w:rPr>
          <w:rFonts w:ascii="Times New Roman" w:hAnsi="Times New Roman"/>
          <w:szCs w:val="24"/>
        </w:rPr>
        <w:t>DMA</w:t>
      </w:r>
      <w:r w:rsidRPr="00073D72">
        <w:rPr>
          <w:rFonts w:ascii="Times New Roman" w:hAnsi="Times New Roman"/>
          <w:szCs w:val="24"/>
        </w:rPr>
        <w:t xml:space="preserve"> and the Prescription Drug Amendments of 1992</w:t>
      </w:r>
      <w:r w:rsidR="00C76511">
        <w:rPr>
          <w:rFonts w:ascii="Times New Roman" w:hAnsi="Times New Roman"/>
          <w:szCs w:val="24"/>
        </w:rPr>
        <w:t xml:space="preserve"> is to </w:t>
      </w:r>
      <w:r w:rsidRPr="00073D72">
        <w:rPr>
          <w:rFonts w:ascii="Times New Roman" w:hAnsi="Times New Roman"/>
          <w:szCs w:val="24"/>
        </w:rPr>
        <w:t>protect the public health</w:t>
      </w:r>
      <w:r w:rsidR="00C76511">
        <w:rPr>
          <w:rFonts w:ascii="Times New Roman" w:hAnsi="Times New Roman"/>
          <w:szCs w:val="24"/>
        </w:rPr>
        <w:t xml:space="preserve"> </w:t>
      </w:r>
      <w:r w:rsidRPr="00073D72">
        <w:rPr>
          <w:rFonts w:ascii="Times New Roman" w:hAnsi="Times New Roman"/>
          <w:szCs w:val="24"/>
        </w:rPr>
        <w:t>against drug diversion by establishing procedures, requirements, and minimum standards for the distribution of prescription drugs and prescription drug samples</w:t>
      </w:r>
      <w:r w:rsidR="003D23F7">
        <w:rPr>
          <w:rFonts w:ascii="Times New Roman" w:hAnsi="Times New Roman"/>
          <w:szCs w:val="24"/>
        </w:rPr>
        <w:t>.</w:t>
      </w:r>
      <w:r w:rsidR="00C76511">
        <w:rPr>
          <w:rFonts w:ascii="Times New Roman" w:hAnsi="Times New Roman"/>
          <w:szCs w:val="24"/>
        </w:rPr>
        <w:t xml:space="preserve">  The </w:t>
      </w:r>
      <w:r w:rsidRPr="00D91A25" w:rsidR="00C76511">
        <w:rPr>
          <w:rFonts w:ascii="Times New Roman" w:hAnsi="Times New Roman"/>
          <w:color w:val="000000" w:themeColor="text1"/>
          <w:szCs w:val="24"/>
        </w:rPr>
        <w:t>information collection helps FDA determine compliance with the applicable requirements.</w:t>
      </w:r>
      <w:r w:rsidRPr="00D91A25" w:rsidR="0022364D">
        <w:rPr>
          <w:rFonts w:ascii="Times New Roman" w:hAnsi="Times New Roman"/>
          <w:color w:val="000000" w:themeColor="text1"/>
          <w:szCs w:val="24"/>
        </w:rPr>
        <w:t xml:space="preserve">  </w:t>
      </w:r>
    </w:p>
    <w:p w:rsidR="00156966" w:rsidRPr="00D91A25" w:rsidP="006801DC" w14:paraId="3DEEDF4A" w14:textId="77777777">
      <w:pPr>
        <w:rPr>
          <w:rFonts w:ascii="Times New Roman" w:hAnsi="Times New Roman"/>
          <w:color w:val="000000" w:themeColor="text1"/>
          <w:szCs w:val="24"/>
        </w:rPr>
      </w:pPr>
    </w:p>
    <w:p w:rsidR="00687D12" w:rsidRPr="00840A83" w:rsidP="006801DC" w14:paraId="5BA8D4A7" w14:textId="02BE02F2">
      <w:pPr>
        <w:rPr>
          <w:rFonts w:ascii="Times New Roman" w:hAnsi="Times New Roman"/>
          <w:color w:val="000000" w:themeColor="text1"/>
          <w:szCs w:val="24"/>
        </w:rPr>
      </w:pPr>
      <w:r w:rsidRPr="00840A83">
        <w:rPr>
          <w:rFonts w:ascii="Times New Roman" w:hAnsi="Times New Roman"/>
          <w:color w:val="000000" w:themeColor="text1"/>
          <w:szCs w:val="24"/>
        </w:rPr>
        <w:t>The i</w:t>
      </w:r>
      <w:r w:rsidRPr="00840A83" w:rsidR="001D6EA3">
        <w:rPr>
          <w:rFonts w:ascii="Times New Roman" w:hAnsi="Times New Roman"/>
          <w:color w:val="000000" w:themeColor="text1"/>
          <w:szCs w:val="24"/>
        </w:rPr>
        <w:t>nformation collection</w:t>
      </w:r>
      <w:r w:rsidRPr="00840A83" w:rsidR="0046323B">
        <w:rPr>
          <w:rFonts w:ascii="Times New Roman" w:hAnsi="Times New Roman"/>
          <w:color w:val="000000" w:themeColor="text1"/>
          <w:szCs w:val="24"/>
        </w:rPr>
        <w:t xml:space="preserve"> includes</w:t>
      </w:r>
      <w:r w:rsidRPr="00840A83" w:rsidR="00632F17">
        <w:rPr>
          <w:rFonts w:ascii="Times New Roman" w:hAnsi="Times New Roman"/>
          <w:color w:val="000000" w:themeColor="text1"/>
          <w:szCs w:val="24"/>
        </w:rPr>
        <w:t xml:space="preserve"> </w:t>
      </w:r>
      <w:r w:rsidRPr="00840A83" w:rsidR="000836A4">
        <w:rPr>
          <w:rFonts w:ascii="Times New Roman" w:hAnsi="Times New Roman"/>
          <w:color w:val="000000" w:themeColor="text1"/>
          <w:szCs w:val="24"/>
        </w:rPr>
        <w:t xml:space="preserve">applications for </w:t>
      </w:r>
      <w:r w:rsidRPr="00840A83" w:rsidR="00632F17">
        <w:rPr>
          <w:rFonts w:ascii="Times New Roman" w:hAnsi="Times New Roman"/>
          <w:color w:val="000000" w:themeColor="text1"/>
          <w:szCs w:val="24"/>
        </w:rPr>
        <w:t>reimportation to provide emergency medical</w:t>
      </w:r>
      <w:r w:rsidRPr="00840A83" w:rsidR="00BF0551">
        <w:rPr>
          <w:rFonts w:ascii="Times New Roman" w:hAnsi="Times New Roman"/>
          <w:color w:val="000000" w:themeColor="text1"/>
          <w:szCs w:val="24"/>
        </w:rPr>
        <w:t xml:space="preserve"> care</w:t>
      </w:r>
      <w:r w:rsidRPr="00840A83" w:rsidR="000836A4">
        <w:rPr>
          <w:rFonts w:ascii="Times New Roman" w:hAnsi="Times New Roman"/>
          <w:color w:val="000000" w:themeColor="text1"/>
          <w:szCs w:val="24"/>
        </w:rPr>
        <w:t xml:space="preserve">, </w:t>
      </w:r>
      <w:r w:rsidRPr="00840A83" w:rsidR="00570DEB">
        <w:rPr>
          <w:rFonts w:ascii="Times New Roman" w:hAnsi="Times New Roman"/>
          <w:color w:val="000000" w:themeColor="text1"/>
          <w:szCs w:val="24"/>
        </w:rPr>
        <w:t>investigations</w:t>
      </w:r>
      <w:r w:rsidRPr="00840A83" w:rsidR="00A7446D">
        <w:rPr>
          <w:rFonts w:ascii="Times New Roman" w:hAnsi="Times New Roman"/>
          <w:color w:val="000000" w:themeColor="text1"/>
          <w:szCs w:val="24"/>
        </w:rPr>
        <w:t xml:space="preserve"> by manufacturers or authorized distributor</w:t>
      </w:r>
      <w:r w:rsidRPr="00840A83" w:rsidR="009F7DCC">
        <w:rPr>
          <w:rFonts w:ascii="Times New Roman" w:hAnsi="Times New Roman"/>
          <w:color w:val="000000" w:themeColor="text1"/>
          <w:szCs w:val="24"/>
        </w:rPr>
        <w:t>s</w:t>
      </w:r>
      <w:r w:rsidRPr="00840A83" w:rsidR="00570DEB">
        <w:rPr>
          <w:rFonts w:ascii="Times New Roman" w:hAnsi="Times New Roman"/>
          <w:color w:val="000000" w:themeColor="text1"/>
          <w:szCs w:val="24"/>
        </w:rPr>
        <w:t xml:space="preserve"> of </w:t>
      </w:r>
      <w:r w:rsidRPr="00840A83" w:rsidR="009F7DCC">
        <w:rPr>
          <w:rFonts w:ascii="Times New Roman" w:hAnsi="Times New Roman"/>
          <w:color w:val="000000" w:themeColor="text1"/>
          <w:szCs w:val="24"/>
        </w:rPr>
        <w:t xml:space="preserve">potential </w:t>
      </w:r>
      <w:r w:rsidRPr="00840A83" w:rsidR="00570DEB">
        <w:rPr>
          <w:rFonts w:ascii="Times New Roman" w:hAnsi="Times New Roman"/>
          <w:color w:val="000000" w:themeColor="text1"/>
          <w:szCs w:val="24"/>
        </w:rPr>
        <w:t xml:space="preserve">falsification of </w:t>
      </w:r>
      <w:r w:rsidRPr="00840A83" w:rsidR="00EF58BB">
        <w:rPr>
          <w:rFonts w:ascii="Times New Roman" w:hAnsi="Times New Roman"/>
          <w:color w:val="000000" w:themeColor="text1"/>
          <w:szCs w:val="24"/>
        </w:rPr>
        <w:t xml:space="preserve">drug sample records, </w:t>
      </w:r>
      <w:r w:rsidRPr="00840A83" w:rsidR="008A15F3">
        <w:rPr>
          <w:rFonts w:ascii="Times New Roman" w:hAnsi="Times New Roman"/>
          <w:color w:val="000000" w:themeColor="text1"/>
          <w:szCs w:val="24"/>
        </w:rPr>
        <w:t xml:space="preserve">notification </w:t>
      </w:r>
      <w:r w:rsidRPr="00840A83" w:rsidR="00C70E6D">
        <w:rPr>
          <w:rFonts w:ascii="Times New Roman" w:hAnsi="Times New Roman"/>
          <w:color w:val="000000" w:themeColor="text1"/>
          <w:szCs w:val="24"/>
        </w:rPr>
        <w:t>of</w:t>
      </w:r>
      <w:r w:rsidRPr="00840A83" w:rsidR="0033098D">
        <w:rPr>
          <w:rFonts w:ascii="Times New Roman" w:hAnsi="Times New Roman"/>
          <w:color w:val="000000" w:themeColor="text1"/>
          <w:szCs w:val="24"/>
        </w:rPr>
        <w:t xml:space="preserve"> distribution of drug samples and any</w:t>
      </w:r>
      <w:r w:rsidRPr="00840A83" w:rsidR="00C70E6D">
        <w:rPr>
          <w:rFonts w:ascii="Times New Roman" w:hAnsi="Times New Roman"/>
          <w:color w:val="000000" w:themeColor="text1"/>
          <w:szCs w:val="24"/>
        </w:rPr>
        <w:t xml:space="preserve"> loss or theft of drug samples, </w:t>
      </w:r>
      <w:r w:rsidRPr="00840A83" w:rsidR="007173BB">
        <w:rPr>
          <w:rFonts w:ascii="Times New Roman" w:hAnsi="Times New Roman"/>
          <w:color w:val="000000" w:themeColor="text1"/>
          <w:szCs w:val="24"/>
        </w:rPr>
        <w:t xml:space="preserve">notification of </w:t>
      </w:r>
      <w:r w:rsidRPr="00840A83" w:rsidR="00EF7772">
        <w:rPr>
          <w:rFonts w:ascii="Times New Roman" w:hAnsi="Times New Roman"/>
          <w:color w:val="000000" w:themeColor="text1"/>
          <w:szCs w:val="24"/>
        </w:rPr>
        <w:t xml:space="preserve">convictions </w:t>
      </w:r>
      <w:r w:rsidRPr="00840A83" w:rsidR="00EE2654">
        <w:rPr>
          <w:rFonts w:ascii="Times New Roman" w:hAnsi="Times New Roman"/>
          <w:color w:val="000000" w:themeColor="text1"/>
          <w:szCs w:val="24"/>
        </w:rPr>
        <w:t>for</w:t>
      </w:r>
      <w:r w:rsidRPr="00840A83" w:rsidR="00126EE9">
        <w:rPr>
          <w:rFonts w:ascii="Times New Roman" w:hAnsi="Times New Roman"/>
          <w:color w:val="000000" w:themeColor="text1"/>
          <w:szCs w:val="24"/>
        </w:rPr>
        <w:t xml:space="preserve"> violation</w:t>
      </w:r>
      <w:r w:rsidRPr="00840A83" w:rsidR="00052F0B">
        <w:rPr>
          <w:rFonts w:ascii="Times New Roman" w:hAnsi="Times New Roman"/>
          <w:color w:val="000000" w:themeColor="text1"/>
          <w:szCs w:val="24"/>
        </w:rPr>
        <w:t xml:space="preserve"> of section 503(c)(1)</w:t>
      </w:r>
      <w:r w:rsidRPr="00840A83" w:rsidR="00EE2654">
        <w:rPr>
          <w:rFonts w:ascii="Times New Roman" w:hAnsi="Times New Roman"/>
          <w:color w:val="000000" w:themeColor="text1"/>
          <w:szCs w:val="24"/>
        </w:rPr>
        <w:t xml:space="preserve"> </w:t>
      </w:r>
      <w:r w:rsidRPr="00840A83" w:rsidR="006D3BEC">
        <w:rPr>
          <w:rFonts w:ascii="Times New Roman" w:hAnsi="Times New Roman"/>
          <w:color w:val="000000" w:themeColor="text1"/>
          <w:szCs w:val="24"/>
        </w:rPr>
        <w:t xml:space="preserve">of the Act </w:t>
      </w:r>
      <w:r w:rsidRPr="00840A83" w:rsidR="00EE2654">
        <w:rPr>
          <w:rFonts w:ascii="Times New Roman" w:hAnsi="Times New Roman"/>
          <w:color w:val="000000" w:themeColor="text1"/>
          <w:szCs w:val="24"/>
        </w:rPr>
        <w:t>involving</w:t>
      </w:r>
      <w:r w:rsidRPr="00840A83" w:rsidR="006D3BEC">
        <w:rPr>
          <w:rFonts w:ascii="Times New Roman" w:hAnsi="Times New Roman"/>
          <w:color w:val="000000" w:themeColor="text1"/>
          <w:szCs w:val="24"/>
        </w:rPr>
        <w:t xml:space="preserve"> </w:t>
      </w:r>
      <w:r w:rsidRPr="00840A83" w:rsidR="007173BB">
        <w:rPr>
          <w:rFonts w:ascii="Times New Roman" w:hAnsi="Times New Roman"/>
          <w:color w:val="000000" w:themeColor="text1"/>
          <w:szCs w:val="24"/>
        </w:rPr>
        <w:t xml:space="preserve">the </w:t>
      </w:r>
      <w:r w:rsidRPr="00840A83" w:rsidR="006D3BEC">
        <w:rPr>
          <w:rFonts w:ascii="Times New Roman" w:hAnsi="Times New Roman"/>
          <w:color w:val="000000" w:themeColor="text1"/>
          <w:szCs w:val="24"/>
        </w:rPr>
        <w:t>s</w:t>
      </w:r>
      <w:r w:rsidRPr="00840A83" w:rsidR="00EE2654">
        <w:rPr>
          <w:rFonts w:ascii="Times New Roman" w:hAnsi="Times New Roman"/>
          <w:color w:val="000000" w:themeColor="text1"/>
          <w:szCs w:val="24"/>
        </w:rPr>
        <w:t>ale</w:t>
      </w:r>
      <w:r w:rsidRPr="00840A83" w:rsidR="00470DD0">
        <w:rPr>
          <w:rFonts w:ascii="Times New Roman" w:hAnsi="Times New Roman"/>
          <w:color w:val="000000" w:themeColor="text1"/>
          <w:szCs w:val="24"/>
        </w:rPr>
        <w:t>,</w:t>
      </w:r>
      <w:r w:rsidRPr="00840A83" w:rsidR="00EE2654">
        <w:rPr>
          <w:rFonts w:ascii="Times New Roman" w:hAnsi="Times New Roman"/>
          <w:color w:val="000000" w:themeColor="text1"/>
          <w:szCs w:val="24"/>
        </w:rPr>
        <w:t xml:space="preserve"> purchase</w:t>
      </w:r>
      <w:r w:rsidRPr="00840A83" w:rsidR="00470DD0">
        <w:rPr>
          <w:rFonts w:ascii="Times New Roman" w:hAnsi="Times New Roman"/>
          <w:color w:val="000000" w:themeColor="text1"/>
          <w:szCs w:val="24"/>
        </w:rPr>
        <w:t>,</w:t>
      </w:r>
      <w:r w:rsidRPr="00840A83" w:rsidR="00EE2654">
        <w:rPr>
          <w:rFonts w:ascii="Times New Roman" w:hAnsi="Times New Roman"/>
          <w:color w:val="000000" w:themeColor="text1"/>
          <w:szCs w:val="24"/>
        </w:rPr>
        <w:t xml:space="preserve"> o</w:t>
      </w:r>
      <w:r w:rsidRPr="00840A83" w:rsidR="00470DD0">
        <w:rPr>
          <w:rFonts w:ascii="Times New Roman" w:hAnsi="Times New Roman"/>
          <w:color w:val="000000" w:themeColor="text1"/>
          <w:szCs w:val="24"/>
        </w:rPr>
        <w:t>r trade</w:t>
      </w:r>
      <w:r w:rsidRPr="00840A83" w:rsidR="00126EE9">
        <w:rPr>
          <w:rFonts w:ascii="Times New Roman" w:hAnsi="Times New Roman"/>
          <w:color w:val="000000" w:themeColor="text1"/>
          <w:szCs w:val="24"/>
        </w:rPr>
        <w:t xml:space="preserve"> of drug samples</w:t>
      </w:r>
      <w:r w:rsidRPr="00840A83" w:rsidR="00372D07">
        <w:rPr>
          <w:rFonts w:ascii="Times New Roman" w:hAnsi="Times New Roman"/>
          <w:color w:val="000000" w:themeColor="text1"/>
          <w:szCs w:val="24"/>
        </w:rPr>
        <w:t>,</w:t>
      </w:r>
      <w:r w:rsidRPr="00840A83" w:rsidR="00126EE9">
        <w:rPr>
          <w:rFonts w:ascii="Times New Roman" w:hAnsi="Times New Roman"/>
          <w:color w:val="000000" w:themeColor="text1"/>
          <w:szCs w:val="24"/>
        </w:rPr>
        <w:t xml:space="preserve"> </w:t>
      </w:r>
      <w:r w:rsidRPr="00840A83" w:rsidR="00A41884">
        <w:rPr>
          <w:rFonts w:ascii="Times New Roman" w:hAnsi="Times New Roman"/>
          <w:color w:val="000000" w:themeColor="text1"/>
          <w:szCs w:val="24"/>
        </w:rPr>
        <w:t>n</w:t>
      </w:r>
      <w:r w:rsidRPr="00840A83" w:rsidR="005F1CA3">
        <w:rPr>
          <w:rFonts w:ascii="Times New Roman" w:hAnsi="Times New Roman"/>
          <w:color w:val="000000" w:themeColor="text1"/>
          <w:szCs w:val="24"/>
        </w:rPr>
        <w:t>otification of the</w:t>
      </w:r>
      <w:r w:rsidRPr="00840A83" w:rsidR="0093264F">
        <w:rPr>
          <w:rFonts w:ascii="Times New Roman" w:hAnsi="Times New Roman"/>
          <w:color w:val="000000" w:themeColor="text1"/>
          <w:szCs w:val="24"/>
        </w:rPr>
        <w:t xml:space="preserve"> </w:t>
      </w:r>
      <w:r w:rsidRPr="00840A83" w:rsidR="00A9537B">
        <w:rPr>
          <w:rFonts w:ascii="Times New Roman" w:hAnsi="Times New Roman"/>
          <w:color w:val="000000" w:themeColor="text1"/>
          <w:szCs w:val="24"/>
        </w:rPr>
        <w:t>individual responsible for drug sample information</w:t>
      </w:r>
      <w:r w:rsidRPr="00840A83" w:rsidR="009527D8">
        <w:rPr>
          <w:rFonts w:ascii="Times New Roman" w:hAnsi="Times New Roman"/>
          <w:color w:val="000000" w:themeColor="text1"/>
          <w:szCs w:val="24"/>
        </w:rPr>
        <w:t xml:space="preserve"> and FDA </w:t>
      </w:r>
      <w:r w:rsidRPr="00840A83" w:rsidR="00FF6AB7">
        <w:rPr>
          <w:rFonts w:ascii="Times New Roman" w:hAnsi="Times New Roman"/>
          <w:color w:val="000000" w:themeColor="text1"/>
          <w:szCs w:val="24"/>
        </w:rPr>
        <w:t xml:space="preserve">reconciliation </w:t>
      </w:r>
      <w:r w:rsidRPr="00840A83" w:rsidR="009527D8">
        <w:rPr>
          <w:rFonts w:ascii="Times New Roman" w:hAnsi="Times New Roman"/>
          <w:color w:val="000000" w:themeColor="text1"/>
          <w:szCs w:val="24"/>
        </w:rPr>
        <w:t>reports.</w:t>
      </w:r>
      <w:r w:rsidRPr="00840A83" w:rsidR="00AD7805">
        <w:rPr>
          <w:rFonts w:ascii="Times New Roman" w:hAnsi="Times New Roman"/>
          <w:color w:val="000000" w:themeColor="text1"/>
          <w:szCs w:val="24"/>
        </w:rPr>
        <w:t xml:space="preserve">  In addition, any returns of </w:t>
      </w:r>
      <w:r w:rsidRPr="00840A83" w:rsidR="00655CAB">
        <w:rPr>
          <w:rFonts w:ascii="Times New Roman" w:hAnsi="Times New Roman"/>
          <w:color w:val="000000" w:themeColor="text1"/>
          <w:szCs w:val="24"/>
        </w:rPr>
        <w:t>drugs</w:t>
      </w:r>
      <w:r w:rsidRPr="00840A83" w:rsidR="00FD40EF">
        <w:rPr>
          <w:rFonts w:ascii="Times New Roman" w:hAnsi="Times New Roman"/>
          <w:color w:val="000000" w:themeColor="text1"/>
          <w:szCs w:val="24"/>
        </w:rPr>
        <w:t xml:space="preserve"> must be documented and stored appropriately</w:t>
      </w:r>
      <w:r w:rsidRPr="00840A83" w:rsidR="00963BB7">
        <w:rPr>
          <w:rFonts w:ascii="Times New Roman" w:hAnsi="Times New Roman"/>
          <w:color w:val="000000" w:themeColor="text1"/>
          <w:szCs w:val="24"/>
        </w:rPr>
        <w:t xml:space="preserve"> for return to the </w:t>
      </w:r>
      <w:r w:rsidRPr="00840A83" w:rsidR="00D70289">
        <w:rPr>
          <w:rFonts w:ascii="Times New Roman" w:hAnsi="Times New Roman"/>
          <w:color w:val="000000" w:themeColor="text1"/>
          <w:szCs w:val="24"/>
        </w:rPr>
        <w:t>manufacturer or wholesale distributor</w:t>
      </w:r>
      <w:r w:rsidRPr="00840A83" w:rsidR="00044DB3">
        <w:rPr>
          <w:rFonts w:ascii="Times New Roman" w:hAnsi="Times New Roman"/>
          <w:color w:val="000000" w:themeColor="text1"/>
          <w:szCs w:val="24"/>
        </w:rPr>
        <w:t>, to prevent abuse or exploitation</w:t>
      </w:r>
      <w:r w:rsidRPr="00840A83" w:rsidR="00682E14">
        <w:rPr>
          <w:rFonts w:ascii="Times New Roman" w:hAnsi="Times New Roman"/>
          <w:color w:val="000000" w:themeColor="text1"/>
          <w:szCs w:val="24"/>
        </w:rPr>
        <w:t xml:space="preserve"> of the distribution system.</w:t>
      </w:r>
      <w:r w:rsidRPr="00840A83" w:rsidR="00FD40EF">
        <w:rPr>
          <w:rFonts w:ascii="Times New Roman" w:hAnsi="Times New Roman"/>
          <w:color w:val="000000" w:themeColor="text1"/>
          <w:szCs w:val="24"/>
        </w:rPr>
        <w:t xml:space="preserve">  </w:t>
      </w:r>
    </w:p>
    <w:p w:rsidR="00943D5B" w:rsidRPr="00D91A25" w:rsidP="006801DC" w14:paraId="334C6C4B" w14:textId="77777777">
      <w:pPr>
        <w:rPr>
          <w:rFonts w:ascii="Times New Roman" w:hAnsi="Times New Roman"/>
          <w:color w:val="000000" w:themeColor="text1"/>
          <w:szCs w:val="24"/>
        </w:rPr>
      </w:pPr>
    </w:p>
    <w:p w:rsidR="00C47FF3" w:rsidRPr="002E72D7" w:rsidP="002E72D7" w14:paraId="7F54C698" w14:textId="77777777">
      <w:pPr>
        <w:pStyle w:val="ListParagraph"/>
        <w:numPr>
          <w:ilvl w:val="0"/>
          <w:numId w:val="5"/>
        </w:numPr>
        <w:ind w:left="360"/>
        <w:rPr>
          <w:rFonts w:ascii="Times New Roman" w:hAnsi="Times New Roman"/>
          <w:szCs w:val="24"/>
        </w:rPr>
      </w:pPr>
      <w:r w:rsidRPr="002E72D7">
        <w:rPr>
          <w:rFonts w:ascii="Times New Roman" w:hAnsi="Times New Roman"/>
          <w:szCs w:val="24"/>
          <w:u w:val="single"/>
        </w:rPr>
        <w:t>Use of Improved Information Technology and Burden Reduction</w:t>
      </w:r>
    </w:p>
    <w:p w:rsidR="003D23F7" w:rsidP="006801DC" w14:paraId="7253B15F" w14:textId="77777777">
      <w:pPr>
        <w:rPr>
          <w:rFonts w:ascii="Times New Roman" w:hAnsi="Times New Roman"/>
          <w:szCs w:val="24"/>
        </w:rPr>
      </w:pPr>
    </w:p>
    <w:p w:rsidR="007C23E5" w:rsidP="006801DC" w14:paraId="0FC888F8" w14:textId="77777777">
      <w:pPr>
        <w:rPr>
          <w:rFonts w:ascii="Times New Roman" w:hAnsi="Times New Roman"/>
          <w:szCs w:val="24"/>
        </w:rPr>
      </w:pPr>
      <w:r>
        <w:rPr>
          <w:rFonts w:ascii="Times New Roman" w:hAnsi="Times New Roman"/>
          <w:szCs w:val="24"/>
        </w:rPr>
        <w:t xml:space="preserve">As communicated in the regulations, if </w:t>
      </w:r>
      <w:r w:rsidRPr="00C76511">
        <w:rPr>
          <w:rFonts w:ascii="Times New Roman" w:hAnsi="Times New Roman"/>
          <w:szCs w:val="24"/>
        </w:rPr>
        <w:t xml:space="preserve">requirements of </w:t>
      </w:r>
      <w:r>
        <w:rPr>
          <w:rFonts w:ascii="Times New Roman" w:hAnsi="Times New Roman"/>
          <w:szCs w:val="24"/>
        </w:rPr>
        <w:t xml:space="preserve">21 CFR </w:t>
      </w:r>
      <w:r w:rsidRPr="00C76511">
        <w:rPr>
          <w:rFonts w:ascii="Times New Roman" w:hAnsi="Times New Roman"/>
          <w:szCs w:val="24"/>
        </w:rPr>
        <w:t xml:space="preserve">part 11 </w:t>
      </w:r>
      <w:r>
        <w:rPr>
          <w:rFonts w:ascii="Times New Roman" w:hAnsi="Times New Roman"/>
          <w:szCs w:val="24"/>
        </w:rPr>
        <w:t xml:space="preserve">are </w:t>
      </w:r>
      <w:r w:rsidRPr="00C76511">
        <w:rPr>
          <w:rFonts w:ascii="Times New Roman" w:hAnsi="Times New Roman"/>
          <w:szCs w:val="24"/>
        </w:rPr>
        <w:t>met, electronic records may be used as an alternative to paper records and handwritten signatures executed on paper to meet any of the record and signature requirements of PDMA, PDA, or this part</w:t>
      </w:r>
      <w:r>
        <w:rPr>
          <w:rFonts w:ascii="Times New Roman" w:hAnsi="Times New Roman"/>
          <w:szCs w:val="24"/>
        </w:rPr>
        <w:t xml:space="preserve">.  The regulations otherwise prescribe no specific requirements regarding the means by which </w:t>
      </w:r>
      <w:r w:rsidR="00C054DF">
        <w:rPr>
          <w:rFonts w:ascii="Times New Roman" w:hAnsi="Times New Roman"/>
          <w:szCs w:val="24"/>
        </w:rPr>
        <w:t>reporting</w:t>
      </w:r>
      <w:r>
        <w:rPr>
          <w:rFonts w:ascii="Times New Roman" w:hAnsi="Times New Roman"/>
          <w:szCs w:val="24"/>
        </w:rPr>
        <w:t xml:space="preserve"> and recordkeeping </w:t>
      </w:r>
      <w:r w:rsidR="00590824">
        <w:rPr>
          <w:rFonts w:ascii="Times New Roman" w:hAnsi="Times New Roman"/>
          <w:szCs w:val="24"/>
        </w:rPr>
        <w:t>are</w:t>
      </w:r>
      <w:r>
        <w:rPr>
          <w:rFonts w:ascii="Times New Roman" w:hAnsi="Times New Roman"/>
          <w:szCs w:val="24"/>
        </w:rPr>
        <w:t xml:space="preserve"> to be satisfied.  Respondents are free to choose whatever methods they find most preferable</w:t>
      </w:r>
      <w:r w:rsidR="00F421E9">
        <w:rPr>
          <w:rFonts w:ascii="Times New Roman" w:hAnsi="Times New Roman"/>
          <w:szCs w:val="24"/>
        </w:rPr>
        <w:t>,</w:t>
      </w:r>
      <w:r>
        <w:rPr>
          <w:rFonts w:ascii="Times New Roman" w:hAnsi="Times New Roman"/>
          <w:szCs w:val="24"/>
        </w:rPr>
        <w:t xml:space="preserve"> and we anticipate all </w:t>
      </w:r>
      <w:r w:rsidR="00F421E9">
        <w:rPr>
          <w:rFonts w:ascii="Times New Roman" w:hAnsi="Times New Roman"/>
          <w:szCs w:val="24"/>
        </w:rPr>
        <w:t xml:space="preserve">respondents </w:t>
      </w:r>
      <w:r>
        <w:rPr>
          <w:rFonts w:ascii="Times New Roman" w:hAnsi="Times New Roman"/>
          <w:szCs w:val="24"/>
        </w:rPr>
        <w:t xml:space="preserve">will </w:t>
      </w:r>
      <w:r w:rsidR="00F421E9">
        <w:rPr>
          <w:rFonts w:ascii="Times New Roman" w:hAnsi="Times New Roman"/>
          <w:szCs w:val="24"/>
        </w:rPr>
        <w:t>use</w:t>
      </w:r>
      <w:r>
        <w:rPr>
          <w:rFonts w:ascii="Times New Roman" w:hAnsi="Times New Roman"/>
          <w:szCs w:val="24"/>
        </w:rPr>
        <w:t xml:space="preserve"> electronic technology to do so.</w:t>
      </w:r>
    </w:p>
    <w:p w:rsidR="007C23E5" w:rsidRPr="006801DC" w:rsidP="006801DC" w14:paraId="1B3B4486" w14:textId="77777777">
      <w:pPr>
        <w:rPr>
          <w:rFonts w:ascii="Times New Roman" w:hAnsi="Times New Roman"/>
          <w:szCs w:val="24"/>
        </w:rPr>
      </w:pPr>
    </w:p>
    <w:p w:rsidR="00C47FF3" w:rsidRPr="002E72D7" w:rsidP="002E72D7" w14:paraId="4BC08585" w14:textId="77777777">
      <w:pPr>
        <w:pStyle w:val="ListParagraph"/>
        <w:numPr>
          <w:ilvl w:val="0"/>
          <w:numId w:val="5"/>
        </w:numPr>
        <w:ind w:left="360"/>
        <w:rPr>
          <w:rFonts w:ascii="Times New Roman" w:hAnsi="Times New Roman"/>
          <w:szCs w:val="24"/>
        </w:rPr>
      </w:pPr>
      <w:r w:rsidRPr="002E72D7">
        <w:rPr>
          <w:rFonts w:ascii="Times New Roman" w:hAnsi="Times New Roman"/>
          <w:szCs w:val="24"/>
          <w:u w:val="single"/>
        </w:rPr>
        <w:t>Efforts to Identify Duplication and Use of Similar Information</w:t>
      </w:r>
    </w:p>
    <w:p w:rsidR="00C47FF3" w:rsidRPr="006801DC" w:rsidP="006801DC" w14:paraId="33CF2C0A" w14:textId="77777777">
      <w:pPr>
        <w:rPr>
          <w:rFonts w:ascii="Times New Roman" w:hAnsi="Times New Roman"/>
          <w:szCs w:val="24"/>
        </w:rPr>
      </w:pPr>
    </w:p>
    <w:p w:rsidR="007C23E5" w:rsidP="006801DC" w14:paraId="2DD9449D" w14:textId="77777777">
      <w:pPr>
        <w:rPr>
          <w:rFonts w:ascii="Times New Roman" w:hAnsi="Times New Roman"/>
          <w:szCs w:val="24"/>
        </w:rPr>
      </w:pPr>
      <w:r>
        <w:rPr>
          <w:rFonts w:ascii="Times New Roman" w:hAnsi="Times New Roman"/>
          <w:szCs w:val="24"/>
        </w:rPr>
        <w:t>We are unaware of duplicative information collection.</w:t>
      </w:r>
    </w:p>
    <w:p w:rsidR="005126D8" w:rsidRPr="006801DC" w:rsidP="006801DC" w14:paraId="032A11BB" w14:textId="77777777">
      <w:pPr>
        <w:rPr>
          <w:rFonts w:ascii="Times New Roman" w:hAnsi="Times New Roman"/>
          <w:szCs w:val="24"/>
        </w:rPr>
      </w:pPr>
    </w:p>
    <w:p w:rsidR="00AE49D1" w:rsidRPr="00D765B7" w:rsidP="00D765B7" w14:paraId="7FF6EC7A" w14:textId="77777777">
      <w:pPr>
        <w:pStyle w:val="ListParagraph"/>
        <w:numPr>
          <w:ilvl w:val="0"/>
          <w:numId w:val="5"/>
        </w:numPr>
        <w:ind w:left="360"/>
        <w:rPr>
          <w:rFonts w:ascii="Times New Roman" w:hAnsi="Times New Roman"/>
          <w:szCs w:val="24"/>
        </w:rPr>
      </w:pPr>
      <w:r w:rsidRPr="00D765B7">
        <w:rPr>
          <w:rFonts w:ascii="Times New Roman" w:hAnsi="Times New Roman"/>
          <w:szCs w:val="24"/>
          <w:u w:val="single"/>
        </w:rPr>
        <w:t>Impact on Small Businesses or Other Small Entities</w:t>
      </w:r>
      <w:r w:rsidRPr="00D765B7">
        <w:rPr>
          <w:rFonts w:ascii="Times New Roman" w:hAnsi="Times New Roman"/>
          <w:szCs w:val="24"/>
        </w:rPr>
        <w:t xml:space="preserve"> </w:t>
      </w:r>
    </w:p>
    <w:p w:rsidR="005017FC" w:rsidRPr="006801DC" w:rsidP="006801DC" w14:paraId="3EDAF158" w14:textId="77777777">
      <w:pPr>
        <w:rPr>
          <w:rFonts w:ascii="Times New Roman" w:hAnsi="Times New Roman"/>
          <w:szCs w:val="24"/>
        </w:rPr>
      </w:pPr>
    </w:p>
    <w:p w:rsidR="00C054DF" w:rsidP="00C054DF" w14:paraId="70699276" w14:textId="77777777">
      <w:pPr>
        <w:rPr>
          <w:rFonts w:ascii="Times New Roman" w:hAnsi="Times New Roman"/>
          <w:szCs w:val="24"/>
        </w:rPr>
      </w:pPr>
      <w:r>
        <w:rPr>
          <w:rFonts w:ascii="Times New Roman" w:hAnsi="Times New Roman"/>
          <w:szCs w:val="24"/>
        </w:rPr>
        <w:t xml:space="preserve">We believe the information collection poses no undue burden on small entities.  At the same time, we assist small businesses in complying with our regulations </w:t>
      </w:r>
      <w:r w:rsidRPr="00C054DF">
        <w:rPr>
          <w:rFonts w:ascii="Times New Roman" w:hAnsi="Times New Roman"/>
          <w:szCs w:val="24"/>
        </w:rPr>
        <w:t xml:space="preserve">through </w:t>
      </w:r>
      <w:r>
        <w:rPr>
          <w:rFonts w:ascii="Times New Roman" w:hAnsi="Times New Roman"/>
          <w:szCs w:val="24"/>
        </w:rPr>
        <w:t xml:space="preserve">contact with </w:t>
      </w:r>
      <w:r w:rsidRPr="00C054DF">
        <w:rPr>
          <w:rFonts w:ascii="Times New Roman" w:hAnsi="Times New Roman"/>
          <w:szCs w:val="24"/>
        </w:rPr>
        <w:t>scientific and administ</w:t>
      </w:r>
      <w:r>
        <w:rPr>
          <w:rFonts w:ascii="Times New Roman" w:hAnsi="Times New Roman"/>
          <w:szCs w:val="24"/>
        </w:rPr>
        <w:t xml:space="preserve">rative staffs within </w:t>
      </w:r>
      <w:r w:rsidRPr="00E11E1E">
        <w:rPr>
          <w:rFonts w:ascii="Times New Roman" w:hAnsi="Times New Roman"/>
          <w:szCs w:val="24"/>
        </w:rPr>
        <w:t>the agency.</w:t>
      </w:r>
      <w:r>
        <w:rPr>
          <w:rFonts w:ascii="Times New Roman" w:hAnsi="Times New Roman"/>
          <w:szCs w:val="24"/>
        </w:rPr>
        <w:t xml:space="preserve">  A</w:t>
      </w:r>
      <w:r w:rsidRPr="00C054DF">
        <w:rPr>
          <w:rFonts w:ascii="Times New Roman" w:hAnsi="Times New Roman"/>
          <w:szCs w:val="24"/>
        </w:rPr>
        <w:t xml:space="preserve"> </w:t>
      </w:r>
      <w:r w:rsidR="00F24755">
        <w:rPr>
          <w:rFonts w:ascii="Times New Roman" w:hAnsi="Times New Roman"/>
          <w:szCs w:val="24"/>
        </w:rPr>
        <w:t>s</w:t>
      </w:r>
      <w:r w:rsidRPr="00C054DF">
        <w:rPr>
          <w:rFonts w:ascii="Times New Roman" w:hAnsi="Times New Roman"/>
          <w:szCs w:val="24"/>
        </w:rPr>
        <w:t xml:space="preserve">mall </w:t>
      </w:r>
      <w:r w:rsidR="00F24755">
        <w:rPr>
          <w:rFonts w:ascii="Times New Roman" w:hAnsi="Times New Roman"/>
          <w:szCs w:val="24"/>
        </w:rPr>
        <w:t>b</w:t>
      </w:r>
      <w:r w:rsidRPr="00C054DF">
        <w:rPr>
          <w:rFonts w:ascii="Times New Roman" w:hAnsi="Times New Roman"/>
          <w:szCs w:val="24"/>
        </w:rPr>
        <w:t xml:space="preserve">usiness </w:t>
      </w:r>
      <w:r w:rsidR="00F24755">
        <w:rPr>
          <w:rFonts w:ascii="Times New Roman" w:hAnsi="Times New Roman"/>
          <w:szCs w:val="24"/>
        </w:rPr>
        <w:t>g</w:t>
      </w:r>
      <w:r w:rsidRPr="00C054DF">
        <w:rPr>
          <w:rFonts w:ascii="Times New Roman" w:hAnsi="Times New Roman"/>
          <w:szCs w:val="24"/>
        </w:rPr>
        <w:t xml:space="preserve">uide </w:t>
      </w:r>
      <w:r>
        <w:rPr>
          <w:rFonts w:ascii="Times New Roman" w:hAnsi="Times New Roman"/>
          <w:szCs w:val="24"/>
        </w:rPr>
        <w:t xml:space="preserve">is also available on our </w:t>
      </w:r>
      <w:r w:rsidRPr="00C054DF">
        <w:rPr>
          <w:rFonts w:ascii="Times New Roman" w:hAnsi="Times New Roman"/>
          <w:szCs w:val="24"/>
        </w:rPr>
        <w:t xml:space="preserve">website at </w:t>
      </w:r>
      <w:hyperlink r:id="rId5" w:history="1">
        <w:r w:rsidRPr="003A2715">
          <w:rPr>
            <w:rStyle w:val="Hyperlink"/>
            <w:rFonts w:ascii="Times New Roman" w:hAnsi="Times New Roman"/>
            <w:szCs w:val="24"/>
          </w:rPr>
          <w:t>http://www.fda.gov/ForIndustry/SmallBusinessAssistance/default.htm</w:t>
        </w:r>
      </w:hyperlink>
      <w:r w:rsidRPr="00C054DF">
        <w:rPr>
          <w:rFonts w:ascii="Times New Roman" w:hAnsi="Times New Roman"/>
          <w:szCs w:val="24"/>
        </w:rPr>
        <w:t xml:space="preserve">. </w:t>
      </w:r>
    </w:p>
    <w:p w:rsidR="00B86C7C" w:rsidP="006801DC" w14:paraId="1D249C60" w14:textId="77777777">
      <w:pPr>
        <w:rPr>
          <w:rFonts w:ascii="Times New Roman" w:hAnsi="Times New Roman"/>
          <w:szCs w:val="24"/>
        </w:rPr>
      </w:pPr>
    </w:p>
    <w:p w:rsidR="00C47FF3" w:rsidRPr="005A67F6" w:rsidP="005A67F6" w14:paraId="208FCABF" w14:textId="77777777">
      <w:pPr>
        <w:pStyle w:val="ListParagraph"/>
        <w:numPr>
          <w:ilvl w:val="0"/>
          <w:numId w:val="5"/>
        </w:numPr>
        <w:ind w:left="360"/>
        <w:rPr>
          <w:rFonts w:ascii="Times New Roman" w:hAnsi="Times New Roman"/>
          <w:szCs w:val="24"/>
        </w:rPr>
      </w:pPr>
      <w:r w:rsidRPr="005A67F6">
        <w:rPr>
          <w:rFonts w:ascii="Times New Roman" w:hAnsi="Times New Roman"/>
          <w:szCs w:val="24"/>
          <w:u w:val="single"/>
        </w:rPr>
        <w:t>Consequences of Collecting the Information Less Frequently</w:t>
      </w:r>
      <w:r w:rsidRPr="005A67F6">
        <w:rPr>
          <w:rFonts w:ascii="Times New Roman" w:hAnsi="Times New Roman"/>
          <w:szCs w:val="24"/>
        </w:rPr>
        <w:t xml:space="preserve"> </w:t>
      </w:r>
    </w:p>
    <w:p w:rsidR="00C47FF3" w:rsidRPr="006801DC" w:rsidP="006801DC" w14:paraId="4761B9E2" w14:textId="77777777">
      <w:pPr>
        <w:rPr>
          <w:rFonts w:ascii="Times New Roman" w:hAnsi="Times New Roman"/>
          <w:szCs w:val="24"/>
        </w:rPr>
      </w:pPr>
    </w:p>
    <w:p w:rsidR="00C47FF3" w:rsidP="006801DC" w14:paraId="0B24EB4C" w14:textId="77777777">
      <w:pPr>
        <w:rPr>
          <w:rFonts w:ascii="Times New Roman" w:hAnsi="Times New Roman"/>
          <w:szCs w:val="24"/>
        </w:rPr>
      </w:pPr>
      <w:r w:rsidRPr="00645354">
        <w:rPr>
          <w:rFonts w:ascii="Times New Roman" w:hAnsi="Times New Roman"/>
          <w:szCs w:val="24"/>
        </w:rPr>
        <w:t xml:space="preserve">The information collection schedule is consistent with </w:t>
      </w:r>
      <w:r w:rsidR="005126D8">
        <w:rPr>
          <w:rFonts w:ascii="Times New Roman" w:hAnsi="Times New Roman"/>
          <w:szCs w:val="24"/>
        </w:rPr>
        <w:t xml:space="preserve">applicable </w:t>
      </w:r>
      <w:r w:rsidRPr="00645354">
        <w:rPr>
          <w:rFonts w:ascii="Times New Roman" w:hAnsi="Times New Roman"/>
          <w:szCs w:val="24"/>
        </w:rPr>
        <w:t>statu</w:t>
      </w:r>
      <w:r w:rsidRPr="00645354" w:rsidR="00C054DF">
        <w:rPr>
          <w:rFonts w:ascii="Times New Roman" w:hAnsi="Times New Roman"/>
          <w:szCs w:val="24"/>
        </w:rPr>
        <w:t>t</w:t>
      </w:r>
      <w:r w:rsidRPr="00645354">
        <w:rPr>
          <w:rFonts w:ascii="Times New Roman" w:hAnsi="Times New Roman"/>
          <w:szCs w:val="24"/>
        </w:rPr>
        <w:t>ory and regulatory requirements.</w:t>
      </w:r>
    </w:p>
    <w:p w:rsidR="00C054DF" w:rsidRPr="006801DC" w:rsidP="006801DC" w14:paraId="22636E12" w14:textId="77777777">
      <w:pPr>
        <w:rPr>
          <w:rFonts w:ascii="Times New Roman" w:hAnsi="Times New Roman"/>
          <w:szCs w:val="24"/>
        </w:rPr>
      </w:pPr>
    </w:p>
    <w:p w:rsidR="00C47FF3" w:rsidRPr="005A67F6" w:rsidP="005A67F6" w14:paraId="5B826980" w14:textId="77777777">
      <w:pPr>
        <w:pStyle w:val="ListParagraph"/>
        <w:numPr>
          <w:ilvl w:val="0"/>
          <w:numId w:val="5"/>
        </w:numPr>
        <w:ind w:left="360"/>
        <w:rPr>
          <w:rFonts w:ascii="Times New Roman" w:hAnsi="Times New Roman"/>
          <w:szCs w:val="24"/>
        </w:rPr>
      </w:pPr>
      <w:r w:rsidRPr="005A67F6">
        <w:rPr>
          <w:rFonts w:ascii="Times New Roman" w:hAnsi="Times New Roman"/>
          <w:szCs w:val="24"/>
          <w:u w:val="single"/>
        </w:rPr>
        <w:t>Special Circumstances Relating to the Guidelines in 5 CFR 1320.5</w:t>
      </w:r>
    </w:p>
    <w:p w:rsidR="00C47FF3" w:rsidRPr="006801DC" w:rsidP="006801DC" w14:paraId="35163FD9" w14:textId="77777777">
      <w:pPr>
        <w:rPr>
          <w:rFonts w:ascii="Times New Roman" w:hAnsi="Times New Roman"/>
          <w:szCs w:val="24"/>
        </w:rPr>
      </w:pPr>
    </w:p>
    <w:p w:rsidR="002F5F36" w:rsidP="006801DC" w14:paraId="319C3456" w14:textId="77777777">
      <w:pPr>
        <w:rPr>
          <w:rFonts w:ascii="Times New Roman" w:hAnsi="Times New Roman"/>
          <w:szCs w:val="24"/>
        </w:rPr>
      </w:pPr>
      <w:r w:rsidRPr="00814FC6">
        <w:rPr>
          <w:rFonts w:ascii="Times New Roman" w:hAnsi="Times New Roman"/>
          <w:szCs w:val="24"/>
        </w:rPr>
        <w:t>There are no special circumstances for the collection of information.</w:t>
      </w:r>
    </w:p>
    <w:p w:rsidR="00071731" w:rsidRPr="006801DC" w:rsidP="006801DC" w14:paraId="50908C2D" w14:textId="77777777">
      <w:pPr>
        <w:rPr>
          <w:rFonts w:ascii="Times New Roman" w:hAnsi="Times New Roman"/>
          <w:szCs w:val="24"/>
        </w:rPr>
      </w:pPr>
    </w:p>
    <w:p w:rsidR="00C47FF3" w:rsidRPr="00202E6C" w:rsidP="00202E6C" w14:paraId="545E7862" w14:textId="3FF2596F">
      <w:pPr>
        <w:pStyle w:val="ListParagraph"/>
        <w:numPr>
          <w:ilvl w:val="0"/>
          <w:numId w:val="5"/>
        </w:numPr>
        <w:ind w:left="360"/>
        <w:rPr>
          <w:rFonts w:ascii="Times New Roman" w:hAnsi="Times New Roman"/>
          <w:szCs w:val="24"/>
        </w:rPr>
      </w:pPr>
      <w:r w:rsidRPr="00202E6C">
        <w:rPr>
          <w:rFonts w:ascii="Times New Roman" w:hAnsi="Times New Roman"/>
          <w:szCs w:val="24"/>
          <w:u w:val="single"/>
        </w:rPr>
        <w:t>Comments in Response to the Federal Register Notice and Efforts to Consult Outside the Agency</w:t>
      </w:r>
    </w:p>
    <w:p w:rsidR="00D657A8" w:rsidP="006801DC" w14:paraId="473D1FDE" w14:textId="77777777">
      <w:pPr>
        <w:rPr>
          <w:rFonts w:ascii="Times New Roman" w:hAnsi="Times New Roman"/>
          <w:szCs w:val="24"/>
        </w:rPr>
      </w:pPr>
    </w:p>
    <w:p w:rsidR="00B86C7C" w:rsidP="006801DC" w14:paraId="0EFC6071" w14:textId="77777777">
      <w:pPr>
        <w:rPr>
          <w:rFonts w:ascii="Times New Roman" w:hAnsi="Times New Roman"/>
          <w:szCs w:val="24"/>
        </w:rPr>
      </w:pPr>
      <w:r>
        <w:rPr>
          <w:rFonts w:ascii="Times New Roman" w:hAnsi="Times New Roman"/>
          <w:szCs w:val="24"/>
        </w:rPr>
        <w:t xml:space="preserve">We </w:t>
      </w:r>
      <w:r w:rsidRPr="00814FC6" w:rsidR="00F421E9">
        <w:rPr>
          <w:rFonts w:ascii="Times New Roman" w:hAnsi="Times New Roman"/>
          <w:szCs w:val="24"/>
        </w:rPr>
        <w:t>published a 60-day notice for public comment i</w:t>
      </w:r>
      <w:r w:rsidRPr="00814FC6" w:rsidR="00D657A8">
        <w:rPr>
          <w:rFonts w:ascii="Times New Roman" w:hAnsi="Times New Roman"/>
          <w:szCs w:val="24"/>
        </w:rPr>
        <w:t xml:space="preserve">n the </w:t>
      </w:r>
      <w:r w:rsidRPr="00814FC6" w:rsidR="00D657A8">
        <w:rPr>
          <w:rFonts w:ascii="Times New Roman" w:hAnsi="Times New Roman"/>
          <w:i/>
          <w:iCs/>
          <w:szCs w:val="24"/>
        </w:rPr>
        <w:t>Federal Register</w:t>
      </w:r>
      <w:r w:rsidRPr="00814FC6" w:rsidR="00D657A8">
        <w:rPr>
          <w:rFonts w:ascii="Times New Roman" w:hAnsi="Times New Roman"/>
          <w:szCs w:val="24"/>
        </w:rPr>
        <w:t xml:space="preserve"> of </w:t>
      </w:r>
      <w:r w:rsidRPr="00814FC6" w:rsidR="00F421E9">
        <w:rPr>
          <w:rFonts w:ascii="Times New Roman" w:hAnsi="Times New Roman"/>
          <w:szCs w:val="24"/>
        </w:rPr>
        <w:t>January 22, 2024 (89 FR 3928)</w:t>
      </w:r>
      <w:r w:rsidRPr="00814FC6" w:rsidR="00D657A8">
        <w:rPr>
          <w:rFonts w:ascii="Times New Roman" w:hAnsi="Times New Roman"/>
          <w:szCs w:val="24"/>
        </w:rPr>
        <w:t xml:space="preserve"> on the proposed collection of information.</w:t>
      </w:r>
      <w:r>
        <w:rPr>
          <w:rFonts w:ascii="Times New Roman" w:hAnsi="Times New Roman"/>
          <w:szCs w:val="24"/>
        </w:rPr>
        <w:t xml:space="preserve">  Although one comment was received, it was not responsive to the four information collection topics solicited under 5 CFR 1320.8(d). </w:t>
      </w:r>
      <w:r w:rsidR="00D97F18">
        <w:rPr>
          <w:rFonts w:ascii="Times New Roman" w:hAnsi="Times New Roman"/>
          <w:szCs w:val="24"/>
        </w:rPr>
        <w:t xml:space="preserve"> A second comment was received subsequent to FDA’s submission of the ICR</w:t>
      </w:r>
      <w:r w:rsidR="006017D6">
        <w:rPr>
          <w:rFonts w:ascii="Times New Roman" w:hAnsi="Times New Roman"/>
          <w:szCs w:val="24"/>
        </w:rPr>
        <w:t xml:space="preserve"> to OMB</w:t>
      </w:r>
      <w:r w:rsidR="00D97F18">
        <w:rPr>
          <w:rFonts w:ascii="Times New Roman" w:hAnsi="Times New Roman"/>
          <w:szCs w:val="24"/>
        </w:rPr>
        <w:t xml:space="preserve">.  </w:t>
      </w:r>
      <w:r w:rsidR="00F90DB0">
        <w:rPr>
          <w:rFonts w:ascii="Times New Roman" w:hAnsi="Times New Roman"/>
          <w:szCs w:val="24"/>
        </w:rPr>
        <w:t>T</w:t>
      </w:r>
      <w:r w:rsidR="00D97F18">
        <w:rPr>
          <w:rFonts w:ascii="Times New Roman" w:hAnsi="Times New Roman"/>
          <w:szCs w:val="24"/>
        </w:rPr>
        <w:t>he comment appea</w:t>
      </w:r>
      <w:r w:rsidR="00F90DB0">
        <w:rPr>
          <w:rFonts w:ascii="Times New Roman" w:hAnsi="Times New Roman"/>
          <w:szCs w:val="24"/>
        </w:rPr>
        <w:t>rs</w:t>
      </w:r>
      <w:r w:rsidR="00D97F18">
        <w:rPr>
          <w:rFonts w:ascii="Times New Roman" w:hAnsi="Times New Roman"/>
          <w:szCs w:val="24"/>
        </w:rPr>
        <w:t xml:space="preserve"> to support</w:t>
      </w:r>
      <w:r w:rsidR="00373A9A">
        <w:rPr>
          <w:rFonts w:ascii="Times New Roman" w:hAnsi="Times New Roman"/>
          <w:szCs w:val="24"/>
        </w:rPr>
        <w:t xml:space="preserve"> the need for regulation regarding prescription drug sample distribution</w:t>
      </w:r>
      <w:r w:rsidR="00F90DB0">
        <w:rPr>
          <w:rFonts w:ascii="Times New Roman" w:hAnsi="Times New Roman"/>
          <w:szCs w:val="24"/>
        </w:rPr>
        <w:t xml:space="preserve"> and suggests that FDA </w:t>
      </w:r>
      <w:r w:rsidR="004223DC">
        <w:rPr>
          <w:rFonts w:ascii="Times New Roman" w:hAnsi="Times New Roman"/>
          <w:szCs w:val="24"/>
        </w:rPr>
        <w:t>find alternative means for implementation</w:t>
      </w:r>
      <w:r w:rsidR="003A2067">
        <w:rPr>
          <w:rFonts w:ascii="Times New Roman" w:hAnsi="Times New Roman"/>
          <w:szCs w:val="24"/>
        </w:rPr>
        <w:t xml:space="preserve"> of current requirements,</w:t>
      </w:r>
      <w:r w:rsidR="004223DC">
        <w:rPr>
          <w:rFonts w:ascii="Times New Roman" w:hAnsi="Times New Roman"/>
          <w:szCs w:val="24"/>
        </w:rPr>
        <w:t xml:space="preserve"> </w:t>
      </w:r>
      <w:r w:rsidR="00E04FD1">
        <w:rPr>
          <w:rFonts w:ascii="Times New Roman" w:hAnsi="Times New Roman"/>
          <w:szCs w:val="24"/>
        </w:rPr>
        <w:t>but offers no specific examples</w:t>
      </w:r>
      <w:r w:rsidR="00A940D4">
        <w:rPr>
          <w:rFonts w:ascii="Times New Roman" w:hAnsi="Times New Roman"/>
          <w:szCs w:val="24"/>
        </w:rPr>
        <w:t xml:space="preserve">.  </w:t>
      </w:r>
      <w:r w:rsidR="00852921">
        <w:rPr>
          <w:rFonts w:ascii="Times New Roman" w:hAnsi="Times New Roman"/>
          <w:szCs w:val="24"/>
        </w:rPr>
        <w:t xml:space="preserve">The comment </w:t>
      </w:r>
      <w:r w:rsidR="00896FFF">
        <w:rPr>
          <w:rFonts w:ascii="Times New Roman" w:hAnsi="Times New Roman"/>
          <w:szCs w:val="24"/>
        </w:rPr>
        <w:t xml:space="preserve">also </w:t>
      </w:r>
      <w:r w:rsidR="00852921">
        <w:rPr>
          <w:rFonts w:ascii="Times New Roman" w:hAnsi="Times New Roman"/>
          <w:szCs w:val="24"/>
        </w:rPr>
        <w:t>refers to “</w:t>
      </w:r>
      <w:r w:rsidRPr="00797E5C" w:rsidR="00852921">
        <w:rPr>
          <w:rFonts w:ascii="Times New Roman" w:hAnsi="Times New Roman"/>
          <w:i/>
          <w:iCs/>
          <w:szCs w:val="24"/>
        </w:rPr>
        <w:t>proposed</w:t>
      </w:r>
      <w:r w:rsidR="00852921">
        <w:rPr>
          <w:rFonts w:ascii="Times New Roman" w:hAnsi="Times New Roman"/>
          <w:szCs w:val="24"/>
        </w:rPr>
        <w:t>” regulations</w:t>
      </w:r>
      <w:r w:rsidR="00926CF2">
        <w:rPr>
          <w:rFonts w:ascii="Times New Roman" w:hAnsi="Times New Roman"/>
          <w:szCs w:val="24"/>
        </w:rPr>
        <w:t>, and so w</w:t>
      </w:r>
      <w:r w:rsidR="004C0F55">
        <w:rPr>
          <w:rFonts w:ascii="Times New Roman" w:hAnsi="Times New Roman"/>
          <w:szCs w:val="24"/>
        </w:rPr>
        <w:t>e are clarifying</w:t>
      </w:r>
      <w:r w:rsidR="00926CF2">
        <w:rPr>
          <w:rFonts w:ascii="Times New Roman" w:hAnsi="Times New Roman"/>
          <w:szCs w:val="24"/>
        </w:rPr>
        <w:t xml:space="preserve"> </w:t>
      </w:r>
      <w:r w:rsidR="00852921">
        <w:rPr>
          <w:rFonts w:ascii="Times New Roman" w:hAnsi="Times New Roman"/>
          <w:szCs w:val="24"/>
        </w:rPr>
        <w:t xml:space="preserve">that the information collection is intended to cover the scope of </w:t>
      </w:r>
      <w:r w:rsidR="004C0F55">
        <w:rPr>
          <w:rFonts w:ascii="Times New Roman" w:hAnsi="Times New Roman"/>
          <w:szCs w:val="24"/>
        </w:rPr>
        <w:t xml:space="preserve">activity as </w:t>
      </w:r>
      <w:r w:rsidR="00B42492">
        <w:rPr>
          <w:rFonts w:ascii="Times New Roman" w:hAnsi="Times New Roman"/>
          <w:szCs w:val="24"/>
        </w:rPr>
        <w:t xml:space="preserve">currently </w:t>
      </w:r>
      <w:r w:rsidR="00852921">
        <w:rPr>
          <w:rFonts w:ascii="Times New Roman" w:hAnsi="Times New Roman"/>
          <w:szCs w:val="24"/>
        </w:rPr>
        <w:t xml:space="preserve">set forth in 21 CFR 203.1:  </w:t>
      </w:r>
      <w:r w:rsidRPr="00797E5C" w:rsidR="00640507">
        <w:rPr>
          <w:rFonts w:ascii="Times New Roman" w:hAnsi="Times New Roman"/>
          <w:i/>
          <w:iCs/>
          <w:szCs w:val="24"/>
        </w:rPr>
        <w:t>procedures and requirements pertaining to the reimportation and wholesale distribution of prescription drugs, including both bulk drug substances and finished dosage forms; the sale, purchase, or trade of (or the offer to sell, purchase, or trade) prescription drugs, including bulk drug substances, that were purchased by hospitals or health care entities, or donated to charitable organizations; and the distribution of prescription drug samples.</w:t>
      </w:r>
      <w:r w:rsidR="00896FFF">
        <w:rPr>
          <w:rFonts w:ascii="Times New Roman" w:hAnsi="Times New Roman"/>
          <w:szCs w:val="24"/>
        </w:rPr>
        <w:t xml:space="preserve">  </w:t>
      </w:r>
      <w:r w:rsidR="00A940D4">
        <w:rPr>
          <w:rFonts w:ascii="Times New Roman" w:hAnsi="Times New Roman"/>
          <w:szCs w:val="24"/>
        </w:rPr>
        <w:t xml:space="preserve">We appreciate this comment, </w:t>
      </w:r>
      <w:r w:rsidR="00AA7AB7">
        <w:rPr>
          <w:rFonts w:ascii="Times New Roman" w:hAnsi="Times New Roman"/>
          <w:szCs w:val="24"/>
        </w:rPr>
        <w:t xml:space="preserve">but </w:t>
      </w:r>
      <w:r w:rsidR="00447F03">
        <w:rPr>
          <w:rFonts w:ascii="Times New Roman" w:hAnsi="Times New Roman"/>
          <w:szCs w:val="24"/>
        </w:rPr>
        <w:t xml:space="preserve">have made no changes to our current estimates.  </w:t>
      </w:r>
      <w:r w:rsidR="00F45D6A">
        <w:rPr>
          <w:rFonts w:ascii="Times New Roman" w:hAnsi="Times New Roman"/>
          <w:szCs w:val="24"/>
        </w:rPr>
        <w:t>W</w:t>
      </w:r>
      <w:r w:rsidR="00447F03">
        <w:rPr>
          <w:rFonts w:ascii="Times New Roman" w:hAnsi="Times New Roman"/>
          <w:szCs w:val="24"/>
        </w:rPr>
        <w:t xml:space="preserve">e continue to evaluate </w:t>
      </w:r>
      <w:r w:rsidR="005F7C9F">
        <w:rPr>
          <w:rFonts w:ascii="Times New Roman" w:hAnsi="Times New Roman"/>
          <w:szCs w:val="24"/>
        </w:rPr>
        <w:t>efficiencies</w:t>
      </w:r>
      <w:r w:rsidR="00BD14F3">
        <w:rPr>
          <w:rFonts w:ascii="Times New Roman" w:hAnsi="Times New Roman"/>
          <w:szCs w:val="24"/>
        </w:rPr>
        <w:t xml:space="preserve"> </w:t>
      </w:r>
      <w:r w:rsidR="00AE7871">
        <w:rPr>
          <w:rFonts w:ascii="Times New Roman" w:hAnsi="Times New Roman"/>
          <w:szCs w:val="24"/>
        </w:rPr>
        <w:t xml:space="preserve">for </w:t>
      </w:r>
      <w:r w:rsidR="00B42492">
        <w:rPr>
          <w:rFonts w:ascii="Times New Roman" w:hAnsi="Times New Roman"/>
          <w:szCs w:val="24"/>
        </w:rPr>
        <w:t xml:space="preserve">the </w:t>
      </w:r>
      <w:r w:rsidR="00BD14F3">
        <w:rPr>
          <w:rFonts w:ascii="Times New Roman" w:hAnsi="Times New Roman"/>
          <w:szCs w:val="24"/>
        </w:rPr>
        <w:t>in</w:t>
      </w:r>
      <w:r w:rsidR="00157EF7">
        <w:rPr>
          <w:rFonts w:ascii="Times New Roman" w:hAnsi="Times New Roman"/>
          <w:szCs w:val="24"/>
        </w:rPr>
        <w:t>formation collection</w:t>
      </w:r>
      <w:r w:rsidR="00FD0C2A">
        <w:rPr>
          <w:rFonts w:ascii="Times New Roman" w:hAnsi="Times New Roman"/>
          <w:szCs w:val="24"/>
        </w:rPr>
        <w:t xml:space="preserve"> </w:t>
      </w:r>
      <w:r w:rsidR="00AE7871">
        <w:rPr>
          <w:rFonts w:ascii="Times New Roman" w:hAnsi="Times New Roman"/>
          <w:szCs w:val="24"/>
        </w:rPr>
        <w:t xml:space="preserve">that would </w:t>
      </w:r>
      <w:r w:rsidR="00BD14F3">
        <w:rPr>
          <w:rFonts w:ascii="Times New Roman" w:hAnsi="Times New Roman"/>
          <w:szCs w:val="24"/>
        </w:rPr>
        <w:t xml:space="preserve">maximize our limited resources while imposing </w:t>
      </w:r>
      <w:r w:rsidR="00AA3ECD">
        <w:rPr>
          <w:rFonts w:ascii="Times New Roman" w:hAnsi="Times New Roman"/>
          <w:szCs w:val="24"/>
        </w:rPr>
        <w:t xml:space="preserve">least </w:t>
      </w:r>
      <w:r w:rsidR="00732538">
        <w:rPr>
          <w:rFonts w:ascii="Times New Roman" w:hAnsi="Times New Roman"/>
          <w:szCs w:val="24"/>
        </w:rPr>
        <w:t xml:space="preserve">burdensome </w:t>
      </w:r>
      <w:r w:rsidR="00AA3ECD">
        <w:rPr>
          <w:rFonts w:ascii="Times New Roman" w:hAnsi="Times New Roman"/>
          <w:szCs w:val="24"/>
        </w:rPr>
        <w:t xml:space="preserve">practices </w:t>
      </w:r>
      <w:r w:rsidR="00732538">
        <w:rPr>
          <w:rFonts w:ascii="Times New Roman" w:hAnsi="Times New Roman"/>
          <w:szCs w:val="24"/>
        </w:rPr>
        <w:t>on respondents</w:t>
      </w:r>
      <w:r w:rsidR="00AE7871">
        <w:rPr>
          <w:rFonts w:ascii="Times New Roman" w:hAnsi="Times New Roman"/>
          <w:szCs w:val="24"/>
        </w:rPr>
        <w:t xml:space="preserve">.  </w:t>
      </w:r>
      <w:r w:rsidR="00F06433">
        <w:rPr>
          <w:rFonts w:ascii="Times New Roman" w:hAnsi="Times New Roman"/>
          <w:szCs w:val="24"/>
        </w:rPr>
        <w:t>In 2019 FDA e</w:t>
      </w:r>
      <w:r w:rsidR="008D0417">
        <w:rPr>
          <w:rFonts w:ascii="Times New Roman" w:hAnsi="Times New Roman"/>
          <w:szCs w:val="24"/>
        </w:rPr>
        <w:t xml:space="preserve">stablished a Data Modernization Action Plan, as posted to our website at </w:t>
      </w:r>
      <w:hyperlink r:id="rId6" w:history="1">
        <w:r w:rsidRPr="00B54214" w:rsidR="00D94719">
          <w:rPr>
            <w:rStyle w:val="Hyperlink"/>
            <w:rFonts w:ascii="Times New Roman" w:hAnsi="Times New Roman"/>
            <w:szCs w:val="24"/>
          </w:rPr>
          <w:t>https://www.fda.gov/about-fda/reports/data-modernization-action-plan</w:t>
        </w:r>
      </w:hyperlink>
      <w:r w:rsidR="00D94719">
        <w:rPr>
          <w:rFonts w:ascii="Times New Roman" w:hAnsi="Times New Roman"/>
          <w:szCs w:val="24"/>
        </w:rPr>
        <w:t>, which provides information regarding these ongoing efforts</w:t>
      </w:r>
      <w:r w:rsidR="00FA318F">
        <w:rPr>
          <w:rFonts w:ascii="Times New Roman" w:hAnsi="Times New Roman"/>
          <w:szCs w:val="24"/>
        </w:rPr>
        <w:t xml:space="preserve"> across the agency.</w:t>
      </w:r>
      <w:r w:rsidR="00D94719">
        <w:rPr>
          <w:rFonts w:ascii="Times New Roman" w:hAnsi="Times New Roman"/>
          <w:szCs w:val="24"/>
        </w:rPr>
        <w:t xml:space="preserve"> </w:t>
      </w:r>
      <w:r w:rsidR="008D0417">
        <w:rPr>
          <w:rFonts w:ascii="Times New Roman" w:hAnsi="Times New Roman"/>
          <w:szCs w:val="24"/>
        </w:rPr>
        <w:t xml:space="preserve"> </w:t>
      </w:r>
    </w:p>
    <w:p w:rsidR="00D657A8" w:rsidP="006801DC" w14:paraId="030C8BE6" w14:textId="77777777">
      <w:pPr>
        <w:rPr>
          <w:rFonts w:ascii="Times New Roman" w:hAnsi="Times New Roman"/>
          <w:szCs w:val="24"/>
        </w:rPr>
      </w:pPr>
    </w:p>
    <w:p w:rsidR="00C47FF3" w:rsidRPr="004350C3" w:rsidP="001154B0" w14:paraId="135F968D" w14:textId="77777777">
      <w:pPr>
        <w:pStyle w:val="ListParagraph"/>
        <w:numPr>
          <w:ilvl w:val="0"/>
          <w:numId w:val="5"/>
        </w:numPr>
        <w:ind w:left="360"/>
        <w:rPr>
          <w:rFonts w:ascii="Times New Roman" w:hAnsi="Times New Roman"/>
          <w:szCs w:val="24"/>
        </w:rPr>
      </w:pPr>
      <w:r w:rsidRPr="004350C3">
        <w:rPr>
          <w:rFonts w:ascii="Times New Roman" w:hAnsi="Times New Roman"/>
          <w:szCs w:val="24"/>
          <w:u w:val="single"/>
        </w:rPr>
        <w:t>Explana</w:t>
      </w:r>
      <w:r w:rsidRPr="004350C3" w:rsidR="00B86C7C">
        <w:rPr>
          <w:rFonts w:ascii="Times New Roman" w:hAnsi="Times New Roman"/>
          <w:szCs w:val="24"/>
          <w:u w:val="single"/>
        </w:rPr>
        <w:t xml:space="preserve">tion of Any Payment or Gift to </w:t>
      </w:r>
      <w:r w:rsidRPr="004350C3">
        <w:rPr>
          <w:rFonts w:ascii="Times New Roman" w:hAnsi="Times New Roman"/>
          <w:szCs w:val="24"/>
          <w:u w:val="single"/>
        </w:rPr>
        <w:t>Respondents</w:t>
      </w:r>
    </w:p>
    <w:p w:rsidR="00C47FF3" w:rsidRPr="006801DC" w:rsidP="006801DC" w14:paraId="551F6834" w14:textId="77777777">
      <w:pPr>
        <w:rPr>
          <w:rFonts w:ascii="Times New Roman" w:hAnsi="Times New Roman"/>
          <w:szCs w:val="24"/>
        </w:rPr>
      </w:pPr>
    </w:p>
    <w:p w:rsidR="00B86C7C" w:rsidP="006801DC" w14:paraId="30ED8096" w14:textId="77777777">
      <w:pPr>
        <w:rPr>
          <w:rFonts w:ascii="Times New Roman" w:hAnsi="Times New Roman"/>
          <w:szCs w:val="24"/>
        </w:rPr>
      </w:pPr>
      <w:r w:rsidRPr="00743B16">
        <w:rPr>
          <w:rFonts w:ascii="Times New Roman" w:hAnsi="Times New Roman"/>
          <w:szCs w:val="24"/>
        </w:rPr>
        <w:t>There are no incentives, payments</w:t>
      </w:r>
      <w:r w:rsidRPr="00743B16" w:rsidR="007F5ADD">
        <w:rPr>
          <w:rFonts w:ascii="Times New Roman" w:hAnsi="Times New Roman"/>
          <w:szCs w:val="24"/>
        </w:rPr>
        <w:t>,</w:t>
      </w:r>
      <w:r w:rsidRPr="00743B16">
        <w:rPr>
          <w:rFonts w:ascii="Times New Roman" w:hAnsi="Times New Roman"/>
          <w:szCs w:val="24"/>
        </w:rPr>
        <w:t xml:space="preserve"> or gifts associated with this information collection.</w:t>
      </w:r>
    </w:p>
    <w:p w:rsidR="005963B6" w:rsidP="006801DC" w14:paraId="226AD156" w14:textId="77777777">
      <w:pPr>
        <w:rPr>
          <w:rFonts w:ascii="Times New Roman" w:hAnsi="Times New Roman"/>
          <w:szCs w:val="24"/>
        </w:rPr>
      </w:pPr>
    </w:p>
    <w:p w:rsidR="00C47FF3" w:rsidRPr="004350C3" w:rsidP="001154B0" w14:paraId="76ED97B9" w14:textId="77777777">
      <w:pPr>
        <w:pStyle w:val="ListParagraph"/>
        <w:numPr>
          <w:ilvl w:val="0"/>
          <w:numId w:val="5"/>
        </w:numPr>
        <w:ind w:left="360"/>
        <w:rPr>
          <w:rFonts w:ascii="Times New Roman" w:hAnsi="Times New Roman"/>
          <w:szCs w:val="24"/>
        </w:rPr>
      </w:pPr>
      <w:r w:rsidRPr="004350C3">
        <w:rPr>
          <w:rFonts w:ascii="Times New Roman" w:hAnsi="Times New Roman"/>
          <w:szCs w:val="24"/>
          <w:u w:val="single"/>
        </w:rPr>
        <w:t>Assurance of Confidentiality Provided to Respondents</w:t>
      </w:r>
    </w:p>
    <w:p w:rsidR="00C839C5" w:rsidRPr="006801DC" w:rsidP="006801DC" w14:paraId="13E278FD" w14:textId="77777777">
      <w:pPr>
        <w:rPr>
          <w:rFonts w:ascii="Times New Roman" w:hAnsi="Times New Roman"/>
          <w:szCs w:val="24"/>
        </w:rPr>
      </w:pPr>
    </w:p>
    <w:p w:rsidR="005126D8" w:rsidRPr="005126D8" w:rsidP="005126D8" w14:paraId="72484139" w14:textId="77777777">
      <w:pPr>
        <w:autoSpaceDE w:val="0"/>
        <w:autoSpaceDN w:val="0"/>
        <w:rPr>
          <w:rFonts w:ascii="Times New Roman" w:hAnsi="Times New Roman"/>
          <w:b/>
          <w:bCs/>
          <w:snapToGrid/>
          <w:szCs w:val="24"/>
        </w:rPr>
      </w:pPr>
      <w:r w:rsidRPr="005126D8">
        <w:rPr>
          <w:rFonts w:ascii="Times New Roman" w:hAnsi="Times New Roman"/>
          <w:b/>
          <w:bCs/>
          <w:snapToGrid/>
          <w:szCs w:val="24"/>
        </w:rPr>
        <w:t>Consistent with 5 CFR 1320.5(d)(2)(vii), data will be kept private to the extent allowed by law:</w:t>
      </w:r>
    </w:p>
    <w:p w:rsidR="005126D8" w:rsidP="00B00D04" w14:paraId="58FB1434" w14:textId="77777777">
      <w:pPr>
        <w:rPr>
          <w:rFonts w:ascii="Times New Roman" w:hAnsi="Times New Roman"/>
          <w:szCs w:val="24"/>
        </w:rPr>
      </w:pPr>
    </w:p>
    <w:p w:rsidR="005126D8" w:rsidRPr="005126D8" w:rsidP="00B00D04" w14:paraId="3342E955" w14:textId="77777777">
      <w:pPr>
        <w:rPr>
          <w:rFonts w:ascii="Times New Roman" w:hAnsi="Times New Roman"/>
          <w:i/>
          <w:iCs/>
          <w:szCs w:val="24"/>
        </w:rPr>
      </w:pPr>
      <w:r w:rsidRPr="005126D8">
        <w:rPr>
          <w:rFonts w:ascii="Times New Roman" w:hAnsi="Times New Roman"/>
          <w:i/>
          <w:iCs/>
          <w:szCs w:val="24"/>
        </w:rPr>
        <w:t>The Privacy Act of 1974</w:t>
      </w:r>
    </w:p>
    <w:p w:rsidR="005126D8" w:rsidP="00B00D04" w14:paraId="28FE1E93" w14:textId="77777777">
      <w:pPr>
        <w:rPr>
          <w:rFonts w:ascii="Times New Roman" w:hAnsi="Times New Roman"/>
          <w:szCs w:val="24"/>
        </w:rPr>
      </w:pPr>
    </w:p>
    <w:p w:rsidR="00B00D04" w:rsidRPr="00B00D04" w:rsidP="00B00D04" w14:paraId="37E7A5D3" w14:textId="77777777">
      <w:pPr>
        <w:rPr>
          <w:rFonts w:ascii="Times New Roman" w:hAnsi="Times New Roman"/>
          <w:szCs w:val="24"/>
        </w:rPr>
      </w:pPr>
      <w:r w:rsidRPr="00B00D04">
        <w:rPr>
          <w:rFonts w:ascii="Times New Roman" w:hAnsi="Times New Roman"/>
          <w:szCs w:val="24"/>
        </w:rPr>
        <w:t>In preparing this</w:t>
      </w:r>
      <w:r w:rsidR="005126D8">
        <w:rPr>
          <w:rFonts w:ascii="Times New Roman" w:hAnsi="Times New Roman"/>
          <w:szCs w:val="24"/>
        </w:rPr>
        <w:t xml:space="preserve"> s</w:t>
      </w:r>
      <w:r w:rsidRPr="00B00D04">
        <w:rPr>
          <w:rFonts w:ascii="Times New Roman" w:hAnsi="Times New Roman"/>
          <w:szCs w:val="24"/>
        </w:rPr>
        <w:t xml:space="preserve">upporting </w:t>
      </w:r>
      <w:r w:rsidR="005126D8">
        <w:rPr>
          <w:rFonts w:ascii="Times New Roman" w:hAnsi="Times New Roman"/>
          <w:szCs w:val="24"/>
        </w:rPr>
        <w:t>s</w:t>
      </w:r>
      <w:r w:rsidRPr="00B00D04">
        <w:rPr>
          <w:rFonts w:ascii="Times New Roman" w:hAnsi="Times New Roman"/>
          <w:szCs w:val="24"/>
        </w:rPr>
        <w:t>tatement, we consulted our Privacy Office to ensure appropriate identification and handling of information collected.</w:t>
      </w:r>
      <w:r w:rsidR="005126D8">
        <w:rPr>
          <w:rFonts w:ascii="Times New Roman" w:hAnsi="Times New Roman"/>
          <w:szCs w:val="24"/>
        </w:rPr>
        <w:t xml:space="preserve">  Although t</w:t>
      </w:r>
      <w:r w:rsidRPr="00B00D04">
        <w:rPr>
          <w:rFonts w:ascii="Times New Roman" w:hAnsi="Times New Roman"/>
          <w:szCs w:val="24"/>
        </w:rPr>
        <w:t>his ICR collects personally identifiable information (PII)</w:t>
      </w:r>
      <w:r w:rsidR="005126D8">
        <w:rPr>
          <w:rFonts w:ascii="Times New Roman" w:hAnsi="Times New Roman"/>
          <w:szCs w:val="24"/>
        </w:rPr>
        <w:t xml:space="preserve">, it </w:t>
      </w:r>
      <w:r w:rsidRPr="00B00D04">
        <w:rPr>
          <w:rFonts w:ascii="Times New Roman" w:hAnsi="Times New Roman"/>
          <w:szCs w:val="24"/>
        </w:rPr>
        <w:t>is collected in the context of the subject individuals’ professional capacity and the FDA-related work perform</w:t>
      </w:r>
      <w:r w:rsidR="005126D8">
        <w:rPr>
          <w:rFonts w:ascii="Times New Roman" w:hAnsi="Times New Roman"/>
          <w:szCs w:val="24"/>
        </w:rPr>
        <w:t>ed</w:t>
      </w:r>
      <w:r w:rsidRPr="00B00D04">
        <w:rPr>
          <w:rFonts w:ascii="Times New Roman" w:hAnsi="Times New Roman"/>
          <w:szCs w:val="24"/>
        </w:rPr>
        <w:t xml:space="preserve"> for their employer (e.g., point of contact at a regulated entity).  The PII submitted is </w:t>
      </w:r>
      <w:r w:rsidRPr="00D85A4B">
        <w:rPr>
          <w:rFonts w:ascii="Times New Roman" w:hAnsi="Times New Roman"/>
          <w:i/>
          <w:iCs/>
          <w:szCs w:val="24"/>
        </w:rPr>
        <w:t>name</w:t>
      </w:r>
      <w:r w:rsidRPr="00B00D04">
        <w:rPr>
          <w:rFonts w:ascii="Times New Roman" w:hAnsi="Times New Roman"/>
          <w:szCs w:val="24"/>
        </w:rPr>
        <w:t xml:space="preserve">, </w:t>
      </w:r>
      <w:r w:rsidRPr="00D85A4B">
        <w:rPr>
          <w:rFonts w:ascii="Times New Roman" w:hAnsi="Times New Roman"/>
          <w:i/>
          <w:iCs/>
          <w:szCs w:val="24"/>
        </w:rPr>
        <w:t>email address</w:t>
      </w:r>
      <w:r w:rsidRPr="00B00D04">
        <w:rPr>
          <w:rFonts w:ascii="Times New Roman" w:hAnsi="Times New Roman"/>
          <w:szCs w:val="24"/>
        </w:rPr>
        <w:t xml:space="preserve">, and </w:t>
      </w:r>
      <w:r w:rsidRPr="00D85A4B">
        <w:rPr>
          <w:rFonts w:ascii="Times New Roman" w:hAnsi="Times New Roman"/>
          <w:i/>
          <w:iCs/>
          <w:szCs w:val="24"/>
        </w:rPr>
        <w:t>telephone number</w:t>
      </w:r>
      <w:r w:rsidRPr="00B00D04">
        <w:rPr>
          <w:rFonts w:ascii="Times New Roman" w:hAnsi="Times New Roman"/>
          <w:szCs w:val="24"/>
        </w:rPr>
        <w:t>.</w:t>
      </w:r>
      <w:r w:rsidR="005126D8">
        <w:rPr>
          <w:rFonts w:ascii="Times New Roman" w:hAnsi="Times New Roman"/>
          <w:szCs w:val="24"/>
        </w:rPr>
        <w:t xml:space="preserve">  We have </w:t>
      </w:r>
      <w:r w:rsidRPr="00B00D04">
        <w:rPr>
          <w:rFonts w:ascii="Times New Roman" w:hAnsi="Times New Roman"/>
          <w:szCs w:val="24"/>
        </w:rPr>
        <w:t xml:space="preserve">determined that although PII is collected, the collection is not subject to the Privacy Act of 1974 and the particular notice and other requirements of the </w:t>
      </w:r>
      <w:r w:rsidR="005126D8">
        <w:rPr>
          <w:rFonts w:ascii="Times New Roman" w:hAnsi="Times New Roman"/>
          <w:szCs w:val="24"/>
        </w:rPr>
        <w:t xml:space="preserve">Privacy </w:t>
      </w:r>
      <w:r w:rsidRPr="00B00D04">
        <w:rPr>
          <w:rFonts w:ascii="Times New Roman" w:hAnsi="Times New Roman"/>
          <w:szCs w:val="24"/>
        </w:rPr>
        <w:t>Act do not apply. Specifically, the contractor or FDA does not use name or any other personal identifier to retrieve records from the information collected.</w:t>
      </w:r>
      <w:r w:rsidR="005126D8">
        <w:rPr>
          <w:rFonts w:ascii="Times New Roman" w:hAnsi="Times New Roman"/>
          <w:szCs w:val="24"/>
        </w:rPr>
        <w:t xml:space="preserve">  </w:t>
      </w:r>
      <w:r w:rsidRPr="00B00D04">
        <w:rPr>
          <w:rFonts w:ascii="Times New Roman" w:hAnsi="Times New Roman"/>
          <w:szCs w:val="24"/>
        </w:rPr>
        <w:t>Through appropriate webpage design, FDA limited submission fields and minimized the PII collected to protect the privacy of the individuals.</w:t>
      </w:r>
    </w:p>
    <w:p w:rsidR="00B00D04" w:rsidRPr="00B00D04" w:rsidP="00B00D04" w14:paraId="4CD160E0" w14:textId="77777777">
      <w:pPr>
        <w:rPr>
          <w:rFonts w:ascii="Times New Roman" w:hAnsi="Times New Roman"/>
          <w:szCs w:val="24"/>
        </w:rPr>
      </w:pPr>
    </w:p>
    <w:p w:rsidR="005126D8" w:rsidRPr="005126D8" w:rsidP="00B00D04" w14:paraId="177E4752" w14:textId="6CE29DDD">
      <w:pPr>
        <w:rPr>
          <w:rFonts w:ascii="Times New Roman" w:hAnsi="Times New Roman"/>
          <w:i/>
          <w:iCs/>
          <w:szCs w:val="24"/>
        </w:rPr>
      </w:pPr>
      <w:r w:rsidRPr="005126D8">
        <w:rPr>
          <w:rFonts w:ascii="Times New Roman" w:hAnsi="Times New Roman"/>
          <w:i/>
          <w:iCs/>
          <w:szCs w:val="24"/>
        </w:rPr>
        <w:t>The Freedom of Information Act (FOIA)</w:t>
      </w:r>
    </w:p>
    <w:p w:rsidR="005126D8" w:rsidP="00B00D04" w14:paraId="6282D560" w14:textId="77777777">
      <w:pPr>
        <w:rPr>
          <w:rFonts w:ascii="Times New Roman" w:hAnsi="Times New Roman"/>
          <w:szCs w:val="24"/>
        </w:rPr>
      </w:pPr>
    </w:p>
    <w:p w:rsidR="00B00D04" w:rsidRPr="00B00D04" w:rsidP="00B00D04" w14:paraId="5040B3BE" w14:textId="77777777">
      <w:pPr>
        <w:rPr>
          <w:rFonts w:ascii="Times New Roman" w:hAnsi="Times New Roman"/>
          <w:szCs w:val="24"/>
        </w:rPr>
      </w:pPr>
      <w:r w:rsidRPr="00B00D04">
        <w:rPr>
          <w:rFonts w:ascii="Times New Roman" w:hAnsi="Times New Roman"/>
          <w:szCs w:val="24"/>
        </w:rPr>
        <w:t>Under</w:t>
      </w:r>
      <w:r w:rsidR="005126D8">
        <w:rPr>
          <w:rFonts w:ascii="Times New Roman" w:hAnsi="Times New Roman"/>
          <w:szCs w:val="24"/>
        </w:rPr>
        <w:t xml:space="preserve"> </w:t>
      </w:r>
      <w:r w:rsidRPr="00B00D04">
        <w:rPr>
          <w:rFonts w:ascii="Times New Roman" w:hAnsi="Times New Roman"/>
          <w:szCs w:val="24"/>
        </w:rPr>
        <w:t>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163698" w:rsidP="006801DC" w14:paraId="5D3C6121" w14:textId="77777777">
      <w:pPr>
        <w:rPr>
          <w:rFonts w:ascii="Times New Roman" w:hAnsi="Times New Roman"/>
          <w:szCs w:val="24"/>
        </w:rPr>
      </w:pPr>
    </w:p>
    <w:p w:rsidR="00C47FF3" w:rsidRPr="001154B0" w:rsidP="001154B0" w14:paraId="70671869" w14:textId="77777777">
      <w:pPr>
        <w:pStyle w:val="ListParagraph"/>
        <w:numPr>
          <w:ilvl w:val="0"/>
          <w:numId w:val="5"/>
        </w:numPr>
        <w:ind w:left="360"/>
        <w:rPr>
          <w:rFonts w:ascii="Times New Roman" w:hAnsi="Times New Roman"/>
          <w:szCs w:val="24"/>
          <w:u w:val="single"/>
        </w:rPr>
      </w:pPr>
      <w:r w:rsidRPr="001154B0">
        <w:rPr>
          <w:rFonts w:ascii="Times New Roman" w:hAnsi="Times New Roman"/>
          <w:szCs w:val="24"/>
          <w:u w:val="single"/>
        </w:rPr>
        <w:t>Justification for Sensitive Questions</w:t>
      </w:r>
    </w:p>
    <w:p w:rsidR="005017FC" w:rsidRPr="006801DC" w:rsidP="006801DC" w14:paraId="3E2063CA" w14:textId="77777777">
      <w:pPr>
        <w:rPr>
          <w:rFonts w:ascii="Times New Roman" w:hAnsi="Times New Roman"/>
          <w:szCs w:val="24"/>
        </w:rPr>
      </w:pPr>
    </w:p>
    <w:p w:rsidR="00327FB1" w:rsidP="006801DC" w14:paraId="7BA108BB" w14:textId="77777777">
      <w:pPr>
        <w:rPr>
          <w:rFonts w:ascii="Times New Roman" w:hAnsi="Times New Roman"/>
          <w:szCs w:val="24"/>
        </w:rPr>
      </w:pPr>
      <w:r w:rsidRPr="00743B16">
        <w:rPr>
          <w:rFonts w:ascii="Times New Roman" w:hAnsi="Times New Roman"/>
          <w:szCs w:val="24"/>
        </w:rPr>
        <w:t>The collection of information does not involve sensitive questions.</w:t>
      </w:r>
    </w:p>
    <w:p w:rsidR="009428FF" w:rsidRPr="006801DC" w:rsidP="006801DC" w14:paraId="6BD8F1A8" w14:textId="77777777">
      <w:pPr>
        <w:rPr>
          <w:rFonts w:ascii="Times New Roman" w:hAnsi="Times New Roman"/>
          <w:szCs w:val="24"/>
        </w:rPr>
      </w:pPr>
    </w:p>
    <w:p w:rsidR="00C47FF3" w:rsidRPr="0013463B" w:rsidP="0013463B" w14:paraId="7CBBA074" w14:textId="77777777">
      <w:pPr>
        <w:pStyle w:val="ListParagraph"/>
        <w:numPr>
          <w:ilvl w:val="0"/>
          <w:numId w:val="5"/>
        </w:numPr>
        <w:ind w:left="360"/>
        <w:rPr>
          <w:rFonts w:ascii="Times New Roman" w:hAnsi="Times New Roman"/>
          <w:szCs w:val="24"/>
        </w:rPr>
      </w:pPr>
      <w:r w:rsidRPr="0013463B">
        <w:rPr>
          <w:rFonts w:ascii="Times New Roman" w:hAnsi="Times New Roman"/>
          <w:szCs w:val="24"/>
          <w:u w:val="single"/>
        </w:rPr>
        <w:t>Estimates of Annualized Hour Burden</w:t>
      </w:r>
    </w:p>
    <w:p w:rsidR="002D29D3" w:rsidRPr="006801DC" w:rsidP="006801DC" w14:paraId="45078E08" w14:textId="77777777">
      <w:pPr>
        <w:rPr>
          <w:rFonts w:ascii="Times New Roman" w:hAnsi="Times New Roman"/>
          <w:szCs w:val="24"/>
        </w:rPr>
      </w:pPr>
    </w:p>
    <w:p w:rsidR="00D85A4B" w:rsidP="00D85A4B" w14:paraId="4DE0A78A" w14:textId="77777777">
      <w:pPr>
        <w:rPr>
          <w:rFonts w:ascii="Times New Roman" w:hAnsi="Times New Roman"/>
          <w:szCs w:val="24"/>
        </w:rPr>
      </w:pPr>
      <w:r w:rsidRPr="006801DC">
        <w:rPr>
          <w:rFonts w:ascii="Times New Roman" w:hAnsi="Times New Roman"/>
          <w:szCs w:val="24"/>
        </w:rPr>
        <w:tab/>
      </w:r>
      <w:r w:rsidRPr="008205C8">
        <w:rPr>
          <w:rFonts w:ascii="Times New Roman" w:hAnsi="Times New Roman"/>
          <w:i/>
          <w:szCs w:val="24"/>
        </w:rPr>
        <w:t>Respondents</w:t>
      </w:r>
      <w:r w:rsidRPr="008205C8">
        <w:rPr>
          <w:rFonts w:ascii="Times New Roman" w:hAnsi="Times New Roman"/>
          <w:szCs w:val="24"/>
        </w:rPr>
        <w:t>:  Respondents to the information collection are persons or entities engaged in prescription drug marketing as described in FDA regulations at part 203.</w:t>
      </w:r>
    </w:p>
    <w:p w:rsidR="00D85A4B" w:rsidP="009428FF" w14:paraId="0C76D0D8" w14:textId="41646128">
      <w:pPr>
        <w:rPr>
          <w:rFonts w:ascii="Times New Roman" w:hAnsi="Times New Roman"/>
          <w:szCs w:val="24"/>
        </w:rPr>
      </w:pPr>
    </w:p>
    <w:p w:rsidR="00C47FF3" w:rsidRPr="00D85A4B" w:rsidP="009428FF" w14:paraId="4536AE4F" w14:textId="77777777">
      <w:pPr>
        <w:rPr>
          <w:rFonts w:ascii="Times New Roman" w:hAnsi="Times New Roman"/>
          <w:i/>
          <w:szCs w:val="24"/>
        </w:rPr>
      </w:pPr>
      <w:r>
        <w:rPr>
          <w:rFonts w:ascii="Times New Roman" w:hAnsi="Times New Roman"/>
          <w:i/>
          <w:szCs w:val="24"/>
        </w:rPr>
        <w:tab/>
      </w:r>
      <w:r w:rsidRPr="00D85A4B" w:rsidR="00AB2C2A">
        <w:rPr>
          <w:rFonts w:ascii="Times New Roman" w:hAnsi="Times New Roman"/>
          <w:i/>
          <w:szCs w:val="24"/>
        </w:rPr>
        <w:t xml:space="preserve">12a.  </w:t>
      </w:r>
      <w:r w:rsidRPr="00D85A4B" w:rsidR="00FF493D">
        <w:rPr>
          <w:rFonts w:ascii="Times New Roman" w:hAnsi="Times New Roman"/>
          <w:i/>
          <w:szCs w:val="24"/>
        </w:rPr>
        <w:t>Annualized Hour Burden Estimate</w:t>
      </w:r>
    </w:p>
    <w:p w:rsidR="0004340F" w:rsidP="006801DC" w14:paraId="5DC9DD3F" w14:textId="77777777">
      <w:pPr>
        <w:rPr>
          <w:rFonts w:ascii="Times New Roman" w:hAnsi="Times New Roman"/>
          <w:szCs w:val="24"/>
        </w:rPr>
      </w:pPr>
    </w:p>
    <w:p w:rsidR="00B45C5A" w:rsidRPr="004E4C62" w:rsidP="00D333D9" w14:paraId="24399DD8" w14:textId="77777777">
      <w:pPr>
        <w:widowControl/>
        <w:jc w:val="center"/>
        <w:rPr>
          <w:rFonts w:ascii="Times New Roman" w:hAnsi="Times New Roman"/>
          <w:sz w:val="22"/>
          <w:szCs w:val="22"/>
          <w:vertAlign w:val="superscript"/>
        </w:rPr>
      </w:pPr>
      <w:r w:rsidRPr="004E4C62">
        <w:rPr>
          <w:rFonts w:ascii="Times New Roman" w:hAnsi="Times New Roman"/>
          <w:sz w:val="22"/>
          <w:szCs w:val="22"/>
        </w:rPr>
        <w:t>Table 1.--Estimated Annual Reporting Burden</w:t>
      </w:r>
      <w:r w:rsidRPr="004E4C62" w:rsidR="00D8485E">
        <w:rPr>
          <w:rFonts w:ascii="Times New Roman" w:hAnsi="Times New Roman"/>
          <w:sz w:val="22"/>
          <w:szCs w:val="22"/>
          <w:vertAlign w:val="superscript"/>
        </w:rPr>
        <w:t>1</w:t>
      </w:r>
    </w:p>
    <w:tbl>
      <w:tblPr>
        <w:tblW w:w="53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1392"/>
        <w:gridCol w:w="1765"/>
        <w:gridCol w:w="1486"/>
        <w:gridCol w:w="1528"/>
        <w:gridCol w:w="1071"/>
      </w:tblGrid>
      <w:tr w14:paraId="058CCB1D" w14:textId="77777777" w:rsidTr="00B140C9">
        <w:tblPrEx>
          <w:tblW w:w="53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355" w:type="pct"/>
            <w:shd w:val="clear" w:color="auto" w:fill="auto"/>
          </w:tcPr>
          <w:p w:rsidR="00B140C9" w:rsidRPr="00B140C9" w:rsidP="00261170" w14:paraId="516926C8" w14:textId="77777777">
            <w:pPr>
              <w:jc w:val="center"/>
              <w:rPr>
                <w:rFonts w:ascii="Times New Roman" w:hAnsi="Times New Roman"/>
                <w:sz w:val="21"/>
                <w:szCs w:val="21"/>
              </w:rPr>
            </w:pPr>
            <w:r w:rsidRPr="00B140C9">
              <w:rPr>
                <w:rFonts w:ascii="Times New Roman" w:hAnsi="Times New Roman"/>
                <w:sz w:val="21"/>
                <w:szCs w:val="21"/>
              </w:rPr>
              <w:t>21 CFR Section;</w:t>
            </w:r>
          </w:p>
          <w:p w:rsidR="00B45C5A" w:rsidRPr="00B140C9" w:rsidP="00261170" w14:paraId="4A01B327" w14:textId="77777777">
            <w:pPr>
              <w:jc w:val="center"/>
              <w:rPr>
                <w:rFonts w:ascii="Times New Roman" w:hAnsi="Times New Roman"/>
                <w:sz w:val="21"/>
                <w:szCs w:val="21"/>
              </w:rPr>
            </w:pPr>
            <w:r w:rsidRPr="00B140C9">
              <w:rPr>
                <w:rFonts w:ascii="Times New Roman" w:hAnsi="Times New Roman"/>
                <w:sz w:val="21"/>
                <w:szCs w:val="21"/>
              </w:rPr>
              <w:t>Collection Activity</w:t>
            </w:r>
          </w:p>
        </w:tc>
        <w:tc>
          <w:tcPr>
            <w:tcW w:w="700" w:type="pct"/>
            <w:shd w:val="clear" w:color="auto" w:fill="auto"/>
          </w:tcPr>
          <w:p w:rsidR="00B45C5A" w:rsidRPr="00B140C9" w:rsidP="00261170" w14:paraId="3E42B99B" w14:textId="77777777">
            <w:pPr>
              <w:jc w:val="center"/>
              <w:rPr>
                <w:rFonts w:ascii="Times New Roman" w:hAnsi="Times New Roman"/>
                <w:sz w:val="21"/>
                <w:szCs w:val="21"/>
              </w:rPr>
            </w:pPr>
            <w:r w:rsidRPr="00B140C9">
              <w:rPr>
                <w:rFonts w:ascii="Times New Roman" w:hAnsi="Times New Roman"/>
                <w:sz w:val="21"/>
                <w:szCs w:val="21"/>
              </w:rPr>
              <w:t>No. of Respondents</w:t>
            </w:r>
          </w:p>
        </w:tc>
        <w:tc>
          <w:tcPr>
            <w:tcW w:w="888" w:type="pct"/>
            <w:shd w:val="clear" w:color="auto" w:fill="auto"/>
          </w:tcPr>
          <w:p w:rsidR="00B45C5A" w:rsidRPr="00B140C9" w:rsidP="00261170" w14:paraId="20D7525E" w14:textId="77777777">
            <w:pPr>
              <w:jc w:val="center"/>
              <w:rPr>
                <w:rFonts w:ascii="Times New Roman" w:hAnsi="Times New Roman"/>
                <w:sz w:val="21"/>
                <w:szCs w:val="21"/>
              </w:rPr>
            </w:pPr>
            <w:r w:rsidRPr="00B140C9">
              <w:rPr>
                <w:rFonts w:ascii="Times New Roman" w:hAnsi="Times New Roman"/>
                <w:sz w:val="21"/>
                <w:szCs w:val="21"/>
              </w:rPr>
              <w:t>No. of Responses per Respondent</w:t>
            </w:r>
          </w:p>
        </w:tc>
        <w:tc>
          <w:tcPr>
            <w:tcW w:w="748" w:type="pct"/>
            <w:shd w:val="clear" w:color="auto" w:fill="auto"/>
          </w:tcPr>
          <w:p w:rsidR="00B45C5A" w:rsidRPr="00B140C9" w:rsidP="00261170" w14:paraId="7F7F9891" w14:textId="77777777">
            <w:pPr>
              <w:jc w:val="center"/>
              <w:rPr>
                <w:rFonts w:ascii="Times New Roman" w:hAnsi="Times New Roman"/>
                <w:sz w:val="21"/>
                <w:szCs w:val="21"/>
              </w:rPr>
            </w:pPr>
            <w:r w:rsidRPr="00B140C9">
              <w:rPr>
                <w:rFonts w:ascii="Times New Roman" w:hAnsi="Times New Roman"/>
                <w:sz w:val="21"/>
                <w:szCs w:val="21"/>
              </w:rPr>
              <w:t>Total Annual Responses</w:t>
            </w:r>
          </w:p>
        </w:tc>
        <w:tc>
          <w:tcPr>
            <w:tcW w:w="769" w:type="pct"/>
            <w:shd w:val="clear" w:color="auto" w:fill="auto"/>
          </w:tcPr>
          <w:p w:rsidR="00B45C5A" w:rsidRPr="00B140C9" w:rsidP="00261170" w14:paraId="5D0CEA43" w14:textId="77777777">
            <w:pPr>
              <w:jc w:val="center"/>
              <w:rPr>
                <w:rFonts w:ascii="Times New Roman" w:hAnsi="Times New Roman"/>
                <w:sz w:val="21"/>
                <w:szCs w:val="21"/>
              </w:rPr>
            </w:pPr>
            <w:r w:rsidRPr="00B140C9">
              <w:rPr>
                <w:rFonts w:ascii="Times New Roman" w:hAnsi="Times New Roman"/>
                <w:sz w:val="21"/>
                <w:szCs w:val="21"/>
              </w:rPr>
              <w:t>Average Burden per Response</w:t>
            </w:r>
          </w:p>
        </w:tc>
        <w:tc>
          <w:tcPr>
            <w:tcW w:w="539" w:type="pct"/>
            <w:shd w:val="clear" w:color="auto" w:fill="auto"/>
          </w:tcPr>
          <w:p w:rsidR="00B45C5A" w:rsidRPr="00B140C9" w:rsidP="00261170" w14:paraId="5383E248" w14:textId="77777777">
            <w:pPr>
              <w:jc w:val="center"/>
              <w:rPr>
                <w:rFonts w:ascii="Times New Roman" w:hAnsi="Times New Roman"/>
                <w:sz w:val="21"/>
                <w:szCs w:val="21"/>
              </w:rPr>
            </w:pPr>
            <w:r w:rsidRPr="00B140C9">
              <w:rPr>
                <w:rFonts w:ascii="Times New Roman" w:hAnsi="Times New Roman"/>
                <w:sz w:val="21"/>
                <w:szCs w:val="21"/>
              </w:rPr>
              <w:t>Total Hours</w:t>
            </w:r>
          </w:p>
        </w:tc>
      </w:tr>
      <w:tr w14:paraId="304BEA4F"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0558BAAE" w14:textId="77777777">
            <w:pPr>
              <w:rPr>
                <w:rFonts w:ascii="Times New Roman" w:hAnsi="Times New Roman"/>
                <w:sz w:val="22"/>
                <w:szCs w:val="22"/>
              </w:rPr>
            </w:pPr>
            <w:r w:rsidRPr="004E4C62">
              <w:rPr>
                <w:rFonts w:ascii="Times New Roman" w:hAnsi="Times New Roman"/>
                <w:color w:val="000000" w:themeColor="text1"/>
                <w:sz w:val="22"/>
                <w:szCs w:val="22"/>
              </w:rPr>
              <w:t>§</w:t>
            </w:r>
            <w:r w:rsidRPr="004E4C62" w:rsidR="002559DB">
              <w:rPr>
                <w:rFonts w:ascii="Times New Roman" w:hAnsi="Times New Roman"/>
                <w:sz w:val="22"/>
                <w:szCs w:val="22"/>
              </w:rPr>
              <w:t> </w:t>
            </w:r>
            <w:r w:rsidRPr="004E4C62">
              <w:rPr>
                <w:rFonts w:ascii="Times New Roman" w:hAnsi="Times New Roman"/>
                <w:sz w:val="22"/>
                <w:szCs w:val="22"/>
              </w:rPr>
              <w:t xml:space="preserve">203.11; </w:t>
            </w:r>
            <w:r w:rsidR="00B140C9">
              <w:rPr>
                <w:rFonts w:ascii="Times New Roman" w:hAnsi="Times New Roman"/>
                <w:sz w:val="22"/>
                <w:szCs w:val="22"/>
              </w:rPr>
              <w:t>r</w:t>
            </w:r>
            <w:r w:rsidRPr="004E4C62">
              <w:rPr>
                <w:rFonts w:ascii="Times New Roman" w:hAnsi="Times New Roman"/>
                <w:sz w:val="22"/>
                <w:szCs w:val="22"/>
              </w:rPr>
              <w:t>eimportation</w:t>
            </w:r>
          </w:p>
        </w:tc>
        <w:tc>
          <w:tcPr>
            <w:tcW w:w="700" w:type="pct"/>
            <w:shd w:val="clear" w:color="auto" w:fill="auto"/>
          </w:tcPr>
          <w:p w:rsidR="00B45C5A" w:rsidRPr="004E4C62" w:rsidP="00261170" w14:paraId="37FE5FF5" w14:textId="77777777">
            <w:pPr>
              <w:jc w:val="right"/>
              <w:rPr>
                <w:rFonts w:ascii="Times New Roman" w:hAnsi="Times New Roman"/>
                <w:sz w:val="22"/>
                <w:szCs w:val="22"/>
              </w:rPr>
            </w:pPr>
            <w:r w:rsidRPr="004E4C62">
              <w:rPr>
                <w:rFonts w:ascii="Times New Roman" w:hAnsi="Times New Roman"/>
                <w:sz w:val="22"/>
                <w:szCs w:val="22"/>
              </w:rPr>
              <w:t>1</w:t>
            </w:r>
          </w:p>
        </w:tc>
        <w:tc>
          <w:tcPr>
            <w:tcW w:w="888" w:type="pct"/>
            <w:shd w:val="clear" w:color="auto" w:fill="auto"/>
          </w:tcPr>
          <w:p w:rsidR="00B45C5A" w:rsidRPr="004E4C62" w:rsidP="00261170" w14:paraId="34B3FD11" w14:textId="77777777">
            <w:pPr>
              <w:jc w:val="right"/>
              <w:rPr>
                <w:rFonts w:ascii="Times New Roman" w:hAnsi="Times New Roman"/>
                <w:sz w:val="22"/>
                <w:szCs w:val="22"/>
              </w:rPr>
            </w:pPr>
            <w:r w:rsidRPr="004E4C62">
              <w:rPr>
                <w:rFonts w:ascii="Times New Roman" w:hAnsi="Times New Roman"/>
                <w:sz w:val="22"/>
                <w:szCs w:val="22"/>
              </w:rPr>
              <w:t>1</w:t>
            </w:r>
          </w:p>
        </w:tc>
        <w:tc>
          <w:tcPr>
            <w:tcW w:w="748" w:type="pct"/>
            <w:shd w:val="clear" w:color="auto" w:fill="auto"/>
          </w:tcPr>
          <w:p w:rsidR="00B45C5A" w:rsidRPr="004E4C62" w:rsidP="00261170" w14:paraId="78003E74" w14:textId="77777777">
            <w:pPr>
              <w:jc w:val="right"/>
              <w:rPr>
                <w:rFonts w:ascii="Times New Roman" w:hAnsi="Times New Roman"/>
                <w:sz w:val="22"/>
                <w:szCs w:val="22"/>
              </w:rPr>
            </w:pPr>
            <w:r w:rsidRPr="004E4C62">
              <w:rPr>
                <w:rFonts w:ascii="Times New Roman" w:hAnsi="Times New Roman"/>
                <w:sz w:val="22"/>
                <w:szCs w:val="22"/>
              </w:rPr>
              <w:t>1</w:t>
            </w:r>
          </w:p>
        </w:tc>
        <w:tc>
          <w:tcPr>
            <w:tcW w:w="769" w:type="pct"/>
            <w:shd w:val="clear" w:color="auto" w:fill="auto"/>
          </w:tcPr>
          <w:p w:rsidR="00B45C5A" w:rsidRPr="004E4C62" w:rsidP="00261170" w14:paraId="3C68DAB5" w14:textId="77777777">
            <w:pPr>
              <w:jc w:val="right"/>
              <w:rPr>
                <w:rFonts w:ascii="Times New Roman" w:hAnsi="Times New Roman"/>
                <w:sz w:val="22"/>
                <w:szCs w:val="22"/>
              </w:rPr>
            </w:pPr>
            <w:r w:rsidRPr="004E4C62">
              <w:rPr>
                <w:rFonts w:ascii="Times New Roman" w:hAnsi="Times New Roman"/>
                <w:sz w:val="22"/>
                <w:szCs w:val="22"/>
              </w:rPr>
              <w:t>0.5</w:t>
            </w:r>
          </w:p>
          <w:p w:rsidR="00B45C5A" w:rsidRPr="004E4C62" w:rsidP="00EE7892" w14:paraId="1D9B2141" w14:textId="77777777">
            <w:pPr>
              <w:jc w:val="right"/>
              <w:rPr>
                <w:rFonts w:ascii="Times New Roman" w:hAnsi="Times New Roman"/>
                <w:sz w:val="22"/>
                <w:szCs w:val="22"/>
              </w:rPr>
            </w:pPr>
            <w:r w:rsidRPr="004E4C62">
              <w:rPr>
                <w:rFonts w:ascii="Times New Roman" w:hAnsi="Times New Roman"/>
                <w:sz w:val="22"/>
                <w:szCs w:val="22"/>
              </w:rPr>
              <w:t>(30 mi</w:t>
            </w:r>
            <w:r w:rsidR="00D85A4B">
              <w:rPr>
                <w:rFonts w:ascii="Times New Roman" w:hAnsi="Times New Roman"/>
                <w:sz w:val="22"/>
                <w:szCs w:val="22"/>
              </w:rPr>
              <w:t>n</w:t>
            </w:r>
            <w:r w:rsidRPr="004E4C62">
              <w:rPr>
                <w:rFonts w:ascii="Times New Roman" w:hAnsi="Times New Roman"/>
                <w:sz w:val="22"/>
                <w:szCs w:val="22"/>
              </w:rPr>
              <w:t>s</w:t>
            </w:r>
            <w:r w:rsidR="00D85A4B">
              <w:rPr>
                <w:rFonts w:ascii="Times New Roman" w:hAnsi="Times New Roman"/>
                <w:sz w:val="22"/>
                <w:szCs w:val="22"/>
              </w:rPr>
              <w:t>.</w:t>
            </w:r>
            <w:r w:rsidRPr="004E4C62">
              <w:rPr>
                <w:rFonts w:ascii="Times New Roman" w:hAnsi="Times New Roman"/>
                <w:sz w:val="22"/>
                <w:szCs w:val="22"/>
              </w:rPr>
              <w:t>)</w:t>
            </w:r>
          </w:p>
        </w:tc>
        <w:tc>
          <w:tcPr>
            <w:tcW w:w="539" w:type="pct"/>
            <w:shd w:val="clear" w:color="auto" w:fill="auto"/>
          </w:tcPr>
          <w:p w:rsidR="00B45C5A" w:rsidRPr="004E4C62" w:rsidP="00261170" w14:paraId="635789BC" w14:textId="77777777">
            <w:pPr>
              <w:jc w:val="right"/>
              <w:rPr>
                <w:rFonts w:ascii="Times New Roman" w:hAnsi="Times New Roman"/>
                <w:sz w:val="22"/>
                <w:szCs w:val="22"/>
              </w:rPr>
            </w:pPr>
            <w:r w:rsidRPr="004E4C62">
              <w:rPr>
                <w:rFonts w:ascii="Times New Roman" w:hAnsi="Times New Roman"/>
                <w:sz w:val="22"/>
                <w:szCs w:val="22"/>
              </w:rPr>
              <w:t>0.5</w:t>
            </w:r>
          </w:p>
        </w:tc>
      </w:tr>
      <w:tr w14:paraId="7CA1BC3C"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6B689996" w14:textId="77777777">
            <w:pPr>
              <w:rPr>
                <w:rFonts w:ascii="Times New Roman" w:hAnsi="Times New Roman"/>
                <w:sz w:val="22"/>
                <w:szCs w:val="22"/>
              </w:rPr>
            </w:pPr>
            <w:r w:rsidRPr="004E4C62">
              <w:rPr>
                <w:rFonts w:ascii="Times New Roman" w:hAnsi="Times New Roman"/>
                <w:color w:val="000000" w:themeColor="text1"/>
                <w:sz w:val="22"/>
                <w:szCs w:val="22"/>
              </w:rPr>
              <w:t>§</w:t>
            </w:r>
            <w:r w:rsidRPr="004E4C62" w:rsidR="002559DB">
              <w:rPr>
                <w:rFonts w:ascii="Times New Roman" w:hAnsi="Times New Roman"/>
                <w:sz w:val="22"/>
                <w:szCs w:val="22"/>
              </w:rPr>
              <w:t> </w:t>
            </w:r>
            <w:r w:rsidRPr="004E4C62">
              <w:rPr>
                <w:rFonts w:ascii="Times New Roman" w:hAnsi="Times New Roman"/>
                <w:sz w:val="22"/>
                <w:szCs w:val="22"/>
              </w:rPr>
              <w:t xml:space="preserve">203.37(a); </w:t>
            </w:r>
            <w:r w:rsidR="00B140C9">
              <w:rPr>
                <w:rFonts w:ascii="Times New Roman" w:hAnsi="Times New Roman"/>
                <w:sz w:val="22"/>
                <w:szCs w:val="22"/>
              </w:rPr>
              <w:t>f</w:t>
            </w:r>
            <w:r w:rsidRPr="004E4C62">
              <w:rPr>
                <w:rFonts w:ascii="Times New Roman" w:hAnsi="Times New Roman"/>
                <w:sz w:val="22"/>
                <w:szCs w:val="22"/>
              </w:rPr>
              <w:t>alsification of records</w:t>
            </w:r>
          </w:p>
        </w:tc>
        <w:tc>
          <w:tcPr>
            <w:tcW w:w="700" w:type="pct"/>
            <w:shd w:val="clear" w:color="auto" w:fill="auto"/>
          </w:tcPr>
          <w:p w:rsidR="00B45C5A" w:rsidRPr="004E4C62" w:rsidP="00261170" w14:paraId="26D8F4DF" w14:textId="77777777">
            <w:pPr>
              <w:jc w:val="right"/>
              <w:rPr>
                <w:rFonts w:ascii="Times New Roman" w:hAnsi="Times New Roman"/>
                <w:sz w:val="22"/>
                <w:szCs w:val="22"/>
              </w:rPr>
            </w:pPr>
            <w:r w:rsidRPr="004E4C62">
              <w:rPr>
                <w:rFonts w:ascii="Times New Roman" w:hAnsi="Times New Roman"/>
                <w:sz w:val="22"/>
                <w:szCs w:val="22"/>
              </w:rPr>
              <w:t>140</w:t>
            </w:r>
          </w:p>
        </w:tc>
        <w:tc>
          <w:tcPr>
            <w:tcW w:w="888" w:type="pct"/>
            <w:shd w:val="clear" w:color="auto" w:fill="auto"/>
          </w:tcPr>
          <w:p w:rsidR="00B45C5A" w:rsidRPr="004E4C62" w:rsidP="00261170" w14:paraId="6C36DFB5" w14:textId="77777777">
            <w:pPr>
              <w:jc w:val="right"/>
              <w:rPr>
                <w:rFonts w:ascii="Times New Roman" w:hAnsi="Times New Roman"/>
                <w:sz w:val="22"/>
                <w:szCs w:val="22"/>
              </w:rPr>
            </w:pPr>
            <w:r w:rsidRPr="004E4C62">
              <w:rPr>
                <w:rFonts w:ascii="Times New Roman" w:hAnsi="Times New Roman"/>
                <w:sz w:val="22"/>
                <w:szCs w:val="22"/>
              </w:rPr>
              <w:t>2.14</w:t>
            </w:r>
          </w:p>
        </w:tc>
        <w:tc>
          <w:tcPr>
            <w:tcW w:w="748" w:type="pct"/>
            <w:shd w:val="clear" w:color="auto" w:fill="auto"/>
          </w:tcPr>
          <w:p w:rsidR="00B45C5A" w:rsidRPr="004E4C62" w:rsidP="00261170" w14:paraId="103114A6" w14:textId="77777777">
            <w:pPr>
              <w:jc w:val="right"/>
              <w:rPr>
                <w:rFonts w:ascii="Times New Roman" w:hAnsi="Times New Roman"/>
                <w:sz w:val="22"/>
                <w:szCs w:val="22"/>
              </w:rPr>
            </w:pPr>
            <w:r w:rsidRPr="004E4C62">
              <w:rPr>
                <w:rFonts w:ascii="Times New Roman" w:hAnsi="Times New Roman"/>
                <w:sz w:val="22"/>
                <w:szCs w:val="22"/>
              </w:rPr>
              <w:t>300</w:t>
            </w:r>
          </w:p>
        </w:tc>
        <w:tc>
          <w:tcPr>
            <w:tcW w:w="769" w:type="pct"/>
            <w:shd w:val="clear" w:color="auto" w:fill="auto"/>
          </w:tcPr>
          <w:p w:rsidR="00B45C5A" w:rsidRPr="004E4C62" w:rsidP="00261170" w14:paraId="45F1DB60" w14:textId="77777777">
            <w:pPr>
              <w:jc w:val="right"/>
              <w:rPr>
                <w:rFonts w:ascii="Times New Roman" w:hAnsi="Times New Roman"/>
                <w:sz w:val="22"/>
                <w:szCs w:val="22"/>
              </w:rPr>
            </w:pPr>
            <w:r w:rsidRPr="004E4C62">
              <w:rPr>
                <w:rFonts w:ascii="Times New Roman" w:hAnsi="Times New Roman"/>
                <w:sz w:val="22"/>
                <w:szCs w:val="22"/>
              </w:rPr>
              <w:t>0.25</w:t>
            </w:r>
          </w:p>
          <w:p w:rsidR="00B45C5A" w:rsidRPr="004E4C62" w:rsidP="00261170" w14:paraId="6A79DF1E" w14:textId="77777777">
            <w:pPr>
              <w:jc w:val="right"/>
              <w:rPr>
                <w:rFonts w:ascii="Times New Roman" w:hAnsi="Times New Roman"/>
                <w:sz w:val="22"/>
                <w:szCs w:val="22"/>
              </w:rPr>
            </w:pPr>
            <w:r w:rsidRPr="004E4C62">
              <w:rPr>
                <w:rFonts w:ascii="Times New Roman" w:hAnsi="Times New Roman"/>
                <w:sz w:val="22"/>
                <w:szCs w:val="22"/>
              </w:rPr>
              <w:t>(15 mins</w:t>
            </w:r>
            <w:r w:rsidR="00D85A4B">
              <w:rPr>
                <w:rFonts w:ascii="Times New Roman" w:hAnsi="Times New Roman"/>
                <w:sz w:val="22"/>
                <w:szCs w:val="22"/>
              </w:rPr>
              <w:t>.</w:t>
            </w:r>
            <w:r w:rsidRPr="004E4C62">
              <w:rPr>
                <w:rFonts w:ascii="Times New Roman" w:hAnsi="Times New Roman"/>
                <w:sz w:val="22"/>
                <w:szCs w:val="22"/>
              </w:rPr>
              <w:t>)</w:t>
            </w:r>
          </w:p>
        </w:tc>
        <w:tc>
          <w:tcPr>
            <w:tcW w:w="539" w:type="pct"/>
            <w:shd w:val="clear" w:color="auto" w:fill="auto"/>
          </w:tcPr>
          <w:p w:rsidR="00B45C5A" w:rsidRPr="004E4C62" w:rsidP="00261170" w14:paraId="60717BA8" w14:textId="77777777">
            <w:pPr>
              <w:jc w:val="right"/>
              <w:rPr>
                <w:rFonts w:ascii="Times New Roman" w:hAnsi="Times New Roman"/>
                <w:sz w:val="22"/>
                <w:szCs w:val="22"/>
              </w:rPr>
            </w:pPr>
            <w:r w:rsidRPr="004E4C62">
              <w:rPr>
                <w:rFonts w:ascii="Times New Roman" w:hAnsi="Times New Roman"/>
                <w:sz w:val="22"/>
                <w:szCs w:val="22"/>
              </w:rPr>
              <w:t>75</w:t>
            </w:r>
          </w:p>
        </w:tc>
      </w:tr>
      <w:tr w14:paraId="0EA65AA5"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63BF52B0" w14:textId="77777777">
            <w:pPr>
              <w:rPr>
                <w:rFonts w:ascii="Times New Roman" w:hAnsi="Times New Roman"/>
                <w:sz w:val="22"/>
                <w:szCs w:val="22"/>
              </w:rPr>
            </w:pPr>
            <w:r w:rsidRPr="004E4C62">
              <w:rPr>
                <w:rFonts w:ascii="Times New Roman" w:hAnsi="Times New Roman"/>
                <w:color w:val="000000" w:themeColor="text1"/>
                <w:sz w:val="22"/>
                <w:szCs w:val="22"/>
              </w:rPr>
              <w:t>§</w:t>
            </w:r>
            <w:r w:rsidRPr="004E4C62" w:rsidR="002559DB">
              <w:rPr>
                <w:rFonts w:ascii="Times New Roman" w:hAnsi="Times New Roman"/>
                <w:sz w:val="22"/>
                <w:szCs w:val="22"/>
              </w:rPr>
              <w:t> </w:t>
            </w:r>
            <w:r w:rsidRPr="004E4C62">
              <w:rPr>
                <w:rFonts w:ascii="Times New Roman" w:hAnsi="Times New Roman"/>
                <w:sz w:val="22"/>
                <w:szCs w:val="22"/>
              </w:rPr>
              <w:t xml:space="preserve">203.37(b); </w:t>
            </w:r>
            <w:r w:rsidR="00B140C9">
              <w:rPr>
                <w:rFonts w:ascii="Times New Roman" w:hAnsi="Times New Roman"/>
                <w:sz w:val="22"/>
                <w:szCs w:val="22"/>
              </w:rPr>
              <w:t>l</w:t>
            </w:r>
            <w:r w:rsidRPr="004E4C62">
              <w:rPr>
                <w:rFonts w:ascii="Times New Roman" w:hAnsi="Times New Roman"/>
                <w:sz w:val="22"/>
                <w:szCs w:val="22"/>
              </w:rPr>
              <w:t>oss or theft of samples</w:t>
            </w:r>
          </w:p>
        </w:tc>
        <w:tc>
          <w:tcPr>
            <w:tcW w:w="700" w:type="pct"/>
            <w:shd w:val="clear" w:color="auto" w:fill="auto"/>
          </w:tcPr>
          <w:p w:rsidR="00B45C5A" w:rsidRPr="004E4C62" w:rsidP="00261170" w14:paraId="3DD424BF" w14:textId="77777777">
            <w:pPr>
              <w:jc w:val="right"/>
              <w:rPr>
                <w:rFonts w:ascii="Times New Roman" w:hAnsi="Times New Roman"/>
                <w:sz w:val="22"/>
                <w:szCs w:val="22"/>
              </w:rPr>
            </w:pPr>
            <w:r w:rsidRPr="004E4C62">
              <w:rPr>
                <w:rFonts w:ascii="Times New Roman" w:hAnsi="Times New Roman"/>
                <w:sz w:val="22"/>
                <w:szCs w:val="22"/>
              </w:rPr>
              <w:t>140</w:t>
            </w:r>
          </w:p>
        </w:tc>
        <w:tc>
          <w:tcPr>
            <w:tcW w:w="888" w:type="pct"/>
            <w:shd w:val="clear" w:color="auto" w:fill="auto"/>
          </w:tcPr>
          <w:p w:rsidR="00B45C5A" w:rsidRPr="004E4C62" w:rsidP="00261170" w14:paraId="0E928211" w14:textId="77777777">
            <w:pPr>
              <w:jc w:val="right"/>
              <w:rPr>
                <w:rFonts w:ascii="Times New Roman" w:hAnsi="Times New Roman"/>
                <w:sz w:val="22"/>
                <w:szCs w:val="22"/>
              </w:rPr>
            </w:pPr>
            <w:r w:rsidRPr="004E4C62">
              <w:rPr>
                <w:rFonts w:ascii="Times New Roman" w:hAnsi="Times New Roman"/>
                <w:sz w:val="22"/>
                <w:szCs w:val="22"/>
              </w:rPr>
              <w:t>57.14</w:t>
            </w:r>
          </w:p>
        </w:tc>
        <w:tc>
          <w:tcPr>
            <w:tcW w:w="748" w:type="pct"/>
            <w:shd w:val="clear" w:color="auto" w:fill="auto"/>
          </w:tcPr>
          <w:p w:rsidR="00B45C5A" w:rsidRPr="004E4C62" w:rsidP="00261170" w14:paraId="25946F03" w14:textId="77777777">
            <w:pPr>
              <w:jc w:val="right"/>
              <w:rPr>
                <w:rFonts w:ascii="Times New Roman" w:hAnsi="Times New Roman"/>
                <w:sz w:val="22"/>
                <w:szCs w:val="22"/>
              </w:rPr>
            </w:pPr>
            <w:r w:rsidRPr="004E4C62">
              <w:rPr>
                <w:rFonts w:ascii="Times New Roman" w:hAnsi="Times New Roman"/>
                <w:sz w:val="22"/>
                <w:szCs w:val="22"/>
              </w:rPr>
              <w:t>8,000</w:t>
            </w:r>
          </w:p>
        </w:tc>
        <w:tc>
          <w:tcPr>
            <w:tcW w:w="769" w:type="pct"/>
            <w:shd w:val="clear" w:color="auto" w:fill="auto"/>
          </w:tcPr>
          <w:p w:rsidR="00B45C5A" w:rsidRPr="004E4C62" w:rsidP="00261170" w14:paraId="4A739FB4" w14:textId="77777777">
            <w:pPr>
              <w:jc w:val="right"/>
              <w:rPr>
                <w:rFonts w:ascii="Times New Roman" w:hAnsi="Times New Roman"/>
                <w:sz w:val="22"/>
                <w:szCs w:val="22"/>
              </w:rPr>
            </w:pPr>
            <w:r w:rsidRPr="004E4C62">
              <w:rPr>
                <w:rFonts w:ascii="Times New Roman" w:hAnsi="Times New Roman"/>
                <w:sz w:val="22"/>
                <w:szCs w:val="22"/>
              </w:rPr>
              <w:t>0.25</w:t>
            </w:r>
          </w:p>
          <w:p w:rsidR="00B45C5A" w:rsidRPr="004E4C62" w:rsidP="00261170" w14:paraId="50C29F85" w14:textId="77777777">
            <w:pPr>
              <w:jc w:val="right"/>
              <w:rPr>
                <w:rFonts w:ascii="Times New Roman" w:hAnsi="Times New Roman"/>
                <w:sz w:val="22"/>
                <w:szCs w:val="22"/>
              </w:rPr>
            </w:pPr>
            <w:r w:rsidRPr="004E4C62">
              <w:rPr>
                <w:rFonts w:ascii="Times New Roman" w:hAnsi="Times New Roman"/>
                <w:sz w:val="22"/>
                <w:szCs w:val="22"/>
              </w:rPr>
              <w:t>(15 mins</w:t>
            </w:r>
            <w:r w:rsidR="00D85A4B">
              <w:rPr>
                <w:rFonts w:ascii="Times New Roman" w:hAnsi="Times New Roman"/>
                <w:sz w:val="22"/>
                <w:szCs w:val="22"/>
              </w:rPr>
              <w:t>.</w:t>
            </w:r>
            <w:r w:rsidRPr="004E4C62">
              <w:rPr>
                <w:rFonts w:ascii="Times New Roman" w:hAnsi="Times New Roman"/>
                <w:sz w:val="22"/>
                <w:szCs w:val="22"/>
              </w:rPr>
              <w:t>)</w:t>
            </w:r>
          </w:p>
        </w:tc>
        <w:tc>
          <w:tcPr>
            <w:tcW w:w="539" w:type="pct"/>
            <w:shd w:val="clear" w:color="auto" w:fill="auto"/>
          </w:tcPr>
          <w:p w:rsidR="00B45C5A" w:rsidRPr="004E4C62" w:rsidP="00261170" w14:paraId="556E9711" w14:textId="77777777">
            <w:pPr>
              <w:jc w:val="right"/>
              <w:rPr>
                <w:rFonts w:ascii="Times New Roman" w:hAnsi="Times New Roman"/>
                <w:sz w:val="22"/>
                <w:szCs w:val="22"/>
              </w:rPr>
            </w:pPr>
            <w:r w:rsidRPr="004E4C62">
              <w:rPr>
                <w:rFonts w:ascii="Times New Roman" w:hAnsi="Times New Roman"/>
                <w:sz w:val="22"/>
                <w:szCs w:val="22"/>
              </w:rPr>
              <w:t>2,000</w:t>
            </w:r>
          </w:p>
        </w:tc>
      </w:tr>
      <w:tr w14:paraId="4F2D62EA"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1EF01BE6" w14:textId="77777777">
            <w:pPr>
              <w:rPr>
                <w:rFonts w:ascii="Times New Roman" w:hAnsi="Times New Roman"/>
                <w:sz w:val="22"/>
                <w:szCs w:val="22"/>
              </w:rPr>
            </w:pPr>
            <w:r w:rsidRPr="004E4C62">
              <w:rPr>
                <w:rFonts w:ascii="Times New Roman" w:hAnsi="Times New Roman"/>
                <w:color w:val="000000" w:themeColor="text1"/>
                <w:sz w:val="22"/>
                <w:szCs w:val="22"/>
              </w:rPr>
              <w:t>§</w:t>
            </w:r>
            <w:r w:rsidRPr="004E4C62" w:rsidR="002559DB">
              <w:rPr>
                <w:rFonts w:ascii="Times New Roman" w:hAnsi="Times New Roman"/>
                <w:sz w:val="22"/>
                <w:szCs w:val="22"/>
              </w:rPr>
              <w:t> </w:t>
            </w:r>
            <w:r w:rsidRPr="004E4C62">
              <w:rPr>
                <w:rFonts w:ascii="Times New Roman" w:hAnsi="Times New Roman"/>
                <w:sz w:val="22"/>
                <w:szCs w:val="22"/>
              </w:rPr>
              <w:t xml:space="preserve">203.37(c); </w:t>
            </w:r>
            <w:r w:rsidR="00B140C9">
              <w:rPr>
                <w:rFonts w:ascii="Times New Roman" w:hAnsi="Times New Roman"/>
                <w:sz w:val="22"/>
                <w:szCs w:val="22"/>
              </w:rPr>
              <w:t>c</w:t>
            </w:r>
            <w:r w:rsidRPr="004E4C62">
              <w:rPr>
                <w:rFonts w:ascii="Times New Roman" w:hAnsi="Times New Roman"/>
                <w:sz w:val="22"/>
                <w:szCs w:val="22"/>
              </w:rPr>
              <w:t>onvictions</w:t>
            </w:r>
          </w:p>
        </w:tc>
        <w:tc>
          <w:tcPr>
            <w:tcW w:w="700" w:type="pct"/>
            <w:shd w:val="clear" w:color="auto" w:fill="auto"/>
          </w:tcPr>
          <w:p w:rsidR="00B45C5A" w:rsidRPr="004E4C62" w:rsidP="00261170" w14:paraId="7C6B039E" w14:textId="77777777">
            <w:pPr>
              <w:jc w:val="right"/>
              <w:rPr>
                <w:rFonts w:ascii="Times New Roman" w:hAnsi="Times New Roman"/>
                <w:sz w:val="22"/>
                <w:szCs w:val="22"/>
              </w:rPr>
            </w:pPr>
            <w:r w:rsidRPr="004E4C62">
              <w:rPr>
                <w:rFonts w:ascii="Times New Roman" w:hAnsi="Times New Roman"/>
                <w:sz w:val="22"/>
                <w:szCs w:val="22"/>
              </w:rPr>
              <w:t>1</w:t>
            </w:r>
          </w:p>
        </w:tc>
        <w:tc>
          <w:tcPr>
            <w:tcW w:w="888" w:type="pct"/>
            <w:shd w:val="clear" w:color="auto" w:fill="auto"/>
          </w:tcPr>
          <w:p w:rsidR="00B45C5A" w:rsidRPr="004E4C62" w:rsidP="00261170" w14:paraId="3076C607" w14:textId="77777777">
            <w:pPr>
              <w:jc w:val="right"/>
              <w:rPr>
                <w:rFonts w:ascii="Times New Roman" w:hAnsi="Times New Roman"/>
                <w:sz w:val="22"/>
                <w:szCs w:val="22"/>
              </w:rPr>
            </w:pPr>
            <w:r w:rsidRPr="004E4C62">
              <w:rPr>
                <w:rFonts w:ascii="Times New Roman" w:hAnsi="Times New Roman"/>
                <w:sz w:val="22"/>
                <w:szCs w:val="22"/>
              </w:rPr>
              <w:t>1</w:t>
            </w:r>
          </w:p>
        </w:tc>
        <w:tc>
          <w:tcPr>
            <w:tcW w:w="748" w:type="pct"/>
            <w:shd w:val="clear" w:color="auto" w:fill="auto"/>
          </w:tcPr>
          <w:p w:rsidR="00B45C5A" w:rsidRPr="004E4C62" w:rsidP="00261170" w14:paraId="5797B74F" w14:textId="77777777">
            <w:pPr>
              <w:jc w:val="right"/>
              <w:rPr>
                <w:rFonts w:ascii="Times New Roman" w:hAnsi="Times New Roman"/>
                <w:sz w:val="22"/>
                <w:szCs w:val="22"/>
              </w:rPr>
            </w:pPr>
            <w:r w:rsidRPr="004E4C62">
              <w:rPr>
                <w:rFonts w:ascii="Times New Roman" w:hAnsi="Times New Roman"/>
                <w:sz w:val="22"/>
                <w:szCs w:val="22"/>
              </w:rPr>
              <w:t>1</w:t>
            </w:r>
          </w:p>
        </w:tc>
        <w:tc>
          <w:tcPr>
            <w:tcW w:w="769" w:type="pct"/>
            <w:shd w:val="clear" w:color="auto" w:fill="auto"/>
          </w:tcPr>
          <w:p w:rsidR="00B45C5A" w:rsidRPr="004E4C62" w:rsidP="00261170" w14:paraId="72603773" w14:textId="77777777">
            <w:pPr>
              <w:jc w:val="right"/>
              <w:rPr>
                <w:rFonts w:ascii="Times New Roman" w:hAnsi="Times New Roman"/>
                <w:sz w:val="22"/>
                <w:szCs w:val="22"/>
              </w:rPr>
            </w:pPr>
            <w:r w:rsidRPr="004E4C62">
              <w:rPr>
                <w:rFonts w:ascii="Times New Roman" w:hAnsi="Times New Roman"/>
                <w:sz w:val="22"/>
                <w:szCs w:val="22"/>
              </w:rPr>
              <w:t>1</w:t>
            </w:r>
          </w:p>
        </w:tc>
        <w:tc>
          <w:tcPr>
            <w:tcW w:w="539" w:type="pct"/>
            <w:shd w:val="clear" w:color="auto" w:fill="auto"/>
          </w:tcPr>
          <w:p w:rsidR="00B45C5A" w:rsidRPr="004E4C62" w:rsidP="00261170" w14:paraId="703C2A3D" w14:textId="77777777">
            <w:pPr>
              <w:jc w:val="right"/>
              <w:rPr>
                <w:rFonts w:ascii="Times New Roman" w:hAnsi="Times New Roman"/>
                <w:sz w:val="22"/>
                <w:szCs w:val="22"/>
              </w:rPr>
            </w:pPr>
            <w:r w:rsidRPr="004E4C62">
              <w:rPr>
                <w:rFonts w:ascii="Times New Roman" w:hAnsi="Times New Roman"/>
                <w:sz w:val="22"/>
                <w:szCs w:val="22"/>
              </w:rPr>
              <w:t>1</w:t>
            </w:r>
          </w:p>
        </w:tc>
      </w:tr>
      <w:tr w14:paraId="52429F8A"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1B38957C" w14:textId="77777777">
            <w:pPr>
              <w:rPr>
                <w:rFonts w:ascii="Times New Roman" w:hAnsi="Times New Roman"/>
                <w:sz w:val="22"/>
                <w:szCs w:val="22"/>
              </w:rPr>
            </w:pPr>
            <w:r w:rsidRPr="004E4C62">
              <w:rPr>
                <w:rFonts w:ascii="Times New Roman" w:hAnsi="Times New Roman"/>
                <w:color w:val="000000" w:themeColor="text1"/>
                <w:sz w:val="22"/>
                <w:szCs w:val="22"/>
              </w:rPr>
              <w:t>§</w:t>
            </w:r>
            <w:r w:rsidRPr="004E4C62" w:rsidR="00FE123A">
              <w:rPr>
                <w:rFonts w:ascii="Times New Roman" w:hAnsi="Times New Roman"/>
                <w:sz w:val="22"/>
                <w:szCs w:val="22"/>
              </w:rPr>
              <w:t> </w:t>
            </w:r>
            <w:r w:rsidRPr="004E4C62">
              <w:rPr>
                <w:rFonts w:ascii="Times New Roman" w:hAnsi="Times New Roman"/>
                <w:sz w:val="22"/>
                <w:szCs w:val="22"/>
              </w:rPr>
              <w:t xml:space="preserve">203.37(d); </w:t>
            </w:r>
            <w:r w:rsidR="00B140C9">
              <w:rPr>
                <w:rFonts w:ascii="Times New Roman" w:hAnsi="Times New Roman"/>
                <w:sz w:val="22"/>
                <w:szCs w:val="22"/>
              </w:rPr>
              <w:t>c</w:t>
            </w:r>
            <w:r w:rsidRPr="004E4C62">
              <w:rPr>
                <w:rFonts w:ascii="Times New Roman" w:hAnsi="Times New Roman"/>
                <w:sz w:val="22"/>
                <w:szCs w:val="22"/>
              </w:rPr>
              <w:t>ontact person</w:t>
            </w:r>
          </w:p>
        </w:tc>
        <w:tc>
          <w:tcPr>
            <w:tcW w:w="700" w:type="pct"/>
            <w:shd w:val="clear" w:color="auto" w:fill="auto"/>
          </w:tcPr>
          <w:p w:rsidR="00B45C5A" w:rsidRPr="004E4C62" w:rsidP="00261170" w14:paraId="64CB6DCB" w14:textId="77777777">
            <w:pPr>
              <w:jc w:val="right"/>
              <w:rPr>
                <w:rFonts w:ascii="Times New Roman" w:hAnsi="Times New Roman"/>
                <w:sz w:val="22"/>
                <w:szCs w:val="22"/>
              </w:rPr>
            </w:pPr>
            <w:r w:rsidRPr="004E4C62">
              <w:rPr>
                <w:rFonts w:ascii="Times New Roman" w:hAnsi="Times New Roman"/>
                <w:sz w:val="22"/>
                <w:szCs w:val="22"/>
              </w:rPr>
              <w:t>20</w:t>
            </w:r>
          </w:p>
        </w:tc>
        <w:tc>
          <w:tcPr>
            <w:tcW w:w="888" w:type="pct"/>
            <w:shd w:val="clear" w:color="auto" w:fill="auto"/>
          </w:tcPr>
          <w:p w:rsidR="00B45C5A" w:rsidRPr="004E4C62" w:rsidP="00261170" w14:paraId="6B3FE3FA" w14:textId="77777777">
            <w:pPr>
              <w:jc w:val="right"/>
              <w:rPr>
                <w:rFonts w:ascii="Times New Roman" w:hAnsi="Times New Roman"/>
                <w:sz w:val="22"/>
                <w:szCs w:val="22"/>
              </w:rPr>
            </w:pPr>
            <w:r w:rsidRPr="004E4C62">
              <w:rPr>
                <w:rFonts w:ascii="Times New Roman" w:hAnsi="Times New Roman"/>
                <w:sz w:val="22"/>
                <w:szCs w:val="22"/>
              </w:rPr>
              <w:t>1</w:t>
            </w:r>
          </w:p>
        </w:tc>
        <w:tc>
          <w:tcPr>
            <w:tcW w:w="748" w:type="pct"/>
            <w:shd w:val="clear" w:color="auto" w:fill="auto"/>
          </w:tcPr>
          <w:p w:rsidR="00B45C5A" w:rsidRPr="004E4C62" w:rsidP="00261170" w14:paraId="0D19E8DB" w14:textId="77777777">
            <w:pPr>
              <w:jc w:val="right"/>
              <w:rPr>
                <w:rFonts w:ascii="Times New Roman" w:hAnsi="Times New Roman"/>
                <w:sz w:val="22"/>
                <w:szCs w:val="22"/>
              </w:rPr>
            </w:pPr>
            <w:r w:rsidRPr="004E4C62">
              <w:rPr>
                <w:rFonts w:ascii="Times New Roman" w:hAnsi="Times New Roman"/>
                <w:sz w:val="22"/>
                <w:szCs w:val="22"/>
              </w:rPr>
              <w:t>20</w:t>
            </w:r>
          </w:p>
        </w:tc>
        <w:tc>
          <w:tcPr>
            <w:tcW w:w="769" w:type="pct"/>
            <w:shd w:val="clear" w:color="auto" w:fill="auto"/>
          </w:tcPr>
          <w:p w:rsidR="00B45C5A" w:rsidRPr="004E4C62" w:rsidP="00261170" w14:paraId="3606D6ED" w14:textId="77777777">
            <w:pPr>
              <w:jc w:val="right"/>
              <w:rPr>
                <w:rFonts w:ascii="Times New Roman" w:hAnsi="Times New Roman"/>
                <w:sz w:val="22"/>
                <w:szCs w:val="22"/>
              </w:rPr>
            </w:pPr>
            <w:r w:rsidRPr="004E4C62">
              <w:rPr>
                <w:rFonts w:ascii="Times New Roman" w:hAnsi="Times New Roman"/>
                <w:sz w:val="22"/>
                <w:szCs w:val="22"/>
              </w:rPr>
              <w:t>0.08</w:t>
            </w:r>
          </w:p>
          <w:p w:rsidR="00B45C5A" w:rsidRPr="004E4C62" w:rsidP="00261170" w14:paraId="3F7012DF" w14:textId="77777777">
            <w:pPr>
              <w:jc w:val="right"/>
              <w:rPr>
                <w:rFonts w:ascii="Times New Roman" w:hAnsi="Times New Roman"/>
                <w:sz w:val="22"/>
                <w:szCs w:val="22"/>
              </w:rPr>
            </w:pPr>
            <w:r w:rsidRPr="004E4C62">
              <w:rPr>
                <w:rFonts w:ascii="Times New Roman" w:hAnsi="Times New Roman"/>
                <w:sz w:val="22"/>
                <w:szCs w:val="22"/>
              </w:rPr>
              <w:t>(5 mins</w:t>
            </w:r>
            <w:r w:rsidR="00D85A4B">
              <w:rPr>
                <w:rFonts w:ascii="Times New Roman" w:hAnsi="Times New Roman"/>
                <w:sz w:val="22"/>
                <w:szCs w:val="22"/>
              </w:rPr>
              <w:t>.</w:t>
            </w:r>
            <w:r w:rsidRPr="004E4C62">
              <w:rPr>
                <w:rFonts w:ascii="Times New Roman" w:hAnsi="Times New Roman"/>
                <w:sz w:val="22"/>
                <w:szCs w:val="22"/>
              </w:rPr>
              <w:t>)</w:t>
            </w:r>
          </w:p>
        </w:tc>
        <w:tc>
          <w:tcPr>
            <w:tcW w:w="539" w:type="pct"/>
            <w:shd w:val="clear" w:color="auto" w:fill="auto"/>
          </w:tcPr>
          <w:p w:rsidR="00B45C5A" w:rsidRPr="004E4C62" w:rsidP="00261170" w14:paraId="4990C782" w14:textId="77777777">
            <w:pPr>
              <w:jc w:val="right"/>
              <w:rPr>
                <w:rFonts w:ascii="Times New Roman" w:hAnsi="Times New Roman"/>
                <w:sz w:val="22"/>
                <w:szCs w:val="22"/>
              </w:rPr>
            </w:pPr>
            <w:r w:rsidRPr="004E4C62">
              <w:rPr>
                <w:rFonts w:ascii="Times New Roman" w:hAnsi="Times New Roman"/>
                <w:sz w:val="22"/>
                <w:szCs w:val="22"/>
              </w:rPr>
              <w:t>2</w:t>
            </w:r>
          </w:p>
        </w:tc>
      </w:tr>
      <w:tr w14:paraId="5CDED356"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60EF5EC0" w14:textId="77777777">
            <w:pPr>
              <w:rPr>
                <w:rFonts w:ascii="Times New Roman" w:hAnsi="Times New Roman"/>
                <w:sz w:val="22"/>
                <w:szCs w:val="22"/>
              </w:rPr>
            </w:pPr>
            <w:r w:rsidRPr="004E4C62">
              <w:rPr>
                <w:rFonts w:ascii="Times New Roman" w:hAnsi="Times New Roman"/>
                <w:color w:val="000000" w:themeColor="text1"/>
                <w:sz w:val="22"/>
                <w:szCs w:val="22"/>
              </w:rPr>
              <w:t>§</w:t>
            </w:r>
            <w:r w:rsidRPr="004E4C62" w:rsidR="00FE123A">
              <w:rPr>
                <w:rFonts w:ascii="Times New Roman" w:hAnsi="Times New Roman"/>
                <w:sz w:val="22"/>
                <w:szCs w:val="22"/>
              </w:rPr>
              <w:t> </w:t>
            </w:r>
            <w:r w:rsidRPr="004E4C62">
              <w:rPr>
                <w:rFonts w:ascii="Times New Roman" w:hAnsi="Times New Roman"/>
                <w:sz w:val="22"/>
                <w:szCs w:val="22"/>
              </w:rPr>
              <w:t xml:space="preserve">203.39(g); </w:t>
            </w:r>
            <w:r w:rsidR="00B140C9">
              <w:rPr>
                <w:rFonts w:ascii="Times New Roman" w:hAnsi="Times New Roman"/>
                <w:sz w:val="22"/>
                <w:szCs w:val="22"/>
              </w:rPr>
              <w:t>r</w:t>
            </w:r>
            <w:r w:rsidRPr="004E4C62">
              <w:rPr>
                <w:rFonts w:ascii="Times New Roman" w:hAnsi="Times New Roman"/>
                <w:sz w:val="22"/>
                <w:szCs w:val="22"/>
              </w:rPr>
              <w:t>econciliation report</w:t>
            </w:r>
          </w:p>
        </w:tc>
        <w:tc>
          <w:tcPr>
            <w:tcW w:w="700" w:type="pct"/>
            <w:shd w:val="clear" w:color="auto" w:fill="auto"/>
          </w:tcPr>
          <w:p w:rsidR="00B45C5A" w:rsidRPr="004E4C62" w:rsidP="00261170" w14:paraId="5A12E1FC" w14:textId="77777777">
            <w:pPr>
              <w:jc w:val="right"/>
              <w:rPr>
                <w:rFonts w:ascii="Times New Roman" w:hAnsi="Times New Roman"/>
                <w:sz w:val="22"/>
                <w:szCs w:val="22"/>
              </w:rPr>
            </w:pPr>
            <w:r w:rsidRPr="004E4C62">
              <w:rPr>
                <w:rFonts w:ascii="Times New Roman" w:hAnsi="Times New Roman"/>
                <w:sz w:val="22"/>
                <w:szCs w:val="22"/>
              </w:rPr>
              <w:t>1</w:t>
            </w:r>
          </w:p>
        </w:tc>
        <w:tc>
          <w:tcPr>
            <w:tcW w:w="888" w:type="pct"/>
            <w:shd w:val="clear" w:color="auto" w:fill="auto"/>
          </w:tcPr>
          <w:p w:rsidR="00B45C5A" w:rsidRPr="004E4C62" w:rsidP="00261170" w14:paraId="21747284" w14:textId="77777777">
            <w:pPr>
              <w:jc w:val="right"/>
              <w:rPr>
                <w:rFonts w:ascii="Times New Roman" w:hAnsi="Times New Roman"/>
                <w:sz w:val="22"/>
                <w:szCs w:val="22"/>
              </w:rPr>
            </w:pPr>
            <w:r w:rsidRPr="004E4C62">
              <w:rPr>
                <w:rFonts w:ascii="Times New Roman" w:hAnsi="Times New Roman"/>
                <w:sz w:val="22"/>
                <w:szCs w:val="22"/>
              </w:rPr>
              <w:t>1</w:t>
            </w:r>
          </w:p>
        </w:tc>
        <w:tc>
          <w:tcPr>
            <w:tcW w:w="748" w:type="pct"/>
            <w:shd w:val="clear" w:color="auto" w:fill="auto"/>
          </w:tcPr>
          <w:p w:rsidR="00B45C5A" w:rsidRPr="004E4C62" w:rsidP="00261170" w14:paraId="0B59EFFF" w14:textId="77777777">
            <w:pPr>
              <w:jc w:val="right"/>
              <w:rPr>
                <w:rFonts w:ascii="Times New Roman" w:hAnsi="Times New Roman"/>
                <w:sz w:val="22"/>
                <w:szCs w:val="22"/>
              </w:rPr>
            </w:pPr>
            <w:r w:rsidRPr="004E4C62">
              <w:rPr>
                <w:rFonts w:ascii="Times New Roman" w:hAnsi="Times New Roman"/>
                <w:sz w:val="22"/>
                <w:szCs w:val="22"/>
              </w:rPr>
              <w:t>1</w:t>
            </w:r>
          </w:p>
        </w:tc>
        <w:tc>
          <w:tcPr>
            <w:tcW w:w="769" w:type="pct"/>
            <w:shd w:val="clear" w:color="auto" w:fill="auto"/>
          </w:tcPr>
          <w:p w:rsidR="00B45C5A" w:rsidRPr="004E4C62" w:rsidP="00261170" w14:paraId="1458CC67" w14:textId="77777777">
            <w:pPr>
              <w:jc w:val="right"/>
              <w:rPr>
                <w:rFonts w:ascii="Times New Roman" w:hAnsi="Times New Roman"/>
                <w:sz w:val="22"/>
                <w:szCs w:val="22"/>
              </w:rPr>
            </w:pPr>
            <w:r w:rsidRPr="004E4C62">
              <w:rPr>
                <w:rFonts w:ascii="Times New Roman" w:hAnsi="Times New Roman"/>
                <w:sz w:val="22"/>
                <w:szCs w:val="22"/>
              </w:rPr>
              <w:t>1</w:t>
            </w:r>
          </w:p>
        </w:tc>
        <w:tc>
          <w:tcPr>
            <w:tcW w:w="539" w:type="pct"/>
            <w:shd w:val="clear" w:color="auto" w:fill="auto"/>
          </w:tcPr>
          <w:p w:rsidR="00B45C5A" w:rsidRPr="004E4C62" w:rsidP="00261170" w14:paraId="2DA638D3" w14:textId="77777777">
            <w:pPr>
              <w:jc w:val="right"/>
              <w:rPr>
                <w:rFonts w:ascii="Times New Roman" w:hAnsi="Times New Roman"/>
                <w:sz w:val="22"/>
                <w:szCs w:val="22"/>
              </w:rPr>
            </w:pPr>
            <w:r w:rsidRPr="004E4C62">
              <w:rPr>
                <w:rFonts w:ascii="Times New Roman" w:hAnsi="Times New Roman"/>
                <w:sz w:val="22"/>
                <w:szCs w:val="22"/>
              </w:rPr>
              <w:t>1</w:t>
            </w:r>
          </w:p>
        </w:tc>
      </w:tr>
      <w:tr w14:paraId="2F0F7FF9" w14:textId="77777777" w:rsidTr="00B140C9">
        <w:tblPrEx>
          <w:tblW w:w="5313" w:type="pct"/>
          <w:tblInd w:w="-5" w:type="dxa"/>
          <w:tblLook w:val="01E0"/>
        </w:tblPrEx>
        <w:trPr>
          <w:cantSplit/>
          <w:trHeight w:val="20"/>
        </w:trPr>
        <w:tc>
          <w:tcPr>
            <w:tcW w:w="1355" w:type="pct"/>
            <w:shd w:val="clear" w:color="auto" w:fill="auto"/>
          </w:tcPr>
          <w:p w:rsidR="00B45C5A" w:rsidRPr="004E4C62" w:rsidP="00261170" w14:paraId="6B5E7E87" w14:textId="77777777">
            <w:pPr>
              <w:rPr>
                <w:rFonts w:ascii="Times New Roman" w:hAnsi="Times New Roman"/>
                <w:sz w:val="22"/>
                <w:szCs w:val="22"/>
              </w:rPr>
            </w:pPr>
            <w:r w:rsidRPr="004E4C62">
              <w:rPr>
                <w:rFonts w:ascii="Times New Roman" w:hAnsi="Times New Roman"/>
                <w:sz w:val="22"/>
                <w:szCs w:val="22"/>
              </w:rPr>
              <w:t>Total</w:t>
            </w:r>
          </w:p>
        </w:tc>
        <w:tc>
          <w:tcPr>
            <w:tcW w:w="700" w:type="pct"/>
            <w:shd w:val="clear" w:color="auto" w:fill="auto"/>
          </w:tcPr>
          <w:p w:rsidR="00B45C5A" w:rsidRPr="004E4C62" w:rsidP="00261170" w14:paraId="2328FDA7" w14:textId="77777777">
            <w:pPr>
              <w:jc w:val="right"/>
              <w:rPr>
                <w:rFonts w:ascii="Times New Roman" w:hAnsi="Times New Roman"/>
                <w:sz w:val="22"/>
                <w:szCs w:val="22"/>
              </w:rPr>
            </w:pPr>
          </w:p>
        </w:tc>
        <w:tc>
          <w:tcPr>
            <w:tcW w:w="888" w:type="pct"/>
            <w:shd w:val="clear" w:color="auto" w:fill="auto"/>
          </w:tcPr>
          <w:p w:rsidR="00B45C5A" w:rsidRPr="004E4C62" w:rsidP="00261170" w14:paraId="7697A5D7" w14:textId="77777777">
            <w:pPr>
              <w:jc w:val="right"/>
              <w:rPr>
                <w:rFonts w:ascii="Times New Roman" w:hAnsi="Times New Roman"/>
                <w:sz w:val="22"/>
                <w:szCs w:val="22"/>
              </w:rPr>
            </w:pPr>
          </w:p>
        </w:tc>
        <w:tc>
          <w:tcPr>
            <w:tcW w:w="748" w:type="pct"/>
            <w:shd w:val="clear" w:color="auto" w:fill="auto"/>
          </w:tcPr>
          <w:p w:rsidR="00B45C5A" w:rsidRPr="004E4C62" w:rsidP="00261170" w14:paraId="32C20F75" w14:textId="77777777">
            <w:pPr>
              <w:jc w:val="right"/>
              <w:rPr>
                <w:rFonts w:ascii="Times New Roman" w:hAnsi="Times New Roman"/>
                <w:sz w:val="22"/>
                <w:szCs w:val="22"/>
              </w:rPr>
            </w:pPr>
            <w:r w:rsidRPr="004E4C62">
              <w:rPr>
                <w:rFonts w:ascii="Times New Roman" w:hAnsi="Times New Roman"/>
                <w:sz w:val="22"/>
                <w:szCs w:val="22"/>
              </w:rPr>
              <w:t>8,323</w:t>
            </w:r>
          </w:p>
        </w:tc>
        <w:tc>
          <w:tcPr>
            <w:tcW w:w="769" w:type="pct"/>
            <w:shd w:val="clear" w:color="auto" w:fill="auto"/>
          </w:tcPr>
          <w:p w:rsidR="00B45C5A" w:rsidRPr="004E4C62" w:rsidP="00261170" w14:paraId="59D7DA23" w14:textId="77777777">
            <w:pPr>
              <w:jc w:val="right"/>
              <w:rPr>
                <w:rFonts w:ascii="Times New Roman" w:hAnsi="Times New Roman"/>
                <w:sz w:val="22"/>
                <w:szCs w:val="22"/>
              </w:rPr>
            </w:pPr>
          </w:p>
        </w:tc>
        <w:tc>
          <w:tcPr>
            <w:tcW w:w="539" w:type="pct"/>
            <w:shd w:val="clear" w:color="auto" w:fill="auto"/>
          </w:tcPr>
          <w:p w:rsidR="00B45C5A" w:rsidRPr="004E4C62" w:rsidP="00261170" w14:paraId="48D85A5D" w14:textId="77777777">
            <w:pPr>
              <w:jc w:val="right"/>
              <w:rPr>
                <w:rFonts w:ascii="Times New Roman" w:hAnsi="Times New Roman"/>
                <w:sz w:val="22"/>
                <w:szCs w:val="22"/>
              </w:rPr>
            </w:pPr>
            <w:r w:rsidRPr="004E4C62">
              <w:rPr>
                <w:rFonts w:ascii="Times New Roman" w:hAnsi="Times New Roman"/>
                <w:sz w:val="22"/>
                <w:szCs w:val="22"/>
              </w:rPr>
              <w:t>2,080</w:t>
            </w:r>
          </w:p>
        </w:tc>
      </w:tr>
    </w:tbl>
    <w:p w:rsidR="00D8485E" w:rsidRPr="004E4C62" w:rsidP="00D8485E" w14:paraId="00AD334D" w14:textId="77777777">
      <w:pPr>
        <w:rPr>
          <w:rFonts w:ascii="Times New Roman" w:hAnsi="Times New Roman"/>
          <w:sz w:val="20"/>
        </w:rPr>
      </w:pPr>
      <w:r w:rsidRPr="004E4C62">
        <w:rPr>
          <w:rFonts w:ascii="Times New Roman" w:hAnsi="Times New Roman"/>
          <w:sz w:val="20"/>
          <w:vertAlign w:val="superscript"/>
        </w:rPr>
        <w:t>1</w:t>
      </w:r>
      <w:r w:rsidRPr="004E4C62">
        <w:rPr>
          <w:rFonts w:ascii="Times New Roman" w:hAnsi="Times New Roman"/>
          <w:sz w:val="20"/>
        </w:rPr>
        <w:t xml:space="preserve"> There are no capital costs or operating and maintenance costs associated with this collection of information.</w:t>
      </w:r>
    </w:p>
    <w:p w:rsidR="00B45C5A" w:rsidRPr="00B45C5A" w:rsidP="00B45C5A" w14:paraId="0F95BB29" w14:textId="77777777">
      <w:pPr>
        <w:rPr>
          <w:rFonts w:ascii="Times New Roman" w:hAnsi="Times New Roman"/>
          <w:sz w:val="20"/>
          <w:vertAlign w:val="superscript"/>
        </w:rPr>
      </w:pPr>
    </w:p>
    <w:p w:rsidR="00B45C5A" w:rsidRPr="004E4C62" w:rsidP="00B45C5A" w14:paraId="7E39D17C" w14:textId="77777777">
      <w:pPr>
        <w:jc w:val="center"/>
        <w:rPr>
          <w:rFonts w:ascii="Times New Roman" w:hAnsi="Times New Roman"/>
          <w:sz w:val="22"/>
          <w:szCs w:val="22"/>
        </w:rPr>
      </w:pPr>
    </w:p>
    <w:p w:rsidR="00B45C5A" w:rsidRPr="004E4C62" w:rsidP="00B45C5A" w14:paraId="0B26733B" w14:textId="77777777">
      <w:pPr>
        <w:jc w:val="center"/>
        <w:rPr>
          <w:rFonts w:ascii="Times New Roman" w:hAnsi="Times New Roman"/>
          <w:sz w:val="22"/>
          <w:szCs w:val="22"/>
        </w:rPr>
      </w:pPr>
      <w:r w:rsidRPr="004E4C62">
        <w:rPr>
          <w:rFonts w:ascii="Times New Roman" w:hAnsi="Times New Roman"/>
          <w:sz w:val="22"/>
          <w:szCs w:val="22"/>
        </w:rPr>
        <w:t>Table 2.--Estimated Annual Recordkeeping Burden</w:t>
      </w:r>
      <w:r w:rsidRPr="004E4C62" w:rsidR="00D8485E">
        <w:rPr>
          <w:rFonts w:ascii="Times New Roman" w:hAnsi="Times New Roman"/>
          <w:sz w:val="22"/>
          <w:szCs w:val="22"/>
          <w:vertAlign w:val="superscript"/>
        </w:rPr>
        <w:t>1</w:t>
      </w:r>
    </w:p>
    <w:tbl>
      <w:tblPr>
        <w:tblW w:w="53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5"/>
        <w:gridCol w:w="1578"/>
        <w:gridCol w:w="1671"/>
        <w:gridCol w:w="1299"/>
        <w:gridCol w:w="1675"/>
        <w:gridCol w:w="1017"/>
      </w:tblGrid>
      <w:tr w14:paraId="133E3799" w14:textId="77777777" w:rsidTr="00A320E0">
        <w:tblPrEx>
          <w:tblW w:w="53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1356" w:type="pct"/>
            <w:shd w:val="clear" w:color="auto" w:fill="auto"/>
          </w:tcPr>
          <w:p w:rsidR="00B140C9" w:rsidP="00261170" w14:paraId="5D1F4CF6" w14:textId="77777777">
            <w:pPr>
              <w:jc w:val="center"/>
              <w:rPr>
                <w:rFonts w:ascii="Times New Roman" w:hAnsi="Times New Roman"/>
                <w:sz w:val="21"/>
                <w:szCs w:val="21"/>
              </w:rPr>
            </w:pPr>
            <w:r w:rsidRPr="00B140C9">
              <w:rPr>
                <w:rFonts w:ascii="Times New Roman" w:hAnsi="Times New Roman"/>
                <w:sz w:val="21"/>
                <w:szCs w:val="21"/>
              </w:rPr>
              <w:t xml:space="preserve">21 CFR Section; </w:t>
            </w:r>
          </w:p>
          <w:p w:rsidR="00B45C5A" w:rsidRPr="00B140C9" w:rsidP="00261170" w14:paraId="14D871DB" w14:textId="77777777">
            <w:pPr>
              <w:jc w:val="center"/>
              <w:rPr>
                <w:rFonts w:ascii="Times New Roman" w:hAnsi="Times New Roman"/>
                <w:sz w:val="21"/>
                <w:szCs w:val="21"/>
              </w:rPr>
            </w:pPr>
            <w:r>
              <w:rPr>
                <w:rFonts w:ascii="Times New Roman" w:hAnsi="Times New Roman"/>
                <w:sz w:val="21"/>
                <w:szCs w:val="21"/>
              </w:rPr>
              <w:t xml:space="preserve">Collection </w:t>
            </w:r>
            <w:r w:rsidRPr="00B140C9">
              <w:rPr>
                <w:rFonts w:ascii="Times New Roman" w:hAnsi="Times New Roman"/>
                <w:sz w:val="21"/>
                <w:szCs w:val="21"/>
              </w:rPr>
              <w:t>Activity</w:t>
            </w:r>
          </w:p>
        </w:tc>
        <w:tc>
          <w:tcPr>
            <w:tcW w:w="794" w:type="pct"/>
            <w:shd w:val="clear" w:color="auto" w:fill="auto"/>
          </w:tcPr>
          <w:p w:rsidR="00B45C5A" w:rsidRPr="00B140C9" w:rsidP="00261170" w14:paraId="4E949508" w14:textId="77777777">
            <w:pPr>
              <w:jc w:val="center"/>
              <w:rPr>
                <w:rFonts w:ascii="Times New Roman" w:hAnsi="Times New Roman"/>
                <w:sz w:val="21"/>
                <w:szCs w:val="21"/>
              </w:rPr>
            </w:pPr>
            <w:r w:rsidRPr="00B140C9">
              <w:rPr>
                <w:rFonts w:ascii="Times New Roman" w:hAnsi="Times New Roman"/>
                <w:sz w:val="21"/>
                <w:szCs w:val="21"/>
              </w:rPr>
              <w:t>No. of Recordkeepers</w:t>
            </w:r>
          </w:p>
        </w:tc>
        <w:tc>
          <w:tcPr>
            <w:tcW w:w="841" w:type="pct"/>
            <w:shd w:val="clear" w:color="auto" w:fill="auto"/>
          </w:tcPr>
          <w:p w:rsidR="00B45C5A" w:rsidRPr="00B140C9" w:rsidP="00261170" w14:paraId="35262FC5" w14:textId="77777777">
            <w:pPr>
              <w:jc w:val="center"/>
              <w:rPr>
                <w:rFonts w:ascii="Times New Roman" w:hAnsi="Times New Roman"/>
                <w:sz w:val="21"/>
                <w:szCs w:val="21"/>
              </w:rPr>
            </w:pPr>
            <w:r w:rsidRPr="00B140C9">
              <w:rPr>
                <w:rFonts w:ascii="Times New Roman" w:hAnsi="Times New Roman"/>
                <w:sz w:val="21"/>
                <w:szCs w:val="21"/>
              </w:rPr>
              <w:t>No. of Records per Recordkeeper</w:t>
            </w:r>
          </w:p>
        </w:tc>
        <w:tc>
          <w:tcPr>
            <w:tcW w:w="654" w:type="pct"/>
            <w:shd w:val="clear" w:color="auto" w:fill="auto"/>
          </w:tcPr>
          <w:p w:rsidR="00B45C5A" w:rsidRPr="00B140C9" w:rsidP="00261170" w14:paraId="15036692" w14:textId="77777777">
            <w:pPr>
              <w:jc w:val="center"/>
              <w:rPr>
                <w:rFonts w:ascii="Times New Roman" w:hAnsi="Times New Roman"/>
                <w:sz w:val="21"/>
                <w:szCs w:val="21"/>
              </w:rPr>
            </w:pPr>
            <w:r w:rsidRPr="00B140C9">
              <w:rPr>
                <w:rFonts w:ascii="Times New Roman" w:hAnsi="Times New Roman"/>
                <w:sz w:val="21"/>
                <w:szCs w:val="21"/>
              </w:rPr>
              <w:t>Total Annual Records</w:t>
            </w:r>
          </w:p>
        </w:tc>
        <w:tc>
          <w:tcPr>
            <w:tcW w:w="843" w:type="pct"/>
            <w:shd w:val="clear" w:color="auto" w:fill="auto"/>
          </w:tcPr>
          <w:p w:rsidR="00B45C5A" w:rsidRPr="00B140C9" w:rsidP="00261170" w14:paraId="3E82A5E3" w14:textId="77777777">
            <w:pPr>
              <w:jc w:val="center"/>
              <w:rPr>
                <w:rFonts w:ascii="Times New Roman" w:hAnsi="Times New Roman"/>
                <w:sz w:val="21"/>
                <w:szCs w:val="21"/>
              </w:rPr>
            </w:pPr>
            <w:r w:rsidRPr="00B140C9">
              <w:rPr>
                <w:rFonts w:ascii="Times New Roman" w:hAnsi="Times New Roman"/>
                <w:sz w:val="21"/>
                <w:szCs w:val="21"/>
              </w:rPr>
              <w:t xml:space="preserve">Average Burden per Recordkeeping </w:t>
            </w:r>
          </w:p>
        </w:tc>
        <w:tc>
          <w:tcPr>
            <w:tcW w:w="512" w:type="pct"/>
            <w:shd w:val="clear" w:color="auto" w:fill="auto"/>
          </w:tcPr>
          <w:p w:rsidR="00B45C5A" w:rsidRPr="00B140C9" w:rsidP="00261170" w14:paraId="3522CDCE" w14:textId="77777777">
            <w:pPr>
              <w:jc w:val="center"/>
              <w:rPr>
                <w:rFonts w:ascii="Times New Roman" w:hAnsi="Times New Roman"/>
                <w:sz w:val="21"/>
                <w:szCs w:val="21"/>
              </w:rPr>
            </w:pPr>
            <w:r w:rsidRPr="00B140C9">
              <w:rPr>
                <w:rFonts w:ascii="Times New Roman" w:hAnsi="Times New Roman"/>
                <w:sz w:val="21"/>
                <w:szCs w:val="21"/>
              </w:rPr>
              <w:t>Total Hours</w:t>
            </w:r>
          </w:p>
        </w:tc>
      </w:tr>
      <w:tr w14:paraId="5523F411" w14:textId="77777777" w:rsidTr="00B140C9">
        <w:tblPrEx>
          <w:tblW w:w="5313" w:type="pct"/>
          <w:tblInd w:w="-5" w:type="dxa"/>
          <w:tblLayout w:type="fixed"/>
          <w:tblLook w:val="01E0"/>
        </w:tblPrEx>
        <w:trPr>
          <w:cantSplit/>
          <w:trHeight w:val="20"/>
        </w:trPr>
        <w:tc>
          <w:tcPr>
            <w:tcW w:w="5000" w:type="pct"/>
            <w:gridSpan w:val="6"/>
            <w:shd w:val="clear" w:color="auto" w:fill="auto"/>
          </w:tcPr>
          <w:p w:rsidR="00B45C5A" w:rsidRPr="004E4C62" w:rsidP="00261170" w14:paraId="54E7A14D" w14:textId="77777777">
            <w:pPr>
              <w:jc w:val="center"/>
              <w:rPr>
                <w:rFonts w:ascii="Times New Roman" w:hAnsi="Times New Roman"/>
                <w:sz w:val="22"/>
                <w:szCs w:val="22"/>
              </w:rPr>
            </w:pPr>
            <w:r w:rsidRPr="004E4C62">
              <w:rPr>
                <w:rFonts w:ascii="Times New Roman" w:hAnsi="Times New Roman"/>
                <w:sz w:val="22"/>
                <w:szCs w:val="22"/>
              </w:rPr>
              <w:t>Subpart C: Sale restrictions</w:t>
            </w:r>
          </w:p>
        </w:tc>
      </w:tr>
      <w:tr w14:paraId="0CDD5948" w14:textId="77777777" w:rsidTr="00B140C9">
        <w:tblPrEx>
          <w:tblW w:w="5313" w:type="pct"/>
          <w:tblInd w:w="-5" w:type="dxa"/>
          <w:tblLayout w:type="fixed"/>
          <w:tblLook w:val="01E0"/>
        </w:tblPrEx>
        <w:trPr>
          <w:cantSplit/>
          <w:trHeight w:val="20"/>
        </w:trPr>
        <w:tc>
          <w:tcPr>
            <w:tcW w:w="1356" w:type="pct"/>
            <w:shd w:val="clear" w:color="auto" w:fill="auto"/>
          </w:tcPr>
          <w:p w:rsidR="00B45C5A" w:rsidRPr="004E4C62" w:rsidP="00261170" w14:paraId="5F571BFF" w14:textId="77777777">
            <w:pPr>
              <w:rPr>
                <w:rFonts w:ascii="Times New Roman" w:hAnsi="Times New Roman"/>
                <w:sz w:val="22"/>
                <w:szCs w:val="22"/>
              </w:rPr>
            </w:pPr>
            <w:r w:rsidRPr="004E4C62">
              <w:rPr>
                <w:rFonts w:ascii="Times New Roman" w:hAnsi="Times New Roman"/>
                <w:color w:val="000000" w:themeColor="text1"/>
                <w:sz w:val="22"/>
                <w:szCs w:val="22"/>
              </w:rPr>
              <w:t>§</w:t>
            </w:r>
            <w:r w:rsidRPr="004E4C62" w:rsidR="00FE123A">
              <w:rPr>
                <w:rFonts w:ascii="Times New Roman" w:hAnsi="Times New Roman"/>
                <w:sz w:val="22"/>
                <w:szCs w:val="22"/>
              </w:rPr>
              <w:t> </w:t>
            </w:r>
            <w:r w:rsidRPr="004E4C62">
              <w:rPr>
                <w:rFonts w:ascii="Times New Roman" w:hAnsi="Times New Roman"/>
                <w:sz w:val="22"/>
                <w:szCs w:val="22"/>
              </w:rPr>
              <w:t xml:space="preserve">203.23(a) and (b); </w:t>
            </w:r>
            <w:r w:rsidR="00B140C9">
              <w:rPr>
                <w:rFonts w:ascii="Times New Roman" w:hAnsi="Times New Roman"/>
                <w:sz w:val="22"/>
                <w:szCs w:val="22"/>
              </w:rPr>
              <w:t>r</w:t>
            </w:r>
            <w:r w:rsidRPr="004E4C62">
              <w:rPr>
                <w:rFonts w:ascii="Times New Roman" w:hAnsi="Times New Roman"/>
                <w:sz w:val="22"/>
                <w:szCs w:val="22"/>
              </w:rPr>
              <w:t>eturned drugs</w:t>
            </w:r>
          </w:p>
        </w:tc>
        <w:tc>
          <w:tcPr>
            <w:tcW w:w="794" w:type="pct"/>
            <w:shd w:val="clear" w:color="auto" w:fill="auto"/>
          </w:tcPr>
          <w:p w:rsidR="00B45C5A" w:rsidRPr="004E4C62" w:rsidP="00261170" w14:paraId="2BD9EE17" w14:textId="77777777">
            <w:pPr>
              <w:jc w:val="right"/>
              <w:rPr>
                <w:rFonts w:ascii="Times New Roman" w:hAnsi="Times New Roman"/>
                <w:sz w:val="22"/>
                <w:szCs w:val="22"/>
              </w:rPr>
            </w:pPr>
            <w:r w:rsidRPr="004E4C62">
              <w:rPr>
                <w:rFonts w:ascii="Times New Roman" w:hAnsi="Times New Roman"/>
                <w:sz w:val="22"/>
                <w:szCs w:val="22"/>
              </w:rPr>
              <w:t>2,200</w:t>
            </w:r>
          </w:p>
        </w:tc>
        <w:tc>
          <w:tcPr>
            <w:tcW w:w="841" w:type="pct"/>
            <w:shd w:val="clear" w:color="auto" w:fill="auto"/>
          </w:tcPr>
          <w:p w:rsidR="00B45C5A" w:rsidRPr="004E4C62" w:rsidP="00261170" w14:paraId="628FA3C6" w14:textId="77777777">
            <w:pPr>
              <w:jc w:val="right"/>
              <w:rPr>
                <w:rFonts w:ascii="Times New Roman" w:hAnsi="Times New Roman"/>
                <w:sz w:val="22"/>
                <w:szCs w:val="22"/>
              </w:rPr>
            </w:pPr>
            <w:r w:rsidRPr="004E4C62">
              <w:rPr>
                <w:rFonts w:ascii="Times New Roman" w:hAnsi="Times New Roman"/>
                <w:sz w:val="22"/>
                <w:szCs w:val="22"/>
              </w:rPr>
              <w:t>71.99</w:t>
            </w:r>
          </w:p>
        </w:tc>
        <w:tc>
          <w:tcPr>
            <w:tcW w:w="654" w:type="pct"/>
            <w:shd w:val="clear" w:color="auto" w:fill="auto"/>
          </w:tcPr>
          <w:p w:rsidR="00B45C5A" w:rsidRPr="004E4C62" w:rsidP="00261170" w14:paraId="3B8ABE58" w14:textId="77777777">
            <w:pPr>
              <w:jc w:val="right"/>
              <w:rPr>
                <w:rFonts w:ascii="Times New Roman" w:hAnsi="Times New Roman"/>
                <w:sz w:val="22"/>
                <w:szCs w:val="22"/>
              </w:rPr>
            </w:pPr>
            <w:r w:rsidRPr="004E4C62">
              <w:rPr>
                <w:rFonts w:ascii="Times New Roman" w:hAnsi="Times New Roman"/>
                <w:sz w:val="22"/>
                <w:szCs w:val="22"/>
              </w:rPr>
              <w:t>158,380</w:t>
            </w:r>
          </w:p>
        </w:tc>
        <w:tc>
          <w:tcPr>
            <w:tcW w:w="843" w:type="pct"/>
            <w:shd w:val="clear" w:color="auto" w:fill="auto"/>
          </w:tcPr>
          <w:p w:rsidR="00B45C5A" w:rsidRPr="004E4C62" w:rsidP="00261170" w14:paraId="54B50085" w14:textId="77777777">
            <w:pPr>
              <w:jc w:val="right"/>
              <w:rPr>
                <w:rFonts w:ascii="Times New Roman" w:hAnsi="Times New Roman"/>
                <w:sz w:val="22"/>
                <w:szCs w:val="22"/>
              </w:rPr>
            </w:pPr>
            <w:r w:rsidRPr="004E4C62">
              <w:rPr>
                <w:rFonts w:ascii="Times New Roman" w:hAnsi="Times New Roman"/>
                <w:sz w:val="22"/>
                <w:szCs w:val="22"/>
              </w:rPr>
              <w:t xml:space="preserve">0.25 </w:t>
            </w:r>
          </w:p>
          <w:p w:rsidR="00B45C5A" w:rsidRPr="004E4C62" w:rsidP="00261170" w14:paraId="3EE1E441" w14:textId="77777777">
            <w:pPr>
              <w:jc w:val="right"/>
              <w:rPr>
                <w:rFonts w:ascii="Times New Roman" w:hAnsi="Times New Roman"/>
                <w:sz w:val="22"/>
                <w:szCs w:val="22"/>
              </w:rPr>
            </w:pPr>
            <w:r w:rsidRPr="004E4C62">
              <w:rPr>
                <w:rFonts w:ascii="Times New Roman" w:hAnsi="Times New Roman"/>
                <w:sz w:val="22"/>
                <w:szCs w:val="22"/>
              </w:rPr>
              <w:t>(15 mins</w:t>
            </w:r>
            <w:r w:rsidR="00D85A4B">
              <w:rPr>
                <w:rFonts w:ascii="Times New Roman" w:hAnsi="Times New Roman"/>
                <w:sz w:val="22"/>
                <w:szCs w:val="22"/>
              </w:rPr>
              <w:t>.</w:t>
            </w:r>
            <w:r w:rsidRPr="004E4C62">
              <w:rPr>
                <w:rFonts w:ascii="Times New Roman" w:hAnsi="Times New Roman"/>
                <w:sz w:val="22"/>
                <w:szCs w:val="22"/>
              </w:rPr>
              <w:t>)</w:t>
            </w:r>
          </w:p>
        </w:tc>
        <w:tc>
          <w:tcPr>
            <w:tcW w:w="512" w:type="pct"/>
            <w:shd w:val="clear" w:color="auto" w:fill="auto"/>
          </w:tcPr>
          <w:p w:rsidR="00B45C5A" w:rsidRPr="004E4C62" w:rsidP="00261170" w14:paraId="7AFE67B4" w14:textId="77777777">
            <w:pPr>
              <w:jc w:val="right"/>
              <w:rPr>
                <w:rFonts w:ascii="Times New Roman" w:hAnsi="Times New Roman"/>
                <w:sz w:val="22"/>
                <w:szCs w:val="22"/>
              </w:rPr>
            </w:pPr>
            <w:r w:rsidRPr="004E4C62">
              <w:rPr>
                <w:rFonts w:ascii="Times New Roman" w:hAnsi="Times New Roman"/>
                <w:sz w:val="22"/>
                <w:szCs w:val="22"/>
              </w:rPr>
              <w:t>39,595</w:t>
            </w:r>
          </w:p>
        </w:tc>
      </w:tr>
      <w:tr w14:paraId="5433BC8C" w14:textId="77777777" w:rsidTr="00B140C9">
        <w:tblPrEx>
          <w:tblW w:w="5313" w:type="pct"/>
          <w:tblInd w:w="-5" w:type="dxa"/>
          <w:tblLayout w:type="fixed"/>
          <w:tblLook w:val="01E0"/>
        </w:tblPrEx>
        <w:trPr>
          <w:cantSplit/>
          <w:trHeight w:val="20"/>
        </w:trPr>
        <w:tc>
          <w:tcPr>
            <w:tcW w:w="1356" w:type="pct"/>
            <w:shd w:val="clear" w:color="auto" w:fill="auto"/>
          </w:tcPr>
          <w:p w:rsidR="00B45C5A" w:rsidRPr="004E4C62" w:rsidP="00261170" w14:paraId="22B6E06C" w14:textId="77777777">
            <w:pPr>
              <w:rPr>
                <w:rFonts w:ascii="Times New Roman" w:hAnsi="Times New Roman"/>
                <w:sz w:val="22"/>
                <w:szCs w:val="22"/>
              </w:rPr>
            </w:pPr>
            <w:r w:rsidRPr="004E4C62">
              <w:rPr>
                <w:rFonts w:ascii="Times New Roman" w:hAnsi="Times New Roman"/>
                <w:color w:val="000000" w:themeColor="text1"/>
                <w:sz w:val="22"/>
                <w:szCs w:val="22"/>
              </w:rPr>
              <w:t>§</w:t>
            </w:r>
            <w:r w:rsidRPr="004E4C62" w:rsidR="00FE123A">
              <w:rPr>
                <w:rFonts w:ascii="Times New Roman" w:hAnsi="Times New Roman"/>
                <w:sz w:val="22"/>
                <w:szCs w:val="22"/>
              </w:rPr>
              <w:t> </w:t>
            </w:r>
            <w:r w:rsidRPr="004E4C62">
              <w:rPr>
                <w:rFonts w:ascii="Times New Roman" w:hAnsi="Times New Roman"/>
                <w:sz w:val="22"/>
                <w:szCs w:val="22"/>
              </w:rPr>
              <w:t xml:space="preserve">203.23(c); </w:t>
            </w:r>
            <w:r w:rsidR="00B140C9">
              <w:rPr>
                <w:rFonts w:ascii="Times New Roman" w:hAnsi="Times New Roman"/>
                <w:sz w:val="22"/>
                <w:szCs w:val="22"/>
              </w:rPr>
              <w:t>r</w:t>
            </w:r>
            <w:r w:rsidRPr="004E4C62">
              <w:rPr>
                <w:rFonts w:ascii="Times New Roman" w:hAnsi="Times New Roman"/>
                <w:sz w:val="22"/>
                <w:szCs w:val="22"/>
              </w:rPr>
              <w:t>eturned drugs storage documentation</w:t>
            </w:r>
          </w:p>
        </w:tc>
        <w:tc>
          <w:tcPr>
            <w:tcW w:w="794" w:type="pct"/>
            <w:shd w:val="clear" w:color="auto" w:fill="auto"/>
          </w:tcPr>
          <w:p w:rsidR="00B45C5A" w:rsidRPr="004E4C62" w:rsidP="00261170" w14:paraId="5CCC4ABA" w14:textId="77777777">
            <w:pPr>
              <w:jc w:val="right"/>
              <w:rPr>
                <w:rFonts w:ascii="Times New Roman" w:hAnsi="Times New Roman"/>
                <w:sz w:val="22"/>
                <w:szCs w:val="22"/>
              </w:rPr>
            </w:pPr>
            <w:r w:rsidRPr="004E4C62">
              <w:rPr>
                <w:rFonts w:ascii="Times New Roman" w:hAnsi="Times New Roman"/>
                <w:sz w:val="22"/>
                <w:szCs w:val="22"/>
              </w:rPr>
              <w:t>2,200</w:t>
            </w:r>
          </w:p>
        </w:tc>
        <w:tc>
          <w:tcPr>
            <w:tcW w:w="841" w:type="pct"/>
            <w:shd w:val="clear" w:color="auto" w:fill="auto"/>
          </w:tcPr>
          <w:p w:rsidR="00B45C5A" w:rsidRPr="004E4C62" w:rsidP="00261170" w14:paraId="245BA3F4" w14:textId="77777777">
            <w:pPr>
              <w:jc w:val="right"/>
              <w:rPr>
                <w:rFonts w:ascii="Times New Roman" w:hAnsi="Times New Roman"/>
                <w:sz w:val="22"/>
                <w:szCs w:val="22"/>
              </w:rPr>
            </w:pPr>
            <w:r w:rsidRPr="004E4C62">
              <w:rPr>
                <w:rFonts w:ascii="Times New Roman" w:hAnsi="Times New Roman"/>
                <w:sz w:val="22"/>
                <w:szCs w:val="22"/>
              </w:rPr>
              <w:t>71.99</w:t>
            </w:r>
          </w:p>
        </w:tc>
        <w:tc>
          <w:tcPr>
            <w:tcW w:w="654" w:type="pct"/>
            <w:shd w:val="clear" w:color="auto" w:fill="auto"/>
          </w:tcPr>
          <w:p w:rsidR="00B45C5A" w:rsidRPr="004E4C62" w:rsidP="00261170" w14:paraId="6AAD8E12" w14:textId="77777777">
            <w:pPr>
              <w:jc w:val="right"/>
              <w:rPr>
                <w:rFonts w:ascii="Times New Roman" w:hAnsi="Times New Roman"/>
                <w:sz w:val="22"/>
                <w:szCs w:val="22"/>
              </w:rPr>
            </w:pPr>
            <w:r w:rsidRPr="004E4C62">
              <w:rPr>
                <w:rFonts w:ascii="Times New Roman" w:hAnsi="Times New Roman"/>
                <w:sz w:val="22"/>
                <w:szCs w:val="22"/>
              </w:rPr>
              <w:t>158,380</w:t>
            </w:r>
          </w:p>
        </w:tc>
        <w:tc>
          <w:tcPr>
            <w:tcW w:w="843" w:type="pct"/>
            <w:shd w:val="clear" w:color="auto" w:fill="auto"/>
          </w:tcPr>
          <w:p w:rsidR="00B45C5A" w:rsidRPr="004E4C62" w:rsidP="00261170" w14:paraId="1F303EDA" w14:textId="77777777">
            <w:pPr>
              <w:jc w:val="right"/>
              <w:rPr>
                <w:rFonts w:ascii="Times New Roman" w:hAnsi="Times New Roman"/>
                <w:sz w:val="22"/>
                <w:szCs w:val="22"/>
              </w:rPr>
            </w:pPr>
            <w:r w:rsidRPr="004E4C62">
              <w:rPr>
                <w:rFonts w:ascii="Times New Roman" w:hAnsi="Times New Roman"/>
                <w:sz w:val="22"/>
                <w:szCs w:val="22"/>
              </w:rPr>
              <w:t xml:space="preserve">0.08 </w:t>
            </w:r>
          </w:p>
          <w:p w:rsidR="00B45C5A" w:rsidRPr="004E4C62" w:rsidP="00261170" w14:paraId="18E803C5" w14:textId="77777777">
            <w:pPr>
              <w:jc w:val="right"/>
              <w:rPr>
                <w:rFonts w:ascii="Times New Roman" w:hAnsi="Times New Roman"/>
                <w:sz w:val="22"/>
                <w:szCs w:val="22"/>
              </w:rPr>
            </w:pPr>
            <w:r w:rsidRPr="004E4C62">
              <w:rPr>
                <w:rFonts w:ascii="Times New Roman" w:hAnsi="Times New Roman"/>
                <w:sz w:val="22"/>
                <w:szCs w:val="22"/>
              </w:rPr>
              <w:t>(5 mins</w:t>
            </w:r>
            <w:r w:rsidR="00D85A4B">
              <w:rPr>
                <w:rFonts w:ascii="Times New Roman" w:hAnsi="Times New Roman"/>
                <w:sz w:val="22"/>
                <w:szCs w:val="22"/>
              </w:rPr>
              <w:t>.</w:t>
            </w:r>
            <w:r w:rsidRPr="004E4C62">
              <w:rPr>
                <w:rFonts w:ascii="Times New Roman" w:hAnsi="Times New Roman"/>
                <w:sz w:val="22"/>
                <w:szCs w:val="22"/>
              </w:rPr>
              <w:t>)</w:t>
            </w:r>
          </w:p>
        </w:tc>
        <w:tc>
          <w:tcPr>
            <w:tcW w:w="512" w:type="pct"/>
            <w:shd w:val="clear" w:color="auto" w:fill="auto"/>
          </w:tcPr>
          <w:p w:rsidR="00B45C5A" w:rsidRPr="004E4C62" w:rsidP="00261170" w14:paraId="17E5567D" w14:textId="77777777">
            <w:pPr>
              <w:jc w:val="right"/>
              <w:rPr>
                <w:rFonts w:ascii="Times New Roman" w:hAnsi="Times New Roman"/>
                <w:sz w:val="22"/>
                <w:szCs w:val="22"/>
              </w:rPr>
            </w:pPr>
            <w:r w:rsidRPr="004E4C62">
              <w:rPr>
                <w:rFonts w:ascii="Times New Roman" w:hAnsi="Times New Roman"/>
                <w:sz w:val="22"/>
                <w:szCs w:val="22"/>
              </w:rPr>
              <w:t>12,670</w:t>
            </w:r>
          </w:p>
        </w:tc>
      </w:tr>
      <w:tr w14:paraId="0CE45542" w14:textId="77777777" w:rsidTr="00B140C9">
        <w:tblPrEx>
          <w:tblW w:w="5313" w:type="pct"/>
          <w:tblInd w:w="-5" w:type="dxa"/>
          <w:tblLayout w:type="fixed"/>
          <w:tblLook w:val="01E0"/>
        </w:tblPrEx>
        <w:trPr>
          <w:cantSplit/>
          <w:trHeight w:val="20"/>
        </w:trPr>
        <w:tc>
          <w:tcPr>
            <w:tcW w:w="5000" w:type="pct"/>
            <w:gridSpan w:val="6"/>
            <w:shd w:val="clear" w:color="auto" w:fill="auto"/>
          </w:tcPr>
          <w:p w:rsidR="00B45C5A" w:rsidRPr="004E4C62" w:rsidP="00261170" w14:paraId="5FD5171B" w14:textId="77777777">
            <w:pPr>
              <w:jc w:val="center"/>
              <w:rPr>
                <w:rFonts w:ascii="Times New Roman" w:hAnsi="Times New Roman"/>
                <w:sz w:val="22"/>
                <w:szCs w:val="22"/>
              </w:rPr>
            </w:pPr>
            <w:r w:rsidRPr="004E4C62">
              <w:rPr>
                <w:rFonts w:ascii="Times New Roman" w:hAnsi="Times New Roman"/>
                <w:sz w:val="22"/>
                <w:szCs w:val="22"/>
              </w:rPr>
              <w:t>Subpart D: Samples</w:t>
            </w:r>
          </w:p>
        </w:tc>
      </w:tr>
      <w:tr w14:paraId="5FA4574D" w14:textId="77777777" w:rsidTr="00B140C9">
        <w:tblPrEx>
          <w:tblW w:w="5313" w:type="pct"/>
          <w:tblInd w:w="-5" w:type="dxa"/>
          <w:tblLayout w:type="fixed"/>
          <w:tblLook w:val="01E0"/>
        </w:tblPrEx>
        <w:trPr>
          <w:cantSplit/>
          <w:trHeight w:val="20"/>
        </w:trPr>
        <w:tc>
          <w:tcPr>
            <w:tcW w:w="1356" w:type="pct"/>
            <w:shd w:val="clear" w:color="auto" w:fill="auto"/>
          </w:tcPr>
          <w:p w:rsidR="00B45C5A" w:rsidRPr="004E4C62" w:rsidP="00261170" w14:paraId="2EA76E6A" w14:textId="77777777">
            <w:pPr>
              <w:rPr>
                <w:rFonts w:ascii="Times New Roman" w:hAnsi="Times New Roman"/>
                <w:sz w:val="22"/>
                <w:szCs w:val="22"/>
              </w:rPr>
            </w:pPr>
            <w:r w:rsidRPr="004E4C62">
              <w:rPr>
                <w:rFonts w:ascii="Times New Roman" w:hAnsi="Times New Roman"/>
                <w:color w:val="000000" w:themeColor="text1"/>
                <w:sz w:val="22"/>
                <w:szCs w:val="22"/>
              </w:rPr>
              <w:t>§§</w:t>
            </w:r>
            <w:r w:rsidRPr="004E4C62" w:rsidR="00FE123A">
              <w:rPr>
                <w:rFonts w:ascii="Times New Roman" w:hAnsi="Times New Roman"/>
                <w:sz w:val="22"/>
                <w:szCs w:val="22"/>
              </w:rPr>
              <w:t> </w:t>
            </w:r>
            <w:r w:rsidRPr="004E4C62">
              <w:rPr>
                <w:rFonts w:ascii="Times New Roman" w:hAnsi="Times New Roman"/>
                <w:sz w:val="22"/>
                <w:szCs w:val="22"/>
              </w:rPr>
              <w:t xml:space="preserve">203.30 – 203.39; </w:t>
            </w:r>
            <w:r w:rsidR="00B140C9">
              <w:rPr>
                <w:rFonts w:ascii="Times New Roman" w:hAnsi="Times New Roman"/>
                <w:sz w:val="22"/>
                <w:szCs w:val="22"/>
              </w:rPr>
              <w:t>d</w:t>
            </w:r>
            <w:r w:rsidRPr="004E4C62">
              <w:rPr>
                <w:rFonts w:ascii="Times New Roman" w:hAnsi="Times New Roman"/>
                <w:sz w:val="22"/>
                <w:szCs w:val="22"/>
              </w:rPr>
              <w:t>ocumentation regarding sample distribution</w:t>
            </w:r>
          </w:p>
        </w:tc>
        <w:tc>
          <w:tcPr>
            <w:tcW w:w="794" w:type="pct"/>
            <w:shd w:val="clear" w:color="auto" w:fill="auto"/>
          </w:tcPr>
          <w:p w:rsidR="00B45C5A" w:rsidRPr="004E4C62" w:rsidP="00261170" w14:paraId="68439D24" w14:textId="77777777">
            <w:pPr>
              <w:jc w:val="right"/>
              <w:rPr>
                <w:rFonts w:ascii="Times New Roman" w:hAnsi="Times New Roman"/>
                <w:sz w:val="22"/>
                <w:szCs w:val="22"/>
              </w:rPr>
            </w:pPr>
            <w:r w:rsidRPr="004E4C62">
              <w:rPr>
                <w:rFonts w:ascii="Times New Roman" w:hAnsi="Times New Roman"/>
                <w:sz w:val="22"/>
                <w:szCs w:val="22"/>
              </w:rPr>
              <w:t>140</w:t>
            </w:r>
          </w:p>
        </w:tc>
        <w:tc>
          <w:tcPr>
            <w:tcW w:w="841" w:type="pct"/>
            <w:shd w:val="clear" w:color="auto" w:fill="auto"/>
          </w:tcPr>
          <w:p w:rsidR="00B45C5A" w:rsidRPr="004E4C62" w:rsidP="00261170" w14:paraId="04F0569B" w14:textId="77777777">
            <w:pPr>
              <w:jc w:val="right"/>
              <w:rPr>
                <w:rFonts w:ascii="Times New Roman" w:hAnsi="Times New Roman"/>
                <w:sz w:val="22"/>
                <w:szCs w:val="22"/>
              </w:rPr>
            </w:pPr>
            <w:r w:rsidRPr="004E4C62">
              <w:rPr>
                <w:rFonts w:ascii="Times New Roman" w:hAnsi="Times New Roman"/>
                <w:sz w:val="22"/>
                <w:szCs w:val="22"/>
              </w:rPr>
              <w:t>46,716.67</w:t>
            </w:r>
          </w:p>
        </w:tc>
        <w:tc>
          <w:tcPr>
            <w:tcW w:w="654" w:type="pct"/>
            <w:shd w:val="clear" w:color="auto" w:fill="auto"/>
          </w:tcPr>
          <w:p w:rsidR="00B45C5A" w:rsidRPr="004E4C62" w:rsidP="00261170" w14:paraId="13373AB3" w14:textId="77777777">
            <w:pPr>
              <w:jc w:val="right"/>
              <w:rPr>
                <w:rFonts w:ascii="Times New Roman" w:hAnsi="Times New Roman"/>
                <w:sz w:val="22"/>
                <w:szCs w:val="22"/>
              </w:rPr>
            </w:pPr>
            <w:r w:rsidRPr="004E4C62">
              <w:rPr>
                <w:rFonts w:ascii="Times New Roman" w:hAnsi="Times New Roman"/>
                <w:sz w:val="22"/>
                <w:szCs w:val="22"/>
              </w:rPr>
              <w:t>6,540,334</w:t>
            </w:r>
          </w:p>
        </w:tc>
        <w:tc>
          <w:tcPr>
            <w:tcW w:w="843" w:type="pct"/>
            <w:shd w:val="clear" w:color="auto" w:fill="auto"/>
          </w:tcPr>
          <w:p w:rsidR="00B45C5A" w:rsidRPr="004E4C62" w:rsidP="00261170" w14:paraId="48D395F5" w14:textId="77777777">
            <w:pPr>
              <w:jc w:val="right"/>
              <w:rPr>
                <w:rFonts w:ascii="Times New Roman" w:hAnsi="Times New Roman"/>
                <w:sz w:val="22"/>
                <w:szCs w:val="22"/>
              </w:rPr>
            </w:pPr>
            <w:r w:rsidRPr="004E4C62">
              <w:rPr>
                <w:rFonts w:ascii="Times New Roman" w:hAnsi="Times New Roman"/>
                <w:sz w:val="22"/>
                <w:szCs w:val="22"/>
              </w:rPr>
              <w:t>0.08</w:t>
            </w:r>
          </w:p>
          <w:p w:rsidR="00B45C5A" w:rsidRPr="004E4C62" w:rsidP="00261170" w14:paraId="782CA2EE" w14:textId="77777777">
            <w:pPr>
              <w:jc w:val="right"/>
              <w:rPr>
                <w:rFonts w:ascii="Times New Roman" w:hAnsi="Times New Roman"/>
                <w:sz w:val="22"/>
                <w:szCs w:val="22"/>
              </w:rPr>
            </w:pPr>
            <w:r w:rsidRPr="004E4C62">
              <w:rPr>
                <w:rFonts w:ascii="Times New Roman" w:hAnsi="Times New Roman"/>
                <w:sz w:val="22"/>
                <w:szCs w:val="22"/>
              </w:rPr>
              <w:t>(5 mins</w:t>
            </w:r>
            <w:r w:rsidR="00D85A4B">
              <w:rPr>
                <w:rFonts w:ascii="Times New Roman" w:hAnsi="Times New Roman"/>
                <w:sz w:val="22"/>
                <w:szCs w:val="22"/>
              </w:rPr>
              <w:t>.</w:t>
            </w:r>
            <w:r w:rsidRPr="004E4C62">
              <w:rPr>
                <w:rFonts w:ascii="Times New Roman" w:hAnsi="Times New Roman"/>
                <w:sz w:val="22"/>
                <w:szCs w:val="22"/>
              </w:rPr>
              <w:t>)</w:t>
            </w:r>
          </w:p>
        </w:tc>
        <w:tc>
          <w:tcPr>
            <w:tcW w:w="512" w:type="pct"/>
            <w:shd w:val="clear" w:color="auto" w:fill="auto"/>
          </w:tcPr>
          <w:p w:rsidR="00B45C5A" w:rsidRPr="004E4C62" w:rsidP="00261170" w14:paraId="637376E0" w14:textId="77777777">
            <w:pPr>
              <w:jc w:val="right"/>
              <w:rPr>
                <w:rFonts w:ascii="Times New Roman" w:hAnsi="Times New Roman"/>
                <w:sz w:val="22"/>
                <w:szCs w:val="22"/>
              </w:rPr>
            </w:pPr>
            <w:r w:rsidRPr="004E4C62">
              <w:rPr>
                <w:rFonts w:ascii="Times New Roman" w:hAnsi="Times New Roman"/>
                <w:sz w:val="22"/>
                <w:szCs w:val="22"/>
              </w:rPr>
              <w:t>523,227</w:t>
            </w:r>
          </w:p>
        </w:tc>
      </w:tr>
      <w:tr w14:paraId="6F052589" w14:textId="77777777" w:rsidTr="00B140C9">
        <w:tblPrEx>
          <w:tblW w:w="5313" w:type="pct"/>
          <w:tblInd w:w="-5" w:type="dxa"/>
          <w:tblLayout w:type="fixed"/>
          <w:tblLook w:val="01E0"/>
        </w:tblPrEx>
        <w:trPr>
          <w:cantSplit/>
          <w:trHeight w:val="20"/>
        </w:trPr>
        <w:tc>
          <w:tcPr>
            <w:tcW w:w="1356" w:type="pct"/>
            <w:shd w:val="clear" w:color="auto" w:fill="auto"/>
          </w:tcPr>
          <w:p w:rsidR="00B45C5A" w:rsidRPr="004E4C62" w:rsidP="00261170" w14:paraId="3EB5FC57" w14:textId="77777777">
            <w:pPr>
              <w:rPr>
                <w:rFonts w:ascii="Times New Roman" w:hAnsi="Times New Roman"/>
                <w:sz w:val="22"/>
                <w:szCs w:val="22"/>
              </w:rPr>
            </w:pPr>
            <w:r w:rsidRPr="004E4C62">
              <w:rPr>
                <w:rFonts w:ascii="Times New Roman" w:hAnsi="Times New Roman"/>
                <w:sz w:val="22"/>
                <w:szCs w:val="22"/>
              </w:rPr>
              <w:t>Total</w:t>
            </w:r>
          </w:p>
        </w:tc>
        <w:tc>
          <w:tcPr>
            <w:tcW w:w="794" w:type="pct"/>
            <w:shd w:val="clear" w:color="auto" w:fill="auto"/>
          </w:tcPr>
          <w:p w:rsidR="00B45C5A" w:rsidRPr="004E4C62" w:rsidP="00261170" w14:paraId="669E6780" w14:textId="77777777">
            <w:pPr>
              <w:jc w:val="right"/>
              <w:rPr>
                <w:rFonts w:ascii="Times New Roman" w:hAnsi="Times New Roman"/>
                <w:sz w:val="22"/>
                <w:szCs w:val="22"/>
              </w:rPr>
            </w:pPr>
          </w:p>
        </w:tc>
        <w:tc>
          <w:tcPr>
            <w:tcW w:w="841" w:type="pct"/>
            <w:shd w:val="clear" w:color="auto" w:fill="auto"/>
          </w:tcPr>
          <w:p w:rsidR="00B45C5A" w:rsidRPr="004E4C62" w:rsidP="00261170" w14:paraId="65F587CB" w14:textId="77777777">
            <w:pPr>
              <w:jc w:val="right"/>
              <w:rPr>
                <w:rFonts w:ascii="Times New Roman" w:hAnsi="Times New Roman"/>
                <w:sz w:val="22"/>
                <w:szCs w:val="22"/>
              </w:rPr>
            </w:pPr>
          </w:p>
        </w:tc>
        <w:tc>
          <w:tcPr>
            <w:tcW w:w="654" w:type="pct"/>
            <w:shd w:val="clear" w:color="auto" w:fill="auto"/>
          </w:tcPr>
          <w:p w:rsidR="00B45C5A" w:rsidRPr="004E4C62" w:rsidP="00261170" w14:paraId="17675EF9" w14:textId="77777777">
            <w:pPr>
              <w:jc w:val="right"/>
              <w:rPr>
                <w:rFonts w:ascii="Times New Roman" w:hAnsi="Times New Roman"/>
                <w:sz w:val="22"/>
                <w:szCs w:val="22"/>
              </w:rPr>
            </w:pPr>
            <w:r w:rsidRPr="004E4C62">
              <w:rPr>
                <w:rFonts w:ascii="Times New Roman" w:hAnsi="Times New Roman"/>
                <w:sz w:val="22"/>
                <w:szCs w:val="22"/>
              </w:rPr>
              <w:fldChar w:fldCharType="begin"/>
            </w:r>
            <w:r w:rsidRPr="004E4C62">
              <w:rPr>
                <w:rFonts w:ascii="Times New Roman" w:hAnsi="Times New Roman"/>
                <w:sz w:val="22"/>
                <w:szCs w:val="22"/>
              </w:rPr>
              <w:instrText xml:space="preserve"> =SUM(ABOVE) </w:instrText>
            </w:r>
            <w:r w:rsidRPr="004E4C62">
              <w:rPr>
                <w:rFonts w:ascii="Times New Roman" w:hAnsi="Times New Roman"/>
                <w:sz w:val="22"/>
                <w:szCs w:val="22"/>
              </w:rPr>
              <w:fldChar w:fldCharType="separate"/>
            </w:r>
            <w:r w:rsidRPr="004E4C62">
              <w:rPr>
                <w:rFonts w:ascii="Times New Roman" w:hAnsi="Times New Roman"/>
                <w:noProof/>
                <w:sz w:val="22"/>
                <w:szCs w:val="22"/>
              </w:rPr>
              <w:t>6,857,094</w:t>
            </w:r>
            <w:r w:rsidRPr="004E4C62">
              <w:rPr>
                <w:rFonts w:ascii="Times New Roman" w:hAnsi="Times New Roman"/>
                <w:sz w:val="22"/>
                <w:szCs w:val="22"/>
              </w:rPr>
              <w:fldChar w:fldCharType="end"/>
            </w:r>
          </w:p>
        </w:tc>
        <w:tc>
          <w:tcPr>
            <w:tcW w:w="843" w:type="pct"/>
            <w:shd w:val="clear" w:color="auto" w:fill="auto"/>
          </w:tcPr>
          <w:p w:rsidR="00B45C5A" w:rsidRPr="004E4C62" w:rsidP="00261170" w14:paraId="73B34355" w14:textId="77777777">
            <w:pPr>
              <w:jc w:val="right"/>
              <w:rPr>
                <w:rFonts w:ascii="Times New Roman" w:hAnsi="Times New Roman"/>
                <w:sz w:val="22"/>
                <w:szCs w:val="22"/>
              </w:rPr>
            </w:pPr>
          </w:p>
        </w:tc>
        <w:tc>
          <w:tcPr>
            <w:tcW w:w="512" w:type="pct"/>
            <w:shd w:val="clear" w:color="auto" w:fill="auto"/>
          </w:tcPr>
          <w:p w:rsidR="00B45C5A" w:rsidRPr="004E4C62" w:rsidP="00261170" w14:paraId="3F2AFBA8" w14:textId="77777777">
            <w:pPr>
              <w:jc w:val="right"/>
              <w:rPr>
                <w:rFonts w:ascii="Times New Roman" w:hAnsi="Times New Roman"/>
                <w:sz w:val="22"/>
                <w:szCs w:val="22"/>
              </w:rPr>
            </w:pPr>
            <w:r w:rsidRPr="004E4C62">
              <w:rPr>
                <w:rFonts w:ascii="Times New Roman" w:hAnsi="Times New Roman"/>
                <w:sz w:val="22"/>
                <w:szCs w:val="22"/>
              </w:rPr>
              <w:t>575,492</w:t>
            </w:r>
          </w:p>
        </w:tc>
      </w:tr>
    </w:tbl>
    <w:p w:rsidR="00A260EB" w:rsidRPr="004E4C62" w:rsidP="00A260EB" w14:paraId="337DD9E1" w14:textId="77777777">
      <w:pPr>
        <w:rPr>
          <w:rFonts w:ascii="Times New Roman" w:hAnsi="Times New Roman"/>
          <w:sz w:val="22"/>
          <w:szCs w:val="22"/>
        </w:rPr>
      </w:pPr>
      <w:r w:rsidRPr="004E4C62">
        <w:rPr>
          <w:rFonts w:ascii="Times New Roman" w:hAnsi="Times New Roman"/>
          <w:sz w:val="20"/>
          <w:vertAlign w:val="superscript"/>
        </w:rPr>
        <w:t>1</w:t>
      </w:r>
      <w:r w:rsidRPr="004E4C62">
        <w:rPr>
          <w:rFonts w:ascii="Times New Roman" w:hAnsi="Times New Roman"/>
          <w:sz w:val="20"/>
        </w:rPr>
        <w:t xml:space="preserve"> There are no capital costs or operating and maintenance costs associated with this collection of information</w:t>
      </w:r>
      <w:r w:rsidRPr="004E4C62">
        <w:rPr>
          <w:rFonts w:ascii="Times New Roman" w:hAnsi="Times New Roman"/>
          <w:sz w:val="22"/>
          <w:szCs w:val="22"/>
        </w:rPr>
        <w:t>.</w:t>
      </w:r>
    </w:p>
    <w:p w:rsidR="001505E5" w:rsidRPr="0059692E" w:rsidP="00EB1CB3" w14:paraId="7E1C4FCC" w14:textId="77777777">
      <w:pPr>
        <w:rPr>
          <w:rFonts w:ascii="Times New Roman" w:hAnsi="Times New Roman"/>
          <w:sz w:val="20"/>
        </w:rPr>
      </w:pPr>
    </w:p>
    <w:p w:rsidR="00960027" w:rsidP="00D85A4B" w14:paraId="1CABAFCF" w14:textId="77777777">
      <w:pPr>
        <w:rPr>
          <w:rFonts w:ascii="Times New Roman" w:hAnsi="Times New Roman"/>
          <w:szCs w:val="24"/>
        </w:rPr>
      </w:pPr>
      <w:r>
        <w:rPr>
          <w:rFonts w:ascii="Times New Roman" w:hAnsi="Times New Roman"/>
          <w:szCs w:val="24"/>
        </w:rPr>
        <w:tab/>
        <w:t xml:space="preserve">We assume </w:t>
      </w:r>
      <w:r w:rsidRPr="00DD58E7" w:rsidR="00DD58E7">
        <w:rPr>
          <w:rFonts w:ascii="Times New Roman" w:hAnsi="Times New Roman"/>
          <w:szCs w:val="24"/>
        </w:rPr>
        <w:t xml:space="preserve">140 pharmaceutical companies </w:t>
      </w:r>
      <w:r>
        <w:rPr>
          <w:rFonts w:ascii="Times New Roman" w:hAnsi="Times New Roman"/>
          <w:szCs w:val="24"/>
        </w:rPr>
        <w:t xml:space="preserve">report </w:t>
      </w:r>
      <w:r w:rsidRPr="00DD58E7" w:rsidR="00DD58E7">
        <w:rPr>
          <w:rFonts w:ascii="Times New Roman" w:hAnsi="Times New Roman"/>
          <w:szCs w:val="24"/>
        </w:rPr>
        <w:t xml:space="preserve">information </w:t>
      </w:r>
      <w:r>
        <w:rPr>
          <w:rFonts w:ascii="Times New Roman" w:hAnsi="Times New Roman"/>
          <w:szCs w:val="24"/>
        </w:rPr>
        <w:t xml:space="preserve">to FDA in compliance with regulations in 21 CFR part </w:t>
      </w:r>
      <w:r w:rsidRPr="00DD58E7" w:rsidR="00DD58E7">
        <w:rPr>
          <w:rFonts w:ascii="Times New Roman" w:hAnsi="Times New Roman"/>
          <w:szCs w:val="24"/>
        </w:rPr>
        <w:t>203</w:t>
      </w:r>
      <w:r w:rsidR="00B140C9">
        <w:rPr>
          <w:rFonts w:ascii="Times New Roman" w:hAnsi="Times New Roman"/>
          <w:szCs w:val="24"/>
        </w:rPr>
        <w:t>,</w:t>
      </w:r>
      <w:r>
        <w:rPr>
          <w:rFonts w:ascii="Times New Roman" w:hAnsi="Times New Roman"/>
          <w:szCs w:val="24"/>
        </w:rPr>
        <w:t xml:space="preserve"> and include burden that may be attendant to associated recordkeeping in our estimate.  </w:t>
      </w:r>
      <w:r w:rsidRPr="00B140C9" w:rsidR="00B140C9">
        <w:rPr>
          <w:rFonts w:ascii="Times New Roman" w:hAnsi="Times New Roman"/>
          <w:szCs w:val="24"/>
        </w:rPr>
        <w:t xml:space="preserve">The estimates in Table </w:t>
      </w:r>
      <w:r w:rsidR="00B140C9">
        <w:rPr>
          <w:rFonts w:ascii="Times New Roman" w:hAnsi="Times New Roman"/>
          <w:szCs w:val="24"/>
        </w:rPr>
        <w:t xml:space="preserve">1 reflect </w:t>
      </w:r>
      <w:r w:rsidRPr="00B140C9" w:rsidR="00B140C9">
        <w:rPr>
          <w:rFonts w:ascii="Times New Roman" w:hAnsi="Times New Roman"/>
          <w:szCs w:val="24"/>
        </w:rPr>
        <w:t xml:space="preserve">a decrease of 19,700 responses and 4,928 hours since </w:t>
      </w:r>
      <w:r w:rsidR="00B140C9">
        <w:rPr>
          <w:rFonts w:ascii="Times New Roman" w:hAnsi="Times New Roman"/>
          <w:szCs w:val="24"/>
        </w:rPr>
        <w:t xml:space="preserve">our last evaluation with regard to </w:t>
      </w:r>
      <w:r w:rsidRPr="00B140C9" w:rsidR="00B140C9">
        <w:rPr>
          <w:rFonts w:ascii="Times New Roman" w:hAnsi="Times New Roman"/>
          <w:szCs w:val="24"/>
        </w:rPr>
        <w:t xml:space="preserve">the volume of loss/theft/falsification reports received under </w:t>
      </w:r>
      <w:r w:rsidR="00B140C9">
        <w:rPr>
          <w:rFonts w:ascii="Times New Roman" w:hAnsi="Times New Roman"/>
          <w:szCs w:val="24"/>
        </w:rPr>
        <w:t xml:space="preserve">21 CFR </w:t>
      </w:r>
      <w:r w:rsidRPr="00B140C9" w:rsidR="00B140C9">
        <w:rPr>
          <w:rFonts w:ascii="Times New Roman" w:hAnsi="Times New Roman"/>
          <w:szCs w:val="24"/>
        </w:rPr>
        <w:t>§ 203.37 over the past 18 months.</w:t>
      </w:r>
      <w:r w:rsidR="00B140C9">
        <w:rPr>
          <w:rFonts w:ascii="Times New Roman" w:hAnsi="Times New Roman"/>
          <w:szCs w:val="24"/>
        </w:rPr>
        <w:t xml:space="preserve">  </w:t>
      </w:r>
      <w:r w:rsidRPr="00B140C9" w:rsidR="00B140C9">
        <w:rPr>
          <w:rFonts w:ascii="Times New Roman" w:hAnsi="Times New Roman"/>
          <w:szCs w:val="24"/>
        </w:rPr>
        <w:t>Additionally, based on a review of agency data, we estimate 2,200 respondents may incur burden resulting exclusively from recordkeeping requirements established in 21 CFR part 203.</w:t>
      </w:r>
      <w:r w:rsidR="00B140C9">
        <w:rPr>
          <w:rFonts w:ascii="Times New Roman" w:hAnsi="Times New Roman"/>
          <w:szCs w:val="24"/>
        </w:rPr>
        <w:t xml:space="preserve">  </w:t>
      </w:r>
    </w:p>
    <w:p w:rsidR="00960027" w:rsidP="00D85A4B" w14:paraId="4CD36C73" w14:textId="77777777">
      <w:pPr>
        <w:rPr>
          <w:rFonts w:ascii="Times New Roman" w:hAnsi="Times New Roman"/>
          <w:szCs w:val="24"/>
        </w:rPr>
      </w:pPr>
    </w:p>
    <w:p w:rsidR="00304E70" w:rsidP="00304E70" w14:paraId="5A9F68B7" w14:textId="77777777">
      <w:pPr>
        <w:ind w:firstLine="720"/>
        <w:rPr>
          <w:rFonts w:ascii="Times New Roman" w:hAnsi="Times New Roman"/>
          <w:szCs w:val="24"/>
        </w:rPr>
      </w:pPr>
      <w:r>
        <w:rPr>
          <w:rFonts w:ascii="Times New Roman" w:hAnsi="Times New Roman"/>
          <w:szCs w:val="24"/>
        </w:rPr>
        <w:t xml:space="preserve">Under 21 CFR 203.38(b), implemented for PDMA, a manufacturer or authorized distributor is required to maintain records of drug sample distribution for all samples distributed under section 503(d)(2) or 503(d)(3) of the FD&amp;C Act that are sufficient to permit tracking of sample units to the point of the licensed practitioner.  The PDMA does not require manufacturers and distributors to </w:t>
      </w:r>
      <w:r>
        <w:rPr>
          <w:rFonts w:ascii="Times New Roman" w:hAnsi="Times New Roman"/>
          <w:i/>
          <w:iCs/>
          <w:szCs w:val="24"/>
        </w:rPr>
        <w:t>report</w:t>
      </w:r>
      <w:r>
        <w:rPr>
          <w:rFonts w:ascii="Times New Roman" w:hAnsi="Times New Roman"/>
          <w:szCs w:val="24"/>
        </w:rPr>
        <w:t xml:space="preserve"> the number of drug sample requests they receive to FDA.  Instead, manufacturers and distributors are only required to maintain reports and other records relating to the distribution of drug samples and to make those reports available to FDA within 2 business days of an FDA request.  </w:t>
      </w:r>
    </w:p>
    <w:p w:rsidR="00304E70" w:rsidP="00304E70" w14:paraId="30812BFE" w14:textId="77777777">
      <w:pPr>
        <w:ind w:firstLine="720"/>
        <w:rPr>
          <w:rFonts w:ascii="Times New Roman" w:hAnsi="Times New Roman"/>
          <w:szCs w:val="24"/>
        </w:rPr>
      </w:pPr>
    </w:p>
    <w:p w:rsidR="00304E70" w:rsidRPr="00A320E0" w:rsidP="00A320E0" w14:paraId="10D521F6" w14:textId="347EE46B">
      <w:pPr>
        <w:ind w:firstLine="720"/>
        <w:rPr>
          <w:rFonts w:ascii="Times New Roman" w:hAnsi="Times New Roman"/>
          <w:snapToGrid/>
          <w:szCs w:val="24"/>
          <w14:ligatures w14:val="standardContextual"/>
        </w:rPr>
      </w:pPr>
      <w:r>
        <w:rPr>
          <w:rFonts w:ascii="Times New Roman" w:hAnsi="Times New Roman"/>
          <w:szCs w:val="24"/>
        </w:rPr>
        <w:t>After the enactment of section 6004 of the Patient Protection and Affordable Care Act (Pub. L. 111-148) (effective October 2012), manufacturers and authorized distributors are required to collect and maintain the identity and quantity of drug samples requested, among other information, and must now annually submit the required information, aggregated as specified under PDMA, to FDA via the Electronic Submissions Gateway, the database where manufacturers and authorized distributors are required to submit the drug sample data.</w:t>
      </w:r>
    </w:p>
    <w:p w:rsidR="00C054DF" w:rsidRPr="006801DC" w:rsidP="00D85A4B" w14:paraId="4AAA9C77" w14:textId="77777777">
      <w:pPr>
        <w:rPr>
          <w:rFonts w:ascii="Times New Roman" w:hAnsi="Times New Roman"/>
          <w:szCs w:val="24"/>
        </w:rPr>
      </w:pPr>
    </w:p>
    <w:p w:rsidR="002C0BE1" w:rsidRPr="00D85A4B" w:rsidP="00D85A4B" w14:paraId="0E415E98" w14:textId="77777777">
      <w:pPr>
        <w:rPr>
          <w:rFonts w:ascii="Times New Roman" w:hAnsi="Times New Roman"/>
          <w:i/>
          <w:szCs w:val="24"/>
        </w:rPr>
      </w:pPr>
      <w:r>
        <w:rPr>
          <w:rFonts w:ascii="Times New Roman" w:hAnsi="Times New Roman"/>
          <w:szCs w:val="24"/>
        </w:rPr>
        <w:tab/>
      </w:r>
      <w:r w:rsidRPr="00D85A4B">
        <w:rPr>
          <w:rFonts w:ascii="Times New Roman" w:hAnsi="Times New Roman"/>
          <w:i/>
          <w:szCs w:val="24"/>
        </w:rPr>
        <w:t>12b.  Annualized Cost Burden Estimate</w:t>
      </w:r>
    </w:p>
    <w:p w:rsidR="002C0BE1" w:rsidRPr="006801DC" w:rsidP="00D85A4B" w14:paraId="7CD6AD21" w14:textId="77777777">
      <w:pPr>
        <w:rPr>
          <w:rFonts w:ascii="Times New Roman" w:hAnsi="Times New Roman"/>
          <w:szCs w:val="24"/>
        </w:rPr>
      </w:pPr>
    </w:p>
    <w:p w:rsidR="00327FB1" w:rsidRPr="006801DC" w:rsidP="00D85A4B" w14:paraId="52BCC8DE" w14:textId="77777777">
      <w:pPr>
        <w:rPr>
          <w:rFonts w:ascii="Times New Roman" w:hAnsi="Times New Roman"/>
          <w:szCs w:val="24"/>
        </w:rPr>
      </w:pPr>
      <w:r>
        <w:rPr>
          <w:rFonts w:ascii="Times New Roman" w:hAnsi="Times New Roman"/>
          <w:szCs w:val="24"/>
        </w:rPr>
        <w:tab/>
        <w:t>To calculate cost burden w</w:t>
      </w:r>
      <w:r w:rsidR="00112F5E">
        <w:rPr>
          <w:rFonts w:ascii="Times New Roman" w:hAnsi="Times New Roman"/>
          <w:szCs w:val="24"/>
        </w:rPr>
        <w:t>e a</w:t>
      </w:r>
      <w:r w:rsidR="0090301E">
        <w:rPr>
          <w:rFonts w:ascii="Times New Roman" w:hAnsi="Times New Roman"/>
          <w:szCs w:val="24"/>
        </w:rPr>
        <w:t>ssum</w:t>
      </w:r>
      <w:r w:rsidR="00112F5E">
        <w:rPr>
          <w:rFonts w:ascii="Times New Roman" w:hAnsi="Times New Roman"/>
          <w:szCs w:val="24"/>
        </w:rPr>
        <w:t>e</w:t>
      </w:r>
      <w:r w:rsidR="0090301E">
        <w:rPr>
          <w:rFonts w:ascii="Times New Roman" w:hAnsi="Times New Roman"/>
          <w:szCs w:val="24"/>
        </w:rPr>
        <w:t xml:space="preserve"> </w:t>
      </w:r>
      <w:r w:rsidRPr="007077D9" w:rsidR="002C0BE1">
        <w:rPr>
          <w:rFonts w:ascii="Times New Roman" w:hAnsi="Times New Roman"/>
          <w:szCs w:val="24"/>
        </w:rPr>
        <w:t>an average industr</w:t>
      </w:r>
      <w:r w:rsidRPr="007077D9" w:rsidR="00E8740C">
        <w:rPr>
          <w:rFonts w:ascii="Times New Roman" w:hAnsi="Times New Roman"/>
          <w:szCs w:val="24"/>
        </w:rPr>
        <w:t>y wage rate of $</w:t>
      </w:r>
      <w:r w:rsidRPr="007077D9">
        <w:rPr>
          <w:rFonts w:ascii="Times New Roman" w:hAnsi="Times New Roman"/>
          <w:szCs w:val="24"/>
        </w:rPr>
        <w:t>8</w:t>
      </w:r>
      <w:r w:rsidR="00526ADC">
        <w:rPr>
          <w:rFonts w:ascii="Times New Roman" w:hAnsi="Times New Roman"/>
          <w:szCs w:val="24"/>
        </w:rPr>
        <w:t>8.70</w:t>
      </w:r>
      <w:r w:rsidR="00DC533E">
        <w:rPr>
          <w:rFonts w:ascii="Times New Roman" w:hAnsi="Times New Roman"/>
          <w:szCs w:val="24"/>
        </w:rPr>
        <w:t xml:space="preserve"> </w:t>
      </w:r>
      <w:r w:rsidRPr="007077D9" w:rsidR="002C0BE1">
        <w:rPr>
          <w:rFonts w:ascii="Times New Roman" w:hAnsi="Times New Roman"/>
          <w:szCs w:val="24"/>
        </w:rPr>
        <w:t>per hour</w:t>
      </w:r>
      <w:r w:rsidR="00296E41">
        <w:rPr>
          <w:rFonts w:ascii="Times New Roman" w:hAnsi="Times New Roman"/>
          <w:szCs w:val="24"/>
        </w:rPr>
        <w:t xml:space="preserve"> (averaged from wages for </w:t>
      </w:r>
      <w:r w:rsidR="00C01EE8">
        <w:rPr>
          <w:rFonts w:ascii="Times New Roman" w:hAnsi="Times New Roman"/>
          <w:szCs w:val="24"/>
        </w:rPr>
        <w:t>m</w:t>
      </w:r>
      <w:r w:rsidR="00CA0A5A">
        <w:rPr>
          <w:rFonts w:ascii="Times New Roman" w:hAnsi="Times New Roman"/>
          <w:szCs w:val="24"/>
        </w:rPr>
        <w:t xml:space="preserve">arketing </w:t>
      </w:r>
      <w:r w:rsidR="007F7E01">
        <w:rPr>
          <w:rFonts w:ascii="Times New Roman" w:hAnsi="Times New Roman"/>
          <w:szCs w:val="24"/>
        </w:rPr>
        <w:t>m</w:t>
      </w:r>
      <w:r w:rsidR="00CA0A5A">
        <w:rPr>
          <w:rFonts w:ascii="Times New Roman" w:hAnsi="Times New Roman"/>
          <w:szCs w:val="24"/>
        </w:rPr>
        <w:t xml:space="preserve">anagers </w:t>
      </w:r>
      <w:r w:rsidR="00412B7E">
        <w:rPr>
          <w:rFonts w:ascii="Times New Roman" w:hAnsi="Times New Roman"/>
          <w:szCs w:val="24"/>
        </w:rPr>
        <w:t>under</w:t>
      </w:r>
      <w:r w:rsidR="00526ADC">
        <w:rPr>
          <w:rFonts w:ascii="Times New Roman" w:hAnsi="Times New Roman"/>
          <w:szCs w:val="24"/>
        </w:rPr>
        <w:t xml:space="preserve"> occupation code: </w:t>
      </w:r>
      <w:r w:rsidR="006B5E53">
        <w:rPr>
          <w:rFonts w:ascii="Times New Roman" w:hAnsi="Times New Roman"/>
          <w:szCs w:val="24"/>
        </w:rPr>
        <w:t>11-2021</w:t>
      </w:r>
      <w:r w:rsidR="00CA0A5A">
        <w:rPr>
          <w:rFonts w:ascii="Times New Roman" w:hAnsi="Times New Roman"/>
          <w:szCs w:val="24"/>
        </w:rPr>
        <w:t xml:space="preserve"> </w:t>
      </w:r>
      <w:r w:rsidR="007A471B">
        <w:rPr>
          <w:rFonts w:ascii="Times New Roman" w:hAnsi="Times New Roman"/>
          <w:szCs w:val="24"/>
        </w:rPr>
        <w:t>as reported</w:t>
      </w:r>
      <w:r w:rsidR="00CA0A5A">
        <w:rPr>
          <w:rFonts w:ascii="Times New Roman" w:hAnsi="Times New Roman"/>
          <w:szCs w:val="24"/>
        </w:rPr>
        <w:t xml:space="preserve"> by the U.S. </w:t>
      </w:r>
      <w:r w:rsidR="00F5040A">
        <w:rPr>
          <w:rFonts w:ascii="Times New Roman" w:hAnsi="Times New Roman"/>
          <w:szCs w:val="24"/>
        </w:rPr>
        <w:t xml:space="preserve">Department of Labor, </w:t>
      </w:r>
      <w:r w:rsidRPr="00174FD5" w:rsidR="00174FD5">
        <w:rPr>
          <w:rFonts w:ascii="Times New Roman" w:hAnsi="Times New Roman"/>
          <w:szCs w:val="24"/>
        </w:rPr>
        <w:t>Bureau of Labor Statistics:</w:t>
      </w:r>
      <w:r w:rsidR="001F3B2F">
        <w:rPr>
          <w:rFonts w:ascii="Times New Roman" w:hAnsi="Times New Roman"/>
          <w:szCs w:val="24"/>
        </w:rPr>
        <w:t xml:space="preserve"> </w:t>
      </w:r>
      <w:r w:rsidRPr="00174FD5" w:rsidR="00174FD5">
        <w:rPr>
          <w:rFonts w:ascii="Times New Roman" w:hAnsi="Times New Roman"/>
          <w:szCs w:val="24"/>
        </w:rPr>
        <w:t>May 2022 National Occupational Employment and Wage Estimates, available at</w:t>
      </w:r>
      <w:r w:rsidR="00B140C9">
        <w:rPr>
          <w:rFonts w:ascii="Times New Roman" w:hAnsi="Times New Roman"/>
          <w:szCs w:val="24"/>
        </w:rPr>
        <w:t xml:space="preserve"> </w:t>
      </w:r>
      <w:hyperlink r:id="rId7" w:history="1">
        <w:r w:rsidRPr="003A2715" w:rsidR="00B140C9">
          <w:rPr>
            <w:rStyle w:val="Hyperlink"/>
            <w:rFonts w:ascii="Times New Roman" w:hAnsi="Times New Roman"/>
            <w:szCs w:val="24"/>
          </w:rPr>
          <w:t>https://www.bls.gov/oes/current/naics4_325400.htm</w:t>
        </w:r>
      </w:hyperlink>
      <w:r w:rsidR="006B5E53">
        <w:rPr>
          <w:rFonts w:ascii="Times New Roman" w:hAnsi="Times New Roman"/>
          <w:szCs w:val="24"/>
        </w:rPr>
        <w:t>)</w:t>
      </w:r>
      <w:r>
        <w:rPr>
          <w:rFonts w:ascii="Times New Roman" w:hAnsi="Times New Roman"/>
          <w:szCs w:val="24"/>
        </w:rPr>
        <w:t>.  Included in our estimate is the time we believe is needed</w:t>
      </w:r>
      <w:r w:rsidRPr="007077D9" w:rsidR="002C0BE1">
        <w:rPr>
          <w:rFonts w:ascii="Times New Roman" w:hAnsi="Times New Roman"/>
          <w:szCs w:val="24"/>
        </w:rPr>
        <w:t xml:space="preserve"> </w:t>
      </w:r>
      <w:r w:rsidR="00D1615B">
        <w:rPr>
          <w:rFonts w:ascii="Times New Roman" w:hAnsi="Times New Roman"/>
          <w:szCs w:val="24"/>
        </w:rPr>
        <w:t>to</w:t>
      </w:r>
      <w:r w:rsidRPr="007077D9" w:rsidR="002C0BE1">
        <w:rPr>
          <w:rFonts w:ascii="Times New Roman" w:hAnsi="Times New Roman"/>
          <w:szCs w:val="24"/>
        </w:rPr>
        <w:t xml:space="preserve"> </w:t>
      </w:r>
      <w:r>
        <w:rPr>
          <w:rFonts w:ascii="Times New Roman" w:hAnsi="Times New Roman"/>
          <w:szCs w:val="24"/>
        </w:rPr>
        <w:t xml:space="preserve">document </w:t>
      </w:r>
      <w:r w:rsidRPr="007077D9" w:rsidR="002C0BE1">
        <w:rPr>
          <w:rFonts w:ascii="Times New Roman" w:hAnsi="Times New Roman"/>
          <w:szCs w:val="24"/>
        </w:rPr>
        <w:t xml:space="preserve">and submit information </w:t>
      </w:r>
      <w:r>
        <w:rPr>
          <w:rFonts w:ascii="Times New Roman" w:hAnsi="Times New Roman"/>
          <w:szCs w:val="24"/>
        </w:rPr>
        <w:t xml:space="preserve">as required by </w:t>
      </w:r>
      <w:r w:rsidRPr="007077D9" w:rsidR="002C0BE1">
        <w:rPr>
          <w:rFonts w:ascii="Times New Roman" w:hAnsi="Times New Roman"/>
          <w:szCs w:val="24"/>
        </w:rPr>
        <w:t>21 CFR 203</w:t>
      </w:r>
      <w:r w:rsidRPr="008D1C7B" w:rsidR="002C0BE1">
        <w:rPr>
          <w:rFonts w:ascii="Times New Roman" w:hAnsi="Times New Roman"/>
          <w:szCs w:val="24"/>
        </w:rPr>
        <w:t>.</w:t>
      </w:r>
      <w:r>
        <w:rPr>
          <w:rFonts w:ascii="Times New Roman" w:hAnsi="Times New Roman"/>
          <w:szCs w:val="24"/>
        </w:rPr>
        <w:t xml:space="preserve">  </w:t>
      </w:r>
      <w:r w:rsidRPr="008D1C7B" w:rsidR="002C0BE1">
        <w:rPr>
          <w:rFonts w:ascii="Times New Roman" w:hAnsi="Times New Roman"/>
          <w:szCs w:val="24"/>
        </w:rPr>
        <w:t>Using this wage rate</w:t>
      </w:r>
      <w:r>
        <w:rPr>
          <w:rFonts w:ascii="Times New Roman" w:hAnsi="Times New Roman"/>
          <w:szCs w:val="24"/>
        </w:rPr>
        <w:t xml:space="preserve">, we </w:t>
      </w:r>
      <w:r w:rsidRPr="008D1C7B" w:rsidR="002C0BE1">
        <w:rPr>
          <w:rFonts w:ascii="Times New Roman" w:hAnsi="Times New Roman"/>
          <w:szCs w:val="24"/>
        </w:rPr>
        <w:t xml:space="preserve">multiplied the total hour burden </w:t>
      </w:r>
      <w:r>
        <w:rPr>
          <w:rFonts w:ascii="Times New Roman" w:hAnsi="Times New Roman"/>
          <w:szCs w:val="24"/>
        </w:rPr>
        <w:t xml:space="preserve">hours and </w:t>
      </w:r>
      <w:r w:rsidRPr="008D1C7B" w:rsidR="00D94EE7">
        <w:rPr>
          <w:rFonts w:ascii="Times New Roman" w:hAnsi="Times New Roman"/>
          <w:szCs w:val="24"/>
        </w:rPr>
        <w:t>calculate</w:t>
      </w:r>
      <w:r w:rsidR="00D94EE7">
        <w:rPr>
          <w:rFonts w:ascii="Times New Roman" w:hAnsi="Times New Roman"/>
          <w:szCs w:val="24"/>
        </w:rPr>
        <w:t>d</w:t>
      </w:r>
      <w:r w:rsidRPr="007077D9" w:rsidR="002C0BE1">
        <w:rPr>
          <w:rFonts w:ascii="Times New Roman" w:hAnsi="Times New Roman"/>
          <w:szCs w:val="24"/>
        </w:rPr>
        <w:t xml:space="preserve"> (</w:t>
      </w:r>
      <w:r w:rsidR="00A203BC">
        <w:rPr>
          <w:rFonts w:ascii="Times New Roman" w:hAnsi="Times New Roman"/>
          <w:szCs w:val="24"/>
        </w:rPr>
        <w:t xml:space="preserve">(2,080+575,492)) x </w:t>
      </w:r>
      <w:r w:rsidRPr="007077D9" w:rsidR="002C0BE1">
        <w:rPr>
          <w:rFonts w:ascii="Times New Roman" w:hAnsi="Times New Roman"/>
          <w:szCs w:val="24"/>
        </w:rPr>
        <w:t>$</w:t>
      </w:r>
      <w:r w:rsidR="00A203BC">
        <w:rPr>
          <w:rFonts w:ascii="Times New Roman" w:hAnsi="Times New Roman"/>
          <w:szCs w:val="24"/>
        </w:rPr>
        <w:t>88.70</w:t>
      </w:r>
      <w:r w:rsidRPr="007077D9" w:rsidR="002C0BE1">
        <w:rPr>
          <w:rFonts w:ascii="Times New Roman" w:hAnsi="Times New Roman"/>
          <w:szCs w:val="24"/>
        </w:rPr>
        <w:t xml:space="preserve">), </w:t>
      </w:r>
      <w:r>
        <w:rPr>
          <w:rFonts w:ascii="Times New Roman" w:hAnsi="Times New Roman"/>
          <w:szCs w:val="24"/>
        </w:rPr>
        <w:t xml:space="preserve">an annual cost of  </w:t>
      </w:r>
      <w:r w:rsidRPr="007077D9" w:rsidR="002C0BE1">
        <w:rPr>
          <w:rFonts w:ascii="Times New Roman" w:hAnsi="Times New Roman"/>
          <w:szCs w:val="24"/>
        </w:rPr>
        <w:t>$</w:t>
      </w:r>
      <w:r w:rsidR="002E7EEA">
        <w:rPr>
          <w:rFonts w:ascii="Times New Roman" w:hAnsi="Times New Roman"/>
          <w:szCs w:val="24"/>
        </w:rPr>
        <w:t>51,230,636.40</w:t>
      </w:r>
      <w:r w:rsidRPr="007077D9" w:rsidR="002C0BE1">
        <w:rPr>
          <w:rFonts w:ascii="Times New Roman" w:hAnsi="Times New Roman"/>
          <w:szCs w:val="24"/>
        </w:rPr>
        <w:t>.</w:t>
      </w:r>
    </w:p>
    <w:p w:rsidR="00A320E0" w14:paraId="310A2D4E" w14:textId="030DAB66">
      <w:pPr>
        <w:widowControl/>
        <w:rPr>
          <w:rFonts w:ascii="Times New Roman" w:hAnsi="Times New Roman"/>
          <w:szCs w:val="24"/>
          <w:u w:val="single"/>
        </w:rPr>
      </w:pPr>
    </w:p>
    <w:p w:rsidR="00C47FF3" w:rsidRPr="008424DC" w:rsidP="0018455E" w14:paraId="621B70BC" w14:textId="533B9D30">
      <w:pPr>
        <w:pStyle w:val="ListParagraph"/>
        <w:numPr>
          <w:ilvl w:val="0"/>
          <w:numId w:val="5"/>
        </w:numPr>
        <w:ind w:left="360"/>
        <w:rPr>
          <w:rFonts w:ascii="Times New Roman" w:hAnsi="Times New Roman"/>
          <w:szCs w:val="24"/>
        </w:rPr>
      </w:pPr>
      <w:r w:rsidRPr="008424DC">
        <w:rPr>
          <w:rFonts w:ascii="Times New Roman" w:hAnsi="Times New Roman"/>
          <w:szCs w:val="24"/>
          <w:u w:val="single"/>
        </w:rPr>
        <w:t xml:space="preserve">Estimates of Other </w:t>
      </w:r>
      <w:r w:rsidRPr="008424DC" w:rsidR="00022E16">
        <w:rPr>
          <w:rFonts w:ascii="Times New Roman" w:hAnsi="Times New Roman"/>
          <w:szCs w:val="24"/>
          <w:u w:val="single"/>
        </w:rPr>
        <w:t xml:space="preserve">Total Annual </w:t>
      </w:r>
      <w:r w:rsidRPr="008424DC" w:rsidR="00327FB1">
        <w:rPr>
          <w:rFonts w:ascii="Times New Roman" w:hAnsi="Times New Roman"/>
          <w:szCs w:val="24"/>
          <w:u w:val="single"/>
        </w:rPr>
        <w:t>C</w:t>
      </w:r>
      <w:r w:rsidRPr="008424DC">
        <w:rPr>
          <w:rFonts w:ascii="Times New Roman" w:hAnsi="Times New Roman"/>
          <w:szCs w:val="24"/>
          <w:u w:val="single"/>
        </w:rPr>
        <w:t>ost</w:t>
      </w:r>
      <w:r w:rsidRPr="008424DC" w:rsidR="00022E16">
        <w:rPr>
          <w:rFonts w:ascii="Times New Roman" w:hAnsi="Times New Roman"/>
          <w:szCs w:val="24"/>
          <w:u w:val="single"/>
        </w:rPr>
        <w:t>s</w:t>
      </w:r>
      <w:r w:rsidRPr="008424DC">
        <w:rPr>
          <w:rFonts w:ascii="Times New Roman" w:hAnsi="Times New Roman"/>
          <w:szCs w:val="24"/>
          <w:u w:val="single"/>
        </w:rPr>
        <w:t xml:space="preserve"> to Respondents and Recordkeepers</w:t>
      </w:r>
      <w:r w:rsidRPr="008424DC" w:rsidR="00022E16">
        <w:rPr>
          <w:rFonts w:ascii="Times New Roman" w:hAnsi="Times New Roman"/>
          <w:szCs w:val="24"/>
          <w:u w:val="single"/>
        </w:rPr>
        <w:t>/Capital Costs</w:t>
      </w:r>
    </w:p>
    <w:p w:rsidR="00C054DF" w:rsidP="006801DC" w14:paraId="51C0C545" w14:textId="77777777">
      <w:pPr>
        <w:rPr>
          <w:rFonts w:ascii="Times New Roman" w:hAnsi="Times New Roman"/>
          <w:szCs w:val="24"/>
        </w:rPr>
      </w:pPr>
    </w:p>
    <w:p w:rsidR="00F311C0" w:rsidRPr="006801DC" w:rsidP="006801DC" w14:paraId="6B5CD443" w14:textId="77777777">
      <w:pPr>
        <w:rPr>
          <w:rFonts w:ascii="Times New Roman" w:hAnsi="Times New Roman"/>
          <w:szCs w:val="24"/>
        </w:rPr>
      </w:pPr>
      <w:r w:rsidRPr="006801DC">
        <w:rPr>
          <w:rFonts w:ascii="Times New Roman" w:hAnsi="Times New Roman"/>
          <w:szCs w:val="24"/>
        </w:rPr>
        <w:t xml:space="preserve">There are no </w:t>
      </w:r>
      <w:r w:rsidRPr="006801DC" w:rsidR="00022E16">
        <w:rPr>
          <w:rFonts w:ascii="Times New Roman" w:hAnsi="Times New Roman"/>
          <w:szCs w:val="24"/>
        </w:rPr>
        <w:t xml:space="preserve">capital, start-up, </w:t>
      </w:r>
      <w:r w:rsidRPr="006801DC">
        <w:rPr>
          <w:rFonts w:ascii="Times New Roman" w:hAnsi="Times New Roman"/>
          <w:szCs w:val="24"/>
        </w:rPr>
        <w:t>operating</w:t>
      </w:r>
      <w:r w:rsidR="008F7EB8">
        <w:rPr>
          <w:rFonts w:ascii="Times New Roman" w:hAnsi="Times New Roman"/>
          <w:szCs w:val="24"/>
        </w:rPr>
        <w:t>,</w:t>
      </w:r>
      <w:r w:rsidRPr="006801DC">
        <w:rPr>
          <w:rFonts w:ascii="Times New Roman" w:hAnsi="Times New Roman"/>
          <w:szCs w:val="24"/>
        </w:rPr>
        <w:t xml:space="preserve"> </w:t>
      </w:r>
      <w:r w:rsidRPr="006801DC" w:rsidR="00022E16">
        <w:rPr>
          <w:rFonts w:ascii="Times New Roman" w:hAnsi="Times New Roman"/>
          <w:szCs w:val="24"/>
        </w:rPr>
        <w:t xml:space="preserve">or </w:t>
      </w:r>
      <w:r w:rsidRPr="006801DC">
        <w:rPr>
          <w:rFonts w:ascii="Times New Roman" w:hAnsi="Times New Roman"/>
          <w:szCs w:val="24"/>
        </w:rPr>
        <w:t xml:space="preserve">maintenance costs associated with this </w:t>
      </w:r>
      <w:r w:rsidRPr="006801DC" w:rsidR="00022E16">
        <w:rPr>
          <w:rFonts w:ascii="Times New Roman" w:hAnsi="Times New Roman"/>
          <w:szCs w:val="24"/>
        </w:rPr>
        <w:t xml:space="preserve">information </w:t>
      </w:r>
      <w:r w:rsidRPr="006801DC">
        <w:rPr>
          <w:rFonts w:ascii="Times New Roman" w:hAnsi="Times New Roman"/>
          <w:szCs w:val="24"/>
        </w:rPr>
        <w:t>collection.</w:t>
      </w:r>
    </w:p>
    <w:p w:rsidR="00953E9F" w14:paraId="6347F344" w14:textId="77777777">
      <w:pPr>
        <w:widowControl/>
        <w:rPr>
          <w:rFonts w:ascii="Times New Roman" w:hAnsi="Times New Roman"/>
          <w:szCs w:val="24"/>
        </w:rPr>
      </w:pPr>
    </w:p>
    <w:p w:rsidR="00C47FF3" w:rsidRPr="006A568B" w:rsidP="006A568B" w14:paraId="5A4C6B51" w14:textId="77777777">
      <w:pPr>
        <w:pStyle w:val="ListParagraph"/>
        <w:numPr>
          <w:ilvl w:val="0"/>
          <w:numId w:val="5"/>
        </w:numPr>
        <w:ind w:left="360"/>
        <w:rPr>
          <w:rFonts w:ascii="Times New Roman" w:hAnsi="Times New Roman"/>
          <w:szCs w:val="24"/>
        </w:rPr>
      </w:pPr>
      <w:r w:rsidRPr="006A568B">
        <w:rPr>
          <w:rFonts w:ascii="Times New Roman" w:hAnsi="Times New Roman"/>
          <w:szCs w:val="24"/>
          <w:u w:val="single"/>
        </w:rPr>
        <w:t>Annualized Cost to the Federal Government</w:t>
      </w:r>
    </w:p>
    <w:p w:rsidR="00C47FF3" w:rsidRPr="006801DC" w:rsidP="006801DC" w14:paraId="40BDE6AE" w14:textId="77777777">
      <w:pPr>
        <w:rPr>
          <w:rFonts w:ascii="Times New Roman" w:hAnsi="Times New Roman"/>
          <w:szCs w:val="24"/>
        </w:rPr>
      </w:pPr>
    </w:p>
    <w:p w:rsidR="00C47FF3" w:rsidRPr="006801DC" w:rsidP="006801DC" w14:paraId="50477C66" w14:textId="77777777">
      <w:pPr>
        <w:rPr>
          <w:rFonts w:ascii="Times New Roman" w:hAnsi="Times New Roman"/>
          <w:szCs w:val="24"/>
        </w:rPr>
      </w:pPr>
      <w:r>
        <w:rPr>
          <w:rFonts w:ascii="Times New Roman" w:hAnsi="Times New Roman"/>
          <w:szCs w:val="24"/>
        </w:rPr>
        <w:t xml:space="preserve">We allocate </w:t>
      </w:r>
      <w:r w:rsidR="00CE6183">
        <w:rPr>
          <w:rFonts w:ascii="Times New Roman" w:hAnsi="Times New Roman"/>
          <w:szCs w:val="24"/>
        </w:rPr>
        <w:t>three</w:t>
      </w:r>
      <w:r w:rsidR="0059692E">
        <w:rPr>
          <w:rFonts w:ascii="Times New Roman" w:hAnsi="Times New Roman"/>
          <w:szCs w:val="24"/>
        </w:rPr>
        <w:t xml:space="preserve"> (3)</w:t>
      </w:r>
      <w:r w:rsidRPr="006801DC" w:rsidR="00AE49D1">
        <w:rPr>
          <w:rFonts w:ascii="Times New Roman" w:hAnsi="Times New Roman"/>
          <w:szCs w:val="24"/>
        </w:rPr>
        <w:t xml:space="preserve"> </w:t>
      </w:r>
      <w:r w:rsidR="00550143">
        <w:rPr>
          <w:rFonts w:ascii="Times New Roman" w:hAnsi="Times New Roman"/>
          <w:szCs w:val="24"/>
        </w:rPr>
        <w:t>full</w:t>
      </w:r>
      <w:r w:rsidR="006D26A0">
        <w:rPr>
          <w:rFonts w:ascii="Times New Roman" w:hAnsi="Times New Roman"/>
          <w:szCs w:val="24"/>
        </w:rPr>
        <w:t>-time e</w:t>
      </w:r>
      <w:r w:rsidR="00475550">
        <w:rPr>
          <w:rFonts w:ascii="Times New Roman" w:hAnsi="Times New Roman"/>
          <w:szCs w:val="24"/>
        </w:rPr>
        <w:t xml:space="preserve">quivalents </w:t>
      </w:r>
      <w:r w:rsidR="006D26A0">
        <w:rPr>
          <w:rFonts w:ascii="Times New Roman" w:hAnsi="Times New Roman"/>
          <w:szCs w:val="24"/>
        </w:rPr>
        <w:t>(F</w:t>
      </w:r>
      <w:r w:rsidRPr="006801DC" w:rsidR="00AE49D1">
        <w:rPr>
          <w:rFonts w:ascii="Times New Roman" w:hAnsi="Times New Roman"/>
          <w:szCs w:val="24"/>
        </w:rPr>
        <w:t>TE</w:t>
      </w:r>
      <w:r w:rsidR="006D26A0">
        <w:rPr>
          <w:rFonts w:ascii="Times New Roman" w:hAnsi="Times New Roman"/>
          <w:szCs w:val="24"/>
        </w:rPr>
        <w:t>)</w:t>
      </w:r>
      <w:r w:rsidRPr="006801DC" w:rsidR="00AE49D1">
        <w:rPr>
          <w:rFonts w:ascii="Times New Roman" w:hAnsi="Times New Roman"/>
          <w:szCs w:val="24"/>
        </w:rPr>
        <w:t xml:space="preserve"> </w:t>
      </w:r>
      <w:r w:rsidRPr="006801DC">
        <w:rPr>
          <w:rFonts w:ascii="Times New Roman" w:hAnsi="Times New Roman"/>
          <w:szCs w:val="24"/>
        </w:rPr>
        <w:t xml:space="preserve">to review reports and inspect records </w:t>
      </w:r>
      <w:r>
        <w:rPr>
          <w:rFonts w:ascii="Times New Roman" w:hAnsi="Times New Roman"/>
          <w:szCs w:val="24"/>
        </w:rPr>
        <w:t xml:space="preserve">as required by the applicable regulations.  </w:t>
      </w:r>
      <w:r w:rsidR="003F2207">
        <w:rPr>
          <w:rFonts w:ascii="Times New Roman" w:hAnsi="Times New Roman"/>
          <w:szCs w:val="24"/>
        </w:rPr>
        <w:t xml:space="preserve">Assuming </w:t>
      </w:r>
      <w:r>
        <w:rPr>
          <w:rFonts w:ascii="Times New Roman" w:hAnsi="Times New Roman"/>
          <w:szCs w:val="24"/>
        </w:rPr>
        <w:t xml:space="preserve">fully-loaded </w:t>
      </w:r>
      <w:r w:rsidR="003F2207">
        <w:rPr>
          <w:rFonts w:ascii="Times New Roman" w:hAnsi="Times New Roman"/>
          <w:szCs w:val="24"/>
        </w:rPr>
        <w:t>cost</w:t>
      </w:r>
      <w:r>
        <w:rPr>
          <w:rFonts w:ascii="Times New Roman" w:hAnsi="Times New Roman"/>
          <w:szCs w:val="24"/>
        </w:rPr>
        <w:t>s</w:t>
      </w:r>
      <w:r w:rsidR="003F2207">
        <w:rPr>
          <w:rFonts w:ascii="Times New Roman" w:hAnsi="Times New Roman"/>
          <w:szCs w:val="24"/>
        </w:rPr>
        <w:t xml:space="preserve"> of $</w:t>
      </w:r>
      <w:r w:rsidRPr="00885CB3" w:rsidR="00885CB3">
        <w:rPr>
          <w:rFonts w:ascii="Times New Roman" w:hAnsi="Times New Roman"/>
          <w:szCs w:val="24"/>
        </w:rPr>
        <w:t>336,269</w:t>
      </w:r>
      <w:r w:rsidRPr="006801DC">
        <w:rPr>
          <w:rFonts w:ascii="Times New Roman" w:hAnsi="Times New Roman"/>
          <w:szCs w:val="24"/>
        </w:rPr>
        <w:t xml:space="preserve"> </w:t>
      </w:r>
      <w:r w:rsidR="003F2207">
        <w:rPr>
          <w:rFonts w:ascii="Times New Roman" w:hAnsi="Times New Roman"/>
          <w:szCs w:val="24"/>
        </w:rPr>
        <w:t xml:space="preserve">per one </w:t>
      </w:r>
      <w:r w:rsidR="00CD09B6">
        <w:rPr>
          <w:rFonts w:ascii="Times New Roman" w:hAnsi="Times New Roman"/>
          <w:szCs w:val="24"/>
        </w:rPr>
        <w:t xml:space="preserve">FTE (salary plus overhead, full-time </w:t>
      </w:r>
      <w:r w:rsidR="00475550">
        <w:rPr>
          <w:rFonts w:ascii="Times New Roman" w:hAnsi="Times New Roman"/>
          <w:szCs w:val="24"/>
        </w:rPr>
        <w:t>40-hour</w:t>
      </w:r>
      <w:r w:rsidR="00CD09B6">
        <w:rPr>
          <w:rFonts w:ascii="Times New Roman" w:hAnsi="Times New Roman"/>
          <w:szCs w:val="24"/>
        </w:rPr>
        <w:t xml:space="preserve"> week), </w:t>
      </w:r>
      <w:r w:rsidR="00B35796">
        <w:rPr>
          <w:rFonts w:ascii="Times New Roman" w:hAnsi="Times New Roman"/>
          <w:szCs w:val="24"/>
        </w:rPr>
        <w:t>we</w:t>
      </w:r>
      <w:r w:rsidRPr="006801DC">
        <w:rPr>
          <w:rFonts w:ascii="Times New Roman" w:hAnsi="Times New Roman"/>
          <w:szCs w:val="24"/>
        </w:rPr>
        <w:t xml:space="preserve"> </w:t>
      </w:r>
      <w:r>
        <w:rPr>
          <w:rFonts w:ascii="Times New Roman" w:hAnsi="Times New Roman"/>
          <w:szCs w:val="24"/>
        </w:rPr>
        <w:t xml:space="preserve">calculate total </w:t>
      </w:r>
      <w:r w:rsidR="00CD09B6">
        <w:rPr>
          <w:rFonts w:ascii="Times New Roman" w:hAnsi="Times New Roman"/>
          <w:szCs w:val="24"/>
        </w:rPr>
        <w:t xml:space="preserve">annual </w:t>
      </w:r>
      <w:r w:rsidRPr="006801DC">
        <w:rPr>
          <w:rFonts w:ascii="Times New Roman" w:hAnsi="Times New Roman"/>
          <w:szCs w:val="24"/>
        </w:rPr>
        <w:t>cost</w:t>
      </w:r>
      <w:r>
        <w:rPr>
          <w:rFonts w:ascii="Times New Roman" w:hAnsi="Times New Roman"/>
          <w:szCs w:val="24"/>
        </w:rPr>
        <w:t>s</w:t>
      </w:r>
      <w:r w:rsidRPr="006801DC">
        <w:rPr>
          <w:rFonts w:ascii="Times New Roman" w:hAnsi="Times New Roman"/>
          <w:szCs w:val="24"/>
        </w:rPr>
        <w:t xml:space="preserve"> to t</w:t>
      </w:r>
      <w:r w:rsidRPr="006801DC" w:rsidR="00FB2B1D">
        <w:rPr>
          <w:rFonts w:ascii="Times New Roman" w:hAnsi="Times New Roman"/>
          <w:szCs w:val="24"/>
        </w:rPr>
        <w:t>he Federal Government</w:t>
      </w:r>
      <w:r w:rsidR="00CD09B6">
        <w:rPr>
          <w:rFonts w:ascii="Times New Roman" w:hAnsi="Times New Roman"/>
          <w:szCs w:val="24"/>
        </w:rPr>
        <w:t xml:space="preserve"> </w:t>
      </w:r>
      <w:r>
        <w:rPr>
          <w:rFonts w:ascii="Times New Roman" w:hAnsi="Times New Roman"/>
          <w:szCs w:val="24"/>
        </w:rPr>
        <w:t xml:space="preserve">to be </w:t>
      </w:r>
      <w:r w:rsidRPr="006801DC" w:rsidR="00FB2B1D">
        <w:rPr>
          <w:rFonts w:ascii="Times New Roman" w:hAnsi="Times New Roman"/>
          <w:szCs w:val="24"/>
        </w:rPr>
        <w:t>$</w:t>
      </w:r>
      <w:r w:rsidR="00EF14F6">
        <w:rPr>
          <w:rFonts w:ascii="Times New Roman" w:hAnsi="Times New Roman"/>
          <w:szCs w:val="24"/>
        </w:rPr>
        <w:t>1,008,807</w:t>
      </w:r>
      <w:r w:rsidR="007E2748">
        <w:rPr>
          <w:rFonts w:ascii="Times New Roman" w:hAnsi="Times New Roman"/>
          <w:szCs w:val="24"/>
        </w:rPr>
        <w:t xml:space="preserve"> (</w:t>
      </w:r>
      <w:r w:rsidR="0089271A">
        <w:rPr>
          <w:rFonts w:ascii="Times New Roman" w:hAnsi="Times New Roman"/>
          <w:szCs w:val="24"/>
        </w:rPr>
        <w:t>$336,269 x 3)</w:t>
      </w:r>
      <w:r w:rsidRPr="006801DC">
        <w:rPr>
          <w:rFonts w:ascii="Times New Roman" w:hAnsi="Times New Roman"/>
          <w:szCs w:val="24"/>
        </w:rPr>
        <w:t>.</w:t>
      </w:r>
    </w:p>
    <w:p w:rsidR="00C054DF" w:rsidP="006801DC" w14:paraId="617C3111" w14:textId="77777777">
      <w:pPr>
        <w:rPr>
          <w:rFonts w:ascii="Times New Roman" w:hAnsi="Times New Roman"/>
          <w:szCs w:val="24"/>
        </w:rPr>
      </w:pPr>
    </w:p>
    <w:p w:rsidR="00C47FF3" w:rsidRPr="00621594" w:rsidP="00621594" w14:paraId="7473351C" w14:textId="77777777">
      <w:pPr>
        <w:pStyle w:val="ListParagraph"/>
        <w:numPr>
          <w:ilvl w:val="0"/>
          <w:numId w:val="5"/>
        </w:numPr>
        <w:ind w:left="360"/>
        <w:rPr>
          <w:rFonts w:ascii="Times New Roman" w:hAnsi="Times New Roman"/>
          <w:szCs w:val="24"/>
        </w:rPr>
      </w:pPr>
      <w:r w:rsidRPr="00621594">
        <w:rPr>
          <w:rFonts w:ascii="Times New Roman" w:hAnsi="Times New Roman"/>
          <w:szCs w:val="24"/>
          <w:u w:val="single"/>
        </w:rPr>
        <w:t>Explanation for Program Changes or Adjustments</w:t>
      </w:r>
    </w:p>
    <w:p w:rsidR="00C47FF3" w:rsidRPr="006801DC" w:rsidP="006801DC" w14:paraId="02C96E82" w14:textId="77777777">
      <w:pPr>
        <w:rPr>
          <w:rFonts w:ascii="Times New Roman" w:hAnsi="Times New Roman"/>
          <w:szCs w:val="24"/>
        </w:rPr>
      </w:pPr>
    </w:p>
    <w:p w:rsidR="00C054DF" w:rsidP="006801DC" w14:paraId="04A1241B" w14:textId="4E53FB1B">
      <w:pPr>
        <w:rPr>
          <w:rFonts w:ascii="Times New Roman" w:hAnsi="Times New Roman"/>
          <w:szCs w:val="24"/>
        </w:rPr>
      </w:pPr>
      <w:r w:rsidRPr="001F7917">
        <w:rPr>
          <w:rFonts w:ascii="Times New Roman" w:hAnsi="Times New Roman"/>
          <w:szCs w:val="24"/>
        </w:rPr>
        <w:t>The information collection reflects adjustments.</w:t>
      </w:r>
      <w:r w:rsidR="00857F3C">
        <w:rPr>
          <w:rFonts w:ascii="Times New Roman" w:hAnsi="Times New Roman"/>
          <w:szCs w:val="24"/>
        </w:rPr>
        <w:t xml:space="preserve">  </w:t>
      </w:r>
      <w:r w:rsidRPr="001F7917">
        <w:rPr>
          <w:rFonts w:ascii="Times New Roman" w:hAnsi="Times New Roman"/>
          <w:szCs w:val="24"/>
        </w:rPr>
        <w:t xml:space="preserve">Since </w:t>
      </w:r>
      <w:r w:rsidRPr="001F7917" w:rsidR="00430D36">
        <w:rPr>
          <w:rFonts w:ascii="Times New Roman" w:hAnsi="Times New Roman"/>
          <w:szCs w:val="24"/>
        </w:rPr>
        <w:t>l</w:t>
      </w:r>
      <w:r w:rsidRPr="001F7917">
        <w:rPr>
          <w:rFonts w:ascii="Times New Roman" w:hAnsi="Times New Roman"/>
          <w:szCs w:val="24"/>
        </w:rPr>
        <w:t>ast renewal</w:t>
      </w:r>
      <w:r w:rsidR="00D71127">
        <w:rPr>
          <w:rFonts w:ascii="Times New Roman" w:hAnsi="Times New Roman"/>
          <w:szCs w:val="24"/>
        </w:rPr>
        <w:t>,</w:t>
      </w:r>
      <w:r w:rsidRPr="001F7917">
        <w:rPr>
          <w:rFonts w:ascii="Times New Roman" w:hAnsi="Times New Roman"/>
          <w:szCs w:val="24"/>
        </w:rPr>
        <w:t xml:space="preserve"> we have adjusted our estimate of the overall burden </w:t>
      </w:r>
      <w:r w:rsidRPr="001F7917" w:rsidR="00756C0E">
        <w:rPr>
          <w:rFonts w:ascii="Times New Roman" w:hAnsi="Times New Roman"/>
          <w:szCs w:val="24"/>
        </w:rPr>
        <w:t xml:space="preserve">to reflect an increase of </w:t>
      </w:r>
      <w:r w:rsidR="00E827FD">
        <w:rPr>
          <w:rFonts w:ascii="Times New Roman" w:hAnsi="Times New Roman"/>
          <w:szCs w:val="24"/>
        </w:rPr>
        <w:t xml:space="preserve">6,512,054 responses and 520,956 hours </w:t>
      </w:r>
      <w:r w:rsidRPr="001F7917">
        <w:rPr>
          <w:rFonts w:ascii="Times New Roman" w:hAnsi="Times New Roman"/>
          <w:szCs w:val="24"/>
        </w:rPr>
        <w:t>annually</w:t>
      </w:r>
      <w:r w:rsidR="00FB787B">
        <w:rPr>
          <w:rFonts w:ascii="Times New Roman" w:hAnsi="Times New Roman"/>
          <w:szCs w:val="24"/>
        </w:rPr>
        <w:t xml:space="preserve"> attributable to recordkeeping for </w:t>
      </w:r>
      <w:r w:rsidR="00424F17">
        <w:rPr>
          <w:rFonts w:ascii="Times New Roman" w:hAnsi="Times New Roman"/>
          <w:szCs w:val="24"/>
        </w:rPr>
        <w:t>drug samples</w:t>
      </w:r>
      <w:r w:rsidR="009D197C">
        <w:rPr>
          <w:rFonts w:ascii="Times New Roman" w:hAnsi="Times New Roman"/>
          <w:szCs w:val="24"/>
        </w:rPr>
        <w:t xml:space="preserve"> under</w:t>
      </w:r>
      <w:r w:rsidR="0086456F">
        <w:rPr>
          <w:rFonts w:ascii="Times New Roman" w:hAnsi="Times New Roman"/>
          <w:szCs w:val="24"/>
        </w:rPr>
        <w:t xml:space="preserve"> 21 CFR</w:t>
      </w:r>
      <w:r w:rsidR="009D197C">
        <w:rPr>
          <w:rFonts w:ascii="Times New Roman" w:hAnsi="Times New Roman"/>
          <w:szCs w:val="24"/>
        </w:rPr>
        <w:t xml:space="preserve"> part 203 </w:t>
      </w:r>
      <w:r w:rsidR="0086456F">
        <w:rPr>
          <w:rFonts w:ascii="Times New Roman" w:hAnsi="Times New Roman"/>
          <w:szCs w:val="24"/>
        </w:rPr>
        <w:t>subpart D</w:t>
      </w:r>
      <w:r w:rsidRPr="001F7917">
        <w:rPr>
          <w:rFonts w:ascii="Times New Roman" w:hAnsi="Times New Roman"/>
          <w:szCs w:val="24"/>
        </w:rPr>
        <w:t>.</w:t>
      </w:r>
      <w:r w:rsidR="00E827FD">
        <w:rPr>
          <w:rFonts w:ascii="Times New Roman" w:hAnsi="Times New Roman"/>
          <w:szCs w:val="24"/>
        </w:rPr>
        <w:t xml:space="preserve">  </w:t>
      </w:r>
      <w:r w:rsidR="00A829CB">
        <w:rPr>
          <w:rFonts w:ascii="Times New Roman" w:hAnsi="Times New Roman"/>
          <w:szCs w:val="24"/>
        </w:rPr>
        <w:t>B</w:t>
      </w:r>
      <w:r w:rsidR="00CA41A6">
        <w:rPr>
          <w:rFonts w:ascii="Times New Roman" w:hAnsi="Times New Roman"/>
          <w:szCs w:val="24"/>
        </w:rPr>
        <w:t xml:space="preserve">ecause </w:t>
      </w:r>
      <w:r w:rsidR="00227CA2">
        <w:rPr>
          <w:rFonts w:ascii="Times New Roman" w:hAnsi="Times New Roman"/>
          <w:szCs w:val="24"/>
        </w:rPr>
        <w:t xml:space="preserve">current </w:t>
      </w:r>
      <w:r w:rsidR="0042464F">
        <w:rPr>
          <w:rFonts w:ascii="Times New Roman" w:hAnsi="Times New Roman"/>
          <w:szCs w:val="24"/>
        </w:rPr>
        <w:t xml:space="preserve">implementation of </w:t>
      </w:r>
      <w:r w:rsidR="00221B0C">
        <w:rPr>
          <w:rFonts w:ascii="Times New Roman" w:hAnsi="Times New Roman"/>
          <w:szCs w:val="24"/>
        </w:rPr>
        <w:t xml:space="preserve">requirements </w:t>
      </w:r>
      <w:r w:rsidR="0042464F">
        <w:rPr>
          <w:rFonts w:ascii="Times New Roman" w:hAnsi="Times New Roman"/>
          <w:szCs w:val="24"/>
        </w:rPr>
        <w:t xml:space="preserve">under the </w:t>
      </w:r>
      <w:r w:rsidR="00E6077A">
        <w:rPr>
          <w:rFonts w:ascii="Times New Roman" w:hAnsi="Times New Roman"/>
          <w:szCs w:val="24"/>
        </w:rPr>
        <w:t xml:space="preserve">Drug Supply Chain Security Act </w:t>
      </w:r>
      <w:r w:rsidR="0042464F">
        <w:rPr>
          <w:rFonts w:ascii="Times New Roman" w:hAnsi="Times New Roman"/>
          <w:szCs w:val="24"/>
        </w:rPr>
        <w:t xml:space="preserve">(currently </w:t>
      </w:r>
      <w:r w:rsidR="00737795">
        <w:rPr>
          <w:rFonts w:ascii="Times New Roman" w:hAnsi="Times New Roman"/>
          <w:szCs w:val="24"/>
        </w:rPr>
        <w:t xml:space="preserve">approved in OMB control no. 0910-0806) </w:t>
      </w:r>
      <w:r w:rsidR="0004515A">
        <w:rPr>
          <w:rFonts w:ascii="Times New Roman" w:hAnsi="Times New Roman"/>
          <w:szCs w:val="24"/>
        </w:rPr>
        <w:t xml:space="preserve">apply to </w:t>
      </w:r>
      <w:r w:rsidRPr="002C4A5B" w:rsidR="0004515A">
        <w:rPr>
          <w:rFonts w:ascii="Times New Roman" w:hAnsi="Times New Roman"/>
          <w:b/>
          <w:bCs/>
          <w:i/>
          <w:iCs/>
          <w:szCs w:val="24"/>
        </w:rPr>
        <w:t>manufacturers</w:t>
      </w:r>
      <w:r w:rsidR="0004515A">
        <w:rPr>
          <w:rFonts w:ascii="Times New Roman" w:hAnsi="Times New Roman"/>
          <w:szCs w:val="24"/>
        </w:rPr>
        <w:t xml:space="preserve">, </w:t>
      </w:r>
      <w:r w:rsidRPr="002C4A5B" w:rsidR="0004515A">
        <w:rPr>
          <w:rFonts w:ascii="Times New Roman" w:hAnsi="Times New Roman"/>
          <w:b/>
          <w:bCs/>
          <w:i/>
          <w:iCs/>
          <w:szCs w:val="24"/>
        </w:rPr>
        <w:t>wholesalers</w:t>
      </w:r>
      <w:r w:rsidR="0004515A">
        <w:rPr>
          <w:rFonts w:ascii="Times New Roman" w:hAnsi="Times New Roman"/>
          <w:szCs w:val="24"/>
        </w:rPr>
        <w:t xml:space="preserve">, and </w:t>
      </w:r>
      <w:r w:rsidRPr="002C4A5B" w:rsidR="009D197C">
        <w:rPr>
          <w:rFonts w:ascii="Times New Roman" w:hAnsi="Times New Roman"/>
          <w:b/>
          <w:bCs/>
          <w:i/>
          <w:iCs/>
          <w:szCs w:val="24"/>
        </w:rPr>
        <w:t>dispensers</w:t>
      </w:r>
      <w:r w:rsidR="009D197C">
        <w:rPr>
          <w:rFonts w:ascii="Times New Roman" w:hAnsi="Times New Roman"/>
          <w:szCs w:val="24"/>
        </w:rPr>
        <w:t xml:space="preserve"> </w:t>
      </w:r>
      <w:r w:rsidR="00753597">
        <w:rPr>
          <w:rFonts w:ascii="Times New Roman" w:hAnsi="Times New Roman"/>
          <w:szCs w:val="24"/>
        </w:rPr>
        <w:t xml:space="preserve">as well as </w:t>
      </w:r>
      <w:r w:rsidRPr="002C4A5B" w:rsidR="00753597">
        <w:rPr>
          <w:rFonts w:ascii="Times New Roman" w:hAnsi="Times New Roman"/>
          <w:b/>
          <w:bCs/>
          <w:i/>
          <w:iCs/>
          <w:szCs w:val="24"/>
        </w:rPr>
        <w:t>distributers</w:t>
      </w:r>
      <w:r w:rsidR="00753597">
        <w:rPr>
          <w:rFonts w:ascii="Times New Roman" w:hAnsi="Times New Roman"/>
          <w:szCs w:val="24"/>
        </w:rPr>
        <w:t xml:space="preserve">, </w:t>
      </w:r>
      <w:r w:rsidR="008B665A">
        <w:rPr>
          <w:rFonts w:ascii="Times New Roman" w:hAnsi="Times New Roman"/>
          <w:szCs w:val="24"/>
        </w:rPr>
        <w:t xml:space="preserve">we </w:t>
      </w:r>
      <w:r w:rsidR="00753597">
        <w:rPr>
          <w:rFonts w:ascii="Times New Roman" w:hAnsi="Times New Roman"/>
          <w:szCs w:val="24"/>
        </w:rPr>
        <w:t>have consi</w:t>
      </w:r>
      <w:r w:rsidR="008135E2">
        <w:rPr>
          <w:rFonts w:ascii="Times New Roman" w:hAnsi="Times New Roman"/>
          <w:szCs w:val="24"/>
        </w:rPr>
        <w:t>dered that current recordkeeping</w:t>
      </w:r>
      <w:r w:rsidR="00CA41A6">
        <w:rPr>
          <w:rFonts w:ascii="Times New Roman" w:hAnsi="Times New Roman"/>
          <w:szCs w:val="24"/>
        </w:rPr>
        <w:t xml:space="preserve"> requirements</w:t>
      </w:r>
      <w:r w:rsidR="008135E2">
        <w:rPr>
          <w:rFonts w:ascii="Times New Roman" w:hAnsi="Times New Roman"/>
          <w:szCs w:val="24"/>
        </w:rPr>
        <w:t xml:space="preserve"> for drug samples </w:t>
      </w:r>
      <w:r w:rsidR="00CA41A6">
        <w:rPr>
          <w:rFonts w:ascii="Times New Roman" w:hAnsi="Times New Roman"/>
          <w:szCs w:val="24"/>
        </w:rPr>
        <w:t>under 21 CFR part 203 may apply</w:t>
      </w:r>
      <w:r w:rsidR="004F15DE">
        <w:rPr>
          <w:rFonts w:ascii="Times New Roman" w:hAnsi="Times New Roman"/>
          <w:szCs w:val="24"/>
        </w:rPr>
        <w:t xml:space="preserve"> to</w:t>
      </w:r>
      <w:r w:rsidR="00CA41A6">
        <w:rPr>
          <w:rFonts w:ascii="Times New Roman" w:hAnsi="Times New Roman"/>
          <w:szCs w:val="24"/>
        </w:rPr>
        <w:t xml:space="preserve"> more </w:t>
      </w:r>
      <w:r w:rsidR="00803D9A">
        <w:rPr>
          <w:rFonts w:ascii="Times New Roman" w:hAnsi="Times New Roman"/>
          <w:szCs w:val="24"/>
        </w:rPr>
        <w:t xml:space="preserve">respondents.  </w:t>
      </w:r>
      <w:r w:rsidR="00CA41A6">
        <w:rPr>
          <w:rFonts w:ascii="Times New Roman" w:hAnsi="Times New Roman"/>
          <w:szCs w:val="24"/>
        </w:rPr>
        <w:t xml:space="preserve">To account for this </w:t>
      </w:r>
      <w:r w:rsidR="00B7550B">
        <w:rPr>
          <w:rFonts w:ascii="Times New Roman" w:hAnsi="Times New Roman"/>
          <w:szCs w:val="24"/>
        </w:rPr>
        <w:t>activity</w:t>
      </w:r>
      <w:r w:rsidR="00CA41A6">
        <w:rPr>
          <w:rFonts w:ascii="Times New Roman" w:hAnsi="Times New Roman"/>
          <w:szCs w:val="24"/>
        </w:rPr>
        <w:t xml:space="preserve">, we </w:t>
      </w:r>
      <w:r w:rsidR="00DA64D8">
        <w:rPr>
          <w:rFonts w:ascii="Times New Roman" w:hAnsi="Times New Roman"/>
          <w:szCs w:val="24"/>
        </w:rPr>
        <w:t xml:space="preserve">increased the number of responses </w:t>
      </w:r>
      <w:r w:rsidR="008020C5">
        <w:rPr>
          <w:rFonts w:ascii="Times New Roman" w:hAnsi="Times New Roman"/>
          <w:szCs w:val="24"/>
        </w:rPr>
        <w:t xml:space="preserve">and hours </w:t>
      </w:r>
      <w:r w:rsidR="00CA41A6">
        <w:rPr>
          <w:rFonts w:ascii="Times New Roman" w:hAnsi="Times New Roman"/>
          <w:szCs w:val="24"/>
        </w:rPr>
        <w:t xml:space="preserve">per </w:t>
      </w:r>
      <w:r w:rsidR="008020C5">
        <w:rPr>
          <w:rFonts w:ascii="Times New Roman" w:hAnsi="Times New Roman"/>
          <w:szCs w:val="24"/>
        </w:rPr>
        <w:t>each of the 140 pharmaceutical companies identif</w:t>
      </w:r>
      <w:r w:rsidR="00B63C02">
        <w:rPr>
          <w:rFonts w:ascii="Times New Roman" w:hAnsi="Times New Roman"/>
          <w:szCs w:val="24"/>
        </w:rPr>
        <w:t>ied</w:t>
      </w:r>
      <w:r w:rsidR="008774DB">
        <w:rPr>
          <w:rFonts w:ascii="Times New Roman" w:hAnsi="Times New Roman"/>
          <w:szCs w:val="24"/>
        </w:rPr>
        <w:t xml:space="preserve"> in Row 3 of Table 2 in Q-12 above </w:t>
      </w:r>
      <w:r w:rsidRPr="00A959F0" w:rsidR="008774DB">
        <w:rPr>
          <w:rFonts w:ascii="Times New Roman" w:hAnsi="Times New Roman"/>
          <w:i/>
          <w:iCs/>
          <w:szCs w:val="24"/>
        </w:rPr>
        <w:t>(</w:t>
      </w:r>
      <w:r w:rsidR="00B7550B">
        <w:rPr>
          <w:rFonts w:ascii="Times New Roman" w:hAnsi="Times New Roman"/>
          <w:i/>
          <w:iCs/>
          <w:szCs w:val="24"/>
        </w:rPr>
        <w:t>“</w:t>
      </w:r>
      <w:r w:rsidRPr="00A959F0" w:rsidR="00752B23">
        <w:rPr>
          <w:rFonts w:ascii="Times New Roman" w:hAnsi="Times New Roman"/>
          <w:i/>
          <w:iCs/>
          <w:szCs w:val="24"/>
        </w:rPr>
        <w:t>§§ 203.30 – 203.39; documentation regarding sample distribution</w:t>
      </w:r>
      <w:r w:rsidR="00B7550B">
        <w:rPr>
          <w:rFonts w:ascii="Times New Roman" w:hAnsi="Times New Roman"/>
          <w:szCs w:val="24"/>
        </w:rPr>
        <w:t>”</w:t>
      </w:r>
      <w:r w:rsidR="008774DB">
        <w:rPr>
          <w:rFonts w:ascii="Times New Roman" w:hAnsi="Times New Roman"/>
          <w:szCs w:val="24"/>
        </w:rPr>
        <w:t>)</w:t>
      </w:r>
      <w:r w:rsidR="00750186">
        <w:rPr>
          <w:rFonts w:ascii="Times New Roman" w:hAnsi="Times New Roman"/>
          <w:szCs w:val="24"/>
        </w:rPr>
        <w:t>, and have included it with the other recordkeeping elements.</w:t>
      </w:r>
    </w:p>
    <w:p w:rsidR="00B140C9" w:rsidP="006801DC" w14:paraId="34F2E01A" w14:textId="77777777">
      <w:pPr>
        <w:rPr>
          <w:rFonts w:ascii="Times New Roman" w:hAnsi="Times New Roman"/>
          <w:szCs w:val="24"/>
        </w:rPr>
      </w:pPr>
    </w:p>
    <w:p w:rsidR="00C47FF3" w:rsidRPr="00621594" w:rsidP="00621594" w14:paraId="648C0A12" w14:textId="77777777">
      <w:pPr>
        <w:pStyle w:val="ListParagraph"/>
        <w:numPr>
          <w:ilvl w:val="0"/>
          <w:numId w:val="5"/>
        </w:numPr>
        <w:ind w:left="360"/>
        <w:rPr>
          <w:rFonts w:ascii="Times New Roman" w:hAnsi="Times New Roman"/>
          <w:szCs w:val="24"/>
        </w:rPr>
      </w:pPr>
      <w:r w:rsidRPr="00621594">
        <w:rPr>
          <w:rFonts w:ascii="Times New Roman" w:hAnsi="Times New Roman"/>
          <w:szCs w:val="24"/>
          <w:u w:val="single"/>
        </w:rPr>
        <w:t>Plans for Tabulation and Publication and Project Time Schedule</w:t>
      </w:r>
    </w:p>
    <w:p w:rsidR="00C839C5" w:rsidRPr="006801DC" w:rsidP="006801DC" w14:paraId="6B6B2DD0" w14:textId="77777777">
      <w:pPr>
        <w:rPr>
          <w:rFonts w:ascii="Times New Roman" w:hAnsi="Times New Roman"/>
          <w:szCs w:val="24"/>
        </w:rPr>
      </w:pPr>
    </w:p>
    <w:p w:rsidR="00C054DF" w:rsidP="006801DC" w14:paraId="09C981D9" w14:textId="77777777">
      <w:pPr>
        <w:rPr>
          <w:rFonts w:ascii="Times New Roman" w:hAnsi="Times New Roman"/>
          <w:szCs w:val="24"/>
        </w:rPr>
      </w:pPr>
      <w:r w:rsidRPr="00C13796">
        <w:rPr>
          <w:rFonts w:ascii="Times New Roman" w:hAnsi="Times New Roman"/>
          <w:szCs w:val="24"/>
        </w:rPr>
        <w:t>This information collected will not be published or tabulated.</w:t>
      </w:r>
    </w:p>
    <w:p w:rsidR="00C53A01" w:rsidP="006801DC" w14:paraId="128709EC" w14:textId="77777777">
      <w:pPr>
        <w:rPr>
          <w:rFonts w:ascii="Times New Roman" w:hAnsi="Times New Roman"/>
          <w:szCs w:val="24"/>
        </w:rPr>
      </w:pPr>
    </w:p>
    <w:p w:rsidR="00C47FF3" w:rsidRPr="00211E3B" w:rsidP="00211E3B" w14:paraId="61945D07" w14:textId="77777777">
      <w:pPr>
        <w:pStyle w:val="ListParagraph"/>
        <w:numPr>
          <w:ilvl w:val="0"/>
          <w:numId w:val="5"/>
        </w:numPr>
        <w:ind w:left="360"/>
        <w:rPr>
          <w:rFonts w:ascii="Times New Roman" w:hAnsi="Times New Roman"/>
          <w:szCs w:val="24"/>
        </w:rPr>
      </w:pPr>
      <w:r w:rsidRPr="00211E3B">
        <w:rPr>
          <w:rFonts w:ascii="Times New Roman" w:hAnsi="Times New Roman"/>
          <w:szCs w:val="24"/>
          <w:u w:val="single"/>
        </w:rPr>
        <w:t>Reason(s) Display of OMB Expiration Date is Inappropriate</w:t>
      </w:r>
    </w:p>
    <w:p w:rsidR="00C839C5" w:rsidRPr="006801DC" w:rsidP="006801DC" w14:paraId="13C1BB86" w14:textId="77777777">
      <w:pPr>
        <w:rPr>
          <w:rFonts w:ascii="Times New Roman" w:hAnsi="Times New Roman"/>
          <w:szCs w:val="24"/>
        </w:rPr>
      </w:pPr>
    </w:p>
    <w:p w:rsidR="00C47FF3" w:rsidRPr="006801DC" w:rsidP="006801DC" w14:paraId="0A43BF54" w14:textId="77777777">
      <w:pPr>
        <w:rPr>
          <w:rFonts w:ascii="Times New Roman" w:hAnsi="Times New Roman"/>
          <w:szCs w:val="24"/>
        </w:rPr>
      </w:pPr>
      <w:r>
        <w:rPr>
          <w:rFonts w:ascii="Times New Roman" w:hAnsi="Times New Roman"/>
          <w:szCs w:val="24"/>
        </w:rPr>
        <w:t xml:space="preserve">The OMB </w:t>
      </w:r>
      <w:r w:rsidRPr="008A232A" w:rsidR="008A232A">
        <w:rPr>
          <w:rFonts w:ascii="Times New Roman" w:hAnsi="Times New Roman"/>
          <w:szCs w:val="24"/>
        </w:rPr>
        <w:t xml:space="preserve">expiration date </w:t>
      </w:r>
      <w:r>
        <w:rPr>
          <w:rFonts w:ascii="Times New Roman" w:hAnsi="Times New Roman"/>
          <w:szCs w:val="24"/>
        </w:rPr>
        <w:t xml:space="preserve">will be displayed </w:t>
      </w:r>
      <w:r w:rsidRPr="008A232A" w:rsidR="008A232A">
        <w:rPr>
          <w:rFonts w:ascii="Times New Roman" w:hAnsi="Times New Roman"/>
          <w:szCs w:val="24"/>
        </w:rPr>
        <w:t>as required by 5 CFR 1320.</w:t>
      </w:r>
      <w:r>
        <w:rPr>
          <w:rFonts w:ascii="Times New Roman" w:hAnsi="Times New Roman"/>
          <w:szCs w:val="24"/>
        </w:rPr>
        <w:t>5</w:t>
      </w:r>
      <w:r w:rsidRPr="008A232A" w:rsidR="008A232A">
        <w:rPr>
          <w:rFonts w:ascii="Times New Roman" w:hAnsi="Times New Roman"/>
          <w:szCs w:val="24"/>
        </w:rPr>
        <w:t>.</w:t>
      </w:r>
    </w:p>
    <w:p w:rsidR="005017FC" w:rsidRPr="006801DC" w:rsidP="006801DC" w14:paraId="640F9D1B" w14:textId="77777777">
      <w:pPr>
        <w:rPr>
          <w:rFonts w:ascii="Times New Roman" w:hAnsi="Times New Roman"/>
          <w:szCs w:val="24"/>
        </w:rPr>
      </w:pPr>
    </w:p>
    <w:p w:rsidR="00C47FF3" w:rsidRPr="00211E3B" w:rsidP="00211E3B" w14:paraId="460AF95D" w14:textId="77777777">
      <w:pPr>
        <w:pStyle w:val="ListParagraph"/>
        <w:numPr>
          <w:ilvl w:val="0"/>
          <w:numId w:val="5"/>
        </w:numPr>
        <w:ind w:left="360"/>
        <w:rPr>
          <w:rFonts w:ascii="Times New Roman" w:hAnsi="Times New Roman"/>
          <w:szCs w:val="24"/>
        </w:rPr>
      </w:pPr>
      <w:r w:rsidRPr="00211E3B">
        <w:rPr>
          <w:rFonts w:ascii="Times New Roman" w:hAnsi="Times New Roman"/>
          <w:szCs w:val="24"/>
          <w:u w:val="single"/>
        </w:rPr>
        <w:t>Exceptions to Certification for Paperwork Reduction Act Submissions</w:t>
      </w:r>
    </w:p>
    <w:p w:rsidR="00C47FF3" w:rsidRPr="006801DC" w:rsidP="006801DC" w14:paraId="2E0D357C" w14:textId="77777777">
      <w:pPr>
        <w:rPr>
          <w:rFonts w:ascii="Times New Roman" w:hAnsi="Times New Roman"/>
          <w:szCs w:val="24"/>
        </w:rPr>
      </w:pPr>
    </w:p>
    <w:p w:rsidR="00B605E3" w:rsidRPr="006801DC" w:rsidP="00882E7C" w14:paraId="4BC9A193" w14:textId="77777777">
      <w:pPr>
        <w:rPr>
          <w:rFonts w:ascii="Times New Roman" w:hAnsi="Times New Roman"/>
          <w:szCs w:val="24"/>
        </w:rPr>
      </w:pPr>
      <w:r w:rsidRPr="00C13796">
        <w:rPr>
          <w:rFonts w:ascii="Times New Roman" w:hAnsi="Times New Roman"/>
          <w:szCs w:val="24"/>
        </w:rPr>
        <w:t xml:space="preserve">There are no exceptions to the </w:t>
      </w:r>
      <w:r w:rsidRPr="00C13796" w:rsidR="004C1017">
        <w:rPr>
          <w:rFonts w:ascii="Times New Roman" w:hAnsi="Times New Roman"/>
          <w:szCs w:val="24"/>
        </w:rPr>
        <w:t>c</w:t>
      </w:r>
      <w:r w:rsidRPr="00C13796">
        <w:rPr>
          <w:rFonts w:ascii="Times New Roman" w:hAnsi="Times New Roman"/>
          <w:szCs w:val="24"/>
        </w:rPr>
        <w:t>ertification</w:t>
      </w:r>
      <w:r w:rsidRPr="00C13796" w:rsidR="004C1017">
        <w:rPr>
          <w:rFonts w:ascii="Times New Roman" w:hAnsi="Times New Roman"/>
          <w:szCs w:val="24"/>
        </w:rPr>
        <w:t>.</w:t>
      </w:r>
    </w:p>
    <w:sectPr w:rsidSect="007E12A1">
      <w:headerReference w:type="default" r:id="rId8"/>
      <w:footerReference w:type="default" r:id="rId9"/>
      <w:headerReference w:type="first" r:id="rId10"/>
      <w:footerReference w:type="first" r:id="rId11"/>
      <w:endnotePr>
        <w:numFmt w:val="decimal"/>
      </w:endnotePr>
      <w:pgSz w:w="12240" w:h="15840"/>
      <w:pgMar w:top="1440" w:right="1440" w:bottom="1440" w:left="1440" w:header="576"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D01" w14:paraId="63D4750E" w14:textId="77777777">
    <w:pPr>
      <w:spacing w:line="240" w:lineRule="exact"/>
    </w:pPr>
  </w:p>
  <w:p w:rsidR="00441D01" w:rsidRPr="00C054DF" w14:paraId="689B97E3" w14:textId="77777777">
    <w:pPr>
      <w:framePr w:w="9361" w:wrap="notBeside" w:vAnchor="text" w:hAnchor="text" w:x="1" w:y="1"/>
      <w:jc w:val="center"/>
      <w:rPr>
        <w:rFonts w:ascii="Times New Roman" w:hAnsi="Times New Roman"/>
        <w:sz w:val="22"/>
        <w:szCs w:val="22"/>
      </w:rPr>
    </w:pPr>
    <w:r w:rsidRPr="00C054DF">
      <w:rPr>
        <w:rFonts w:ascii="Times New Roman" w:hAnsi="Times New Roman"/>
        <w:sz w:val="22"/>
        <w:szCs w:val="22"/>
      </w:rPr>
      <w:fldChar w:fldCharType="begin"/>
    </w:r>
    <w:r w:rsidRPr="00C054DF">
      <w:rPr>
        <w:rFonts w:ascii="Times New Roman" w:hAnsi="Times New Roman"/>
        <w:sz w:val="22"/>
        <w:szCs w:val="22"/>
      </w:rPr>
      <w:instrText xml:space="preserve">PAGE </w:instrText>
    </w:r>
    <w:r w:rsidRPr="00C054DF">
      <w:rPr>
        <w:rFonts w:ascii="Times New Roman" w:hAnsi="Times New Roman"/>
        <w:sz w:val="22"/>
        <w:szCs w:val="22"/>
      </w:rPr>
      <w:fldChar w:fldCharType="separate"/>
    </w:r>
    <w:r w:rsidR="00154C77">
      <w:rPr>
        <w:rFonts w:ascii="Times New Roman" w:hAnsi="Times New Roman"/>
        <w:noProof/>
        <w:sz w:val="22"/>
        <w:szCs w:val="22"/>
      </w:rPr>
      <w:t>5</w:t>
    </w:r>
    <w:r w:rsidRPr="00C054DF">
      <w:rPr>
        <w:rFonts w:ascii="Times New Roman" w:hAnsi="Times New Roman"/>
        <w:sz w:val="22"/>
        <w:szCs w:val="22"/>
      </w:rPr>
      <w:fldChar w:fldCharType="end"/>
    </w:r>
  </w:p>
  <w:p w:rsidR="00441D01" w14:paraId="341EDEB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26" w14:paraId="105B0DF1" w14:textId="77777777">
    <w:pPr>
      <w:pStyle w:val="Footer"/>
      <w:jc w:val="center"/>
    </w:pPr>
  </w:p>
  <w:p w:rsidR="003D23F7" w14:paraId="103283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B1A" w:rsidP="00C76511" w14:paraId="330B6FB7" w14:textId="3692084A">
    <w:pPr>
      <w:pStyle w:val="Header"/>
      <w:ind w:left="-720"/>
    </w:pPr>
  </w:p>
  <w:p w:rsidR="00C76511" w:rsidP="00C76511" w14:paraId="58C97FC5" w14:textId="77777777">
    <w:pPr>
      <w:pStyle w:val="Header"/>
      <w:ind w:left="-720"/>
    </w:pPr>
  </w:p>
  <w:p w:rsidR="00C76511" w:rsidP="00C76511" w14:paraId="45377C90" w14:textId="7777777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511" w:rsidP="007E12A1" w14:paraId="2C961F4E" w14:textId="3AE6A34F">
    <w:pPr>
      <w:pStyle w:val="Header"/>
      <w:ind w:left="-720"/>
    </w:pPr>
    <w:r>
      <w:rPr>
        <w:noProof/>
      </w:rPr>
      <w:drawing>
        <wp:inline distT="0" distB="0" distL="0" distR="0">
          <wp:extent cx="2047875" cy="423698"/>
          <wp:effectExtent l="0" t="0" r="0" b="0"/>
          <wp:docPr id="1046380909" name="Picture 104638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80909"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63744" cy="426981"/>
                  </a:xfrm>
                  <a:prstGeom prst="rect">
                    <a:avLst/>
                  </a:prstGeom>
                </pic:spPr>
              </pic:pic>
            </a:graphicData>
          </a:graphic>
        </wp:inline>
      </w:drawing>
    </w:r>
  </w:p>
  <w:p w:rsidR="00C76511" w:rsidP="00C76511" w14:paraId="163BC682" w14:textId="77777777">
    <w:pPr>
      <w:pStyle w:val="Header"/>
      <w:ind w:left="-720"/>
    </w:pPr>
  </w:p>
  <w:p w:rsidR="003546A6" w:rsidP="007E12A1" w14:paraId="505C18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C4C10"/>
    <w:multiLevelType w:val="hybridMultilevel"/>
    <w:tmpl w:val="099AB0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2E4544"/>
    <w:multiLevelType w:val="hybridMultilevel"/>
    <w:tmpl w:val="C3AC3FD8"/>
    <w:lvl w:ilvl="0">
      <w:start w:val="11"/>
      <w:numFmt w:val="decimal"/>
      <w:lvlText w:val="%1."/>
      <w:lvlJc w:val="left"/>
      <w:pPr>
        <w:tabs>
          <w:tab w:val="num" w:pos="420"/>
        </w:tabs>
        <w:ind w:left="420" w:hanging="42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44D73224"/>
    <w:multiLevelType w:val="hybridMultilevel"/>
    <w:tmpl w:val="FCC82758"/>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72655C6D"/>
    <w:multiLevelType w:val="hybridMultilevel"/>
    <w:tmpl w:val="8110B5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B14FB1"/>
    <w:multiLevelType w:val="hybridMultilevel"/>
    <w:tmpl w:val="2794B424"/>
    <w:lvl w:ilvl="0">
      <w:start w:val="5"/>
      <w:numFmt w:val="decimal"/>
      <w:lvlText w:val="%1."/>
      <w:lvlJc w:val="left"/>
      <w:pPr>
        <w:tabs>
          <w:tab w:val="num" w:pos="360"/>
        </w:tabs>
        <w:ind w:left="360" w:hanging="360"/>
      </w:pPr>
      <w:rPr>
        <w:rFonts w:hint="default"/>
        <w:b/>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559757098">
    <w:abstractNumId w:val="4"/>
  </w:num>
  <w:num w:numId="2" w16cid:durableId="223298634">
    <w:abstractNumId w:val="1"/>
  </w:num>
  <w:num w:numId="3" w16cid:durableId="966162216">
    <w:abstractNumId w:val="2"/>
  </w:num>
  <w:num w:numId="4" w16cid:durableId="1720667584">
    <w:abstractNumId w:val="0"/>
  </w:num>
  <w:num w:numId="5" w16cid:durableId="1696036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F3"/>
    <w:rsid w:val="0000337F"/>
    <w:rsid w:val="000066D5"/>
    <w:rsid w:val="00010BDC"/>
    <w:rsid w:val="000145B4"/>
    <w:rsid w:val="00022E16"/>
    <w:rsid w:val="00025B7F"/>
    <w:rsid w:val="000262EB"/>
    <w:rsid w:val="000313CC"/>
    <w:rsid w:val="00036459"/>
    <w:rsid w:val="00037BC6"/>
    <w:rsid w:val="00040AA9"/>
    <w:rsid w:val="00041DEB"/>
    <w:rsid w:val="0004340F"/>
    <w:rsid w:val="00044DB3"/>
    <w:rsid w:val="0004515A"/>
    <w:rsid w:val="00050BDD"/>
    <w:rsid w:val="00052F0B"/>
    <w:rsid w:val="00063FA8"/>
    <w:rsid w:val="00067285"/>
    <w:rsid w:val="00071731"/>
    <w:rsid w:val="00072F7A"/>
    <w:rsid w:val="00073D72"/>
    <w:rsid w:val="000740D5"/>
    <w:rsid w:val="000747A1"/>
    <w:rsid w:val="000831DF"/>
    <w:rsid w:val="000836A4"/>
    <w:rsid w:val="0008544A"/>
    <w:rsid w:val="000903B9"/>
    <w:rsid w:val="00095082"/>
    <w:rsid w:val="00096CD0"/>
    <w:rsid w:val="000A07F1"/>
    <w:rsid w:val="000B2A1D"/>
    <w:rsid w:val="000B4F1E"/>
    <w:rsid w:val="000C03DC"/>
    <w:rsid w:val="000C19C3"/>
    <w:rsid w:val="000D00FF"/>
    <w:rsid w:val="000D470D"/>
    <w:rsid w:val="000E2CBE"/>
    <w:rsid w:val="000E6DAD"/>
    <w:rsid w:val="000F3964"/>
    <w:rsid w:val="00103818"/>
    <w:rsid w:val="00111CCD"/>
    <w:rsid w:val="00112F5E"/>
    <w:rsid w:val="001154B0"/>
    <w:rsid w:val="00121941"/>
    <w:rsid w:val="00126EE9"/>
    <w:rsid w:val="00127DB9"/>
    <w:rsid w:val="00131AF5"/>
    <w:rsid w:val="0013463B"/>
    <w:rsid w:val="001350C4"/>
    <w:rsid w:val="001367DF"/>
    <w:rsid w:val="0014438C"/>
    <w:rsid w:val="00144DEC"/>
    <w:rsid w:val="001505E5"/>
    <w:rsid w:val="00154C77"/>
    <w:rsid w:val="00156966"/>
    <w:rsid w:val="00156EB3"/>
    <w:rsid w:val="001577E6"/>
    <w:rsid w:val="00157EF7"/>
    <w:rsid w:val="001632C1"/>
    <w:rsid w:val="00163698"/>
    <w:rsid w:val="0016564F"/>
    <w:rsid w:val="00166316"/>
    <w:rsid w:val="00171EBF"/>
    <w:rsid w:val="00172445"/>
    <w:rsid w:val="00173912"/>
    <w:rsid w:val="00173B74"/>
    <w:rsid w:val="00174FD5"/>
    <w:rsid w:val="00175829"/>
    <w:rsid w:val="00176328"/>
    <w:rsid w:val="00180CE1"/>
    <w:rsid w:val="0018455E"/>
    <w:rsid w:val="00187C3F"/>
    <w:rsid w:val="0019152F"/>
    <w:rsid w:val="00194B43"/>
    <w:rsid w:val="001955A6"/>
    <w:rsid w:val="001A2FAE"/>
    <w:rsid w:val="001A5D1A"/>
    <w:rsid w:val="001A7027"/>
    <w:rsid w:val="001A7720"/>
    <w:rsid w:val="001B391A"/>
    <w:rsid w:val="001B6324"/>
    <w:rsid w:val="001D1517"/>
    <w:rsid w:val="001D6EA3"/>
    <w:rsid w:val="001D7ED5"/>
    <w:rsid w:val="001E12F9"/>
    <w:rsid w:val="001E21F1"/>
    <w:rsid w:val="001F29ED"/>
    <w:rsid w:val="001F3B2F"/>
    <w:rsid w:val="001F7917"/>
    <w:rsid w:val="00202E6C"/>
    <w:rsid w:val="0020378D"/>
    <w:rsid w:val="00207C3C"/>
    <w:rsid w:val="00207CD0"/>
    <w:rsid w:val="002116CD"/>
    <w:rsid w:val="00211D8B"/>
    <w:rsid w:val="00211E3B"/>
    <w:rsid w:val="002163C6"/>
    <w:rsid w:val="002201E0"/>
    <w:rsid w:val="00221B0C"/>
    <w:rsid w:val="0022364D"/>
    <w:rsid w:val="002275F5"/>
    <w:rsid w:val="00227CA2"/>
    <w:rsid w:val="00232CD8"/>
    <w:rsid w:val="00234F58"/>
    <w:rsid w:val="002410A2"/>
    <w:rsid w:val="002469DB"/>
    <w:rsid w:val="002514D3"/>
    <w:rsid w:val="002559DB"/>
    <w:rsid w:val="00261084"/>
    <w:rsid w:val="00261170"/>
    <w:rsid w:val="0026428F"/>
    <w:rsid w:val="002649F6"/>
    <w:rsid w:val="00267512"/>
    <w:rsid w:val="0027033C"/>
    <w:rsid w:val="00271B2A"/>
    <w:rsid w:val="00293BB9"/>
    <w:rsid w:val="002942D9"/>
    <w:rsid w:val="00296E41"/>
    <w:rsid w:val="002A73FE"/>
    <w:rsid w:val="002B12D1"/>
    <w:rsid w:val="002B4A16"/>
    <w:rsid w:val="002B59ED"/>
    <w:rsid w:val="002B7104"/>
    <w:rsid w:val="002B73F8"/>
    <w:rsid w:val="002C0BE1"/>
    <w:rsid w:val="002C1F34"/>
    <w:rsid w:val="002C4A5B"/>
    <w:rsid w:val="002D29D3"/>
    <w:rsid w:val="002D5346"/>
    <w:rsid w:val="002E2013"/>
    <w:rsid w:val="002E333B"/>
    <w:rsid w:val="002E4F16"/>
    <w:rsid w:val="002E72D7"/>
    <w:rsid w:val="002E7EEA"/>
    <w:rsid w:val="002F275B"/>
    <w:rsid w:val="002F2881"/>
    <w:rsid w:val="002F366B"/>
    <w:rsid w:val="002F5F36"/>
    <w:rsid w:val="003014E6"/>
    <w:rsid w:val="0030305C"/>
    <w:rsid w:val="003038A6"/>
    <w:rsid w:val="00304E70"/>
    <w:rsid w:val="00304F60"/>
    <w:rsid w:val="00310D2B"/>
    <w:rsid w:val="00312877"/>
    <w:rsid w:val="00323667"/>
    <w:rsid w:val="0032533B"/>
    <w:rsid w:val="00327FB1"/>
    <w:rsid w:val="003304F2"/>
    <w:rsid w:val="0033098D"/>
    <w:rsid w:val="00331C5E"/>
    <w:rsid w:val="00333F05"/>
    <w:rsid w:val="0033434D"/>
    <w:rsid w:val="003373D3"/>
    <w:rsid w:val="00350DFB"/>
    <w:rsid w:val="00351D42"/>
    <w:rsid w:val="003546A6"/>
    <w:rsid w:val="00360560"/>
    <w:rsid w:val="00366D15"/>
    <w:rsid w:val="00372D07"/>
    <w:rsid w:val="00373A9A"/>
    <w:rsid w:val="00374E2B"/>
    <w:rsid w:val="003833E6"/>
    <w:rsid w:val="00386B59"/>
    <w:rsid w:val="003909ED"/>
    <w:rsid w:val="003912C1"/>
    <w:rsid w:val="00394521"/>
    <w:rsid w:val="00394840"/>
    <w:rsid w:val="00395BE9"/>
    <w:rsid w:val="00397E9A"/>
    <w:rsid w:val="003A2067"/>
    <w:rsid w:val="003A2715"/>
    <w:rsid w:val="003B047A"/>
    <w:rsid w:val="003B1AD9"/>
    <w:rsid w:val="003B2647"/>
    <w:rsid w:val="003B3223"/>
    <w:rsid w:val="003B73BC"/>
    <w:rsid w:val="003C1DB5"/>
    <w:rsid w:val="003C2EE0"/>
    <w:rsid w:val="003C6226"/>
    <w:rsid w:val="003D23F7"/>
    <w:rsid w:val="003E61D3"/>
    <w:rsid w:val="003E63EC"/>
    <w:rsid w:val="003E726E"/>
    <w:rsid w:val="003F1C2A"/>
    <w:rsid w:val="003F2207"/>
    <w:rsid w:val="003F507D"/>
    <w:rsid w:val="003F5AFE"/>
    <w:rsid w:val="0040156B"/>
    <w:rsid w:val="00404CBE"/>
    <w:rsid w:val="00405738"/>
    <w:rsid w:val="0041102B"/>
    <w:rsid w:val="00411AEF"/>
    <w:rsid w:val="00412B7E"/>
    <w:rsid w:val="00413673"/>
    <w:rsid w:val="0041494B"/>
    <w:rsid w:val="004223DC"/>
    <w:rsid w:val="00423D4C"/>
    <w:rsid w:val="0042464F"/>
    <w:rsid w:val="00424F17"/>
    <w:rsid w:val="00430D36"/>
    <w:rsid w:val="00434454"/>
    <w:rsid w:val="004350C3"/>
    <w:rsid w:val="00436845"/>
    <w:rsid w:val="00441D01"/>
    <w:rsid w:val="00442A46"/>
    <w:rsid w:val="00446239"/>
    <w:rsid w:val="00447F03"/>
    <w:rsid w:val="004515AE"/>
    <w:rsid w:val="004523CA"/>
    <w:rsid w:val="00457E76"/>
    <w:rsid w:val="0046323B"/>
    <w:rsid w:val="00465D55"/>
    <w:rsid w:val="00470DD0"/>
    <w:rsid w:val="004718FD"/>
    <w:rsid w:val="00475550"/>
    <w:rsid w:val="00485226"/>
    <w:rsid w:val="004900D9"/>
    <w:rsid w:val="00490BE2"/>
    <w:rsid w:val="00491463"/>
    <w:rsid w:val="00492360"/>
    <w:rsid w:val="004927CC"/>
    <w:rsid w:val="004A15FA"/>
    <w:rsid w:val="004A3749"/>
    <w:rsid w:val="004B112C"/>
    <w:rsid w:val="004B387E"/>
    <w:rsid w:val="004B57B1"/>
    <w:rsid w:val="004B6370"/>
    <w:rsid w:val="004B7DAF"/>
    <w:rsid w:val="004C0F55"/>
    <w:rsid w:val="004C1017"/>
    <w:rsid w:val="004D088B"/>
    <w:rsid w:val="004D4327"/>
    <w:rsid w:val="004E18CC"/>
    <w:rsid w:val="004E335D"/>
    <w:rsid w:val="004E4C62"/>
    <w:rsid w:val="004F0664"/>
    <w:rsid w:val="004F15DE"/>
    <w:rsid w:val="004F51A3"/>
    <w:rsid w:val="004F5374"/>
    <w:rsid w:val="004F54C7"/>
    <w:rsid w:val="004F5BD0"/>
    <w:rsid w:val="005012C0"/>
    <w:rsid w:val="005017FC"/>
    <w:rsid w:val="0051252D"/>
    <w:rsid w:val="005126D8"/>
    <w:rsid w:val="005135FC"/>
    <w:rsid w:val="005150BF"/>
    <w:rsid w:val="00516A62"/>
    <w:rsid w:val="00516B3B"/>
    <w:rsid w:val="0051786B"/>
    <w:rsid w:val="00526ADC"/>
    <w:rsid w:val="00537B1A"/>
    <w:rsid w:val="00550143"/>
    <w:rsid w:val="00550A48"/>
    <w:rsid w:val="00557328"/>
    <w:rsid w:val="00570DEB"/>
    <w:rsid w:val="00573141"/>
    <w:rsid w:val="00584BA3"/>
    <w:rsid w:val="00590824"/>
    <w:rsid w:val="00591ECF"/>
    <w:rsid w:val="00594514"/>
    <w:rsid w:val="005963B6"/>
    <w:rsid w:val="0059692E"/>
    <w:rsid w:val="005A1BD9"/>
    <w:rsid w:val="005A67F6"/>
    <w:rsid w:val="005B6AC3"/>
    <w:rsid w:val="005C065F"/>
    <w:rsid w:val="005C271C"/>
    <w:rsid w:val="005D180C"/>
    <w:rsid w:val="005D46CC"/>
    <w:rsid w:val="005D49FC"/>
    <w:rsid w:val="005D6D17"/>
    <w:rsid w:val="005E5609"/>
    <w:rsid w:val="005E6A08"/>
    <w:rsid w:val="005F1CA3"/>
    <w:rsid w:val="005F6A50"/>
    <w:rsid w:val="005F7C9F"/>
    <w:rsid w:val="006017D6"/>
    <w:rsid w:val="00604869"/>
    <w:rsid w:val="00606779"/>
    <w:rsid w:val="00615B2F"/>
    <w:rsid w:val="006167D4"/>
    <w:rsid w:val="00621594"/>
    <w:rsid w:val="00623906"/>
    <w:rsid w:val="00624A75"/>
    <w:rsid w:val="00627064"/>
    <w:rsid w:val="00632918"/>
    <w:rsid w:val="00632F17"/>
    <w:rsid w:val="006372D4"/>
    <w:rsid w:val="00640507"/>
    <w:rsid w:val="00643151"/>
    <w:rsid w:val="00643AD8"/>
    <w:rsid w:val="00644463"/>
    <w:rsid w:val="00645354"/>
    <w:rsid w:val="00653B0E"/>
    <w:rsid w:val="00655CAB"/>
    <w:rsid w:val="006631F8"/>
    <w:rsid w:val="00664802"/>
    <w:rsid w:val="00667B15"/>
    <w:rsid w:val="006701E0"/>
    <w:rsid w:val="006801DC"/>
    <w:rsid w:val="00680392"/>
    <w:rsid w:val="00682E14"/>
    <w:rsid w:val="00684FBF"/>
    <w:rsid w:val="00685D56"/>
    <w:rsid w:val="00687D12"/>
    <w:rsid w:val="00691DA6"/>
    <w:rsid w:val="006953B4"/>
    <w:rsid w:val="006A0CE6"/>
    <w:rsid w:val="006A1EE5"/>
    <w:rsid w:val="006A568B"/>
    <w:rsid w:val="006B0D15"/>
    <w:rsid w:val="006B1265"/>
    <w:rsid w:val="006B32EB"/>
    <w:rsid w:val="006B5998"/>
    <w:rsid w:val="006B5E53"/>
    <w:rsid w:val="006C03BD"/>
    <w:rsid w:val="006C7E72"/>
    <w:rsid w:val="006D042B"/>
    <w:rsid w:val="006D1302"/>
    <w:rsid w:val="006D26A0"/>
    <w:rsid w:val="006D3855"/>
    <w:rsid w:val="006D3BEC"/>
    <w:rsid w:val="006D46A3"/>
    <w:rsid w:val="006D601F"/>
    <w:rsid w:val="006E4AC8"/>
    <w:rsid w:val="006E6DB4"/>
    <w:rsid w:val="006F110A"/>
    <w:rsid w:val="006F2B2D"/>
    <w:rsid w:val="006F3AE5"/>
    <w:rsid w:val="006F4BC5"/>
    <w:rsid w:val="007021D8"/>
    <w:rsid w:val="0070300D"/>
    <w:rsid w:val="007053A7"/>
    <w:rsid w:val="0070669F"/>
    <w:rsid w:val="00707264"/>
    <w:rsid w:val="007077D9"/>
    <w:rsid w:val="00711771"/>
    <w:rsid w:val="007173BB"/>
    <w:rsid w:val="007229B0"/>
    <w:rsid w:val="007302F6"/>
    <w:rsid w:val="00730C85"/>
    <w:rsid w:val="00731948"/>
    <w:rsid w:val="00732028"/>
    <w:rsid w:val="00732519"/>
    <w:rsid w:val="00732538"/>
    <w:rsid w:val="00736BE4"/>
    <w:rsid w:val="00737795"/>
    <w:rsid w:val="007402F7"/>
    <w:rsid w:val="00742FCC"/>
    <w:rsid w:val="00742FCE"/>
    <w:rsid w:val="00743B16"/>
    <w:rsid w:val="00744D43"/>
    <w:rsid w:val="00750186"/>
    <w:rsid w:val="00752B23"/>
    <w:rsid w:val="00753597"/>
    <w:rsid w:val="00756C0E"/>
    <w:rsid w:val="00761D9E"/>
    <w:rsid w:val="00767F14"/>
    <w:rsid w:val="00786DF4"/>
    <w:rsid w:val="0079178A"/>
    <w:rsid w:val="00797E5C"/>
    <w:rsid w:val="007A0819"/>
    <w:rsid w:val="007A087C"/>
    <w:rsid w:val="007A471B"/>
    <w:rsid w:val="007B27CD"/>
    <w:rsid w:val="007B600D"/>
    <w:rsid w:val="007B660F"/>
    <w:rsid w:val="007C23E5"/>
    <w:rsid w:val="007C24F5"/>
    <w:rsid w:val="007C46E5"/>
    <w:rsid w:val="007C6D91"/>
    <w:rsid w:val="007D3279"/>
    <w:rsid w:val="007D3E27"/>
    <w:rsid w:val="007E12A1"/>
    <w:rsid w:val="007E2748"/>
    <w:rsid w:val="007E4DF4"/>
    <w:rsid w:val="007E58F3"/>
    <w:rsid w:val="007F1629"/>
    <w:rsid w:val="007F4A11"/>
    <w:rsid w:val="007F5ADD"/>
    <w:rsid w:val="007F69C3"/>
    <w:rsid w:val="007F7E01"/>
    <w:rsid w:val="008020C5"/>
    <w:rsid w:val="00803D9A"/>
    <w:rsid w:val="00804786"/>
    <w:rsid w:val="00805F1C"/>
    <w:rsid w:val="008069B1"/>
    <w:rsid w:val="008135E2"/>
    <w:rsid w:val="00814FC6"/>
    <w:rsid w:val="008205C8"/>
    <w:rsid w:val="008220C6"/>
    <w:rsid w:val="00822A91"/>
    <w:rsid w:val="00822B41"/>
    <w:rsid w:val="00830151"/>
    <w:rsid w:val="00830A52"/>
    <w:rsid w:val="0083127D"/>
    <w:rsid w:val="00840A83"/>
    <w:rsid w:val="00841E37"/>
    <w:rsid w:val="0084205D"/>
    <w:rsid w:val="008424DC"/>
    <w:rsid w:val="00852921"/>
    <w:rsid w:val="008529E5"/>
    <w:rsid w:val="00857F3C"/>
    <w:rsid w:val="0086235D"/>
    <w:rsid w:val="0086456F"/>
    <w:rsid w:val="008758B1"/>
    <w:rsid w:val="008774DB"/>
    <w:rsid w:val="0088057E"/>
    <w:rsid w:val="00882E7C"/>
    <w:rsid w:val="00883B44"/>
    <w:rsid w:val="00885CB3"/>
    <w:rsid w:val="00887763"/>
    <w:rsid w:val="00890410"/>
    <w:rsid w:val="0089271A"/>
    <w:rsid w:val="00896318"/>
    <w:rsid w:val="00896FFF"/>
    <w:rsid w:val="008A15F3"/>
    <w:rsid w:val="008A232A"/>
    <w:rsid w:val="008A2970"/>
    <w:rsid w:val="008A31A7"/>
    <w:rsid w:val="008A5E68"/>
    <w:rsid w:val="008B4668"/>
    <w:rsid w:val="008B665A"/>
    <w:rsid w:val="008C49AD"/>
    <w:rsid w:val="008C4A99"/>
    <w:rsid w:val="008D0417"/>
    <w:rsid w:val="008D1C7B"/>
    <w:rsid w:val="008D5E08"/>
    <w:rsid w:val="008E5E57"/>
    <w:rsid w:val="008E7792"/>
    <w:rsid w:val="008E7C2E"/>
    <w:rsid w:val="008F0964"/>
    <w:rsid w:val="008F178F"/>
    <w:rsid w:val="008F2921"/>
    <w:rsid w:val="008F488A"/>
    <w:rsid w:val="008F6073"/>
    <w:rsid w:val="008F7EB8"/>
    <w:rsid w:val="0090105F"/>
    <w:rsid w:val="00902557"/>
    <w:rsid w:val="0090301E"/>
    <w:rsid w:val="00911EE3"/>
    <w:rsid w:val="0091652D"/>
    <w:rsid w:val="00922096"/>
    <w:rsid w:val="0092364A"/>
    <w:rsid w:val="00925662"/>
    <w:rsid w:val="00926CF2"/>
    <w:rsid w:val="00930737"/>
    <w:rsid w:val="00931ACD"/>
    <w:rsid w:val="0093264F"/>
    <w:rsid w:val="00937967"/>
    <w:rsid w:val="009428FF"/>
    <w:rsid w:val="00943D5B"/>
    <w:rsid w:val="0094519D"/>
    <w:rsid w:val="0095160D"/>
    <w:rsid w:val="009527D8"/>
    <w:rsid w:val="00952F3A"/>
    <w:rsid w:val="00953E9F"/>
    <w:rsid w:val="009566BA"/>
    <w:rsid w:val="00960027"/>
    <w:rsid w:val="009614D6"/>
    <w:rsid w:val="009628B5"/>
    <w:rsid w:val="00963BB7"/>
    <w:rsid w:val="00964E0D"/>
    <w:rsid w:val="00965FB9"/>
    <w:rsid w:val="009706EA"/>
    <w:rsid w:val="0099379D"/>
    <w:rsid w:val="00997448"/>
    <w:rsid w:val="009A08C8"/>
    <w:rsid w:val="009A1015"/>
    <w:rsid w:val="009A1A4A"/>
    <w:rsid w:val="009B1A7D"/>
    <w:rsid w:val="009B44E6"/>
    <w:rsid w:val="009C4C2A"/>
    <w:rsid w:val="009C5D0F"/>
    <w:rsid w:val="009D197C"/>
    <w:rsid w:val="009D5036"/>
    <w:rsid w:val="009E1EAE"/>
    <w:rsid w:val="009E39F4"/>
    <w:rsid w:val="009F0094"/>
    <w:rsid w:val="009F05BC"/>
    <w:rsid w:val="009F565E"/>
    <w:rsid w:val="009F7DCC"/>
    <w:rsid w:val="00A02AD5"/>
    <w:rsid w:val="00A035EF"/>
    <w:rsid w:val="00A07D2B"/>
    <w:rsid w:val="00A13DB4"/>
    <w:rsid w:val="00A20068"/>
    <w:rsid w:val="00A203BC"/>
    <w:rsid w:val="00A260EB"/>
    <w:rsid w:val="00A26289"/>
    <w:rsid w:val="00A27BA3"/>
    <w:rsid w:val="00A320E0"/>
    <w:rsid w:val="00A347EC"/>
    <w:rsid w:val="00A410A5"/>
    <w:rsid w:val="00A41884"/>
    <w:rsid w:val="00A44C51"/>
    <w:rsid w:val="00A52709"/>
    <w:rsid w:val="00A568B8"/>
    <w:rsid w:val="00A56CBB"/>
    <w:rsid w:val="00A60114"/>
    <w:rsid w:val="00A6752E"/>
    <w:rsid w:val="00A70BF3"/>
    <w:rsid w:val="00A71A8B"/>
    <w:rsid w:val="00A7446D"/>
    <w:rsid w:val="00A77B20"/>
    <w:rsid w:val="00A829CB"/>
    <w:rsid w:val="00A83D1D"/>
    <w:rsid w:val="00A867CB"/>
    <w:rsid w:val="00A91402"/>
    <w:rsid w:val="00A940D4"/>
    <w:rsid w:val="00A9537B"/>
    <w:rsid w:val="00A959F0"/>
    <w:rsid w:val="00A96DC7"/>
    <w:rsid w:val="00AA176D"/>
    <w:rsid w:val="00AA3C4C"/>
    <w:rsid w:val="00AA3ECD"/>
    <w:rsid w:val="00AA7AB7"/>
    <w:rsid w:val="00AB2C2A"/>
    <w:rsid w:val="00AB4BDE"/>
    <w:rsid w:val="00AB529A"/>
    <w:rsid w:val="00AB52E1"/>
    <w:rsid w:val="00AB5C41"/>
    <w:rsid w:val="00AB6D31"/>
    <w:rsid w:val="00AC2DBF"/>
    <w:rsid w:val="00AC3010"/>
    <w:rsid w:val="00AC389B"/>
    <w:rsid w:val="00AD03B4"/>
    <w:rsid w:val="00AD21DE"/>
    <w:rsid w:val="00AD75A5"/>
    <w:rsid w:val="00AD7805"/>
    <w:rsid w:val="00AE35B3"/>
    <w:rsid w:val="00AE49D1"/>
    <w:rsid w:val="00AE7871"/>
    <w:rsid w:val="00B00D04"/>
    <w:rsid w:val="00B055B3"/>
    <w:rsid w:val="00B07001"/>
    <w:rsid w:val="00B140C9"/>
    <w:rsid w:val="00B16B8F"/>
    <w:rsid w:val="00B2384C"/>
    <w:rsid w:val="00B35796"/>
    <w:rsid w:val="00B42492"/>
    <w:rsid w:val="00B449B8"/>
    <w:rsid w:val="00B45C5A"/>
    <w:rsid w:val="00B54214"/>
    <w:rsid w:val="00B54B4E"/>
    <w:rsid w:val="00B60518"/>
    <w:rsid w:val="00B605E3"/>
    <w:rsid w:val="00B63C02"/>
    <w:rsid w:val="00B7550B"/>
    <w:rsid w:val="00B81053"/>
    <w:rsid w:val="00B821FC"/>
    <w:rsid w:val="00B86C7C"/>
    <w:rsid w:val="00BC0641"/>
    <w:rsid w:val="00BC57E2"/>
    <w:rsid w:val="00BC6E7E"/>
    <w:rsid w:val="00BC7361"/>
    <w:rsid w:val="00BD14F3"/>
    <w:rsid w:val="00BE5B09"/>
    <w:rsid w:val="00BE76F2"/>
    <w:rsid w:val="00BF0551"/>
    <w:rsid w:val="00BF4E30"/>
    <w:rsid w:val="00C00922"/>
    <w:rsid w:val="00C00EEA"/>
    <w:rsid w:val="00C01EE8"/>
    <w:rsid w:val="00C051B2"/>
    <w:rsid w:val="00C054DF"/>
    <w:rsid w:val="00C07415"/>
    <w:rsid w:val="00C10BDB"/>
    <w:rsid w:val="00C13796"/>
    <w:rsid w:val="00C24D14"/>
    <w:rsid w:val="00C321BB"/>
    <w:rsid w:val="00C40556"/>
    <w:rsid w:val="00C47FF3"/>
    <w:rsid w:val="00C52198"/>
    <w:rsid w:val="00C53A01"/>
    <w:rsid w:val="00C55A30"/>
    <w:rsid w:val="00C575FC"/>
    <w:rsid w:val="00C70E6D"/>
    <w:rsid w:val="00C71870"/>
    <w:rsid w:val="00C73EEF"/>
    <w:rsid w:val="00C74440"/>
    <w:rsid w:val="00C74C9F"/>
    <w:rsid w:val="00C76511"/>
    <w:rsid w:val="00C805D8"/>
    <w:rsid w:val="00C819ED"/>
    <w:rsid w:val="00C839C5"/>
    <w:rsid w:val="00C85518"/>
    <w:rsid w:val="00C93921"/>
    <w:rsid w:val="00C94D19"/>
    <w:rsid w:val="00C97896"/>
    <w:rsid w:val="00CA0A5A"/>
    <w:rsid w:val="00CA41A6"/>
    <w:rsid w:val="00CA5000"/>
    <w:rsid w:val="00CB6DF1"/>
    <w:rsid w:val="00CC2818"/>
    <w:rsid w:val="00CC57EC"/>
    <w:rsid w:val="00CC5940"/>
    <w:rsid w:val="00CD09B6"/>
    <w:rsid w:val="00CD1C13"/>
    <w:rsid w:val="00CD49BA"/>
    <w:rsid w:val="00CE6183"/>
    <w:rsid w:val="00CE61FA"/>
    <w:rsid w:val="00CE667C"/>
    <w:rsid w:val="00CF0020"/>
    <w:rsid w:val="00CF2202"/>
    <w:rsid w:val="00CF39CD"/>
    <w:rsid w:val="00CF6ED1"/>
    <w:rsid w:val="00D049B0"/>
    <w:rsid w:val="00D12338"/>
    <w:rsid w:val="00D13374"/>
    <w:rsid w:val="00D1615B"/>
    <w:rsid w:val="00D2072F"/>
    <w:rsid w:val="00D217C2"/>
    <w:rsid w:val="00D333D9"/>
    <w:rsid w:val="00D368AD"/>
    <w:rsid w:val="00D4274A"/>
    <w:rsid w:val="00D42979"/>
    <w:rsid w:val="00D450CD"/>
    <w:rsid w:val="00D47B26"/>
    <w:rsid w:val="00D606D6"/>
    <w:rsid w:val="00D64C6C"/>
    <w:rsid w:val="00D657A8"/>
    <w:rsid w:val="00D66DF7"/>
    <w:rsid w:val="00D70289"/>
    <w:rsid w:val="00D71127"/>
    <w:rsid w:val="00D745FA"/>
    <w:rsid w:val="00D751D5"/>
    <w:rsid w:val="00D752EA"/>
    <w:rsid w:val="00D765B7"/>
    <w:rsid w:val="00D76845"/>
    <w:rsid w:val="00D81DBC"/>
    <w:rsid w:val="00D8485E"/>
    <w:rsid w:val="00D85A4B"/>
    <w:rsid w:val="00D90A50"/>
    <w:rsid w:val="00D90A9C"/>
    <w:rsid w:val="00D90FBC"/>
    <w:rsid w:val="00D91A25"/>
    <w:rsid w:val="00D94719"/>
    <w:rsid w:val="00D94EE7"/>
    <w:rsid w:val="00D97D68"/>
    <w:rsid w:val="00D97F18"/>
    <w:rsid w:val="00DA64D8"/>
    <w:rsid w:val="00DA6B26"/>
    <w:rsid w:val="00DC533E"/>
    <w:rsid w:val="00DC6A8B"/>
    <w:rsid w:val="00DD3DB2"/>
    <w:rsid w:val="00DD58E7"/>
    <w:rsid w:val="00DE06BF"/>
    <w:rsid w:val="00DE0CDB"/>
    <w:rsid w:val="00DE36C6"/>
    <w:rsid w:val="00DE3AF0"/>
    <w:rsid w:val="00DE452D"/>
    <w:rsid w:val="00DF1F6C"/>
    <w:rsid w:val="00E00D64"/>
    <w:rsid w:val="00E04FD1"/>
    <w:rsid w:val="00E05945"/>
    <w:rsid w:val="00E113D9"/>
    <w:rsid w:val="00E114B1"/>
    <w:rsid w:val="00E11E1E"/>
    <w:rsid w:val="00E134A9"/>
    <w:rsid w:val="00E22976"/>
    <w:rsid w:val="00E31731"/>
    <w:rsid w:val="00E32965"/>
    <w:rsid w:val="00E33D2A"/>
    <w:rsid w:val="00E34B78"/>
    <w:rsid w:val="00E34D1C"/>
    <w:rsid w:val="00E402E7"/>
    <w:rsid w:val="00E4193F"/>
    <w:rsid w:val="00E454D8"/>
    <w:rsid w:val="00E46FDA"/>
    <w:rsid w:val="00E50F61"/>
    <w:rsid w:val="00E515A5"/>
    <w:rsid w:val="00E526A2"/>
    <w:rsid w:val="00E532F4"/>
    <w:rsid w:val="00E6077A"/>
    <w:rsid w:val="00E80F31"/>
    <w:rsid w:val="00E812F3"/>
    <w:rsid w:val="00E81584"/>
    <w:rsid w:val="00E827FD"/>
    <w:rsid w:val="00E84DE8"/>
    <w:rsid w:val="00E8516B"/>
    <w:rsid w:val="00E8740C"/>
    <w:rsid w:val="00E9351D"/>
    <w:rsid w:val="00E941A1"/>
    <w:rsid w:val="00E950C8"/>
    <w:rsid w:val="00EA0714"/>
    <w:rsid w:val="00EA1A9A"/>
    <w:rsid w:val="00EA1E7F"/>
    <w:rsid w:val="00EA2898"/>
    <w:rsid w:val="00EA2F3F"/>
    <w:rsid w:val="00EB1CB3"/>
    <w:rsid w:val="00EB3806"/>
    <w:rsid w:val="00EC1C51"/>
    <w:rsid w:val="00EE2654"/>
    <w:rsid w:val="00EE7892"/>
    <w:rsid w:val="00EF14F6"/>
    <w:rsid w:val="00EF2FD6"/>
    <w:rsid w:val="00EF488C"/>
    <w:rsid w:val="00EF58BB"/>
    <w:rsid w:val="00EF7772"/>
    <w:rsid w:val="00F008B4"/>
    <w:rsid w:val="00F01503"/>
    <w:rsid w:val="00F0193A"/>
    <w:rsid w:val="00F02A4A"/>
    <w:rsid w:val="00F03CED"/>
    <w:rsid w:val="00F042C4"/>
    <w:rsid w:val="00F05F13"/>
    <w:rsid w:val="00F06433"/>
    <w:rsid w:val="00F11F23"/>
    <w:rsid w:val="00F12048"/>
    <w:rsid w:val="00F12E3F"/>
    <w:rsid w:val="00F13824"/>
    <w:rsid w:val="00F13E3A"/>
    <w:rsid w:val="00F2067A"/>
    <w:rsid w:val="00F24755"/>
    <w:rsid w:val="00F311C0"/>
    <w:rsid w:val="00F421E9"/>
    <w:rsid w:val="00F42740"/>
    <w:rsid w:val="00F45D6A"/>
    <w:rsid w:val="00F46DB4"/>
    <w:rsid w:val="00F5040A"/>
    <w:rsid w:val="00F53E3E"/>
    <w:rsid w:val="00F65B14"/>
    <w:rsid w:val="00F678BA"/>
    <w:rsid w:val="00F7113F"/>
    <w:rsid w:val="00F77053"/>
    <w:rsid w:val="00F802AF"/>
    <w:rsid w:val="00F81A84"/>
    <w:rsid w:val="00F83984"/>
    <w:rsid w:val="00F8522E"/>
    <w:rsid w:val="00F90DB0"/>
    <w:rsid w:val="00F914ED"/>
    <w:rsid w:val="00F944D3"/>
    <w:rsid w:val="00F976E9"/>
    <w:rsid w:val="00FA318F"/>
    <w:rsid w:val="00FA4044"/>
    <w:rsid w:val="00FA4E6E"/>
    <w:rsid w:val="00FB2B1D"/>
    <w:rsid w:val="00FB5D0E"/>
    <w:rsid w:val="00FB787B"/>
    <w:rsid w:val="00FC29F8"/>
    <w:rsid w:val="00FD0C2A"/>
    <w:rsid w:val="00FD40EF"/>
    <w:rsid w:val="00FE123A"/>
    <w:rsid w:val="00FE16FC"/>
    <w:rsid w:val="00FE2573"/>
    <w:rsid w:val="00FE3316"/>
    <w:rsid w:val="00FF493D"/>
    <w:rsid w:val="00FF4E85"/>
    <w:rsid w:val="00FF6A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2FBF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rsid w:val="00CF39CD"/>
    <w:pPr>
      <w:autoSpaceDE w:val="0"/>
      <w:autoSpaceDN w:val="0"/>
      <w:adjustRightInd w:val="0"/>
    </w:pPr>
    <w:rPr>
      <w:color w:val="000000"/>
      <w:sz w:val="24"/>
      <w:szCs w:val="24"/>
    </w:rPr>
  </w:style>
  <w:style w:type="paragraph" w:styleId="Header">
    <w:name w:val="header"/>
    <w:basedOn w:val="Normal"/>
    <w:rsid w:val="005017FC"/>
    <w:pPr>
      <w:tabs>
        <w:tab w:val="center" w:pos="4320"/>
        <w:tab w:val="right" w:pos="8640"/>
      </w:tabs>
    </w:pPr>
  </w:style>
  <w:style w:type="paragraph" w:styleId="Footer">
    <w:name w:val="footer"/>
    <w:basedOn w:val="Normal"/>
    <w:link w:val="FooterChar"/>
    <w:uiPriority w:val="99"/>
    <w:rsid w:val="005017FC"/>
    <w:pPr>
      <w:tabs>
        <w:tab w:val="center" w:pos="4320"/>
        <w:tab w:val="right" w:pos="8640"/>
      </w:tabs>
    </w:pPr>
  </w:style>
  <w:style w:type="character" w:styleId="Hyperlink">
    <w:name w:val="Hyperlink"/>
    <w:uiPriority w:val="99"/>
    <w:unhideWhenUsed/>
    <w:rsid w:val="002F5F36"/>
    <w:rPr>
      <w:color w:val="0000FF"/>
      <w:u w:val="single"/>
    </w:rPr>
  </w:style>
  <w:style w:type="paragraph" w:styleId="BalloonText">
    <w:name w:val="Balloon Text"/>
    <w:basedOn w:val="Normal"/>
    <w:link w:val="BalloonTextChar"/>
    <w:rsid w:val="00FF493D"/>
    <w:rPr>
      <w:rFonts w:ascii="Tahoma" w:hAnsi="Tahoma" w:cs="Tahoma"/>
      <w:sz w:val="16"/>
      <w:szCs w:val="16"/>
    </w:rPr>
  </w:style>
  <w:style w:type="character" w:customStyle="1" w:styleId="BalloonTextChar">
    <w:name w:val="Balloon Text Char"/>
    <w:link w:val="BalloonText"/>
    <w:rsid w:val="00FF493D"/>
    <w:rPr>
      <w:rFonts w:ascii="Tahoma" w:hAnsi="Tahoma" w:cs="Tahoma"/>
      <w:snapToGrid w:val="0"/>
      <w:sz w:val="16"/>
      <w:szCs w:val="16"/>
    </w:rPr>
  </w:style>
  <w:style w:type="character" w:styleId="CommentReference">
    <w:name w:val="annotation reference"/>
    <w:basedOn w:val="DefaultParagraphFont"/>
    <w:rsid w:val="00D81DBC"/>
    <w:rPr>
      <w:sz w:val="16"/>
      <w:szCs w:val="16"/>
    </w:rPr>
  </w:style>
  <w:style w:type="paragraph" w:styleId="CommentText">
    <w:name w:val="annotation text"/>
    <w:basedOn w:val="Normal"/>
    <w:link w:val="CommentTextChar"/>
    <w:rsid w:val="00D81DBC"/>
    <w:rPr>
      <w:sz w:val="20"/>
    </w:rPr>
  </w:style>
  <w:style w:type="character" w:customStyle="1" w:styleId="CommentTextChar">
    <w:name w:val="Comment Text Char"/>
    <w:basedOn w:val="DefaultParagraphFont"/>
    <w:link w:val="CommentText"/>
    <w:rsid w:val="00D81DBC"/>
    <w:rPr>
      <w:rFonts w:ascii="Courier" w:hAnsi="Courier"/>
      <w:snapToGrid w:val="0"/>
    </w:rPr>
  </w:style>
  <w:style w:type="paragraph" w:styleId="CommentSubject">
    <w:name w:val="annotation subject"/>
    <w:basedOn w:val="CommentText"/>
    <w:next w:val="CommentText"/>
    <w:link w:val="CommentSubjectChar"/>
    <w:rsid w:val="00D81DBC"/>
    <w:rPr>
      <w:b/>
      <w:bCs/>
    </w:rPr>
  </w:style>
  <w:style w:type="character" w:customStyle="1" w:styleId="CommentSubjectChar">
    <w:name w:val="Comment Subject Char"/>
    <w:basedOn w:val="CommentTextChar"/>
    <w:link w:val="CommentSubject"/>
    <w:rsid w:val="00D81DBC"/>
    <w:rPr>
      <w:rFonts w:ascii="Courier" w:hAnsi="Courier"/>
      <w:b/>
      <w:bCs/>
      <w:snapToGrid w:val="0"/>
    </w:rPr>
  </w:style>
  <w:style w:type="character" w:styleId="UnresolvedMention">
    <w:name w:val="Unresolved Mention"/>
    <w:basedOn w:val="DefaultParagraphFont"/>
    <w:uiPriority w:val="99"/>
    <w:semiHidden/>
    <w:unhideWhenUsed/>
    <w:rsid w:val="006B5E53"/>
    <w:rPr>
      <w:color w:val="605E5C"/>
      <w:shd w:val="clear" w:color="auto" w:fill="E1DFDD"/>
    </w:rPr>
  </w:style>
  <w:style w:type="character" w:customStyle="1" w:styleId="FooterChar">
    <w:name w:val="Footer Char"/>
    <w:basedOn w:val="DefaultParagraphFont"/>
    <w:link w:val="Footer"/>
    <w:uiPriority w:val="99"/>
    <w:rsid w:val="00144DEC"/>
    <w:rPr>
      <w:rFonts w:ascii="Courier" w:hAnsi="Courier"/>
      <w:snapToGrid w:val="0"/>
      <w:sz w:val="24"/>
    </w:rPr>
  </w:style>
  <w:style w:type="paragraph" w:styleId="Revision">
    <w:name w:val="Revision"/>
    <w:hidden/>
    <w:uiPriority w:val="99"/>
    <w:semiHidden/>
    <w:rsid w:val="00E454D8"/>
    <w:rPr>
      <w:rFonts w:ascii="Courier" w:hAnsi="Courier"/>
      <w:snapToGrid w:val="0"/>
      <w:sz w:val="24"/>
    </w:rPr>
  </w:style>
  <w:style w:type="paragraph" w:styleId="ListParagraph">
    <w:name w:val="List Paragraph"/>
    <w:basedOn w:val="Normal"/>
    <w:uiPriority w:val="34"/>
    <w:qFormat/>
    <w:rsid w:val="00DE452D"/>
    <w:pPr>
      <w:ind w:left="720"/>
      <w:contextualSpacing/>
    </w:pPr>
  </w:style>
  <w:style w:type="character" w:styleId="FollowedHyperlink">
    <w:name w:val="FollowedHyperlink"/>
    <w:basedOn w:val="DefaultParagraphFont"/>
    <w:rsid w:val="004B11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da.gov/ForIndustry/SmallBusinessAssistance/default.htm" TargetMode="External" /><Relationship Id="rId6" Type="http://schemas.openxmlformats.org/officeDocument/2006/relationships/hyperlink" Target="https://www.fda.gov/about-fda/reports/data-modernization-action-plan" TargetMode="External" /><Relationship Id="rId7" Type="http://schemas.openxmlformats.org/officeDocument/2006/relationships/hyperlink" Target="https://www.bls.gov/oes/current/naics4_325400.htm" TargetMode="Externa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26E6A-C5AF-4820-87C6-4F9ED887FA5D}">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2025-01-17T17:41:00Z</dcterms:created>
  <dcterms:modified xsi:type="dcterms:W3CDTF">2025-01-17T17:41:00Z</dcterms:modified>
</cp:coreProperties>
</file>