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0307" w:rsidP="00B63993" w14:paraId="2C13FE23" w14:textId="1C1ABEF7">
      <w:pPr>
        <w:spacing w:line="240" w:lineRule="auto"/>
        <w:jc w:val="center"/>
      </w:pPr>
      <w:bookmarkStart w:id="0" w:name="_Hlk37961385"/>
      <w:r w:rsidRPr="00940307">
        <w:t>A Baseline of Injury and Psychosocial Stress for Applied Behavior Analysis Workers</w:t>
      </w:r>
      <w:bookmarkEnd w:id="0"/>
    </w:p>
    <w:p w:rsidR="00D41F49" w:rsidP="00FE1FB3" w14:paraId="29AFFD14" w14:textId="59FE2986">
      <w:pPr>
        <w:spacing w:line="240" w:lineRule="auto"/>
        <w:jc w:val="center"/>
      </w:pPr>
      <w:r>
        <w:t>Supporting Statement A</w:t>
      </w:r>
    </w:p>
    <w:p w:rsidR="005E1EB1" w:rsidP="00FE1FB3" w14:paraId="13B16223" w14:textId="77777777">
      <w:pPr>
        <w:widowControl w:val="0"/>
        <w:spacing w:line="240" w:lineRule="auto"/>
        <w:jc w:val="center"/>
      </w:pPr>
      <w:r>
        <w:t xml:space="preserve">Request for Office of Management and Budget Review and Approval </w:t>
      </w:r>
    </w:p>
    <w:p w:rsidR="005E1EB1" w:rsidP="00FE1FB3" w14:paraId="170E9838" w14:textId="57C6AACD">
      <w:pPr>
        <w:widowControl w:val="0"/>
        <w:spacing w:line="240" w:lineRule="auto"/>
        <w:jc w:val="center"/>
      </w:pPr>
      <w:r>
        <w:t>for Federally Sponsored Data Collection</w:t>
      </w:r>
    </w:p>
    <w:p w:rsidR="00281171" w:rsidP="00F766BD" w14:paraId="518724CA" w14:textId="57D71159">
      <w:pPr>
        <w:spacing w:line="240" w:lineRule="auto"/>
        <w:jc w:val="center"/>
      </w:pPr>
      <w:r>
        <w:t>April 24, 2023</w:t>
      </w:r>
    </w:p>
    <w:p w:rsidR="00B21139" w:rsidP="00FE1FB3" w14:paraId="506178B1" w14:textId="46600DF2">
      <w:pPr>
        <w:widowControl w:val="0"/>
        <w:spacing w:line="240" w:lineRule="auto"/>
        <w:jc w:val="center"/>
      </w:pPr>
    </w:p>
    <w:p w:rsidR="00AA18A4" w:rsidP="00AA18A4" w14:paraId="2F0A9402" w14:textId="47CB2A9A">
      <w:pPr>
        <w:spacing w:line="240" w:lineRule="auto"/>
        <w:jc w:val="center"/>
      </w:pPr>
      <w:r>
        <w:t>Project Officer</w:t>
      </w:r>
      <w:r w:rsidR="00194722">
        <w:t>s</w:t>
      </w:r>
      <w:r>
        <w:t>:</w:t>
      </w:r>
    </w:p>
    <w:p w:rsidR="00194722" w:rsidP="00194722" w14:paraId="5D515968" w14:textId="77777777">
      <w:pPr>
        <w:jc w:val="center"/>
      </w:pPr>
      <w:r>
        <w:t>Oliver Wirth, Ph.D.</w:t>
      </w:r>
    </w:p>
    <w:p w:rsidR="00194722" w:rsidP="00194722" w14:paraId="14DFCFDD" w14:textId="77777777">
      <w:pPr>
        <w:jc w:val="center"/>
      </w:pPr>
      <w:r>
        <w:t>National Institute for Occupational Safety and Health</w:t>
      </w:r>
    </w:p>
    <w:p w:rsidR="00194722" w:rsidP="00194722" w14:paraId="69360608" w14:textId="77777777">
      <w:pPr>
        <w:widowControl w:val="0"/>
        <w:jc w:val="center"/>
      </w:pPr>
      <w:r>
        <w:t>Health Effects Laboratory Division</w:t>
      </w:r>
    </w:p>
    <w:p w:rsidR="00194722" w:rsidP="00194722" w14:paraId="58925C50" w14:textId="77777777">
      <w:pPr>
        <w:widowControl w:val="0"/>
        <w:jc w:val="center"/>
      </w:pPr>
      <w:r>
        <w:t>1095 Willowdale Road, MS-4050</w:t>
      </w:r>
    </w:p>
    <w:p w:rsidR="00194722" w:rsidP="00194722" w14:paraId="01EC4920" w14:textId="77777777">
      <w:pPr>
        <w:widowControl w:val="0"/>
        <w:jc w:val="center"/>
      </w:pPr>
      <w:r>
        <w:t>Morgantown, West Virginia 26505</w:t>
      </w:r>
    </w:p>
    <w:p w:rsidR="00194722" w:rsidP="001A14D0" w14:paraId="095A7B58" w14:textId="02FCA3FF">
      <w:pPr>
        <w:widowControl w:val="0"/>
        <w:jc w:val="center"/>
      </w:pPr>
      <w:hyperlink r:id="rId5" w:history="1">
        <w:r w:rsidRPr="005C0E44">
          <w:rPr>
            <w:rStyle w:val="Hyperlink"/>
          </w:rPr>
          <w:t>owirth@cdc.gov</w:t>
        </w:r>
      </w:hyperlink>
    </w:p>
    <w:p w:rsidR="00194722" w:rsidP="00FE1FB3" w14:paraId="32D20AF4" w14:textId="77777777">
      <w:pPr>
        <w:widowControl w:val="0"/>
        <w:spacing w:line="240" w:lineRule="auto"/>
        <w:jc w:val="center"/>
      </w:pPr>
    </w:p>
    <w:p w:rsidR="00B21139" w:rsidP="00FE1FB3" w14:paraId="6E03C91D" w14:textId="6F3A8375">
      <w:pPr>
        <w:widowControl w:val="0"/>
        <w:spacing w:line="240" w:lineRule="auto"/>
        <w:jc w:val="center"/>
      </w:pPr>
      <w:r>
        <w:t>Penelope Allison, Ph.D.</w:t>
      </w:r>
    </w:p>
    <w:p w:rsidR="00B21139" w:rsidP="00FE1FB3" w14:paraId="5E7C84FC" w14:textId="77777777">
      <w:pPr>
        <w:spacing w:line="240" w:lineRule="auto"/>
        <w:jc w:val="center"/>
      </w:pPr>
      <w:r>
        <w:t>National Institute for Occupational Safety and Health</w:t>
      </w:r>
    </w:p>
    <w:p w:rsidR="00B21139" w:rsidP="00FE1FB3" w14:paraId="6A068D56" w14:textId="77777777">
      <w:pPr>
        <w:widowControl w:val="0"/>
        <w:spacing w:line="240" w:lineRule="auto"/>
        <w:jc w:val="center"/>
      </w:pPr>
      <w:r>
        <w:t>Health Effects Laboratory Division</w:t>
      </w:r>
    </w:p>
    <w:p w:rsidR="00B21139" w:rsidP="00FE1FB3" w14:paraId="18691B9F" w14:textId="77777777">
      <w:pPr>
        <w:widowControl w:val="0"/>
        <w:spacing w:line="240" w:lineRule="auto"/>
        <w:jc w:val="center"/>
      </w:pPr>
      <w:r>
        <w:t>1095 Willowdale Road, MS-4050</w:t>
      </w:r>
    </w:p>
    <w:p w:rsidR="00B21139" w:rsidP="00FE1FB3" w14:paraId="13557483" w14:textId="77777777">
      <w:pPr>
        <w:widowControl w:val="0"/>
        <w:spacing w:line="240" w:lineRule="auto"/>
        <w:jc w:val="center"/>
      </w:pPr>
      <w:r>
        <w:t>Morgantown, West Virginia 26505</w:t>
      </w:r>
    </w:p>
    <w:p w:rsidR="00B21139" w:rsidP="00FE1FB3" w14:paraId="69257EC0" w14:textId="3E437D51">
      <w:pPr>
        <w:widowControl w:val="0"/>
        <w:spacing w:line="240" w:lineRule="auto"/>
        <w:jc w:val="center"/>
      </w:pPr>
      <w:hyperlink r:id="rId6" w:history="1">
        <w:r w:rsidRPr="009970E9" w:rsidR="001D23FD">
          <w:rPr>
            <w:rStyle w:val="Hyperlink"/>
          </w:rPr>
          <w:t>pallison@cdc.gov</w:t>
        </w:r>
      </w:hyperlink>
      <w:r>
        <w:t xml:space="preserve"> </w:t>
      </w:r>
    </w:p>
    <w:p w:rsidR="00B85F92" w:rsidP="00FE1FB3" w14:paraId="035B4B85" w14:textId="77777777">
      <w:pPr>
        <w:widowControl w:val="0"/>
        <w:spacing w:line="240" w:lineRule="auto"/>
        <w:jc w:val="center"/>
      </w:pPr>
    </w:p>
    <w:p w:rsidR="00B85F92" w:rsidP="00FE1FB3" w14:paraId="04416B0A" w14:textId="46D32FF3">
      <w:pPr>
        <w:spacing w:line="240" w:lineRule="auto"/>
      </w:pPr>
    </w:p>
    <w:p w:rsidR="009741A1" w:rsidP="00FE1FB3" w14:paraId="2EE34A01" w14:textId="609AE233">
      <w:pPr>
        <w:spacing w:line="240" w:lineRule="auto"/>
      </w:pPr>
    </w:p>
    <w:p w:rsidR="009741A1" w:rsidP="00FE1FB3" w14:paraId="30E4B690" w14:textId="513C8BB4">
      <w:pPr>
        <w:spacing w:line="240" w:lineRule="auto"/>
      </w:pPr>
    </w:p>
    <w:p w:rsidR="009741A1" w:rsidP="00FE1FB3" w14:paraId="1AC8469E" w14:textId="1049E727">
      <w:pPr>
        <w:spacing w:line="240" w:lineRule="auto"/>
      </w:pPr>
    </w:p>
    <w:p w:rsidR="009741A1" w:rsidP="00FE1FB3" w14:paraId="7E358F24" w14:textId="67C15F52">
      <w:pPr>
        <w:spacing w:line="240" w:lineRule="auto"/>
      </w:pPr>
    </w:p>
    <w:p w:rsidR="009741A1" w:rsidP="00FE1FB3" w14:paraId="0072C7C0" w14:textId="4E65C6FF">
      <w:pPr>
        <w:spacing w:line="240" w:lineRule="auto"/>
      </w:pPr>
    </w:p>
    <w:p w:rsidR="009741A1" w:rsidP="00FE1FB3" w14:paraId="319011F6" w14:textId="7F0DC9D4">
      <w:pPr>
        <w:spacing w:line="240" w:lineRule="auto"/>
      </w:pPr>
    </w:p>
    <w:p w:rsidR="009741A1" w:rsidP="00FE1FB3" w14:paraId="4F04C473" w14:textId="491CD9C1">
      <w:pPr>
        <w:spacing w:line="240" w:lineRule="auto"/>
      </w:pPr>
    </w:p>
    <w:p w:rsidR="00B63993" w:rsidP="00FE1FB3" w14:paraId="72DA9AA6" w14:textId="77777777">
      <w:pPr>
        <w:spacing w:line="240" w:lineRule="auto"/>
      </w:pPr>
    </w:p>
    <w:p w:rsidR="00AA18A4" w14:paraId="16B0E7C7" w14:textId="552234DB"/>
    <w:p w:rsidR="00940307" w:rsidP="00FE1FB3" w14:paraId="1CFA41A2" w14:textId="3DD45AEC">
      <w:pPr>
        <w:widowControl w:val="0"/>
        <w:spacing w:line="240" w:lineRule="auto"/>
        <w:jc w:val="center"/>
      </w:pPr>
      <w:r>
        <w:t>Table of Contents</w:t>
      </w:r>
    </w:p>
    <w:sdt>
      <w:sdtPr>
        <w:rPr>
          <w:rFonts w:asciiTheme="minorHAnsi" w:eastAsiaTheme="minorHAnsi" w:hAnsiTheme="minorHAnsi" w:cstheme="minorBidi"/>
          <w:color w:val="auto"/>
          <w:sz w:val="22"/>
          <w:szCs w:val="22"/>
        </w:rPr>
        <w:id w:val="-1078206642"/>
        <w:docPartObj>
          <w:docPartGallery w:val="Table of Contents"/>
          <w:docPartUnique/>
        </w:docPartObj>
      </w:sdtPr>
      <w:sdtEndPr>
        <w:rPr>
          <w:b/>
          <w:bCs/>
          <w:noProof/>
        </w:rPr>
      </w:sdtEndPr>
      <w:sdtContent>
        <w:p w:rsidR="006954D6" w14:paraId="118C077C" w14:textId="64C11F65">
          <w:pPr>
            <w:pStyle w:val="TOCHeading"/>
          </w:pPr>
          <w:r>
            <w:t>Contents</w:t>
          </w:r>
        </w:p>
        <w:p w:rsidR="006954D6" w14:paraId="2AD66EAC" w14:textId="4C083D70">
          <w:pPr>
            <w:pStyle w:val="TOC1"/>
            <w:tabs>
              <w:tab w:val="left" w:pos="440"/>
              <w:tab w:val="right" w:leader="dot" w:pos="10070"/>
            </w:tabs>
            <w:rPr>
              <w:noProof/>
            </w:rPr>
          </w:pPr>
          <w:r>
            <w:fldChar w:fldCharType="begin"/>
          </w:r>
          <w:r>
            <w:instrText xml:space="preserve"> TOC \o "1-3" \h \z \u </w:instrText>
          </w:r>
          <w:r>
            <w:fldChar w:fldCharType="separate"/>
          </w:r>
          <w:hyperlink w:anchor="_Toc49415624" w:history="1">
            <w:r w:rsidRPr="00D15060">
              <w:rPr>
                <w:rStyle w:val="Hyperlink"/>
                <w:b/>
                <w:bCs/>
                <w:noProof/>
              </w:rPr>
              <w:t>1.</w:t>
            </w:r>
            <w:r>
              <w:rPr>
                <w:noProof/>
              </w:rPr>
              <w:tab/>
            </w:r>
            <w:r w:rsidRPr="00D15060">
              <w:rPr>
                <w:rStyle w:val="Hyperlink"/>
                <w:b/>
                <w:bCs/>
                <w:noProof/>
              </w:rPr>
              <w:t>Circumstances Making the Collection of Information Necessary</w:t>
            </w:r>
            <w:r>
              <w:rPr>
                <w:noProof/>
                <w:webHidden/>
              </w:rPr>
              <w:tab/>
            </w:r>
            <w:r>
              <w:rPr>
                <w:noProof/>
                <w:webHidden/>
              </w:rPr>
              <w:fldChar w:fldCharType="begin"/>
            </w:r>
            <w:r>
              <w:rPr>
                <w:noProof/>
                <w:webHidden/>
              </w:rPr>
              <w:instrText xml:space="preserve"> PAGEREF _Toc49415624 \h </w:instrText>
            </w:r>
            <w:r>
              <w:rPr>
                <w:noProof/>
                <w:webHidden/>
              </w:rPr>
              <w:fldChar w:fldCharType="separate"/>
            </w:r>
            <w:r>
              <w:rPr>
                <w:noProof/>
                <w:webHidden/>
              </w:rPr>
              <w:t>3</w:t>
            </w:r>
            <w:r>
              <w:rPr>
                <w:noProof/>
                <w:webHidden/>
              </w:rPr>
              <w:fldChar w:fldCharType="end"/>
            </w:r>
          </w:hyperlink>
        </w:p>
        <w:p w:rsidR="006954D6" w14:paraId="7F608BD4" w14:textId="3FC3BC9B">
          <w:pPr>
            <w:pStyle w:val="TOC1"/>
            <w:tabs>
              <w:tab w:val="left" w:pos="440"/>
              <w:tab w:val="right" w:leader="dot" w:pos="10070"/>
            </w:tabs>
            <w:rPr>
              <w:noProof/>
            </w:rPr>
          </w:pPr>
          <w:hyperlink w:anchor="_Toc49415625" w:history="1">
            <w:r w:rsidRPr="00D15060">
              <w:rPr>
                <w:rStyle w:val="Hyperlink"/>
                <w:b/>
                <w:bCs/>
                <w:noProof/>
              </w:rPr>
              <w:t>2.</w:t>
            </w:r>
            <w:r>
              <w:rPr>
                <w:noProof/>
              </w:rPr>
              <w:tab/>
            </w:r>
            <w:r w:rsidRPr="00D15060">
              <w:rPr>
                <w:rStyle w:val="Hyperlink"/>
                <w:b/>
                <w:bCs/>
                <w:noProof/>
              </w:rPr>
              <w:t>Purpose and Use of Information Collection</w:t>
            </w:r>
            <w:r>
              <w:rPr>
                <w:noProof/>
                <w:webHidden/>
              </w:rPr>
              <w:tab/>
            </w:r>
            <w:r>
              <w:rPr>
                <w:noProof/>
                <w:webHidden/>
              </w:rPr>
              <w:fldChar w:fldCharType="begin"/>
            </w:r>
            <w:r>
              <w:rPr>
                <w:noProof/>
                <w:webHidden/>
              </w:rPr>
              <w:instrText xml:space="preserve"> PAGEREF _Toc49415625 \h </w:instrText>
            </w:r>
            <w:r>
              <w:rPr>
                <w:noProof/>
                <w:webHidden/>
              </w:rPr>
              <w:fldChar w:fldCharType="separate"/>
            </w:r>
            <w:r>
              <w:rPr>
                <w:noProof/>
                <w:webHidden/>
              </w:rPr>
              <w:t>4</w:t>
            </w:r>
            <w:r>
              <w:rPr>
                <w:noProof/>
                <w:webHidden/>
              </w:rPr>
              <w:fldChar w:fldCharType="end"/>
            </w:r>
          </w:hyperlink>
        </w:p>
        <w:p w:rsidR="006954D6" w14:paraId="35E151EE" w14:textId="7909CF2D">
          <w:pPr>
            <w:pStyle w:val="TOC1"/>
            <w:tabs>
              <w:tab w:val="left" w:pos="440"/>
              <w:tab w:val="right" w:leader="dot" w:pos="10070"/>
            </w:tabs>
            <w:rPr>
              <w:noProof/>
            </w:rPr>
          </w:pPr>
          <w:hyperlink w:anchor="_Toc49415626" w:history="1">
            <w:r w:rsidRPr="00D15060">
              <w:rPr>
                <w:rStyle w:val="Hyperlink"/>
                <w:b/>
                <w:bCs/>
                <w:noProof/>
              </w:rPr>
              <w:t>3.</w:t>
            </w:r>
            <w:r>
              <w:rPr>
                <w:noProof/>
              </w:rPr>
              <w:tab/>
            </w:r>
            <w:r w:rsidRPr="00D15060">
              <w:rPr>
                <w:rStyle w:val="Hyperlink"/>
                <w:b/>
                <w:bCs/>
                <w:noProof/>
              </w:rPr>
              <w:t>Use of Improved Information Technology and Burden Reduction</w:t>
            </w:r>
            <w:r>
              <w:rPr>
                <w:noProof/>
                <w:webHidden/>
              </w:rPr>
              <w:tab/>
            </w:r>
            <w:r>
              <w:rPr>
                <w:noProof/>
                <w:webHidden/>
              </w:rPr>
              <w:fldChar w:fldCharType="begin"/>
            </w:r>
            <w:r>
              <w:rPr>
                <w:noProof/>
                <w:webHidden/>
              </w:rPr>
              <w:instrText xml:space="preserve"> PAGEREF _Toc49415626 \h </w:instrText>
            </w:r>
            <w:r>
              <w:rPr>
                <w:noProof/>
                <w:webHidden/>
              </w:rPr>
              <w:fldChar w:fldCharType="separate"/>
            </w:r>
            <w:r>
              <w:rPr>
                <w:noProof/>
                <w:webHidden/>
              </w:rPr>
              <w:t>6</w:t>
            </w:r>
            <w:r>
              <w:rPr>
                <w:noProof/>
                <w:webHidden/>
              </w:rPr>
              <w:fldChar w:fldCharType="end"/>
            </w:r>
          </w:hyperlink>
        </w:p>
        <w:p w:rsidR="006954D6" w14:paraId="2010F280" w14:textId="4F3A5C2C">
          <w:pPr>
            <w:pStyle w:val="TOC1"/>
            <w:tabs>
              <w:tab w:val="left" w:pos="440"/>
              <w:tab w:val="right" w:leader="dot" w:pos="10070"/>
            </w:tabs>
            <w:rPr>
              <w:noProof/>
            </w:rPr>
          </w:pPr>
          <w:hyperlink w:anchor="_Toc49415627" w:history="1">
            <w:r w:rsidRPr="00D15060">
              <w:rPr>
                <w:rStyle w:val="Hyperlink"/>
                <w:b/>
                <w:bCs/>
                <w:noProof/>
              </w:rPr>
              <w:t>4.</w:t>
            </w:r>
            <w:r>
              <w:rPr>
                <w:noProof/>
              </w:rPr>
              <w:tab/>
            </w:r>
            <w:r w:rsidRPr="00D15060">
              <w:rPr>
                <w:rStyle w:val="Hyperlink"/>
                <w:b/>
                <w:bCs/>
                <w:noProof/>
              </w:rPr>
              <w:t>Efforts to Identify Duplication and Use of Similar Information</w:t>
            </w:r>
            <w:r>
              <w:rPr>
                <w:noProof/>
                <w:webHidden/>
              </w:rPr>
              <w:tab/>
            </w:r>
            <w:r>
              <w:rPr>
                <w:noProof/>
                <w:webHidden/>
              </w:rPr>
              <w:fldChar w:fldCharType="begin"/>
            </w:r>
            <w:r>
              <w:rPr>
                <w:noProof/>
                <w:webHidden/>
              </w:rPr>
              <w:instrText xml:space="preserve"> PAGEREF _Toc49415627 \h </w:instrText>
            </w:r>
            <w:r>
              <w:rPr>
                <w:noProof/>
                <w:webHidden/>
              </w:rPr>
              <w:fldChar w:fldCharType="separate"/>
            </w:r>
            <w:r>
              <w:rPr>
                <w:noProof/>
                <w:webHidden/>
              </w:rPr>
              <w:t>6</w:t>
            </w:r>
            <w:r>
              <w:rPr>
                <w:noProof/>
                <w:webHidden/>
              </w:rPr>
              <w:fldChar w:fldCharType="end"/>
            </w:r>
          </w:hyperlink>
        </w:p>
        <w:p w:rsidR="006954D6" w14:paraId="4533E693" w14:textId="6A9C711B">
          <w:pPr>
            <w:pStyle w:val="TOC1"/>
            <w:tabs>
              <w:tab w:val="left" w:pos="440"/>
              <w:tab w:val="right" w:leader="dot" w:pos="10070"/>
            </w:tabs>
            <w:rPr>
              <w:noProof/>
            </w:rPr>
          </w:pPr>
          <w:hyperlink w:anchor="_Toc49415628" w:history="1">
            <w:r w:rsidRPr="00D15060">
              <w:rPr>
                <w:rStyle w:val="Hyperlink"/>
                <w:b/>
                <w:bCs/>
                <w:noProof/>
              </w:rPr>
              <w:t>5.</w:t>
            </w:r>
            <w:r>
              <w:rPr>
                <w:noProof/>
              </w:rPr>
              <w:tab/>
            </w:r>
            <w:r w:rsidRPr="00D15060">
              <w:rPr>
                <w:rStyle w:val="Hyperlink"/>
                <w:b/>
                <w:bCs/>
                <w:noProof/>
              </w:rPr>
              <w:t>Impact on Small Businesses or Other Small Entities</w:t>
            </w:r>
            <w:r>
              <w:rPr>
                <w:noProof/>
                <w:webHidden/>
              </w:rPr>
              <w:tab/>
            </w:r>
            <w:r>
              <w:rPr>
                <w:noProof/>
                <w:webHidden/>
              </w:rPr>
              <w:fldChar w:fldCharType="begin"/>
            </w:r>
            <w:r>
              <w:rPr>
                <w:noProof/>
                <w:webHidden/>
              </w:rPr>
              <w:instrText xml:space="preserve"> PAGEREF _Toc49415628 \h </w:instrText>
            </w:r>
            <w:r>
              <w:rPr>
                <w:noProof/>
                <w:webHidden/>
              </w:rPr>
              <w:fldChar w:fldCharType="separate"/>
            </w:r>
            <w:r>
              <w:rPr>
                <w:noProof/>
                <w:webHidden/>
              </w:rPr>
              <w:t>7</w:t>
            </w:r>
            <w:r>
              <w:rPr>
                <w:noProof/>
                <w:webHidden/>
              </w:rPr>
              <w:fldChar w:fldCharType="end"/>
            </w:r>
          </w:hyperlink>
        </w:p>
        <w:p w:rsidR="006954D6" w14:paraId="73217994" w14:textId="130CA95D">
          <w:pPr>
            <w:pStyle w:val="TOC1"/>
            <w:tabs>
              <w:tab w:val="left" w:pos="440"/>
              <w:tab w:val="right" w:leader="dot" w:pos="10070"/>
            </w:tabs>
            <w:rPr>
              <w:noProof/>
            </w:rPr>
          </w:pPr>
          <w:hyperlink w:anchor="_Toc49415629" w:history="1">
            <w:r w:rsidRPr="00D15060">
              <w:rPr>
                <w:rStyle w:val="Hyperlink"/>
                <w:b/>
                <w:bCs/>
                <w:noProof/>
              </w:rPr>
              <w:t>6.</w:t>
            </w:r>
            <w:r>
              <w:rPr>
                <w:noProof/>
              </w:rPr>
              <w:tab/>
            </w:r>
            <w:r w:rsidRPr="00D15060">
              <w:rPr>
                <w:rStyle w:val="Hyperlink"/>
                <w:b/>
                <w:bCs/>
                <w:noProof/>
              </w:rPr>
              <w:t>Consequences of Collecting the Information Less Frequently</w:t>
            </w:r>
            <w:r>
              <w:rPr>
                <w:noProof/>
                <w:webHidden/>
              </w:rPr>
              <w:tab/>
            </w:r>
            <w:r>
              <w:rPr>
                <w:noProof/>
                <w:webHidden/>
              </w:rPr>
              <w:fldChar w:fldCharType="begin"/>
            </w:r>
            <w:r>
              <w:rPr>
                <w:noProof/>
                <w:webHidden/>
              </w:rPr>
              <w:instrText xml:space="preserve"> PAGEREF _Toc49415629 \h </w:instrText>
            </w:r>
            <w:r>
              <w:rPr>
                <w:noProof/>
                <w:webHidden/>
              </w:rPr>
              <w:fldChar w:fldCharType="separate"/>
            </w:r>
            <w:r>
              <w:rPr>
                <w:noProof/>
                <w:webHidden/>
              </w:rPr>
              <w:t>7</w:t>
            </w:r>
            <w:r>
              <w:rPr>
                <w:noProof/>
                <w:webHidden/>
              </w:rPr>
              <w:fldChar w:fldCharType="end"/>
            </w:r>
          </w:hyperlink>
        </w:p>
        <w:p w:rsidR="006954D6" w14:paraId="66421D59" w14:textId="3A3B6FD4">
          <w:pPr>
            <w:pStyle w:val="TOC1"/>
            <w:tabs>
              <w:tab w:val="left" w:pos="440"/>
              <w:tab w:val="right" w:leader="dot" w:pos="10070"/>
            </w:tabs>
            <w:rPr>
              <w:noProof/>
            </w:rPr>
          </w:pPr>
          <w:hyperlink w:anchor="_Toc49415630" w:history="1">
            <w:r w:rsidRPr="00D15060">
              <w:rPr>
                <w:rStyle w:val="Hyperlink"/>
                <w:b/>
                <w:bCs/>
                <w:noProof/>
              </w:rPr>
              <w:t>7.</w:t>
            </w:r>
            <w:r>
              <w:rPr>
                <w:noProof/>
              </w:rPr>
              <w:tab/>
            </w:r>
            <w:r w:rsidRPr="00D15060">
              <w:rPr>
                <w:rStyle w:val="Hyperlink"/>
                <w:b/>
                <w:bCs/>
                <w:noProof/>
              </w:rPr>
              <w:t>Special Circumstances Relating to the Guidelines of 5 CFR 1320.5</w:t>
            </w:r>
            <w:r>
              <w:rPr>
                <w:noProof/>
                <w:webHidden/>
              </w:rPr>
              <w:tab/>
            </w:r>
            <w:r>
              <w:rPr>
                <w:noProof/>
                <w:webHidden/>
              </w:rPr>
              <w:fldChar w:fldCharType="begin"/>
            </w:r>
            <w:r>
              <w:rPr>
                <w:noProof/>
                <w:webHidden/>
              </w:rPr>
              <w:instrText xml:space="preserve"> PAGEREF _Toc49415630 \h </w:instrText>
            </w:r>
            <w:r>
              <w:rPr>
                <w:noProof/>
                <w:webHidden/>
              </w:rPr>
              <w:fldChar w:fldCharType="separate"/>
            </w:r>
            <w:r>
              <w:rPr>
                <w:noProof/>
                <w:webHidden/>
              </w:rPr>
              <w:t>7</w:t>
            </w:r>
            <w:r>
              <w:rPr>
                <w:noProof/>
                <w:webHidden/>
              </w:rPr>
              <w:fldChar w:fldCharType="end"/>
            </w:r>
          </w:hyperlink>
        </w:p>
        <w:p w:rsidR="006954D6" w14:paraId="116CBF78" w14:textId="32FBA33D">
          <w:pPr>
            <w:pStyle w:val="TOC1"/>
            <w:tabs>
              <w:tab w:val="left" w:pos="440"/>
              <w:tab w:val="right" w:leader="dot" w:pos="10070"/>
            </w:tabs>
            <w:rPr>
              <w:noProof/>
            </w:rPr>
          </w:pPr>
          <w:hyperlink w:anchor="_Toc49415631" w:history="1">
            <w:r w:rsidRPr="00D15060">
              <w:rPr>
                <w:rStyle w:val="Hyperlink"/>
                <w:b/>
                <w:bCs/>
                <w:noProof/>
              </w:rPr>
              <w:t>8.</w:t>
            </w:r>
            <w:r>
              <w:rPr>
                <w:noProof/>
              </w:rPr>
              <w:tab/>
            </w:r>
            <w:r w:rsidRPr="00D15060">
              <w:rPr>
                <w:rStyle w:val="Hyperlink"/>
                <w:b/>
                <w:bCs/>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_Toc49415631 \h </w:instrText>
            </w:r>
            <w:r>
              <w:rPr>
                <w:noProof/>
                <w:webHidden/>
              </w:rPr>
              <w:fldChar w:fldCharType="separate"/>
            </w:r>
            <w:r>
              <w:rPr>
                <w:noProof/>
                <w:webHidden/>
              </w:rPr>
              <w:t>7</w:t>
            </w:r>
            <w:r>
              <w:rPr>
                <w:noProof/>
                <w:webHidden/>
              </w:rPr>
              <w:fldChar w:fldCharType="end"/>
            </w:r>
          </w:hyperlink>
        </w:p>
        <w:p w:rsidR="006954D6" w14:paraId="13FA13CC" w14:textId="5CD120FF">
          <w:pPr>
            <w:pStyle w:val="TOC1"/>
            <w:tabs>
              <w:tab w:val="left" w:pos="440"/>
              <w:tab w:val="right" w:leader="dot" w:pos="10070"/>
            </w:tabs>
            <w:rPr>
              <w:noProof/>
            </w:rPr>
          </w:pPr>
          <w:hyperlink w:anchor="_Toc49415632" w:history="1">
            <w:r w:rsidRPr="00D15060">
              <w:rPr>
                <w:rStyle w:val="Hyperlink"/>
                <w:b/>
                <w:bCs/>
                <w:noProof/>
              </w:rPr>
              <w:t>9.</w:t>
            </w:r>
            <w:r>
              <w:rPr>
                <w:noProof/>
              </w:rPr>
              <w:tab/>
            </w:r>
            <w:r w:rsidRPr="00D15060">
              <w:rPr>
                <w:rStyle w:val="Hyperlink"/>
                <w:b/>
                <w:bCs/>
                <w:noProof/>
              </w:rPr>
              <w:t>Explanation of Any Payment or Gift to Respondents</w:t>
            </w:r>
            <w:r>
              <w:rPr>
                <w:noProof/>
                <w:webHidden/>
              </w:rPr>
              <w:tab/>
            </w:r>
            <w:r>
              <w:rPr>
                <w:noProof/>
                <w:webHidden/>
              </w:rPr>
              <w:fldChar w:fldCharType="begin"/>
            </w:r>
            <w:r>
              <w:rPr>
                <w:noProof/>
                <w:webHidden/>
              </w:rPr>
              <w:instrText xml:space="preserve"> PAGEREF _Toc49415632 \h </w:instrText>
            </w:r>
            <w:r>
              <w:rPr>
                <w:noProof/>
                <w:webHidden/>
              </w:rPr>
              <w:fldChar w:fldCharType="separate"/>
            </w:r>
            <w:r>
              <w:rPr>
                <w:noProof/>
                <w:webHidden/>
              </w:rPr>
              <w:t>7</w:t>
            </w:r>
            <w:r>
              <w:rPr>
                <w:noProof/>
                <w:webHidden/>
              </w:rPr>
              <w:fldChar w:fldCharType="end"/>
            </w:r>
          </w:hyperlink>
        </w:p>
        <w:p w:rsidR="006954D6" w14:paraId="7BD62B3C" w14:textId="1EA9A968">
          <w:pPr>
            <w:pStyle w:val="TOC1"/>
            <w:tabs>
              <w:tab w:val="left" w:pos="660"/>
              <w:tab w:val="right" w:leader="dot" w:pos="10070"/>
            </w:tabs>
            <w:rPr>
              <w:noProof/>
            </w:rPr>
          </w:pPr>
          <w:hyperlink w:anchor="_Toc49415633" w:history="1">
            <w:r w:rsidRPr="00D15060">
              <w:rPr>
                <w:rStyle w:val="Hyperlink"/>
                <w:b/>
                <w:bCs/>
                <w:noProof/>
              </w:rPr>
              <w:t>10.</w:t>
            </w:r>
            <w:r>
              <w:rPr>
                <w:noProof/>
              </w:rPr>
              <w:tab/>
            </w:r>
            <w:r w:rsidRPr="00D15060">
              <w:rPr>
                <w:rStyle w:val="Hyperlink"/>
                <w:b/>
                <w:bCs/>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_Toc49415633 \h </w:instrText>
            </w:r>
            <w:r>
              <w:rPr>
                <w:noProof/>
                <w:webHidden/>
              </w:rPr>
              <w:fldChar w:fldCharType="separate"/>
            </w:r>
            <w:r>
              <w:rPr>
                <w:noProof/>
                <w:webHidden/>
              </w:rPr>
              <w:t>7</w:t>
            </w:r>
            <w:r>
              <w:rPr>
                <w:noProof/>
                <w:webHidden/>
              </w:rPr>
              <w:fldChar w:fldCharType="end"/>
            </w:r>
          </w:hyperlink>
        </w:p>
        <w:p w:rsidR="006954D6" w14:paraId="62458A7D" w14:textId="456C6D9B">
          <w:pPr>
            <w:pStyle w:val="TOC1"/>
            <w:tabs>
              <w:tab w:val="left" w:pos="660"/>
              <w:tab w:val="right" w:leader="dot" w:pos="10070"/>
            </w:tabs>
            <w:rPr>
              <w:noProof/>
            </w:rPr>
          </w:pPr>
          <w:hyperlink w:anchor="_Toc49415634" w:history="1">
            <w:r w:rsidRPr="00D15060">
              <w:rPr>
                <w:rStyle w:val="Hyperlink"/>
                <w:b/>
                <w:bCs/>
                <w:noProof/>
              </w:rPr>
              <w:t>11.</w:t>
            </w:r>
            <w:r>
              <w:rPr>
                <w:noProof/>
              </w:rPr>
              <w:tab/>
            </w:r>
            <w:r w:rsidRPr="00D15060">
              <w:rPr>
                <w:rStyle w:val="Hyperlink"/>
                <w:b/>
                <w:bCs/>
                <w:noProof/>
              </w:rPr>
              <w:t>Institutional Review Board (IRB) and Justification for Sensitive Questions</w:t>
            </w:r>
            <w:r>
              <w:rPr>
                <w:noProof/>
                <w:webHidden/>
              </w:rPr>
              <w:tab/>
            </w:r>
            <w:r>
              <w:rPr>
                <w:noProof/>
                <w:webHidden/>
              </w:rPr>
              <w:fldChar w:fldCharType="begin"/>
            </w:r>
            <w:r>
              <w:rPr>
                <w:noProof/>
                <w:webHidden/>
              </w:rPr>
              <w:instrText xml:space="preserve"> PAGEREF _Toc49415634 \h </w:instrText>
            </w:r>
            <w:r>
              <w:rPr>
                <w:noProof/>
                <w:webHidden/>
              </w:rPr>
              <w:fldChar w:fldCharType="separate"/>
            </w:r>
            <w:r>
              <w:rPr>
                <w:noProof/>
                <w:webHidden/>
              </w:rPr>
              <w:t>8</w:t>
            </w:r>
            <w:r>
              <w:rPr>
                <w:noProof/>
                <w:webHidden/>
              </w:rPr>
              <w:fldChar w:fldCharType="end"/>
            </w:r>
          </w:hyperlink>
        </w:p>
        <w:p w:rsidR="006954D6" w14:paraId="20DEDA9E" w14:textId="738C46EC">
          <w:pPr>
            <w:pStyle w:val="TOC1"/>
            <w:tabs>
              <w:tab w:val="left" w:pos="660"/>
              <w:tab w:val="right" w:leader="dot" w:pos="10070"/>
            </w:tabs>
            <w:rPr>
              <w:noProof/>
            </w:rPr>
          </w:pPr>
          <w:hyperlink w:anchor="_Toc49415635" w:history="1">
            <w:r w:rsidRPr="00D15060">
              <w:rPr>
                <w:rStyle w:val="Hyperlink"/>
                <w:b/>
                <w:bCs/>
                <w:noProof/>
              </w:rPr>
              <w:t>12.</w:t>
            </w:r>
            <w:r>
              <w:rPr>
                <w:noProof/>
              </w:rPr>
              <w:tab/>
            </w:r>
            <w:r w:rsidRPr="00D15060">
              <w:rPr>
                <w:rStyle w:val="Hyperlink"/>
                <w:b/>
                <w:bCs/>
                <w:noProof/>
              </w:rPr>
              <w:t>Estimates of Annualized Burden Hours and Costs</w:t>
            </w:r>
            <w:r>
              <w:rPr>
                <w:noProof/>
                <w:webHidden/>
              </w:rPr>
              <w:tab/>
            </w:r>
            <w:r>
              <w:rPr>
                <w:noProof/>
                <w:webHidden/>
              </w:rPr>
              <w:fldChar w:fldCharType="begin"/>
            </w:r>
            <w:r>
              <w:rPr>
                <w:noProof/>
                <w:webHidden/>
              </w:rPr>
              <w:instrText xml:space="preserve"> PAGEREF _Toc49415635 \h </w:instrText>
            </w:r>
            <w:r>
              <w:rPr>
                <w:noProof/>
                <w:webHidden/>
              </w:rPr>
              <w:fldChar w:fldCharType="separate"/>
            </w:r>
            <w:r>
              <w:rPr>
                <w:noProof/>
                <w:webHidden/>
              </w:rPr>
              <w:t>8</w:t>
            </w:r>
            <w:r>
              <w:rPr>
                <w:noProof/>
                <w:webHidden/>
              </w:rPr>
              <w:fldChar w:fldCharType="end"/>
            </w:r>
          </w:hyperlink>
        </w:p>
        <w:p w:rsidR="006954D6" w14:paraId="2075A6E2" w14:textId="7DCC7D4C">
          <w:pPr>
            <w:pStyle w:val="TOC1"/>
            <w:tabs>
              <w:tab w:val="left" w:pos="660"/>
              <w:tab w:val="right" w:leader="dot" w:pos="10070"/>
            </w:tabs>
            <w:rPr>
              <w:noProof/>
            </w:rPr>
          </w:pPr>
          <w:hyperlink w:anchor="_Toc49415636" w:history="1">
            <w:r w:rsidRPr="00D15060">
              <w:rPr>
                <w:rStyle w:val="Hyperlink"/>
                <w:b/>
                <w:bCs/>
                <w:noProof/>
              </w:rPr>
              <w:t>13.</w:t>
            </w:r>
            <w:r>
              <w:rPr>
                <w:noProof/>
              </w:rPr>
              <w:tab/>
            </w:r>
            <w:r w:rsidRPr="00D15060">
              <w:rPr>
                <w:rStyle w:val="Hyperlink"/>
                <w:b/>
                <w:bCs/>
                <w:noProof/>
              </w:rPr>
              <w:t>Estimates of Other Total Annual Cost Burden to Respondents or Record Keepers</w:t>
            </w:r>
            <w:r>
              <w:rPr>
                <w:noProof/>
                <w:webHidden/>
              </w:rPr>
              <w:tab/>
            </w:r>
            <w:r>
              <w:rPr>
                <w:noProof/>
                <w:webHidden/>
              </w:rPr>
              <w:fldChar w:fldCharType="begin"/>
            </w:r>
            <w:r>
              <w:rPr>
                <w:noProof/>
                <w:webHidden/>
              </w:rPr>
              <w:instrText xml:space="preserve"> PAGEREF _Toc49415636 \h </w:instrText>
            </w:r>
            <w:r>
              <w:rPr>
                <w:noProof/>
                <w:webHidden/>
              </w:rPr>
              <w:fldChar w:fldCharType="separate"/>
            </w:r>
            <w:r>
              <w:rPr>
                <w:noProof/>
                <w:webHidden/>
              </w:rPr>
              <w:t>9</w:t>
            </w:r>
            <w:r>
              <w:rPr>
                <w:noProof/>
                <w:webHidden/>
              </w:rPr>
              <w:fldChar w:fldCharType="end"/>
            </w:r>
          </w:hyperlink>
        </w:p>
        <w:p w:rsidR="006954D6" w14:paraId="5C8FEA84" w14:textId="1A80FEDB">
          <w:pPr>
            <w:pStyle w:val="TOC1"/>
            <w:tabs>
              <w:tab w:val="left" w:pos="660"/>
              <w:tab w:val="right" w:leader="dot" w:pos="10070"/>
            </w:tabs>
            <w:rPr>
              <w:noProof/>
            </w:rPr>
          </w:pPr>
          <w:hyperlink w:anchor="_Toc49415637" w:history="1">
            <w:r w:rsidRPr="00D15060">
              <w:rPr>
                <w:rStyle w:val="Hyperlink"/>
                <w:b/>
                <w:bCs/>
                <w:noProof/>
              </w:rPr>
              <w:t>14.</w:t>
            </w:r>
            <w:r>
              <w:rPr>
                <w:noProof/>
              </w:rPr>
              <w:tab/>
            </w:r>
            <w:r w:rsidRPr="00D15060">
              <w:rPr>
                <w:rStyle w:val="Hyperlink"/>
                <w:b/>
                <w:bCs/>
                <w:noProof/>
              </w:rPr>
              <w:t>Annualized Cost to the Government</w:t>
            </w:r>
            <w:r>
              <w:rPr>
                <w:noProof/>
                <w:webHidden/>
              </w:rPr>
              <w:tab/>
            </w:r>
            <w:r>
              <w:rPr>
                <w:noProof/>
                <w:webHidden/>
              </w:rPr>
              <w:fldChar w:fldCharType="begin"/>
            </w:r>
            <w:r>
              <w:rPr>
                <w:noProof/>
                <w:webHidden/>
              </w:rPr>
              <w:instrText xml:space="preserve"> PAGEREF _Toc49415637 \h </w:instrText>
            </w:r>
            <w:r>
              <w:rPr>
                <w:noProof/>
                <w:webHidden/>
              </w:rPr>
              <w:fldChar w:fldCharType="separate"/>
            </w:r>
            <w:r>
              <w:rPr>
                <w:noProof/>
                <w:webHidden/>
              </w:rPr>
              <w:t>9</w:t>
            </w:r>
            <w:r>
              <w:rPr>
                <w:noProof/>
                <w:webHidden/>
              </w:rPr>
              <w:fldChar w:fldCharType="end"/>
            </w:r>
          </w:hyperlink>
        </w:p>
        <w:p w:rsidR="006954D6" w14:paraId="1824AF8F" w14:textId="45A1A890">
          <w:pPr>
            <w:pStyle w:val="TOC1"/>
            <w:tabs>
              <w:tab w:val="left" w:pos="660"/>
              <w:tab w:val="right" w:leader="dot" w:pos="10070"/>
            </w:tabs>
            <w:rPr>
              <w:noProof/>
            </w:rPr>
          </w:pPr>
          <w:hyperlink w:anchor="_Toc49415638" w:history="1">
            <w:r w:rsidRPr="00D15060">
              <w:rPr>
                <w:rStyle w:val="Hyperlink"/>
                <w:b/>
                <w:bCs/>
                <w:noProof/>
              </w:rPr>
              <w:t>15.</w:t>
            </w:r>
            <w:r>
              <w:rPr>
                <w:noProof/>
              </w:rPr>
              <w:tab/>
            </w:r>
            <w:r w:rsidRPr="00D15060">
              <w:rPr>
                <w:rStyle w:val="Hyperlink"/>
                <w:b/>
                <w:bCs/>
                <w:noProof/>
              </w:rPr>
              <w:t>Explanation for Program Changes or Adjustments</w:t>
            </w:r>
            <w:r>
              <w:rPr>
                <w:noProof/>
                <w:webHidden/>
              </w:rPr>
              <w:tab/>
            </w:r>
            <w:r>
              <w:rPr>
                <w:noProof/>
                <w:webHidden/>
              </w:rPr>
              <w:fldChar w:fldCharType="begin"/>
            </w:r>
            <w:r>
              <w:rPr>
                <w:noProof/>
                <w:webHidden/>
              </w:rPr>
              <w:instrText xml:space="preserve"> PAGEREF _Toc49415638 \h </w:instrText>
            </w:r>
            <w:r>
              <w:rPr>
                <w:noProof/>
                <w:webHidden/>
              </w:rPr>
              <w:fldChar w:fldCharType="separate"/>
            </w:r>
            <w:r>
              <w:rPr>
                <w:noProof/>
                <w:webHidden/>
              </w:rPr>
              <w:t>9</w:t>
            </w:r>
            <w:r>
              <w:rPr>
                <w:noProof/>
                <w:webHidden/>
              </w:rPr>
              <w:fldChar w:fldCharType="end"/>
            </w:r>
          </w:hyperlink>
        </w:p>
        <w:p w:rsidR="006954D6" w14:paraId="526FC01D" w14:textId="086D655E">
          <w:pPr>
            <w:pStyle w:val="TOC1"/>
            <w:tabs>
              <w:tab w:val="left" w:pos="660"/>
              <w:tab w:val="right" w:leader="dot" w:pos="10070"/>
            </w:tabs>
            <w:rPr>
              <w:noProof/>
            </w:rPr>
          </w:pPr>
          <w:hyperlink w:anchor="_Toc49415639" w:history="1">
            <w:r w:rsidRPr="00D15060">
              <w:rPr>
                <w:rStyle w:val="Hyperlink"/>
                <w:b/>
                <w:bCs/>
                <w:noProof/>
              </w:rPr>
              <w:t>16.</w:t>
            </w:r>
            <w:r>
              <w:rPr>
                <w:noProof/>
              </w:rPr>
              <w:tab/>
            </w:r>
            <w:r w:rsidRPr="00D15060">
              <w:rPr>
                <w:rStyle w:val="Hyperlink"/>
                <w:b/>
                <w:bCs/>
                <w:noProof/>
              </w:rPr>
              <w:t>Plans for Tabulation and Publication and Project Time Schedule</w:t>
            </w:r>
            <w:r>
              <w:rPr>
                <w:noProof/>
                <w:webHidden/>
              </w:rPr>
              <w:tab/>
            </w:r>
            <w:r>
              <w:rPr>
                <w:noProof/>
                <w:webHidden/>
              </w:rPr>
              <w:fldChar w:fldCharType="begin"/>
            </w:r>
            <w:r>
              <w:rPr>
                <w:noProof/>
                <w:webHidden/>
              </w:rPr>
              <w:instrText xml:space="preserve"> PAGEREF _Toc49415639 \h </w:instrText>
            </w:r>
            <w:r>
              <w:rPr>
                <w:noProof/>
                <w:webHidden/>
              </w:rPr>
              <w:fldChar w:fldCharType="separate"/>
            </w:r>
            <w:r>
              <w:rPr>
                <w:noProof/>
                <w:webHidden/>
              </w:rPr>
              <w:t>9</w:t>
            </w:r>
            <w:r>
              <w:rPr>
                <w:noProof/>
                <w:webHidden/>
              </w:rPr>
              <w:fldChar w:fldCharType="end"/>
            </w:r>
          </w:hyperlink>
        </w:p>
        <w:p w:rsidR="006954D6" w14:paraId="2429F719" w14:textId="7EDC39BD">
          <w:pPr>
            <w:pStyle w:val="TOC1"/>
            <w:tabs>
              <w:tab w:val="left" w:pos="660"/>
              <w:tab w:val="right" w:leader="dot" w:pos="10070"/>
            </w:tabs>
            <w:rPr>
              <w:noProof/>
            </w:rPr>
          </w:pPr>
          <w:hyperlink w:anchor="_Toc49415640" w:history="1">
            <w:r w:rsidRPr="00D15060">
              <w:rPr>
                <w:rStyle w:val="Hyperlink"/>
                <w:b/>
                <w:bCs/>
                <w:noProof/>
              </w:rPr>
              <w:t>17.</w:t>
            </w:r>
            <w:r>
              <w:rPr>
                <w:noProof/>
              </w:rPr>
              <w:tab/>
            </w:r>
            <w:r w:rsidRPr="00D15060">
              <w:rPr>
                <w:rStyle w:val="Hyperlink"/>
                <w:b/>
                <w:bCs/>
                <w:noProof/>
              </w:rPr>
              <w:t>Reason(s) Display of OMB Expiration Date is Inappropriate</w:t>
            </w:r>
            <w:r>
              <w:rPr>
                <w:noProof/>
                <w:webHidden/>
              </w:rPr>
              <w:tab/>
            </w:r>
            <w:r>
              <w:rPr>
                <w:noProof/>
                <w:webHidden/>
              </w:rPr>
              <w:fldChar w:fldCharType="begin"/>
            </w:r>
            <w:r>
              <w:rPr>
                <w:noProof/>
                <w:webHidden/>
              </w:rPr>
              <w:instrText xml:space="preserve"> PAGEREF _Toc49415640 \h </w:instrText>
            </w:r>
            <w:r>
              <w:rPr>
                <w:noProof/>
                <w:webHidden/>
              </w:rPr>
              <w:fldChar w:fldCharType="separate"/>
            </w:r>
            <w:r>
              <w:rPr>
                <w:noProof/>
                <w:webHidden/>
              </w:rPr>
              <w:t>10</w:t>
            </w:r>
            <w:r>
              <w:rPr>
                <w:noProof/>
                <w:webHidden/>
              </w:rPr>
              <w:fldChar w:fldCharType="end"/>
            </w:r>
          </w:hyperlink>
        </w:p>
        <w:p w:rsidR="006954D6" w14:paraId="78F93665" w14:textId="54AB9AC7">
          <w:pPr>
            <w:pStyle w:val="TOC1"/>
            <w:tabs>
              <w:tab w:val="left" w:pos="660"/>
              <w:tab w:val="right" w:leader="dot" w:pos="10070"/>
            </w:tabs>
            <w:rPr>
              <w:noProof/>
            </w:rPr>
          </w:pPr>
          <w:hyperlink w:anchor="_Toc49415641" w:history="1">
            <w:r w:rsidRPr="00D15060">
              <w:rPr>
                <w:rStyle w:val="Hyperlink"/>
                <w:b/>
                <w:bCs/>
                <w:noProof/>
              </w:rPr>
              <w:t>18.</w:t>
            </w:r>
            <w:r>
              <w:rPr>
                <w:noProof/>
              </w:rPr>
              <w:tab/>
            </w:r>
            <w:r w:rsidRPr="00D15060">
              <w:rPr>
                <w:rStyle w:val="Hyperlink"/>
                <w:b/>
                <w:bCs/>
                <w:noProof/>
              </w:rPr>
              <w:t>Exceptions to Certification for Paperwork Reduction Act Submissions</w:t>
            </w:r>
            <w:r>
              <w:rPr>
                <w:noProof/>
                <w:webHidden/>
              </w:rPr>
              <w:tab/>
            </w:r>
            <w:r>
              <w:rPr>
                <w:noProof/>
                <w:webHidden/>
              </w:rPr>
              <w:fldChar w:fldCharType="begin"/>
            </w:r>
            <w:r>
              <w:rPr>
                <w:noProof/>
                <w:webHidden/>
              </w:rPr>
              <w:instrText xml:space="preserve"> PAGEREF _Toc49415641 \h </w:instrText>
            </w:r>
            <w:r>
              <w:rPr>
                <w:noProof/>
                <w:webHidden/>
              </w:rPr>
              <w:fldChar w:fldCharType="separate"/>
            </w:r>
            <w:r>
              <w:rPr>
                <w:noProof/>
                <w:webHidden/>
              </w:rPr>
              <w:t>10</w:t>
            </w:r>
            <w:r>
              <w:rPr>
                <w:noProof/>
                <w:webHidden/>
              </w:rPr>
              <w:fldChar w:fldCharType="end"/>
            </w:r>
          </w:hyperlink>
        </w:p>
        <w:p w:rsidR="006954D6" w14:paraId="4407EB5A" w14:textId="565DBA4E">
          <w:r>
            <w:rPr>
              <w:b/>
              <w:bCs/>
              <w:noProof/>
            </w:rPr>
            <w:fldChar w:fldCharType="end"/>
          </w:r>
        </w:p>
      </w:sdtContent>
    </w:sdt>
    <w:p w:rsidR="001B07C6" w:rsidP="009741A1" w14:paraId="31288F3A" w14:textId="40FD004F">
      <w:pPr>
        <w:spacing w:line="240" w:lineRule="auto"/>
        <w:jc w:val="center"/>
        <w:rPr>
          <w:b/>
          <w:bCs/>
        </w:rPr>
      </w:pPr>
      <w:r>
        <w:br w:type="page"/>
      </w:r>
      <w:r w:rsidRPr="009741A1" w:rsidR="009741A1">
        <w:rPr>
          <w:b/>
          <w:bCs/>
        </w:rPr>
        <w:t>List of Attachments</w:t>
      </w:r>
    </w:p>
    <w:p w:rsidR="009741A1" w:rsidP="009741A1" w14:paraId="4501A958" w14:textId="6BCA7C38">
      <w:pPr>
        <w:spacing w:line="240" w:lineRule="auto"/>
        <w:jc w:val="center"/>
        <w:rPr>
          <w:b/>
          <w:bCs/>
        </w:rPr>
      </w:pPr>
    </w:p>
    <w:p w:rsidR="009741A1" w:rsidRPr="009741A1" w:rsidP="009741A1" w14:paraId="520C55B9" w14:textId="77777777">
      <w:pPr>
        <w:spacing w:line="240" w:lineRule="auto"/>
        <w:jc w:val="center"/>
        <w:rPr>
          <w:b/>
          <w:bCs/>
        </w:rPr>
      </w:pPr>
    </w:p>
    <w:p w:rsidR="009741A1" w:rsidP="009741A1" w14:paraId="1F73C70F" w14:textId="5018D266">
      <w:pPr>
        <w:spacing w:line="240" w:lineRule="auto"/>
        <w:jc w:val="both"/>
      </w:pPr>
      <w:r>
        <w:t>Attachment A- Authorizing Legislation</w:t>
      </w:r>
    </w:p>
    <w:p w:rsidR="009741A1" w:rsidP="009741A1" w14:paraId="6ABE0E61" w14:textId="069E377F">
      <w:pPr>
        <w:spacing w:line="240" w:lineRule="auto"/>
        <w:jc w:val="both"/>
      </w:pPr>
      <w:r>
        <w:t>Attachment B- 60-day FRN</w:t>
      </w:r>
    </w:p>
    <w:p w:rsidR="009741A1" w:rsidP="009741A1" w14:paraId="7B9B39BE" w14:textId="7EC3B170">
      <w:pPr>
        <w:spacing w:line="240" w:lineRule="auto"/>
        <w:jc w:val="both"/>
      </w:pPr>
      <w:r>
        <w:t>Attachment C- Survey</w:t>
      </w:r>
    </w:p>
    <w:p w:rsidR="009741A1" w:rsidP="009741A1" w14:paraId="347B1FA2" w14:textId="7015A33B">
      <w:pPr>
        <w:spacing w:line="240" w:lineRule="auto"/>
        <w:jc w:val="both"/>
      </w:pPr>
      <w:r>
        <w:t>Attachment D- Recruitment Email</w:t>
      </w:r>
    </w:p>
    <w:p w:rsidR="009741A1" w:rsidP="009741A1" w14:paraId="0923F816" w14:textId="6ADC31B3">
      <w:pPr>
        <w:spacing w:line="240" w:lineRule="auto"/>
        <w:jc w:val="both"/>
      </w:pPr>
      <w:r>
        <w:t>Attachment E- Survey Reminder Email</w:t>
      </w:r>
    </w:p>
    <w:p w:rsidR="009741A1" w:rsidP="009741A1" w14:paraId="1C6BA268" w14:textId="34E03362">
      <w:pPr>
        <w:spacing w:line="240" w:lineRule="auto"/>
        <w:jc w:val="both"/>
      </w:pPr>
      <w:r>
        <w:t>Attachment F- Survey Advertisement</w:t>
      </w:r>
    </w:p>
    <w:p w:rsidR="009741A1" w:rsidP="009741A1" w14:paraId="182017B6" w14:textId="0E33C50A">
      <w:pPr>
        <w:spacing w:line="240" w:lineRule="auto"/>
        <w:jc w:val="both"/>
      </w:pPr>
      <w:r>
        <w:t>Attachment G- Survey Items and references</w:t>
      </w:r>
    </w:p>
    <w:p w:rsidR="009741A1" w:rsidP="009741A1" w14:paraId="731ABBDD" w14:textId="7FC7AB1B">
      <w:pPr>
        <w:spacing w:line="240" w:lineRule="auto"/>
        <w:jc w:val="both"/>
      </w:pPr>
      <w:r>
        <w:t xml:space="preserve">Attachment H- </w:t>
      </w:r>
      <w:r w:rsidRPr="009741A1">
        <w:t>Example Respondent Characteristics and Number of Survey Questions</w:t>
      </w:r>
    </w:p>
    <w:p w:rsidR="009741A1" w:rsidP="009741A1" w14:paraId="29FC1BA7" w14:textId="54540285">
      <w:pPr>
        <w:spacing w:line="240" w:lineRule="auto"/>
        <w:jc w:val="both"/>
      </w:pPr>
      <w:r>
        <w:t>Attachment I- IRB Determination</w:t>
      </w:r>
    </w:p>
    <w:p w:rsidR="009741A1" w:rsidP="009741A1" w14:paraId="35F17C9D" w14:textId="0C4653C7">
      <w:pPr>
        <w:spacing w:line="240" w:lineRule="auto"/>
        <w:jc w:val="both"/>
      </w:pPr>
    </w:p>
    <w:p w:rsidR="009741A1" w:rsidP="009741A1" w14:paraId="0108AA60" w14:textId="447CD760">
      <w:pPr>
        <w:spacing w:line="240" w:lineRule="auto"/>
        <w:jc w:val="both"/>
      </w:pPr>
    </w:p>
    <w:p w:rsidR="009741A1" w:rsidP="009741A1" w14:paraId="045F680E" w14:textId="5B27886C">
      <w:pPr>
        <w:spacing w:line="240" w:lineRule="auto"/>
        <w:jc w:val="both"/>
      </w:pPr>
    </w:p>
    <w:p w:rsidR="009741A1" w:rsidP="009741A1" w14:paraId="16A97EF0" w14:textId="7F777FA5">
      <w:pPr>
        <w:spacing w:line="240" w:lineRule="auto"/>
        <w:jc w:val="both"/>
      </w:pPr>
    </w:p>
    <w:p w:rsidR="009741A1" w:rsidP="009741A1" w14:paraId="2668E191" w14:textId="20A23EA3">
      <w:pPr>
        <w:spacing w:line="240" w:lineRule="auto"/>
        <w:jc w:val="both"/>
      </w:pPr>
    </w:p>
    <w:p w:rsidR="009741A1" w:rsidP="009741A1" w14:paraId="0B49A738" w14:textId="23A0C512">
      <w:pPr>
        <w:spacing w:line="240" w:lineRule="auto"/>
        <w:jc w:val="both"/>
      </w:pPr>
    </w:p>
    <w:p w:rsidR="009741A1" w:rsidP="009741A1" w14:paraId="69B50014" w14:textId="5FD0F67A">
      <w:pPr>
        <w:spacing w:line="240" w:lineRule="auto"/>
        <w:jc w:val="both"/>
      </w:pPr>
    </w:p>
    <w:p w:rsidR="009741A1" w:rsidP="009741A1" w14:paraId="6E8C7FC8" w14:textId="1F0F1737">
      <w:pPr>
        <w:spacing w:line="240" w:lineRule="auto"/>
        <w:jc w:val="both"/>
      </w:pPr>
    </w:p>
    <w:p w:rsidR="009741A1" w:rsidP="009741A1" w14:paraId="20FA60B0" w14:textId="405C1342">
      <w:pPr>
        <w:spacing w:line="240" w:lineRule="auto"/>
        <w:jc w:val="both"/>
      </w:pPr>
    </w:p>
    <w:p w:rsidR="009741A1" w:rsidP="009741A1" w14:paraId="275BA438" w14:textId="01B7B8A3">
      <w:pPr>
        <w:spacing w:line="240" w:lineRule="auto"/>
        <w:jc w:val="both"/>
      </w:pPr>
    </w:p>
    <w:p w:rsidR="009741A1" w:rsidP="009741A1" w14:paraId="0032F2DA" w14:textId="3D9B3A10">
      <w:pPr>
        <w:spacing w:line="240" w:lineRule="auto"/>
        <w:jc w:val="both"/>
      </w:pPr>
    </w:p>
    <w:p w:rsidR="009741A1" w:rsidP="009741A1" w14:paraId="070F5060" w14:textId="718B30EA">
      <w:pPr>
        <w:spacing w:line="240" w:lineRule="auto"/>
        <w:jc w:val="both"/>
      </w:pPr>
    </w:p>
    <w:p w:rsidR="009741A1" w:rsidP="009741A1" w14:paraId="03E06A23" w14:textId="53546E32">
      <w:pPr>
        <w:spacing w:line="240" w:lineRule="auto"/>
        <w:jc w:val="both"/>
      </w:pPr>
    </w:p>
    <w:p w:rsidR="009741A1" w:rsidP="009741A1" w14:paraId="691457D1" w14:textId="4C79DD18">
      <w:pPr>
        <w:spacing w:line="240" w:lineRule="auto"/>
        <w:jc w:val="both"/>
      </w:pPr>
    </w:p>
    <w:p w:rsidR="009741A1" w:rsidP="009741A1" w14:paraId="7A23B855" w14:textId="4763942F">
      <w:pPr>
        <w:spacing w:line="240" w:lineRule="auto"/>
        <w:jc w:val="both"/>
      </w:pPr>
    </w:p>
    <w:p w:rsidR="009741A1" w:rsidP="009741A1" w14:paraId="523899ED" w14:textId="6076048B">
      <w:pPr>
        <w:spacing w:line="240" w:lineRule="auto"/>
        <w:jc w:val="both"/>
      </w:pPr>
    </w:p>
    <w:p w:rsidR="009741A1" w:rsidP="009741A1" w14:paraId="2A993478" w14:textId="527EAF9E">
      <w:pPr>
        <w:spacing w:line="240" w:lineRule="auto"/>
        <w:jc w:val="both"/>
      </w:pPr>
    </w:p>
    <w:p w:rsidR="009741A1" w:rsidP="009741A1" w14:paraId="612419F0" w14:textId="4103E859">
      <w:pPr>
        <w:spacing w:line="240" w:lineRule="auto"/>
        <w:jc w:val="both"/>
      </w:pPr>
    </w:p>
    <w:p w:rsidR="009741A1" w:rsidP="009741A1" w14:paraId="4DF58835" w14:textId="5F7725FB">
      <w:pPr>
        <w:spacing w:line="240" w:lineRule="auto"/>
        <w:jc w:val="both"/>
      </w:pPr>
    </w:p>
    <w:p w:rsidR="009741A1" w:rsidP="009741A1" w14:paraId="78F8E805" w14:textId="7FE9FFD9">
      <w:pPr>
        <w:spacing w:line="240" w:lineRule="auto"/>
        <w:jc w:val="both"/>
      </w:pPr>
    </w:p>
    <w:p w:rsidR="009741A1" w:rsidP="009741A1" w14:paraId="4F0927BC" w14:textId="2D463389">
      <w:pPr>
        <w:spacing w:line="240" w:lineRule="auto"/>
        <w:jc w:val="both"/>
      </w:pPr>
    </w:p>
    <w:p w:rsidR="009741A1" w:rsidP="009741A1" w14:paraId="7933D93F" w14:textId="77777777">
      <w:pPr>
        <w:spacing w:line="240" w:lineRule="auto"/>
        <w:jc w:val="both"/>
      </w:pPr>
    </w:p>
    <w:p w:rsidR="009741A1" w:rsidP="009741A1" w14:paraId="721E4FFC" w14:textId="77777777">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jc w:val="both"/>
      </w:pPr>
      <w:r>
        <w:rPr>
          <w:rFonts w:eastAsia="Times New Roman"/>
          <w:b/>
          <w:bCs/>
        </w:rPr>
        <w:t xml:space="preserve">Goal of the study: </w:t>
      </w:r>
      <w:r>
        <w:rPr>
          <w:rFonts w:eastAsia="Times New Roman"/>
        </w:rPr>
        <w:t>The goal of the study is to</w:t>
      </w:r>
      <w:r w:rsidRPr="009B66FE">
        <w:t xml:space="preserve"> </w:t>
      </w:r>
      <w:r>
        <w:rPr>
          <w:rFonts w:eastAsia="Times New Roman"/>
        </w:rPr>
        <w:t xml:space="preserve">collect </w:t>
      </w:r>
      <w:r w:rsidRPr="009B66FE">
        <w:rPr>
          <w:rFonts w:eastAsia="Times New Roman"/>
        </w:rPr>
        <w:t>data on the burden of work-related injuries and psychosocial stress among ABA workers</w:t>
      </w:r>
      <w:r>
        <w:rPr>
          <w:rFonts w:eastAsia="Times New Roman"/>
        </w:rPr>
        <w:t xml:space="preserve"> in the United States.</w:t>
      </w:r>
    </w:p>
    <w:p w:rsidR="009741A1" w:rsidP="009741A1" w14:paraId="0FEF7434" w14:textId="77777777">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jc w:val="both"/>
      </w:pPr>
      <w:r>
        <w:rPr>
          <w:b/>
          <w:bCs/>
        </w:rPr>
        <w:t xml:space="preserve">Intended use of the resulting data: </w:t>
      </w:r>
      <w:r w:rsidRPr="00FF5B31">
        <w:t xml:space="preserve">The results of the </w:t>
      </w:r>
      <w:r>
        <w:t>survey</w:t>
      </w:r>
      <w:r w:rsidRPr="00FF5B31">
        <w:t xml:space="preserve"> will be used to identify objectives and priorities for intervention</w:t>
      </w:r>
      <w:r>
        <w:t xml:space="preserve"> research</w:t>
      </w:r>
      <w:r w:rsidRPr="00FF5B31">
        <w:t xml:space="preserve"> to improve the safety of the workplace, reduce injury, and improve the well-being of </w:t>
      </w:r>
      <w:r>
        <w:t>applied behavior analysis</w:t>
      </w:r>
      <w:r w:rsidRPr="00FF5B31">
        <w:t xml:space="preserve"> workers.</w:t>
      </w:r>
    </w:p>
    <w:p w:rsidR="009741A1" w:rsidP="009741A1" w14:paraId="7049B9E4" w14:textId="77777777">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jc w:val="both"/>
      </w:pPr>
      <w:r>
        <w:rPr>
          <w:b/>
          <w:bCs/>
        </w:rPr>
        <w:t xml:space="preserve">Methods to be used to collect data: </w:t>
      </w:r>
      <w:r>
        <w:t xml:space="preserve">The data will be collected with a direct-contact web-based cross-sectional survey. </w:t>
      </w:r>
    </w:p>
    <w:p w:rsidR="009741A1" w:rsidP="009741A1" w14:paraId="576D5936" w14:textId="77777777">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jc w:val="both"/>
      </w:pPr>
      <w:r>
        <w:rPr>
          <w:b/>
          <w:bCs/>
        </w:rPr>
        <w:t xml:space="preserve">The subpopulation to be studied: </w:t>
      </w:r>
      <w:r>
        <w:t>The subpopulation for the study will be applied behavior analysis workers in the United States credentialed by the Behavior Analysis Certification Board.</w:t>
      </w:r>
    </w:p>
    <w:p w:rsidR="009741A1" w:rsidP="009741A1" w14:paraId="19045059" w14:textId="77777777">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jc w:val="both"/>
      </w:pPr>
      <w:r>
        <w:rPr>
          <w:b/>
          <w:bCs/>
        </w:rPr>
        <w:t xml:space="preserve">How data will be analyzed: </w:t>
      </w:r>
      <w:r>
        <w:t>Data will be analyzed using chi-square tests, analysis of variance, and generalized linear models, as appropriate.</w:t>
      </w:r>
    </w:p>
    <w:p w:rsidR="009741A1" w:rsidP="009741A1" w14:paraId="14EBEC6E" w14:textId="04F14221">
      <w:pPr>
        <w:spacing w:line="240" w:lineRule="auto"/>
        <w:jc w:val="both"/>
      </w:pPr>
    </w:p>
    <w:p w:rsidR="009741A1" w:rsidP="009741A1" w14:paraId="36829101" w14:textId="4A01A2DD">
      <w:pPr>
        <w:spacing w:line="240" w:lineRule="auto"/>
        <w:jc w:val="both"/>
      </w:pPr>
    </w:p>
    <w:p w:rsidR="009741A1" w:rsidP="009741A1" w14:paraId="3BD1C769" w14:textId="77777777">
      <w:pPr>
        <w:spacing w:line="240" w:lineRule="auto"/>
        <w:jc w:val="both"/>
      </w:pPr>
    </w:p>
    <w:p w:rsidR="00940307" w:rsidRPr="00994E20" w:rsidP="00FE1FB3" w14:paraId="4292C590" w14:textId="60EB47A6">
      <w:pPr>
        <w:pStyle w:val="Heading1"/>
        <w:numPr>
          <w:ilvl w:val="0"/>
          <w:numId w:val="6"/>
        </w:numPr>
        <w:spacing w:line="240" w:lineRule="auto"/>
        <w:rPr>
          <w:b/>
          <w:bCs/>
          <w:color w:val="auto"/>
          <w:sz w:val="24"/>
          <w:szCs w:val="24"/>
        </w:rPr>
      </w:pPr>
      <w:bookmarkStart w:id="1" w:name="_Toc49415624"/>
      <w:r w:rsidRPr="00994E20">
        <w:rPr>
          <w:b/>
          <w:bCs/>
          <w:color w:val="auto"/>
          <w:sz w:val="24"/>
          <w:szCs w:val="24"/>
        </w:rPr>
        <w:t>Circumstances Making the Collection of Information Necessary</w:t>
      </w:r>
      <w:bookmarkEnd w:id="1"/>
    </w:p>
    <w:p w:rsidR="007E1C8A" w:rsidP="007E1C8A" w14:paraId="01BD2527" w14:textId="7AD32084">
      <w:pPr>
        <w:spacing w:line="240" w:lineRule="auto"/>
        <w:ind w:firstLine="360"/>
        <w:rPr>
          <w:lang w:eastAsia="ja-JP"/>
        </w:rPr>
      </w:pPr>
      <w:r>
        <w:tab/>
        <w:t xml:space="preserve">The Information Collection Request for </w:t>
      </w:r>
      <w:r w:rsidRPr="00D34D92">
        <w:rPr>
          <w:i/>
          <w:iCs/>
        </w:rPr>
        <w:t>A Baseline of Injury and Psychosocial Stress for Applied Behavior</w:t>
      </w:r>
      <w:r w:rsidRPr="00D34D92" w:rsidR="00D34D92">
        <w:rPr>
          <w:i/>
          <w:iCs/>
        </w:rPr>
        <w:t xml:space="preserve"> </w:t>
      </w:r>
      <w:r w:rsidRPr="00D34D92">
        <w:rPr>
          <w:i/>
          <w:iCs/>
        </w:rPr>
        <w:t>Analysis Workers</w:t>
      </w:r>
      <w:r>
        <w:t xml:space="preserve"> is </w:t>
      </w:r>
      <w:r w:rsidRPr="003D5AC2">
        <w:t xml:space="preserve">classified as </w:t>
      </w:r>
      <w:r w:rsidRPr="003D5AC2">
        <w:rPr>
          <w:b/>
          <w:bCs/>
        </w:rPr>
        <w:t>New</w:t>
      </w:r>
      <w:r w:rsidRPr="003D5AC2">
        <w:t xml:space="preserve">. The National Institute for Occupational Safety and Health (NIOSH) is requesting approval </w:t>
      </w:r>
      <w:r w:rsidRPr="003D5AC2" w:rsidR="001C2F12">
        <w:t xml:space="preserve">for </w:t>
      </w:r>
      <w:r w:rsidRPr="003D5AC2" w:rsidR="00000300">
        <w:t xml:space="preserve">three </w:t>
      </w:r>
      <w:r w:rsidRPr="003D5AC2" w:rsidR="007E4A46">
        <w:t>year</w:t>
      </w:r>
      <w:r w:rsidRPr="003D5AC2" w:rsidR="00000300">
        <w:t>s</w:t>
      </w:r>
      <w:r w:rsidRPr="003D5AC2" w:rsidR="007E4A46">
        <w:t>.</w:t>
      </w:r>
      <w:r w:rsidRPr="003D5AC2">
        <w:t xml:space="preserve"> Data collection for this project is authorized under 29 USC</w:t>
      </w:r>
      <w:r w:rsidRPr="003D5AC2" w:rsidR="00D34D92">
        <w:t xml:space="preserve"> </w:t>
      </w:r>
      <w:r w:rsidRPr="003D5AC2">
        <w:t>§ 669 Section 20 of the Occupational Safety and Health Act (Attachment A).</w:t>
      </w:r>
      <w:r w:rsidRPr="003D5AC2" w:rsidR="00C17970">
        <w:t xml:space="preserve"> </w:t>
      </w:r>
      <w:r w:rsidRPr="003D5AC2" w:rsidR="00C50C2F">
        <w:t xml:space="preserve">Data collection for this project is authorized under 29 USC § 669 (Section 20 of the Occupational Safety and Health Act). Section 20 states that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r w:rsidRPr="003D5AC2" w:rsidR="00C17970">
        <w:t xml:space="preserve">This collection will </w:t>
      </w:r>
      <w:r w:rsidRPr="003D5AC2" w:rsidR="001E1F01">
        <w:t xml:space="preserve">survey </w:t>
      </w:r>
      <w:r w:rsidRPr="003D5AC2" w:rsidR="00354E45">
        <w:t xml:space="preserve">applied behavior analysis </w:t>
      </w:r>
      <w:r w:rsidRPr="003D5AC2" w:rsidR="005B4184">
        <w:t xml:space="preserve">(ABA) </w:t>
      </w:r>
      <w:r w:rsidRPr="003D5AC2" w:rsidR="00354E45">
        <w:t>workers</w:t>
      </w:r>
      <w:r w:rsidRPr="003D5AC2" w:rsidR="00C17970">
        <w:t xml:space="preserve"> </w:t>
      </w:r>
      <w:r w:rsidRPr="003D5AC2" w:rsidR="001C2F12">
        <w:t xml:space="preserve">to </w:t>
      </w:r>
      <w:r w:rsidRPr="003D5AC2" w:rsidR="006303D7">
        <w:t>obtain inf</w:t>
      </w:r>
      <w:r w:rsidRPr="003D5AC2" w:rsidR="006B111F">
        <w:t>ormation regarding the injuries they may have sustained while working</w:t>
      </w:r>
      <w:r w:rsidRPr="003D5AC2" w:rsidR="004A7011">
        <w:t xml:space="preserve">. </w:t>
      </w:r>
      <w:r w:rsidRPr="003D5AC2" w:rsidR="00F27412">
        <w:t xml:space="preserve"> </w:t>
      </w:r>
      <w:r w:rsidRPr="003D5AC2" w:rsidR="001E1F01">
        <w:rPr>
          <w:lang w:eastAsia="ja-JP"/>
        </w:rPr>
        <w:t>Applied behavior analysis</w:t>
      </w:r>
      <w:r w:rsidRPr="003D5AC2" w:rsidR="004A7011">
        <w:rPr>
          <w:lang w:eastAsia="ja-JP"/>
        </w:rPr>
        <w:t xml:space="preserve"> is a principle intervention for problem behaviors exhibited</w:t>
      </w:r>
      <w:r w:rsidRPr="00C604ED" w:rsidR="004A7011">
        <w:rPr>
          <w:lang w:eastAsia="ja-JP"/>
        </w:rPr>
        <w:t xml:space="preserve"> by children, adolescents, and adults with developmental disorders</w:t>
      </w:r>
      <w:r w:rsidR="00434ACB">
        <w:rPr>
          <w:lang w:eastAsia="ja-JP"/>
        </w:rPr>
        <w:t xml:space="preserve">, and </w:t>
      </w:r>
      <w:r w:rsidRPr="00C604ED" w:rsidR="004A7011">
        <w:rPr>
          <w:lang w:eastAsia="ja-JP"/>
        </w:rPr>
        <w:t>Board Certified Behavior Analysts</w:t>
      </w:r>
      <w:r w:rsidR="00AA18A4">
        <w:rPr>
          <w:lang w:eastAsia="ja-JP"/>
        </w:rPr>
        <w:t xml:space="preserve"> - Doctorate</w:t>
      </w:r>
      <w:r w:rsidRPr="00C604ED" w:rsidR="004A7011">
        <w:rPr>
          <w:lang w:eastAsia="ja-JP"/>
        </w:rPr>
        <w:t xml:space="preserve"> (BCBA</w:t>
      </w:r>
      <w:r w:rsidR="00AA18A4">
        <w:rPr>
          <w:lang w:eastAsia="ja-JP"/>
        </w:rPr>
        <w:t>-D</w:t>
      </w:r>
      <w:r w:rsidRPr="00C604ED" w:rsidR="004A7011">
        <w:rPr>
          <w:lang w:eastAsia="ja-JP"/>
        </w:rPr>
        <w:t>s)</w:t>
      </w:r>
      <w:r w:rsidR="00AA18A4">
        <w:rPr>
          <w:lang w:eastAsia="ja-JP"/>
        </w:rPr>
        <w:t>, Board Certified Behavior Analysts (BCBAs), Board Certified Assistant Behavior Analysts (BCaBAs),</w:t>
      </w:r>
      <w:r w:rsidRPr="00C604ED" w:rsidR="004A7011">
        <w:rPr>
          <w:lang w:eastAsia="ja-JP"/>
        </w:rPr>
        <w:t xml:space="preserve"> and Registered Behavior Technicians (RBTs), hereafter referred to as ABA workers, are responsible for planning and implementing behavior-focused treatments in schools, clinics, homes, and hospitals. The treatments are often designed to reduce violent, aggressive, and destructive behaviors</w:t>
      </w:r>
      <w:r w:rsidR="005B4184">
        <w:rPr>
          <w:lang w:eastAsia="ja-JP"/>
        </w:rPr>
        <w:t xml:space="preserve">. </w:t>
      </w:r>
      <w:r w:rsidRPr="00C604ED" w:rsidR="0016388A">
        <w:rPr>
          <w:lang w:eastAsia="ja-JP"/>
        </w:rPr>
        <w:t xml:space="preserve">The nature of this work requires ABA workers to approach and manage violent and aggressive behaviors, posing significant risks for injury </w:t>
      </w:r>
      <w:r w:rsidR="00A26C5A">
        <w:rPr>
          <w:lang w:eastAsia="ja-JP"/>
        </w:rPr>
        <w:t xml:space="preserve">and </w:t>
      </w:r>
      <w:r w:rsidRPr="00C604ED" w:rsidR="0016388A">
        <w:rPr>
          <w:lang w:eastAsia="ja-JP"/>
        </w:rPr>
        <w:t xml:space="preserve">psychosocial stress. </w:t>
      </w:r>
    </w:p>
    <w:p w:rsidR="007E1C8A" w:rsidP="007E1C8A" w14:paraId="080148A5" w14:textId="6F66A2C0">
      <w:pPr>
        <w:spacing w:line="240" w:lineRule="auto"/>
        <w:ind w:firstLine="360"/>
        <w:rPr>
          <w:lang w:eastAsia="ja-JP"/>
        </w:rPr>
      </w:pPr>
      <w:r w:rsidRPr="007D1480">
        <w:rPr>
          <w:lang w:eastAsia="ja-JP"/>
        </w:rPr>
        <w:t>Demand for ABA services is increasing (particularly among individuals with autism spectrum disorders) as is the number of workers; prevalence of autism spectrum disorders in the United States is estimated to be 14.6 per 1,000 children (Centers for Disease Control and Prevention, 2017). The number of BCBAs has grown steadily since the inception of credentialing in 1999 and at a near-exponential rate in more recent years.</w:t>
      </w:r>
      <w:r w:rsidRPr="00D12A04">
        <w:rPr>
          <w:lang w:eastAsia="ja-JP"/>
        </w:rPr>
        <w:t xml:space="preserve"> </w:t>
      </w:r>
      <w:r w:rsidRPr="00C604ED">
        <w:rPr>
          <w:lang w:eastAsia="ja-JP"/>
        </w:rPr>
        <w:t xml:space="preserve">As of </w:t>
      </w:r>
      <w:r w:rsidR="00644B69">
        <w:rPr>
          <w:lang w:eastAsia="ja-JP"/>
        </w:rPr>
        <w:t xml:space="preserve">January </w:t>
      </w:r>
      <w:r>
        <w:rPr>
          <w:lang w:eastAsia="ja-JP"/>
        </w:rPr>
        <w:t>202</w:t>
      </w:r>
      <w:r w:rsidR="00644B69">
        <w:rPr>
          <w:lang w:eastAsia="ja-JP"/>
        </w:rPr>
        <w:t>1</w:t>
      </w:r>
      <w:r w:rsidRPr="00C604ED">
        <w:rPr>
          <w:lang w:eastAsia="ja-JP"/>
        </w:rPr>
        <w:t>, the</w:t>
      </w:r>
      <w:r w:rsidR="00644B69">
        <w:rPr>
          <w:lang w:eastAsia="ja-JP"/>
        </w:rPr>
        <w:t xml:space="preserve">re </w:t>
      </w:r>
      <w:r w:rsidR="0048034A">
        <w:rPr>
          <w:lang w:eastAsia="ja-JP"/>
        </w:rPr>
        <w:t>are</w:t>
      </w:r>
      <w:r w:rsidR="00644B69">
        <w:rPr>
          <w:lang w:eastAsia="ja-JP"/>
        </w:rPr>
        <w:t xml:space="preserve"> over 13</w:t>
      </w:r>
      <w:r w:rsidR="0048034A">
        <w:rPr>
          <w:lang w:eastAsia="ja-JP"/>
        </w:rPr>
        <w:t>5</w:t>
      </w:r>
      <w:r w:rsidR="00644B69">
        <w:rPr>
          <w:lang w:eastAsia="ja-JP"/>
        </w:rPr>
        <w:t xml:space="preserve">,000 </w:t>
      </w:r>
      <w:r w:rsidRPr="00C604ED">
        <w:rPr>
          <w:lang w:eastAsia="ja-JP"/>
        </w:rPr>
        <w:t>workers credentialed by the Behavior Analyst Certification Board</w:t>
      </w:r>
      <w:r>
        <w:rPr>
          <w:lang w:eastAsia="ja-JP"/>
        </w:rPr>
        <w:t xml:space="preserve">. </w:t>
      </w:r>
      <w:r w:rsidRPr="007D1480">
        <w:rPr>
          <w:lang w:eastAsia="ja-JP"/>
        </w:rPr>
        <w:t xml:space="preserve">Conservative estimates suggest there will be more than 100,000 credentialed behavior analysts and more than 200,000 credentialed RBTs within one to two decades (Burning Glass Technologies, 2017; Carr &amp; Nosik, 2017). From 2012-14, there were over 7,000 openings for credentialed behavior analysts primarily in the health care (46%), educational services (28%), and social assistance (11%) industries (Burning Glass Technologies, 2017). Growth in </w:t>
      </w:r>
      <w:r w:rsidRPr="007D1480">
        <w:rPr>
          <w:lang w:eastAsia="ja-JP"/>
        </w:rPr>
        <w:t>the number of ABA workers increases exposure to hazardous work environments and new employers may lack a well-developed safety culture.</w:t>
      </w:r>
    </w:p>
    <w:p w:rsidR="000D3208" w:rsidP="007E1C8A" w14:paraId="143A38EE" w14:textId="6ACF9277">
      <w:pPr>
        <w:spacing w:line="240" w:lineRule="auto"/>
        <w:ind w:firstLine="360"/>
      </w:pPr>
      <w:r>
        <w:rPr>
          <w:lang w:eastAsia="ja-JP"/>
        </w:rPr>
        <w:t xml:space="preserve">Currently there is no standard occupational classification (SOC) to identify ABA workers within occupational injury data from the Bureau of Labor Statistics, and thus, specific occupational health and safety data for ABA workers cannot be isolated and extracted from existing occupational data sources. Additionally, </w:t>
      </w:r>
      <w:r w:rsidRPr="00CF7CB9">
        <w:rPr>
          <w:lang w:eastAsia="ja-JP"/>
        </w:rPr>
        <w:t>their job duties make many of their experiences in the workplace unique from other types of healthcare workers who may encounter occasional violence. For example, ABA workers develop and implement behavioral treatments for violent and destructive behaviors, placing them in frequent and direct exposure to potential harm and injury. Whereas other healthcare workers usually take steps to mitigate violence in their work, ABA workers are tasked with soliciting and then treating (i.e., confronting) violent behavior as part of behavioral treatments. In addition, ABA workers often spend more time with clients than other types of workers: 25-40 hours per week of direct-contact services is common for a client. Despite anecdotal evidence of the prevalence of injuries among this group of workers, there exists no published evidence. Given the unique nature of their jobs, etiologic research is necessary to capture injury rates and associated factors among these workers.</w:t>
      </w:r>
    </w:p>
    <w:p w:rsidR="009C322A" w:rsidP="003201EF" w14:paraId="1C7BA06B" w14:textId="3C342293">
      <w:pPr>
        <w:spacing w:line="240" w:lineRule="auto"/>
      </w:pPr>
      <w:r>
        <w:t>This collection has been funded through CDC’s National Occupational Research Agenda and aligns with the priority goals of the Healthcare and Social Assistance Sector.</w:t>
      </w:r>
      <w:r w:rsidRPr="00F27412" w:rsidR="00F27412">
        <w:rPr>
          <w:lang w:eastAsia="ja-JP"/>
        </w:rPr>
        <w:t xml:space="preserve"> </w:t>
      </w:r>
      <w:r w:rsidR="003A2DB0">
        <w:rPr>
          <w:lang w:eastAsia="ja-JP"/>
        </w:rPr>
        <w:t>This collection will obtain information related to injuries among ABA workers</w:t>
      </w:r>
      <w:r>
        <w:rPr>
          <w:lang w:eastAsia="ja-JP"/>
        </w:rPr>
        <w:t xml:space="preserve">. </w:t>
      </w:r>
      <w:r>
        <w:t>This project completed a peer-review process as part of the National Occupational Research Agenda, and it was approved by the agency and has received funding through 2023.</w:t>
      </w:r>
    </w:p>
    <w:p w:rsidR="00444E0B" w:rsidRPr="00994E20" w:rsidP="00FE1FB3" w14:paraId="0513BC9A" w14:textId="56DFB52B">
      <w:pPr>
        <w:pStyle w:val="Heading1"/>
        <w:numPr>
          <w:ilvl w:val="0"/>
          <w:numId w:val="6"/>
        </w:numPr>
        <w:spacing w:line="240" w:lineRule="auto"/>
        <w:rPr>
          <w:b/>
          <w:bCs/>
          <w:color w:val="auto"/>
          <w:sz w:val="24"/>
          <w:szCs w:val="24"/>
        </w:rPr>
      </w:pPr>
      <w:bookmarkStart w:id="2" w:name="_Toc49415625"/>
      <w:r w:rsidRPr="00994E20">
        <w:rPr>
          <w:b/>
          <w:bCs/>
          <w:color w:val="auto"/>
          <w:sz w:val="24"/>
          <w:szCs w:val="24"/>
        </w:rPr>
        <w:t>Purpose and Use of Information Collection</w:t>
      </w:r>
      <w:bookmarkEnd w:id="2"/>
    </w:p>
    <w:p w:rsidR="00084152" w:rsidP="00FE1FB3" w14:paraId="6A45A78B" w14:textId="77777777">
      <w:pPr>
        <w:spacing w:line="240" w:lineRule="auto"/>
      </w:pPr>
      <w:r w:rsidRPr="003D5AC2">
        <w:t xml:space="preserve">The purpose of this data collection is to obtain information about work-related injuries </w:t>
      </w:r>
      <w:r w:rsidRPr="003D5AC2" w:rsidR="005B443A">
        <w:t>and stress experienced by applied behavior analysis workers.</w:t>
      </w:r>
      <w:r w:rsidRPr="003D5AC2" w:rsidR="00574673">
        <w:t xml:space="preserve"> The information will be collected through a </w:t>
      </w:r>
      <w:r w:rsidRPr="003D5AC2" w:rsidR="0068088B">
        <w:t xml:space="preserve">one-time </w:t>
      </w:r>
      <w:r w:rsidRPr="003D5AC2" w:rsidR="00574673">
        <w:t>web-based survey</w:t>
      </w:r>
      <w:r w:rsidRPr="003D5AC2" w:rsidR="005D1EF8">
        <w:t xml:space="preserve"> will be used by the NIOSH researchers, applied behavior analysis workers, and academicians to </w:t>
      </w:r>
      <w:r w:rsidRPr="003D5AC2" w:rsidR="00A35D8C">
        <w:t xml:space="preserve">identify priorities for </w:t>
      </w:r>
      <w:r w:rsidRPr="003D5AC2" w:rsidR="005D1EF8">
        <w:t xml:space="preserve">current and future </w:t>
      </w:r>
      <w:r w:rsidRPr="003D5AC2" w:rsidR="00A35D8C">
        <w:t xml:space="preserve">intervention research </w:t>
      </w:r>
      <w:r w:rsidRPr="003D5AC2" w:rsidR="00F67CFF">
        <w:t>to improve the safety and well-being of applied behavior analysis workers.</w:t>
      </w:r>
      <w:r>
        <w:t xml:space="preserve"> </w:t>
      </w:r>
    </w:p>
    <w:p w:rsidR="006E1D41" w:rsidRPr="003D5AC2" w:rsidP="00084152" w14:paraId="22DCB761" w14:textId="24E9E7F3">
      <w:r>
        <w:t>Due to certain limitations in the study design, the results are not intended to be used for influential policymaking purposes (e.g., as part of the evidence base used to justify future rulemaking or budget proposals). We expect to experience a degree of non-response bias. In addition, we will be unable to estimate the prevalence of non-response bias because the socio-demographic information of survey respondents is unavailable, thus making it impossible to compare the characteristics of survey respondents to those who did not respond to the survey. Recognizing these limitations, we will be careful to present the findings and associated conclusions in the proper context.</w:t>
      </w:r>
    </w:p>
    <w:p w:rsidR="00F653D2" w:rsidP="00FE1FB3" w14:paraId="247C4A7A" w14:textId="73EE036C">
      <w:pPr>
        <w:spacing w:line="240" w:lineRule="auto"/>
      </w:pPr>
      <w:r w:rsidRPr="003D5AC2">
        <w:t xml:space="preserve">The </w:t>
      </w:r>
      <w:r w:rsidRPr="003D5AC2" w:rsidR="00AC2BDA">
        <w:t xml:space="preserve">specific </w:t>
      </w:r>
      <w:r w:rsidRPr="003D5AC2">
        <w:t>research questions are as follows:</w:t>
      </w:r>
    </w:p>
    <w:p w:rsidR="00D129DB" w:rsidP="00C27ACC" w14:paraId="46EBE224" w14:textId="31A593AE">
      <w:pPr>
        <w:spacing w:line="240" w:lineRule="auto"/>
        <w:ind w:left="720"/>
      </w:pPr>
      <w:r w:rsidRPr="00D129DB">
        <w:rPr>
          <w:b/>
          <w:bCs/>
        </w:rPr>
        <w:t>Research Question 1.</w:t>
      </w:r>
      <w:r>
        <w:t xml:space="preserve"> What is the occurrence of events/exposures across demographic characteristics, by type of credential (RBT, BCaBA, BCBA, BCBA-D), by client age, by workplace characteristics (type of employment, work setting, number of employees), by types of safety training, by use of PPE, and by injury reporting?</w:t>
      </w:r>
    </w:p>
    <w:p w:rsidR="00D129DB" w:rsidP="00C27ACC" w14:paraId="624F535F" w14:textId="7686D7DD">
      <w:pPr>
        <w:spacing w:line="240" w:lineRule="auto"/>
        <w:ind w:left="720"/>
      </w:pPr>
      <w:r w:rsidRPr="00D129DB">
        <w:rPr>
          <w:b/>
          <w:bCs/>
        </w:rPr>
        <w:t>Research Question 2.</w:t>
      </w:r>
      <w:r>
        <w:t xml:space="preserve"> What is the prevalence of injuries across demographic characteristics, by type of credential (RBT, BCaBA, BCBA, BCBA-D), by client age, by workplace characteristics (type of employment, work setting, number of employees), by types of safety training, by use of PPE, and by injury reporting?</w:t>
      </w:r>
    </w:p>
    <w:p w:rsidR="00D129DB" w:rsidP="00C27ACC" w14:paraId="183E4A9E" w14:textId="76618BD0">
      <w:pPr>
        <w:spacing w:line="240" w:lineRule="auto"/>
        <w:ind w:left="720"/>
      </w:pPr>
      <w:r w:rsidRPr="00D129DB">
        <w:rPr>
          <w:b/>
          <w:bCs/>
        </w:rPr>
        <w:t>Research Question 3.</w:t>
      </w:r>
      <w:r>
        <w:t xml:space="preserve"> What is the perceived safety climate across demographic characteristics, by type of credential (RBT, BCaBA, BCBA, BCBA-D), by client age, by workplace characteristics (type of employment, work setting, number of employees), by types of safety training, by use of PPE, and by injury reporting?</w:t>
      </w:r>
    </w:p>
    <w:p w:rsidR="00D129DB" w:rsidP="00C27ACC" w14:paraId="28C1407A" w14:textId="34232F12">
      <w:pPr>
        <w:spacing w:line="240" w:lineRule="auto"/>
        <w:ind w:left="720"/>
      </w:pPr>
      <w:r w:rsidRPr="00D129DB">
        <w:rPr>
          <w:b/>
          <w:bCs/>
        </w:rPr>
        <w:t>Research Question 4.</w:t>
      </w:r>
      <w:r>
        <w:t xml:space="preserve"> What is the proportion of PPE usage across demographic characteristics, by type of credential (RBT, BCaBA, BCBA, BCBA-D), by client age, by workplace characteristics (type of employment, work setting, number of employees), by types of safety training, and by injury reporting?</w:t>
      </w:r>
    </w:p>
    <w:p w:rsidR="00D129DB" w:rsidP="00C27ACC" w14:paraId="18D36130" w14:textId="388E8167">
      <w:pPr>
        <w:spacing w:line="240" w:lineRule="auto"/>
        <w:ind w:left="720"/>
      </w:pPr>
      <w:r w:rsidRPr="00D129DB">
        <w:rPr>
          <w:b/>
          <w:bCs/>
        </w:rPr>
        <w:t>Research Question 5.</w:t>
      </w:r>
      <w:r>
        <w:t xml:space="preserve"> What is perceived mental health across demographic characteristics, by type of credential (RBT, BCaBA, BCBA, BCBA-D), by client age, by workplace characteristics (type of employment, work setting, number of employees, access to stress management programs) by use of PPE, and by injury reporting?</w:t>
      </w:r>
    </w:p>
    <w:p w:rsidR="00D129DB" w:rsidP="00C27ACC" w14:paraId="00443240" w14:textId="02AFAB06">
      <w:pPr>
        <w:spacing w:line="240" w:lineRule="auto"/>
        <w:ind w:left="720"/>
      </w:pPr>
      <w:r w:rsidRPr="00D129DB">
        <w:rPr>
          <w:b/>
          <w:bCs/>
        </w:rPr>
        <w:t>Research Question 6.</w:t>
      </w:r>
      <w:r>
        <w:t xml:space="preserve"> What is perceived workload across demographic characteristics, by type of credential (RBT, BCaBA, BCBA, BCBA-D), by client age, by workplace characteristics (type of employment, work setting, number of employees), by types of safety training, by use of PPE, and by injury reporting?</w:t>
      </w:r>
    </w:p>
    <w:p w:rsidR="00D129DB" w:rsidP="00C27ACC" w14:paraId="5348837C" w14:textId="569CAF55">
      <w:pPr>
        <w:spacing w:line="240" w:lineRule="auto"/>
        <w:ind w:left="720"/>
      </w:pPr>
      <w:r w:rsidRPr="00D129DB">
        <w:rPr>
          <w:b/>
          <w:bCs/>
        </w:rPr>
        <w:t>Research Question 7.</w:t>
      </w:r>
      <w:r>
        <w:t xml:space="preserve"> What is perceived burnout across demographic characteristics, by type of credential (RBT, BCaBA, BCBA, BCBA-D), by client age, or by workplace characteristics (type of employment, work setting, number of employees, access to stress management programs), by use of PPE, and by injury reporting?</w:t>
      </w:r>
    </w:p>
    <w:p w:rsidR="00D129DB" w:rsidP="00C27ACC" w14:paraId="1FE91BC5" w14:textId="5FC9B58D">
      <w:pPr>
        <w:spacing w:line="240" w:lineRule="auto"/>
        <w:ind w:left="720"/>
      </w:pPr>
      <w:r w:rsidRPr="00D129DB">
        <w:rPr>
          <w:b/>
          <w:bCs/>
        </w:rPr>
        <w:t>Research Question 8.</w:t>
      </w:r>
      <w:r>
        <w:t xml:space="preserve"> </w:t>
      </w:r>
      <w:r w:rsidR="003201EF">
        <w:t>Are the factors safety climate, PPE use, and mental health inversely associated with the prevalence of events/exposures and injuries?</w:t>
      </w:r>
    </w:p>
    <w:p w:rsidR="0013146B" w:rsidRPr="006A7157" w:rsidP="00C27ACC" w14:paraId="4A33832B" w14:textId="2D7AF21F">
      <w:pPr>
        <w:spacing w:line="240" w:lineRule="auto"/>
        <w:ind w:left="720"/>
        <w:rPr>
          <w:b/>
          <w:bCs/>
        </w:rPr>
      </w:pPr>
      <w:bookmarkStart w:id="3" w:name="_Toc61033846"/>
      <w:bookmarkStart w:id="4" w:name="_Toc501356843"/>
      <w:r w:rsidRPr="006A7157">
        <w:rPr>
          <w:b/>
          <w:bCs/>
        </w:rPr>
        <w:t>Research Question 9</w:t>
      </w:r>
      <w:bookmarkEnd w:id="3"/>
      <w:r w:rsidRPr="006A7157">
        <w:rPr>
          <w:b/>
          <w:bCs/>
        </w:rPr>
        <w:t>.</w:t>
      </w:r>
      <w:r w:rsidRPr="006A7157">
        <w:t xml:space="preserve"> Are the factors mental health, use of PPE, and injury reporting positively associated with </w:t>
      </w:r>
      <w:bookmarkEnd w:id="4"/>
      <w:r w:rsidRPr="006A7157">
        <w:t>safety climate?</w:t>
      </w:r>
    </w:p>
    <w:p w:rsidR="00A41BF2" w:rsidP="00C27ACC" w14:paraId="180A5EBD" w14:textId="3C45A906">
      <w:pPr>
        <w:spacing w:line="240" w:lineRule="auto"/>
        <w:ind w:left="720"/>
      </w:pPr>
      <w:bookmarkStart w:id="5" w:name="_Toc61033849"/>
      <w:r w:rsidRPr="006A7157">
        <w:rPr>
          <w:b/>
          <w:bCs/>
        </w:rPr>
        <w:t>Research Question 10</w:t>
      </w:r>
      <w:bookmarkEnd w:id="5"/>
      <w:r w:rsidRPr="006A7157">
        <w:rPr>
          <w:b/>
          <w:bCs/>
          <w:i/>
        </w:rPr>
        <w:t>.</w:t>
      </w:r>
      <w:r w:rsidRPr="006A7157">
        <w:rPr>
          <w:iCs/>
        </w:rPr>
        <w:t xml:space="preserve"> Is mental health </w:t>
      </w:r>
      <w:r w:rsidR="00ED3920">
        <w:rPr>
          <w:iCs/>
        </w:rPr>
        <w:t xml:space="preserve">positively associated with </w:t>
      </w:r>
      <w:r w:rsidRPr="006A7157">
        <w:rPr>
          <w:iCs/>
        </w:rPr>
        <w:t>use of PPE?</w:t>
      </w:r>
      <w:r w:rsidRPr="006A7157">
        <w:rPr>
          <w:b/>
          <w:bCs/>
        </w:rPr>
        <w:t xml:space="preserve">  </w:t>
      </w:r>
    </w:p>
    <w:p w:rsidR="001F7198" w:rsidRPr="0006677D" w:rsidP="00FE1FB3" w14:paraId="51E30929" w14:textId="38875465">
      <w:pPr>
        <w:spacing w:line="240" w:lineRule="auto"/>
        <w:ind w:firstLine="720"/>
      </w:pPr>
      <w:r>
        <w:t xml:space="preserve">The </w:t>
      </w:r>
      <w:r w:rsidRPr="00344EFF">
        <w:t xml:space="preserve">planned use for the data </w:t>
      </w:r>
      <w:r w:rsidRPr="00344EFF" w:rsidR="00B607CA">
        <w:t xml:space="preserve">is to </w:t>
      </w:r>
      <w:r w:rsidRPr="00344EFF" w:rsidR="003B3B9C">
        <w:t xml:space="preserve">conduct analyses to answer the research questions and publish the findings in </w:t>
      </w:r>
      <w:r w:rsidRPr="00344EFF" w:rsidR="00026116">
        <w:t>peer-reviewed publications and informational products distributed by professional organizations</w:t>
      </w:r>
      <w:r w:rsidRPr="00344EFF" w:rsidR="000B76AE">
        <w:t xml:space="preserve"> that</w:t>
      </w:r>
      <w:r w:rsidRPr="00344EFF" w:rsidR="00026116">
        <w:t xml:space="preserve"> will bring awareness of hazards, risks, and injuries to the workers, owners, and managers of organizations who employ ABA workers</w:t>
      </w:r>
      <w:r w:rsidRPr="00344EFF" w:rsidR="000B76AE">
        <w:t>.</w:t>
      </w:r>
    </w:p>
    <w:p w:rsidR="00F653D2" w:rsidP="004133C4" w14:paraId="0D93E6C4" w14:textId="2F5FCE7D">
      <w:pPr>
        <w:spacing w:line="240" w:lineRule="auto"/>
        <w:ind w:firstLine="720"/>
      </w:pPr>
      <w:r w:rsidRPr="00344EFF">
        <w:t>Participation in this data collection is voluntary, and every effort was made to keep the data collection as short as possible and still meet the needs of the data collection.</w:t>
      </w:r>
      <w:r w:rsidRPr="00344EFF" w:rsidR="004133C4">
        <w:t xml:space="preserve"> </w:t>
      </w:r>
      <w:r w:rsidRPr="00344EFF" w:rsidR="00DB0626">
        <w:t xml:space="preserve">As the </w:t>
      </w:r>
      <w:r w:rsidRPr="00344EFF" w:rsidR="006C31DC">
        <w:t>respondents o</w:t>
      </w:r>
      <w:r w:rsidRPr="00344EFF" w:rsidR="00B969D6">
        <w:t xml:space="preserve">f the survey </w:t>
      </w:r>
      <w:r w:rsidRPr="00344EFF" w:rsidR="000F1650">
        <w:t xml:space="preserve">will be </w:t>
      </w:r>
      <w:r w:rsidRPr="00344EFF" w:rsidR="00B969D6">
        <w:t xml:space="preserve">those who voluntarily </w:t>
      </w:r>
      <w:r w:rsidRPr="00344EFF" w:rsidR="00F03C11">
        <w:t>decide</w:t>
      </w:r>
      <w:r w:rsidRPr="00344EFF" w:rsidR="00B969D6">
        <w:t xml:space="preserve"> to </w:t>
      </w:r>
      <w:r w:rsidRPr="00344EFF" w:rsidR="00973C18">
        <w:t xml:space="preserve">complete the survey, </w:t>
      </w:r>
      <w:r w:rsidRPr="00344EFF" w:rsidR="00EF08DC">
        <w:t>there may be a lack of generalizability</w:t>
      </w:r>
      <w:r w:rsidRPr="00344EFF" w:rsidR="007B40E3">
        <w:t xml:space="preserve"> of the results</w:t>
      </w:r>
      <w:r w:rsidR="00EF08DC">
        <w:t xml:space="preserve"> to the entire population.</w:t>
      </w:r>
      <w:r w:rsidR="00DB39D6">
        <w:t xml:space="preserve"> </w:t>
      </w:r>
      <w:r w:rsidR="00CF2839">
        <w:t xml:space="preserve">Those who choose to initiate and complete the survey may differ </w:t>
      </w:r>
      <w:r w:rsidR="007B40E3">
        <w:t xml:space="preserve">from those in the population who decide not to initiate or complete the survey. </w:t>
      </w:r>
    </w:p>
    <w:p w:rsidR="0007797B" w:rsidRPr="00AC2BDA" w:rsidP="006600F4" w14:paraId="09815A78" w14:textId="52E4306D">
      <w:pPr>
        <w:spacing w:line="240" w:lineRule="auto"/>
        <w:rPr>
          <w:rFonts w:cstheme="minorHAnsi"/>
        </w:rPr>
      </w:pPr>
      <w:r w:rsidRPr="00AC2BDA">
        <w:rPr>
          <w:rFonts w:cstheme="minorHAnsi"/>
        </w:rPr>
        <w:t>Data collected for this project will have several positive outcomes and impacts:</w:t>
      </w:r>
    </w:p>
    <w:p w:rsidR="00492600" w:rsidP="00492600" w14:paraId="27340F35" w14:textId="77777777">
      <w:pPr>
        <w:pStyle w:val="ListParagraph"/>
        <w:numPr>
          <w:ilvl w:val="0"/>
          <w:numId w:val="8"/>
        </w:numPr>
        <w:spacing w:line="240" w:lineRule="auto"/>
      </w:pPr>
      <w:r>
        <w:t xml:space="preserve">Existing data describing applied behavior analysis workers’ nonfatal injuries are limited. The proposed study will address this research gap by collecting data on worker injury. </w:t>
      </w:r>
    </w:p>
    <w:p w:rsidR="00492600" w:rsidP="00492600" w14:paraId="13382D03" w14:textId="77777777">
      <w:pPr>
        <w:pStyle w:val="ListParagraph"/>
        <w:numPr>
          <w:ilvl w:val="0"/>
          <w:numId w:val="8"/>
        </w:numPr>
        <w:spacing w:line="240" w:lineRule="auto"/>
      </w:pPr>
      <w:r>
        <w:t>Data dissemination will occur via publications, presentations, fact sheets, and infographics. These methods will target those concerned with applied behavior analysis workers’ safety and health, allowing them to improve and develop targeted interventions. Dissemination will also target applied behavior analysis workers themselves to raise their awareness of hazards and nonfatal injury risks on the job.</w:t>
      </w:r>
    </w:p>
    <w:p w:rsidR="00B74637" w:rsidP="00AA664B" w14:paraId="019DB7EB" w14:textId="3642D990">
      <w:pPr>
        <w:pStyle w:val="ListParagraph"/>
        <w:numPr>
          <w:ilvl w:val="0"/>
          <w:numId w:val="8"/>
        </w:numPr>
        <w:spacing w:line="240" w:lineRule="auto"/>
      </w:pPr>
      <w:r>
        <w:t xml:space="preserve">Applied behavior analysis workers </w:t>
      </w:r>
      <w:r w:rsidR="00D15E8B">
        <w:t>provide valuable services to individuals in their communities</w:t>
      </w:r>
      <w:r w:rsidR="004C7960">
        <w:t xml:space="preserve"> by </w:t>
      </w:r>
      <w:r w:rsidR="006B7966">
        <w:t>improving the lives of individuals with disabilities</w:t>
      </w:r>
      <w:r w:rsidR="006420FB">
        <w:t xml:space="preserve">, and </w:t>
      </w:r>
      <w:r w:rsidR="005E109B">
        <w:t xml:space="preserve">improving their health and safety not only contributes to their well-being but also to the well-being of the larger community. </w:t>
      </w:r>
    </w:p>
    <w:p w:rsidR="003C6D64" w:rsidP="003C6D64" w14:paraId="5F8F40E2" w14:textId="3D63D233">
      <w:pPr>
        <w:spacing w:line="240" w:lineRule="auto"/>
      </w:pPr>
      <w:r>
        <w:t>T</w:t>
      </w:r>
      <w:r w:rsidRPr="000E2B9E">
        <w:t xml:space="preserve">here are at least two negative consequences </w:t>
      </w:r>
      <w:r w:rsidR="00492600">
        <w:t>of</w:t>
      </w:r>
      <w:r w:rsidRPr="000E2B9E" w:rsidR="00492600">
        <w:t xml:space="preserve"> </w:t>
      </w:r>
      <w:r w:rsidRPr="000E2B9E">
        <w:t>not collecting and disseminating these data:</w:t>
      </w:r>
    </w:p>
    <w:p w:rsidR="00E24FC6" w:rsidP="00AC2BDA" w14:paraId="3FA629C8" w14:textId="533A8A35">
      <w:pPr>
        <w:pStyle w:val="ListParagraph"/>
        <w:numPr>
          <w:ilvl w:val="0"/>
          <w:numId w:val="13"/>
        </w:numPr>
        <w:spacing w:line="240" w:lineRule="auto"/>
      </w:pPr>
      <w:r>
        <w:t xml:space="preserve">Interventions to reduce applied behavior analysis workers’ injuries and improve their well-being </w:t>
      </w:r>
      <w:r w:rsidR="000D1618">
        <w:t xml:space="preserve">would </w:t>
      </w:r>
      <w:r>
        <w:t xml:space="preserve">lack the injury and psychosocial health data to be effectively targeted. </w:t>
      </w:r>
    </w:p>
    <w:p w:rsidR="00E24FC6" w:rsidP="00AC2BDA" w14:paraId="4F679828" w14:textId="6431470E">
      <w:pPr>
        <w:pStyle w:val="ListParagraph"/>
        <w:numPr>
          <w:ilvl w:val="0"/>
          <w:numId w:val="13"/>
        </w:numPr>
        <w:spacing w:line="240" w:lineRule="auto"/>
      </w:pPr>
      <w:r>
        <w:t xml:space="preserve">Being unable to use data to develop targeted interventions could result in minimal to no reduction in applied behavior analysis workers’ injuries. </w:t>
      </w:r>
    </w:p>
    <w:p w:rsidR="00AF1AC4" w:rsidRPr="00994E20" w:rsidP="00BB2501" w14:paraId="3C2EDA75" w14:textId="323E10DC">
      <w:pPr>
        <w:pStyle w:val="Heading1"/>
        <w:numPr>
          <w:ilvl w:val="0"/>
          <w:numId w:val="6"/>
        </w:numPr>
        <w:rPr>
          <w:b/>
          <w:bCs/>
          <w:color w:val="auto"/>
          <w:sz w:val="24"/>
          <w:szCs w:val="24"/>
        </w:rPr>
      </w:pPr>
      <w:bookmarkStart w:id="6" w:name="_Toc49415626"/>
      <w:r w:rsidRPr="00994E20">
        <w:rPr>
          <w:b/>
          <w:bCs/>
          <w:color w:val="auto"/>
          <w:sz w:val="24"/>
          <w:szCs w:val="24"/>
        </w:rPr>
        <w:t>Use of Improved Information Technology and Burden Reduction</w:t>
      </w:r>
      <w:bookmarkEnd w:id="6"/>
    </w:p>
    <w:p w:rsidR="00B1384B" w:rsidP="00FE1FB3" w14:paraId="0102297A" w14:textId="00828A7F">
      <w:pPr>
        <w:spacing w:line="240" w:lineRule="auto"/>
      </w:pPr>
      <w:r>
        <w:t xml:space="preserve">This information collection request involves the use of </w:t>
      </w:r>
      <w:r w:rsidR="006C0966">
        <w:t xml:space="preserve">electronic data collection for all </w:t>
      </w:r>
      <w:r w:rsidR="00AA18A4">
        <w:t>respondent</w:t>
      </w:r>
      <w:r w:rsidR="006C0966">
        <w:t xml:space="preserve">s. </w:t>
      </w:r>
      <w:r w:rsidR="00AA18A4">
        <w:t>Respondent</w:t>
      </w:r>
      <w:r w:rsidR="006B200D">
        <w:t xml:space="preserve">s will </w:t>
      </w:r>
      <w:r w:rsidR="006E7F09">
        <w:t xml:space="preserve">receive </w:t>
      </w:r>
      <w:r w:rsidRPr="00344EFF" w:rsidR="006E7F09">
        <w:t>an</w:t>
      </w:r>
      <w:r w:rsidRPr="00344EFF" w:rsidR="006B200D">
        <w:t xml:space="preserve"> email</w:t>
      </w:r>
      <w:r w:rsidRPr="00344EFF" w:rsidR="006E7F09">
        <w:t xml:space="preserve"> (Attachment D) with</w:t>
      </w:r>
      <w:r w:rsidRPr="00344EFF" w:rsidR="006B200D">
        <w:t xml:space="preserve"> a link to the survey</w:t>
      </w:r>
      <w:r w:rsidRPr="00344EFF" w:rsidR="006E7F09">
        <w:t xml:space="preserve"> (Attachment C), </w:t>
      </w:r>
      <w:r w:rsidRPr="00344EFF" w:rsidR="006B200D">
        <w:t>and they will be able to complete the survey on their computer, tablet, or smartphone.</w:t>
      </w:r>
      <w:r w:rsidR="006B200D">
        <w:t xml:space="preserve"> Respondents will be able access and respond to data collection requests at a time and place that is convenient to them, eliminating the need to travel for survey administration.</w:t>
      </w:r>
      <w:r w:rsidR="00D953EA">
        <w:t xml:space="preserve"> </w:t>
      </w:r>
      <w:r w:rsidR="00DF0F41">
        <w:t>Additionally, c</w:t>
      </w:r>
      <w:r w:rsidR="00D953EA">
        <w:t xml:space="preserve">omputer-generated skip patterns within the survey will </w:t>
      </w:r>
      <w:r w:rsidR="009A74F9">
        <w:t xml:space="preserve">minimize the length of the survey and </w:t>
      </w:r>
      <w:r w:rsidR="00DF0F41">
        <w:t>reduce</w:t>
      </w:r>
      <w:r w:rsidR="00D953EA">
        <w:t xml:space="preserve"> burden to participants. </w:t>
      </w:r>
    </w:p>
    <w:p w:rsidR="00E51932" w:rsidP="00FE1FB3" w14:paraId="5C61AB16" w14:textId="0B738EAE">
      <w:pPr>
        <w:spacing w:line="240" w:lineRule="auto"/>
      </w:pPr>
      <w:r w:rsidRPr="00A4355C">
        <w:t>In addition, technological advances will be used to help provide higher quality data. These methods include</w:t>
      </w:r>
      <w:r>
        <w:t>:</w:t>
      </w:r>
    </w:p>
    <w:p w:rsidR="00DC209E" w:rsidRPr="00B71FE7" w:rsidP="00B71FE7" w14:paraId="3B44C5C9" w14:textId="44D54B5A">
      <w:pPr>
        <w:pStyle w:val="ListParagraph"/>
        <w:numPr>
          <w:ilvl w:val="0"/>
          <w:numId w:val="10"/>
        </w:numPr>
        <w:spacing w:line="252" w:lineRule="auto"/>
        <w:rPr>
          <w:rFonts w:eastAsia="Times New Roman" w:cstheme="minorHAnsi"/>
        </w:rPr>
      </w:pPr>
      <w:r w:rsidRPr="006A2E01">
        <w:rPr>
          <w:rFonts w:eastAsia="Times New Roman" w:cstheme="minorHAnsi"/>
          <w:b/>
          <w:bCs/>
        </w:rPr>
        <w:t>Data Review</w:t>
      </w:r>
      <w:r w:rsidRPr="006A2E01">
        <w:rPr>
          <w:rFonts w:eastAsia="Times New Roman" w:cstheme="minorHAnsi"/>
        </w:rPr>
        <w:t xml:space="preserve">: </w:t>
      </w:r>
      <w:r w:rsidR="00437A56">
        <w:rPr>
          <w:rFonts w:eastAsia="Times New Roman" w:cstheme="minorHAnsi"/>
        </w:rPr>
        <w:t>The researchers</w:t>
      </w:r>
      <w:r w:rsidRPr="006A2E01">
        <w:rPr>
          <w:rFonts w:eastAsia="Times New Roman" w:cstheme="minorHAnsi"/>
        </w:rPr>
        <w:t xml:space="preserve"> will conduct data quality review</w:t>
      </w:r>
      <w:r w:rsidR="00DE783A">
        <w:rPr>
          <w:rFonts w:eastAsia="Times New Roman" w:cstheme="minorHAnsi"/>
        </w:rPr>
        <w:t>s</w:t>
      </w:r>
      <w:r w:rsidRPr="006A2E01">
        <w:rPr>
          <w:rFonts w:eastAsia="Times New Roman" w:cstheme="minorHAnsi"/>
        </w:rPr>
        <w:t xml:space="preserve"> </w:t>
      </w:r>
      <w:r w:rsidR="00DE783A">
        <w:rPr>
          <w:rFonts w:eastAsia="Times New Roman" w:cstheme="minorHAnsi"/>
        </w:rPr>
        <w:t xml:space="preserve">periodically </w:t>
      </w:r>
      <w:r w:rsidRPr="006A2E01">
        <w:rPr>
          <w:rFonts w:eastAsia="Times New Roman" w:cstheme="minorHAnsi"/>
        </w:rPr>
        <w:t>to evaluate</w:t>
      </w:r>
      <w:r w:rsidR="000D1618">
        <w:rPr>
          <w:rFonts w:eastAsia="Times New Roman" w:cstheme="minorHAnsi"/>
        </w:rPr>
        <w:t xml:space="preserve"> whether </w:t>
      </w:r>
      <w:r w:rsidR="00DE783A">
        <w:rPr>
          <w:rFonts w:eastAsia="Times New Roman" w:cstheme="minorHAnsi"/>
        </w:rPr>
        <w:t>respondents</w:t>
      </w:r>
      <w:r w:rsidRPr="006A2E01" w:rsidR="00DE783A">
        <w:rPr>
          <w:rFonts w:eastAsia="Times New Roman" w:cstheme="minorHAnsi"/>
        </w:rPr>
        <w:t xml:space="preserve"> </w:t>
      </w:r>
      <w:r w:rsidR="000D1618">
        <w:rPr>
          <w:rFonts w:eastAsia="Times New Roman" w:cstheme="minorHAnsi"/>
        </w:rPr>
        <w:t xml:space="preserve">have </w:t>
      </w:r>
      <w:r w:rsidRPr="006A2E01">
        <w:rPr>
          <w:rFonts w:eastAsia="Times New Roman" w:cstheme="minorHAnsi"/>
        </w:rPr>
        <w:t>report</w:t>
      </w:r>
      <w:r w:rsidR="000D1618">
        <w:rPr>
          <w:rFonts w:eastAsia="Times New Roman" w:cstheme="minorHAnsi"/>
        </w:rPr>
        <w:t>ed</w:t>
      </w:r>
      <w:r w:rsidRPr="006A2E01">
        <w:rPr>
          <w:rFonts w:eastAsia="Times New Roman" w:cstheme="minorHAnsi"/>
        </w:rPr>
        <w:t xml:space="preserve"> inconsistent or straight-line responses. These respondents will be coded with an ‘Invalid’ disposition in the final dataset and their data excluded from analysis.</w:t>
      </w:r>
    </w:p>
    <w:p w:rsidR="00A4355C" w:rsidP="00DC209E" w14:paraId="6FFC4C84" w14:textId="184B32D5">
      <w:pPr>
        <w:pStyle w:val="ListParagraph"/>
        <w:numPr>
          <w:ilvl w:val="0"/>
          <w:numId w:val="10"/>
        </w:numPr>
        <w:spacing w:line="240" w:lineRule="auto"/>
      </w:pPr>
      <w:r w:rsidRPr="006A2E01">
        <w:rPr>
          <w:b/>
          <w:bCs/>
        </w:rPr>
        <w:t>Incomplete Survey Analysis</w:t>
      </w:r>
      <w:r>
        <w:t xml:space="preserve">: </w:t>
      </w:r>
      <w:r w:rsidR="00DC209E">
        <w:t>Incomplete surveys will be analyzed to</w:t>
      </w:r>
      <w:r>
        <w:t xml:space="preserve"> </w:t>
      </w:r>
      <w:r w:rsidR="00DE783A">
        <w:t xml:space="preserve">identify </w:t>
      </w:r>
      <w:r>
        <w:t>common breakoff points</w:t>
      </w:r>
      <w:r w:rsidR="00DE783A">
        <w:t>. This information will help</w:t>
      </w:r>
      <w:r w:rsidR="00DC209E">
        <w:t xml:space="preserve"> identify factors or methods</w:t>
      </w:r>
      <w:r w:rsidR="00DE783A">
        <w:t>,</w:t>
      </w:r>
      <w:r w:rsidR="00DC209E">
        <w:t xml:space="preserve"> </w:t>
      </w:r>
      <w:r w:rsidR="00DE783A">
        <w:t xml:space="preserve">including perhaps the use of incentives or other strategies, </w:t>
      </w:r>
      <w:r w:rsidR="00DC209E">
        <w:t xml:space="preserve">that can improve </w:t>
      </w:r>
      <w:r w:rsidR="00AA18A4">
        <w:t xml:space="preserve">participation </w:t>
      </w:r>
      <w:r w:rsidR="00DC209E">
        <w:t>in any future version of the survey.</w:t>
      </w:r>
    </w:p>
    <w:p w:rsidR="003913FB" w:rsidP="00DC209E" w14:paraId="18D23742" w14:textId="320DD815">
      <w:pPr>
        <w:pStyle w:val="ListParagraph"/>
        <w:numPr>
          <w:ilvl w:val="0"/>
          <w:numId w:val="10"/>
        </w:numPr>
        <w:spacing w:line="240" w:lineRule="auto"/>
      </w:pPr>
      <w:r>
        <w:rPr>
          <w:b/>
          <w:bCs/>
        </w:rPr>
        <w:t>Opt Out Analysis</w:t>
      </w:r>
      <w:r w:rsidRPr="003913FB">
        <w:t>:</w:t>
      </w:r>
      <w:r>
        <w:t xml:space="preserve"> </w:t>
      </w:r>
      <w:r w:rsidR="00325145">
        <w:t xml:space="preserve">Respondents will be given an option at the end of the </w:t>
      </w:r>
      <w:r w:rsidR="00674B83">
        <w:t>survey instruction page to proceed with the survey or opt out. If they decide to opt out, they will be</w:t>
      </w:r>
      <w:r w:rsidR="00DE783A">
        <w:t xml:space="preserve"> ask</w:t>
      </w:r>
      <w:r w:rsidR="000D1618">
        <w:t>ed</w:t>
      </w:r>
      <w:r w:rsidR="00DE783A">
        <w:t xml:space="preserve"> </w:t>
      </w:r>
      <w:r w:rsidR="000D1618">
        <w:t xml:space="preserve">to </w:t>
      </w:r>
      <w:r w:rsidR="00DE783A">
        <w:t xml:space="preserve">indicate </w:t>
      </w:r>
      <w:r w:rsidR="0069421D">
        <w:t xml:space="preserve">a reason for opting out from </w:t>
      </w:r>
      <w:r w:rsidR="00674B83">
        <w:t xml:space="preserve">a list of </w:t>
      </w:r>
      <w:r w:rsidR="0069421D">
        <w:t xml:space="preserve">various </w:t>
      </w:r>
      <w:r w:rsidR="00674B83">
        <w:t>reasons</w:t>
      </w:r>
      <w:r w:rsidR="000D1618">
        <w:t xml:space="preserve">. This </w:t>
      </w:r>
      <w:r w:rsidR="00BD7C7D">
        <w:t xml:space="preserve">information </w:t>
      </w:r>
      <w:r w:rsidR="0069421D">
        <w:t>might improve recruitment of respondents in</w:t>
      </w:r>
      <w:r w:rsidR="00AA18A4">
        <w:t xml:space="preserve"> </w:t>
      </w:r>
      <w:r w:rsidR="0069421D">
        <w:t>future research studies</w:t>
      </w:r>
      <w:r w:rsidR="00BD7C7D">
        <w:t>.</w:t>
      </w:r>
    </w:p>
    <w:p w:rsidR="00AF1AC4" w:rsidRPr="00994E20" w:rsidP="00DC209E" w14:paraId="183B3DBE" w14:textId="1DE9CDBB">
      <w:pPr>
        <w:pStyle w:val="Heading1"/>
        <w:numPr>
          <w:ilvl w:val="0"/>
          <w:numId w:val="6"/>
        </w:numPr>
        <w:rPr>
          <w:b/>
          <w:bCs/>
          <w:color w:val="auto"/>
          <w:sz w:val="24"/>
          <w:szCs w:val="24"/>
        </w:rPr>
      </w:pPr>
      <w:bookmarkStart w:id="7" w:name="_Toc49415627"/>
      <w:r w:rsidRPr="00994E20">
        <w:rPr>
          <w:b/>
          <w:bCs/>
          <w:color w:val="auto"/>
          <w:sz w:val="24"/>
          <w:szCs w:val="24"/>
        </w:rPr>
        <w:t>Efforts to Identify Duplication and Use of Similar Information</w:t>
      </w:r>
      <w:bookmarkEnd w:id="7"/>
    </w:p>
    <w:p w:rsidR="00874D56" w:rsidP="00AA3283" w14:paraId="165E6AA4" w14:textId="7AA6A4B7">
      <w:pPr>
        <w:spacing w:line="240" w:lineRule="auto"/>
        <w:ind w:firstLine="360"/>
      </w:pPr>
      <w:r>
        <w:t xml:space="preserve">There currently is no standard occupational classification (SOC) code for applied behavior analysis workers. Therefore, injury </w:t>
      </w:r>
      <w:r w:rsidR="008C1472">
        <w:t xml:space="preserve">data </w:t>
      </w:r>
      <w:r>
        <w:t xml:space="preserve">for this unique population of </w:t>
      </w:r>
      <w:r w:rsidR="008C1472">
        <w:t xml:space="preserve">workers </w:t>
      </w:r>
      <w:r>
        <w:t>do not exist</w:t>
      </w:r>
      <w:r w:rsidR="00870D02">
        <w:t xml:space="preserve">. </w:t>
      </w:r>
      <w:r w:rsidR="002E744A">
        <w:t>Although many of the</w:t>
      </w:r>
      <w:r w:rsidR="00AA18A4">
        <w:t xml:space="preserve"> </w:t>
      </w:r>
      <w:r w:rsidR="002E744A">
        <w:t xml:space="preserve">job duties </w:t>
      </w:r>
      <w:r>
        <w:t xml:space="preserve">of applied behavior analysis workers </w:t>
      </w:r>
      <w:r w:rsidR="002E744A">
        <w:t xml:space="preserve">are distinct from </w:t>
      </w:r>
      <w:r>
        <w:t xml:space="preserve">other professions such as </w:t>
      </w:r>
      <w:r w:rsidR="009D653B">
        <w:t xml:space="preserve">special education teachers or school counselors, </w:t>
      </w:r>
      <w:r>
        <w:t>any injuries experienced by applied behavior analysis workers</w:t>
      </w:r>
      <w:r w:rsidR="00AA18A4">
        <w:t xml:space="preserve"> </w:t>
      </w:r>
      <w:r w:rsidR="009314A2">
        <w:t>are currently</w:t>
      </w:r>
      <w:r w:rsidR="00262D51">
        <w:t xml:space="preserve"> </w:t>
      </w:r>
      <w:r w:rsidR="00785152">
        <w:t xml:space="preserve">coded </w:t>
      </w:r>
      <w:r w:rsidR="00562098">
        <w:t>under these other professions.</w:t>
      </w:r>
      <w:r w:rsidR="00AB31A3">
        <w:t xml:space="preserve"> The lack of a</w:t>
      </w:r>
      <w:r w:rsidR="00AA18A4">
        <w:t xml:space="preserve"> </w:t>
      </w:r>
      <w:r>
        <w:t>unique</w:t>
      </w:r>
      <w:r w:rsidR="00AB31A3">
        <w:t xml:space="preserve"> SOC code means that the </w:t>
      </w:r>
      <w:r w:rsidR="00796033">
        <w:t xml:space="preserve">injury statistics for this group of workers are </w:t>
      </w:r>
      <w:r>
        <w:t>diluted</w:t>
      </w:r>
      <w:r w:rsidR="00796033">
        <w:t xml:space="preserve"> among the </w:t>
      </w:r>
      <w:r>
        <w:t xml:space="preserve">various </w:t>
      </w:r>
      <w:r w:rsidR="00796033">
        <w:t>SOC codes to which they are assigned</w:t>
      </w:r>
      <w:r>
        <w:t>,</w:t>
      </w:r>
      <w:r w:rsidR="00796033">
        <w:t xml:space="preserve"> and </w:t>
      </w:r>
      <w:r>
        <w:t xml:space="preserve">these statistics </w:t>
      </w:r>
      <w:r w:rsidR="00796033">
        <w:t xml:space="preserve">cannot be isolated </w:t>
      </w:r>
      <w:r>
        <w:t xml:space="preserve">from </w:t>
      </w:r>
      <w:r w:rsidR="00796033">
        <w:t xml:space="preserve">the existing data. </w:t>
      </w:r>
      <w:r w:rsidR="00C56637">
        <w:t>Although existing professions within the SOC system</w:t>
      </w:r>
      <w:r w:rsidR="0091462C">
        <w:t>, such as psychiatric nurse,</w:t>
      </w:r>
      <w:r w:rsidR="00C56637">
        <w:t xml:space="preserve"> can </w:t>
      </w:r>
      <w:r>
        <w:t xml:space="preserve">provide </w:t>
      </w:r>
      <w:r w:rsidR="00C56637">
        <w:t xml:space="preserve">some </w:t>
      </w:r>
      <w:r>
        <w:t xml:space="preserve">gross estimates </w:t>
      </w:r>
      <w:r w:rsidR="00C56637">
        <w:t xml:space="preserve">for what the </w:t>
      </w:r>
      <w:r w:rsidR="0091462C">
        <w:t xml:space="preserve">injury statistics </w:t>
      </w:r>
      <w:r>
        <w:t xml:space="preserve">might </w:t>
      </w:r>
      <w:r w:rsidR="0091462C">
        <w:t xml:space="preserve">be for applied behavior analysis workers, </w:t>
      </w:r>
      <w:r w:rsidR="009E10ED">
        <w:t xml:space="preserve">fundamental differences in </w:t>
      </w:r>
      <w:r w:rsidR="004051F3">
        <w:t xml:space="preserve">job </w:t>
      </w:r>
      <w:r w:rsidR="009E10ED">
        <w:t>settings and duties</w:t>
      </w:r>
      <w:r>
        <w:t xml:space="preserve"> </w:t>
      </w:r>
      <w:r w:rsidR="004051F3">
        <w:t>are likely to lead to appreciable errors in these estimations</w:t>
      </w:r>
      <w:r w:rsidR="009E10ED">
        <w:t xml:space="preserve">. For example, psychiatric nurses primarily work in hospitals and </w:t>
      </w:r>
      <w:r w:rsidR="006C6266">
        <w:t>nursing homes, but applied behavior analysis workers often work</w:t>
      </w:r>
      <w:r w:rsidR="00AA18A4">
        <w:t xml:space="preserve"> </w:t>
      </w:r>
      <w:r w:rsidR="004051F3">
        <w:t xml:space="preserve">in </w:t>
      </w:r>
      <w:r w:rsidR="006C6266">
        <w:t>clients’ homes</w:t>
      </w:r>
      <w:r w:rsidR="002E744E">
        <w:t>.</w:t>
      </w:r>
      <w:r w:rsidR="00AA3283">
        <w:t xml:space="preserve"> </w:t>
      </w:r>
      <w:r w:rsidR="00AA18A4">
        <w:t>Psychiatric nurses typically have coworkers who can assist with more violent patients, but applied behavior analysis workers are often working alone and do no</w:t>
      </w:r>
      <w:r w:rsidRPr="00AA18A4" w:rsidR="00AA18A4">
        <w:t>t</w:t>
      </w:r>
      <w:r w:rsidR="00AA18A4">
        <w:t xml:space="preserve"> have anyone to assist them.</w:t>
      </w:r>
      <w:r w:rsidR="00BB27C5">
        <w:t xml:space="preserve"> </w:t>
      </w:r>
      <w:r w:rsidR="00AA3283">
        <w:t>Therefore, i</w:t>
      </w:r>
      <w:r>
        <w:t xml:space="preserve">nferences can be drawn from the existing </w:t>
      </w:r>
      <w:r w:rsidR="00CD736E">
        <w:t>data</w:t>
      </w:r>
      <w:r>
        <w:t xml:space="preserve"> to </w:t>
      </w:r>
      <w:r w:rsidR="00CD736E">
        <w:t xml:space="preserve">hypothesize what the injury rates may be </w:t>
      </w:r>
      <w:r w:rsidR="00075B45">
        <w:t xml:space="preserve">among applied behavior analysis workers </w:t>
      </w:r>
      <w:r w:rsidR="00CD736E">
        <w:t>by examining similar professions, but because some of the job duties of applied behavior analysis workers are distinct from other types of workers, this is an imperfect approach.</w:t>
      </w:r>
    </w:p>
    <w:p w:rsidR="00E33DFC" w:rsidP="00FE1FB3" w14:paraId="1E712C54" w14:textId="45B88679">
      <w:pPr>
        <w:spacing w:line="240" w:lineRule="auto"/>
        <w:ind w:firstLine="360"/>
      </w:pPr>
      <w:r>
        <w:t>To determine that this project did not duplicate any previous studies, we</w:t>
      </w:r>
      <w:r w:rsidRPr="00E33DFC">
        <w:t xml:space="preserve">: 1) </w:t>
      </w:r>
      <w:r w:rsidRPr="00E33DFC">
        <w:t>attend</w:t>
      </w:r>
      <w:r>
        <w:t>ed</w:t>
      </w:r>
      <w:r w:rsidRPr="00E33DFC">
        <w:t xml:space="preserve"> </w:t>
      </w:r>
      <w:r w:rsidRPr="00E33DFC">
        <w:t>behavioral science conferences, such as the</w:t>
      </w:r>
      <w:r w:rsidR="00446F8C">
        <w:t xml:space="preserve"> A</w:t>
      </w:r>
      <w:r w:rsidR="00D9481E">
        <w:t>ssociation for Behavior Analysis International Annual Convention</w:t>
      </w:r>
      <w:r w:rsidRPr="00E33DFC">
        <w:t xml:space="preserve"> and the </w:t>
      </w:r>
      <w:r w:rsidR="00C51EBE">
        <w:t>Behavioral Safety Now</w:t>
      </w:r>
      <w:r w:rsidRPr="00E33DFC">
        <w:t xml:space="preserve"> annual meeting, to survey the latest research being conducted in </w:t>
      </w:r>
      <w:r w:rsidR="00446F8C">
        <w:t>applied behavior analysis worker health and safety</w:t>
      </w:r>
      <w:r w:rsidRPr="00E33DFC">
        <w:t xml:space="preserve">, 2) </w:t>
      </w:r>
      <w:r w:rsidRPr="00E33DFC">
        <w:t>conduct</w:t>
      </w:r>
      <w:r>
        <w:t>ed</w:t>
      </w:r>
      <w:r w:rsidRPr="00E33DFC">
        <w:t xml:space="preserve"> </w:t>
      </w:r>
      <w:r w:rsidRPr="00E33DFC">
        <w:t xml:space="preserve">an informal literature review of survey-based research in </w:t>
      </w:r>
      <w:r>
        <w:t>occupational safety and health related to applied behavior analysis workers</w:t>
      </w:r>
      <w:r w:rsidRPr="00E33DFC">
        <w:t>, 3) review</w:t>
      </w:r>
      <w:r>
        <w:t>ed</w:t>
      </w:r>
      <w:r w:rsidRPr="00E33DFC">
        <w:t xml:space="preserve"> recently issued grants, cooperative agreements, and contracts </w:t>
      </w:r>
      <w:r>
        <w:t>by NIOSH and CDC for</w:t>
      </w:r>
      <w:r w:rsidRPr="00E33DFC">
        <w:t xml:space="preserve"> overlapping content, and 4) </w:t>
      </w:r>
      <w:r>
        <w:t>consulted</w:t>
      </w:r>
      <w:r w:rsidRPr="00E33DFC">
        <w:t xml:space="preserve"> </w:t>
      </w:r>
      <w:r w:rsidRPr="00E33DFC">
        <w:t xml:space="preserve">with other researchers and experts who conduct </w:t>
      </w:r>
      <w:r w:rsidRPr="00E33DFC" w:rsidR="00BB27C5">
        <w:t>survey</w:t>
      </w:r>
      <w:r w:rsidR="00BB27C5">
        <w:t>-</w:t>
      </w:r>
      <w:r w:rsidRPr="00E33DFC">
        <w:t>based research</w:t>
      </w:r>
      <w:r>
        <w:t xml:space="preserve"> on healthcare providers</w:t>
      </w:r>
      <w:r w:rsidRPr="00E33DFC">
        <w:t>.</w:t>
      </w:r>
    </w:p>
    <w:p w:rsidR="008562CA" w:rsidP="00FE1FB3" w14:paraId="3D84EF68" w14:textId="7A2F32D6">
      <w:pPr>
        <w:spacing w:line="240" w:lineRule="auto"/>
        <w:ind w:firstLine="360"/>
      </w:pPr>
      <w:r>
        <w:t xml:space="preserve">To identify whether data on injuries and psychosocial stress already existed in the literature, we conducted </w:t>
      </w:r>
      <w:r w:rsidR="00114B8A">
        <w:t>searches with Scopus and Google Scholar</w:t>
      </w:r>
      <w:r w:rsidR="00C13B53">
        <w:t xml:space="preserve"> and did not identify </w:t>
      </w:r>
      <w:r w:rsidR="000954AC">
        <w:t xml:space="preserve">any </w:t>
      </w:r>
      <w:r w:rsidR="00C13B53">
        <w:t xml:space="preserve">studies that </w:t>
      </w:r>
      <w:r w:rsidR="006F0B25">
        <w:t xml:space="preserve">surveyed board certified behavior analysts, board certified assistant behavior analysts, or registered behavior technicians about their injuries. </w:t>
      </w:r>
      <w:r w:rsidR="00114B8A">
        <w:t xml:space="preserve"> </w:t>
      </w:r>
      <w:r w:rsidR="000954AC">
        <w:t xml:space="preserve">In terms of psychosocial stress and burnout, </w:t>
      </w:r>
      <w:r w:rsidR="00055491">
        <w:t>several studies have</w:t>
      </w:r>
      <w:r w:rsidR="000954AC">
        <w:t xml:space="preserve"> evaluated </w:t>
      </w:r>
      <w:r w:rsidR="002A504D">
        <w:t xml:space="preserve">these topics with </w:t>
      </w:r>
      <w:r w:rsidR="00055491">
        <w:t>applied behavior analysis workers</w:t>
      </w:r>
      <w:r w:rsidR="002A504D">
        <w:t xml:space="preserve">. </w:t>
      </w:r>
      <w:r w:rsidR="00055491">
        <w:t xml:space="preserve">Novack and Dixon (2019) conducted a literature review </w:t>
      </w:r>
      <w:r w:rsidR="00F15C75">
        <w:t xml:space="preserve">on </w:t>
      </w:r>
      <w:r w:rsidR="007805ED">
        <w:t>burnout, job satisfacti</w:t>
      </w:r>
      <w:r w:rsidR="00020BCB">
        <w:t xml:space="preserve">on, and turnover </w:t>
      </w:r>
      <w:r w:rsidR="00EA788B">
        <w:t>and identified</w:t>
      </w:r>
      <w:r w:rsidR="00917943">
        <w:t xml:space="preserve"> five studies</w:t>
      </w:r>
      <w:r w:rsidR="00256062">
        <w:t>:</w:t>
      </w:r>
    </w:p>
    <w:p w:rsidR="003A30DE" w:rsidP="00FE1FB3" w14:paraId="03E43008" w14:textId="44A4F11B">
      <w:pPr>
        <w:pStyle w:val="ListParagraph"/>
        <w:numPr>
          <w:ilvl w:val="0"/>
          <w:numId w:val="4"/>
        </w:numPr>
        <w:spacing w:line="240" w:lineRule="auto"/>
      </w:pPr>
      <w:r>
        <w:t xml:space="preserve">Gibson, J. A., Grey, I. M., &amp; Hastings, R. P. (2009). Supervisor support as a predictor of burnout and therapeutic self-efficacy in therapists working in ABA schools. </w:t>
      </w:r>
      <w:r w:rsidRPr="00BE6DED">
        <w:rPr>
          <w:i/>
          <w:iCs/>
        </w:rPr>
        <w:t xml:space="preserve">Journal of Autism and Developmental Disorders, 39, </w:t>
      </w:r>
      <w:r>
        <w:t>1024-1030.</w:t>
      </w:r>
    </w:p>
    <w:p w:rsidR="003A30DE" w:rsidRPr="003A30DE" w:rsidP="00FE1FB3" w14:paraId="06C27426" w14:textId="1D886579">
      <w:pPr>
        <w:pStyle w:val="ListParagraph"/>
        <w:numPr>
          <w:ilvl w:val="0"/>
          <w:numId w:val="4"/>
        </w:numPr>
        <w:spacing w:line="240" w:lineRule="auto"/>
      </w:pPr>
      <w:r>
        <w:t xml:space="preserve">Griffith, G. M., Barbakou, A., Hastings, R. P. (2014). Coping as a predictor of burnout and general health in therapists working in ABA schools. </w:t>
      </w:r>
      <w:r w:rsidRPr="00BE6DED">
        <w:rPr>
          <w:i/>
          <w:iCs/>
        </w:rPr>
        <w:t xml:space="preserve">European Journal of Special Needs Education, 29, </w:t>
      </w:r>
      <w:r>
        <w:t>548-558.</w:t>
      </w:r>
    </w:p>
    <w:p w:rsidR="00865E7F" w:rsidP="00FE1FB3" w14:paraId="0A3843F2" w14:textId="689A560D">
      <w:pPr>
        <w:pStyle w:val="ListParagraph"/>
        <w:numPr>
          <w:ilvl w:val="0"/>
          <w:numId w:val="4"/>
        </w:numPr>
        <w:spacing w:line="240" w:lineRule="auto"/>
      </w:pPr>
      <w:r>
        <w:t>Hurt, A. A., Lann Grist, C., Malesky Jr., L. A.,</w:t>
      </w:r>
      <w:r w:rsidR="00A6241B">
        <w:t xml:space="preserve"> &amp;</w:t>
      </w:r>
      <w:r>
        <w:t xml:space="preserve"> </w:t>
      </w:r>
      <w:r w:rsidR="00197B2E">
        <w:t>McCord, D. M. (2013). Personality traits associated with occupational ‘burnout’ in ABA therapists</w:t>
      </w:r>
      <w:r w:rsidR="008603A2">
        <w:t xml:space="preserve">. </w:t>
      </w:r>
      <w:r w:rsidRPr="00BE6DED" w:rsidR="008603A2">
        <w:rPr>
          <w:i/>
          <w:iCs/>
        </w:rPr>
        <w:t xml:space="preserve">Journal of Applied Research in Intellectual Disabilities, 26, </w:t>
      </w:r>
      <w:r w:rsidR="008603A2">
        <w:t>299-308.</w:t>
      </w:r>
    </w:p>
    <w:p w:rsidR="00E44FAF" w:rsidP="00FE1FB3" w14:paraId="62AEB594" w14:textId="1D3AFC23">
      <w:pPr>
        <w:pStyle w:val="ListParagraph"/>
        <w:numPr>
          <w:ilvl w:val="0"/>
          <w:numId w:val="4"/>
        </w:numPr>
        <w:spacing w:line="240" w:lineRule="auto"/>
      </w:pPr>
      <w:r>
        <w:t xml:space="preserve">Kazemi, E., Shapiro, M., &amp; Kavner, A. (2015). Predictors of intention to turnover in </w:t>
      </w:r>
      <w:r w:rsidR="001E6DC6">
        <w:t xml:space="preserve">behavior technicians working with individuals with autism spectrum disorder. </w:t>
      </w:r>
      <w:r w:rsidRPr="00BE6DED" w:rsidR="001E6DC6">
        <w:rPr>
          <w:i/>
          <w:iCs/>
        </w:rPr>
        <w:t xml:space="preserve">Research in Autism Spectrum Disorder, 17, </w:t>
      </w:r>
      <w:r w:rsidR="001E6DC6">
        <w:t>106-115.</w:t>
      </w:r>
    </w:p>
    <w:p w:rsidR="00A45309" w:rsidP="00FE1FB3" w14:paraId="7AE79E1B" w14:textId="3542BDA3">
      <w:pPr>
        <w:pStyle w:val="ListParagraph"/>
        <w:numPr>
          <w:ilvl w:val="0"/>
          <w:numId w:val="4"/>
        </w:numPr>
        <w:spacing w:line="240" w:lineRule="auto"/>
      </w:pPr>
      <w:r>
        <w:t xml:space="preserve">Kelly, A., &amp; Barnes-Holmes, D. (2013). Implicit attitudes towards children with autism versus normally developing children as predictors of professional burnout and psychopathology. </w:t>
      </w:r>
      <w:r w:rsidRPr="00BE6DED">
        <w:rPr>
          <w:i/>
          <w:iCs/>
        </w:rPr>
        <w:t xml:space="preserve">Research in Developmental Disabilities, 34, </w:t>
      </w:r>
      <w:r>
        <w:t>17-28.</w:t>
      </w:r>
    </w:p>
    <w:p w:rsidR="00B77B07" w:rsidP="00FE1FB3" w14:paraId="5C71F55F" w14:textId="5D6D3E68">
      <w:pPr>
        <w:spacing w:line="240" w:lineRule="auto"/>
      </w:pPr>
      <w:r>
        <w:t xml:space="preserve">We also found </w:t>
      </w:r>
      <w:r w:rsidR="00735F0B">
        <w:t>an additional study that looked at burnout among board certified behavior analysts:</w:t>
      </w:r>
    </w:p>
    <w:p w:rsidR="00735F0B" w:rsidP="00FE1FB3" w14:paraId="4300105F" w14:textId="13FDE953">
      <w:pPr>
        <w:pStyle w:val="ListParagraph"/>
        <w:numPr>
          <w:ilvl w:val="0"/>
          <w:numId w:val="5"/>
        </w:numPr>
        <w:spacing w:line="240" w:lineRule="auto"/>
      </w:pPr>
      <w:r>
        <w:t xml:space="preserve">Plantiveau, C., Dounavi, K., &amp; Virues-Ortega, J. (2018). High levels of burnout among early-career board-certified behavior analysts with low collegial support in the work environment. </w:t>
      </w:r>
      <w:r w:rsidRPr="00EE0834">
        <w:rPr>
          <w:i/>
          <w:iCs/>
        </w:rPr>
        <w:t xml:space="preserve">European Journal of Behavior Analysis, 19, </w:t>
      </w:r>
      <w:r>
        <w:t>195-207.</w:t>
      </w:r>
    </w:p>
    <w:p w:rsidR="00A3344D" w:rsidP="00FE1FB3" w14:paraId="245689DD" w14:textId="33DDB20C">
      <w:pPr>
        <w:spacing w:line="240" w:lineRule="auto"/>
      </w:pPr>
      <w:r>
        <w:t>Although these studies examine</w:t>
      </w:r>
      <w:r w:rsidR="00CA1C3E">
        <w:t>d</w:t>
      </w:r>
      <w:r>
        <w:t xml:space="preserve"> psychosocial issues like burnout and job satisfaction, they do not examine them in relation to</w:t>
      </w:r>
      <w:r w:rsidR="00682A8F">
        <w:t xml:space="preserve"> occupational</w:t>
      </w:r>
      <w:r>
        <w:t xml:space="preserve"> </w:t>
      </w:r>
      <w:r w:rsidR="00C300CF">
        <w:t>injuries</w:t>
      </w:r>
      <w:r w:rsidR="00B77B07">
        <w:t xml:space="preserve"> and safety climate</w:t>
      </w:r>
      <w:r w:rsidR="00C300CF">
        <w:t>. Additionally, they use</w:t>
      </w:r>
      <w:r w:rsidR="00CA1C3E">
        <w:t>d</w:t>
      </w:r>
      <w:r w:rsidR="00C300CF">
        <w:t xml:space="preserve"> relatively</w:t>
      </w:r>
      <w:r w:rsidR="00CA1C3E">
        <w:t xml:space="preserve"> small</w:t>
      </w:r>
      <w:r w:rsidR="00C300CF">
        <w:t xml:space="preserve"> sample sizes. The largest sample size </w:t>
      </w:r>
      <w:r w:rsidR="00CA1C3E">
        <w:t xml:space="preserve">consisted of </w:t>
      </w:r>
      <w:r w:rsidR="00C300CF">
        <w:t>113 behavior technicians</w:t>
      </w:r>
      <w:r w:rsidR="00CA1C3E">
        <w:t xml:space="preserve">; </w:t>
      </w:r>
      <w:r w:rsidR="00C300CF">
        <w:t xml:space="preserve">the smallest </w:t>
      </w:r>
      <w:r w:rsidR="00CA1C3E">
        <w:t>sample size was</w:t>
      </w:r>
      <w:r w:rsidR="00C300CF">
        <w:t xml:space="preserve"> 16. </w:t>
      </w:r>
    </w:p>
    <w:p w:rsidR="00AF1AC4" w:rsidRPr="00994E20" w:rsidP="00671C1E" w14:paraId="3EB6AAD5" w14:textId="57935DCA">
      <w:pPr>
        <w:pStyle w:val="Heading1"/>
        <w:numPr>
          <w:ilvl w:val="0"/>
          <w:numId w:val="6"/>
        </w:numPr>
        <w:rPr>
          <w:b/>
          <w:bCs/>
          <w:color w:val="auto"/>
          <w:sz w:val="24"/>
          <w:szCs w:val="24"/>
        </w:rPr>
      </w:pPr>
      <w:bookmarkStart w:id="8" w:name="_Toc49415628"/>
      <w:r w:rsidRPr="00994E20">
        <w:rPr>
          <w:b/>
          <w:bCs/>
          <w:color w:val="auto"/>
          <w:sz w:val="24"/>
          <w:szCs w:val="24"/>
        </w:rPr>
        <w:t>Impact on Small Businesses or Other Small Entities</w:t>
      </w:r>
      <w:bookmarkEnd w:id="8"/>
    </w:p>
    <w:p w:rsidR="00DA328A" w:rsidP="00FE1FB3" w14:paraId="664EE9E1" w14:textId="6907E384">
      <w:pPr>
        <w:spacing w:line="240" w:lineRule="auto"/>
      </w:pPr>
      <w:r>
        <w:t>This data collection will not involve small businesses.</w:t>
      </w:r>
    </w:p>
    <w:p w:rsidR="00AF1AC4" w:rsidRPr="00994E20" w:rsidP="00671C1E" w14:paraId="708E3755" w14:textId="26F5060E">
      <w:pPr>
        <w:pStyle w:val="Heading1"/>
        <w:numPr>
          <w:ilvl w:val="0"/>
          <w:numId w:val="6"/>
        </w:numPr>
        <w:rPr>
          <w:b/>
          <w:bCs/>
        </w:rPr>
      </w:pPr>
      <w:bookmarkStart w:id="9" w:name="_Toc49415629"/>
      <w:r w:rsidRPr="00994E20">
        <w:rPr>
          <w:b/>
          <w:bCs/>
          <w:color w:val="auto"/>
          <w:sz w:val="24"/>
          <w:szCs w:val="24"/>
        </w:rPr>
        <w:t>Consequences of Collecting the Information Less Frequently</w:t>
      </w:r>
      <w:bookmarkEnd w:id="9"/>
    </w:p>
    <w:p w:rsidR="003A5EB7" w:rsidP="00FE1FB3" w14:paraId="174FF6E9" w14:textId="6C8BC034">
      <w:pPr>
        <w:spacing w:line="240" w:lineRule="auto"/>
      </w:pPr>
      <w:r>
        <w:t>The request is for a one-time informati</w:t>
      </w:r>
      <w:r w:rsidR="00EA3D70">
        <w:t>on collection.</w:t>
      </w:r>
    </w:p>
    <w:p w:rsidR="00AF1AC4" w:rsidRPr="00994E20" w:rsidP="00671C1E" w14:paraId="1D443B06" w14:textId="5F3F5B46">
      <w:pPr>
        <w:pStyle w:val="Heading1"/>
        <w:numPr>
          <w:ilvl w:val="0"/>
          <w:numId w:val="6"/>
        </w:numPr>
        <w:rPr>
          <w:b/>
          <w:bCs/>
          <w:color w:val="auto"/>
          <w:sz w:val="24"/>
          <w:szCs w:val="24"/>
        </w:rPr>
      </w:pPr>
      <w:bookmarkStart w:id="10" w:name="_Toc49415630"/>
      <w:r w:rsidRPr="00994E20">
        <w:rPr>
          <w:b/>
          <w:bCs/>
          <w:color w:val="auto"/>
          <w:sz w:val="24"/>
          <w:szCs w:val="24"/>
        </w:rPr>
        <w:t>Special Cir</w:t>
      </w:r>
      <w:r w:rsidRPr="00994E20" w:rsidR="001D3034">
        <w:rPr>
          <w:b/>
          <w:bCs/>
          <w:color w:val="auto"/>
          <w:sz w:val="24"/>
          <w:szCs w:val="24"/>
        </w:rPr>
        <w:t>cumstances Relating to the Guidelines of 5 CFR 1320.5</w:t>
      </w:r>
      <w:bookmarkEnd w:id="10"/>
    </w:p>
    <w:p w:rsidR="00AC20C2" w:rsidP="00FE1FB3" w14:paraId="0A1C1D28" w14:textId="2961EE33">
      <w:pPr>
        <w:spacing w:line="240" w:lineRule="auto"/>
      </w:pPr>
      <w:r>
        <w:t>This request fully complies with the regulation 5 CFR 1320.5.</w:t>
      </w:r>
    </w:p>
    <w:p w:rsidR="001D3034" w:rsidP="00671C1E" w14:paraId="36F281E1" w14:textId="330624EE">
      <w:pPr>
        <w:pStyle w:val="Heading1"/>
        <w:numPr>
          <w:ilvl w:val="0"/>
          <w:numId w:val="6"/>
        </w:numPr>
        <w:rPr>
          <w:b/>
          <w:bCs/>
          <w:color w:val="auto"/>
          <w:sz w:val="24"/>
          <w:szCs w:val="24"/>
        </w:rPr>
      </w:pPr>
      <w:bookmarkStart w:id="11" w:name="_Toc49415631"/>
      <w:r w:rsidRPr="00994E20">
        <w:rPr>
          <w:b/>
          <w:bCs/>
          <w:color w:val="auto"/>
          <w:sz w:val="24"/>
          <w:szCs w:val="24"/>
        </w:rPr>
        <w:t>Comments in Response to the Federal Register Notice and Efforts to Consult Outside the Agency</w:t>
      </w:r>
      <w:bookmarkEnd w:id="11"/>
    </w:p>
    <w:p w:rsidR="00C7056F" w:rsidRPr="00344EFF" w:rsidP="00B46489" w14:paraId="563A9CBA" w14:textId="7E1CBEAD">
      <w:pPr>
        <w:pStyle w:val="ListParagraph"/>
        <w:numPr>
          <w:ilvl w:val="0"/>
          <w:numId w:val="12"/>
        </w:numPr>
      </w:pPr>
      <w:r w:rsidRPr="00344EFF">
        <w:t>Attached is a copy of the 60</w:t>
      </w:r>
      <w:r w:rsidRPr="00344EFF" w:rsidR="00B46489">
        <w:t>-</w:t>
      </w:r>
      <w:r w:rsidRPr="00344EFF">
        <w:t xml:space="preserve">day Federal Register Notice that was published on May 7, 2021 (Vol. 86, No. 87 page </w:t>
      </w:r>
      <w:r w:rsidRPr="00344EFF" w:rsidR="00B46489">
        <w:t>24623-24624</w:t>
      </w:r>
      <w:r w:rsidRPr="00344EFF">
        <w:t>) (Attachment B).  No public comments were received</w:t>
      </w:r>
      <w:r w:rsidRPr="00344EFF" w:rsidR="00B46489">
        <w:t>.</w:t>
      </w:r>
    </w:p>
    <w:p w:rsidR="00614446" w:rsidP="00757E50" w14:paraId="73253221" w14:textId="66DC4FE9">
      <w:pPr>
        <w:pStyle w:val="ListParagraph"/>
        <w:numPr>
          <w:ilvl w:val="0"/>
          <w:numId w:val="12"/>
        </w:numPr>
      </w:pPr>
      <w:r>
        <w:t>We have not</w:t>
      </w:r>
      <w:r>
        <w:t xml:space="preserve"> consult</w:t>
      </w:r>
      <w:r>
        <w:t>ed</w:t>
      </w:r>
      <w:r>
        <w:t xml:space="preserve"> with persons outside the agency to obtain their views on the availability</w:t>
      </w:r>
      <w:r>
        <w:t xml:space="preserve"> </w:t>
      </w:r>
      <w:r>
        <w:t>of data, frequency of collection, the clarity of instructions and record keeping, disclosure, or reporting</w:t>
      </w:r>
      <w:r>
        <w:t>.</w:t>
      </w:r>
    </w:p>
    <w:p w:rsidR="001D3034" w:rsidRPr="00994E20" w:rsidP="00671C1E" w14:paraId="262DB2CB" w14:textId="41CF42FB">
      <w:pPr>
        <w:pStyle w:val="Heading1"/>
        <w:numPr>
          <w:ilvl w:val="0"/>
          <w:numId w:val="6"/>
        </w:numPr>
        <w:rPr>
          <w:b/>
          <w:bCs/>
          <w:color w:val="auto"/>
          <w:sz w:val="24"/>
          <w:szCs w:val="24"/>
        </w:rPr>
      </w:pPr>
      <w:bookmarkStart w:id="12" w:name="_Toc49415632"/>
      <w:r w:rsidRPr="00994E20">
        <w:rPr>
          <w:b/>
          <w:bCs/>
          <w:color w:val="auto"/>
          <w:sz w:val="24"/>
          <w:szCs w:val="24"/>
        </w:rPr>
        <w:t>Explanation of Any Payment or Gift to Respondents</w:t>
      </w:r>
      <w:bookmarkEnd w:id="12"/>
    </w:p>
    <w:p w:rsidR="009B39ED" w:rsidP="00FE1FB3" w14:paraId="035B1447" w14:textId="7E56190C">
      <w:pPr>
        <w:spacing w:line="240" w:lineRule="auto"/>
      </w:pPr>
      <w:r>
        <w:t xml:space="preserve">Respondents </w:t>
      </w:r>
      <w:r w:rsidRPr="00344EFF">
        <w:t>will not receive any payments or gifts</w:t>
      </w:r>
      <w:r>
        <w:t>.</w:t>
      </w:r>
    </w:p>
    <w:p w:rsidR="001D3034" w:rsidP="00E25428" w14:paraId="06A294F7" w14:textId="4C831925">
      <w:pPr>
        <w:pStyle w:val="Heading1"/>
        <w:numPr>
          <w:ilvl w:val="0"/>
          <w:numId w:val="6"/>
        </w:numPr>
        <w:rPr>
          <w:b/>
          <w:bCs/>
          <w:color w:val="auto"/>
          <w:sz w:val="24"/>
          <w:szCs w:val="24"/>
        </w:rPr>
      </w:pPr>
      <w:bookmarkStart w:id="13" w:name="_Toc49415633"/>
      <w:r w:rsidRPr="00994E20">
        <w:rPr>
          <w:b/>
          <w:bCs/>
          <w:color w:val="auto"/>
          <w:sz w:val="24"/>
          <w:szCs w:val="24"/>
        </w:rPr>
        <w:t>Protection of the Privacy and Confidentiality of Information Provided by Respondents</w:t>
      </w:r>
      <w:bookmarkEnd w:id="13"/>
    </w:p>
    <w:p w:rsidR="002E651D" w:rsidRPr="002E651D" w:rsidP="002E651D" w14:paraId="5C6874F6" w14:textId="77777777"/>
    <w:p w:rsidR="002E651D" w:rsidP="002E651D" w14:paraId="318CC4B0" w14:textId="77777777">
      <w:pPr>
        <w:pStyle w:val="NormalWeb"/>
        <w:spacing w:before="0" w:beforeAutospacing="0" w:after="0" w:afterAutospacing="0"/>
        <w:rPr>
          <w:rFonts w:asciiTheme="minorHAnsi" w:hAnsiTheme="minorHAnsi" w:cstheme="minorHAnsi"/>
        </w:rPr>
      </w:pPr>
      <w:bookmarkStart w:id="14" w:name="_Toc49415634"/>
      <w:r w:rsidRPr="00801C5F">
        <w:rPr>
          <w:rFonts w:asciiTheme="minorHAnsi" w:hAnsiTheme="minorHAnsi" w:cstheme="minorHAnsi"/>
        </w:rPr>
        <w:t>NIOSH’s Information Systems Security Officer (ISSO) reviewed this submission and determined in conjunction with the CDC Privacy Office that the Privacy Act is not applicable. The collection contains</w:t>
      </w:r>
      <w:r>
        <w:rPr>
          <w:rFonts w:asciiTheme="minorHAnsi" w:hAnsiTheme="minorHAnsi" w:cstheme="minorHAnsi"/>
        </w:rPr>
        <w:t xml:space="preserve"> low risk</w:t>
      </w:r>
      <w:r w:rsidRPr="00801C5F">
        <w:rPr>
          <w:rFonts w:asciiTheme="minorHAnsi" w:hAnsiTheme="minorHAnsi" w:cstheme="minorHAnsi"/>
        </w:rPr>
        <w:t xml:space="preserve"> PII with demographic</w:t>
      </w:r>
      <w:r>
        <w:rPr>
          <w:rFonts w:asciiTheme="minorHAnsi" w:hAnsiTheme="minorHAnsi" w:cstheme="minorHAnsi"/>
        </w:rPr>
        <w:t xml:space="preserve"> questions</w:t>
      </w:r>
      <w:r w:rsidRPr="00801C5F">
        <w:rPr>
          <w:rFonts w:asciiTheme="minorHAnsi" w:hAnsiTheme="minorHAnsi" w:cstheme="minorHAnsi"/>
        </w:rPr>
        <w:t xml:space="preserve"> in the survey (i.e., race, gender, and ethnicity)</w:t>
      </w:r>
      <w:r>
        <w:rPr>
          <w:rFonts w:asciiTheme="minorHAnsi" w:hAnsiTheme="minorHAnsi" w:cstheme="minorHAnsi"/>
        </w:rPr>
        <w:t>. However, the Privacy Act does not apply since records</w:t>
      </w:r>
      <w:r w:rsidRPr="00801C5F">
        <w:rPr>
          <w:rFonts w:asciiTheme="minorHAnsi" w:hAnsiTheme="minorHAnsi" w:cstheme="minorHAnsi"/>
        </w:rPr>
        <w:t xml:space="preserve"> will not be retrieved</w:t>
      </w:r>
      <w:r>
        <w:rPr>
          <w:rFonts w:asciiTheme="minorHAnsi" w:hAnsiTheme="minorHAnsi" w:cstheme="minorHAnsi"/>
        </w:rPr>
        <w:t xml:space="preserve"> by a personal identifier</w:t>
      </w:r>
      <w:r w:rsidRPr="00801C5F">
        <w:rPr>
          <w:rFonts w:asciiTheme="minorHAnsi" w:hAnsiTheme="minorHAnsi" w:cstheme="minorHAnsi"/>
        </w:rPr>
        <w:t xml:space="preserve"> </w:t>
      </w:r>
      <w:r>
        <w:rPr>
          <w:rFonts w:asciiTheme="minorHAnsi" w:hAnsiTheme="minorHAnsi" w:cstheme="minorHAnsi"/>
        </w:rPr>
        <w:t>through</w:t>
      </w:r>
      <w:r w:rsidRPr="00801C5F">
        <w:rPr>
          <w:rFonts w:asciiTheme="minorHAnsi" w:hAnsiTheme="minorHAnsi" w:cstheme="minorHAnsi"/>
        </w:rPr>
        <w:t xml:space="preserve"> the NIOSH Edge Computing Platform (NCEP) previously NIOSH Analytical Data Warehouse (ADW). The NCEP will be used to store the data and includes the </w:t>
      </w:r>
      <w:r w:rsidRPr="00801C5F">
        <w:rPr>
          <w:rFonts w:asciiTheme="minorHAnsi" w:hAnsiTheme="minorHAnsi" w:cstheme="minorHAnsi"/>
        </w:rPr>
        <w:t>in-place technical, physical, or administrative controls (safeguards). The NIOSH Edge Computing Platform (NCEP) System Security Plan (SSP) defines the safeguards/controls to protect the availability, integrity, and confidentiality of the data. The NCEP SSP also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p>
    <w:p w:rsidR="002E651D" w:rsidP="002E651D" w14:paraId="00625009" w14:textId="77777777">
      <w:pPr>
        <w:pStyle w:val="NormalWeb"/>
        <w:spacing w:before="0" w:beforeAutospacing="0" w:after="0" w:afterAutospacing="0"/>
        <w:rPr>
          <w:rFonts w:asciiTheme="minorHAnsi" w:hAnsiTheme="minorHAnsi" w:cstheme="minorHAnsi"/>
        </w:rPr>
      </w:pPr>
    </w:p>
    <w:p w:rsidR="002E651D" w:rsidRPr="00C35157" w:rsidP="002E651D" w14:paraId="56A5104E" w14:textId="1098AF20">
      <w:pPr>
        <w:spacing w:line="240" w:lineRule="auto"/>
      </w:pPr>
      <w:r w:rsidRPr="008A0381">
        <w:rPr>
          <w:rFonts w:cstheme="minorHAnsi"/>
        </w:rPr>
        <w:t>NIOSH researchers will manage the data collection using RedCAP</w:t>
      </w:r>
      <w:r>
        <w:rPr>
          <w:rFonts w:cstheme="minorHAnsi"/>
        </w:rPr>
        <w:t xml:space="preserve">, and all </w:t>
      </w:r>
      <w:r w:rsidRPr="008A0381">
        <w:rPr>
          <w:rFonts w:cstheme="minorHAnsi"/>
        </w:rPr>
        <w:t xml:space="preserve">data will be </w:t>
      </w:r>
      <w:r>
        <w:rPr>
          <w:rFonts w:cstheme="minorHAnsi"/>
        </w:rPr>
        <w:t>stored</w:t>
      </w:r>
      <w:r w:rsidRPr="008A0381">
        <w:rPr>
          <w:rFonts w:cstheme="minorHAnsi"/>
        </w:rPr>
        <w:t xml:space="preserve"> on </w:t>
      </w:r>
      <w:r>
        <w:rPr>
          <w:rFonts w:cstheme="minorHAnsi"/>
        </w:rPr>
        <w:t xml:space="preserve">the </w:t>
      </w:r>
      <w:r w:rsidRPr="008A0381">
        <w:rPr>
          <w:rFonts w:cstheme="minorHAnsi"/>
        </w:rPr>
        <w:t>NIOSH Edge Computing Platform (NCEP). All survey data files will be saved and archived in their raw format. Additional data files containing processed, reformatted, or summarize data will be created, edited, or reformatted as necessary to meet the requirements for conducting various statistical analyses. These files will be regularly inspected by multiple the NIOSH researchers team members for quality (i.e., accuracy, omissions, and errors).</w:t>
      </w:r>
      <w:r w:rsidRPr="00C35157">
        <w:t xml:space="preserve">Informed consent will not be obtained for this study. The NIOSH IRB has classified this study as exempt and therefore informed consent is not necessary. However, the first survey page that potential respondents will see will have the information that is typical of an informed consent such as the voluntary nature of the </w:t>
      </w:r>
      <w:r>
        <w:t>survey</w:t>
      </w:r>
      <w:r w:rsidRPr="00C35157">
        <w:t xml:space="preserve">, the potential risks of participation, and the researcher’s contact information. This first page will also include the mandatory OMB information (e.g., OMB number, expiry date, burden information, etc.). Participants will be </w:t>
      </w:r>
      <w:r>
        <w:t>instructed</w:t>
      </w:r>
      <w:r w:rsidRPr="00C35157">
        <w:t xml:space="preserve"> that if they continue with the survey, it will be considered consent to participate.</w:t>
      </w:r>
    </w:p>
    <w:p w:rsidR="001D3034" w:rsidRPr="00994E20" w:rsidP="00E25428" w14:paraId="57653E50" w14:textId="1D6EB56A">
      <w:pPr>
        <w:pStyle w:val="Heading1"/>
        <w:numPr>
          <w:ilvl w:val="0"/>
          <w:numId w:val="6"/>
        </w:numPr>
        <w:rPr>
          <w:b/>
          <w:bCs/>
          <w:color w:val="auto"/>
          <w:sz w:val="24"/>
          <w:szCs w:val="24"/>
        </w:rPr>
      </w:pPr>
      <w:r w:rsidRPr="00994E20">
        <w:rPr>
          <w:b/>
          <w:bCs/>
          <w:color w:val="auto"/>
          <w:sz w:val="24"/>
          <w:szCs w:val="24"/>
        </w:rPr>
        <w:t>Institutional Review Board (IRB) and Justification for Sensitive Questions</w:t>
      </w:r>
      <w:bookmarkEnd w:id="14"/>
    </w:p>
    <w:p w:rsidR="00E97839" w:rsidP="00FE1FB3" w14:paraId="6B1E9651" w14:textId="77777777">
      <w:pPr>
        <w:spacing w:line="240" w:lineRule="auto"/>
      </w:pPr>
    </w:p>
    <w:p w:rsidR="00E97839" w:rsidP="00FE1FB3" w14:paraId="0BD71878" w14:textId="77777777">
      <w:pPr>
        <w:spacing w:line="240" w:lineRule="auto"/>
      </w:pPr>
      <w:r>
        <w:t>IRB Approval</w:t>
      </w:r>
    </w:p>
    <w:p w:rsidR="001D46D6" w:rsidP="00FE1FB3" w14:paraId="4817722A" w14:textId="53E17876">
      <w:pPr>
        <w:spacing w:line="240" w:lineRule="auto"/>
      </w:pPr>
      <w:r>
        <w:t xml:space="preserve">The information collection has received an exemption determination by the NIOSH IRB. The approval letter is in ATTACHMENT </w:t>
      </w:r>
      <w:r w:rsidR="00B46489">
        <w:t>I</w:t>
      </w:r>
      <w:r>
        <w:t>.</w:t>
      </w:r>
    </w:p>
    <w:p w:rsidR="00AA18A4" w:rsidP="00FE1FB3" w14:paraId="58755A7B" w14:textId="2E7E7ED1">
      <w:pPr>
        <w:spacing w:line="240" w:lineRule="auto"/>
      </w:pPr>
      <w:r>
        <w:t>Sensitive Questions</w:t>
      </w:r>
    </w:p>
    <w:p w:rsidR="00551401" w:rsidP="00FE1FB3" w14:paraId="7FD57375" w14:textId="623DC053">
      <w:pPr>
        <w:spacing w:line="240" w:lineRule="auto"/>
      </w:pPr>
      <w:r>
        <w:t xml:space="preserve">The survey includes sensitive questions about race and ethnicity, which are formatted according to OMB guidelines. These questions are deemed important and necessary to better understand the incidence and experience of injuries in this unique worker population </w:t>
      </w:r>
      <w:r w:rsidR="00F22CB6">
        <w:t xml:space="preserve">and </w:t>
      </w:r>
      <w:r>
        <w:t>for which no similar information</w:t>
      </w:r>
      <w:r w:rsidR="00D53B33">
        <w:t xml:space="preserve"> currently</w:t>
      </w:r>
      <w:r>
        <w:t xml:space="preserve"> exists. Data on race and ethnicity also meets NIOSH research goals of better understanding health and injury disparities especially among vulnerable and disadvantaged worker populations. </w:t>
      </w:r>
    </w:p>
    <w:p w:rsidR="00551401" w:rsidP="00FE1FB3" w14:paraId="0A41448F" w14:textId="02EDA09D">
      <w:pPr>
        <w:spacing w:line="240" w:lineRule="auto"/>
      </w:pPr>
      <w:r>
        <w:t>The survey also includes one question about mental illness. This question is necessary to meet the research objective of better understanding the effects of workplace violence and injury on mental health</w:t>
      </w:r>
      <w:r w:rsidR="00F22CB6">
        <w:t xml:space="preserve"> in this unique population of workers</w:t>
      </w:r>
      <w:r w:rsidRPr="00F22CB6" w:rsidR="00F22CB6">
        <w:t xml:space="preserve"> </w:t>
      </w:r>
      <w:r w:rsidR="00F22CB6">
        <w:t>and for which no similar information</w:t>
      </w:r>
      <w:r w:rsidR="00D53B33">
        <w:t xml:space="preserve"> currently</w:t>
      </w:r>
      <w:r w:rsidR="00F22CB6">
        <w:t xml:space="preserve"> exists</w:t>
      </w:r>
      <w:r>
        <w:t xml:space="preserve">. </w:t>
      </w:r>
    </w:p>
    <w:p w:rsidR="002E651D" w:rsidP="00FE1FB3" w14:paraId="71376047" w14:textId="18F48BB9">
      <w:pPr>
        <w:spacing w:line="240" w:lineRule="auto"/>
      </w:pPr>
      <w:r w:rsidRPr="002E651D">
        <w:t>No PII data are being collected to ensure anonymity of responses to these sensitive questions.</w:t>
      </w:r>
    </w:p>
    <w:p w:rsidR="007D3306" w:rsidRPr="00994E20" w:rsidP="00AB440C" w14:paraId="4F4B361E" w14:textId="1454592C">
      <w:pPr>
        <w:pStyle w:val="Heading1"/>
        <w:numPr>
          <w:ilvl w:val="0"/>
          <w:numId w:val="6"/>
        </w:numPr>
        <w:rPr>
          <w:b/>
          <w:bCs/>
          <w:color w:val="auto"/>
          <w:sz w:val="24"/>
          <w:szCs w:val="24"/>
        </w:rPr>
      </w:pPr>
      <w:bookmarkStart w:id="15" w:name="_Toc49415635"/>
      <w:r w:rsidRPr="00994E20">
        <w:rPr>
          <w:b/>
          <w:bCs/>
          <w:color w:val="auto"/>
          <w:sz w:val="24"/>
          <w:szCs w:val="24"/>
        </w:rPr>
        <w:t>Estimates of Annualized Burden Hours and Costs</w:t>
      </w:r>
      <w:bookmarkEnd w:id="15"/>
    </w:p>
    <w:p w:rsidR="007D3306" w:rsidP="00FE1FB3" w14:paraId="18FD7A58" w14:textId="08BF4E73">
      <w:pPr>
        <w:spacing w:line="240" w:lineRule="auto"/>
      </w:pPr>
      <w:r>
        <w:t xml:space="preserve">A. </w:t>
      </w:r>
      <w:r>
        <w:t>The survey will take approximately 10 minutes to complete</w:t>
      </w:r>
      <w:r w:rsidR="000312C8">
        <w:t xml:space="preserve"> based on the results of pretesting</w:t>
      </w:r>
      <w:r w:rsidR="00A66795">
        <w:t>.</w:t>
      </w:r>
      <w:r w:rsidR="007C60E7">
        <w:t xml:space="preserve"> The survey instrument </w:t>
      </w:r>
      <w:r w:rsidR="002D1161">
        <w:t>is identical for all types of respondents and</w:t>
      </w:r>
      <w:r w:rsidR="004D154A">
        <w:t xml:space="preserve"> </w:t>
      </w:r>
      <w:r w:rsidR="007C60E7">
        <w:t xml:space="preserve">takes approximately </w:t>
      </w:r>
      <w:r w:rsidR="003408EE">
        <w:t>five</w:t>
      </w:r>
      <w:r w:rsidR="007C60E7">
        <w:t xml:space="preserve"> minutes</w:t>
      </w:r>
      <w:r w:rsidR="003408EE">
        <w:t>. It takes approximately five minutes to read the email and review the instructions.</w:t>
      </w:r>
      <w:r w:rsidR="00B44E34">
        <w:t xml:space="preserve"> The total amount of burden per respondent is therefore 10 minutes. </w:t>
      </w:r>
    </w:p>
    <w:p w:rsidR="00AA18A4" w:rsidP="00FE1FB3" w14:paraId="2E31415C" w14:textId="16965EEE">
      <w:pPr>
        <w:spacing w:line="240" w:lineRule="auto"/>
      </w:pPr>
      <w:r>
        <w:t xml:space="preserve">There are </w:t>
      </w:r>
      <w:r w:rsidR="00005295">
        <w:t xml:space="preserve">four </w:t>
      </w:r>
      <w:r>
        <w:t xml:space="preserve">types of ABA workers: </w:t>
      </w:r>
      <w:r w:rsidR="00005295">
        <w:t xml:space="preserve">Board Certified Behavior Analysts (BCBA and BCBA-D), Board Certified Assistant Behavior Analysts (BCaBA), and </w:t>
      </w:r>
      <w:r>
        <w:t xml:space="preserve">Registered Behavior Technicians (RBT). In the table below, </w:t>
      </w:r>
      <w:r w:rsidR="00005295">
        <w:t>we have grouped together BCBAs, BCBA-Ds, and BCaBA because they are similar in education requirements and hourly wage. RBTs are listed separately.</w:t>
      </w:r>
      <w:r>
        <w:t xml:space="preserve"> </w:t>
      </w:r>
      <w:r w:rsidR="00005295">
        <w:t xml:space="preserve">The </w:t>
      </w:r>
      <w:r>
        <w:t xml:space="preserve">number of respondents is proportional to the number of that type of </w:t>
      </w:r>
      <w:r>
        <w:t xml:space="preserve">credentialed worker in the total population of ABA workers (e.g., RBTs make up 64% of all credentialed ABA workers, therefore the number of respondents in the present study is 64% of the estimated 24,000 total respondents). </w:t>
      </w:r>
    </w:p>
    <w:p w:rsidR="009003F9" w:rsidP="00FE1FB3" w14:paraId="21C49B64" w14:textId="0E8A1762">
      <w:pPr>
        <w:spacing w:line="240" w:lineRule="auto"/>
      </w:pPr>
    </w:p>
    <w:p w:rsidR="009003F9" w:rsidP="00FE1FB3" w14:paraId="62AFCC16" w14:textId="77777777">
      <w:pPr>
        <w:spacing w:line="240" w:lineRule="auto"/>
      </w:pPr>
    </w:p>
    <w:tbl>
      <w:tblPr>
        <w:tblW w:w="0" w:type="auto"/>
        <w:tblInd w:w="10" w:type="dxa"/>
        <w:tblLook w:val="0000"/>
      </w:tblPr>
      <w:tblGrid>
        <w:gridCol w:w="2410"/>
        <w:gridCol w:w="2678"/>
        <w:gridCol w:w="1404"/>
        <w:gridCol w:w="1316"/>
        <w:gridCol w:w="1092"/>
        <w:gridCol w:w="1150"/>
      </w:tblGrid>
      <w:tr w14:paraId="590D4233" w14:textId="77777777" w:rsidTr="001A14D0">
        <w:tblPrEx>
          <w:tblW w:w="0" w:type="auto"/>
          <w:tblInd w:w="10" w:type="dxa"/>
          <w:tblLook w:val="0000"/>
        </w:tblPrEx>
        <w:trPr>
          <w:trHeight w:val="973"/>
        </w:trPr>
        <w:tc>
          <w:tcPr>
            <w:tcW w:w="2410" w:type="dxa"/>
            <w:tcBorders>
              <w:top w:val="single" w:sz="8" w:space="0" w:color="000000"/>
              <w:left w:val="single" w:sz="8" w:space="0" w:color="000000"/>
              <w:bottom w:val="single" w:sz="8" w:space="0" w:color="000000"/>
              <w:right w:val="single" w:sz="8" w:space="0" w:color="000000"/>
            </w:tcBorders>
          </w:tcPr>
          <w:p w:rsidR="00676772" w:rsidRPr="0065163C" w:rsidP="00FE1FB3" w14:paraId="78A8E9DA" w14:textId="1755F333">
            <w:pPr>
              <w:autoSpaceDE w:val="0"/>
              <w:autoSpaceDN w:val="0"/>
              <w:adjustRightInd w:val="0"/>
              <w:spacing w:line="240" w:lineRule="auto"/>
              <w:jc w:val="center"/>
              <w:rPr>
                <w:b/>
                <w:color w:val="000000"/>
              </w:rPr>
            </w:pPr>
            <w:r w:rsidRPr="0065163C">
              <w:rPr>
                <w:b/>
                <w:color w:val="000000"/>
              </w:rPr>
              <w:t xml:space="preserve">Type of Respondents </w:t>
            </w:r>
          </w:p>
        </w:tc>
        <w:tc>
          <w:tcPr>
            <w:tcW w:w="2678" w:type="dxa"/>
            <w:tcBorders>
              <w:top w:val="single" w:sz="8" w:space="0" w:color="000000"/>
              <w:left w:val="single" w:sz="8" w:space="0" w:color="000000"/>
              <w:bottom w:val="single" w:sz="8" w:space="0" w:color="000000"/>
              <w:right w:val="single" w:sz="8" w:space="0" w:color="000000"/>
            </w:tcBorders>
          </w:tcPr>
          <w:p w:rsidR="00676772" w:rsidRPr="0065163C" w:rsidP="00FE1FB3" w14:paraId="2CFC049C" w14:textId="151BFBD9">
            <w:pPr>
              <w:autoSpaceDE w:val="0"/>
              <w:autoSpaceDN w:val="0"/>
              <w:adjustRightInd w:val="0"/>
              <w:spacing w:line="240" w:lineRule="auto"/>
              <w:jc w:val="center"/>
              <w:rPr>
                <w:b/>
                <w:color w:val="000000"/>
              </w:rPr>
            </w:pPr>
            <w:r>
              <w:rPr>
                <w:b/>
                <w:color w:val="000000"/>
              </w:rPr>
              <w:t>Form Name</w:t>
            </w:r>
          </w:p>
        </w:tc>
        <w:tc>
          <w:tcPr>
            <w:tcW w:w="1404" w:type="dxa"/>
            <w:tcBorders>
              <w:top w:val="single" w:sz="8" w:space="0" w:color="000000"/>
              <w:left w:val="single" w:sz="8" w:space="0" w:color="000000"/>
              <w:bottom w:val="single" w:sz="8" w:space="0" w:color="000000"/>
              <w:right w:val="single" w:sz="8" w:space="0" w:color="000000"/>
            </w:tcBorders>
          </w:tcPr>
          <w:p w:rsidR="00676772" w:rsidRPr="0065163C" w:rsidP="00FE1FB3" w14:paraId="03203A13" w14:textId="27C789BE">
            <w:pPr>
              <w:autoSpaceDE w:val="0"/>
              <w:autoSpaceDN w:val="0"/>
              <w:adjustRightInd w:val="0"/>
              <w:spacing w:line="240" w:lineRule="auto"/>
              <w:jc w:val="center"/>
              <w:rPr>
                <w:b/>
                <w:color w:val="000000"/>
              </w:rPr>
            </w:pPr>
            <w:r w:rsidRPr="0065163C">
              <w:rPr>
                <w:b/>
                <w:color w:val="000000"/>
              </w:rPr>
              <w:t xml:space="preserve">No. of </w:t>
            </w:r>
          </w:p>
          <w:p w:rsidR="00676772" w:rsidRPr="0065163C" w:rsidP="00FE1FB3" w14:paraId="06609158" w14:textId="77777777">
            <w:pPr>
              <w:autoSpaceDE w:val="0"/>
              <w:autoSpaceDN w:val="0"/>
              <w:adjustRightInd w:val="0"/>
              <w:spacing w:line="240" w:lineRule="auto"/>
              <w:jc w:val="center"/>
              <w:rPr>
                <w:b/>
                <w:color w:val="000000"/>
              </w:rPr>
            </w:pPr>
            <w:r w:rsidRPr="0065163C">
              <w:rPr>
                <w:b/>
                <w:color w:val="000000"/>
              </w:rPr>
              <w:t>Respondents</w:t>
            </w:r>
          </w:p>
        </w:tc>
        <w:tc>
          <w:tcPr>
            <w:tcW w:w="1316" w:type="dxa"/>
            <w:tcBorders>
              <w:top w:val="single" w:sz="8" w:space="0" w:color="000000"/>
              <w:left w:val="single" w:sz="8" w:space="0" w:color="000000"/>
              <w:bottom w:val="single" w:sz="8" w:space="0" w:color="000000"/>
              <w:right w:val="single" w:sz="8" w:space="0" w:color="000000"/>
            </w:tcBorders>
          </w:tcPr>
          <w:p w:rsidR="00676772" w:rsidRPr="0065163C" w:rsidP="00FE1FB3" w14:paraId="41B4976A" w14:textId="77777777">
            <w:pPr>
              <w:autoSpaceDE w:val="0"/>
              <w:autoSpaceDN w:val="0"/>
              <w:adjustRightInd w:val="0"/>
              <w:spacing w:line="240" w:lineRule="auto"/>
              <w:jc w:val="center"/>
              <w:rPr>
                <w:b/>
                <w:color w:val="000000"/>
              </w:rPr>
            </w:pPr>
            <w:r w:rsidRPr="0065163C">
              <w:rPr>
                <w:b/>
                <w:color w:val="000000"/>
              </w:rPr>
              <w:t xml:space="preserve">No. of </w:t>
            </w:r>
          </w:p>
          <w:p w:rsidR="00676772" w:rsidRPr="0065163C" w:rsidP="00FE1FB3" w14:paraId="4821A20D" w14:textId="77777777">
            <w:pPr>
              <w:autoSpaceDE w:val="0"/>
              <w:autoSpaceDN w:val="0"/>
              <w:adjustRightInd w:val="0"/>
              <w:spacing w:line="240" w:lineRule="auto"/>
              <w:jc w:val="center"/>
              <w:rPr>
                <w:b/>
                <w:color w:val="000000"/>
              </w:rPr>
            </w:pPr>
            <w:r w:rsidRPr="0065163C">
              <w:rPr>
                <w:b/>
                <w:color w:val="000000"/>
              </w:rPr>
              <w:t xml:space="preserve">Responses per Respondent </w:t>
            </w:r>
          </w:p>
        </w:tc>
        <w:tc>
          <w:tcPr>
            <w:tcW w:w="1092" w:type="dxa"/>
            <w:tcBorders>
              <w:top w:val="single" w:sz="8" w:space="0" w:color="000000"/>
              <w:left w:val="single" w:sz="8" w:space="0" w:color="000000"/>
              <w:bottom w:val="single" w:sz="8" w:space="0" w:color="000000"/>
              <w:right w:val="single" w:sz="8" w:space="0" w:color="000000"/>
            </w:tcBorders>
          </w:tcPr>
          <w:p w:rsidR="00676772" w:rsidRPr="0065163C" w:rsidP="00FE1FB3" w14:paraId="4D52B47F" w14:textId="77777777">
            <w:pPr>
              <w:autoSpaceDE w:val="0"/>
              <w:autoSpaceDN w:val="0"/>
              <w:adjustRightInd w:val="0"/>
              <w:spacing w:line="240" w:lineRule="auto"/>
              <w:jc w:val="center"/>
              <w:rPr>
                <w:b/>
                <w:color w:val="000000"/>
              </w:rPr>
            </w:pPr>
            <w:r w:rsidRPr="0065163C">
              <w:rPr>
                <w:b/>
                <w:color w:val="000000"/>
              </w:rPr>
              <w:t xml:space="preserve">Average Burden per Response (in hours) </w:t>
            </w:r>
          </w:p>
        </w:tc>
        <w:tc>
          <w:tcPr>
            <w:tcW w:w="1150" w:type="dxa"/>
            <w:tcBorders>
              <w:top w:val="single" w:sz="8" w:space="0" w:color="000000"/>
              <w:left w:val="single" w:sz="8" w:space="0" w:color="000000"/>
              <w:bottom w:val="single" w:sz="8" w:space="0" w:color="000000"/>
              <w:right w:val="single" w:sz="8" w:space="0" w:color="000000"/>
            </w:tcBorders>
          </w:tcPr>
          <w:p w:rsidR="00676772" w:rsidRPr="0065163C" w:rsidP="00FE1FB3" w14:paraId="78E35BED" w14:textId="77777777">
            <w:pPr>
              <w:autoSpaceDE w:val="0"/>
              <w:autoSpaceDN w:val="0"/>
              <w:adjustRightInd w:val="0"/>
              <w:spacing w:line="240" w:lineRule="auto"/>
              <w:jc w:val="center"/>
              <w:rPr>
                <w:b/>
                <w:color w:val="000000"/>
              </w:rPr>
            </w:pPr>
            <w:r w:rsidRPr="0065163C">
              <w:rPr>
                <w:b/>
                <w:color w:val="000000"/>
              </w:rPr>
              <w:t>Total Burden</w:t>
            </w:r>
          </w:p>
          <w:p w:rsidR="00676772" w:rsidRPr="0065163C" w:rsidP="00FE1FB3" w14:paraId="454A939A" w14:textId="77777777">
            <w:pPr>
              <w:autoSpaceDE w:val="0"/>
              <w:autoSpaceDN w:val="0"/>
              <w:adjustRightInd w:val="0"/>
              <w:spacing w:line="240" w:lineRule="auto"/>
              <w:jc w:val="center"/>
              <w:rPr>
                <w:b/>
                <w:color w:val="000000"/>
              </w:rPr>
            </w:pPr>
            <w:r w:rsidRPr="0065163C">
              <w:rPr>
                <w:b/>
                <w:color w:val="000000"/>
              </w:rPr>
              <w:t xml:space="preserve">(in hours) </w:t>
            </w:r>
          </w:p>
        </w:tc>
      </w:tr>
      <w:tr w14:paraId="20E933AA" w14:textId="77777777" w:rsidTr="001A14D0">
        <w:tblPrEx>
          <w:tblW w:w="0" w:type="auto"/>
          <w:tblInd w:w="10" w:type="dxa"/>
          <w:tblLook w:val="0000"/>
        </w:tblPrEx>
        <w:trPr>
          <w:trHeight w:val="253"/>
        </w:trPr>
        <w:tc>
          <w:tcPr>
            <w:tcW w:w="2410" w:type="dxa"/>
            <w:tcBorders>
              <w:top w:val="single" w:sz="8" w:space="0" w:color="000000"/>
              <w:left w:val="single" w:sz="8" w:space="0" w:color="000000"/>
              <w:bottom w:val="single" w:sz="8" w:space="0" w:color="000000"/>
              <w:right w:val="single" w:sz="8" w:space="0" w:color="000000"/>
            </w:tcBorders>
          </w:tcPr>
          <w:p w:rsidR="00676772" w:rsidRPr="00A4236B" w:rsidP="00FE1FB3" w14:paraId="6CB194C3" w14:textId="7164AC45">
            <w:pPr>
              <w:autoSpaceDE w:val="0"/>
              <w:autoSpaceDN w:val="0"/>
              <w:adjustRightInd w:val="0"/>
              <w:spacing w:line="240" w:lineRule="auto"/>
              <w:rPr>
                <w:color w:val="000000"/>
              </w:rPr>
            </w:pPr>
            <w:r>
              <w:rPr>
                <w:color w:val="000000"/>
              </w:rPr>
              <w:t>Board Certified Behavior Analysts (</w:t>
            </w:r>
            <w:r w:rsidR="00005295">
              <w:rPr>
                <w:color w:val="000000"/>
              </w:rPr>
              <w:t>BCBA</w:t>
            </w:r>
            <w:r w:rsidR="00BB29F5">
              <w:rPr>
                <w:color w:val="000000"/>
              </w:rPr>
              <w:t>,</w:t>
            </w:r>
            <w:r>
              <w:rPr>
                <w:color w:val="000000"/>
              </w:rPr>
              <w:t xml:space="preserve"> </w:t>
            </w:r>
            <w:r>
              <w:t>BCBA-D</w:t>
            </w:r>
            <w:r w:rsidR="00BB29F5">
              <w:t>, and BCaBA</w:t>
            </w:r>
            <w:r>
              <w:t>)</w:t>
            </w:r>
          </w:p>
        </w:tc>
        <w:tc>
          <w:tcPr>
            <w:tcW w:w="2678" w:type="dxa"/>
            <w:tcBorders>
              <w:top w:val="single" w:sz="8" w:space="0" w:color="000000"/>
              <w:left w:val="single" w:sz="8" w:space="0" w:color="000000"/>
              <w:bottom w:val="single" w:sz="8" w:space="0" w:color="000000"/>
              <w:right w:val="single" w:sz="8" w:space="0" w:color="000000"/>
            </w:tcBorders>
          </w:tcPr>
          <w:p w:rsidR="00676772" w:rsidP="00FE1FB3" w14:paraId="33069CCA" w14:textId="11BF343F">
            <w:pPr>
              <w:autoSpaceDE w:val="0"/>
              <w:autoSpaceDN w:val="0"/>
              <w:adjustRightInd w:val="0"/>
              <w:spacing w:line="240" w:lineRule="auto"/>
              <w:jc w:val="center"/>
              <w:rPr>
                <w:color w:val="000000"/>
              </w:rPr>
            </w:pPr>
            <w:r>
              <w:rPr>
                <w:color w:val="000000"/>
              </w:rPr>
              <w:t>Survey</w:t>
            </w:r>
          </w:p>
        </w:tc>
        <w:tc>
          <w:tcPr>
            <w:tcW w:w="1404" w:type="dxa"/>
            <w:tcBorders>
              <w:top w:val="single" w:sz="8" w:space="0" w:color="000000"/>
              <w:left w:val="single" w:sz="8" w:space="0" w:color="000000"/>
              <w:bottom w:val="single" w:sz="8" w:space="0" w:color="000000"/>
              <w:right w:val="single" w:sz="8" w:space="0" w:color="000000"/>
            </w:tcBorders>
          </w:tcPr>
          <w:p w:rsidR="00676772" w:rsidRPr="00A4236B" w:rsidP="00FE1FB3" w14:paraId="73A4EECE" w14:textId="68CF39E4">
            <w:pPr>
              <w:autoSpaceDE w:val="0"/>
              <w:autoSpaceDN w:val="0"/>
              <w:adjustRightInd w:val="0"/>
              <w:spacing w:line="240" w:lineRule="auto"/>
              <w:jc w:val="center"/>
              <w:rPr>
                <w:color w:val="000000"/>
              </w:rPr>
            </w:pPr>
            <w:r>
              <w:rPr>
                <w:color w:val="000000"/>
              </w:rPr>
              <w:t>8,640</w:t>
            </w:r>
          </w:p>
        </w:tc>
        <w:tc>
          <w:tcPr>
            <w:tcW w:w="1316" w:type="dxa"/>
            <w:tcBorders>
              <w:top w:val="single" w:sz="8" w:space="0" w:color="000000"/>
              <w:left w:val="single" w:sz="8" w:space="0" w:color="000000"/>
              <w:bottom w:val="single" w:sz="8" w:space="0" w:color="000000"/>
              <w:right w:val="single" w:sz="8" w:space="0" w:color="000000"/>
            </w:tcBorders>
          </w:tcPr>
          <w:p w:rsidR="00676772" w:rsidRPr="00A4236B" w:rsidP="00FE1FB3" w14:paraId="196A3951" w14:textId="77777777">
            <w:pPr>
              <w:autoSpaceDE w:val="0"/>
              <w:autoSpaceDN w:val="0"/>
              <w:adjustRightInd w:val="0"/>
              <w:spacing w:line="240" w:lineRule="auto"/>
              <w:jc w:val="center"/>
              <w:rPr>
                <w:color w:val="000000"/>
              </w:rPr>
            </w:pPr>
            <w:r w:rsidRPr="00A4236B">
              <w:rPr>
                <w:color w:val="000000"/>
              </w:rPr>
              <w:t>1</w:t>
            </w:r>
          </w:p>
        </w:tc>
        <w:tc>
          <w:tcPr>
            <w:tcW w:w="1092" w:type="dxa"/>
            <w:tcBorders>
              <w:top w:val="single" w:sz="8" w:space="0" w:color="000000"/>
              <w:left w:val="single" w:sz="8" w:space="0" w:color="000000"/>
              <w:bottom w:val="single" w:sz="8" w:space="0" w:color="000000"/>
              <w:right w:val="single" w:sz="8" w:space="0" w:color="000000"/>
            </w:tcBorders>
          </w:tcPr>
          <w:p w:rsidR="00676772" w:rsidRPr="00A4236B" w:rsidP="00FE1FB3" w14:paraId="1B25A23C" w14:textId="62613B6E">
            <w:pPr>
              <w:autoSpaceDE w:val="0"/>
              <w:autoSpaceDN w:val="0"/>
              <w:adjustRightInd w:val="0"/>
              <w:spacing w:line="240" w:lineRule="auto"/>
              <w:jc w:val="center"/>
              <w:rPr>
                <w:color w:val="000000"/>
              </w:rPr>
            </w:pPr>
            <w:r>
              <w:rPr>
                <w:color w:val="000000"/>
              </w:rPr>
              <w:t>10/60</w:t>
            </w:r>
          </w:p>
        </w:tc>
        <w:tc>
          <w:tcPr>
            <w:tcW w:w="1150" w:type="dxa"/>
            <w:tcBorders>
              <w:top w:val="single" w:sz="8" w:space="0" w:color="000000"/>
              <w:left w:val="single" w:sz="8" w:space="0" w:color="000000"/>
              <w:bottom w:val="single" w:sz="8" w:space="0" w:color="000000"/>
              <w:right w:val="single" w:sz="8" w:space="0" w:color="000000"/>
            </w:tcBorders>
          </w:tcPr>
          <w:p w:rsidR="00676772" w:rsidRPr="00A4236B" w:rsidP="00FE1FB3" w14:paraId="0DCD880E" w14:textId="778B5584">
            <w:pPr>
              <w:autoSpaceDE w:val="0"/>
              <w:autoSpaceDN w:val="0"/>
              <w:adjustRightInd w:val="0"/>
              <w:spacing w:line="240" w:lineRule="auto"/>
              <w:jc w:val="center"/>
              <w:rPr>
                <w:color w:val="000000"/>
              </w:rPr>
            </w:pPr>
            <w:r>
              <w:rPr>
                <w:color w:val="000000"/>
              </w:rPr>
              <w:t>1,</w:t>
            </w:r>
            <w:r w:rsidR="00BB29F5">
              <w:rPr>
                <w:color w:val="000000"/>
              </w:rPr>
              <w:t>440</w:t>
            </w:r>
          </w:p>
        </w:tc>
      </w:tr>
      <w:tr w14:paraId="423ED294" w14:textId="77777777" w:rsidTr="001A14D0">
        <w:tblPrEx>
          <w:tblW w:w="0" w:type="auto"/>
          <w:tblInd w:w="10" w:type="dxa"/>
          <w:tblLook w:val="0000"/>
        </w:tblPrEx>
        <w:trPr>
          <w:trHeight w:val="253"/>
        </w:trPr>
        <w:tc>
          <w:tcPr>
            <w:tcW w:w="2410" w:type="dxa"/>
            <w:tcBorders>
              <w:top w:val="single" w:sz="8" w:space="0" w:color="000000"/>
              <w:left w:val="single" w:sz="8" w:space="0" w:color="000000"/>
              <w:bottom w:val="single" w:sz="8" w:space="0" w:color="000000"/>
              <w:right w:val="single" w:sz="8" w:space="0" w:color="000000"/>
            </w:tcBorders>
          </w:tcPr>
          <w:p w:rsidR="00676772" w:rsidP="00FE1FB3" w14:paraId="628DC3D5" w14:textId="2AA5048A">
            <w:pPr>
              <w:autoSpaceDE w:val="0"/>
              <w:autoSpaceDN w:val="0"/>
              <w:adjustRightInd w:val="0"/>
              <w:spacing w:line="240" w:lineRule="auto"/>
              <w:rPr>
                <w:color w:val="000000"/>
              </w:rPr>
            </w:pPr>
            <w:r>
              <w:rPr>
                <w:color w:val="000000"/>
              </w:rPr>
              <w:t>Registered Behavior Technicians (RBT)</w:t>
            </w:r>
          </w:p>
        </w:tc>
        <w:tc>
          <w:tcPr>
            <w:tcW w:w="2678" w:type="dxa"/>
            <w:tcBorders>
              <w:top w:val="single" w:sz="8" w:space="0" w:color="000000"/>
              <w:left w:val="single" w:sz="8" w:space="0" w:color="000000"/>
              <w:bottom w:val="single" w:sz="8" w:space="0" w:color="000000"/>
              <w:right w:val="single" w:sz="8" w:space="0" w:color="000000"/>
            </w:tcBorders>
          </w:tcPr>
          <w:p w:rsidR="00676772" w:rsidP="00FE1FB3" w14:paraId="28734169" w14:textId="75605E82">
            <w:pPr>
              <w:autoSpaceDE w:val="0"/>
              <w:autoSpaceDN w:val="0"/>
              <w:adjustRightInd w:val="0"/>
              <w:spacing w:line="240" w:lineRule="auto"/>
              <w:jc w:val="center"/>
              <w:rPr>
                <w:color w:val="000000"/>
              </w:rPr>
            </w:pPr>
            <w:r>
              <w:rPr>
                <w:color w:val="000000"/>
              </w:rPr>
              <w:t>Survey</w:t>
            </w:r>
          </w:p>
        </w:tc>
        <w:tc>
          <w:tcPr>
            <w:tcW w:w="1404" w:type="dxa"/>
            <w:tcBorders>
              <w:top w:val="single" w:sz="8" w:space="0" w:color="000000"/>
              <w:left w:val="single" w:sz="8" w:space="0" w:color="000000"/>
              <w:bottom w:val="single" w:sz="8" w:space="0" w:color="000000"/>
              <w:right w:val="single" w:sz="8" w:space="0" w:color="000000"/>
            </w:tcBorders>
          </w:tcPr>
          <w:p w:rsidR="00676772" w:rsidP="00FE1FB3" w14:paraId="739EA38F" w14:textId="3DB373EE">
            <w:pPr>
              <w:autoSpaceDE w:val="0"/>
              <w:autoSpaceDN w:val="0"/>
              <w:adjustRightInd w:val="0"/>
              <w:spacing w:line="240" w:lineRule="auto"/>
              <w:jc w:val="center"/>
              <w:rPr>
                <w:color w:val="000000"/>
              </w:rPr>
            </w:pPr>
            <w:r>
              <w:rPr>
                <w:color w:val="000000"/>
              </w:rPr>
              <w:t>15,360</w:t>
            </w:r>
          </w:p>
        </w:tc>
        <w:tc>
          <w:tcPr>
            <w:tcW w:w="1316" w:type="dxa"/>
            <w:tcBorders>
              <w:top w:val="single" w:sz="8" w:space="0" w:color="000000"/>
              <w:left w:val="single" w:sz="8" w:space="0" w:color="000000"/>
              <w:bottom w:val="single" w:sz="8" w:space="0" w:color="000000"/>
              <w:right w:val="single" w:sz="8" w:space="0" w:color="000000"/>
            </w:tcBorders>
          </w:tcPr>
          <w:p w:rsidR="00676772" w:rsidRPr="00A4236B" w:rsidP="00FE1FB3" w14:paraId="27F59558" w14:textId="0D7FF739">
            <w:pPr>
              <w:autoSpaceDE w:val="0"/>
              <w:autoSpaceDN w:val="0"/>
              <w:adjustRightInd w:val="0"/>
              <w:spacing w:line="240" w:lineRule="auto"/>
              <w:jc w:val="center"/>
              <w:rPr>
                <w:color w:val="000000"/>
              </w:rPr>
            </w:pPr>
            <w:r>
              <w:rPr>
                <w:color w:val="000000"/>
              </w:rPr>
              <w:t>1</w:t>
            </w:r>
          </w:p>
        </w:tc>
        <w:tc>
          <w:tcPr>
            <w:tcW w:w="1092" w:type="dxa"/>
            <w:tcBorders>
              <w:top w:val="single" w:sz="8" w:space="0" w:color="000000"/>
              <w:left w:val="single" w:sz="8" w:space="0" w:color="000000"/>
              <w:bottom w:val="single" w:sz="8" w:space="0" w:color="000000"/>
              <w:right w:val="single" w:sz="8" w:space="0" w:color="000000"/>
            </w:tcBorders>
          </w:tcPr>
          <w:p w:rsidR="00676772" w:rsidP="00FE1FB3" w14:paraId="136F1621" w14:textId="27803288">
            <w:pPr>
              <w:autoSpaceDE w:val="0"/>
              <w:autoSpaceDN w:val="0"/>
              <w:adjustRightInd w:val="0"/>
              <w:spacing w:line="240" w:lineRule="auto"/>
              <w:jc w:val="center"/>
              <w:rPr>
                <w:color w:val="000000"/>
              </w:rPr>
            </w:pPr>
            <w:r>
              <w:rPr>
                <w:color w:val="000000"/>
              </w:rPr>
              <w:t>10/60</w:t>
            </w:r>
          </w:p>
        </w:tc>
        <w:tc>
          <w:tcPr>
            <w:tcW w:w="1150" w:type="dxa"/>
            <w:tcBorders>
              <w:top w:val="single" w:sz="8" w:space="0" w:color="000000"/>
              <w:left w:val="single" w:sz="8" w:space="0" w:color="000000"/>
              <w:bottom w:val="single" w:sz="8" w:space="0" w:color="000000"/>
              <w:right w:val="single" w:sz="8" w:space="0" w:color="000000"/>
            </w:tcBorders>
          </w:tcPr>
          <w:p w:rsidR="00676772" w:rsidP="00FE1FB3" w14:paraId="27B0BC91" w14:textId="300F422E">
            <w:pPr>
              <w:autoSpaceDE w:val="0"/>
              <w:autoSpaceDN w:val="0"/>
              <w:adjustRightInd w:val="0"/>
              <w:spacing w:line="240" w:lineRule="auto"/>
              <w:jc w:val="center"/>
              <w:rPr>
                <w:color w:val="000000"/>
              </w:rPr>
            </w:pPr>
            <w:r>
              <w:rPr>
                <w:color w:val="000000"/>
              </w:rPr>
              <w:t>2,560</w:t>
            </w:r>
          </w:p>
        </w:tc>
      </w:tr>
      <w:tr w14:paraId="16E7FFFB" w14:textId="77777777" w:rsidTr="001A14D0">
        <w:tblPrEx>
          <w:tblW w:w="0" w:type="auto"/>
          <w:tblInd w:w="10" w:type="dxa"/>
          <w:tblLook w:val="0000"/>
        </w:tblPrEx>
        <w:trPr>
          <w:trHeight w:val="253"/>
        </w:trPr>
        <w:tc>
          <w:tcPr>
            <w:tcW w:w="2410" w:type="dxa"/>
            <w:tcBorders>
              <w:top w:val="single" w:sz="8" w:space="0" w:color="000000"/>
              <w:left w:val="single" w:sz="8" w:space="0" w:color="000000"/>
              <w:bottom w:val="single" w:sz="8" w:space="0" w:color="000000"/>
              <w:right w:val="single" w:sz="8" w:space="0" w:color="000000"/>
            </w:tcBorders>
          </w:tcPr>
          <w:p w:rsidR="00676772" w:rsidRPr="0065163C" w:rsidP="00FE1FB3" w14:paraId="0A16EBC4" w14:textId="3E1B1DB7">
            <w:pPr>
              <w:autoSpaceDE w:val="0"/>
              <w:autoSpaceDN w:val="0"/>
              <w:adjustRightInd w:val="0"/>
              <w:spacing w:line="240" w:lineRule="auto"/>
              <w:rPr>
                <w:b/>
                <w:color w:val="000000"/>
              </w:rPr>
            </w:pPr>
            <w:r>
              <w:rPr>
                <w:b/>
                <w:color w:val="000000"/>
              </w:rPr>
              <w:t>Total</w:t>
            </w:r>
          </w:p>
        </w:tc>
        <w:tc>
          <w:tcPr>
            <w:tcW w:w="6490" w:type="dxa"/>
            <w:gridSpan w:val="4"/>
            <w:tcBorders>
              <w:top w:val="single" w:sz="8" w:space="0" w:color="000000"/>
              <w:left w:val="single" w:sz="8" w:space="0" w:color="000000"/>
              <w:bottom w:val="single" w:sz="8" w:space="0" w:color="000000"/>
              <w:right w:val="single" w:sz="8" w:space="0" w:color="000000"/>
            </w:tcBorders>
          </w:tcPr>
          <w:p w:rsidR="00676772" w:rsidRPr="0065163C" w:rsidP="00FE1FB3" w14:paraId="2D6FCB8A" w14:textId="1F56B1A8">
            <w:pPr>
              <w:autoSpaceDE w:val="0"/>
              <w:autoSpaceDN w:val="0"/>
              <w:adjustRightInd w:val="0"/>
              <w:spacing w:line="240" w:lineRule="auto"/>
              <w:rPr>
                <w:b/>
                <w:color w:val="000000"/>
              </w:rPr>
            </w:pPr>
          </w:p>
        </w:tc>
        <w:tc>
          <w:tcPr>
            <w:tcW w:w="1150" w:type="dxa"/>
            <w:tcBorders>
              <w:top w:val="single" w:sz="8" w:space="0" w:color="000000"/>
              <w:left w:val="single" w:sz="8" w:space="0" w:color="000000"/>
              <w:bottom w:val="single" w:sz="8" w:space="0" w:color="000000"/>
              <w:right w:val="single" w:sz="8" w:space="0" w:color="000000"/>
            </w:tcBorders>
          </w:tcPr>
          <w:p w:rsidR="00676772" w:rsidRPr="00A4236B" w:rsidP="00FE1FB3" w14:paraId="34E02B40" w14:textId="1BBE3BD7">
            <w:pPr>
              <w:autoSpaceDE w:val="0"/>
              <w:autoSpaceDN w:val="0"/>
              <w:adjustRightInd w:val="0"/>
              <w:spacing w:line="240" w:lineRule="auto"/>
              <w:jc w:val="center"/>
              <w:rPr>
                <w:color w:val="000000"/>
              </w:rPr>
            </w:pPr>
            <w:r>
              <w:rPr>
                <w:color w:val="000000"/>
              </w:rPr>
              <w:t>4,000</w:t>
            </w:r>
          </w:p>
        </w:tc>
      </w:tr>
    </w:tbl>
    <w:p w:rsidR="00C53313" w:rsidP="00FE1FB3" w14:paraId="130CD54F" w14:textId="6E5FED58">
      <w:pPr>
        <w:spacing w:line="240" w:lineRule="auto"/>
      </w:pPr>
    </w:p>
    <w:p w:rsidR="00C53313" w:rsidP="00FE1FB3" w14:paraId="71214B44" w14:textId="144E398F">
      <w:pPr>
        <w:spacing w:line="240" w:lineRule="auto"/>
      </w:pPr>
      <w:r>
        <w:t>B. There are no standard occupational classification codes for applied behavior analysis workers</w:t>
      </w:r>
      <w:r w:rsidR="00134E91">
        <w:t xml:space="preserve">. Therefore, </w:t>
      </w:r>
      <w:r>
        <w:t xml:space="preserve">the occupations listed in the burden costs table below are the categories under which applied behavior analysis workers are frequently listed. </w:t>
      </w:r>
      <w:r w:rsidR="00134E91">
        <w:t>‘</w:t>
      </w:r>
      <w:r>
        <w:t>Counselors, All Other</w:t>
      </w:r>
      <w:r w:rsidR="00134E91">
        <w:t>’</w:t>
      </w:r>
      <w:r>
        <w:t xml:space="preserve"> was listed as the most commonly used classification for this population of workers in a report commissioned by the Behavior Analyst Certification Board [Burning Glass, 2015]. At the time of that report, the registered behavior technician certification did not exist</w:t>
      </w:r>
      <w:r w:rsidR="00134E91">
        <w:t>. Therefore,</w:t>
      </w:r>
      <w:r>
        <w:t xml:space="preserve"> it is unknown what </w:t>
      </w:r>
      <w:r w:rsidR="00CE392F">
        <w:t xml:space="preserve">code is typically used for </w:t>
      </w:r>
      <w:r>
        <w:t xml:space="preserve">this occupation. Psychiatric Technicians and Aides was selected for this population of workers as it is the most similar occupation. </w:t>
      </w:r>
      <w:r w:rsidR="00BD6081">
        <w:t xml:space="preserve">The hourly wage rates listed in the table below are from the </w:t>
      </w:r>
      <w:r w:rsidR="000D4C01">
        <w:t xml:space="preserve">Occupational Employment Statistics. </w:t>
      </w:r>
    </w:p>
    <w:tbl>
      <w:tblPr>
        <w:tblStyle w:val="TableGrid"/>
        <w:tblW w:w="0" w:type="auto"/>
        <w:tblInd w:w="-5" w:type="dxa"/>
        <w:tblLook w:val="04A0"/>
      </w:tblPr>
      <w:tblGrid>
        <w:gridCol w:w="1430"/>
        <w:gridCol w:w="1523"/>
        <w:gridCol w:w="1430"/>
        <w:gridCol w:w="1355"/>
        <w:gridCol w:w="990"/>
        <w:gridCol w:w="950"/>
        <w:gridCol w:w="1430"/>
      </w:tblGrid>
      <w:tr w14:paraId="47CB8CE4" w14:textId="77777777" w:rsidTr="00F258C1">
        <w:tblPrEx>
          <w:tblW w:w="0" w:type="auto"/>
          <w:tblInd w:w="-5" w:type="dxa"/>
          <w:tblLook w:val="04A0"/>
        </w:tblPrEx>
        <w:tc>
          <w:tcPr>
            <w:tcW w:w="1430" w:type="dxa"/>
          </w:tcPr>
          <w:p w:rsidR="006C549F" w:rsidRPr="006C549F" w:rsidP="00FE1FB3" w14:paraId="4FF34039" w14:textId="77777777">
            <w:pPr>
              <w:spacing w:after="160"/>
              <w:rPr>
                <w:b/>
              </w:rPr>
            </w:pPr>
            <w:r w:rsidRPr="006C549F">
              <w:rPr>
                <w:b/>
              </w:rPr>
              <w:t>Type of Respondent</w:t>
            </w:r>
          </w:p>
        </w:tc>
        <w:tc>
          <w:tcPr>
            <w:tcW w:w="1523" w:type="dxa"/>
          </w:tcPr>
          <w:p w:rsidR="006C549F" w:rsidRPr="006C549F" w:rsidP="00FE1FB3" w14:paraId="41F3BD46" w14:textId="488EAFDD">
            <w:pPr>
              <w:spacing w:after="160"/>
              <w:rPr>
                <w:b/>
              </w:rPr>
            </w:pPr>
            <w:r w:rsidRPr="006C549F">
              <w:rPr>
                <w:b/>
              </w:rPr>
              <w:t xml:space="preserve">No. </w:t>
            </w:r>
            <w:r w:rsidR="003B6B59">
              <w:rPr>
                <w:b/>
              </w:rPr>
              <w:t>o</w:t>
            </w:r>
            <w:r w:rsidRPr="006C549F">
              <w:rPr>
                <w:b/>
              </w:rPr>
              <w:t>f Respondents</w:t>
            </w:r>
          </w:p>
        </w:tc>
        <w:tc>
          <w:tcPr>
            <w:tcW w:w="1430" w:type="dxa"/>
          </w:tcPr>
          <w:p w:rsidR="006C549F" w:rsidRPr="006C549F" w:rsidP="00FE1FB3" w14:paraId="3EB0F5DB" w14:textId="77777777">
            <w:pPr>
              <w:spacing w:after="160"/>
              <w:rPr>
                <w:b/>
              </w:rPr>
            </w:pPr>
            <w:r w:rsidRPr="006C549F">
              <w:rPr>
                <w:b/>
              </w:rPr>
              <w:t>No. Responses per Respondent</w:t>
            </w:r>
          </w:p>
        </w:tc>
        <w:tc>
          <w:tcPr>
            <w:tcW w:w="1355" w:type="dxa"/>
          </w:tcPr>
          <w:p w:rsidR="006C549F" w:rsidRPr="006C549F" w:rsidP="00FE1FB3" w14:paraId="25D49AB7" w14:textId="77777777">
            <w:pPr>
              <w:spacing w:after="160"/>
              <w:rPr>
                <w:b/>
              </w:rPr>
            </w:pPr>
            <w:r w:rsidRPr="006C549F">
              <w:rPr>
                <w:b/>
              </w:rPr>
              <w:t>Avg. Burden per Response (in hours)</w:t>
            </w:r>
          </w:p>
        </w:tc>
        <w:tc>
          <w:tcPr>
            <w:tcW w:w="990" w:type="dxa"/>
          </w:tcPr>
          <w:p w:rsidR="006C549F" w:rsidRPr="006C549F" w:rsidP="00FE1FB3" w14:paraId="6840353F" w14:textId="77777777">
            <w:pPr>
              <w:spacing w:after="160"/>
              <w:rPr>
                <w:b/>
              </w:rPr>
            </w:pPr>
            <w:r w:rsidRPr="006C549F">
              <w:rPr>
                <w:b/>
              </w:rPr>
              <w:t>Total Burden Hours</w:t>
            </w:r>
          </w:p>
        </w:tc>
        <w:tc>
          <w:tcPr>
            <w:tcW w:w="950" w:type="dxa"/>
          </w:tcPr>
          <w:p w:rsidR="006C549F" w:rsidRPr="006C549F" w:rsidP="00FE1FB3" w14:paraId="024798C4" w14:textId="77777777">
            <w:pPr>
              <w:spacing w:after="160"/>
              <w:rPr>
                <w:b/>
              </w:rPr>
            </w:pPr>
            <w:r w:rsidRPr="006C549F">
              <w:rPr>
                <w:b/>
              </w:rPr>
              <w:t>Hourly Wage Rate</w:t>
            </w:r>
          </w:p>
        </w:tc>
        <w:tc>
          <w:tcPr>
            <w:tcW w:w="1430" w:type="dxa"/>
          </w:tcPr>
          <w:p w:rsidR="006C549F" w:rsidRPr="006C549F" w:rsidP="00FE1FB3" w14:paraId="0FBC59BE" w14:textId="77777777">
            <w:pPr>
              <w:spacing w:after="160"/>
              <w:rPr>
                <w:b/>
              </w:rPr>
            </w:pPr>
            <w:r w:rsidRPr="006C549F">
              <w:rPr>
                <w:b/>
              </w:rPr>
              <w:t>Total Respondent Costs</w:t>
            </w:r>
          </w:p>
        </w:tc>
      </w:tr>
      <w:tr w14:paraId="3906707A" w14:textId="77777777" w:rsidTr="00F258C1">
        <w:tblPrEx>
          <w:tblW w:w="0" w:type="auto"/>
          <w:tblInd w:w="-5" w:type="dxa"/>
          <w:tblLook w:val="04A0"/>
        </w:tblPrEx>
        <w:trPr>
          <w:trHeight w:val="998"/>
        </w:trPr>
        <w:tc>
          <w:tcPr>
            <w:tcW w:w="1430" w:type="dxa"/>
            <w:vAlign w:val="center"/>
          </w:tcPr>
          <w:p w:rsidR="006C549F" w:rsidRPr="006C549F" w:rsidP="00FE1FB3" w14:paraId="66E8E084" w14:textId="6B6D613F">
            <w:pPr>
              <w:spacing w:after="160"/>
            </w:pPr>
            <w:r>
              <w:t>Counselors, All Other</w:t>
            </w:r>
          </w:p>
        </w:tc>
        <w:tc>
          <w:tcPr>
            <w:tcW w:w="1523" w:type="dxa"/>
            <w:vAlign w:val="center"/>
          </w:tcPr>
          <w:p w:rsidR="006C549F" w:rsidRPr="006C549F" w:rsidP="00FE1FB3" w14:paraId="0EFA120E" w14:textId="67671CF0">
            <w:pPr>
              <w:spacing w:after="160"/>
            </w:pPr>
            <w:r>
              <w:t>8,640</w:t>
            </w:r>
          </w:p>
        </w:tc>
        <w:tc>
          <w:tcPr>
            <w:tcW w:w="1430" w:type="dxa"/>
            <w:vAlign w:val="center"/>
          </w:tcPr>
          <w:p w:rsidR="006C549F" w:rsidRPr="006C549F" w:rsidP="00FE1FB3" w14:paraId="2A935E5B" w14:textId="77777777">
            <w:pPr>
              <w:spacing w:after="160"/>
            </w:pPr>
            <w:r w:rsidRPr="006C549F">
              <w:t>1</w:t>
            </w:r>
          </w:p>
        </w:tc>
        <w:tc>
          <w:tcPr>
            <w:tcW w:w="1355" w:type="dxa"/>
            <w:vAlign w:val="center"/>
          </w:tcPr>
          <w:p w:rsidR="006C549F" w:rsidRPr="006C549F" w:rsidP="00FE1FB3" w14:paraId="72979688" w14:textId="414DDD15">
            <w:pPr>
              <w:spacing w:after="160"/>
            </w:pPr>
            <w:r>
              <w:t>10</w:t>
            </w:r>
            <w:r w:rsidRPr="006C549F">
              <w:t>/60</w:t>
            </w:r>
          </w:p>
        </w:tc>
        <w:tc>
          <w:tcPr>
            <w:tcW w:w="990" w:type="dxa"/>
            <w:vAlign w:val="center"/>
          </w:tcPr>
          <w:p w:rsidR="006C549F" w:rsidRPr="006C549F" w:rsidP="00FE1FB3" w14:paraId="3C76D891" w14:textId="1B9B7449">
            <w:pPr>
              <w:spacing w:after="160"/>
            </w:pPr>
            <w:r>
              <w:t>1,440</w:t>
            </w:r>
          </w:p>
        </w:tc>
        <w:tc>
          <w:tcPr>
            <w:tcW w:w="950" w:type="dxa"/>
            <w:vAlign w:val="center"/>
          </w:tcPr>
          <w:p w:rsidR="006C549F" w:rsidRPr="006C549F" w:rsidP="00FE1FB3" w14:paraId="365F0194" w14:textId="5CB8B808">
            <w:pPr>
              <w:spacing w:after="160"/>
            </w:pPr>
            <w:r w:rsidRPr="006C549F">
              <w:t>$</w:t>
            </w:r>
            <w:r w:rsidR="00CA3C0D">
              <w:t>2</w:t>
            </w:r>
            <w:r w:rsidR="0022784F">
              <w:t>4.00</w:t>
            </w:r>
          </w:p>
        </w:tc>
        <w:tc>
          <w:tcPr>
            <w:tcW w:w="1430" w:type="dxa"/>
            <w:vAlign w:val="center"/>
          </w:tcPr>
          <w:p w:rsidR="006C549F" w:rsidRPr="006C549F" w:rsidP="00FE1FB3" w14:paraId="75CC4881" w14:textId="7DEC0AF3">
            <w:pPr>
              <w:spacing w:after="160"/>
            </w:pPr>
            <w:r w:rsidRPr="006C549F">
              <w:t>$</w:t>
            </w:r>
            <w:r w:rsidR="00BB29F5">
              <w:t>34,560</w:t>
            </w:r>
            <w:r w:rsidR="00090328">
              <w:t>.</w:t>
            </w:r>
            <w:r w:rsidRPr="006C549F">
              <w:t>00</w:t>
            </w:r>
          </w:p>
        </w:tc>
      </w:tr>
      <w:tr w14:paraId="075B5799" w14:textId="77777777" w:rsidTr="00F258C1">
        <w:tblPrEx>
          <w:tblW w:w="0" w:type="auto"/>
          <w:tblInd w:w="-5" w:type="dxa"/>
          <w:tblLook w:val="04A0"/>
        </w:tblPrEx>
        <w:trPr>
          <w:trHeight w:val="998"/>
        </w:trPr>
        <w:tc>
          <w:tcPr>
            <w:tcW w:w="1430" w:type="dxa"/>
            <w:vAlign w:val="center"/>
          </w:tcPr>
          <w:p w:rsidR="00777E1B" w:rsidP="00FE1FB3" w14:paraId="43E7D71F" w14:textId="0D751A26">
            <w:r>
              <w:t>Psychiatric Technicians and Aides</w:t>
            </w:r>
          </w:p>
        </w:tc>
        <w:tc>
          <w:tcPr>
            <w:tcW w:w="1523" w:type="dxa"/>
            <w:vAlign w:val="center"/>
          </w:tcPr>
          <w:p w:rsidR="00777E1B" w:rsidP="00FE1FB3" w14:paraId="30348BF1" w14:textId="37B53AAF">
            <w:r>
              <w:t>15,360</w:t>
            </w:r>
          </w:p>
        </w:tc>
        <w:tc>
          <w:tcPr>
            <w:tcW w:w="1430" w:type="dxa"/>
            <w:vAlign w:val="center"/>
          </w:tcPr>
          <w:p w:rsidR="00777E1B" w:rsidRPr="006C549F" w:rsidP="00FE1FB3" w14:paraId="6AE9618F" w14:textId="56F093C9">
            <w:r>
              <w:t>1</w:t>
            </w:r>
          </w:p>
        </w:tc>
        <w:tc>
          <w:tcPr>
            <w:tcW w:w="1355" w:type="dxa"/>
            <w:vAlign w:val="center"/>
          </w:tcPr>
          <w:p w:rsidR="00777E1B" w:rsidP="00FE1FB3" w14:paraId="16508FF5" w14:textId="2F71D87C">
            <w:r>
              <w:t>10/60</w:t>
            </w:r>
          </w:p>
        </w:tc>
        <w:tc>
          <w:tcPr>
            <w:tcW w:w="990" w:type="dxa"/>
            <w:vAlign w:val="center"/>
          </w:tcPr>
          <w:p w:rsidR="00777E1B" w:rsidP="00FE1FB3" w14:paraId="2BAF57C9" w14:textId="093428B9">
            <w:r>
              <w:t>2,560</w:t>
            </w:r>
          </w:p>
        </w:tc>
        <w:tc>
          <w:tcPr>
            <w:tcW w:w="950" w:type="dxa"/>
            <w:vAlign w:val="center"/>
          </w:tcPr>
          <w:p w:rsidR="00777E1B" w:rsidRPr="006C549F" w:rsidP="00FE1FB3" w14:paraId="00C79330" w14:textId="5EEFFF86">
            <w:r>
              <w:t>$16.00</w:t>
            </w:r>
          </w:p>
        </w:tc>
        <w:tc>
          <w:tcPr>
            <w:tcW w:w="1430" w:type="dxa"/>
            <w:vAlign w:val="center"/>
          </w:tcPr>
          <w:p w:rsidR="00777E1B" w:rsidRPr="006C549F" w:rsidP="00FE1FB3" w14:paraId="036651C3" w14:textId="7DDBD795">
            <w:r>
              <w:t>$</w:t>
            </w:r>
            <w:r w:rsidR="00BB29F5">
              <w:t>40,960</w:t>
            </w:r>
            <w:r>
              <w:t>.00</w:t>
            </w:r>
          </w:p>
        </w:tc>
      </w:tr>
      <w:tr w14:paraId="2A37BCC2" w14:textId="77777777" w:rsidTr="00F258C1">
        <w:tblPrEx>
          <w:tblW w:w="0" w:type="auto"/>
          <w:tblInd w:w="-5" w:type="dxa"/>
          <w:tblLook w:val="04A0"/>
        </w:tblPrEx>
        <w:tc>
          <w:tcPr>
            <w:tcW w:w="1430" w:type="dxa"/>
          </w:tcPr>
          <w:p w:rsidR="006C549F" w:rsidRPr="006C549F" w:rsidP="00FE1FB3" w14:paraId="4715DCA6" w14:textId="77777777">
            <w:pPr>
              <w:spacing w:after="160"/>
            </w:pPr>
            <w:r w:rsidRPr="006C549F">
              <w:t>Total</w:t>
            </w:r>
          </w:p>
        </w:tc>
        <w:tc>
          <w:tcPr>
            <w:tcW w:w="7678" w:type="dxa"/>
            <w:gridSpan w:val="6"/>
            <w:vAlign w:val="center"/>
          </w:tcPr>
          <w:p w:rsidR="006C549F" w:rsidRPr="006C549F" w:rsidP="00FE1FB3" w14:paraId="2CBEAE76" w14:textId="241DB1C5">
            <w:pPr>
              <w:spacing w:after="160"/>
            </w:pPr>
            <w:r w:rsidRPr="006C549F">
              <w:t>$</w:t>
            </w:r>
            <w:r w:rsidR="00D12CC2">
              <w:t>75,</w:t>
            </w:r>
            <w:r w:rsidR="00DA743E">
              <w:t>520</w:t>
            </w:r>
            <w:r w:rsidRPr="006C549F">
              <w:t>.00</w:t>
            </w:r>
          </w:p>
        </w:tc>
      </w:tr>
    </w:tbl>
    <w:p w:rsidR="00C53313" w:rsidP="00FE1FB3" w14:paraId="3F86F14E" w14:textId="3B4D35AF">
      <w:pPr>
        <w:spacing w:line="240" w:lineRule="auto"/>
      </w:pPr>
    </w:p>
    <w:p w:rsidR="006A7EF6" w:rsidRPr="00994E20" w:rsidP="00C53E16" w14:paraId="47DC924E" w14:textId="3E3AA880">
      <w:pPr>
        <w:pStyle w:val="Heading1"/>
        <w:numPr>
          <w:ilvl w:val="0"/>
          <w:numId w:val="6"/>
        </w:numPr>
        <w:rPr>
          <w:b/>
          <w:bCs/>
          <w:color w:val="auto"/>
          <w:sz w:val="24"/>
          <w:szCs w:val="24"/>
        </w:rPr>
      </w:pPr>
      <w:bookmarkStart w:id="16" w:name="_Toc49415636"/>
      <w:r w:rsidRPr="00994E20">
        <w:rPr>
          <w:b/>
          <w:bCs/>
          <w:color w:val="auto"/>
          <w:sz w:val="24"/>
          <w:szCs w:val="24"/>
        </w:rPr>
        <w:t>Estimates of Other Total Annual Cost Burden to Respondents or Record Keepers</w:t>
      </w:r>
      <w:bookmarkEnd w:id="16"/>
    </w:p>
    <w:p w:rsidR="00A33D63" w:rsidP="00FE1FB3" w14:paraId="581710C4" w14:textId="40D5B6CB">
      <w:pPr>
        <w:spacing w:line="240" w:lineRule="auto"/>
      </w:pPr>
      <w:r w:rsidRPr="00040D22">
        <w:t>There will be no capital, operating, or maintenance costs to the respondents</w:t>
      </w:r>
      <w:r>
        <w:t>.</w:t>
      </w:r>
    </w:p>
    <w:p w:rsidR="006A7EF6" w:rsidRPr="00994E20" w:rsidP="00E25428" w14:paraId="74735840" w14:textId="0014A226">
      <w:pPr>
        <w:pStyle w:val="Heading1"/>
        <w:numPr>
          <w:ilvl w:val="0"/>
          <w:numId w:val="6"/>
        </w:numPr>
        <w:rPr>
          <w:b/>
          <w:bCs/>
          <w:color w:val="auto"/>
          <w:sz w:val="24"/>
          <w:szCs w:val="24"/>
        </w:rPr>
      </w:pPr>
      <w:bookmarkStart w:id="17" w:name="_Toc49415637"/>
      <w:r w:rsidRPr="00994E20">
        <w:rPr>
          <w:b/>
          <w:bCs/>
          <w:color w:val="auto"/>
          <w:sz w:val="24"/>
          <w:szCs w:val="24"/>
        </w:rPr>
        <w:t>Annualized Cost to the Government</w:t>
      </w:r>
      <w:bookmarkEnd w:id="17"/>
    </w:p>
    <w:tbl>
      <w:tblPr>
        <w:tblStyle w:val="TableGrid"/>
        <w:tblW w:w="0" w:type="auto"/>
        <w:tblLook w:val="04A0"/>
      </w:tblPr>
      <w:tblGrid>
        <w:gridCol w:w="2517"/>
        <w:gridCol w:w="2517"/>
        <w:gridCol w:w="2518"/>
        <w:gridCol w:w="2518"/>
      </w:tblGrid>
      <w:tr w14:paraId="03BE849D" w14:textId="77777777" w:rsidTr="00F258C1">
        <w:tblPrEx>
          <w:tblW w:w="0" w:type="auto"/>
          <w:tblLook w:val="04A0"/>
        </w:tblPrEx>
        <w:tc>
          <w:tcPr>
            <w:tcW w:w="2517" w:type="dxa"/>
          </w:tcPr>
          <w:p w:rsidR="009378B7" w:rsidRPr="009378B7" w:rsidP="00FE1FB3" w14:paraId="5AF6CA5C" w14:textId="77777777">
            <w:pPr>
              <w:spacing w:after="160"/>
            </w:pPr>
            <w:r w:rsidRPr="009378B7">
              <w:t>Personnel Role</w:t>
            </w:r>
          </w:p>
        </w:tc>
        <w:tc>
          <w:tcPr>
            <w:tcW w:w="2517" w:type="dxa"/>
          </w:tcPr>
          <w:p w:rsidR="009378B7" w:rsidRPr="009378B7" w:rsidP="00FE1FB3" w14:paraId="48BE0AA8" w14:textId="77777777">
            <w:pPr>
              <w:spacing w:after="160"/>
            </w:pPr>
            <w:r w:rsidRPr="009378B7">
              <w:t>Description</w:t>
            </w:r>
          </w:p>
        </w:tc>
        <w:tc>
          <w:tcPr>
            <w:tcW w:w="2518" w:type="dxa"/>
          </w:tcPr>
          <w:p w:rsidR="009378B7" w:rsidRPr="009378B7" w:rsidP="00FE1FB3" w14:paraId="3DABB156" w14:textId="77777777">
            <w:pPr>
              <w:spacing w:after="160"/>
            </w:pPr>
            <w:r w:rsidRPr="009378B7">
              <w:t>Period</w:t>
            </w:r>
          </w:p>
        </w:tc>
        <w:tc>
          <w:tcPr>
            <w:tcW w:w="2518" w:type="dxa"/>
          </w:tcPr>
          <w:p w:rsidR="009378B7" w:rsidRPr="009378B7" w:rsidP="00FE1FB3" w14:paraId="7EBF1611" w14:textId="77777777">
            <w:pPr>
              <w:spacing w:after="160"/>
            </w:pPr>
            <w:r w:rsidRPr="009378B7">
              <w:t>Cost</w:t>
            </w:r>
            <w:r w:rsidRPr="009378B7">
              <w:rPr>
                <w:vertAlign w:val="superscript"/>
              </w:rPr>
              <w:t>1</w:t>
            </w:r>
          </w:p>
        </w:tc>
      </w:tr>
      <w:tr w14:paraId="37D1BB9E" w14:textId="77777777" w:rsidTr="00F258C1">
        <w:tblPrEx>
          <w:tblW w:w="0" w:type="auto"/>
          <w:tblLook w:val="04A0"/>
        </w:tblPrEx>
        <w:tc>
          <w:tcPr>
            <w:tcW w:w="2517" w:type="dxa"/>
          </w:tcPr>
          <w:p w:rsidR="009378B7" w:rsidRPr="009378B7" w:rsidP="00FE1FB3" w14:paraId="3EF22705" w14:textId="5B2520F5">
            <w:pPr>
              <w:spacing w:after="160"/>
            </w:pPr>
            <w:r>
              <w:t>Co-</w:t>
            </w:r>
            <w:r w:rsidRPr="009378B7">
              <w:t>Project Manager</w:t>
            </w:r>
          </w:p>
        </w:tc>
        <w:tc>
          <w:tcPr>
            <w:tcW w:w="2517" w:type="dxa"/>
          </w:tcPr>
          <w:p w:rsidR="009378B7" w:rsidRPr="009378B7" w:rsidP="00FE1FB3" w14:paraId="6ACFB631" w14:textId="67F906C1">
            <w:pPr>
              <w:spacing w:after="160"/>
            </w:pPr>
            <w:r w:rsidRPr="009378B7">
              <w:t xml:space="preserve">PhD Research Psychologist 50% FTE @ </w:t>
            </w:r>
          </w:p>
        </w:tc>
        <w:tc>
          <w:tcPr>
            <w:tcW w:w="2518" w:type="dxa"/>
          </w:tcPr>
          <w:p w:rsidR="009378B7" w:rsidRPr="009378B7" w:rsidP="00FE1FB3" w14:paraId="3D8D6BAA" w14:textId="77777777">
            <w:pPr>
              <w:spacing w:after="160"/>
            </w:pPr>
            <w:r w:rsidRPr="009378B7">
              <w:t>12 months</w:t>
            </w:r>
          </w:p>
        </w:tc>
        <w:tc>
          <w:tcPr>
            <w:tcW w:w="2518" w:type="dxa"/>
          </w:tcPr>
          <w:p w:rsidR="009378B7" w:rsidRPr="009378B7" w:rsidP="00FE1FB3" w14:paraId="756827F4" w14:textId="351D0EEE">
            <w:pPr>
              <w:spacing w:after="160"/>
            </w:pPr>
            <w:r>
              <w:t>$59,302</w:t>
            </w:r>
          </w:p>
        </w:tc>
      </w:tr>
      <w:tr w14:paraId="23C65DB7" w14:textId="77777777" w:rsidTr="00F258C1">
        <w:tblPrEx>
          <w:tblW w:w="0" w:type="auto"/>
          <w:tblLook w:val="04A0"/>
        </w:tblPrEx>
        <w:tc>
          <w:tcPr>
            <w:tcW w:w="2517" w:type="dxa"/>
          </w:tcPr>
          <w:p w:rsidR="009378B7" w:rsidRPr="009378B7" w:rsidP="00FE1FB3" w14:paraId="4E2DA99C" w14:textId="670B2EEE">
            <w:r>
              <w:t>Co-Project Manager</w:t>
            </w:r>
          </w:p>
        </w:tc>
        <w:tc>
          <w:tcPr>
            <w:tcW w:w="2517" w:type="dxa"/>
          </w:tcPr>
          <w:p w:rsidR="009378B7" w:rsidP="00FE1FB3" w14:paraId="7380D29E" w14:textId="77777777">
            <w:r>
              <w:t>PhD Epidemiologist</w:t>
            </w:r>
          </w:p>
          <w:p w:rsidR="009378B7" w:rsidRPr="009378B7" w:rsidP="00FE1FB3" w14:paraId="48D09E3D" w14:textId="17E7BA56">
            <w:r>
              <w:t xml:space="preserve">50% FTE @ </w:t>
            </w:r>
          </w:p>
        </w:tc>
        <w:tc>
          <w:tcPr>
            <w:tcW w:w="2518" w:type="dxa"/>
          </w:tcPr>
          <w:p w:rsidR="009378B7" w:rsidRPr="009378B7" w:rsidP="00FE1FB3" w14:paraId="06535877" w14:textId="1B6441CB">
            <w:r>
              <w:t>12 months</w:t>
            </w:r>
          </w:p>
        </w:tc>
        <w:tc>
          <w:tcPr>
            <w:tcW w:w="2518" w:type="dxa"/>
          </w:tcPr>
          <w:p w:rsidR="009378B7" w:rsidRPr="009378B7" w:rsidP="00FE1FB3" w14:paraId="46757997" w14:textId="20408640">
            <w:r>
              <w:t>$49,078</w:t>
            </w:r>
          </w:p>
        </w:tc>
      </w:tr>
      <w:tr w14:paraId="6197C059" w14:textId="77777777" w:rsidTr="00F258C1">
        <w:tblPrEx>
          <w:tblW w:w="0" w:type="auto"/>
          <w:tblLook w:val="04A0"/>
        </w:tblPrEx>
        <w:tc>
          <w:tcPr>
            <w:tcW w:w="2517" w:type="dxa"/>
          </w:tcPr>
          <w:p w:rsidR="009378B7" w:rsidRPr="009378B7" w:rsidP="00FE1FB3" w14:paraId="1B95CD9F" w14:textId="77777777">
            <w:pPr>
              <w:spacing w:after="160"/>
            </w:pPr>
            <w:r w:rsidRPr="009378B7">
              <w:t>Total</w:t>
            </w:r>
          </w:p>
        </w:tc>
        <w:tc>
          <w:tcPr>
            <w:tcW w:w="2517" w:type="dxa"/>
          </w:tcPr>
          <w:p w:rsidR="009378B7" w:rsidRPr="009378B7" w:rsidP="00FE1FB3" w14:paraId="5CFE0482" w14:textId="77777777">
            <w:pPr>
              <w:spacing w:after="160"/>
            </w:pPr>
          </w:p>
        </w:tc>
        <w:tc>
          <w:tcPr>
            <w:tcW w:w="2518" w:type="dxa"/>
          </w:tcPr>
          <w:p w:rsidR="009378B7" w:rsidRPr="009378B7" w:rsidP="00FE1FB3" w14:paraId="17FFCE77" w14:textId="77777777">
            <w:pPr>
              <w:spacing w:after="160"/>
            </w:pPr>
          </w:p>
        </w:tc>
        <w:tc>
          <w:tcPr>
            <w:tcW w:w="2518" w:type="dxa"/>
          </w:tcPr>
          <w:p w:rsidR="009378B7" w:rsidRPr="009378B7" w:rsidP="00FE1FB3" w14:paraId="4BA05989" w14:textId="56F18F37">
            <w:pPr>
              <w:spacing w:after="160"/>
            </w:pPr>
            <w:r>
              <w:t>$108,380</w:t>
            </w:r>
          </w:p>
        </w:tc>
      </w:tr>
    </w:tbl>
    <w:p w:rsidR="00040D22" w:rsidP="00FE1FB3" w14:paraId="5D3DDA71" w14:textId="51DF5EFB">
      <w:pPr>
        <w:spacing w:line="240" w:lineRule="auto"/>
      </w:pPr>
    </w:p>
    <w:p w:rsidR="00CB27BF" w:rsidP="00FE1FB3" w14:paraId="66DB0CF0" w14:textId="77777777">
      <w:pPr>
        <w:spacing w:line="240" w:lineRule="auto"/>
        <w:ind w:firstLine="720"/>
      </w:pPr>
      <w:r>
        <w:t>Contract for Data Collection</w:t>
      </w:r>
      <w:r>
        <w:tab/>
      </w:r>
      <w:r>
        <w:tab/>
        <w:t>$3,000</w:t>
      </w:r>
    </w:p>
    <w:p w:rsidR="00CB27BF" w:rsidRPr="00E33A85" w:rsidP="00FE1FB3" w14:paraId="7C8C3544" w14:textId="69392276">
      <w:pPr>
        <w:spacing w:line="240" w:lineRule="auto"/>
        <w:ind w:firstLine="720"/>
      </w:pPr>
      <w:r w:rsidRPr="00E33A85">
        <w:t>Annualized Salary and Benefits</w:t>
      </w:r>
      <w:r w:rsidRPr="00E33A85">
        <w:tab/>
        <w:t xml:space="preserve"> </w:t>
      </w:r>
      <w:r w:rsidRPr="00E33A85">
        <w:tab/>
        <w:t>$</w:t>
      </w:r>
      <w:r w:rsidRPr="00E33A85" w:rsidR="00E33A85">
        <w:t>108,380</w:t>
      </w:r>
    </w:p>
    <w:p w:rsidR="00CB27BF" w:rsidP="00FE1FB3" w14:paraId="29E468FE" w14:textId="1E4C8889">
      <w:pPr>
        <w:spacing w:line="240" w:lineRule="auto"/>
        <w:ind w:firstLine="720"/>
      </w:pPr>
      <w:r w:rsidRPr="00E33A85">
        <w:t>Total Annualized Cost to Government</w:t>
      </w:r>
      <w:r w:rsidRPr="00E33A85">
        <w:tab/>
        <w:t>$</w:t>
      </w:r>
      <w:r w:rsidR="00E33A85">
        <w:t>111,380</w:t>
      </w:r>
    </w:p>
    <w:p w:rsidR="004C3BBF" w:rsidP="00FE1FB3" w14:paraId="014BAA84" w14:textId="77777777">
      <w:pPr>
        <w:spacing w:line="240" w:lineRule="auto"/>
      </w:pPr>
    </w:p>
    <w:p w:rsidR="006A7EF6" w:rsidRPr="00994E20" w:rsidP="00E25428" w14:paraId="34330CCC" w14:textId="4ACFA6AC">
      <w:pPr>
        <w:pStyle w:val="Heading1"/>
        <w:numPr>
          <w:ilvl w:val="0"/>
          <w:numId w:val="6"/>
        </w:numPr>
        <w:rPr>
          <w:b/>
          <w:bCs/>
          <w:color w:val="auto"/>
          <w:sz w:val="24"/>
          <w:szCs w:val="24"/>
        </w:rPr>
      </w:pPr>
      <w:bookmarkStart w:id="18" w:name="_Toc49415638"/>
      <w:r w:rsidRPr="00994E20">
        <w:rPr>
          <w:b/>
          <w:bCs/>
          <w:color w:val="auto"/>
          <w:sz w:val="24"/>
          <w:szCs w:val="24"/>
        </w:rPr>
        <w:t>Explanation for Program Changes or Adjustments</w:t>
      </w:r>
      <w:bookmarkEnd w:id="18"/>
    </w:p>
    <w:p w:rsidR="004C3BBF" w:rsidP="00FE1FB3" w14:paraId="5CAAAF67" w14:textId="7D91467D">
      <w:pPr>
        <w:spacing w:line="240" w:lineRule="auto"/>
      </w:pPr>
      <w:r>
        <w:t>This is a new data</w:t>
      </w:r>
      <w:r w:rsidR="00E97839">
        <w:t>/information</w:t>
      </w:r>
      <w:r>
        <w:t xml:space="preserve"> collection.</w:t>
      </w:r>
    </w:p>
    <w:p w:rsidR="006A7EF6" w:rsidRPr="006954D6" w:rsidP="00E25428" w14:paraId="1DE856E4" w14:textId="60A7A1B5">
      <w:pPr>
        <w:pStyle w:val="Heading1"/>
        <w:numPr>
          <w:ilvl w:val="0"/>
          <w:numId w:val="6"/>
        </w:numPr>
        <w:rPr>
          <w:b/>
          <w:bCs/>
          <w:color w:val="auto"/>
          <w:sz w:val="24"/>
          <w:szCs w:val="24"/>
        </w:rPr>
      </w:pPr>
      <w:bookmarkStart w:id="19" w:name="_Toc49415639"/>
      <w:r w:rsidRPr="006954D6">
        <w:rPr>
          <w:b/>
          <w:bCs/>
          <w:color w:val="auto"/>
          <w:sz w:val="24"/>
          <w:szCs w:val="24"/>
        </w:rPr>
        <w:t>Plans for Tabulation and Publication and Project Time Schedule</w:t>
      </w:r>
      <w:bookmarkEnd w:id="19"/>
    </w:p>
    <w:tbl>
      <w:tblPr>
        <w:tblpPr w:leftFromText="180" w:rightFromText="180" w:vertAnchor="text" w:horzAnchor="margin" w:tblpXSpec="center" w:tblpY="171"/>
        <w:tblW w:w="0" w:type="auto"/>
        <w:tblLayout w:type="fixed"/>
        <w:tblLook w:val="04A0"/>
      </w:tblPr>
      <w:tblGrid>
        <w:gridCol w:w="4860"/>
        <w:gridCol w:w="4241"/>
      </w:tblGrid>
      <w:tr w14:paraId="39C37904" w14:textId="77777777" w:rsidTr="00F258C1">
        <w:tblPrEx>
          <w:tblW w:w="0" w:type="auto"/>
          <w:tblLayout w:type="fixed"/>
          <w:tblLook w:val="04A0"/>
        </w:tblPrEx>
        <w:trPr>
          <w:trHeight w:val="188"/>
        </w:trPr>
        <w:tc>
          <w:tcPr>
            <w:tcW w:w="4860" w:type="dxa"/>
            <w:vAlign w:val="bottom"/>
            <w:hideMark/>
          </w:tcPr>
          <w:p w:rsidR="004A1617" w:rsidRPr="004A1617" w:rsidP="00FE1FB3" w14:paraId="6AD6DF42" w14:textId="77777777">
            <w:pPr>
              <w:pStyle w:val="Default"/>
              <w:rPr>
                <w:rFonts w:asciiTheme="minorHAnsi" w:hAnsiTheme="minorHAnsi" w:cstheme="minorHAnsi"/>
              </w:rPr>
            </w:pPr>
            <w:r w:rsidRPr="004A1617">
              <w:rPr>
                <w:rFonts w:asciiTheme="minorHAnsi" w:hAnsiTheme="minorHAnsi" w:cstheme="minorHAnsi"/>
                <w:b/>
                <w:bCs/>
              </w:rPr>
              <w:t xml:space="preserve">Activity </w:t>
            </w:r>
          </w:p>
        </w:tc>
        <w:tc>
          <w:tcPr>
            <w:tcW w:w="4241" w:type="dxa"/>
            <w:vAlign w:val="bottom"/>
            <w:hideMark/>
          </w:tcPr>
          <w:p w:rsidR="004A1617" w:rsidRPr="004A1617" w:rsidP="00FE1FB3" w14:paraId="503FC709" w14:textId="77777777">
            <w:pPr>
              <w:pStyle w:val="Default"/>
              <w:rPr>
                <w:rFonts w:asciiTheme="minorHAnsi" w:hAnsiTheme="minorHAnsi" w:cstheme="minorHAnsi"/>
              </w:rPr>
            </w:pPr>
            <w:r w:rsidRPr="004A1617">
              <w:rPr>
                <w:rFonts w:asciiTheme="minorHAnsi" w:hAnsiTheme="minorHAnsi" w:cstheme="minorHAnsi"/>
                <w:b/>
                <w:bCs/>
              </w:rPr>
              <w:t xml:space="preserve">Time Schedule </w:t>
            </w:r>
          </w:p>
        </w:tc>
      </w:tr>
      <w:tr w14:paraId="1253445D" w14:textId="77777777" w:rsidTr="00F258C1">
        <w:tblPrEx>
          <w:tblW w:w="0" w:type="auto"/>
          <w:tblLayout w:type="fixed"/>
          <w:tblLook w:val="04A0"/>
        </w:tblPrEx>
        <w:trPr>
          <w:trHeight w:val="190"/>
        </w:trPr>
        <w:tc>
          <w:tcPr>
            <w:tcW w:w="4860" w:type="dxa"/>
            <w:vAlign w:val="bottom"/>
            <w:hideMark/>
          </w:tcPr>
          <w:p w:rsidR="004A1617" w:rsidRPr="004A1617" w:rsidP="00FE1FB3" w14:paraId="1B0652A4" w14:textId="2578BBB0">
            <w:pPr>
              <w:pStyle w:val="Default"/>
              <w:rPr>
                <w:rFonts w:asciiTheme="minorHAnsi" w:hAnsiTheme="minorHAnsi" w:cstheme="minorHAnsi"/>
              </w:rPr>
            </w:pPr>
            <w:r w:rsidRPr="004A1617">
              <w:rPr>
                <w:rFonts w:asciiTheme="minorHAnsi" w:hAnsiTheme="minorHAnsi" w:cstheme="minorHAnsi"/>
              </w:rPr>
              <w:t xml:space="preserve">Recruitment </w:t>
            </w:r>
            <w:r>
              <w:rPr>
                <w:rFonts w:asciiTheme="minorHAnsi" w:hAnsiTheme="minorHAnsi" w:cstheme="minorHAnsi"/>
              </w:rPr>
              <w:t>materials disseminated</w:t>
            </w:r>
          </w:p>
        </w:tc>
        <w:tc>
          <w:tcPr>
            <w:tcW w:w="4241" w:type="dxa"/>
            <w:vAlign w:val="bottom"/>
            <w:hideMark/>
          </w:tcPr>
          <w:p w:rsidR="004A1617" w:rsidRPr="004A1617" w:rsidP="00FE1FB3" w14:paraId="5C9D1C4B" w14:textId="18917BDE">
            <w:pPr>
              <w:pStyle w:val="Default"/>
              <w:rPr>
                <w:rFonts w:asciiTheme="minorHAnsi" w:hAnsiTheme="minorHAnsi" w:cstheme="minorHAnsi"/>
              </w:rPr>
            </w:pPr>
            <w:r w:rsidRPr="004A1617">
              <w:rPr>
                <w:rFonts w:asciiTheme="minorHAnsi" w:hAnsiTheme="minorHAnsi" w:cstheme="minorHAnsi"/>
              </w:rPr>
              <w:t xml:space="preserve">1 month after OMB approval </w:t>
            </w:r>
          </w:p>
        </w:tc>
      </w:tr>
      <w:tr w14:paraId="496A0E7A" w14:textId="77777777" w:rsidTr="00F258C1">
        <w:tblPrEx>
          <w:tblW w:w="0" w:type="auto"/>
          <w:tblLayout w:type="fixed"/>
          <w:tblLook w:val="04A0"/>
        </w:tblPrEx>
        <w:trPr>
          <w:trHeight w:val="248"/>
        </w:trPr>
        <w:tc>
          <w:tcPr>
            <w:tcW w:w="4860" w:type="dxa"/>
            <w:vAlign w:val="bottom"/>
            <w:hideMark/>
          </w:tcPr>
          <w:p w:rsidR="004A1617" w:rsidRPr="004A1617" w:rsidP="00FE1FB3" w14:paraId="1F725278" w14:textId="3BCC8693">
            <w:pPr>
              <w:pStyle w:val="Default"/>
              <w:rPr>
                <w:rFonts w:asciiTheme="minorHAnsi" w:hAnsiTheme="minorHAnsi" w:cstheme="minorHAnsi"/>
              </w:rPr>
            </w:pPr>
            <w:r w:rsidRPr="004A1617">
              <w:rPr>
                <w:rFonts w:asciiTheme="minorHAnsi" w:hAnsiTheme="minorHAnsi" w:cstheme="minorHAnsi"/>
              </w:rPr>
              <w:t xml:space="preserve">Complete </w:t>
            </w:r>
            <w:r w:rsidR="00DC1F4B">
              <w:rPr>
                <w:rFonts w:asciiTheme="minorHAnsi" w:hAnsiTheme="minorHAnsi" w:cstheme="minorHAnsi"/>
              </w:rPr>
              <w:t>d</w:t>
            </w:r>
            <w:r w:rsidRPr="004A1617">
              <w:rPr>
                <w:rFonts w:asciiTheme="minorHAnsi" w:hAnsiTheme="minorHAnsi" w:cstheme="minorHAnsi"/>
              </w:rPr>
              <w:t>ata collection</w:t>
            </w:r>
          </w:p>
        </w:tc>
        <w:tc>
          <w:tcPr>
            <w:tcW w:w="4241" w:type="dxa"/>
            <w:vAlign w:val="center"/>
            <w:hideMark/>
          </w:tcPr>
          <w:p w:rsidR="004A1617" w:rsidRPr="004A1617" w:rsidP="00FE1FB3" w14:paraId="7FD27F49" w14:textId="46FEACE1">
            <w:pPr>
              <w:pStyle w:val="Default"/>
              <w:rPr>
                <w:rFonts w:asciiTheme="minorHAnsi" w:hAnsiTheme="minorHAnsi" w:cstheme="minorHAnsi"/>
              </w:rPr>
            </w:pPr>
            <w:r w:rsidRPr="004A1617">
              <w:rPr>
                <w:rFonts w:asciiTheme="minorHAnsi" w:hAnsiTheme="minorHAnsi" w:cstheme="minorHAnsi"/>
              </w:rPr>
              <w:t xml:space="preserve">6 months after OMB approval </w:t>
            </w:r>
          </w:p>
        </w:tc>
      </w:tr>
      <w:tr w14:paraId="198BA1EA" w14:textId="77777777" w:rsidTr="00F258C1">
        <w:tblPrEx>
          <w:tblW w:w="0" w:type="auto"/>
          <w:tblLayout w:type="fixed"/>
          <w:tblLook w:val="04A0"/>
        </w:tblPrEx>
        <w:trPr>
          <w:trHeight w:val="190"/>
        </w:trPr>
        <w:tc>
          <w:tcPr>
            <w:tcW w:w="4860" w:type="dxa"/>
            <w:vAlign w:val="bottom"/>
            <w:hideMark/>
          </w:tcPr>
          <w:p w:rsidR="004A1617" w:rsidRPr="004A1617" w:rsidP="00FE1FB3" w14:paraId="04BA3B03" w14:textId="77777777">
            <w:pPr>
              <w:pStyle w:val="Default"/>
              <w:rPr>
                <w:rFonts w:asciiTheme="minorHAnsi" w:hAnsiTheme="minorHAnsi" w:cstheme="minorHAnsi"/>
              </w:rPr>
            </w:pPr>
            <w:r w:rsidRPr="004A1617">
              <w:rPr>
                <w:rFonts w:asciiTheme="minorHAnsi" w:hAnsiTheme="minorHAnsi" w:cstheme="minorHAnsi"/>
              </w:rPr>
              <w:t xml:space="preserve">Analyses </w:t>
            </w:r>
          </w:p>
        </w:tc>
        <w:tc>
          <w:tcPr>
            <w:tcW w:w="4241" w:type="dxa"/>
            <w:vAlign w:val="bottom"/>
            <w:hideMark/>
          </w:tcPr>
          <w:p w:rsidR="004A1617" w:rsidRPr="004A1617" w:rsidP="00FE1FB3" w14:paraId="777689A6" w14:textId="5CB0DD99">
            <w:pPr>
              <w:pStyle w:val="Default"/>
              <w:rPr>
                <w:rFonts w:asciiTheme="minorHAnsi" w:hAnsiTheme="minorHAnsi" w:cstheme="minorHAnsi"/>
              </w:rPr>
            </w:pPr>
            <w:r>
              <w:rPr>
                <w:rFonts w:asciiTheme="minorHAnsi" w:hAnsiTheme="minorHAnsi" w:cstheme="minorHAnsi"/>
              </w:rPr>
              <w:t>3</w:t>
            </w:r>
            <w:r w:rsidRPr="004A1617">
              <w:rPr>
                <w:rFonts w:asciiTheme="minorHAnsi" w:hAnsiTheme="minorHAnsi" w:cstheme="minorHAnsi"/>
              </w:rPr>
              <w:t xml:space="preserve"> </w:t>
            </w:r>
            <w:r w:rsidRPr="004A1617">
              <w:rPr>
                <w:rFonts w:asciiTheme="minorHAnsi" w:hAnsiTheme="minorHAnsi" w:cstheme="minorHAnsi"/>
              </w:rPr>
              <w:t xml:space="preserve">months after OMB approval </w:t>
            </w:r>
          </w:p>
        </w:tc>
      </w:tr>
      <w:tr w14:paraId="4152674C" w14:textId="77777777" w:rsidTr="00F258C1">
        <w:tblPrEx>
          <w:tblW w:w="0" w:type="auto"/>
          <w:tblLayout w:type="fixed"/>
          <w:tblLook w:val="04A0"/>
        </w:tblPrEx>
        <w:trPr>
          <w:trHeight w:val="188"/>
        </w:trPr>
        <w:tc>
          <w:tcPr>
            <w:tcW w:w="4860" w:type="dxa"/>
            <w:vAlign w:val="bottom"/>
            <w:hideMark/>
          </w:tcPr>
          <w:p w:rsidR="004A1617" w:rsidRPr="004A1617" w:rsidP="00FE1FB3" w14:paraId="1CCF442F" w14:textId="12713AC4">
            <w:pPr>
              <w:pStyle w:val="Default"/>
              <w:rPr>
                <w:rFonts w:asciiTheme="minorHAnsi" w:hAnsiTheme="minorHAnsi" w:cstheme="minorHAnsi"/>
              </w:rPr>
            </w:pPr>
            <w:r w:rsidRPr="004A1617">
              <w:rPr>
                <w:rFonts w:asciiTheme="minorHAnsi" w:hAnsiTheme="minorHAnsi" w:cstheme="minorHAnsi"/>
              </w:rPr>
              <w:t xml:space="preserve">Publication and </w:t>
            </w:r>
            <w:r w:rsidR="00DC1F4B">
              <w:rPr>
                <w:rFonts w:asciiTheme="minorHAnsi" w:hAnsiTheme="minorHAnsi" w:cstheme="minorHAnsi"/>
              </w:rPr>
              <w:t>d</w:t>
            </w:r>
            <w:r w:rsidRPr="004A1617">
              <w:rPr>
                <w:rFonts w:asciiTheme="minorHAnsi" w:hAnsiTheme="minorHAnsi" w:cstheme="minorHAnsi"/>
              </w:rPr>
              <w:t>issemination</w:t>
            </w:r>
          </w:p>
        </w:tc>
        <w:tc>
          <w:tcPr>
            <w:tcW w:w="4241" w:type="dxa"/>
            <w:vAlign w:val="bottom"/>
            <w:hideMark/>
          </w:tcPr>
          <w:p w:rsidR="004A1617" w:rsidRPr="004A1617" w:rsidP="00FE1FB3" w14:paraId="56777F10" w14:textId="08613AB9">
            <w:pPr>
              <w:pStyle w:val="Default"/>
              <w:rPr>
                <w:rFonts w:asciiTheme="minorHAnsi" w:hAnsiTheme="minorHAnsi" w:cstheme="minorHAnsi"/>
              </w:rPr>
            </w:pPr>
            <w:r>
              <w:rPr>
                <w:rFonts w:asciiTheme="minorHAnsi" w:hAnsiTheme="minorHAnsi" w:cstheme="minorHAnsi"/>
              </w:rPr>
              <w:t>2</w:t>
            </w:r>
            <w:r w:rsidRPr="004A1617">
              <w:rPr>
                <w:rFonts w:asciiTheme="minorHAnsi" w:hAnsiTheme="minorHAnsi" w:cstheme="minorHAnsi"/>
              </w:rPr>
              <w:t xml:space="preserve"> </w:t>
            </w:r>
            <w:r w:rsidRPr="004A1617">
              <w:rPr>
                <w:rFonts w:asciiTheme="minorHAnsi" w:hAnsiTheme="minorHAnsi" w:cstheme="minorHAnsi"/>
              </w:rPr>
              <w:t xml:space="preserve">months after OMB approval </w:t>
            </w:r>
          </w:p>
        </w:tc>
      </w:tr>
    </w:tbl>
    <w:p w:rsidR="00437B41" w:rsidRPr="006954D6" w:rsidP="00E25428" w14:paraId="20AE56FE" w14:textId="0D2ED671">
      <w:pPr>
        <w:pStyle w:val="Heading1"/>
        <w:numPr>
          <w:ilvl w:val="0"/>
          <w:numId w:val="6"/>
        </w:numPr>
        <w:rPr>
          <w:b/>
          <w:bCs/>
          <w:color w:val="auto"/>
          <w:sz w:val="24"/>
          <w:szCs w:val="24"/>
        </w:rPr>
      </w:pPr>
      <w:bookmarkStart w:id="20" w:name="_Toc49415640"/>
      <w:r w:rsidRPr="006954D6">
        <w:rPr>
          <w:b/>
          <w:bCs/>
          <w:color w:val="auto"/>
          <w:sz w:val="24"/>
          <w:szCs w:val="24"/>
        </w:rPr>
        <w:t>Reason(s) Display of OMB Expiration Date is Inappropriate</w:t>
      </w:r>
      <w:bookmarkEnd w:id="20"/>
    </w:p>
    <w:p w:rsidR="00E127FF" w:rsidP="00FE1FB3" w14:paraId="32BC2229" w14:textId="50D71D78">
      <w:pPr>
        <w:spacing w:line="240" w:lineRule="auto"/>
      </w:pPr>
      <w:r w:rsidRPr="00E21D7F">
        <w:t>The display of the OMB expiration date is not inappropriate.</w:t>
      </w:r>
    </w:p>
    <w:p w:rsidR="00437B41" w:rsidRPr="006954D6" w:rsidP="00E25428" w14:paraId="1A7F8336" w14:textId="490BB009">
      <w:pPr>
        <w:pStyle w:val="Heading1"/>
        <w:numPr>
          <w:ilvl w:val="0"/>
          <w:numId w:val="6"/>
        </w:numPr>
        <w:rPr>
          <w:b/>
          <w:bCs/>
          <w:color w:val="auto"/>
          <w:sz w:val="24"/>
          <w:szCs w:val="24"/>
        </w:rPr>
      </w:pPr>
      <w:bookmarkStart w:id="21" w:name="_Toc49415641"/>
      <w:r w:rsidRPr="006954D6">
        <w:rPr>
          <w:b/>
          <w:bCs/>
          <w:color w:val="auto"/>
          <w:sz w:val="24"/>
          <w:szCs w:val="24"/>
        </w:rPr>
        <w:t>Exceptions to Certification for Paperwork Reduction Act Submissions</w:t>
      </w:r>
      <w:bookmarkEnd w:id="21"/>
    </w:p>
    <w:p w:rsidR="00940307" w:rsidP="00BE1352" w14:paraId="25435EA4" w14:textId="5B6F417D">
      <w:pPr>
        <w:spacing w:line="240" w:lineRule="auto"/>
      </w:pPr>
      <w:r>
        <w:t>There are not exceptions to the certification.</w:t>
      </w: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87731"/>
    <w:multiLevelType w:val="hybridMultilevel"/>
    <w:tmpl w:val="FF4E19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8E27EA"/>
    <w:multiLevelType w:val="hybridMultilevel"/>
    <w:tmpl w:val="CD3AC8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D77199"/>
    <w:multiLevelType w:val="hybridMultilevel"/>
    <w:tmpl w:val="6F4ADA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863381"/>
    <w:multiLevelType w:val="hybridMultilevel"/>
    <w:tmpl w:val="0C2C57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285690"/>
    <w:multiLevelType w:val="hybridMultilevel"/>
    <w:tmpl w:val="488ECDBC"/>
    <w:lvl w:ilvl="0">
      <w:start w:val="1"/>
      <w:numFmt w:val="decimal"/>
      <w:lvlText w:val="%1."/>
      <w:lvlJc w:val="left"/>
      <w:pPr>
        <w:ind w:left="720" w:hanging="360"/>
      </w:pPr>
      <w:rPr>
        <w:rFonts w:hint="default"/>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A06D26"/>
    <w:multiLevelType w:val="hybridMultilevel"/>
    <w:tmpl w:val="0D0A77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A16157"/>
    <w:multiLevelType w:val="hybridMultilevel"/>
    <w:tmpl w:val="D0969C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8193AF3"/>
    <w:multiLevelType w:val="hybridMultilevel"/>
    <w:tmpl w:val="2CBC8C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9B0C5D"/>
    <w:multiLevelType w:val="hybridMultilevel"/>
    <w:tmpl w:val="1FF0C08A"/>
    <w:lvl w:ilvl="0">
      <w:start w:val="1"/>
      <w:numFmt w:val="bullet"/>
      <w:lvlText w:val=""/>
      <w:lvlJc w:val="left"/>
      <w:pPr>
        <w:ind w:left="750" w:hanging="360"/>
      </w:pPr>
      <w:rPr>
        <w:rFonts w:ascii="Symbol" w:hAnsi="Symbo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9">
    <w:nsid w:val="560C3FC8"/>
    <w:multiLevelType w:val="hybridMultilevel"/>
    <w:tmpl w:val="39106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F11E8E"/>
    <w:multiLevelType w:val="hybridMultilevel"/>
    <w:tmpl w:val="E4AC1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83C0FE5"/>
    <w:multiLevelType w:val="hybridMultilevel"/>
    <w:tmpl w:val="E6969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B13776E"/>
    <w:multiLevelType w:val="hybridMultilevel"/>
    <w:tmpl w:val="F43E9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CF389E"/>
    <w:multiLevelType w:val="hybridMultilevel"/>
    <w:tmpl w:val="704E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1187257">
    <w:abstractNumId w:val="10"/>
  </w:num>
  <w:num w:numId="2" w16cid:durableId="1033113190">
    <w:abstractNumId w:val="2"/>
  </w:num>
  <w:num w:numId="3" w16cid:durableId="2059011669">
    <w:abstractNumId w:val="3"/>
  </w:num>
  <w:num w:numId="4" w16cid:durableId="990063099">
    <w:abstractNumId w:val="12"/>
  </w:num>
  <w:num w:numId="5" w16cid:durableId="1038627726">
    <w:abstractNumId w:val="9"/>
  </w:num>
  <w:num w:numId="6" w16cid:durableId="92093339">
    <w:abstractNumId w:val="4"/>
  </w:num>
  <w:num w:numId="7" w16cid:durableId="1352797721">
    <w:abstractNumId w:val="7"/>
  </w:num>
  <w:num w:numId="8" w16cid:durableId="1690718314">
    <w:abstractNumId w:val="5"/>
  </w:num>
  <w:num w:numId="9" w16cid:durableId="1259824262">
    <w:abstractNumId w:val="0"/>
  </w:num>
  <w:num w:numId="10" w16cid:durableId="1815176492">
    <w:abstractNumId w:val="13"/>
  </w:num>
  <w:num w:numId="11" w16cid:durableId="1476407511">
    <w:abstractNumId w:val="11"/>
  </w:num>
  <w:num w:numId="12" w16cid:durableId="251276922">
    <w:abstractNumId w:val="6"/>
  </w:num>
  <w:num w:numId="13" w16cid:durableId="154878591">
    <w:abstractNumId w:val="1"/>
  </w:num>
  <w:num w:numId="14" w16cid:durableId="195896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07"/>
    <w:rsid w:val="00000300"/>
    <w:rsid w:val="00003B93"/>
    <w:rsid w:val="00005295"/>
    <w:rsid w:val="00020BCB"/>
    <w:rsid w:val="0002218B"/>
    <w:rsid w:val="00026116"/>
    <w:rsid w:val="00026F57"/>
    <w:rsid w:val="00027934"/>
    <w:rsid w:val="000312C8"/>
    <w:rsid w:val="000367C9"/>
    <w:rsid w:val="00037008"/>
    <w:rsid w:val="00040D22"/>
    <w:rsid w:val="00055491"/>
    <w:rsid w:val="00057D8D"/>
    <w:rsid w:val="00061DFF"/>
    <w:rsid w:val="000649D7"/>
    <w:rsid w:val="0006677D"/>
    <w:rsid w:val="00075B45"/>
    <w:rsid w:val="00077629"/>
    <w:rsid w:val="0007797B"/>
    <w:rsid w:val="00084152"/>
    <w:rsid w:val="00084686"/>
    <w:rsid w:val="00090328"/>
    <w:rsid w:val="000954AC"/>
    <w:rsid w:val="000A5A10"/>
    <w:rsid w:val="000B3286"/>
    <w:rsid w:val="000B76AE"/>
    <w:rsid w:val="000C204B"/>
    <w:rsid w:val="000C6451"/>
    <w:rsid w:val="000D1618"/>
    <w:rsid w:val="000D2459"/>
    <w:rsid w:val="000D3208"/>
    <w:rsid w:val="000D4C01"/>
    <w:rsid w:val="000E262A"/>
    <w:rsid w:val="000E2B9E"/>
    <w:rsid w:val="000F1650"/>
    <w:rsid w:val="000F6CCA"/>
    <w:rsid w:val="00114B8A"/>
    <w:rsid w:val="00116D75"/>
    <w:rsid w:val="001302F0"/>
    <w:rsid w:val="0013146B"/>
    <w:rsid w:val="001314E6"/>
    <w:rsid w:val="00134E91"/>
    <w:rsid w:val="001456EB"/>
    <w:rsid w:val="0016388A"/>
    <w:rsid w:val="00170B76"/>
    <w:rsid w:val="00194722"/>
    <w:rsid w:val="00197B2E"/>
    <w:rsid w:val="001A14D0"/>
    <w:rsid w:val="001A6AEC"/>
    <w:rsid w:val="001A7846"/>
    <w:rsid w:val="001B07C6"/>
    <w:rsid w:val="001B36A6"/>
    <w:rsid w:val="001C2F12"/>
    <w:rsid w:val="001C584E"/>
    <w:rsid w:val="001D23FD"/>
    <w:rsid w:val="001D3034"/>
    <w:rsid w:val="001D46D6"/>
    <w:rsid w:val="001E1F01"/>
    <w:rsid w:val="001E3647"/>
    <w:rsid w:val="001E6C6C"/>
    <w:rsid w:val="001E6DC6"/>
    <w:rsid w:val="001E7141"/>
    <w:rsid w:val="001F6045"/>
    <w:rsid w:val="001F7198"/>
    <w:rsid w:val="00212D2B"/>
    <w:rsid w:val="002151FF"/>
    <w:rsid w:val="002274BC"/>
    <w:rsid w:val="0022784F"/>
    <w:rsid w:val="00256062"/>
    <w:rsid w:val="002562E7"/>
    <w:rsid w:val="00256AD6"/>
    <w:rsid w:val="00262D51"/>
    <w:rsid w:val="00281171"/>
    <w:rsid w:val="0028429A"/>
    <w:rsid w:val="00295472"/>
    <w:rsid w:val="002A504D"/>
    <w:rsid w:val="002B10AC"/>
    <w:rsid w:val="002B5BC3"/>
    <w:rsid w:val="002D1161"/>
    <w:rsid w:val="002E651D"/>
    <w:rsid w:val="002E744A"/>
    <w:rsid w:val="002E744E"/>
    <w:rsid w:val="002F5B93"/>
    <w:rsid w:val="003201EF"/>
    <w:rsid w:val="00325145"/>
    <w:rsid w:val="003258CD"/>
    <w:rsid w:val="003408EE"/>
    <w:rsid w:val="00341075"/>
    <w:rsid w:val="00343D04"/>
    <w:rsid w:val="00344553"/>
    <w:rsid w:val="00344EFF"/>
    <w:rsid w:val="00347D9D"/>
    <w:rsid w:val="00354E45"/>
    <w:rsid w:val="00357A89"/>
    <w:rsid w:val="003724BC"/>
    <w:rsid w:val="003826EE"/>
    <w:rsid w:val="003913FB"/>
    <w:rsid w:val="003968D7"/>
    <w:rsid w:val="003A1EE7"/>
    <w:rsid w:val="003A2DB0"/>
    <w:rsid w:val="003A30DE"/>
    <w:rsid w:val="003A5EB7"/>
    <w:rsid w:val="003A620E"/>
    <w:rsid w:val="003B3B9C"/>
    <w:rsid w:val="003B6B59"/>
    <w:rsid w:val="003C41DE"/>
    <w:rsid w:val="003C6D64"/>
    <w:rsid w:val="003D5AC2"/>
    <w:rsid w:val="003F27C0"/>
    <w:rsid w:val="003F33DA"/>
    <w:rsid w:val="003F39F0"/>
    <w:rsid w:val="004051F3"/>
    <w:rsid w:val="00407DAA"/>
    <w:rsid w:val="004133C4"/>
    <w:rsid w:val="00414FBD"/>
    <w:rsid w:val="0042224C"/>
    <w:rsid w:val="0043051C"/>
    <w:rsid w:val="00434ACB"/>
    <w:rsid w:val="00437A56"/>
    <w:rsid w:val="00437B41"/>
    <w:rsid w:val="00444E0B"/>
    <w:rsid w:val="00446F8C"/>
    <w:rsid w:val="00470EC3"/>
    <w:rsid w:val="00472A24"/>
    <w:rsid w:val="0048034A"/>
    <w:rsid w:val="00492600"/>
    <w:rsid w:val="004A1617"/>
    <w:rsid w:val="004A5EB6"/>
    <w:rsid w:val="004A7011"/>
    <w:rsid w:val="004B4255"/>
    <w:rsid w:val="004C0CEC"/>
    <w:rsid w:val="004C3BBF"/>
    <w:rsid w:val="004C7960"/>
    <w:rsid w:val="004D154A"/>
    <w:rsid w:val="004D6644"/>
    <w:rsid w:val="004E3CE9"/>
    <w:rsid w:val="0050352A"/>
    <w:rsid w:val="00510A46"/>
    <w:rsid w:val="005145A4"/>
    <w:rsid w:val="00516E67"/>
    <w:rsid w:val="00551401"/>
    <w:rsid w:val="00562098"/>
    <w:rsid w:val="00566B45"/>
    <w:rsid w:val="00574673"/>
    <w:rsid w:val="00580628"/>
    <w:rsid w:val="0058655D"/>
    <w:rsid w:val="00591429"/>
    <w:rsid w:val="005A3155"/>
    <w:rsid w:val="005B4184"/>
    <w:rsid w:val="005B443A"/>
    <w:rsid w:val="005C0E44"/>
    <w:rsid w:val="005D1EF8"/>
    <w:rsid w:val="005D3F62"/>
    <w:rsid w:val="005E109B"/>
    <w:rsid w:val="005E1EB1"/>
    <w:rsid w:val="005F2FF4"/>
    <w:rsid w:val="005F3D6A"/>
    <w:rsid w:val="005F41BB"/>
    <w:rsid w:val="00600AC9"/>
    <w:rsid w:val="00614446"/>
    <w:rsid w:val="006303D7"/>
    <w:rsid w:val="0063104F"/>
    <w:rsid w:val="006420FB"/>
    <w:rsid w:val="00644B69"/>
    <w:rsid w:val="0065147C"/>
    <w:rsid w:val="0065163C"/>
    <w:rsid w:val="006532FA"/>
    <w:rsid w:val="006600F4"/>
    <w:rsid w:val="00667071"/>
    <w:rsid w:val="00671C1E"/>
    <w:rsid w:val="00674B83"/>
    <w:rsid w:val="00676772"/>
    <w:rsid w:val="0068088B"/>
    <w:rsid w:val="00682A8F"/>
    <w:rsid w:val="0069421D"/>
    <w:rsid w:val="006954D6"/>
    <w:rsid w:val="00697494"/>
    <w:rsid w:val="006A2E01"/>
    <w:rsid w:val="006A7157"/>
    <w:rsid w:val="006A7EF6"/>
    <w:rsid w:val="006B111F"/>
    <w:rsid w:val="006B200D"/>
    <w:rsid w:val="006B7966"/>
    <w:rsid w:val="006C0966"/>
    <w:rsid w:val="006C31DC"/>
    <w:rsid w:val="006C549F"/>
    <w:rsid w:val="006C6266"/>
    <w:rsid w:val="006E1705"/>
    <w:rsid w:val="006E1D41"/>
    <w:rsid w:val="006E5AE8"/>
    <w:rsid w:val="006E7F09"/>
    <w:rsid w:val="006F0B25"/>
    <w:rsid w:val="006F4785"/>
    <w:rsid w:val="006F4794"/>
    <w:rsid w:val="007053AD"/>
    <w:rsid w:val="00721006"/>
    <w:rsid w:val="00735F0B"/>
    <w:rsid w:val="00745B55"/>
    <w:rsid w:val="00757E50"/>
    <w:rsid w:val="00773AC5"/>
    <w:rsid w:val="00777E1B"/>
    <w:rsid w:val="007805ED"/>
    <w:rsid w:val="00785152"/>
    <w:rsid w:val="00786AA1"/>
    <w:rsid w:val="00796033"/>
    <w:rsid w:val="007A4CB4"/>
    <w:rsid w:val="007B40E3"/>
    <w:rsid w:val="007B64D3"/>
    <w:rsid w:val="007C60E7"/>
    <w:rsid w:val="007D1480"/>
    <w:rsid w:val="007D3306"/>
    <w:rsid w:val="007E1C8A"/>
    <w:rsid w:val="007E4A46"/>
    <w:rsid w:val="00800C3A"/>
    <w:rsid w:val="00801C5F"/>
    <w:rsid w:val="00826E2D"/>
    <w:rsid w:val="00831A01"/>
    <w:rsid w:val="0083629D"/>
    <w:rsid w:val="008552CF"/>
    <w:rsid w:val="008562CA"/>
    <w:rsid w:val="008603A2"/>
    <w:rsid w:val="00865E7F"/>
    <w:rsid w:val="00870D02"/>
    <w:rsid w:val="00874CBD"/>
    <w:rsid w:val="00874D56"/>
    <w:rsid w:val="00876C94"/>
    <w:rsid w:val="00887D13"/>
    <w:rsid w:val="0089484F"/>
    <w:rsid w:val="008A0381"/>
    <w:rsid w:val="008A48B2"/>
    <w:rsid w:val="008C1472"/>
    <w:rsid w:val="008C48D8"/>
    <w:rsid w:val="008D4E87"/>
    <w:rsid w:val="008D58A0"/>
    <w:rsid w:val="008D7324"/>
    <w:rsid w:val="008E37B1"/>
    <w:rsid w:val="008F4C8B"/>
    <w:rsid w:val="009003F9"/>
    <w:rsid w:val="00904918"/>
    <w:rsid w:val="0091462C"/>
    <w:rsid w:val="00917943"/>
    <w:rsid w:val="00925CB6"/>
    <w:rsid w:val="009314A2"/>
    <w:rsid w:val="00931F42"/>
    <w:rsid w:val="00936199"/>
    <w:rsid w:val="0093771F"/>
    <w:rsid w:val="009378B7"/>
    <w:rsid w:val="00940307"/>
    <w:rsid w:val="00961FA8"/>
    <w:rsid w:val="00973C18"/>
    <w:rsid w:val="009741A1"/>
    <w:rsid w:val="009851D3"/>
    <w:rsid w:val="00985A34"/>
    <w:rsid w:val="00994E20"/>
    <w:rsid w:val="009970E9"/>
    <w:rsid w:val="0099756B"/>
    <w:rsid w:val="00997A70"/>
    <w:rsid w:val="009A4C7F"/>
    <w:rsid w:val="009A73FE"/>
    <w:rsid w:val="009A74F9"/>
    <w:rsid w:val="009B2CF0"/>
    <w:rsid w:val="009B39ED"/>
    <w:rsid w:val="009B471A"/>
    <w:rsid w:val="009B66FE"/>
    <w:rsid w:val="009B69B9"/>
    <w:rsid w:val="009C322A"/>
    <w:rsid w:val="009D653B"/>
    <w:rsid w:val="009E065B"/>
    <w:rsid w:val="009E10ED"/>
    <w:rsid w:val="009F0505"/>
    <w:rsid w:val="00A26C5A"/>
    <w:rsid w:val="00A3344D"/>
    <w:rsid w:val="00A33D63"/>
    <w:rsid w:val="00A35D8C"/>
    <w:rsid w:val="00A41BF2"/>
    <w:rsid w:val="00A4236B"/>
    <w:rsid w:val="00A4355C"/>
    <w:rsid w:val="00A45309"/>
    <w:rsid w:val="00A6241B"/>
    <w:rsid w:val="00A66795"/>
    <w:rsid w:val="00A723DE"/>
    <w:rsid w:val="00A816CB"/>
    <w:rsid w:val="00A9393A"/>
    <w:rsid w:val="00A96D78"/>
    <w:rsid w:val="00AA18A4"/>
    <w:rsid w:val="00AA3283"/>
    <w:rsid w:val="00AA664B"/>
    <w:rsid w:val="00AA726B"/>
    <w:rsid w:val="00AB31A3"/>
    <w:rsid w:val="00AB440C"/>
    <w:rsid w:val="00AC20C2"/>
    <w:rsid w:val="00AC2BDA"/>
    <w:rsid w:val="00AF1AC4"/>
    <w:rsid w:val="00AF430E"/>
    <w:rsid w:val="00B06E7F"/>
    <w:rsid w:val="00B1384B"/>
    <w:rsid w:val="00B21139"/>
    <w:rsid w:val="00B23FD8"/>
    <w:rsid w:val="00B37FE8"/>
    <w:rsid w:val="00B4118A"/>
    <w:rsid w:val="00B42D50"/>
    <w:rsid w:val="00B44E34"/>
    <w:rsid w:val="00B46489"/>
    <w:rsid w:val="00B607CA"/>
    <w:rsid w:val="00B63993"/>
    <w:rsid w:val="00B71FE7"/>
    <w:rsid w:val="00B74637"/>
    <w:rsid w:val="00B77B07"/>
    <w:rsid w:val="00B849E8"/>
    <w:rsid w:val="00B85F92"/>
    <w:rsid w:val="00B86C32"/>
    <w:rsid w:val="00B969D6"/>
    <w:rsid w:val="00B96F1D"/>
    <w:rsid w:val="00BB2501"/>
    <w:rsid w:val="00BB27C5"/>
    <w:rsid w:val="00BB29F5"/>
    <w:rsid w:val="00BC0633"/>
    <w:rsid w:val="00BD00B0"/>
    <w:rsid w:val="00BD6081"/>
    <w:rsid w:val="00BD7C7D"/>
    <w:rsid w:val="00BE1352"/>
    <w:rsid w:val="00BE6DED"/>
    <w:rsid w:val="00BF71C0"/>
    <w:rsid w:val="00C052C3"/>
    <w:rsid w:val="00C13B53"/>
    <w:rsid w:val="00C17970"/>
    <w:rsid w:val="00C25519"/>
    <w:rsid w:val="00C27ACC"/>
    <w:rsid w:val="00C300CF"/>
    <w:rsid w:val="00C35157"/>
    <w:rsid w:val="00C478DE"/>
    <w:rsid w:val="00C47BAE"/>
    <w:rsid w:val="00C50C2F"/>
    <w:rsid w:val="00C51EBE"/>
    <w:rsid w:val="00C53313"/>
    <w:rsid w:val="00C5364C"/>
    <w:rsid w:val="00C53E16"/>
    <w:rsid w:val="00C56637"/>
    <w:rsid w:val="00C604ED"/>
    <w:rsid w:val="00C60F0C"/>
    <w:rsid w:val="00C7056F"/>
    <w:rsid w:val="00C80916"/>
    <w:rsid w:val="00CA1C3E"/>
    <w:rsid w:val="00CA3C0D"/>
    <w:rsid w:val="00CB27BF"/>
    <w:rsid w:val="00CC023F"/>
    <w:rsid w:val="00CC0EA2"/>
    <w:rsid w:val="00CD736E"/>
    <w:rsid w:val="00CE392F"/>
    <w:rsid w:val="00CF0F5A"/>
    <w:rsid w:val="00CF2839"/>
    <w:rsid w:val="00CF5130"/>
    <w:rsid w:val="00CF7CB9"/>
    <w:rsid w:val="00D00A4D"/>
    <w:rsid w:val="00D129DB"/>
    <w:rsid w:val="00D12A04"/>
    <w:rsid w:val="00D12CC2"/>
    <w:rsid w:val="00D15060"/>
    <w:rsid w:val="00D1586A"/>
    <w:rsid w:val="00D15E8B"/>
    <w:rsid w:val="00D21C6B"/>
    <w:rsid w:val="00D22072"/>
    <w:rsid w:val="00D26908"/>
    <w:rsid w:val="00D273B2"/>
    <w:rsid w:val="00D34D92"/>
    <w:rsid w:val="00D376F3"/>
    <w:rsid w:val="00D41F49"/>
    <w:rsid w:val="00D47161"/>
    <w:rsid w:val="00D476DB"/>
    <w:rsid w:val="00D50BD6"/>
    <w:rsid w:val="00D53B33"/>
    <w:rsid w:val="00D62079"/>
    <w:rsid w:val="00D85BCE"/>
    <w:rsid w:val="00D9481E"/>
    <w:rsid w:val="00D953EA"/>
    <w:rsid w:val="00D9795D"/>
    <w:rsid w:val="00DA328A"/>
    <w:rsid w:val="00DA743E"/>
    <w:rsid w:val="00DB0626"/>
    <w:rsid w:val="00DB39D6"/>
    <w:rsid w:val="00DC1F4B"/>
    <w:rsid w:val="00DC209E"/>
    <w:rsid w:val="00DE783A"/>
    <w:rsid w:val="00DF0F41"/>
    <w:rsid w:val="00DF5955"/>
    <w:rsid w:val="00E038FF"/>
    <w:rsid w:val="00E07B87"/>
    <w:rsid w:val="00E10DD3"/>
    <w:rsid w:val="00E127FF"/>
    <w:rsid w:val="00E14765"/>
    <w:rsid w:val="00E21D7F"/>
    <w:rsid w:val="00E24FC6"/>
    <w:rsid w:val="00E25428"/>
    <w:rsid w:val="00E26F96"/>
    <w:rsid w:val="00E33A85"/>
    <w:rsid w:val="00E33DFC"/>
    <w:rsid w:val="00E341EE"/>
    <w:rsid w:val="00E37F6D"/>
    <w:rsid w:val="00E44FAF"/>
    <w:rsid w:val="00E51932"/>
    <w:rsid w:val="00E665B9"/>
    <w:rsid w:val="00E66EF5"/>
    <w:rsid w:val="00E75286"/>
    <w:rsid w:val="00E97839"/>
    <w:rsid w:val="00EA0F1E"/>
    <w:rsid w:val="00EA3D70"/>
    <w:rsid w:val="00EA788B"/>
    <w:rsid w:val="00EB1BAE"/>
    <w:rsid w:val="00EB4E0F"/>
    <w:rsid w:val="00ED3920"/>
    <w:rsid w:val="00EE0834"/>
    <w:rsid w:val="00EE0C7B"/>
    <w:rsid w:val="00EF08DC"/>
    <w:rsid w:val="00F03C11"/>
    <w:rsid w:val="00F15C75"/>
    <w:rsid w:val="00F21928"/>
    <w:rsid w:val="00F22CB6"/>
    <w:rsid w:val="00F24215"/>
    <w:rsid w:val="00F258C1"/>
    <w:rsid w:val="00F26658"/>
    <w:rsid w:val="00F2735B"/>
    <w:rsid w:val="00F27412"/>
    <w:rsid w:val="00F313AC"/>
    <w:rsid w:val="00F55A7B"/>
    <w:rsid w:val="00F65016"/>
    <w:rsid w:val="00F653D2"/>
    <w:rsid w:val="00F6542F"/>
    <w:rsid w:val="00F67CFF"/>
    <w:rsid w:val="00F74E16"/>
    <w:rsid w:val="00F766BD"/>
    <w:rsid w:val="00F90CF0"/>
    <w:rsid w:val="00FB0C70"/>
    <w:rsid w:val="00FB2EEF"/>
    <w:rsid w:val="00FB3999"/>
    <w:rsid w:val="00FB635C"/>
    <w:rsid w:val="00FC70C6"/>
    <w:rsid w:val="00FD24E1"/>
    <w:rsid w:val="00FD6FF2"/>
    <w:rsid w:val="00FE1FB3"/>
    <w:rsid w:val="00FF5B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E661C"/>
  <w15:chartTrackingRefBased/>
  <w15:docId w15:val="{0597EAE5-0073-4995-8EF4-E97629AA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F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307"/>
    <w:rPr>
      <w:rFonts w:ascii="Segoe UI" w:hAnsi="Segoe UI" w:cs="Segoe UI"/>
      <w:sz w:val="18"/>
      <w:szCs w:val="18"/>
    </w:rPr>
  </w:style>
  <w:style w:type="character" w:styleId="Hyperlink">
    <w:name w:val="Hyperlink"/>
    <w:basedOn w:val="DefaultParagraphFont"/>
    <w:uiPriority w:val="99"/>
    <w:unhideWhenUsed/>
    <w:rsid w:val="00940307"/>
    <w:rPr>
      <w:color w:val="0563C1" w:themeColor="hyperlink"/>
      <w:u w:val="single"/>
    </w:rPr>
  </w:style>
  <w:style w:type="character" w:styleId="UnresolvedMention">
    <w:name w:val="Unresolved Mention"/>
    <w:basedOn w:val="DefaultParagraphFont"/>
    <w:uiPriority w:val="99"/>
    <w:semiHidden/>
    <w:unhideWhenUsed/>
    <w:rsid w:val="00940307"/>
    <w:rPr>
      <w:color w:val="605E5C"/>
      <w:shd w:val="clear" w:color="auto" w:fill="E1DFDD"/>
    </w:rPr>
  </w:style>
  <w:style w:type="paragraph" w:styleId="ListParagraph">
    <w:name w:val="List Paragraph"/>
    <w:basedOn w:val="Normal"/>
    <w:uiPriority w:val="34"/>
    <w:qFormat/>
    <w:rsid w:val="00B85F92"/>
    <w:pPr>
      <w:ind w:left="720"/>
      <w:contextualSpacing/>
    </w:pPr>
  </w:style>
  <w:style w:type="character" w:styleId="CommentReference">
    <w:name w:val="annotation reference"/>
    <w:basedOn w:val="DefaultParagraphFont"/>
    <w:uiPriority w:val="99"/>
    <w:semiHidden/>
    <w:unhideWhenUsed/>
    <w:rsid w:val="001B07C6"/>
    <w:rPr>
      <w:sz w:val="16"/>
      <w:szCs w:val="16"/>
    </w:rPr>
  </w:style>
  <w:style w:type="paragraph" w:styleId="CommentText">
    <w:name w:val="annotation text"/>
    <w:basedOn w:val="Normal"/>
    <w:link w:val="CommentTextChar"/>
    <w:uiPriority w:val="99"/>
    <w:semiHidden/>
    <w:unhideWhenUsed/>
    <w:rsid w:val="001B07C6"/>
    <w:pPr>
      <w:spacing w:line="240" w:lineRule="auto"/>
    </w:pPr>
    <w:rPr>
      <w:sz w:val="20"/>
      <w:szCs w:val="20"/>
    </w:rPr>
  </w:style>
  <w:style w:type="character" w:customStyle="1" w:styleId="CommentTextChar">
    <w:name w:val="Comment Text Char"/>
    <w:basedOn w:val="DefaultParagraphFont"/>
    <w:link w:val="CommentText"/>
    <w:uiPriority w:val="99"/>
    <w:semiHidden/>
    <w:rsid w:val="001B07C6"/>
    <w:rPr>
      <w:sz w:val="20"/>
      <w:szCs w:val="20"/>
    </w:rPr>
  </w:style>
  <w:style w:type="paragraph" w:styleId="CommentSubject">
    <w:name w:val="annotation subject"/>
    <w:basedOn w:val="CommentText"/>
    <w:next w:val="CommentText"/>
    <w:link w:val="CommentSubjectChar"/>
    <w:uiPriority w:val="99"/>
    <w:semiHidden/>
    <w:unhideWhenUsed/>
    <w:rsid w:val="001B07C6"/>
    <w:rPr>
      <w:b/>
      <w:bCs/>
    </w:rPr>
  </w:style>
  <w:style w:type="character" w:customStyle="1" w:styleId="CommentSubjectChar">
    <w:name w:val="Comment Subject Char"/>
    <w:basedOn w:val="CommentTextChar"/>
    <w:link w:val="CommentSubject"/>
    <w:uiPriority w:val="99"/>
    <w:semiHidden/>
    <w:rsid w:val="001B07C6"/>
    <w:rPr>
      <w:b/>
      <w:bCs/>
      <w:sz w:val="20"/>
      <w:szCs w:val="20"/>
    </w:rPr>
  </w:style>
  <w:style w:type="paragraph" w:customStyle="1" w:styleId="Pa15">
    <w:name w:val="Pa15"/>
    <w:basedOn w:val="Normal"/>
    <w:next w:val="Normal"/>
    <w:uiPriority w:val="99"/>
    <w:rsid w:val="00961FA8"/>
    <w:pPr>
      <w:autoSpaceDE w:val="0"/>
      <w:autoSpaceDN w:val="0"/>
      <w:adjustRightInd w:val="0"/>
      <w:spacing w:after="0" w:line="221" w:lineRule="atLeast"/>
    </w:pPr>
    <w:rPr>
      <w:rFonts w:ascii="ITC Franklin Gothic Std Book" w:hAnsi="ITC Franklin Gothic Std Book"/>
      <w:sz w:val="24"/>
      <w:szCs w:val="24"/>
    </w:rPr>
  </w:style>
  <w:style w:type="paragraph" w:customStyle="1" w:styleId="Default">
    <w:name w:val="Default"/>
    <w:uiPriority w:val="99"/>
    <w:rsid w:val="00444E0B"/>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customStyle="1" w:styleId="A6">
    <w:name w:val="A6"/>
    <w:uiPriority w:val="99"/>
    <w:rsid w:val="00444E0B"/>
    <w:rPr>
      <w:rFonts w:cs="ITC Franklin Gothic Std Book"/>
      <w:color w:val="000000"/>
      <w:sz w:val="22"/>
      <w:szCs w:val="22"/>
    </w:rPr>
  </w:style>
  <w:style w:type="character" w:customStyle="1" w:styleId="A8">
    <w:name w:val="A8"/>
    <w:uiPriority w:val="99"/>
    <w:rsid w:val="00444E0B"/>
    <w:rPr>
      <w:rFonts w:cs="ITC Franklin Gothic Std Book"/>
      <w:b/>
      <w:bCs/>
      <w:color w:val="000000"/>
      <w:sz w:val="22"/>
      <w:szCs w:val="22"/>
      <w:u w:val="single"/>
    </w:rPr>
  </w:style>
  <w:style w:type="character" w:customStyle="1" w:styleId="A13">
    <w:name w:val="A13"/>
    <w:uiPriority w:val="99"/>
    <w:rsid w:val="00444E0B"/>
    <w:rPr>
      <w:rFonts w:cs="ITC Franklin Gothic Std Book"/>
      <w:color w:val="000000"/>
      <w:sz w:val="22"/>
      <w:szCs w:val="22"/>
    </w:rPr>
  </w:style>
  <w:style w:type="paragraph" w:customStyle="1" w:styleId="Pa0">
    <w:name w:val="Pa0"/>
    <w:basedOn w:val="Default"/>
    <w:next w:val="Default"/>
    <w:uiPriority w:val="99"/>
    <w:rsid w:val="006532FA"/>
    <w:pPr>
      <w:spacing w:line="221" w:lineRule="atLeast"/>
    </w:pPr>
    <w:rPr>
      <w:rFonts w:cstheme="minorBidi"/>
      <w:color w:val="auto"/>
    </w:rPr>
  </w:style>
  <w:style w:type="paragraph" w:customStyle="1" w:styleId="Pa24">
    <w:name w:val="Pa24"/>
    <w:basedOn w:val="Default"/>
    <w:next w:val="Default"/>
    <w:uiPriority w:val="99"/>
    <w:rsid w:val="00084686"/>
    <w:pPr>
      <w:spacing w:line="241" w:lineRule="atLeast"/>
    </w:pPr>
    <w:rPr>
      <w:rFonts w:ascii="ITC Franklin Gothic Std Bk Cd" w:hAnsi="ITC Franklin Gothic Std Bk Cd" w:cstheme="minorBidi"/>
      <w:color w:val="auto"/>
    </w:rPr>
  </w:style>
  <w:style w:type="character" w:customStyle="1" w:styleId="A9">
    <w:name w:val="A9"/>
    <w:uiPriority w:val="99"/>
    <w:rsid w:val="00084686"/>
    <w:rPr>
      <w:rFonts w:ascii="ITC Franklin Gothic Std Book" w:hAnsi="ITC Franklin Gothic Std Book" w:cs="ITC Franklin Gothic Std Book"/>
      <w:color w:val="000000"/>
      <w:sz w:val="12"/>
      <w:szCs w:val="12"/>
    </w:rPr>
  </w:style>
  <w:style w:type="table" w:styleId="TableGrid">
    <w:name w:val="Table Grid"/>
    <w:basedOn w:val="TableNormal"/>
    <w:uiPriority w:val="39"/>
    <w:rsid w:val="006C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F1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954D6"/>
    <w:pPr>
      <w:outlineLvl w:val="9"/>
    </w:pPr>
  </w:style>
  <w:style w:type="paragraph" w:styleId="TOC1">
    <w:name w:val="toc 1"/>
    <w:basedOn w:val="Normal"/>
    <w:next w:val="Normal"/>
    <w:autoRedefine/>
    <w:uiPriority w:val="39"/>
    <w:unhideWhenUsed/>
    <w:rsid w:val="006954D6"/>
    <w:pPr>
      <w:spacing w:after="100"/>
    </w:pPr>
  </w:style>
  <w:style w:type="character" w:customStyle="1" w:styleId="Heading3Char">
    <w:name w:val="Heading 3 Char"/>
    <w:basedOn w:val="DefaultParagraphFont"/>
    <w:link w:val="Heading3"/>
    <w:uiPriority w:val="9"/>
    <w:semiHidden/>
    <w:rsid w:val="0013146B"/>
    <w:rPr>
      <w:rFonts w:asciiTheme="majorHAnsi" w:eastAsiaTheme="majorEastAsia" w:hAnsiTheme="majorHAnsi" w:cstheme="majorBidi"/>
      <w:color w:val="1F3763" w:themeColor="accent1" w:themeShade="7F"/>
      <w:sz w:val="24"/>
      <w:szCs w:val="24"/>
    </w:rPr>
  </w:style>
  <w:style w:type="character" w:customStyle="1" w:styleId="Head4Char">
    <w:name w:val="Head4 Char"/>
    <w:basedOn w:val="DefaultParagraphFont"/>
    <w:link w:val="Head4"/>
    <w:uiPriority w:val="10"/>
    <w:locked/>
    <w:rsid w:val="0013146B"/>
    <w:rPr>
      <w:rFonts w:ascii="Times New Roman" w:hAnsi="Times New Roman" w:cs="Times New Roman"/>
      <w:i/>
      <w:sz w:val="24"/>
      <w:szCs w:val="24"/>
      <w:lang w:eastAsia="ja-JP"/>
    </w:rPr>
  </w:style>
  <w:style w:type="paragraph" w:customStyle="1" w:styleId="Head4">
    <w:name w:val="Head4"/>
    <w:basedOn w:val="Normal"/>
    <w:link w:val="Head4Char"/>
    <w:uiPriority w:val="10"/>
    <w:qFormat/>
    <w:rsid w:val="0013146B"/>
    <w:pPr>
      <w:spacing w:after="240" w:line="240" w:lineRule="auto"/>
      <w:ind w:left="720"/>
    </w:pPr>
    <w:rPr>
      <w:rFonts w:ascii="Times New Roman" w:hAnsi="Times New Roman" w:cs="Times New Roman"/>
      <w:i/>
      <w:sz w:val="24"/>
      <w:szCs w:val="24"/>
      <w:lang w:eastAsia="ja-JP"/>
    </w:rPr>
  </w:style>
  <w:style w:type="paragraph" w:styleId="Revision">
    <w:name w:val="Revision"/>
    <w:hidden/>
    <w:uiPriority w:val="99"/>
    <w:semiHidden/>
    <w:rsid w:val="006A7157"/>
    <w:pPr>
      <w:spacing w:after="0" w:line="240" w:lineRule="auto"/>
    </w:pPr>
  </w:style>
  <w:style w:type="paragraph" w:styleId="NormalWeb">
    <w:name w:val="Normal (Web)"/>
    <w:basedOn w:val="Normal"/>
    <w:uiPriority w:val="99"/>
    <w:unhideWhenUsed/>
    <w:rsid w:val="00786AA1"/>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wirth@cdc.gov" TargetMode="External" /><Relationship Id="rId6" Type="http://schemas.openxmlformats.org/officeDocument/2006/relationships/hyperlink" Target="mailto:pallison@cdc.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3CC23-9ADC-43CD-A592-CE04B013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4456</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Foreman, Anne M. (CDC/NIOSH/HELD/BB)</dc:creator>
  <cp:lastModifiedBy>Sawyer, Tamela (CDC/NIOSH/OD/ODDM)</cp:lastModifiedBy>
  <cp:revision>3</cp:revision>
  <dcterms:created xsi:type="dcterms:W3CDTF">2023-04-24T12:35:00Z</dcterms:created>
  <dcterms:modified xsi:type="dcterms:W3CDTF">2023-04-24T12:43:00Z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96893bf9-3ee2-4f81-acc8-4c307404b5b4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2021-03-26T18:34:37Z</vt:lpwstr>
  </property>
  <property fmtid="{D5CDD505-2E9C-101B-9397-08002B2CF9AE}" pid="8" name="MSIP_Label_7b94a7b8-f06c-4dfe-bdcc-9b548fd58c31_SiteId">
    <vt:lpwstr>9ce70869-60db-44fd-abe8-d2767077fc8f</vt:lpwstr>
  </property>
</Properties>
</file>