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953D5" w:rsidRPr="00E72EE3" w:rsidP="00A953D5" w14:paraId="0395234C" w14:textId="77777777">
      <w:pPr>
        <w:pStyle w:val="Title"/>
        <w:jc w:val="center"/>
        <w:rPr>
          <w:sz w:val="32"/>
          <w:szCs w:val="32"/>
        </w:rPr>
      </w:pPr>
      <w:r w:rsidRPr="00E72EE3">
        <w:rPr>
          <w:sz w:val="32"/>
          <w:szCs w:val="32"/>
        </w:rPr>
        <w:t>Information Collection Request for</w:t>
      </w:r>
    </w:p>
    <w:p w:rsidR="00A953D5" w:rsidRPr="00E72EE3" w:rsidP="00A953D5" w14:paraId="0B77DD99" w14:textId="77777777">
      <w:pPr>
        <w:jc w:val="center"/>
        <w:rPr>
          <w:sz w:val="32"/>
          <w:szCs w:val="32"/>
        </w:rPr>
      </w:pPr>
      <w:r w:rsidRPr="00E72EE3">
        <w:rPr>
          <w:sz w:val="32"/>
          <w:szCs w:val="32"/>
        </w:rPr>
        <w:t>“Noise Exposures and Hearing Loss in the Oil and Gas Extraction Industry”</w:t>
      </w:r>
    </w:p>
    <w:p w:rsidR="00A953D5" w:rsidP="00A953D5" w14:paraId="107CF8E6" w14:textId="77777777">
      <w:pPr>
        <w:jc w:val="center"/>
      </w:pPr>
    </w:p>
    <w:p w:rsidR="00A953D5" w:rsidP="00A953D5" w14:paraId="25653984" w14:textId="77777777">
      <w:pPr>
        <w:jc w:val="center"/>
      </w:pPr>
    </w:p>
    <w:p w:rsidR="00A953D5" w:rsidP="00A953D5" w14:paraId="375C4C01" w14:textId="77777777">
      <w:pPr>
        <w:jc w:val="center"/>
      </w:pPr>
      <w:r>
        <w:t>Bradley King, PhD, CIH</w:t>
      </w:r>
    </w:p>
    <w:p w:rsidR="00A953D5" w:rsidP="00A953D5" w14:paraId="6ADC8E0A" w14:textId="77777777">
      <w:pPr>
        <w:jc w:val="center"/>
      </w:pPr>
      <w:r w:rsidRPr="00FD3105">
        <w:t>303.236.5933</w:t>
      </w:r>
    </w:p>
    <w:p w:rsidR="00A953D5" w:rsidP="00A953D5" w14:paraId="2A420102" w14:textId="2F687D7A">
      <w:pPr>
        <w:jc w:val="center"/>
      </w:pPr>
      <w:r w:rsidRPr="00ED1E9C">
        <w:t>BFK2@cdc</w:t>
      </w:r>
      <w:r w:rsidR="006F51CB">
        <w:t>.gov</w:t>
      </w:r>
    </w:p>
    <w:p w:rsidR="00A953D5" w:rsidP="00A953D5" w14:paraId="412D6871" w14:textId="77777777">
      <w:pPr>
        <w:jc w:val="center"/>
      </w:pPr>
    </w:p>
    <w:p w:rsidR="00A953D5" w:rsidP="00A953D5" w14:paraId="060C922B" w14:textId="4841CB6B">
      <w:pPr>
        <w:jc w:val="center"/>
      </w:pPr>
      <w:r>
        <w:t xml:space="preserve">April </w:t>
      </w:r>
      <w:r>
        <w:t>202</w:t>
      </w:r>
      <w:r w:rsidR="00655FEE">
        <w:t>3</w:t>
      </w:r>
    </w:p>
    <w:p w:rsidR="00A953D5" w:rsidP="00A953D5" w14:paraId="2B502A4E" w14:textId="77777777">
      <w:pPr>
        <w:jc w:val="center"/>
      </w:pPr>
    </w:p>
    <w:p w:rsidR="00A953D5" w:rsidP="00A953D5" w14:paraId="3D73AC08" w14:textId="77777777">
      <w:pPr>
        <w:jc w:val="center"/>
      </w:pPr>
      <w:r>
        <w:t>Part A: Justification</w:t>
      </w:r>
    </w:p>
    <w:p w:rsidR="00A953D5" w:rsidP="00A953D5" w14:paraId="199B8381" w14:textId="77777777">
      <w:pPr>
        <w:spacing w:after="160" w:line="259" w:lineRule="auto"/>
      </w:pPr>
      <w:r>
        <w:br w:type="page"/>
      </w:r>
    </w:p>
    <w:sdt>
      <w:sdtPr>
        <w:rPr>
          <w:rFonts w:ascii="Times New Roman" w:eastAsia="Times New Roman" w:hAnsi="Times New Roman" w:cs="Times New Roman"/>
          <w:color w:val="auto"/>
          <w:sz w:val="24"/>
          <w:szCs w:val="24"/>
        </w:rPr>
        <w:id w:val="-2036732485"/>
        <w:docPartObj>
          <w:docPartGallery w:val="Table of Contents"/>
          <w:docPartUnique/>
        </w:docPartObj>
      </w:sdtPr>
      <w:sdtEndPr>
        <w:rPr>
          <w:b/>
          <w:bCs/>
          <w:noProof/>
        </w:rPr>
      </w:sdtEndPr>
      <w:sdtContent>
        <w:p w:rsidR="00A953D5" w:rsidP="00A953D5" w14:paraId="7E10A21C" w14:textId="77777777">
          <w:pPr>
            <w:pStyle w:val="TOCHeading"/>
            <w:rPr>
              <w:rFonts w:ascii="Times New Roman" w:hAnsi="Times New Roman" w:cs="Times New Roman"/>
              <w:color w:val="auto"/>
              <w:sz w:val="24"/>
              <w:szCs w:val="24"/>
            </w:rPr>
          </w:pPr>
          <w:r w:rsidRPr="00763E3C">
            <w:rPr>
              <w:rFonts w:ascii="Times New Roman" w:hAnsi="Times New Roman" w:cs="Times New Roman"/>
              <w:color w:val="auto"/>
              <w:sz w:val="24"/>
              <w:szCs w:val="24"/>
            </w:rPr>
            <w:t>Table of Contents</w:t>
          </w:r>
        </w:p>
        <w:p w:rsidR="00A953D5" w:rsidRPr="00763E3C" w:rsidP="00A953D5" w14:paraId="5F27F97E" w14:textId="77777777"/>
        <w:p w:rsidR="00655FEE" w14:paraId="4A2EAB03" w14:textId="4178912C">
          <w:pPr>
            <w:pStyle w:val="TOC1"/>
            <w:tabs>
              <w:tab w:val="left" w:pos="440"/>
              <w:tab w:val="right" w:leader="dot" w:pos="10070"/>
            </w:tabs>
            <w:rPr>
              <w:rFonts w:asciiTheme="minorHAnsi" w:eastAsiaTheme="minorEastAsia" w:hAnsiTheme="minorHAnsi" w:cstheme="minorBidi"/>
              <w:noProof/>
              <w:sz w:val="22"/>
              <w:szCs w:val="22"/>
            </w:rPr>
          </w:pPr>
          <w:r>
            <w:fldChar w:fldCharType="begin"/>
          </w:r>
          <w:r>
            <w:instrText xml:space="preserve"> TOC \o "1-3" \h \z \u </w:instrText>
          </w:r>
          <w:r>
            <w:fldChar w:fldCharType="separate"/>
          </w:r>
          <w:hyperlink w:anchor="_Toc130908451" w:history="1">
            <w:r w:rsidRPr="00CB223E">
              <w:rPr>
                <w:rStyle w:val="Hyperlink"/>
                <w:noProof/>
              </w:rPr>
              <w:t>1.</w:t>
            </w:r>
            <w:r>
              <w:rPr>
                <w:rFonts w:asciiTheme="minorHAnsi" w:eastAsiaTheme="minorEastAsia" w:hAnsiTheme="minorHAnsi" w:cstheme="minorBidi"/>
                <w:noProof/>
                <w:sz w:val="22"/>
                <w:szCs w:val="22"/>
              </w:rPr>
              <w:tab/>
            </w:r>
            <w:r w:rsidRPr="00CB223E">
              <w:rPr>
                <w:rStyle w:val="Hyperlink"/>
                <w:noProof/>
              </w:rPr>
              <w:t>Circumstances Making the Collection of Information Necessary</w:t>
            </w:r>
            <w:r>
              <w:rPr>
                <w:noProof/>
                <w:webHidden/>
              </w:rPr>
              <w:tab/>
            </w:r>
            <w:r>
              <w:rPr>
                <w:noProof/>
                <w:webHidden/>
              </w:rPr>
              <w:fldChar w:fldCharType="begin"/>
            </w:r>
            <w:r>
              <w:rPr>
                <w:noProof/>
                <w:webHidden/>
              </w:rPr>
              <w:instrText xml:space="preserve"> PAGEREF _Toc130908451 \h </w:instrText>
            </w:r>
            <w:r>
              <w:rPr>
                <w:noProof/>
                <w:webHidden/>
              </w:rPr>
              <w:fldChar w:fldCharType="separate"/>
            </w:r>
            <w:r>
              <w:rPr>
                <w:noProof/>
                <w:webHidden/>
              </w:rPr>
              <w:t>2</w:t>
            </w:r>
            <w:r>
              <w:rPr>
                <w:noProof/>
                <w:webHidden/>
              </w:rPr>
              <w:fldChar w:fldCharType="end"/>
            </w:r>
          </w:hyperlink>
        </w:p>
        <w:p w:rsidR="00655FEE" w14:paraId="7B636542" w14:textId="7B92DB97">
          <w:pPr>
            <w:pStyle w:val="TOC1"/>
            <w:tabs>
              <w:tab w:val="left" w:pos="440"/>
              <w:tab w:val="right" w:leader="dot" w:pos="10070"/>
            </w:tabs>
            <w:rPr>
              <w:rFonts w:asciiTheme="minorHAnsi" w:eastAsiaTheme="minorEastAsia" w:hAnsiTheme="minorHAnsi" w:cstheme="minorBidi"/>
              <w:noProof/>
              <w:sz w:val="22"/>
              <w:szCs w:val="22"/>
            </w:rPr>
          </w:pPr>
          <w:hyperlink w:anchor="_Toc130908452" w:history="1">
            <w:r w:rsidRPr="00CB223E">
              <w:rPr>
                <w:rStyle w:val="Hyperlink"/>
                <w:noProof/>
              </w:rPr>
              <w:t>2.</w:t>
            </w:r>
            <w:r>
              <w:rPr>
                <w:rFonts w:asciiTheme="minorHAnsi" w:eastAsiaTheme="minorEastAsia" w:hAnsiTheme="minorHAnsi" w:cstheme="minorBidi"/>
                <w:noProof/>
                <w:sz w:val="22"/>
                <w:szCs w:val="22"/>
              </w:rPr>
              <w:tab/>
            </w:r>
            <w:r w:rsidRPr="00CB223E">
              <w:rPr>
                <w:rStyle w:val="Hyperlink"/>
                <w:noProof/>
              </w:rPr>
              <w:t>Purpose and Use of Information Collection</w:t>
            </w:r>
            <w:r>
              <w:rPr>
                <w:noProof/>
                <w:webHidden/>
              </w:rPr>
              <w:tab/>
            </w:r>
            <w:r>
              <w:rPr>
                <w:noProof/>
                <w:webHidden/>
              </w:rPr>
              <w:fldChar w:fldCharType="begin"/>
            </w:r>
            <w:r>
              <w:rPr>
                <w:noProof/>
                <w:webHidden/>
              </w:rPr>
              <w:instrText xml:space="preserve"> PAGEREF _Toc130908452 \h </w:instrText>
            </w:r>
            <w:r>
              <w:rPr>
                <w:noProof/>
                <w:webHidden/>
              </w:rPr>
              <w:fldChar w:fldCharType="separate"/>
            </w:r>
            <w:r>
              <w:rPr>
                <w:noProof/>
                <w:webHidden/>
              </w:rPr>
              <w:t>5</w:t>
            </w:r>
            <w:r>
              <w:rPr>
                <w:noProof/>
                <w:webHidden/>
              </w:rPr>
              <w:fldChar w:fldCharType="end"/>
            </w:r>
          </w:hyperlink>
        </w:p>
        <w:p w:rsidR="00655FEE" w14:paraId="2F3086A5" w14:textId="2EEB157F">
          <w:pPr>
            <w:pStyle w:val="TOC1"/>
            <w:tabs>
              <w:tab w:val="left" w:pos="440"/>
              <w:tab w:val="right" w:leader="dot" w:pos="10070"/>
            </w:tabs>
            <w:rPr>
              <w:rFonts w:asciiTheme="minorHAnsi" w:eastAsiaTheme="minorEastAsia" w:hAnsiTheme="minorHAnsi" w:cstheme="minorBidi"/>
              <w:noProof/>
              <w:sz w:val="22"/>
              <w:szCs w:val="22"/>
            </w:rPr>
          </w:pPr>
          <w:hyperlink w:anchor="_Toc130908453" w:history="1">
            <w:r w:rsidRPr="00CB223E">
              <w:rPr>
                <w:rStyle w:val="Hyperlink"/>
                <w:noProof/>
              </w:rPr>
              <w:t>3.</w:t>
            </w:r>
            <w:r>
              <w:rPr>
                <w:rFonts w:asciiTheme="minorHAnsi" w:eastAsiaTheme="minorEastAsia" w:hAnsiTheme="minorHAnsi" w:cstheme="minorBidi"/>
                <w:noProof/>
                <w:sz w:val="22"/>
                <w:szCs w:val="22"/>
              </w:rPr>
              <w:tab/>
            </w:r>
            <w:r w:rsidRPr="00CB223E">
              <w:rPr>
                <w:rStyle w:val="Hyperlink"/>
                <w:noProof/>
              </w:rPr>
              <w:t>Use of Improved Information Technology and Burden Reduction</w:t>
            </w:r>
            <w:r>
              <w:rPr>
                <w:noProof/>
                <w:webHidden/>
              </w:rPr>
              <w:tab/>
            </w:r>
            <w:r>
              <w:rPr>
                <w:noProof/>
                <w:webHidden/>
              </w:rPr>
              <w:fldChar w:fldCharType="begin"/>
            </w:r>
            <w:r>
              <w:rPr>
                <w:noProof/>
                <w:webHidden/>
              </w:rPr>
              <w:instrText xml:space="preserve"> PAGEREF _Toc130908453 \h </w:instrText>
            </w:r>
            <w:r>
              <w:rPr>
                <w:noProof/>
                <w:webHidden/>
              </w:rPr>
              <w:fldChar w:fldCharType="separate"/>
            </w:r>
            <w:r>
              <w:rPr>
                <w:noProof/>
                <w:webHidden/>
              </w:rPr>
              <w:t>5</w:t>
            </w:r>
            <w:r>
              <w:rPr>
                <w:noProof/>
                <w:webHidden/>
              </w:rPr>
              <w:fldChar w:fldCharType="end"/>
            </w:r>
          </w:hyperlink>
        </w:p>
        <w:p w:rsidR="00655FEE" w14:paraId="73AA308B" w14:textId="5C4D691C">
          <w:pPr>
            <w:pStyle w:val="TOC1"/>
            <w:tabs>
              <w:tab w:val="right" w:leader="dot" w:pos="10070"/>
            </w:tabs>
            <w:rPr>
              <w:rFonts w:asciiTheme="minorHAnsi" w:eastAsiaTheme="minorEastAsia" w:hAnsiTheme="minorHAnsi" w:cstheme="minorBidi"/>
              <w:noProof/>
              <w:sz w:val="22"/>
              <w:szCs w:val="22"/>
            </w:rPr>
          </w:pPr>
          <w:hyperlink w:anchor="_Toc130908454" w:history="1">
            <w:r w:rsidRPr="00CB223E">
              <w:rPr>
                <w:rStyle w:val="Hyperlink"/>
                <w:noProof/>
              </w:rPr>
              <w:t>4. Efforts to Identify Duplication and Use of Similar Information</w:t>
            </w:r>
            <w:r>
              <w:rPr>
                <w:noProof/>
                <w:webHidden/>
              </w:rPr>
              <w:tab/>
            </w:r>
            <w:r>
              <w:rPr>
                <w:noProof/>
                <w:webHidden/>
              </w:rPr>
              <w:fldChar w:fldCharType="begin"/>
            </w:r>
            <w:r>
              <w:rPr>
                <w:noProof/>
                <w:webHidden/>
              </w:rPr>
              <w:instrText xml:space="preserve"> PAGEREF _Toc130908454 \h </w:instrText>
            </w:r>
            <w:r>
              <w:rPr>
                <w:noProof/>
                <w:webHidden/>
              </w:rPr>
              <w:fldChar w:fldCharType="separate"/>
            </w:r>
            <w:r>
              <w:rPr>
                <w:noProof/>
                <w:webHidden/>
              </w:rPr>
              <w:t>6</w:t>
            </w:r>
            <w:r>
              <w:rPr>
                <w:noProof/>
                <w:webHidden/>
              </w:rPr>
              <w:fldChar w:fldCharType="end"/>
            </w:r>
          </w:hyperlink>
        </w:p>
        <w:p w:rsidR="00655FEE" w14:paraId="63154512" w14:textId="2AE47BBC">
          <w:pPr>
            <w:pStyle w:val="TOC1"/>
            <w:tabs>
              <w:tab w:val="right" w:leader="dot" w:pos="10070"/>
            </w:tabs>
            <w:rPr>
              <w:rFonts w:asciiTheme="minorHAnsi" w:eastAsiaTheme="minorEastAsia" w:hAnsiTheme="minorHAnsi" w:cstheme="minorBidi"/>
              <w:noProof/>
              <w:sz w:val="22"/>
              <w:szCs w:val="22"/>
            </w:rPr>
          </w:pPr>
          <w:hyperlink w:anchor="_Toc130908455" w:history="1">
            <w:r w:rsidRPr="00CB223E">
              <w:rPr>
                <w:rStyle w:val="Hyperlink"/>
                <w:noProof/>
              </w:rPr>
              <w:t>5. Impact on Small Businesses or Other Small Entities</w:t>
            </w:r>
            <w:r>
              <w:rPr>
                <w:noProof/>
                <w:webHidden/>
              </w:rPr>
              <w:tab/>
            </w:r>
            <w:r>
              <w:rPr>
                <w:noProof/>
                <w:webHidden/>
              </w:rPr>
              <w:fldChar w:fldCharType="begin"/>
            </w:r>
            <w:r>
              <w:rPr>
                <w:noProof/>
                <w:webHidden/>
              </w:rPr>
              <w:instrText xml:space="preserve"> PAGEREF _Toc130908455 \h </w:instrText>
            </w:r>
            <w:r>
              <w:rPr>
                <w:noProof/>
                <w:webHidden/>
              </w:rPr>
              <w:fldChar w:fldCharType="separate"/>
            </w:r>
            <w:r>
              <w:rPr>
                <w:noProof/>
                <w:webHidden/>
              </w:rPr>
              <w:t>6</w:t>
            </w:r>
            <w:r>
              <w:rPr>
                <w:noProof/>
                <w:webHidden/>
              </w:rPr>
              <w:fldChar w:fldCharType="end"/>
            </w:r>
          </w:hyperlink>
        </w:p>
        <w:p w:rsidR="00655FEE" w14:paraId="4207B80E" w14:textId="0DD389D4">
          <w:pPr>
            <w:pStyle w:val="TOC1"/>
            <w:tabs>
              <w:tab w:val="right" w:leader="dot" w:pos="10070"/>
            </w:tabs>
            <w:rPr>
              <w:rFonts w:asciiTheme="minorHAnsi" w:eastAsiaTheme="minorEastAsia" w:hAnsiTheme="minorHAnsi" w:cstheme="minorBidi"/>
              <w:noProof/>
              <w:sz w:val="22"/>
              <w:szCs w:val="22"/>
            </w:rPr>
          </w:pPr>
          <w:hyperlink w:anchor="_Toc130908456" w:history="1">
            <w:r w:rsidRPr="00CB223E">
              <w:rPr>
                <w:rStyle w:val="Hyperlink"/>
                <w:noProof/>
              </w:rPr>
              <w:t>6. Consequences of Collecting the Information Less Frequently</w:t>
            </w:r>
            <w:r>
              <w:rPr>
                <w:noProof/>
                <w:webHidden/>
              </w:rPr>
              <w:tab/>
            </w:r>
            <w:r>
              <w:rPr>
                <w:noProof/>
                <w:webHidden/>
              </w:rPr>
              <w:fldChar w:fldCharType="begin"/>
            </w:r>
            <w:r>
              <w:rPr>
                <w:noProof/>
                <w:webHidden/>
              </w:rPr>
              <w:instrText xml:space="preserve"> PAGEREF _Toc130908456 \h </w:instrText>
            </w:r>
            <w:r>
              <w:rPr>
                <w:noProof/>
                <w:webHidden/>
              </w:rPr>
              <w:fldChar w:fldCharType="separate"/>
            </w:r>
            <w:r>
              <w:rPr>
                <w:noProof/>
                <w:webHidden/>
              </w:rPr>
              <w:t>6</w:t>
            </w:r>
            <w:r>
              <w:rPr>
                <w:noProof/>
                <w:webHidden/>
              </w:rPr>
              <w:fldChar w:fldCharType="end"/>
            </w:r>
          </w:hyperlink>
        </w:p>
        <w:p w:rsidR="00655FEE" w14:paraId="3D2CB5DF" w14:textId="30F68710">
          <w:pPr>
            <w:pStyle w:val="TOC1"/>
            <w:tabs>
              <w:tab w:val="right" w:leader="dot" w:pos="10070"/>
            </w:tabs>
            <w:rPr>
              <w:rFonts w:asciiTheme="minorHAnsi" w:eastAsiaTheme="minorEastAsia" w:hAnsiTheme="minorHAnsi" w:cstheme="minorBidi"/>
              <w:noProof/>
              <w:sz w:val="22"/>
              <w:szCs w:val="22"/>
            </w:rPr>
          </w:pPr>
          <w:hyperlink w:anchor="_Toc130908457" w:history="1">
            <w:r w:rsidRPr="00CB223E">
              <w:rPr>
                <w:rStyle w:val="Hyperlink"/>
                <w:noProof/>
              </w:rPr>
              <w:t>7. Special Circumstances Relating to the Guidelines of 5 CFR 1320.5</w:t>
            </w:r>
            <w:r>
              <w:rPr>
                <w:noProof/>
                <w:webHidden/>
              </w:rPr>
              <w:tab/>
            </w:r>
            <w:r>
              <w:rPr>
                <w:noProof/>
                <w:webHidden/>
              </w:rPr>
              <w:fldChar w:fldCharType="begin"/>
            </w:r>
            <w:r>
              <w:rPr>
                <w:noProof/>
                <w:webHidden/>
              </w:rPr>
              <w:instrText xml:space="preserve"> PAGEREF _Toc130908457 \h </w:instrText>
            </w:r>
            <w:r>
              <w:rPr>
                <w:noProof/>
                <w:webHidden/>
              </w:rPr>
              <w:fldChar w:fldCharType="separate"/>
            </w:r>
            <w:r>
              <w:rPr>
                <w:noProof/>
                <w:webHidden/>
              </w:rPr>
              <w:t>7</w:t>
            </w:r>
            <w:r>
              <w:rPr>
                <w:noProof/>
                <w:webHidden/>
              </w:rPr>
              <w:fldChar w:fldCharType="end"/>
            </w:r>
          </w:hyperlink>
        </w:p>
        <w:p w:rsidR="00655FEE" w14:paraId="7749FC1B" w14:textId="7761FFC8">
          <w:pPr>
            <w:pStyle w:val="TOC1"/>
            <w:tabs>
              <w:tab w:val="right" w:leader="dot" w:pos="10070"/>
            </w:tabs>
            <w:rPr>
              <w:rFonts w:asciiTheme="minorHAnsi" w:eastAsiaTheme="minorEastAsia" w:hAnsiTheme="minorHAnsi" w:cstheme="minorBidi"/>
              <w:noProof/>
              <w:sz w:val="22"/>
              <w:szCs w:val="22"/>
            </w:rPr>
          </w:pPr>
          <w:hyperlink w:anchor="_Toc130908458" w:history="1">
            <w:r w:rsidRPr="00CB223E">
              <w:rPr>
                <w:rStyle w:val="Hyperlink"/>
                <w:noProof/>
              </w:rPr>
              <w:t>8. Comments in Response to the Federal Register Notice and Efforts to Consult Outside the Agency</w:t>
            </w:r>
            <w:r>
              <w:rPr>
                <w:noProof/>
                <w:webHidden/>
              </w:rPr>
              <w:tab/>
            </w:r>
            <w:r>
              <w:rPr>
                <w:noProof/>
                <w:webHidden/>
              </w:rPr>
              <w:fldChar w:fldCharType="begin"/>
            </w:r>
            <w:r>
              <w:rPr>
                <w:noProof/>
                <w:webHidden/>
              </w:rPr>
              <w:instrText xml:space="preserve"> PAGEREF _Toc130908458 \h </w:instrText>
            </w:r>
            <w:r>
              <w:rPr>
                <w:noProof/>
                <w:webHidden/>
              </w:rPr>
              <w:fldChar w:fldCharType="separate"/>
            </w:r>
            <w:r>
              <w:rPr>
                <w:noProof/>
                <w:webHidden/>
              </w:rPr>
              <w:t>7</w:t>
            </w:r>
            <w:r>
              <w:rPr>
                <w:noProof/>
                <w:webHidden/>
              </w:rPr>
              <w:fldChar w:fldCharType="end"/>
            </w:r>
          </w:hyperlink>
        </w:p>
        <w:p w:rsidR="00655FEE" w14:paraId="6C599EAD" w14:textId="4C988DA3">
          <w:pPr>
            <w:pStyle w:val="TOC1"/>
            <w:tabs>
              <w:tab w:val="right" w:leader="dot" w:pos="10070"/>
            </w:tabs>
            <w:rPr>
              <w:rFonts w:asciiTheme="minorHAnsi" w:eastAsiaTheme="minorEastAsia" w:hAnsiTheme="minorHAnsi" w:cstheme="minorBidi"/>
              <w:noProof/>
              <w:sz w:val="22"/>
              <w:szCs w:val="22"/>
            </w:rPr>
          </w:pPr>
          <w:hyperlink w:anchor="_Toc130908459" w:history="1">
            <w:r w:rsidRPr="00CB223E">
              <w:rPr>
                <w:rStyle w:val="Hyperlink"/>
                <w:noProof/>
              </w:rPr>
              <w:t>9. Explanation of Any Payment or Gift to Respondents</w:t>
            </w:r>
            <w:r>
              <w:rPr>
                <w:noProof/>
                <w:webHidden/>
              </w:rPr>
              <w:tab/>
            </w:r>
            <w:r>
              <w:rPr>
                <w:noProof/>
                <w:webHidden/>
              </w:rPr>
              <w:fldChar w:fldCharType="begin"/>
            </w:r>
            <w:r>
              <w:rPr>
                <w:noProof/>
                <w:webHidden/>
              </w:rPr>
              <w:instrText xml:space="preserve"> PAGEREF _Toc130908459 \h </w:instrText>
            </w:r>
            <w:r>
              <w:rPr>
                <w:noProof/>
                <w:webHidden/>
              </w:rPr>
              <w:fldChar w:fldCharType="separate"/>
            </w:r>
            <w:r>
              <w:rPr>
                <w:noProof/>
                <w:webHidden/>
              </w:rPr>
              <w:t>8</w:t>
            </w:r>
            <w:r>
              <w:rPr>
                <w:noProof/>
                <w:webHidden/>
              </w:rPr>
              <w:fldChar w:fldCharType="end"/>
            </w:r>
          </w:hyperlink>
        </w:p>
        <w:p w:rsidR="00655FEE" w14:paraId="45295140" w14:textId="5194375B">
          <w:pPr>
            <w:pStyle w:val="TOC1"/>
            <w:tabs>
              <w:tab w:val="right" w:leader="dot" w:pos="10070"/>
            </w:tabs>
            <w:rPr>
              <w:rFonts w:asciiTheme="minorHAnsi" w:eastAsiaTheme="minorEastAsia" w:hAnsiTheme="minorHAnsi" w:cstheme="minorBidi"/>
              <w:noProof/>
              <w:sz w:val="22"/>
              <w:szCs w:val="22"/>
            </w:rPr>
          </w:pPr>
          <w:hyperlink w:anchor="_Toc130908460" w:history="1">
            <w:r w:rsidRPr="00CB223E">
              <w:rPr>
                <w:rStyle w:val="Hyperlink"/>
                <w:noProof/>
              </w:rPr>
              <w:t>10. Assurance of Confidentiality Provided to Respondents</w:t>
            </w:r>
            <w:r>
              <w:rPr>
                <w:noProof/>
                <w:webHidden/>
              </w:rPr>
              <w:tab/>
            </w:r>
            <w:r>
              <w:rPr>
                <w:noProof/>
                <w:webHidden/>
              </w:rPr>
              <w:fldChar w:fldCharType="begin"/>
            </w:r>
            <w:r>
              <w:rPr>
                <w:noProof/>
                <w:webHidden/>
              </w:rPr>
              <w:instrText xml:space="preserve"> PAGEREF _Toc130908460 \h </w:instrText>
            </w:r>
            <w:r>
              <w:rPr>
                <w:noProof/>
                <w:webHidden/>
              </w:rPr>
              <w:fldChar w:fldCharType="separate"/>
            </w:r>
            <w:r>
              <w:rPr>
                <w:noProof/>
                <w:webHidden/>
              </w:rPr>
              <w:t>8</w:t>
            </w:r>
            <w:r>
              <w:rPr>
                <w:noProof/>
                <w:webHidden/>
              </w:rPr>
              <w:fldChar w:fldCharType="end"/>
            </w:r>
          </w:hyperlink>
        </w:p>
        <w:p w:rsidR="00655FEE" w14:paraId="5D1EEE92" w14:textId="6DA58B1C">
          <w:pPr>
            <w:pStyle w:val="TOC1"/>
            <w:tabs>
              <w:tab w:val="right" w:leader="dot" w:pos="10070"/>
            </w:tabs>
            <w:rPr>
              <w:rFonts w:asciiTheme="minorHAnsi" w:eastAsiaTheme="minorEastAsia" w:hAnsiTheme="minorHAnsi" w:cstheme="minorBidi"/>
              <w:noProof/>
              <w:sz w:val="22"/>
              <w:szCs w:val="22"/>
            </w:rPr>
          </w:pPr>
          <w:hyperlink w:anchor="_Toc130908461" w:history="1">
            <w:r w:rsidRPr="00CB223E">
              <w:rPr>
                <w:rStyle w:val="Hyperlink"/>
                <w:noProof/>
              </w:rPr>
              <w:t>11. Institutional Review Board (IRB) and Justification for Sensitive Questions</w:t>
            </w:r>
            <w:r>
              <w:rPr>
                <w:noProof/>
                <w:webHidden/>
              </w:rPr>
              <w:tab/>
            </w:r>
            <w:r>
              <w:rPr>
                <w:noProof/>
                <w:webHidden/>
              </w:rPr>
              <w:fldChar w:fldCharType="begin"/>
            </w:r>
            <w:r>
              <w:rPr>
                <w:noProof/>
                <w:webHidden/>
              </w:rPr>
              <w:instrText xml:space="preserve"> PAGEREF _Toc130908461 \h </w:instrText>
            </w:r>
            <w:r>
              <w:rPr>
                <w:noProof/>
                <w:webHidden/>
              </w:rPr>
              <w:fldChar w:fldCharType="separate"/>
            </w:r>
            <w:r>
              <w:rPr>
                <w:noProof/>
                <w:webHidden/>
              </w:rPr>
              <w:t>10</w:t>
            </w:r>
            <w:r>
              <w:rPr>
                <w:noProof/>
                <w:webHidden/>
              </w:rPr>
              <w:fldChar w:fldCharType="end"/>
            </w:r>
          </w:hyperlink>
        </w:p>
        <w:p w:rsidR="00655FEE" w14:paraId="06B34D94" w14:textId="3AB78BE2">
          <w:pPr>
            <w:pStyle w:val="TOC1"/>
            <w:tabs>
              <w:tab w:val="right" w:leader="dot" w:pos="10070"/>
            </w:tabs>
            <w:rPr>
              <w:rFonts w:asciiTheme="minorHAnsi" w:eastAsiaTheme="minorEastAsia" w:hAnsiTheme="minorHAnsi" w:cstheme="minorBidi"/>
              <w:noProof/>
              <w:sz w:val="22"/>
              <w:szCs w:val="22"/>
            </w:rPr>
          </w:pPr>
          <w:hyperlink w:anchor="_Toc130908462" w:history="1">
            <w:r w:rsidRPr="00CB223E">
              <w:rPr>
                <w:rStyle w:val="Hyperlink"/>
                <w:noProof/>
              </w:rPr>
              <w:t>12. Estimates of Annualized Burden Hours and Costs</w:t>
            </w:r>
            <w:r>
              <w:rPr>
                <w:noProof/>
                <w:webHidden/>
              </w:rPr>
              <w:tab/>
            </w:r>
            <w:r>
              <w:rPr>
                <w:noProof/>
                <w:webHidden/>
              </w:rPr>
              <w:fldChar w:fldCharType="begin"/>
            </w:r>
            <w:r>
              <w:rPr>
                <w:noProof/>
                <w:webHidden/>
              </w:rPr>
              <w:instrText xml:space="preserve"> PAGEREF _Toc130908462 \h </w:instrText>
            </w:r>
            <w:r>
              <w:rPr>
                <w:noProof/>
                <w:webHidden/>
              </w:rPr>
              <w:fldChar w:fldCharType="separate"/>
            </w:r>
            <w:r>
              <w:rPr>
                <w:noProof/>
                <w:webHidden/>
              </w:rPr>
              <w:t>12</w:t>
            </w:r>
            <w:r>
              <w:rPr>
                <w:noProof/>
                <w:webHidden/>
              </w:rPr>
              <w:fldChar w:fldCharType="end"/>
            </w:r>
          </w:hyperlink>
        </w:p>
        <w:p w:rsidR="00655FEE" w14:paraId="27B3E7E1" w14:textId="39D6D2EF">
          <w:pPr>
            <w:pStyle w:val="TOC1"/>
            <w:tabs>
              <w:tab w:val="right" w:leader="dot" w:pos="10070"/>
            </w:tabs>
            <w:rPr>
              <w:rFonts w:asciiTheme="minorHAnsi" w:eastAsiaTheme="minorEastAsia" w:hAnsiTheme="minorHAnsi" w:cstheme="minorBidi"/>
              <w:noProof/>
              <w:sz w:val="22"/>
              <w:szCs w:val="22"/>
            </w:rPr>
          </w:pPr>
          <w:hyperlink w:anchor="_Toc130908463" w:history="1">
            <w:r w:rsidRPr="00CB223E">
              <w:rPr>
                <w:rStyle w:val="Hyperlink"/>
                <w:noProof/>
              </w:rPr>
              <w:t>13. Estimates of Other Total Annual Cost Burden to Respondents or Record Keepers</w:t>
            </w:r>
            <w:r>
              <w:rPr>
                <w:noProof/>
                <w:webHidden/>
              </w:rPr>
              <w:tab/>
            </w:r>
            <w:r>
              <w:rPr>
                <w:noProof/>
                <w:webHidden/>
              </w:rPr>
              <w:fldChar w:fldCharType="begin"/>
            </w:r>
            <w:r>
              <w:rPr>
                <w:noProof/>
                <w:webHidden/>
              </w:rPr>
              <w:instrText xml:space="preserve"> PAGEREF _Toc130908463 \h </w:instrText>
            </w:r>
            <w:r>
              <w:rPr>
                <w:noProof/>
                <w:webHidden/>
              </w:rPr>
              <w:fldChar w:fldCharType="separate"/>
            </w:r>
            <w:r>
              <w:rPr>
                <w:noProof/>
                <w:webHidden/>
              </w:rPr>
              <w:t>13</w:t>
            </w:r>
            <w:r>
              <w:rPr>
                <w:noProof/>
                <w:webHidden/>
              </w:rPr>
              <w:fldChar w:fldCharType="end"/>
            </w:r>
          </w:hyperlink>
        </w:p>
        <w:p w:rsidR="00655FEE" w14:paraId="3BD376A9" w14:textId="59812688">
          <w:pPr>
            <w:pStyle w:val="TOC1"/>
            <w:tabs>
              <w:tab w:val="right" w:leader="dot" w:pos="10070"/>
            </w:tabs>
            <w:rPr>
              <w:rFonts w:asciiTheme="minorHAnsi" w:eastAsiaTheme="minorEastAsia" w:hAnsiTheme="minorHAnsi" w:cstheme="minorBidi"/>
              <w:noProof/>
              <w:sz w:val="22"/>
              <w:szCs w:val="22"/>
            </w:rPr>
          </w:pPr>
          <w:hyperlink w:anchor="_Toc130908464" w:history="1">
            <w:r w:rsidRPr="00CB223E">
              <w:rPr>
                <w:rStyle w:val="Hyperlink"/>
                <w:noProof/>
              </w:rPr>
              <w:t>14. Annualized Cost to the Government</w:t>
            </w:r>
            <w:r>
              <w:rPr>
                <w:noProof/>
                <w:webHidden/>
              </w:rPr>
              <w:tab/>
            </w:r>
            <w:r>
              <w:rPr>
                <w:noProof/>
                <w:webHidden/>
              </w:rPr>
              <w:fldChar w:fldCharType="begin"/>
            </w:r>
            <w:r>
              <w:rPr>
                <w:noProof/>
                <w:webHidden/>
              </w:rPr>
              <w:instrText xml:space="preserve"> PAGEREF _Toc130908464 \h </w:instrText>
            </w:r>
            <w:r>
              <w:rPr>
                <w:noProof/>
                <w:webHidden/>
              </w:rPr>
              <w:fldChar w:fldCharType="separate"/>
            </w:r>
            <w:r>
              <w:rPr>
                <w:noProof/>
                <w:webHidden/>
              </w:rPr>
              <w:t>13</w:t>
            </w:r>
            <w:r>
              <w:rPr>
                <w:noProof/>
                <w:webHidden/>
              </w:rPr>
              <w:fldChar w:fldCharType="end"/>
            </w:r>
          </w:hyperlink>
        </w:p>
        <w:p w:rsidR="00655FEE" w14:paraId="3A7BF5A8" w14:textId="434A07C2">
          <w:pPr>
            <w:pStyle w:val="TOC1"/>
            <w:tabs>
              <w:tab w:val="right" w:leader="dot" w:pos="10070"/>
            </w:tabs>
            <w:rPr>
              <w:rFonts w:asciiTheme="minorHAnsi" w:eastAsiaTheme="minorEastAsia" w:hAnsiTheme="minorHAnsi" w:cstheme="minorBidi"/>
              <w:noProof/>
              <w:sz w:val="22"/>
              <w:szCs w:val="22"/>
            </w:rPr>
          </w:pPr>
          <w:hyperlink w:anchor="_Toc130908465" w:history="1">
            <w:r w:rsidRPr="00CB223E">
              <w:rPr>
                <w:rStyle w:val="Hyperlink"/>
                <w:noProof/>
              </w:rPr>
              <w:t>15. Explanation for Program Changes or Adjustments</w:t>
            </w:r>
            <w:r>
              <w:rPr>
                <w:noProof/>
                <w:webHidden/>
              </w:rPr>
              <w:tab/>
            </w:r>
            <w:r>
              <w:rPr>
                <w:noProof/>
                <w:webHidden/>
              </w:rPr>
              <w:fldChar w:fldCharType="begin"/>
            </w:r>
            <w:r>
              <w:rPr>
                <w:noProof/>
                <w:webHidden/>
              </w:rPr>
              <w:instrText xml:space="preserve"> PAGEREF _Toc130908465 \h </w:instrText>
            </w:r>
            <w:r>
              <w:rPr>
                <w:noProof/>
                <w:webHidden/>
              </w:rPr>
              <w:fldChar w:fldCharType="separate"/>
            </w:r>
            <w:r>
              <w:rPr>
                <w:noProof/>
                <w:webHidden/>
              </w:rPr>
              <w:t>13</w:t>
            </w:r>
            <w:r>
              <w:rPr>
                <w:noProof/>
                <w:webHidden/>
              </w:rPr>
              <w:fldChar w:fldCharType="end"/>
            </w:r>
          </w:hyperlink>
        </w:p>
        <w:p w:rsidR="00655FEE" w14:paraId="408BF3B7" w14:textId="350A3AA3">
          <w:pPr>
            <w:pStyle w:val="TOC1"/>
            <w:tabs>
              <w:tab w:val="right" w:leader="dot" w:pos="10070"/>
            </w:tabs>
            <w:rPr>
              <w:rFonts w:asciiTheme="minorHAnsi" w:eastAsiaTheme="minorEastAsia" w:hAnsiTheme="minorHAnsi" w:cstheme="minorBidi"/>
              <w:noProof/>
              <w:sz w:val="22"/>
              <w:szCs w:val="22"/>
            </w:rPr>
          </w:pPr>
          <w:hyperlink w:anchor="_Toc130908466" w:history="1">
            <w:r w:rsidRPr="00CB223E">
              <w:rPr>
                <w:rStyle w:val="Hyperlink"/>
                <w:noProof/>
              </w:rPr>
              <w:t>16. Plans for Tabulation and Publication and Project Time Schedule</w:t>
            </w:r>
            <w:r>
              <w:rPr>
                <w:noProof/>
                <w:webHidden/>
              </w:rPr>
              <w:tab/>
            </w:r>
            <w:r>
              <w:rPr>
                <w:noProof/>
                <w:webHidden/>
              </w:rPr>
              <w:fldChar w:fldCharType="begin"/>
            </w:r>
            <w:r>
              <w:rPr>
                <w:noProof/>
                <w:webHidden/>
              </w:rPr>
              <w:instrText xml:space="preserve"> PAGEREF _Toc130908466 \h </w:instrText>
            </w:r>
            <w:r>
              <w:rPr>
                <w:noProof/>
                <w:webHidden/>
              </w:rPr>
              <w:fldChar w:fldCharType="separate"/>
            </w:r>
            <w:r>
              <w:rPr>
                <w:noProof/>
                <w:webHidden/>
              </w:rPr>
              <w:t>14</w:t>
            </w:r>
            <w:r>
              <w:rPr>
                <w:noProof/>
                <w:webHidden/>
              </w:rPr>
              <w:fldChar w:fldCharType="end"/>
            </w:r>
          </w:hyperlink>
        </w:p>
        <w:p w:rsidR="00655FEE" w14:paraId="54118A79" w14:textId="449D3E71">
          <w:pPr>
            <w:pStyle w:val="TOC1"/>
            <w:tabs>
              <w:tab w:val="right" w:leader="dot" w:pos="10070"/>
            </w:tabs>
            <w:rPr>
              <w:rFonts w:asciiTheme="minorHAnsi" w:eastAsiaTheme="minorEastAsia" w:hAnsiTheme="minorHAnsi" w:cstheme="minorBidi"/>
              <w:noProof/>
              <w:sz w:val="22"/>
              <w:szCs w:val="22"/>
            </w:rPr>
          </w:pPr>
          <w:hyperlink w:anchor="_Toc130908467" w:history="1">
            <w:r w:rsidRPr="00CB223E">
              <w:rPr>
                <w:rStyle w:val="Hyperlink"/>
                <w:noProof/>
              </w:rPr>
              <w:t>17. Reason(s) Display of OMB Expiration Date is Inappropriate</w:t>
            </w:r>
            <w:r>
              <w:rPr>
                <w:noProof/>
                <w:webHidden/>
              </w:rPr>
              <w:tab/>
            </w:r>
            <w:r>
              <w:rPr>
                <w:noProof/>
                <w:webHidden/>
              </w:rPr>
              <w:fldChar w:fldCharType="begin"/>
            </w:r>
            <w:r>
              <w:rPr>
                <w:noProof/>
                <w:webHidden/>
              </w:rPr>
              <w:instrText xml:space="preserve"> PAGEREF _Toc130908467 \h </w:instrText>
            </w:r>
            <w:r>
              <w:rPr>
                <w:noProof/>
                <w:webHidden/>
              </w:rPr>
              <w:fldChar w:fldCharType="separate"/>
            </w:r>
            <w:r>
              <w:rPr>
                <w:noProof/>
                <w:webHidden/>
              </w:rPr>
              <w:t>15</w:t>
            </w:r>
            <w:r>
              <w:rPr>
                <w:noProof/>
                <w:webHidden/>
              </w:rPr>
              <w:fldChar w:fldCharType="end"/>
            </w:r>
          </w:hyperlink>
        </w:p>
        <w:p w:rsidR="00655FEE" w14:paraId="3FFA1960" w14:textId="1198AEED">
          <w:pPr>
            <w:pStyle w:val="TOC1"/>
            <w:tabs>
              <w:tab w:val="right" w:leader="dot" w:pos="10070"/>
            </w:tabs>
            <w:rPr>
              <w:rFonts w:asciiTheme="minorHAnsi" w:eastAsiaTheme="minorEastAsia" w:hAnsiTheme="minorHAnsi" w:cstheme="minorBidi"/>
              <w:noProof/>
              <w:sz w:val="22"/>
              <w:szCs w:val="22"/>
            </w:rPr>
          </w:pPr>
          <w:hyperlink w:anchor="_Toc130908468" w:history="1">
            <w:r w:rsidRPr="00CB223E">
              <w:rPr>
                <w:rStyle w:val="Hyperlink"/>
                <w:noProof/>
              </w:rPr>
              <w:t>18. Exceptions to Certification for Paperwork Reduction Act Submissions</w:t>
            </w:r>
            <w:r>
              <w:rPr>
                <w:noProof/>
                <w:webHidden/>
              </w:rPr>
              <w:tab/>
            </w:r>
            <w:r>
              <w:rPr>
                <w:noProof/>
                <w:webHidden/>
              </w:rPr>
              <w:fldChar w:fldCharType="begin"/>
            </w:r>
            <w:r>
              <w:rPr>
                <w:noProof/>
                <w:webHidden/>
              </w:rPr>
              <w:instrText xml:space="preserve"> PAGEREF _Toc130908468 \h </w:instrText>
            </w:r>
            <w:r>
              <w:rPr>
                <w:noProof/>
                <w:webHidden/>
              </w:rPr>
              <w:fldChar w:fldCharType="separate"/>
            </w:r>
            <w:r>
              <w:rPr>
                <w:noProof/>
                <w:webHidden/>
              </w:rPr>
              <w:t>15</w:t>
            </w:r>
            <w:r>
              <w:rPr>
                <w:noProof/>
                <w:webHidden/>
              </w:rPr>
              <w:fldChar w:fldCharType="end"/>
            </w:r>
          </w:hyperlink>
        </w:p>
        <w:p w:rsidR="00655FEE" w14:paraId="78AC5469" w14:textId="497FA834">
          <w:pPr>
            <w:pStyle w:val="TOC1"/>
            <w:tabs>
              <w:tab w:val="right" w:leader="dot" w:pos="10070"/>
            </w:tabs>
            <w:rPr>
              <w:rFonts w:asciiTheme="minorHAnsi" w:eastAsiaTheme="minorEastAsia" w:hAnsiTheme="minorHAnsi" w:cstheme="minorBidi"/>
              <w:noProof/>
              <w:sz w:val="22"/>
              <w:szCs w:val="22"/>
            </w:rPr>
          </w:pPr>
          <w:hyperlink w:anchor="_Toc130908469" w:history="1">
            <w:r w:rsidRPr="00CB223E">
              <w:rPr>
                <w:rStyle w:val="Hyperlink"/>
                <w:noProof/>
              </w:rPr>
              <w:t>19. References</w:t>
            </w:r>
            <w:r>
              <w:rPr>
                <w:noProof/>
                <w:webHidden/>
              </w:rPr>
              <w:tab/>
            </w:r>
            <w:r>
              <w:rPr>
                <w:noProof/>
                <w:webHidden/>
              </w:rPr>
              <w:fldChar w:fldCharType="begin"/>
            </w:r>
            <w:r>
              <w:rPr>
                <w:noProof/>
                <w:webHidden/>
              </w:rPr>
              <w:instrText xml:space="preserve"> PAGEREF _Toc130908469 \h </w:instrText>
            </w:r>
            <w:r>
              <w:rPr>
                <w:noProof/>
                <w:webHidden/>
              </w:rPr>
              <w:fldChar w:fldCharType="separate"/>
            </w:r>
            <w:r>
              <w:rPr>
                <w:noProof/>
                <w:webHidden/>
              </w:rPr>
              <w:t>15</w:t>
            </w:r>
            <w:r>
              <w:rPr>
                <w:noProof/>
                <w:webHidden/>
              </w:rPr>
              <w:fldChar w:fldCharType="end"/>
            </w:r>
          </w:hyperlink>
        </w:p>
        <w:p w:rsidR="00A953D5" w:rsidP="00A953D5" w14:paraId="6A8164EF" w14:textId="062F2680">
          <w:r>
            <w:rPr>
              <w:b/>
              <w:bCs/>
              <w:noProof/>
            </w:rPr>
            <w:fldChar w:fldCharType="end"/>
          </w:r>
        </w:p>
      </w:sdtContent>
    </w:sdt>
    <w:p w:rsidR="00A953D5" w:rsidP="00A953D5" w14:paraId="010A11B3" w14:textId="6005F768"/>
    <w:p w:rsidR="00AF68A8" w:rsidP="00A953D5" w14:paraId="5FF12958" w14:textId="41CC09A2"/>
    <w:p w:rsidR="00AF68A8" w:rsidP="00A953D5" w14:paraId="4B9A5E92" w14:textId="5334BCF2"/>
    <w:p w:rsidR="00114E51" w:rsidRPr="00923B70" w:rsidP="00114E51" w14:paraId="0CA5F6FC" w14:textId="77777777">
      <w:pPr>
        <w:tabs>
          <w:tab w:val="right" w:leader="dot" w:pos="9360"/>
        </w:tabs>
      </w:pPr>
      <w:r w:rsidRPr="00923B70">
        <w:rPr>
          <w:b/>
          <w:bCs/>
        </w:rPr>
        <w:t>Attachments</w:t>
      </w:r>
    </w:p>
    <w:p w:rsidR="00114E51" w:rsidRPr="00923B70" w:rsidP="00114E51" w14:paraId="5600C835" w14:textId="28E217FC">
      <w:pPr>
        <w:tabs>
          <w:tab w:val="left" w:pos="360"/>
          <w:tab w:val="left" w:pos="1080"/>
          <w:tab w:val="left" w:pos="1440"/>
        </w:tabs>
        <w:ind w:left="1800" w:hanging="2160"/>
      </w:pPr>
      <w:r w:rsidRPr="00923B70">
        <w:tab/>
        <w:t>Att</w:t>
      </w:r>
      <w:r>
        <w:t>.</w:t>
      </w:r>
      <w:r w:rsidR="00DF1184">
        <w:t xml:space="preserve"> </w:t>
      </w:r>
      <w:r>
        <w:t>A – Authorizing Legislation</w:t>
      </w:r>
    </w:p>
    <w:p w:rsidR="00114E51" w:rsidRPr="00923B70" w:rsidP="00114E51" w14:paraId="770D8EF7" w14:textId="030A30AF">
      <w:pPr>
        <w:tabs>
          <w:tab w:val="left" w:pos="360"/>
          <w:tab w:val="left" w:pos="1080"/>
          <w:tab w:val="left" w:pos="1440"/>
        </w:tabs>
        <w:ind w:left="1800" w:hanging="2160"/>
      </w:pPr>
      <w:r w:rsidRPr="00923B70">
        <w:tab/>
      </w:r>
      <w:r>
        <w:t>Att.</w:t>
      </w:r>
      <w:r w:rsidR="00DF1184">
        <w:t xml:space="preserve"> </w:t>
      </w:r>
      <w:r>
        <w:t>B – 60-Day FRN</w:t>
      </w:r>
    </w:p>
    <w:p w:rsidR="00114E51" w:rsidRPr="00923B70" w:rsidP="00114E51" w14:paraId="5E328148" w14:textId="3EFF9058">
      <w:pPr>
        <w:tabs>
          <w:tab w:val="left" w:pos="360"/>
          <w:tab w:val="left" w:pos="1080"/>
          <w:tab w:val="left" w:pos="1440"/>
          <w:tab w:val="left" w:pos="1800"/>
        </w:tabs>
      </w:pPr>
      <w:r w:rsidRPr="00923B70">
        <w:tab/>
      </w:r>
      <w:r>
        <w:t>Att.</w:t>
      </w:r>
      <w:r w:rsidR="00DF1184">
        <w:t xml:space="preserve"> </w:t>
      </w:r>
      <w:r>
        <w:t xml:space="preserve">C </w:t>
      </w:r>
      <w:bookmarkStart w:id="0" w:name="_Hlk131330665"/>
      <w:r>
        <w:t>–</w:t>
      </w:r>
      <w:bookmarkEnd w:id="0"/>
      <w:r>
        <w:t xml:space="preserve"> Noise and Hearing Questionnaire</w:t>
      </w:r>
    </w:p>
    <w:p w:rsidR="00114E51" w:rsidP="00114E51" w14:paraId="52968231" w14:textId="0AE8CE66">
      <w:pPr>
        <w:tabs>
          <w:tab w:val="left" w:pos="360"/>
          <w:tab w:val="left" w:pos="1080"/>
          <w:tab w:val="left" w:pos="1440"/>
          <w:tab w:val="left" w:pos="1800"/>
        </w:tabs>
      </w:pPr>
      <w:r w:rsidRPr="00923B70">
        <w:tab/>
      </w:r>
      <w:r>
        <w:t>Att.</w:t>
      </w:r>
      <w:r w:rsidR="00DF1184">
        <w:t xml:space="preserve"> </w:t>
      </w:r>
      <w:r>
        <w:t>D – Introductory Recruitment Letter</w:t>
      </w:r>
    </w:p>
    <w:p w:rsidR="00114E51" w:rsidP="00114E51" w14:paraId="4F055351" w14:textId="5C1B1E3E">
      <w:pPr>
        <w:tabs>
          <w:tab w:val="left" w:pos="360"/>
          <w:tab w:val="left" w:pos="1080"/>
          <w:tab w:val="left" w:pos="1440"/>
          <w:tab w:val="left" w:pos="1800"/>
        </w:tabs>
      </w:pPr>
      <w:r>
        <w:tab/>
        <w:t>Att.</w:t>
      </w:r>
      <w:r w:rsidR="00DF1184">
        <w:t xml:space="preserve"> </w:t>
      </w:r>
      <w:r>
        <w:t xml:space="preserve">E </w:t>
      </w:r>
      <w:r>
        <w:softHyphen/>
        <w:t>– Fact Sheet</w:t>
      </w:r>
    </w:p>
    <w:p w:rsidR="00114E51" w:rsidP="00114E51" w14:paraId="4A39F99A" w14:textId="32ED4926">
      <w:pPr>
        <w:tabs>
          <w:tab w:val="left" w:pos="360"/>
          <w:tab w:val="left" w:pos="1080"/>
          <w:tab w:val="left" w:pos="1440"/>
          <w:tab w:val="left" w:pos="1800"/>
        </w:tabs>
      </w:pPr>
      <w:r>
        <w:tab/>
        <w:t>Att.</w:t>
      </w:r>
      <w:r w:rsidR="00DF1184">
        <w:t xml:space="preserve"> </w:t>
      </w:r>
      <w:r>
        <w:t>F – Consent Form</w:t>
      </w:r>
    </w:p>
    <w:p w:rsidR="00114E51" w:rsidP="00114E51" w14:paraId="2F83CCE4" w14:textId="388C207E">
      <w:pPr>
        <w:tabs>
          <w:tab w:val="left" w:pos="360"/>
          <w:tab w:val="left" w:pos="1080"/>
          <w:tab w:val="left" w:pos="1440"/>
          <w:tab w:val="left" w:pos="1800"/>
        </w:tabs>
      </w:pPr>
      <w:r>
        <w:tab/>
        <w:t>Att. G – Audiometric Testing Data Capture</w:t>
      </w:r>
    </w:p>
    <w:p w:rsidR="00114E51" w:rsidP="00114E51" w14:paraId="0FDE970F" w14:textId="72E511C7">
      <w:pPr>
        <w:tabs>
          <w:tab w:val="left" w:pos="360"/>
          <w:tab w:val="left" w:pos="1080"/>
          <w:tab w:val="left" w:pos="1440"/>
          <w:tab w:val="left" w:pos="1800"/>
        </w:tabs>
      </w:pPr>
      <w:r>
        <w:tab/>
        <w:t>Att. H – Sample Forms</w:t>
      </w:r>
    </w:p>
    <w:p w:rsidR="00114E51" w:rsidP="00114E51" w14:paraId="676260D9" w14:textId="4B0FB400">
      <w:pPr>
        <w:tabs>
          <w:tab w:val="left" w:pos="360"/>
          <w:tab w:val="left" w:pos="1080"/>
          <w:tab w:val="left" w:pos="1440"/>
          <w:tab w:val="left" w:pos="1800"/>
        </w:tabs>
      </w:pPr>
      <w:r>
        <w:tab/>
        <w:t>Att. I – Exposure Results Notification Letter</w:t>
      </w:r>
    </w:p>
    <w:p w:rsidR="00114E51" w:rsidP="00114E51" w14:paraId="6DC56A94" w14:textId="2E92B9B6">
      <w:pPr>
        <w:tabs>
          <w:tab w:val="left" w:pos="360"/>
          <w:tab w:val="left" w:pos="1080"/>
          <w:tab w:val="left" w:pos="1440"/>
          <w:tab w:val="left" w:pos="1800"/>
        </w:tabs>
      </w:pPr>
      <w:r>
        <w:tab/>
        <w:t>Att. J – Audiometric Exam Results Notification Letter</w:t>
      </w:r>
    </w:p>
    <w:p w:rsidR="00114E51" w:rsidRPr="00923B70" w:rsidP="00114E51" w14:paraId="5A5F7B89" w14:textId="41C5BBCA">
      <w:pPr>
        <w:tabs>
          <w:tab w:val="left" w:pos="360"/>
          <w:tab w:val="left" w:pos="1080"/>
          <w:tab w:val="left" w:pos="1440"/>
          <w:tab w:val="left" w:pos="1800"/>
        </w:tabs>
      </w:pPr>
      <w:r>
        <w:tab/>
        <w:t>Att. K – IRB Determination</w:t>
      </w:r>
    </w:p>
    <w:p w:rsidR="00114E51" w:rsidRPr="00923B70" w:rsidP="00114E51" w14:paraId="730D863D" w14:textId="77777777">
      <w:pPr>
        <w:tabs>
          <w:tab w:val="left" w:pos="360"/>
          <w:tab w:val="left" w:pos="1080"/>
          <w:tab w:val="left" w:pos="1440"/>
          <w:tab w:val="left" w:pos="1800"/>
        </w:tabs>
      </w:pPr>
      <w:r w:rsidRPr="00923B70">
        <w:tab/>
      </w:r>
    </w:p>
    <w:p w:rsidR="00AF68A8" w:rsidP="00A953D5" w14:paraId="29415EE4" w14:textId="16ECA6F9"/>
    <w:p w:rsidR="00AF68A8" w:rsidP="00A953D5" w14:paraId="0FCE4FC3" w14:textId="318F7764"/>
    <w:p w:rsidR="00AF68A8" w:rsidP="00A953D5" w14:paraId="06E32F53" w14:textId="60885305"/>
    <w:tbl>
      <w:tblPr>
        <w:tblStyle w:val="TableGrid1"/>
        <w:tblpPr w:leftFromText="180" w:rightFromText="180" w:vertAnchor="text" w:horzAnchor="margin" w:tblpY="173"/>
        <w:tblW w:w="9265" w:type="dxa"/>
        <w:tblLook w:val="04A0"/>
      </w:tblPr>
      <w:tblGrid>
        <w:gridCol w:w="9265"/>
      </w:tblGrid>
      <w:tr w14:paraId="6E07D8C9" w14:textId="77777777" w:rsidTr="00E70E59">
        <w:tblPrEx>
          <w:tblW w:w="9265" w:type="dxa"/>
          <w:tblLook w:val="04A0"/>
        </w:tblPrEx>
        <w:trPr>
          <w:trHeight w:val="980"/>
        </w:trPr>
        <w:tc>
          <w:tcPr>
            <w:tcW w:w="9265" w:type="dxa"/>
          </w:tcPr>
          <w:p w:rsidR="009A3AAA" w:rsidRPr="009A3AAA" w:rsidP="009A3AAA" w14:paraId="71F4AA6C" w14:textId="11A55AF5">
            <w:pPr>
              <w:numPr>
                <w:ilvl w:val="0"/>
                <w:numId w:val="18"/>
              </w:numPr>
              <w:spacing w:after="160" w:line="259" w:lineRule="auto"/>
              <w:ind w:left="250" w:hanging="250"/>
              <w:rPr>
                <w:rFonts w:eastAsia="Arial Nova"/>
              </w:rPr>
            </w:pPr>
            <w:r w:rsidRPr="009A3AAA">
              <w:rPr>
                <w:rFonts w:eastAsia="Calibri"/>
                <w:b/>
                <w:bCs/>
              </w:rPr>
              <w:t>Goals of the project:</w:t>
            </w:r>
            <w:r w:rsidRPr="009A3AAA">
              <w:rPr>
                <w:rFonts w:eastAsia="Calibri"/>
              </w:rPr>
              <w:t xml:space="preserve"> </w:t>
            </w:r>
            <w:bookmarkStart w:id="1" w:name="_Hlk40278335"/>
            <w:r w:rsidR="00496C6E">
              <w:t xml:space="preserve"> T</w:t>
            </w:r>
            <w:r w:rsidRPr="00496C6E" w:rsidR="00496C6E">
              <w:rPr>
                <w:rFonts w:eastAsia="Calibri"/>
              </w:rPr>
              <w:t>he primary goal of this project is to generate knowledge about noise and ear-damaging (ototoxic) chemical exposures and hearing loss experienced by United States onshore oil and gas extraction (OGE) industry workers and noise controls and hearing protection activities in the industry.</w:t>
            </w:r>
          </w:p>
          <w:bookmarkEnd w:id="1"/>
          <w:p w:rsidR="009A3AAA" w:rsidRPr="009A3AAA" w:rsidP="009A3AAA" w14:paraId="523AF721" w14:textId="77777777">
            <w:pPr>
              <w:ind w:left="250" w:hanging="250"/>
            </w:pPr>
          </w:p>
          <w:p w:rsidR="009A3AAA" w:rsidRPr="009A3AAA" w:rsidP="009A3AAA" w14:paraId="3B279D9B" w14:textId="16436B76">
            <w:pPr>
              <w:numPr>
                <w:ilvl w:val="0"/>
                <w:numId w:val="17"/>
              </w:numPr>
              <w:spacing w:after="160" w:line="259" w:lineRule="auto"/>
              <w:ind w:left="250" w:hanging="250"/>
            </w:pPr>
            <w:r w:rsidRPr="009A3AAA">
              <w:rPr>
                <w:rFonts w:eastAsia="Calibri"/>
                <w:b/>
                <w:bCs/>
              </w:rPr>
              <w:t xml:space="preserve">Intended use of the resulting data: </w:t>
            </w:r>
            <w:r w:rsidR="00BD7A3C">
              <w:t xml:space="preserve"> </w:t>
            </w:r>
            <w:r w:rsidRPr="00BD7A3C" w:rsidR="00BD7A3C">
              <w:rPr>
                <w:rFonts w:eastAsia="Calibri"/>
              </w:rPr>
              <w:t>These data will be used to understand noise exposures, ototoxic chemical exposures, self-reported hearing loss, and hearing loss prevention practices in the OGE industry. Subsequently, the data and analysis will be used to create evidence-based interventions and recommendations, which will be communicated to the spectrum of OGE industry stakeholders.</w:t>
            </w:r>
          </w:p>
          <w:p w:rsidR="009A3AAA" w:rsidRPr="009A3AAA" w:rsidP="009A3AAA" w14:paraId="79D61D5F" w14:textId="77777777">
            <w:pPr>
              <w:ind w:left="250" w:hanging="250"/>
            </w:pPr>
          </w:p>
          <w:p w:rsidR="009A3AAA" w:rsidRPr="009A3AAA" w:rsidP="009A3AAA" w14:paraId="2631AC17" w14:textId="71FDC475">
            <w:pPr>
              <w:numPr>
                <w:ilvl w:val="0"/>
                <w:numId w:val="17"/>
              </w:numPr>
              <w:spacing w:after="160" w:line="259" w:lineRule="auto"/>
              <w:ind w:left="250" w:hanging="250"/>
              <w:contextualSpacing/>
              <w:jc w:val="both"/>
              <w:rPr>
                <w:rFonts w:eastAsia="Calibri"/>
              </w:rPr>
            </w:pPr>
            <w:r w:rsidRPr="009A3AAA">
              <w:rPr>
                <w:rFonts w:eastAsia="Calibri"/>
                <w:b/>
                <w:bCs/>
              </w:rPr>
              <w:t xml:space="preserve">Methods to be used to collect data: </w:t>
            </w:r>
            <w:r w:rsidRPr="00496C6E" w:rsidR="00496C6E">
              <w:rPr>
                <w:rFonts w:eastAsia="Calibri"/>
              </w:rPr>
              <w:t>Questionnaire and audiometric testing</w:t>
            </w:r>
          </w:p>
          <w:p w:rsidR="009A3AAA" w:rsidRPr="009A3AAA" w:rsidP="009A3AAA" w14:paraId="5AA3BB75" w14:textId="77777777">
            <w:pPr>
              <w:spacing w:after="160" w:line="259" w:lineRule="auto"/>
              <w:ind w:left="250" w:hanging="250"/>
              <w:jc w:val="both"/>
              <w:rPr>
                <w:rFonts w:eastAsia="Calibri"/>
              </w:rPr>
            </w:pPr>
            <w:r w:rsidRPr="009A3AAA">
              <w:rPr>
                <w:rFonts w:eastAsia="Calibri"/>
              </w:rPr>
              <w:t xml:space="preserve"> </w:t>
            </w:r>
          </w:p>
          <w:p w:rsidR="009A3AAA" w:rsidRPr="009A3AAA" w:rsidP="009A3AAA" w14:paraId="565B4DD2" w14:textId="72FE3E6E">
            <w:pPr>
              <w:numPr>
                <w:ilvl w:val="0"/>
                <w:numId w:val="16"/>
              </w:numPr>
              <w:spacing w:after="160" w:line="259" w:lineRule="auto"/>
              <w:ind w:left="250" w:hanging="250"/>
              <w:contextualSpacing/>
              <w:jc w:val="both"/>
              <w:rPr>
                <w:rFonts w:eastAsia="Calibri"/>
              </w:rPr>
            </w:pPr>
            <w:r w:rsidRPr="009A3AAA">
              <w:rPr>
                <w:rFonts w:eastAsia="Calibri"/>
                <w:b/>
                <w:bCs/>
              </w:rPr>
              <w:t>The specific subpopulation to be studied:</w:t>
            </w:r>
            <w:r w:rsidRPr="009A3AAA">
              <w:rPr>
                <w:rFonts w:eastAsiaTheme="minorHAnsi"/>
              </w:rPr>
              <w:t xml:space="preserve"> </w:t>
            </w:r>
            <w:r w:rsidR="00690F05">
              <w:t xml:space="preserve"> </w:t>
            </w:r>
            <w:r w:rsidRPr="00690F05" w:rsidR="00690F05">
              <w:rPr>
                <w:rFonts w:eastAsiaTheme="minorHAnsi"/>
              </w:rPr>
              <w:t xml:space="preserve">The respondent universe of interest for the proposed study includes all adults (18 years and older) employed in the U.S. onshore oil and gas extraction (OGE) industry at increased risk of hearing loss from noise or </w:t>
            </w:r>
            <w:r w:rsidRPr="00690F05" w:rsidR="00690F05">
              <w:rPr>
                <w:rFonts w:eastAsiaTheme="minorHAnsi"/>
              </w:rPr>
              <w:t>ototoxicant</w:t>
            </w:r>
            <w:r w:rsidRPr="00690F05" w:rsidR="00690F05">
              <w:rPr>
                <w:rFonts w:eastAsiaTheme="minorHAnsi"/>
              </w:rPr>
              <w:t xml:space="preserve"> exposure.</w:t>
            </w:r>
          </w:p>
          <w:p w:rsidR="009A3AAA" w:rsidRPr="009A3AAA" w:rsidP="009A3AAA" w14:paraId="07C554B9" w14:textId="77777777">
            <w:pPr>
              <w:spacing w:after="160" w:line="259" w:lineRule="auto"/>
              <w:ind w:left="250"/>
              <w:contextualSpacing/>
              <w:jc w:val="both"/>
              <w:rPr>
                <w:rFonts w:eastAsia="Calibri"/>
              </w:rPr>
            </w:pPr>
          </w:p>
          <w:p w:rsidR="009A3AAA" w:rsidP="009A3AAA" w14:paraId="4B2BCACC" w14:textId="364DC086">
            <w:pPr>
              <w:numPr>
                <w:ilvl w:val="0"/>
                <w:numId w:val="16"/>
              </w:numPr>
              <w:spacing w:after="160" w:line="259" w:lineRule="auto"/>
              <w:ind w:left="250" w:hanging="250"/>
              <w:contextualSpacing/>
              <w:jc w:val="both"/>
              <w:rPr>
                <w:rFonts w:eastAsia="Calibri"/>
              </w:rPr>
            </w:pPr>
            <w:r w:rsidRPr="009A3AAA">
              <w:rPr>
                <w:rFonts w:eastAsia="Calibri"/>
                <w:b/>
                <w:bCs/>
              </w:rPr>
              <w:t xml:space="preserve">How data will be analyzed: </w:t>
            </w:r>
            <w:r w:rsidRPr="00A949ED" w:rsidR="00A949ED">
              <w:rPr>
                <w:rFonts w:eastAsia="Calibri"/>
              </w:rPr>
              <w:t>Researchers will conduct a risk characterization and assessment of noise and ototoxic chemical exposures for workers who drill, complete, and service wells in the OGE industry. This includes a focus on collecting full-shift personal exposure data using direct-reading noise dosimeters placed on workers to evaluate the exposures associated with specific job activities across full work shifts.</w:t>
            </w:r>
            <w:r w:rsidRPr="00A949ED" w:rsidR="006537A8">
              <w:t xml:space="preserve"> </w:t>
            </w:r>
            <w:r w:rsidR="00A949ED">
              <w:t xml:space="preserve">Audiometric </w:t>
            </w:r>
            <w:r w:rsidRPr="00A949ED" w:rsidR="006537A8">
              <w:rPr>
                <w:rFonts w:eastAsia="Calibri"/>
              </w:rPr>
              <w:t>test results will be analyzed collectively to look at broad patterns related to hearing loss across the industry documented by these tests.</w:t>
            </w:r>
          </w:p>
          <w:p w:rsidR="009A3AAA" w:rsidP="009A3AAA" w14:paraId="6A0FCA93" w14:textId="77777777">
            <w:pPr>
              <w:pStyle w:val="ListParagraph"/>
              <w:rPr>
                <w:rFonts w:eastAsia="Calibri"/>
              </w:rPr>
            </w:pPr>
          </w:p>
          <w:p w:rsidR="009A3AAA" w:rsidRPr="009A3AAA" w:rsidP="009A3AAA" w14:paraId="384FF21B" w14:textId="44715738">
            <w:pPr>
              <w:spacing w:after="160" w:line="259" w:lineRule="auto"/>
              <w:ind w:left="250"/>
              <w:contextualSpacing/>
              <w:jc w:val="both"/>
              <w:rPr>
                <w:rFonts w:eastAsia="Calibri"/>
              </w:rPr>
            </w:pPr>
          </w:p>
        </w:tc>
      </w:tr>
    </w:tbl>
    <w:p w:rsidR="009A3AAA" w:rsidP="00A953D5" w14:paraId="68E5D230" w14:textId="53BD6071"/>
    <w:p w:rsidR="009A3AAA" w:rsidP="00A953D5" w14:paraId="2329A333" w14:textId="0E68D378"/>
    <w:p w:rsidR="003A0037" w:rsidP="00A953D5" w14:paraId="66854A61" w14:textId="22835663"/>
    <w:p w:rsidR="003A0037" w:rsidP="00A953D5" w14:paraId="2395E411" w14:textId="25ED1644"/>
    <w:p w:rsidR="003A0037" w:rsidP="00A953D5" w14:paraId="137BF7E9" w14:textId="50A9714D"/>
    <w:p w:rsidR="003A0037" w:rsidP="00A953D5" w14:paraId="0F6C7144" w14:textId="2AA7D0E2"/>
    <w:p w:rsidR="003A0037" w:rsidP="00A953D5" w14:paraId="030524BA" w14:textId="0F03C303"/>
    <w:p w:rsidR="003A0037" w:rsidP="00A953D5" w14:paraId="1E5D1253" w14:textId="702D3FBF"/>
    <w:p w:rsidR="003A0037" w:rsidP="00A953D5" w14:paraId="12F37208" w14:textId="2D155785"/>
    <w:p w:rsidR="003A0037" w:rsidP="00A953D5" w14:paraId="26CB60D6" w14:textId="3157B519"/>
    <w:p w:rsidR="003A0037" w:rsidP="00A953D5" w14:paraId="0CCB45EB" w14:textId="3152B739"/>
    <w:p w:rsidR="003A0037" w:rsidP="00A953D5" w14:paraId="4D4BCC97" w14:textId="2D46B609"/>
    <w:p w:rsidR="003A0037" w:rsidP="00A953D5" w14:paraId="0CC24BA4" w14:textId="1EA7D259"/>
    <w:p w:rsidR="003A0037" w:rsidP="00A953D5" w14:paraId="273D60B3" w14:textId="02BC7999"/>
    <w:p w:rsidR="003A0037" w:rsidP="00A953D5" w14:paraId="13919709" w14:textId="05F06CD4"/>
    <w:p w:rsidR="003A0037" w:rsidP="00A953D5" w14:paraId="738BC62C" w14:textId="7323E1A7"/>
    <w:p w:rsidR="003A0037" w:rsidP="00A953D5" w14:paraId="4294BA94" w14:textId="1637D7B5"/>
    <w:p w:rsidR="003A0037" w:rsidP="00A953D5" w14:paraId="775AEF33" w14:textId="7E95ED55"/>
    <w:p w:rsidR="003A0037" w:rsidP="00A953D5" w14:paraId="58BEC36C" w14:textId="3FC9A34E"/>
    <w:p w:rsidR="003A0037" w:rsidP="00A953D5" w14:paraId="358AAE5E" w14:textId="61128695"/>
    <w:p w:rsidR="003A0037" w:rsidP="00A953D5" w14:paraId="1EC1F5D2" w14:textId="43105D66"/>
    <w:p w:rsidR="003A0037" w:rsidP="00A953D5" w14:paraId="65DBEA78" w14:textId="0ED8CB39"/>
    <w:p w:rsidR="003A0037" w:rsidP="00A953D5" w14:paraId="2DF90BB8" w14:textId="2368ACDB"/>
    <w:p w:rsidR="003A0037" w:rsidP="00A953D5" w14:paraId="01BC20A8" w14:textId="75DF9558"/>
    <w:p w:rsidR="003A0037" w:rsidP="00A953D5" w14:paraId="1D714410" w14:textId="26E75DFA"/>
    <w:p w:rsidR="003A0037" w:rsidP="00A953D5" w14:paraId="150D0E0C" w14:textId="0E91347A"/>
    <w:p w:rsidR="003A0037" w:rsidP="00A953D5" w14:paraId="7396DA79" w14:textId="5FDFB09D"/>
    <w:p w:rsidR="00A949ED" w:rsidP="00A953D5" w14:paraId="2387725F" w14:textId="1E3B593E"/>
    <w:p w:rsidR="00A949ED" w:rsidP="00A953D5" w14:paraId="65DB51E0" w14:textId="63D5278F"/>
    <w:p w:rsidR="00A949ED" w:rsidP="00A953D5" w14:paraId="035B732B" w14:textId="7D9FDA8E"/>
    <w:p w:rsidR="00A949ED" w:rsidP="00A953D5" w14:paraId="78908074" w14:textId="0F2E2E77"/>
    <w:p w:rsidR="00A949ED" w:rsidP="00A953D5" w14:paraId="79B94C57" w14:textId="7338E209"/>
    <w:p w:rsidR="00A949ED" w:rsidP="00A953D5" w14:paraId="6844709F" w14:textId="23678727"/>
    <w:p w:rsidR="00A949ED" w:rsidP="00A953D5" w14:paraId="55B89BAA" w14:textId="7B711268"/>
    <w:p w:rsidR="00A949ED" w:rsidP="00A953D5" w14:paraId="3BDC0C21" w14:textId="19B88993"/>
    <w:p w:rsidR="00A949ED" w:rsidP="00A953D5" w14:paraId="57827F21" w14:textId="511960F7"/>
    <w:p w:rsidR="00A949ED" w:rsidP="00A953D5" w14:paraId="55A9D2B3" w14:textId="57FE58B5"/>
    <w:p w:rsidR="00A949ED" w:rsidP="00A953D5" w14:paraId="539DEED2" w14:textId="23421C12"/>
    <w:p w:rsidR="00A949ED" w:rsidP="00A953D5" w14:paraId="3A3B9324" w14:textId="3E2EE8B8"/>
    <w:p w:rsidR="00A949ED" w:rsidP="00A953D5" w14:paraId="28A2BE80" w14:textId="0ECD8595"/>
    <w:p w:rsidR="00A949ED" w:rsidP="00A953D5" w14:paraId="7D8A6FE7" w14:textId="2C935D8F"/>
    <w:p w:rsidR="00A949ED" w:rsidP="00A953D5" w14:paraId="2C790FE4" w14:textId="70929D1C"/>
    <w:p w:rsidR="00A949ED" w:rsidP="00A953D5" w14:paraId="43A2312F" w14:textId="049732CB"/>
    <w:p w:rsidR="00A949ED" w:rsidP="00A953D5" w14:paraId="37844E18" w14:textId="21528EE5"/>
    <w:p w:rsidR="00A949ED" w:rsidP="00A953D5" w14:paraId="7740B437" w14:textId="06E08DF5"/>
    <w:p w:rsidR="00A949ED" w:rsidP="00A953D5" w14:paraId="6FB2AC05" w14:textId="0EBF3C1F"/>
    <w:p w:rsidR="00A949ED" w:rsidP="00A953D5" w14:paraId="59722B2E" w14:textId="01858CBC"/>
    <w:p w:rsidR="00A949ED" w:rsidP="00A953D5" w14:paraId="7B74B1E1" w14:textId="4CBAE7C9"/>
    <w:p w:rsidR="00A949ED" w:rsidP="00A953D5" w14:paraId="395AEBCD" w14:textId="77777777"/>
    <w:p w:rsidR="00A953D5" w:rsidP="00A953D5" w14:paraId="7A55B094" w14:textId="77777777">
      <w:pPr>
        <w:pStyle w:val="Heading1"/>
        <w:numPr>
          <w:ilvl w:val="0"/>
          <w:numId w:val="1"/>
        </w:numPr>
      </w:pPr>
      <w:bookmarkStart w:id="2" w:name="_Toc130908451"/>
      <w:r>
        <w:t>Circumstances Making the Collection of Information Necessary</w:t>
      </w:r>
      <w:bookmarkEnd w:id="2"/>
    </w:p>
    <w:p w:rsidR="00A953D5" w:rsidRPr="003827A3" w:rsidP="00A953D5" w14:paraId="44641294" w14:textId="77777777"/>
    <w:p w:rsidR="00A953D5" w:rsidP="000A54DA" w14:paraId="4E29A409" w14:textId="04D1434B">
      <w:r>
        <w:t>This study fulfills the responsibilities the National Institute for Occupational Safety and Health (NIOSH) was tasked with in P.L. 91-596 Section 20 (</w:t>
      </w:r>
      <w:r w:rsidRPr="00D662F7">
        <w:t>Attachment A</w:t>
      </w:r>
      <w:r>
        <w:t xml:space="preserve">), namely conducting research on occupational safety and health problems and preventing them. </w:t>
      </w:r>
      <w:r w:rsidR="000A54DA">
        <w:t>This is a new Information Collection Request (ICR) from NIOSH</w:t>
      </w:r>
      <w:r w:rsidR="006B42C2">
        <w:t>, which is within the Centers for Disease Control and Prevention (CDC)</w:t>
      </w:r>
      <w:r w:rsidR="00D1120A">
        <w:t>; NIOSH is</w:t>
      </w:r>
      <w:r w:rsidR="000A54DA">
        <w:t xml:space="preserve"> seeking 36</w:t>
      </w:r>
      <w:r w:rsidR="00C30E56">
        <w:t>-</w:t>
      </w:r>
      <w:r w:rsidR="000A54DA">
        <w:t>month approval from OMB</w:t>
      </w:r>
      <w:r w:rsidR="00C30E56">
        <w:t>. The 60</w:t>
      </w:r>
      <w:r w:rsidR="009D0F08">
        <w:t>-</w:t>
      </w:r>
      <w:r w:rsidR="00C30E56">
        <w:t>day Federal Register Notice for th</w:t>
      </w:r>
      <w:r w:rsidR="00FD3767">
        <w:t>is ICR is included as Attachment B.</w:t>
      </w:r>
      <w:r w:rsidR="004E384D">
        <w:t xml:space="preserve"> </w:t>
      </w:r>
      <w:r>
        <w:t xml:space="preserve">The proposed study will investigate the problem of noise exposure, ototoxic chemical exposures, and noise-induced hearing loss and related health impacts among land-based oil and gas extraction (OGE) workers. OGE comprises upstream, midstream, and downstream segments. In 2017, 428,000 were employed directly in the OGE industry </w:t>
      </w:r>
      <w:r w:rsidR="006C6C48">
        <w:t xml:space="preserve">and were </w:t>
      </w:r>
      <w:r>
        <w:t>supported by employees in the transportation, construction, and other sectors. It is already known that the OGE workers experience significant burden of injury and workplace exposures. During 2008</w:t>
      </w:r>
      <w:r w:rsidR="001B085F">
        <w:rPr>
          <w:rFonts w:ascii="Century Gothic" w:hAnsi="Century Gothic"/>
        </w:rPr>
        <w:t>–</w:t>
      </w:r>
      <w:r>
        <w:t xml:space="preserve">2017, OGE employees experienced a fatality rate that was more than six times the rate of all United States (US) workers [NIOSH 2018a]. </w:t>
      </w:r>
    </w:p>
    <w:p w:rsidR="00A953D5" w:rsidP="00A953D5" w14:paraId="2E86D92B" w14:textId="77777777"/>
    <w:p w:rsidR="00E2277A" w:rsidP="00A953D5" w14:paraId="1D7B6128" w14:textId="535EC6E3">
      <w:r w:rsidRPr="003827A3">
        <w:t xml:space="preserve">Noise-induced hearing loss is caused by damage to nerve cells of the inner ear and, unlike some conductive hearing disorders, can’t be treated medically [Berger et al., 2003]. In most cases, this hearing loss happens slowly and occurs without notice; it is often severe enough to permanently affect a person’s ability to hear and understand speech. Although hearing ability declines for most with age, noise exposure produces more hearing loss than that resulting from aging alone. In fact, the average otherwise healthy person will have essentially normal hearing through their working life (at least up to age 60) if their unprotected ears are not exposed to high noise levels </w:t>
      </w:r>
      <w:r>
        <w:t>[</w:t>
      </w:r>
      <w:r w:rsidRPr="003827A3">
        <w:t>AAA 2003</w:t>
      </w:r>
      <w:r>
        <w:t>]</w:t>
      </w:r>
      <w:r w:rsidRPr="003827A3">
        <w:t>. Hearing loss is the 3rd most common chronic physical</w:t>
      </w:r>
      <w:r>
        <w:t xml:space="preserve"> </w:t>
      </w:r>
      <w:r w:rsidRPr="003827A3">
        <w:t xml:space="preserve">condition among US adults and 24% of the hearing difficulty in U.S. workers is caused by occupational exposures </w:t>
      </w:r>
      <w:r>
        <w:t>[</w:t>
      </w:r>
      <w:r w:rsidRPr="003827A3">
        <w:t>NIOSH 2019a</w:t>
      </w:r>
      <w:r>
        <w:t>]</w:t>
      </w:r>
      <w:r w:rsidRPr="003827A3">
        <w:t xml:space="preserve">. A history of occupational noise exposure is also associated with a significantly elevated risk of both hypertension and elevated cholesterol </w:t>
      </w:r>
      <w:r>
        <w:t>[</w:t>
      </w:r>
      <w:r w:rsidRPr="003827A3">
        <w:t>Kerns et al., 201</w:t>
      </w:r>
      <w:r>
        <w:t>8]</w:t>
      </w:r>
      <w:r w:rsidRPr="003827A3">
        <w:t>.</w:t>
      </w:r>
      <w:r>
        <w:t xml:space="preserve"> </w:t>
      </w:r>
      <w:r w:rsidRPr="003827A3">
        <w:t>Additionally, hearing loss can be associated with difficulty in communicating; feeling socially isolated, stressed, and fatigued;</w:t>
      </w:r>
      <w:r>
        <w:t xml:space="preserve"> </w:t>
      </w:r>
      <w:r w:rsidRPr="003827A3">
        <w:t xml:space="preserve">depression; cognitive decline; dementia; falls; increased hospitalizations and health care costs; and mortality </w:t>
      </w:r>
      <w:r>
        <w:t>[</w:t>
      </w:r>
      <w:r w:rsidRPr="003827A3">
        <w:t>Themann and Masterson 2019</w:t>
      </w:r>
      <w:r>
        <w:t>]</w:t>
      </w:r>
      <w:r w:rsidRPr="003827A3">
        <w:t>.</w:t>
      </w:r>
      <w:r w:rsidR="002C5A3B">
        <w:t xml:space="preserve"> </w:t>
      </w:r>
      <w:r w:rsidRPr="003827A3">
        <w:t>The economic burden of occupational hearing loss</w:t>
      </w:r>
      <w:r>
        <w:t xml:space="preserve"> </w:t>
      </w:r>
      <w:r w:rsidRPr="003827A3">
        <w:t>in this and other industries can be difficult to assess</w:t>
      </w:r>
      <w:r>
        <w:t xml:space="preserve"> </w:t>
      </w:r>
      <w:r w:rsidRPr="003827A3">
        <w:t xml:space="preserve">and estimates of workers compensation costs, likely the most common metric of the economic impact of occupational hearing loss, are scarce </w:t>
      </w:r>
      <w:r>
        <w:t>[</w:t>
      </w:r>
      <w:r w:rsidRPr="003827A3">
        <w:t>Themann and Masterson 2019</w:t>
      </w:r>
      <w:r>
        <w:t>]</w:t>
      </w:r>
      <w:r w:rsidRPr="003827A3">
        <w:t xml:space="preserve">. However, it is recognized that costs include those associated with lost productivity, absenteeism, reduced earnings, lost tax revenues, welfare payments, special education and vocational rehabilitation programs, and health care </w:t>
      </w:r>
      <w:r>
        <w:t>[</w:t>
      </w:r>
      <w:r w:rsidRPr="003827A3">
        <w:t>Themann and Masterson 2019</w:t>
      </w:r>
      <w:r>
        <w:t>].</w:t>
      </w:r>
      <w:r w:rsidRPr="003827A3">
        <w:t xml:space="preserve"> Neitzel et al. have</w:t>
      </w:r>
      <w:r>
        <w:t xml:space="preserve"> </w:t>
      </w:r>
      <w:r w:rsidRPr="003827A3">
        <w:t>estimated the cost of</w:t>
      </w:r>
      <w:r>
        <w:t xml:space="preserve"> </w:t>
      </w:r>
      <w:r w:rsidRPr="003827A3">
        <w:t>hearing loss</w:t>
      </w:r>
      <w:r>
        <w:t xml:space="preserve"> </w:t>
      </w:r>
      <w:r w:rsidRPr="003827A3">
        <w:t>on productivity</w:t>
      </w:r>
      <w:r>
        <w:t xml:space="preserve"> </w:t>
      </w:r>
      <w:r w:rsidRPr="003827A3">
        <w:t>in the United States</w:t>
      </w:r>
      <w:r>
        <w:t xml:space="preserve"> </w:t>
      </w:r>
      <w:r w:rsidRPr="003827A3">
        <w:t>to be nearly $615 billion; if the total number of individuals with hearing loss was reduced by 20% (i.e., the</w:t>
      </w:r>
      <w:r>
        <w:t xml:space="preserve"> </w:t>
      </w:r>
      <w:r w:rsidRPr="003827A3">
        <w:t>portion of hearing loss resulting from</w:t>
      </w:r>
      <w:r>
        <w:t xml:space="preserve"> </w:t>
      </w:r>
      <w:r w:rsidRPr="003827A3">
        <w:t>excessive noise exposure), employment and wage increases would result in increased earnings of $122</w:t>
      </w:r>
      <w:r>
        <w:t xml:space="preserve"> </w:t>
      </w:r>
      <w:r w:rsidRPr="003827A3">
        <w:t>billion</w:t>
      </w:r>
      <w:r>
        <w:t xml:space="preserve"> [</w:t>
      </w:r>
      <w:r w:rsidRPr="003827A3">
        <w:t>Neitzel et al., 2017</w:t>
      </w:r>
      <w:r>
        <w:t>].</w:t>
      </w:r>
      <w:r w:rsidR="00597CF3">
        <w:t xml:space="preserve"> </w:t>
      </w:r>
    </w:p>
    <w:p w:rsidR="00E2277A" w:rsidP="00A953D5" w14:paraId="521938E6" w14:textId="77777777"/>
    <w:p w:rsidR="00023147" w:rsidP="00A953D5" w14:paraId="101BB59A" w14:textId="58DAC31B">
      <w:r w:rsidRPr="00E2277A">
        <w:t xml:space="preserve">Little is known of the burden of hearing loss and disorders in this worker population in the U.S. Reasons may include a dearth of noise-related published studies for this industry. In one recent epidemiological study, NIOSH authors stated that “no known studies have measured the prevalence of hearing loss within OGE” </w:t>
      </w:r>
      <w:r w:rsidR="00D1120A">
        <w:t>[</w:t>
      </w:r>
      <w:r w:rsidRPr="00E2277A">
        <w:t>Lawson et al., 2019</w:t>
      </w:r>
      <w:r w:rsidR="00D1120A">
        <w:t>]</w:t>
      </w:r>
      <w:r w:rsidRPr="00E2277A">
        <w:t xml:space="preserve">. </w:t>
      </w:r>
      <w:r w:rsidR="00597CF3">
        <w:t xml:space="preserve">There is some evidence that the burden of </w:t>
      </w:r>
      <w:r w:rsidR="00D93E6F">
        <w:t>hearing loss is high in the OGE sector.</w:t>
      </w:r>
      <w:r w:rsidR="00A953D5">
        <w:t xml:space="preserve"> </w:t>
      </w:r>
      <w:r w:rsidRPr="00444C08" w:rsidR="00A953D5">
        <w:t>In one published study, the prevalence of hearing loss in the U.S. OGE sector from 2006–2015 was estimated to be 14.4% (and 27% when support activities</w:t>
      </w:r>
      <w:r w:rsidR="00A953D5">
        <w:t xml:space="preserve"> </w:t>
      </w:r>
      <w:r w:rsidRPr="00444C08" w:rsidR="00A953D5">
        <w:t>were excluded), with prevalence at 16% among all industrie</w:t>
      </w:r>
      <w:r w:rsidRPr="003B70EA" w:rsidR="00A953D5">
        <w:t>s [Lawson et al., 2019]</w:t>
      </w:r>
      <w:r w:rsidR="00A953D5">
        <w:t xml:space="preserve">. </w:t>
      </w:r>
      <w:r w:rsidRPr="00023147">
        <w:t xml:space="preserve">Unfortunately, the authors noted that “some subsectors, particularly in OGE, could not be examined due to low sample size” </w:t>
      </w:r>
      <w:r w:rsidR="00D1120A">
        <w:t>[</w:t>
      </w:r>
      <w:r w:rsidRPr="00023147">
        <w:t>Lawson et al., 2019</w:t>
      </w:r>
      <w:r w:rsidR="00D1120A">
        <w:t>]</w:t>
      </w:r>
      <w:r w:rsidRPr="00023147">
        <w:t>.</w:t>
      </w:r>
    </w:p>
    <w:p w:rsidR="00023147" w:rsidP="00A953D5" w14:paraId="6A61DBEA" w14:textId="77777777"/>
    <w:p w:rsidR="00023147" w:rsidP="00A953D5" w14:paraId="3B5BFFAF" w14:textId="34214494">
      <w:r w:rsidRPr="00023147">
        <w:t xml:space="preserve">Further research and knowledge on this topic may be hindered because of </w:t>
      </w:r>
      <w:r w:rsidR="00D2759A">
        <w:t xml:space="preserve">OGE </w:t>
      </w:r>
      <w:r w:rsidRPr="00023147">
        <w:t xml:space="preserve">industry exemptions from aspects of the federal </w:t>
      </w:r>
      <w:r w:rsidR="00D2759A">
        <w:t xml:space="preserve">Occupational Safety and Health Administration </w:t>
      </w:r>
      <w:r w:rsidRPr="00023147">
        <w:t xml:space="preserve">OSHA noise exposure standards. </w:t>
      </w:r>
      <w:r w:rsidR="00D2759A">
        <w:t>E</w:t>
      </w:r>
      <w:r w:rsidRPr="00023147">
        <w:t>mployers engaged in oil and gas well drilling and servicing operations</w:t>
      </w:r>
      <w:r w:rsidR="00D2759A">
        <w:t xml:space="preserve"> are exempt from </w:t>
      </w:r>
      <w:r w:rsidR="009831E9">
        <w:t xml:space="preserve">typical requirements for </w:t>
      </w:r>
      <w:r w:rsidRPr="00023147">
        <w:t xml:space="preserve">hearing conservation programs, monitoring, audiometric testing programs, (i) hearing protectors, and training programs </w:t>
      </w:r>
      <w:r w:rsidR="00D1120A">
        <w:t>[</w:t>
      </w:r>
      <w:r w:rsidRPr="00023147">
        <w:t>OSHA 2008</w:t>
      </w:r>
      <w:r w:rsidR="00D1120A">
        <w:t>]</w:t>
      </w:r>
      <w:r w:rsidRPr="00023147">
        <w:t xml:space="preserve">. </w:t>
      </w:r>
      <w:r w:rsidR="009831E9">
        <w:t xml:space="preserve">Some work has been done in Canada on the topic of hearing loss among OGE workers. </w:t>
      </w:r>
      <w:r w:rsidRPr="00023147">
        <w:t>WorkSafeBC</w:t>
      </w:r>
      <w:r w:rsidRPr="00023147">
        <w:t xml:space="preserve"> has published data on the burden that Canadian oil and gas workers experience in that province related to noise and hearing loss. In a 2018 </w:t>
      </w:r>
      <w:r w:rsidRPr="00023147">
        <w:t>WorkSafeBC</w:t>
      </w:r>
      <w:r w:rsidRPr="00023147">
        <w:t xml:space="preserve"> bulletin, the agency notes that their noise measurements and hearing test results show that almost all oil and gas workers are exposed to hazardous noise levels and that workers in the oil and gas drilling sector have some of the highest hearing loss rates of any industry </w:t>
      </w:r>
      <w:r w:rsidR="00D1120A">
        <w:t>[</w:t>
      </w:r>
      <w:r w:rsidRPr="00023147">
        <w:t>WorkSafeBC</w:t>
      </w:r>
      <w:r w:rsidRPr="00023147">
        <w:t xml:space="preserve"> 2018a</w:t>
      </w:r>
      <w:r w:rsidR="00D1120A">
        <w:t>]</w:t>
      </w:r>
      <w:r w:rsidRPr="00023147">
        <w:t xml:space="preserve">. They also recently released information that showed that the percentage of workers who showed signs of hearing loss rose to 45% by 2017 </w:t>
      </w:r>
      <w:r w:rsidR="00D1120A">
        <w:t>[</w:t>
      </w:r>
      <w:r w:rsidRPr="00023147">
        <w:t>WorkSafeBC</w:t>
      </w:r>
      <w:r w:rsidRPr="00023147">
        <w:t xml:space="preserve"> 2018b</w:t>
      </w:r>
      <w:r w:rsidR="00D1120A">
        <w:t>]</w:t>
      </w:r>
      <w:r w:rsidRPr="00023147">
        <w:t xml:space="preserve">. Because OGE operations in Canada differ little from those in the </w:t>
      </w:r>
      <w:r w:rsidR="005D07AD">
        <w:t>United States</w:t>
      </w:r>
      <w:r w:rsidRPr="00023147">
        <w:t>, the exposure risks and burdens are expected to be similar but should be confirmed with research.</w:t>
      </w:r>
    </w:p>
    <w:p w:rsidR="00023147" w:rsidP="00A953D5" w14:paraId="0B4301D5" w14:textId="77777777"/>
    <w:p w:rsidR="00A953D5" w:rsidP="00A953D5" w14:paraId="06460FAE" w14:textId="536CAD59">
      <w:r>
        <w:t xml:space="preserve">To prevent hearing loss in this sector, it is important to understand exposures to noise and co-exposures that can contribute to hearing loss. </w:t>
      </w:r>
    </w:p>
    <w:p w:rsidR="00023147" w:rsidP="00A953D5" w14:paraId="76BD1D50" w14:textId="77777777"/>
    <w:p w:rsidR="00023147" w:rsidP="00A953D5" w14:paraId="2122988B" w14:textId="77777777"/>
    <w:p w:rsidR="00A953D5" w:rsidP="00A953D5" w14:paraId="48D43D82" w14:textId="77777777"/>
    <w:p w:rsidR="004E5A9E" w:rsidP="004E5A9E" w14:paraId="038BA6FE" w14:textId="245C3262">
      <w:r>
        <w:t>The proposed data collection will provide an initial step toward achieving a prioritized activity goals identified by the National Occupational Research Agenda (NORA) for workers in the Oil and Gas sector, specifically addressing goals related to</w:t>
      </w:r>
      <w:r w:rsidR="49D7BE85">
        <w:t xml:space="preserve"> hearing loss</w:t>
      </w:r>
      <w:r>
        <w:t>. NORA is a partnership program designed to stimulate innovative research and improve workplace practices. Unveiled in 1996, NORA has become a research framework for NIOSH and the nation. Diverse parties (industry, academia, government, insurance, etc.) collaborate to identify the most critical issues in workplace safety and health. The goal</w:t>
      </w:r>
      <w:r w:rsidR="49D7BE85">
        <w:t>s</w:t>
      </w:r>
      <w:r>
        <w:t xml:space="preserve"> of the NORA </w:t>
      </w:r>
      <w:r w:rsidR="49D7BE85">
        <w:t>Oil and Gas</w:t>
      </w:r>
      <w:r>
        <w:t xml:space="preserve"> sector addressed by this project</w:t>
      </w:r>
      <w:r w:rsidR="0047754D">
        <w:t xml:space="preserve"> are as follows</w:t>
      </w:r>
      <w:r>
        <w:t>:</w:t>
      </w:r>
    </w:p>
    <w:p w:rsidR="00C03A5A" w:rsidP="004E5A9E" w14:paraId="31747492" w14:textId="77777777"/>
    <w:p w:rsidR="005E177A" w:rsidP="004E5A9E" w14:paraId="28BB9D93" w14:textId="20312319">
      <w:r>
        <w:t>Activity Goal 2.6.1 (Basic/Etiologic Research): Conduct basic/etiologic research to better understand sources of noise exposure in oil and gas extraction worksites.</w:t>
      </w:r>
    </w:p>
    <w:p w:rsidR="00C03A5A" w:rsidP="004E5A9E" w14:paraId="76FFC07A" w14:textId="77777777"/>
    <w:p w:rsidR="00C03A5A" w:rsidP="005E177A" w14:paraId="1AB3034F" w14:textId="4D7D87B9">
      <w:r>
        <w:t>Activity Goal 2.6.2 (Intervention Research): Conduct studies to develop and assess the effectiveness of interventions to prevent noise overexposure among oil and gas extraction workers.</w:t>
      </w:r>
    </w:p>
    <w:p w:rsidR="00C03A5A" w:rsidP="004E5A9E" w14:paraId="4F3250C1" w14:textId="77777777"/>
    <w:p w:rsidR="005E177A" w:rsidP="005E177A" w14:paraId="662C936E" w14:textId="22BA9F50">
      <w:r>
        <w:t>Activity Goal 2.6.3 (Translation Research): Conduct translation research to understand barriers and aids to effective use of PPE to prevent hearing loss among oil and gas extraction workers.</w:t>
      </w:r>
    </w:p>
    <w:p w:rsidR="00C03A5A" w:rsidP="005E177A" w14:paraId="73D9718B" w14:textId="77777777"/>
    <w:p w:rsidR="005E177A" w:rsidP="005E177A" w14:paraId="5720DC92" w14:textId="77777777">
      <w:r>
        <w:t>Activity Goal 2.6.4 (Surveillance Research): Conduct surveillance research to better understand the burden of hearing loss and sources of noise in the oil and gas extraction sector.</w:t>
      </w:r>
    </w:p>
    <w:p w:rsidR="00A953D5" w:rsidP="52F1935E" w14:paraId="2563E07D" w14:textId="416E49AB"/>
    <w:p w:rsidR="008C66F0" w:rsidP="52F1935E" w14:paraId="62CA0C08" w14:textId="77647358">
      <w:r>
        <w:t>Ultimately, this study will contribute to the understanding the burden of noise and ear-damaging chemical exposures and hearing loss and contributing factors among OGE workers; this understanding will allow for more effective prevention of disabling occupational injuries and illness.</w:t>
      </w:r>
    </w:p>
    <w:p w:rsidR="00C03A5A" w:rsidP="52F1935E" w14:paraId="479D9288" w14:textId="77777777">
      <w:pPr>
        <w:tabs>
          <w:tab w:val="left" w:pos="1160"/>
        </w:tabs>
      </w:pPr>
    </w:p>
    <w:p w:rsidR="00967AC1" w:rsidP="005F488F" w14:paraId="79CC2206" w14:textId="5C5DB2FC">
      <w:pPr>
        <w:pStyle w:val="ListParagraph"/>
        <w:numPr>
          <w:ilvl w:val="1"/>
          <w:numId w:val="15"/>
        </w:numPr>
        <w:tabs>
          <w:tab w:val="left" w:pos="1160"/>
        </w:tabs>
      </w:pPr>
      <w:r>
        <w:t>Privacy Impact Assessment</w:t>
      </w:r>
      <w:r w:rsidR="00C82D9E">
        <w:t xml:space="preserve"> (PIA)</w:t>
      </w:r>
    </w:p>
    <w:p w:rsidR="009E6E9C" w:rsidP="009E6E9C" w14:paraId="165D42C3" w14:textId="77777777">
      <w:pPr>
        <w:tabs>
          <w:tab w:val="left" w:pos="1160"/>
        </w:tabs>
      </w:pPr>
    </w:p>
    <w:p w:rsidR="009E6E9C" w:rsidP="009E6E9C" w14:paraId="12D6F947" w14:textId="64485009">
      <w:pPr>
        <w:tabs>
          <w:tab w:val="left" w:pos="1160"/>
        </w:tabs>
      </w:pPr>
      <w:r>
        <w:t>NIOSH proposes a one-time information collection using a questionnaire (Attachment C).  The questionnaire is based on validated questions</w:t>
      </w:r>
      <w:r w:rsidR="00D947B5">
        <w:t xml:space="preserve">, including </w:t>
      </w:r>
      <w:r>
        <w:t>from the National Health and Nutrition Examination Survey (NHANES) and the National Health Interview Survey (NHIS).  The questionnaire administration will be overseen by trained NIOSH staff onsite at well sites, temporary lodging facilities set up for OGE workers, contractor meeting site, and OGE training facilities.  Each participant will complete the questionnaire individually or with the assistance of a NIOSH investigator directly into an electronic tablet or by paper and pencil.  Responses will be transmitted into an encrypted CDC-owned laptop computer and deleted from the tablet.  All data collected will be maintained according to CDC record retention schedule and data security policies.</w:t>
      </w:r>
      <w:r w:rsidR="005F488F">
        <w:t xml:space="preserve"> </w:t>
      </w:r>
      <w:r w:rsidR="007918F3">
        <w:t xml:space="preserve">Existing PIAs </w:t>
      </w:r>
      <w:r w:rsidR="001D4806">
        <w:t xml:space="preserve">are in place </w:t>
      </w:r>
      <w:r w:rsidR="007918F3">
        <w:t xml:space="preserve">for </w:t>
      </w:r>
      <w:r w:rsidR="005E769A">
        <w:t>Research Electronic Data Capture (</w:t>
      </w:r>
      <w:r w:rsidR="007918F3">
        <w:t>REDCap</w:t>
      </w:r>
      <w:r w:rsidR="005E769A">
        <w:t>)</w:t>
      </w:r>
      <w:r w:rsidR="007918F3">
        <w:t xml:space="preserve"> </w:t>
      </w:r>
      <w:r w:rsidR="00825E21">
        <w:t>to be used for this proposed data collection</w:t>
      </w:r>
      <w:r w:rsidR="00AF7646">
        <w:t xml:space="preserve"> and</w:t>
      </w:r>
      <w:r w:rsidR="001D4806">
        <w:t xml:space="preserve"> for</w:t>
      </w:r>
      <w:r w:rsidR="00AF7646">
        <w:t xml:space="preserve"> the NIOSH Edge computing platform (NECP) </w:t>
      </w:r>
      <w:r w:rsidR="001D4806">
        <w:t>environment for storing, managing, and processing the data</w:t>
      </w:r>
      <w:r w:rsidR="00825E21">
        <w:t xml:space="preserve">. </w:t>
      </w:r>
    </w:p>
    <w:p w:rsidR="009E6E9C" w:rsidP="009E6E9C" w14:paraId="5C25C260" w14:textId="77777777">
      <w:pPr>
        <w:tabs>
          <w:tab w:val="left" w:pos="1160"/>
        </w:tabs>
      </w:pPr>
    </w:p>
    <w:p w:rsidR="009E6E9C" w:rsidP="009E6E9C" w14:paraId="2F9ED5D0" w14:textId="77777777">
      <w:pPr>
        <w:tabs>
          <w:tab w:val="left" w:pos="1160"/>
        </w:tabs>
      </w:pPr>
      <w:r>
        <w:t>Questionnaire data to be collected include:</w:t>
      </w:r>
    </w:p>
    <w:p w:rsidR="009E6E9C" w:rsidP="009E6E9C" w14:paraId="7B7D467B" w14:textId="77777777">
      <w:pPr>
        <w:tabs>
          <w:tab w:val="left" w:pos="1160"/>
        </w:tabs>
      </w:pPr>
      <w:r>
        <w:t>•</w:t>
      </w:r>
      <w:r>
        <w:tab/>
        <w:t xml:space="preserve">Demographic data </w:t>
      </w:r>
    </w:p>
    <w:p w:rsidR="009E6E9C" w:rsidP="009E6E9C" w14:paraId="1005C630" w14:textId="77777777">
      <w:pPr>
        <w:tabs>
          <w:tab w:val="left" w:pos="1160"/>
        </w:tabs>
      </w:pPr>
      <w:r>
        <w:t>•</w:t>
      </w:r>
      <w:r>
        <w:tab/>
        <w:t>Medical information</w:t>
      </w:r>
    </w:p>
    <w:p w:rsidR="009E6E9C" w:rsidP="009E6E9C" w14:paraId="4890C952" w14:textId="77777777">
      <w:pPr>
        <w:tabs>
          <w:tab w:val="left" w:pos="1160"/>
        </w:tabs>
      </w:pPr>
      <w:r>
        <w:t>•</w:t>
      </w:r>
      <w:r>
        <w:tab/>
        <w:t>Employment information</w:t>
      </w:r>
    </w:p>
    <w:p w:rsidR="009E6E9C" w:rsidP="009E6E9C" w14:paraId="75883D3B" w14:textId="77777777">
      <w:pPr>
        <w:tabs>
          <w:tab w:val="left" w:pos="1160"/>
        </w:tabs>
      </w:pPr>
      <w:r>
        <w:t>•</w:t>
      </w:r>
      <w:r>
        <w:tab/>
        <w:t>Noise and chemical exposure information</w:t>
      </w:r>
    </w:p>
    <w:p w:rsidR="009E6E9C" w:rsidP="009E6E9C" w14:paraId="06A1F699" w14:textId="77777777">
      <w:pPr>
        <w:tabs>
          <w:tab w:val="left" w:pos="1160"/>
        </w:tabs>
      </w:pPr>
      <w:r>
        <w:t>•</w:t>
      </w:r>
      <w:r>
        <w:tab/>
        <w:t>Smoking history</w:t>
      </w:r>
    </w:p>
    <w:p w:rsidR="009E6E9C" w:rsidP="009E6E9C" w14:paraId="0E7E104B" w14:textId="77777777">
      <w:pPr>
        <w:tabs>
          <w:tab w:val="left" w:pos="1160"/>
        </w:tabs>
      </w:pPr>
      <w:r>
        <w:t xml:space="preserve">  </w:t>
      </w:r>
    </w:p>
    <w:p w:rsidR="009E6E9C" w:rsidP="009E6E9C" w14:paraId="1543D661" w14:textId="69125304">
      <w:pPr>
        <w:tabs>
          <w:tab w:val="left" w:pos="1160"/>
        </w:tabs>
      </w:pPr>
      <w:r>
        <w:t xml:space="preserve">In addition to the collection of information in the questionnaire, the study includes personal exposure sampling (noise and ototoxic chemicals such as hexane, toluene, p-xylene, ethylbenzene, and lead) as well as audiometric testing. Participation is voluntary. The audiometric testing and personal air sampling will be conducted at separate times.  </w:t>
      </w:r>
    </w:p>
    <w:p w:rsidR="009E6E9C" w:rsidP="009E6E9C" w14:paraId="66840580" w14:textId="77777777">
      <w:pPr>
        <w:tabs>
          <w:tab w:val="left" w:pos="1160"/>
        </w:tabs>
      </w:pPr>
    </w:p>
    <w:p w:rsidR="009E6E9C" w:rsidP="009E6E9C" w14:paraId="71D3FD87" w14:textId="3AB0B891">
      <w:pPr>
        <w:tabs>
          <w:tab w:val="left" w:pos="1160"/>
        </w:tabs>
      </w:pPr>
      <w:r>
        <w:t xml:space="preserve">A recruitment letter will be sent to companies to solicit participation in the study (Attachment D). Workers will receive a study recruitment fact sheet that includes purpose of the study, how to participate, risks and benefits of participation, and the contact information for the primary investigator (Attachment E). To participate in the questionnaire, personal exposure sampling, </w:t>
      </w:r>
      <w:r w:rsidR="00FA184B">
        <w:t>and</w:t>
      </w:r>
      <w:r>
        <w:t xml:space="preserve"> audiometric testing, each employee will be required to review and sign an informed consent document with the assistance of NIOSH representative (Attachment F). Participants undergoing audiometric testing will be administered the Audiometry Data Capture Form (Attachment G)</w:t>
      </w:r>
      <w:r w:rsidR="00C17F8D">
        <w:t>.</w:t>
      </w:r>
      <w:r>
        <w:t xml:space="preserve"> NIOSH staff will keep track of the air, noise, and surface sampling information using log sheets (Attachment </w:t>
      </w:r>
      <w:r w:rsidR="00E06D5D">
        <w:t>H</w:t>
      </w:r>
      <w:r>
        <w:t xml:space="preserve">).  Participants who request personal air sampling results will receive letters with their personal air sampling results in a timely manner (Attachment </w:t>
      </w:r>
      <w:r w:rsidR="00221A9A">
        <w:t>I</w:t>
      </w:r>
      <w:r>
        <w:t xml:space="preserve">). Participants will receive letters with their personal audiogram results (Attachment </w:t>
      </w:r>
      <w:r w:rsidR="00221A9A">
        <w:t>J</w:t>
      </w:r>
      <w:r>
        <w:t>).</w:t>
      </w:r>
      <w:r w:rsidR="00D4612D">
        <w:t xml:space="preserve"> </w:t>
      </w:r>
    </w:p>
    <w:p w:rsidR="009E6E9C" w:rsidP="009E6E9C" w14:paraId="6CB211CF" w14:textId="77777777">
      <w:pPr>
        <w:tabs>
          <w:tab w:val="left" w:pos="1160"/>
        </w:tabs>
      </w:pPr>
    </w:p>
    <w:p w:rsidR="009E6E9C" w:rsidP="009E6E9C" w14:paraId="42C4738B" w14:textId="06623674">
      <w:pPr>
        <w:tabs>
          <w:tab w:val="left" w:pos="1160"/>
        </w:tabs>
      </w:pPr>
      <w:r>
        <w:t>This project does not involve any data collection, web-based or otherwise, with content directed at children under 13 years of age.</w:t>
      </w:r>
    </w:p>
    <w:p w:rsidR="009E6E9C" w:rsidP="009E6E9C" w14:paraId="0ECB19A6" w14:textId="77777777">
      <w:pPr>
        <w:tabs>
          <w:tab w:val="left" w:pos="1160"/>
        </w:tabs>
      </w:pPr>
    </w:p>
    <w:p w:rsidR="00A953D5" w:rsidP="00A953D5" w14:paraId="4496B198" w14:textId="375D034C">
      <w:pPr>
        <w:pStyle w:val="Heading1"/>
        <w:numPr>
          <w:ilvl w:val="0"/>
          <w:numId w:val="1"/>
        </w:numPr>
      </w:pPr>
      <w:bookmarkStart w:id="3" w:name="_Toc130908452"/>
      <w:r>
        <w:t>Purpose and Use of Information Collection</w:t>
      </w:r>
      <w:bookmarkEnd w:id="3"/>
    </w:p>
    <w:p w:rsidR="00A953D5" w:rsidRPr="003827A3" w:rsidP="00A953D5" w14:paraId="6427E67D" w14:textId="77777777"/>
    <w:p w:rsidR="00A953D5" w:rsidP="00A953D5" w14:paraId="69C2342E" w14:textId="7CDDB903">
      <w:r>
        <w:t xml:space="preserve">The information collected in this study will be used to prevent occupational hearing loss among OGE workers by generating understanding about noise and chemical exposures, and hearing loss experienced by workers in this industry. This study has three aims: collecting noise and </w:t>
      </w:r>
      <w:r w:rsidR="00C85A97">
        <w:t>ear-damaging (</w:t>
      </w:r>
      <w:r>
        <w:t>ototoxic</w:t>
      </w:r>
      <w:r w:rsidR="00C85A97">
        <w:t>)</w:t>
      </w:r>
      <w:r>
        <w:t xml:space="preserve"> chemical exposure measurements; evaluating exposure controls; and collecting self-reported information on hearing loss, job activities, perceived noise and chemical exposures, and other work-related characteristics. These data will be used to identify over exposures to noise and ototoxic toxic chemicals, identify factors or work characteristics that contribute to noise exposure or hearing loss in OGE. The </w:t>
      </w:r>
      <w:r>
        <w:t xml:space="preserve">analysis will be used to identify how exposures can be reduced and the burden of hearing loss and related health effects minimized for OGE workers. </w:t>
      </w:r>
    </w:p>
    <w:p w:rsidR="00CD2740" w:rsidRPr="003827A3" w:rsidP="00A953D5" w14:paraId="484CF1E4" w14:textId="77777777"/>
    <w:p w:rsidR="00A953D5" w:rsidP="00A953D5" w14:paraId="5A58C2B1" w14:textId="77777777">
      <w:pPr>
        <w:pStyle w:val="Heading1"/>
        <w:numPr>
          <w:ilvl w:val="0"/>
          <w:numId w:val="1"/>
        </w:numPr>
      </w:pPr>
      <w:bookmarkStart w:id="4" w:name="_Toc130908453"/>
      <w:r>
        <w:t>Use of Improved Information Technology and Burden Reduction</w:t>
      </w:r>
      <w:bookmarkEnd w:id="4"/>
    </w:p>
    <w:p w:rsidR="00A953D5" w:rsidRPr="003827A3" w:rsidP="00A953D5" w14:paraId="1A31F56B" w14:textId="77777777"/>
    <w:p w:rsidR="004E3A50" w:rsidP="00A953D5" w14:paraId="62D079AC" w14:textId="1B9DB69A">
      <w:r>
        <w:t xml:space="preserve">Participating OGE employees will </w:t>
      </w:r>
      <w:r w:rsidR="49D7BE85">
        <w:t xml:space="preserve">be offered to </w:t>
      </w:r>
      <w:r>
        <w:t xml:space="preserve">fill out a questionnaire (Attachment </w:t>
      </w:r>
      <w:r w:rsidR="001F1697">
        <w:t>C</w:t>
      </w:r>
      <w:r>
        <w:t>)</w:t>
      </w:r>
      <w:r w:rsidR="49D7BE85">
        <w:t xml:space="preserve"> via touchscreen electronic tabl</w:t>
      </w:r>
      <w:r w:rsidR="1CE13678">
        <w:t xml:space="preserve">et using </w:t>
      </w:r>
      <w:r w:rsidR="1CE13678">
        <w:t>R</w:t>
      </w:r>
      <w:r w:rsidR="00044FC8">
        <w:t>ED</w:t>
      </w:r>
      <w:r w:rsidR="1CE13678">
        <w:t>cap</w:t>
      </w:r>
      <w:r w:rsidR="1CE13678">
        <w:t xml:space="preserve">, </w:t>
      </w:r>
      <w:r w:rsidR="00F104B1">
        <w:t>on hardcopy</w:t>
      </w:r>
      <w:r w:rsidR="1CE13678">
        <w:t>, or the worker can choose to be verbally interviewed in a private location</w:t>
      </w:r>
      <w:r>
        <w:t>. Th</w:t>
      </w:r>
      <w:r w:rsidR="49D7BE85">
        <w:t>e touchscreen electronic tablet is the preferred</w:t>
      </w:r>
      <w:r>
        <w:t xml:space="preserve"> approach </w:t>
      </w:r>
      <w:r w:rsidR="49D7BE85">
        <w:t xml:space="preserve">as it will </w:t>
      </w:r>
      <w:r>
        <w:t xml:space="preserve">ensure accurate data collection and reduces burden to follow paper-based skip patterns.  </w:t>
      </w:r>
      <w:r w:rsidR="1CE13678">
        <w:t>Estimated time for questionnaire completion is approximately 17 minutes per participant. For workers who choose to be verbally interviewed, their responses will be entered directly into the tablets during the interview by the research staff. Data from each tablet will be downloaded to a secure CDC-owned laptop at the end of each day. All electronic data will be erased from the tablet using necessary software. Tablets will be password protected and kept in the possession of staff and in a locked box between questionnaire administration periods. Each questionnaire will have a unique identifier but no personal</w:t>
      </w:r>
      <w:r w:rsidR="008C416F">
        <w:t>ly</w:t>
      </w:r>
      <w:r w:rsidR="1CE13678">
        <w:t xml:space="preserve"> </w:t>
      </w:r>
      <w:r w:rsidR="0045447D">
        <w:t xml:space="preserve">identifiable </w:t>
      </w:r>
      <w:r w:rsidR="1CE13678">
        <w:t xml:space="preserve">information. Capturing data on tablets reduces the burden of post hoc data entry, as data will have already been captured in an electronic format. </w:t>
      </w:r>
    </w:p>
    <w:p w:rsidR="004E3A50" w:rsidP="00A953D5" w14:paraId="7E1E3232" w14:textId="77777777"/>
    <w:p w:rsidR="00A953D5" w:rsidRPr="003827A3" w:rsidP="00A953D5" w14:paraId="09A0B9AE" w14:textId="553EE91F">
      <w:r>
        <w:t>Some participants will be offered participation in audiometry, which requires a</w:t>
      </w:r>
      <w:r w:rsidR="0045447D">
        <w:t>n</w:t>
      </w:r>
      <w:r>
        <w:t xml:space="preserve"> </w:t>
      </w:r>
      <w:r w:rsidRPr="00D25F4C" w:rsidR="00D25F4C">
        <w:t>Audiometry Data Capture Form (Attachment G)</w:t>
      </w:r>
      <w:r>
        <w:t xml:space="preserve">. This form will be given in hardcopy to participants to facilitate onsite implementation of audiograms and secure collection of personal identifiable information. </w:t>
      </w:r>
    </w:p>
    <w:p w:rsidR="00A953D5" w:rsidP="00A953D5" w14:paraId="75FFF756" w14:textId="77777777">
      <w:pPr>
        <w:pStyle w:val="Heading1"/>
      </w:pPr>
      <w:bookmarkStart w:id="5" w:name="_Toc130908454"/>
      <w:r>
        <w:t>4. Efforts to Identify Duplication and Use of Similar Information</w:t>
      </w:r>
      <w:bookmarkEnd w:id="5"/>
    </w:p>
    <w:p w:rsidR="00A953D5" w:rsidP="00A953D5" w14:paraId="77C0A81B" w14:textId="77777777"/>
    <w:p w:rsidR="00A953D5" w:rsidRPr="00E24B92" w:rsidP="00A953D5" w14:paraId="34FE1C67" w14:textId="6485C81C">
      <w:pPr>
        <w:rPr>
          <w:highlight w:val="yellow"/>
        </w:rPr>
      </w:pPr>
      <w:r w:rsidRPr="0016416F">
        <w:t xml:space="preserve">The NIOSH OGE program has assessed a variety of exposures in the </w:t>
      </w:r>
      <w:r w:rsidR="004E3A50">
        <w:t>onshore</w:t>
      </w:r>
      <w:r w:rsidRPr="0016416F">
        <w:t xml:space="preserve"> OGE industry in the US. These exposures included re</w:t>
      </w:r>
      <w:r w:rsidRPr="00576A1F">
        <w:t xml:space="preserve">spirable crystalline silica, hydrocarbon gases and vapors, </w:t>
      </w:r>
      <w:r>
        <w:t xml:space="preserve">and </w:t>
      </w:r>
      <w:r w:rsidRPr="00576A1F">
        <w:t>diesel particulate matter</w:t>
      </w:r>
      <w:r>
        <w:t>. The program has yet to study noise exposure in the industry.</w:t>
      </w:r>
      <w:r w:rsidRPr="004E3A50" w:rsidR="004E3A50">
        <w:t xml:space="preserve"> NIOSH researchers have conducted comprehensive searches to identify available literature regarding </w:t>
      </w:r>
      <w:r w:rsidR="004E3A50">
        <w:t>hearing loss</w:t>
      </w:r>
      <w:r w:rsidRPr="004E3A50" w:rsidR="004E3A50">
        <w:t xml:space="preserve"> information and </w:t>
      </w:r>
      <w:r w:rsidR="004E3A50">
        <w:t>occupational noise and ototoxic chemical exposure</w:t>
      </w:r>
      <w:r w:rsidRPr="004E3A50" w:rsidR="004E3A50">
        <w:t xml:space="preserve"> for</w:t>
      </w:r>
      <w:r w:rsidR="004E3A50">
        <w:t xml:space="preserve"> onshore</w:t>
      </w:r>
      <w:r w:rsidRPr="004E3A50" w:rsidR="004E3A50">
        <w:t xml:space="preserve"> </w:t>
      </w:r>
      <w:r w:rsidR="004E3A50">
        <w:t xml:space="preserve">oil and gas </w:t>
      </w:r>
      <w:r w:rsidRPr="004E3A50" w:rsidR="004E3A50">
        <w:t>industry workers</w:t>
      </w:r>
      <w:r w:rsidR="00BE3F2A">
        <w:t>.</w:t>
      </w:r>
      <w:r>
        <w:t xml:space="preserve"> </w:t>
      </w:r>
      <w:r w:rsidRPr="00BE2541">
        <w:t>The information that would be collected by this study is not available for US OGE workers</w:t>
      </w:r>
      <w:r>
        <w:t xml:space="preserve"> neither within nor external to NIOSH, based on literature reviews and from information provided by sector and occupational health and safety experts. NIOSH is positioned to conduct this study in the OGE industry due to its history and established relationships within the sector. </w:t>
      </w:r>
    </w:p>
    <w:p w:rsidR="00A953D5" w:rsidP="00A953D5" w14:paraId="13947A5B" w14:textId="77777777">
      <w:pPr>
        <w:pStyle w:val="Heading1"/>
      </w:pPr>
      <w:bookmarkStart w:id="6" w:name="_Toc130908455"/>
      <w:r>
        <w:t>5. Impact on Small Businesses or Other Small Entities</w:t>
      </w:r>
      <w:bookmarkEnd w:id="6"/>
    </w:p>
    <w:p w:rsidR="00A953D5" w:rsidRPr="003827A3" w:rsidP="00A953D5" w14:paraId="4226ADDB" w14:textId="77777777"/>
    <w:p w:rsidR="000E31BB" w:rsidP="00A953D5" w14:paraId="0F71E0E6" w14:textId="1D5CF808">
      <w:r>
        <w:t>Businesses in the OGE industry will be asked to participate regardless of their size.</w:t>
      </w:r>
      <w:r w:rsidRPr="004E3A50" w:rsidR="004E3A50">
        <w:t xml:space="preserve"> Some of these entities which would grant permission to evaluate their workers may be small businesses.</w:t>
      </w:r>
      <w:r>
        <w:t xml:space="preserve"> The duration of the questionnaire and participation in exposure assessment is not expected to impact the participating businesses. </w:t>
      </w:r>
      <w:r w:rsidRPr="004E3A50" w:rsidR="004E3A50">
        <w:t xml:space="preserve">The number of questions </w:t>
      </w:r>
      <w:r w:rsidR="004E3A50">
        <w:t xml:space="preserve">on the questionnaire </w:t>
      </w:r>
      <w:r w:rsidRPr="004E3A50" w:rsidR="004E3A50">
        <w:t xml:space="preserve">have been </w:t>
      </w:r>
      <w:r w:rsidR="00193A3A">
        <w:t xml:space="preserve">held to the </w:t>
      </w:r>
      <w:r w:rsidRPr="004E3A50" w:rsidR="004E3A50">
        <w:t>minimum</w:t>
      </w:r>
      <w:r w:rsidR="00193A3A">
        <w:t xml:space="preserve"> to meet study aims.</w:t>
      </w:r>
      <w:r w:rsidRPr="004E3A50" w:rsidR="004E3A50">
        <w:t xml:space="preserve"> </w:t>
      </w:r>
      <w:r w:rsidR="00193A3A">
        <w:t xml:space="preserve">They </w:t>
      </w:r>
      <w:r w:rsidRPr="004E3A50" w:rsidR="004E3A50">
        <w:t xml:space="preserve">include only what are considered essential topics and the length of the survey </w:t>
      </w:r>
      <w:r w:rsidR="00193A3A">
        <w:t>was</w:t>
      </w:r>
      <w:r w:rsidRPr="004E3A50" w:rsidR="004E3A50">
        <w:t xml:space="preserve"> kept as short as possible. Survey questions that are not applicable to the respondent are skipped. Participation in the survey is voluntary and conducted at a time convenient for the participant as well as the business</w:t>
      </w:r>
      <w:r w:rsidR="00193A3A">
        <w:t>,</w:t>
      </w:r>
      <w:r w:rsidRPr="004E3A50" w:rsidR="004E3A50">
        <w:t xml:space="preserve"> which would allow the worker time to complete the questionnaire.</w:t>
      </w:r>
      <w:r w:rsidR="003237C4">
        <w:t xml:space="preserve"> </w:t>
      </w:r>
    </w:p>
    <w:p w:rsidR="000E31BB" w:rsidP="00A953D5" w14:paraId="4CA3B75D" w14:textId="77777777"/>
    <w:p w:rsidR="00A953D5" w:rsidRPr="003827A3" w:rsidP="00A953D5" w14:paraId="60E87842" w14:textId="7DDFCF78">
      <w:r>
        <w:t>Exposure monitoring</w:t>
      </w:r>
      <w:r w:rsidR="000E31BB">
        <w:t xml:space="preserve"> for noise and chemicals </w:t>
      </w:r>
      <w:r w:rsidR="00AC2D81">
        <w:t xml:space="preserve">for workers is not expected to negatively impact </w:t>
      </w:r>
      <w:r w:rsidR="004812C4">
        <w:t>business operations.</w:t>
      </w:r>
      <w:r w:rsidR="00B35D2D">
        <w:t xml:space="preserve"> Additionally, there may be benefits for participating companies.</w:t>
      </w:r>
      <w:r w:rsidR="004812C4">
        <w:t xml:space="preserve"> The information provided </w:t>
      </w:r>
      <w:r w:rsidR="004812C4">
        <w:t xml:space="preserve">back to </w:t>
      </w:r>
      <w:r w:rsidR="009C5E68">
        <w:t>participating companies is valuable information that can be used to maintain or improve a healthy and safe workplace</w:t>
      </w:r>
      <w:r w:rsidR="002C5423">
        <w:t xml:space="preserve"> and reduce the impact of work-related injury and illness</w:t>
      </w:r>
      <w:r w:rsidR="00114169">
        <w:t xml:space="preserve">. </w:t>
      </w:r>
    </w:p>
    <w:p w:rsidR="00A953D5" w:rsidP="00A953D5" w14:paraId="515A63AD" w14:textId="77777777">
      <w:pPr>
        <w:pStyle w:val="Heading1"/>
      </w:pPr>
      <w:bookmarkStart w:id="7" w:name="_Toc130908456"/>
      <w:r>
        <w:t>6. Consequences of Collecting the Information Less Frequently</w:t>
      </w:r>
      <w:bookmarkEnd w:id="7"/>
    </w:p>
    <w:p w:rsidR="00A953D5" w:rsidP="00A953D5" w14:paraId="13AECCAD" w14:textId="77777777"/>
    <w:p w:rsidR="00A953D5" w:rsidRPr="003827A3" w:rsidP="00A953D5" w14:paraId="33EEC0BF" w14:textId="3D5A47E1">
      <w:r>
        <w:t xml:space="preserve">This request is for a one-time data collection from each participant. Less frequent would not allow the information to be captured. </w:t>
      </w:r>
      <w:r w:rsidR="004E3A50">
        <w:t>If this data collection does not take place, industry leaders and federal programs will not be able to make evidence-based decisions regarding the safety and health concerns of upstream oil and gas industry workers</w:t>
      </w:r>
      <w:r w:rsidR="001F1697">
        <w:t xml:space="preserve"> as it pertains to noise and ototoxic chemical exposure and hearing loss prevention</w:t>
      </w:r>
      <w:r w:rsidR="004E3A50">
        <w:t>. Additionally, this data collection will inform NIOSH’s research agenda by aiding in prioritization of research activities and resources. There are no legal or technical obstacles to reduce the burden as this is a one-time data collection.</w:t>
      </w:r>
    </w:p>
    <w:p w:rsidR="00A953D5" w:rsidP="00A953D5" w14:paraId="69652631" w14:textId="77777777">
      <w:pPr>
        <w:pStyle w:val="Heading1"/>
      </w:pPr>
      <w:bookmarkStart w:id="8" w:name="_Toc130908457"/>
      <w:r>
        <w:t>7. Special Circumstances Relating to the Guidelines of 5 CFR 1320.5</w:t>
      </w:r>
      <w:bookmarkEnd w:id="8"/>
    </w:p>
    <w:p w:rsidR="00A953D5" w:rsidRPr="003827A3" w:rsidP="00A953D5" w14:paraId="68771897" w14:textId="77777777"/>
    <w:p w:rsidR="00A953D5" w:rsidRPr="003827A3" w:rsidP="00A953D5" w14:paraId="3BF73D2F" w14:textId="5004257E">
      <w:r>
        <w:t xml:space="preserve">This information will be collected in accordance </w:t>
      </w:r>
      <w:r w:rsidR="0017274F">
        <w:t>with</w:t>
      </w:r>
      <w:r>
        <w:t xml:space="preserve"> the regulations outlined in 5 CFR 1320.5. </w:t>
      </w:r>
    </w:p>
    <w:p w:rsidR="00A953D5" w:rsidP="00A953D5" w14:paraId="16F3163C" w14:textId="77777777">
      <w:pPr>
        <w:pStyle w:val="Heading1"/>
      </w:pPr>
      <w:bookmarkStart w:id="9" w:name="_Toc130908458"/>
      <w:r>
        <w:t>8. Comments in Response to the Federal Register Notice and Efforts to Consult Outside the Agency</w:t>
      </w:r>
      <w:bookmarkEnd w:id="9"/>
    </w:p>
    <w:p w:rsidR="00A953D5" w:rsidP="00A953D5" w14:paraId="06A8AD54" w14:textId="77777777"/>
    <w:p w:rsidR="006E405D" w:rsidP="00332EE1" w14:paraId="01338F1B" w14:textId="35F0C538">
      <w:pPr>
        <w:pStyle w:val="ListParagraph"/>
        <w:numPr>
          <w:ilvl w:val="0"/>
          <w:numId w:val="13"/>
        </w:numPr>
      </w:pPr>
      <w:r>
        <w:t>A</w:t>
      </w:r>
      <w:r w:rsidR="007F37FE">
        <w:t xml:space="preserve"> 60-day Federal Register Notice was published</w:t>
      </w:r>
      <w:r>
        <w:t xml:space="preserve"> in the </w:t>
      </w:r>
      <w:r w:rsidRPr="00C41890">
        <w:rPr>
          <w:i/>
          <w:iCs/>
        </w:rPr>
        <w:t>Federal Register</w:t>
      </w:r>
      <w:r w:rsidR="007F37FE">
        <w:t xml:space="preserve"> on </w:t>
      </w:r>
      <w:r w:rsidR="00A46BEE">
        <w:t xml:space="preserve">Friday, </w:t>
      </w:r>
      <w:r w:rsidR="00EF2871">
        <w:t>May</w:t>
      </w:r>
      <w:r w:rsidR="00777225">
        <w:t xml:space="preserve"> 1</w:t>
      </w:r>
      <w:r w:rsidR="00EF2871">
        <w:t>2</w:t>
      </w:r>
      <w:r w:rsidR="00777225">
        <w:t>, 202</w:t>
      </w:r>
      <w:r w:rsidR="00EF2871">
        <w:t>3</w:t>
      </w:r>
      <w:r w:rsidR="007F37FE">
        <w:t xml:space="preserve">, Vol. </w:t>
      </w:r>
      <w:r w:rsidR="00A46BEE">
        <w:t>8</w:t>
      </w:r>
      <w:r w:rsidR="00EF2871">
        <w:t>8</w:t>
      </w:r>
      <w:r w:rsidR="007F37FE">
        <w:t xml:space="preserve">, No. </w:t>
      </w:r>
      <w:r w:rsidR="00EF2871">
        <w:t>30750</w:t>
      </w:r>
      <w:r w:rsidR="008D334E">
        <w:t xml:space="preserve"> page</w:t>
      </w:r>
      <w:r w:rsidR="00F2242D">
        <w:t xml:space="preserve">s </w:t>
      </w:r>
      <w:r w:rsidRPr="00EF2871" w:rsidR="00EF2871">
        <w:t>30750-30751</w:t>
      </w:r>
      <w:r w:rsidR="00F2242D">
        <w:t xml:space="preserve">. </w:t>
      </w:r>
      <w:r w:rsidR="007F37FE">
        <w:t>(Attachment B).</w:t>
      </w:r>
      <w:r w:rsidR="00A46BEE">
        <w:t xml:space="preserve"> </w:t>
      </w:r>
    </w:p>
    <w:p w:rsidR="00F0121D" w:rsidRPr="00F0121D" w:rsidP="006E405D" w14:paraId="2985700C" w14:textId="1EFD599B">
      <w:pPr>
        <w:pStyle w:val="ListParagraph"/>
        <w:rPr>
          <w:highlight w:val="yellow"/>
        </w:rPr>
      </w:pPr>
    </w:p>
    <w:p w:rsidR="00F0121D" w:rsidRPr="00332EE1" w:rsidP="00332EE1" w14:paraId="22084781" w14:textId="4BAC34E2">
      <w:pPr>
        <w:pStyle w:val="ListParagraph"/>
      </w:pPr>
      <w:r w:rsidRPr="00332EE1">
        <w:t xml:space="preserve">CDC did not receive public comments related to this notice. </w:t>
      </w:r>
    </w:p>
    <w:p w:rsidR="00474B79" w:rsidP="007F37FE" w14:paraId="533C2115" w14:textId="77777777"/>
    <w:p w:rsidR="00C3524A" w:rsidP="00873670" w14:paraId="49737472" w14:textId="498B0583">
      <w:pPr>
        <w:pStyle w:val="ListParagraph"/>
        <w:numPr>
          <w:ilvl w:val="0"/>
          <w:numId w:val="13"/>
        </w:numPr>
      </w:pPr>
      <w:r>
        <w:t>We consulted with several experts on the topic of ototoxicity</w:t>
      </w:r>
      <w:r w:rsidR="008A6CCB">
        <w:t xml:space="preserve"> and surveys related to noise and chemical exposure, and hearing loss</w:t>
      </w:r>
      <w:r w:rsidR="00F32E05">
        <w:t xml:space="preserve">, </w:t>
      </w:r>
      <w:r w:rsidR="00323E7B">
        <w:t xml:space="preserve">within and external to CDC. </w:t>
      </w:r>
      <w:r w:rsidR="00F32E05">
        <w:t xml:space="preserve"> </w:t>
      </w:r>
      <w:r w:rsidR="002C296E">
        <w:t xml:space="preserve">There were no issues with data collection tools, methods, or frequency that were unable to be resolved through this consultation. </w:t>
      </w:r>
    </w:p>
    <w:p w:rsidR="00C3524A" w:rsidP="00C3524A" w14:paraId="58814FE4" w14:textId="77777777">
      <w:pPr>
        <w:pStyle w:val="ListParagraph"/>
      </w:pPr>
    </w:p>
    <w:p w:rsidR="00DB781B" w:rsidP="008E6062" w14:paraId="7B792E69" w14:textId="5AC11568">
      <w:r>
        <w:t>Dr.</w:t>
      </w:r>
      <w:r w:rsidR="000A23F7">
        <w:t xml:space="preserve"> </w:t>
      </w:r>
      <w:r>
        <w:t>Lisa L. Hunter, PhD, FAAA</w:t>
      </w:r>
      <w:r w:rsidR="00CA5315">
        <w:t xml:space="preserve">. She is the </w:t>
      </w:r>
      <w:r w:rsidR="00C3524A">
        <w:t>S</w:t>
      </w:r>
      <w:r>
        <w:t xml:space="preserve">cientific Director of Research at Cincinnati Children’s Hospital and </w:t>
      </w:r>
      <w:r w:rsidR="00285C73">
        <w:t xml:space="preserve">has expertise in </w:t>
      </w:r>
      <w:r>
        <w:t>ototoxic</w:t>
      </w:r>
      <w:r w:rsidR="00285C73">
        <w:t xml:space="preserve"> medications</w:t>
      </w:r>
      <w:r>
        <w:t xml:space="preserve">. </w:t>
      </w:r>
      <w:r w:rsidR="007C01F9">
        <w:t xml:space="preserve">She was consulted in 2022. </w:t>
      </w:r>
      <w:r>
        <w:t xml:space="preserve">Phone number: </w:t>
      </w:r>
      <w:r w:rsidRPr="00DB781B">
        <w:t>(513) 803-0532</w:t>
      </w:r>
      <w:r w:rsidR="00C267C1">
        <w:t xml:space="preserve">; </w:t>
      </w:r>
      <w:r>
        <w:t xml:space="preserve">E-mail address: </w:t>
      </w:r>
      <w:r w:rsidRPr="004A4DB5" w:rsidR="004A4DB5">
        <w:t>lisa.hunter@cchmc.org</w:t>
      </w:r>
    </w:p>
    <w:p w:rsidR="00C124B7" w:rsidP="007F37FE" w14:paraId="4435B261" w14:textId="0D7DE85F"/>
    <w:p w:rsidR="00A5663E" w:rsidP="00C267C1" w14:paraId="46A36F7C" w14:textId="3E81BAB3">
      <w:r>
        <w:t xml:space="preserve">Dr. Emily Mosites, </w:t>
      </w:r>
      <w:r w:rsidR="00FD378B">
        <w:t>PhD</w:t>
      </w:r>
      <w:r w:rsidR="007C2F78">
        <w:t>.</w:t>
      </w:r>
      <w:r w:rsidR="00ED46F3">
        <w:t xml:space="preserve"> She is an epidemiologist and senior advisor in CDC’s </w:t>
      </w:r>
      <w:r w:rsidRPr="00940924" w:rsidR="00940924">
        <w:t>Division of Developmental and Intellectual Disabilities</w:t>
      </w:r>
      <w:r w:rsidR="00940924">
        <w:t xml:space="preserve">. She provided a data collection tool and related </w:t>
      </w:r>
      <w:r w:rsidR="0051332E">
        <w:t xml:space="preserve">information </w:t>
      </w:r>
      <w:r w:rsidR="00940924">
        <w:t xml:space="preserve">that had been used to </w:t>
      </w:r>
      <w:r w:rsidR="00183D7C">
        <w:t>collect data on use of ototoxic medications</w:t>
      </w:r>
      <w:r w:rsidR="00C267C1">
        <w:t xml:space="preserve"> during her graduate work</w:t>
      </w:r>
      <w:r w:rsidR="00183D7C">
        <w:t xml:space="preserve">. She was consulted in 2021. </w:t>
      </w:r>
      <w:r w:rsidR="00DB358D">
        <w:t xml:space="preserve">Phone number: </w:t>
      </w:r>
      <w:r>
        <w:t>(</w:t>
      </w:r>
      <w:r w:rsidRPr="00A5663E">
        <w:t>907</w:t>
      </w:r>
      <w:r>
        <w:t xml:space="preserve">) </w:t>
      </w:r>
      <w:r w:rsidRPr="00A5663E">
        <w:t>346</w:t>
      </w:r>
      <w:r>
        <w:t>-</w:t>
      </w:r>
      <w:r w:rsidRPr="00A5663E">
        <w:t>0570</w:t>
      </w:r>
      <w:r w:rsidR="00C267C1">
        <w:t xml:space="preserve">; </w:t>
      </w:r>
      <w:r>
        <w:t xml:space="preserve">E-mail address: </w:t>
      </w:r>
      <w:r w:rsidRPr="00961194" w:rsidR="008E6062">
        <w:t>lwx@cdc.gov</w:t>
      </w:r>
    </w:p>
    <w:p w:rsidR="00DF0737" w:rsidP="00C267C1" w14:paraId="6F15C97C" w14:textId="1416325E"/>
    <w:p w:rsidR="00DF0737" w:rsidP="00C267C1" w14:paraId="629A437A" w14:textId="07045269">
      <w:r>
        <w:t xml:space="preserve">The following consultants provide ongoing feedback on the </w:t>
      </w:r>
      <w:r w:rsidR="003C621B">
        <w:t>data collection tools and methods</w:t>
      </w:r>
      <w:r w:rsidR="004401EA">
        <w:t xml:space="preserve"> </w:t>
      </w:r>
      <w:r w:rsidR="003C621B">
        <w:t>with the latest</w:t>
      </w:r>
      <w:r w:rsidR="004401EA">
        <w:t xml:space="preserve"> consultation</w:t>
      </w:r>
      <w:r w:rsidR="003C621B">
        <w:t xml:space="preserve"> </w:t>
      </w:r>
      <w:r w:rsidR="004401EA">
        <w:t xml:space="preserve">in 2022. </w:t>
      </w:r>
    </w:p>
    <w:p w:rsidR="00C267C1" w:rsidP="00C267C1" w14:paraId="45A1755F" w14:textId="77777777"/>
    <w:p w:rsidR="00C267C1" w:rsidP="00C267C1" w14:paraId="0B31C4B8" w14:textId="702443A0">
      <w:r>
        <w:t xml:space="preserve">Dr. </w:t>
      </w:r>
      <w:r w:rsidR="002E58B1">
        <w:t>Thais Morata, PhD</w:t>
      </w:r>
      <w:r w:rsidR="00055B16">
        <w:t>. She is a</w:t>
      </w:r>
      <w:r w:rsidR="00BA4347">
        <w:t xml:space="preserve"> senior research audiologist with </w:t>
      </w:r>
      <w:r w:rsidR="00CC5DBD">
        <w:t xml:space="preserve">the </w:t>
      </w:r>
      <w:r w:rsidR="00BA4347">
        <w:t>NIOSH</w:t>
      </w:r>
      <w:r w:rsidR="00365A73">
        <w:t xml:space="preserve"> </w:t>
      </w:r>
      <w:r w:rsidRPr="00CC5DBD" w:rsidR="00CC5DBD">
        <w:t xml:space="preserve">Division of Field Studies and Engineering </w:t>
      </w:r>
      <w:r w:rsidR="00365A73">
        <w:t xml:space="preserve">and </w:t>
      </w:r>
      <w:r w:rsidR="0007741A">
        <w:t>a c</w:t>
      </w:r>
      <w:r w:rsidRPr="0007741A" w:rsidR="0007741A">
        <w:t>o-</w:t>
      </w:r>
      <w:r w:rsidR="0007741A">
        <w:t>c</w:t>
      </w:r>
      <w:r w:rsidRPr="0007741A" w:rsidR="0007741A">
        <w:t>oordinator for the NIOSH Hearing Loss Prevention Cross-Sector Program</w:t>
      </w:r>
      <w:r w:rsidR="00BA4347">
        <w:t>. She has</w:t>
      </w:r>
      <w:r w:rsidR="00055B16">
        <w:t xml:space="preserve"> expert</w:t>
      </w:r>
      <w:r w:rsidR="00BA4347">
        <w:t>ise</w:t>
      </w:r>
      <w:r w:rsidR="00055B16">
        <w:t xml:space="preserve"> in </w:t>
      </w:r>
      <w:r w:rsidR="00055B16">
        <w:t>otoxicity</w:t>
      </w:r>
      <w:r w:rsidR="00055B16">
        <w:t xml:space="preserve"> and reviewed</w:t>
      </w:r>
      <w:r w:rsidR="00BA4347">
        <w:t xml:space="preserve"> and assisted in the development of</w:t>
      </w:r>
      <w:r w:rsidR="00055B16">
        <w:t xml:space="preserve"> data collection methods and tools</w:t>
      </w:r>
      <w:r w:rsidR="00BA4347">
        <w:t xml:space="preserve"> for this pro</w:t>
      </w:r>
      <w:r w:rsidR="004401EA">
        <w:t xml:space="preserve">ject. </w:t>
      </w:r>
      <w:r w:rsidR="00044E26">
        <w:t>Phone number: (</w:t>
      </w:r>
      <w:r w:rsidR="00D56550">
        <w:t>513</w:t>
      </w:r>
      <w:r w:rsidR="00044E26">
        <w:t xml:space="preserve">) </w:t>
      </w:r>
      <w:r w:rsidR="00D56550">
        <w:t>533-8487</w:t>
      </w:r>
      <w:r w:rsidR="00044E26">
        <w:t xml:space="preserve">; E-mail address: </w:t>
      </w:r>
      <w:r w:rsidRPr="00961194" w:rsidR="008E6062">
        <w:t>tcm2@cdc.gov</w:t>
      </w:r>
      <w:r w:rsidR="00746FC0">
        <w:t xml:space="preserve">. </w:t>
      </w:r>
    </w:p>
    <w:p w:rsidR="00055B16" w:rsidP="00C267C1" w14:paraId="6BD059C7" w14:textId="77777777"/>
    <w:p w:rsidR="00510DF1" w:rsidP="00C267C1" w14:paraId="54B151F1" w14:textId="433E2182">
      <w:r>
        <w:t>Ms.</w:t>
      </w:r>
      <w:r w:rsidR="00C267C1">
        <w:t xml:space="preserve"> Christ</w:t>
      </w:r>
      <w:r>
        <w:t>a</w:t>
      </w:r>
      <w:r w:rsidR="00C267C1">
        <w:t xml:space="preserve"> Themann</w:t>
      </w:r>
      <w:r>
        <w:t xml:space="preserve">, MA, CCC-A. She </w:t>
      </w:r>
      <w:r w:rsidR="00961194">
        <w:t>is a</w:t>
      </w:r>
      <w:r w:rsidR="00DA51B2">
        <w:t xml:space="preserve"> Research Audiologist with the NIOSH</w:t>
      </w:r>
      <w:r w:rsidRPr="00CC5DBD" w:rsidR="00CC5DBD">
        <w:t xml:space="preserve"> Division of Field Studies and Engineering</w:t>
      </w:r>
      <w:r w:rsidR="00DA51B2">
        <w:t>. She</w:t>
      </w:r>
      <w:r w:rsidR="00961194">
        <w:t xml:space="preserve"> </w:t>
      </w:r>
      <w:r w:rsidR="00FC1F5C">
        <w:t>has</w:t>
      </w:r>
      <w:r w:rsidR="0007741A">
        <w:t xml:space="preserve"> expertise in </w:t>
      </w:r>
      <w:r w:rsidR="00B736EB">
        <w:t>hearing loss surveillance</w:t>
      </w:r>
      <w:r w:rsidR="00EC1D73">
        <w:t xml:space="preserve"> and provided consultation during questionnaire development. </w:t>
      </w:r>
      <w:r>
        <w:t xml:space="preserve">Phone number: (513) 533-8485; E-mail address: </w:t>
      </w:r>
      <w:r w:rsidRPr="008E6062" w:rsidR="008E6062">
        <w:t>clt6@cdc.gov</w:t>
      </w:r>
      <w:r>
        <w:t>.</w:t>
      </w:r>
    </w:p>
    <w:p w:rsidR="00C267C1" w:rsidP="00C267C1" w14:paraId="3ACE2C11" w14:textId="77777777"/>
    <w:p w:rsidR="00510DF1" w:rsidP="00C267C1" w14:paraId="637ACCEC" w14:textId="0109DEC9">
      <w:r>
        <w:t xml:space="preserve">Dr. </w:t>
      </w:r>
      <w:r w:rsidR="00FC4D1B">
        <w:t>Elizabeth Masterson</w:t>
      </w:r>
      <w:r w:rsidR="002E58B1">
        <w:t>, PhD, CPH, COHC</w:t>
      </w:r>
      <w:r w:rsidR="001A6647">
        <w:t xml:space="preserve">. </w:t>
      </w:r>
      <w:r w:rsidR="002E58B1">
        <w:t>She is an epidemiologist</w:t>
      </w:r>
      <w:r w:rsidRPr="00CC5DBD" w:rsidR="00CC5DBD">
        <w:t xml:space="preserve"> </w:t>
      </w:r>
      <w:r w:rsidR="00CC5DBD">
        <w:t xml:space="preserve">in the NIOSH </w:t>
      </w:r>
      <w:r w:rsidRPr="00CC5DBD" w:rsidR="00CC5DBD">
        <w:t>Division of Field Studies and Engineering</w:t>
      </w:r>
      <w:r w:rsidR="002E58B1">
        <w:t xml:space="preserve"> </w:t>
      </w:r>
      <w:r w:rsidR="00EC1D73">
        <w:t>and a c</w:t>
      </w:r>
      <w:r w:rsidRPr="0007741A" w:rsidR="00EC1D73">
        <w:t>o-</w:t>
      </w:r>
      <w:r w:rsidR="00EC1D73">
        <w:t>c</w:t>
      </w:r>
      <w:r w:rsidRPr="0007741A" w:rsidR="00EC1D73">
        <w:t>oordinator for the NIOSH Hearing Loss Prevention Cross-Sector Program</w:t>
      </w:r>
      <w:r w:rsidR="00EC1D73">
        <w:t xml:space="preserve"> </w:t>
      </w:r>
      <w:r w:rsidR="002E58B1">
        <w:t xml:space="preserve">with expertise in hearing loss </w:t>
      </w:r>
      <w:r w:rsidR="000F6462">
        <w:t>epidemiology</w:t>
      </w:r>
      <w:r w:rsidR="00055B16">
        <w:t xml:space="preserve"> with NIOSH. </w:t>
      </w:r>
      <w:r w:rsidR="00627776">
        <w:t xml:space="preserve">She provided expertise </w:t>
      </w:r>
      <w:r w:rsidR="006048E5">
        <w:t xml:space="preserve">during questionnaire development. </w:t>
      </w:r>
      <w:r>
        <w:t xml:space="preserve">Phone number: (513) </w:t>
      </w:r>
      <w:r w:rsidR="001A6647">
        <w:t>841</w:t>
      </w:r>
      <w:r>
        <w:t>-</w:t>
      </w:r>
      <w:r w:rsidR="001A6647">
        <w:t>4291</w:t>
      </w:r>
      <w:r>
        <w:t xml:space="preserve">; E-mail address: </w:t>
      </w:r>
      <w:r w:rsidRPr="008E6062" w:rsidR="008E6062">
        <w:t>efm3@cdc.gov</w:t>
      </w:r>
      <w:r>
        <w:t>.</w:t>
      </w:r>
    </w:p>
    <w:p w:rsidR="00D435E3" w:rsidP="00C267C1" w14:paraId="15A85308" w14:textId="77777777"/>
    <w:p w:rsidR="001A6647" w:rsidP="00C267C1" w14:paraId="6B1D3F0D" w14:textId="1448F862">
      <w:r>
        <w:t>CAPT</w:t>
      </w:r>
      <w:r>
        <w:t xml:space="preserve"> Ch</w:t>
      </w:r>
      <w:r w:rsidR="0040453B">
        <w:t>ucri (Chuck) Kardous</w:t>
      </w:r>
      <w:r>
        <w:t>, MS, PE</w:t>
      </w:r>
      <w:r w:rsidR="00D435E3">
        <w:t xml:space="preserve"> </w:t>
      </w:r>
      <w:r w:rsidR="004F08A3">
        <w:t xml:space="preserve">is a research engineer with </w:t>
      </w:r>
      <w:r w:rsidR="00CC5DBD">
        <w:t xml:space="preserve">the </w:t>
      </w:r>
      <w:r w:rsidR="004F08A3">
        <w:t>NIOSH</w:t>
      </w:r>
      <w:r w:rsidRPr="00CC5DBD" w:rsidR="00CC5DBD">
        <w:t xml:space="preserve"> Division of Field Studies and Engineering</w:t>
      </w:r>
      <w:r w:rsidR="006048E5">
        <w:t xml:space="preserve"> and is an expert in the collection of noise exposure measurements. Phone number: (513) </w:t>
      </w:r>
      <w:r w:rsidR="00386897">
        <w:t>533</w:t>
      </w:r>
      <w:r w:rsidR="006048E5">
        <w:t>-</w:t>
      </w:r>
      <w:r w:rsidR="0037750B">
        <w:t>8146</w:t>
      </w:r>
      <w:r w:rsidR="006048E5">
        <w:t xml:space="preserve">; E-mail address: </w:t>
      </w:r>
      <w:r w:rsidRPr="008E6062" w:rsidR="008E6062">
        <w:t>cyk5@cdc.gov</w:t>
      </w:r>
      <w:r w:rsidR="006048E5">
        <w:t>.</w:t>
      </w:r>
    </w:p>
    <w:p w:rsidR="00825E21" w:rsidRPr="009D5200" w:rsidP="00C267C1" w14:paraId="2132160F" w14:textId="77777777"/>
    <w:p w:rsidR="00D013EE" w:rsidRPr="009D5200" w:rsidP="00D013EE" w14:paraId="51C8EE52" w14:textId="4E6D7C93">
      <w:pPr>
        <w:textAlignment w:val="baseline"/>
      </w:pPr>
      <w:r w:rsidRPr="009D5200">
        <w:t xml:space="preserve">Eric Esswein, MSPH, CIH is an </w:t>
      </w:r>
      <w:r w:rsidRPr="009D5200" w:rsidR="00D12375">
        <w:t>i</w:t>
      </w:r>
      <w:r w:rsidRPr="009D5200">
        <w:t xml:space="preserve">ndustrial </w:t>
      </w:r>
      <w:r w:rsidRPr="009D5200" w:rsidR="00D12375">
        <w:t>h</w:t>
      </w:r>
      <w:r w:rsidRPr="009D5200">
        <w:t xml:space="preserve">ygienist contracted by </w:t>
      </w:r>
      <w:r w:rsidRPr="009D5200" w:rsidR="00647B06">
        <w:t xml:space="preserve">the NIOSH Western States Division. He </w:t>
      </w:r>
      <w:r w:rsidRPr="009D5200" w:rsidR="003111C0">
        <w:t xml:space="preserve">reviewed the data collection instrument and provided expertise on OGE operations. Phone number: 303-236-5946; E-mail address: </w:t>
      </w:r>
      <w:hyperlink r:id="rId5" w:tgtFrame="_blank" w:history="1">
        <w:r w:rsidRPr="009D5200">
          <w:t>eje1@cdc.gov</w:t>
        </w:r>
      </w:hyperlink>
      <w:r w:rsidR="009D5200">
        <w:t>.</w:t>
      </w:r>
      <w:r w:rsidRPr="009D5200">
        <w:t xml:space="preserve"> </w:t>
      </w:r>
    </w:p>
    <w:p w:rsidR="00D013EE" w:rsidRPr="009D5200" w:rsidP="00D013EE" w14:paraId="246B9356" w14:textId="77777777">
      <w:pPr>
        <w:textAlignment w:val="baseline"/>
      </w:pPr>
      <w:r w:rsidRPr="009D5200">
        <w:t> </w:t>
      </w:r>
    </w:p>
    <w:p w:rsidR="00FC4D1B" w:rsidP="00F53A93" w14:paraId="78D2B5D8" w14:textId="60CC6620">
      <w:pPr>
        <w:textAlignment w:val="baseline"/>
      </w:pPr>
      <w:r w:rsidRPr="009D5200">
        <w:t>Barbara Alexander, PhD, PE, CIH </w:t>
      </w:r>
      <w:r w:rsidRPr="009D5200" w:rsidR="00D12375">
        <w:t>is a senior service fellow with the NIOSH Division of Field Studies and Engineering.</w:t>
      </w:r>
      <w:r w:rsidRPr="009D5200" w:rsidR="009D5200">
        <w:t xml:space="preserve"> She reviewed the data collection instrument and provided expertise on OGE operations.</w:t>
      </w:r>
      <w:r w:rsidRPr="009D5200" w:rsidR="00D12375">
        <w:t xml:space="preserve"> Phone number: </w:t>
      </w:r>
      <w:r w:rsidRPr="009D5200">
        <w:t>513-841-4581</w:t>
      </w:r>
      <w:r w:rsidRPr="009D5200" w:rsidR="009D5200">
        <w:t>; E-mail address: vot3@cdc.gov</w:t>
      </w:r>
      <w:r w:rsidR="009D5200">
        <w:t>.</w:t>
      </w:r>
    </w:p>
    <w:p w:rsidR="00183D7C" w:rsidRPr="003827A3" w:rsidP="00C267C1" w14:paraId="2E1B3DF7" w14:textId="77777777">
      <w:pPr>
        <w:ind w:left="720"/>
      </w:pPr>
    </w:p>
    <w:p w:rsidR="00A953D5" w:rsidP="00A953D5" w14:paraId="09C017AE" w14:textId="77777777">
      <w:pPr>
        <w:pStyle w:val="Heading1"/>
      </w:pPr>
      <w:bookmarkStart w:id="10" w:name="_Toc130908459"/>
      <w:r>
        <w:t>9. Explanation of Any Payment or Gift to Respondents</w:t>
      </w:r>
      <w:bookmarkEnd w:id="10"/>
    </w:p>
    <w:p w:rsidR="00A953D5" w:rsidRPr="00E24B92" w:rsidP="00A953D5" w14:paraId="295932B2" w14:textId="77777777"/>
    <w:p w:rsidR="00A953D5" w:rsidRPr="003827A3" w:rsidP="00A953D5" w14:paraId="5DFAB140" w14:textId="77777777">
      <w:r>
        <w:t xml:space="preserve">Respondents will not be paid or compensated by NIOSH to complete the information collection instruments. </w:t>
      </w:r>
    </w:p>
    <w:p w:rsidR="009C0CB3" w:rsidP="006771B4" w14:paraId="62A91039" w14:textId="6F02DCFF">
      <w:pPr>
        <w:pStyle w:val="Heading1"/>
      </w:pPr>
      <w:bookmarkStart w:id="11" w:name="_Toc130908460"/>
      <w:r>
        <w:t>10. Assurance of Confidentiality Provided to Respondents</w:t>
      </w:r>
      <w:bookmarkEnd w:id="11"/>
    </w:p>
    <w:p w:rsidR="52F1935E" w:rsidP="00626F2A" w14:paraId="6369AC3C" w14:textId="1D692268"/>
    <w:p w:rsidR="00A33506" w:rsidP="00626F2A" w14:paraId="737609DB" w14:textId="3FFE6FF9">
      <w:pPr>
        <w:rPr>
          <w:i/>
          <w:iCs/>
        </w:rPr>
      </w:pPr>
      <w:r w:rsidRPr="00A33506">
        <w:rPr>
          <w:i/>
          <w:iCs/>
        </w:rPr>
        <w:t>Privacy Act Review</w:t>
      </w:r>
    </w:p>
    <w:p w:rsidR="00C36BC2" w:rsidRPr="00A33506" w:rsidP="00626F2A" w14:paraId="50C34FB6" w14:textId="77777777">
      <w:pPr>
        <w:rPr>
          <w:i/>
          <w:iCs/>
        </w:rPr>
      </w:pPr>
    </w:p>
    <w:p w:rsidR="00833D5F" w:rsidP="00526CF3" w14:paraId="6E824640" w14:textId="0F391159">
      <w:r>
        <w:t>ISSO determined in conjunction with the CDC Privacy Office that Privacy Act is not applicable. The collection does not contain PII. Research Electronic Data Capture (</w:t>
      </w:r>
      <w:r>
        <w:t>REDcap</w:t>
      </w:r>
      <w:r>
        <w:t>) and NIOSH Edge Computing Platform (NCEP) include the in-place technical, physical, or administrative controls (safeguards). Research Electronic Data Capture (</w:t>
      </w:r>
      <w:r>
        <w:t>REDcap</w:t>
      </w:r>
      <w:r>
        <w:t>) and NIOSH Edge Computing Platform (NCEP) System Security Plan (SSP) defines the process for handling security incidents. The system’s team and the Cybersecurity Program Office (CSPO) share the responsibilities for event monitoring and incident response. Direct reports of suspicious security or adverse privacy related events to the component’s Information Systems Security Officer (ISSO), CDC helpdesk, or to the CDC Security Incident Response Team (CSIRT). The CDC CSPO reports to the HHS Computer Security Incident Response Center (CSIRC), which reports incidents to US-CERT as appropriate.</w:t>
      </w:r>
      <w:r w:rsidR="00E50E13">
        <w:t xml:space="preserve"> </w:t>
      </w:r>
    </w:p>
    <w:p w:rsidR="002E35BF" w:rsidP="00526CF3" w14:paraId="4524CBBE" w14:textId="77777777"/>
    <w:p w:rsidR="00A33506" w:rsidP="00526CF3" w14:paraId="125EA9B0" w14:textId="3DE67EFB">
      <w:pPr>
        <w:rPr>
          <w:i/>
          <w:iCs/>
        </w:rPr>
      </w:pPr>
      <w:r>
        <w:rPr>
          <w:i/>
          <w:iCs/>
        </w:rPr>
        <w:t>Consent</w:t>
      </w:r>
      <w:r w:rsidR="004E4FF9">
        <w:rPr>
          <w:i/>
          <w:iCs/>
        </w:rPr>
        <w:t xml:space="preserve"> of Participants</w:t>
      </w:r>
    </w:p>
    <w:p w:rsidR="004E4FF9" w:rsidP="00526CF3" w14:paraId="403FCA09" w14:textId="77777777">
      <w:pPr>
        <w:rPr>
          <w:i/>
          <w:iCs/>
        </w:rPr>
      </w:pPr>
    </w:p>
    <w:p w:rsidR="00D627E8" w:rsidP="00526CF3" w14:paraId="24BBD06A" w14:textId="1BE0B700">
      <w:r w:rsidRPr="00A10779">
        <w:t xml:space="preserve">To participate in the questionnaire, personal exposure sampling, </w:t>
      </w:r>
      <w:r w:rsidR="00365EA6">
        <w:t>and</w:t>
      </w:r>
      <w:r w:rsidRPr="00A10779">
        <w:t xml:space="preserve"> audiometric testing, each</w:t>
      </w:r>
      <w:r>
        <w:t xml:space="preserve"> eligible</w:t>
      </w:r>
      <w:r w:rsidRPr="00A10779">
        <w:t xml:space="preserve"> </w:t>
      </w:r>
      <w:r>
        <w:t>worker</w:t>
      </w:r>
      <w:r w:rsidRPr="00A10779">
        <w:t xml:space="preserve"> will be required to review and sign an informed consent document (Attachment F</w:t>
      </w:r>
      <w:r>
        <w:t xml:space="preserve"> – Informed Consent</w:t>
      </w:r>
      <w:r w:rsidR="00206760">
        <w:t xml:space="preserve"> Form</w:t>
      </w:r>
      <w:r w:rsidRPr="00A10779">
        <w:t>).</w:t>
      </w:r>
      <w:r>
        <w:t xml:space="preserve"> </w:t>
      </w:r>
      <w:r w:rsidR="00B41C9D">
        <w:t>This document provides information about the study, their participation,</w:t>
      </w:r>
      <w:r w:rsidR="007D313A">
        <w:t xml:space="preserve"> risks and benefits of participation, and procedures for keeping personal information confidential. The consent document is written at a reading level that is expected to </w:t>
      </w:r>
      <w:r w:rsidR="004E4FF9">
        <w:t xml:space="preserve">be understood by the large majority of OGE workers. </w:t>
      </w:r>
      <w:r w:rsidR="00206760">
        <w:t xml:space="preserve">The Informed Consent Form </w:t>
      </w:r>
      <w:r>
        <w:t>asks for</w:t>
      </w:r>
      <w:r w:rsidR="00206760">
        <w:t xml:space="preserve"> </w:t>
      </w:r>
      <w:r w:rsidR="00592A57">
        <w:t>the minimal amount of personally identifiable information to be able to fulfill the responsibilities of the project officer. The document will contain the participant’s name and signature</w:t>
      </w:r>
      <w:r w:rsidR="00FA4C68">
        <w:t>, at minimum.</w:t>
      </w:r>
      <w:r w:rsidR="00592A57">
        <w:t xml:space="preserve"> </w:t>
      </w:r>
    </w:p>
    <w:p w:rsidR="00D627E8" w:rsidP="00526CF3" w14:paraId="660EBFCF" w14:textId="77777777"/>
    <w:p w:rsidR="00A33506" w:rsidP="00526CF3" w14:paraId="2F2C1EA9" w14:textId="54373C3D">
      <w:r>
        <w:t>I</w:t>
      </w:r>
      <w:r w:rsidR="00592A57">
        <w:t>f the</w:t>
      </w:r>
      <w:r>
        <w:t xml:space="preserve"> participant </w:t>
      </w:r>
      <w:r w:rsidR="00B37F3E">
        <w:t>will undergo</w:t>
      </w:r>
      <w:r w:rsidR="00592A57">
        <w:t xml:space="preserve"> </w:t>
      </w:r>
      <w:r>
        <w:t>personal exposure monitoring or audiometry,</w:t>
      </w:r>
      <w:r w:rsidR="00C21B08">
        <w:t xml:space="preserve"> they</w:t>
      </w:r>
      <w:r>
        <w:t xml:space="preserve"> can elect to receive those results. To </w:t>
      </w:r>
      <w:r w:rsidR="008D0BA1">
        <w:t>facilitate</w:t>
      </w:r>
      <w:r>
        <w:t xml:space="preserve"> that, the</w:t>
      </w:r>
      <w:r w:rsidR="008D0BA1">
        <w:t xml:space="preserve"> participant is asked to provide their</w:t>
      </w:r>
      <w:r>
        <w:t xml:space="preserve"> contact information (mailing address, e-mail address, and phone number) so their personal results can be returned to them</w:t>
      </w:r>
      <w:r w:rsidR="008D0BA1">
        <w:t xml:space="preserve">. The participant can elect not to provide contact information. </w:t>
      </w:r>
    </w:p>
    <w:p w:rsidR="00DF6F5A" w:rsidP="00526CF3" w14:paraId="13BCC884" w14:textId="77777777"/>
    <w:p w:rsidR="00DF6F5A" w:rsidRPr="00896E7D" w:rsidP="00526CF3" w14:paraId="5F4F21A8" w14:textId="186AE32B">
      <w:r>
        <w:t xml:space="preserve">The </w:t>
      </w:r>
      <w:r w:rsidR="00242E1D">
        <w:t xml:space="preserve">completed </w:t>
      </w:r>
      <w:r>
        <w:t xml:space="preserve">consent documents </w:t>
      </w:r>
      <w:r w:rsidR="00242E1D">
        <w:t>will be maintained in locked containers at the point of collection and will be handled by NIOSH staff or contractor. The completed forms will be maintained in locked cabinets and in secure</w:t>
      </w:r>
      <w:r w:rsidR="00896E7D">
        <w:t xml:space="preserve"> NIOSH</w:t>
      </w:r>
      <w:r w:rsidR="00242E1D">
        <w:t xml:space="preserve"> facilities while they need to be maintained under the CDC </w:t>
      </w:r>
      <w:r w:rsidR="009B6E20">
        <w:t>reco</w:t>
      </w:r>
      <w:r w:rsidR="00896E7D">
        <w:t xml:space="preserve">rd retention schedule. </w:t>
      </w:r>
    </w:p>
    <w:p w:rsidR="00A33506" w:rsidP="00526CF3" w14:paraId="1BAEAD0C" w14:textId="77777777">
      <w:pPr>
        <w:rPr>
          <w:i/>
          <w:iCs/>
        </w:rPr>
      </w:pPr>
    </w:p>
    <w:p w:rsidR="00BB6F63" w:rsidRPr="00BB6F63" w:rsidP="00526CF3" w14:paraId="3F9662B8" w14:textId="2BA85070">
      <w:pPr>
        <w:rPr>
          <w:i/>
          <w:iCs/>
        </w:rPr>
      </w:pPr>
      <w:r w:rsidRPr="00BB6F63">
        <w:rPr>
          <w:i/>
          <w:iCs/>
        </w:rPr>
        <w:t xml:space="preserve">Data </w:t>
      </w:r>
      <w:r w:rsidR="001F421C">
        <w:rPr>
          <w:i/>
          <w:iCs/>
        </w:rPr>
        <w:t>A</w:t>
      </w:r>
      <w:r w:rsidRPr="00BB6F63">
        <w:rPr>
          <w:i/>
          <w:iCs/>
        </w:rPr>
        <w:t xml:space="preserve">ccess </w:t>
      </w:r>
      <w:r w:rsidR="001F421C">
        <w:rPr>
          <w:i/>
          <w:iCs/>
        </w:rPr>
        <w:t>C</w:t>
      </w:r>
      <w:r w:rsidRPr="00BB6F63">
        <w:rPr>
          <w:i/>
          <w:iCs/>
        </w:rPr>
        <w:t xml:space="preserve">ontrol </w:t>
      </w:r>
    </w:p>
    <w:p w:rsidR="00BB6F63" w:rsidP="00526CF3" w14:paraId="2EBE0ED9" w14:textId="77777777"/>
    <w:p w:rsidR="00526CF3" w:rsidP="00526CF3" w14:paraId="2240DE89" w14:textId="5EA15E22">
      <w:r>
        <w:t>Study participants will be given unique identification numbers assigned by the NIOSH project officer which will be used to manage their data. The consent</w:t>
      </w:r>
      <w:r w:rsidR="00854B81">
        <w:t xml:space="preserve"> </w:t>
      </w:r>
      <w:r>
        <w:t xml:space="preserve">will contain the name and </w:t>
      </w:r>
      <w:r w:rsidR="00854B81">
        <w:t>date of birth</w:t>
      </w:r>
      <w:r w:rsidR="00824B88">
        <w:t>, and a study identification (ID) number</w:t>
      </w:r>
      <w:r w:rsidR="00854B81">
        <w:t xml:space="preserve">. The results contact form will </w:t>
      </w:r>
      <w:r w:rsidR="00C37F71">
        <w:t xml:space="preserve">also </w:t>
      </w:r>
      <w:r w:rsidR="00854B81">
        <w:t xml:space="preserve">contain contact information in addition to </w:t>
      </w:r>
      <w:r w:rsidR="00AA0B24">
        <w:t>their name</w:t>
      </w:r>
      <w:r w:rsidR="008D2876">
        <w:t>, date of birth,</w:t>
      </w:r>
      <w:r w:rsidR="00824B88">
        <w:t xml:space="preserve"> and </w:t>
      </w:r>
      <w:r w:rsidR="00777831">
        <w:t>s</w:t>
      </w:r>
      <w:r w:rsidR="00824B88">
        <w:t>tudy ID</w:t>
      </w:r>
      <w:r>
        <w:t xml:space="preserve"> (i.e., mailing address, phone, and email)</w:t>
      </w:r>
      <w:r w:rsidR="00AA0B24">
        <w:t>. Documents associated with each participant (personal air sampl</w:t>
      </w:r>
      <w:r w:rsidR="00C37F71">
        <w:t>ing forms</w:t>
      </w:r>
      <w:r w:rsidR="00AA0B24">
        <w:t xml:space="preserve">, audiogram results, </w:t>
      </w:r>
      <w:r w:rsidR="00C37F71">
        <w:t xml:space="preserve">questionnaire) will </w:t>
      </w:r>
      <w:r>
        <w:t>contain a study ID number</w:t>
      </w:r>
      <w:r w:rsidR="00C3760D">
        <w:t xml:space="preserve"> to be able to link all components of the </w:t>
      </w:r>
      <w:r w:rsidR="009B360F">
        <w:t>participant’s contributions to the study without using PII</w:t>
      </w:r>
      <w:r>
        <w:t xml:space="preserve">. This study ID number will be the only link to the data collected and will be used to link data collected by the questionnaire (including medical information). </w:t>
      </w:r>
      <w:r w:rsidR="00C3760D">
        <w:t xml:space="preserve">Date of birth is being collected to be able to be used with name to verify the </w:t>
      </w:r>
      <w:r w:rsidR="00B33655">
        <w:t>s</w:t>
      </w:r>
      <w:r w:rsidR="00C3760D">
        <w:t>tudy ID and confirm consent for an individual who participates</w:t>
      </w:r>
      <w:r>
        <w:t xml:space="preserve"> </w:t>
      </w:r>
      <w:r w:rsidR="00C3760D">
        <w:t xml:space="preserve">in components of the study at different points in time. </w:t>
      </w:r>
      <w:r>
        <w:t xml:space="preserve">Questionnaire data will be collected using </w:t>
      </w:r>
      <w:r w:rsidR="004B226D">
        <w:t>REDCap</w:t>
      </w:r>
      <w:r w:rsidR="004B226D">
        <w:t xml:space="preserve"> </w:t>
      </w:r>
      <w:r>
        <w:t>software on secure CDC-owned electronic tablets. Data from each tablet will be downloaded to a secure CDC-owned laptop at the end of each day. All electronic data will be erased from the tablet using necessary software. Tablets will be password protected and kept in the possession of staff and in a locked box between survey administration periods. Each questionnaire will include the unique identifier but no personal identification information such as name or contact information but will include medical information.</w:t>
      </w:r>
    </w:p>
    <w:p w:rsidR="00526CF3" w:rsidP="00526CF3" w14:paraId="4EBC5031" w14:textId="77777777"/>
    <w:p w:rsidR="00C11EED" w:rsidP="00526CF3" w14:paraId="23ADD66C" w14:textId="65D0A675">
      <w:r>
        <w:t xml:space="preserve">The study ID numbers will also be used for the industrial hygiene exposure assessment and audiometry testing. Samples collected from these aspects of the study will be labeled with the unique study ID number; therefore, contracted labs will analyze de-identified samples and will not receive any PII. In the field, hard copy informed consent forms will be kept in a lockbox and returned to the NIOSH office on the same day as collection. When the lockboxes cannot be returned to the NIOSH office on the same day as collection, the lockboxes will be kept (1) with the NIOSH project officers or (2) in a locked, private, and secure location. The consent forms linking names and addresses to code numbers will be stored in a locked file at the NIOSH office accessible only to NIOSH personnel. </w:t>
      </w:r>
      <w:r w:rsidRPr="001E118D" w:rsidR="001E118D">
        <w:t>We will leverage NECP/Virtual Volumes to store the data</w:t>
      </w:r>
      <w:r w:rsidR="00F06033">
        <w:t xml:space="preserve"> (</w:t>
      </w:r>
      <w:r w:rsidR="00CC043E">
        <w:t>including</w:t>
      </w:r>
      <w:r w:rsidRPr="001E118D" w:rsidR="001E118D">
        <w:t xml:space="preserve"> </w:t>
      </w:r>
      <w:r w:rsidRPr="00CC043E" w:rsidR="00CC043E">
        <w:t>the link between the participant’s name and study ID number</w:t>
      </w:r>
      <w:r w:rsidR="00F06033">
        <w:t>)</w:t>
      </w:r>
      <w:r w:rsidRPr="00CC043E" w:rsidR="00CC043E">
        <w:t xml:space="preserve"> </w:t>
      </w:r>
      <w:r w:rsidRPr="001E118D" w:rsidR="001E118D">
        <w:t>and possibly the Virtual Analytical Workspace</w:t>
      </w:r>
      <w:r w:rsidR="001E118D">
        <w:t>,</w:t>
      </w:r>
      <w:r w:rsidRPr="001E118D" w:rsidR="001E118D">
        <w:t xml:space="preserve"> if available</w:t>
      </w:r>
      <w:r w:rsidR="00CC043E">
        <w:t>.</w:t>
      </w:r>
      <w:r>
        <w:t xml:space="preserve"> </w:t>
      </w:r>
    </w:p>
    <w:p w:rsidR="002C6A19" w:rsidP="00526CF3" w14:paraId="269926C2" w14:textId="77777777"/>
    <w:p w:rsidR="002C6A19" w:rsidP="00526CF3" w14:paraId="685B6D1E" w14:textId="524B830F">
      <w:r>
        <w:t xml:space="preserve">CDC will treat data and gathered information in a secure manner and will not disclose, unless otherwise compelled by law. </w:t>
      </w:r>
    </w:p>
    <w:p w:rsidR="00526CF3" w:rsidP="00526CF3" w14:paraId="600DECA7" w14:textId="77777777"/>
    <w:p w:rsidR="00526CF3" w:rsidP="00526CF3" w14:paraId="5287DF7C" w14:textId="77777777">
      <w:r>
        <w:t xml:space="preserve">All data for this study is collected under the system of record notice (SORN) CDC Privacy Act System Notice 09-20-0147 and will be maintained in accordance with the Federal Privacy Act of 1974. Additionally, this research is covered by a Certificate of Confidentiality (CoC) from the Centers for Disease Control and Prevention. Consistent with Section 301(d) of the Public Health Service Act, a </w:t>
      </w:r>
      <w:r>
        <w:t>Certificate of Confidentiality (CoC) applies to this research because this research is funded, conducted, or supported by CDC and the research involves Human Subjects as defined by 45 CFR Part 46. Individually identifiable (including coded) information will be obtained or used for research purposes. The research involves information about an individual for which there is at least a very small risk, that some combination of the information, a request for the information, and other available data sources could be used to deduce the identity of an individual. Therefore, CDC and any of its collaborators, contractors, grantees, investigators or collaborating institutions that receive “identifiable, sensitive Information” as defined by subsection 301(d) of the Public Health Service Act shall not:</w:t>
      </w:r>
    </w:p>
    <w:p w:rsidR="00526CF3" w:rsidP="00626F2A" w14:paraId="41957F39" w14:textId="5E528D21">
      <w:pPr>
        <w:pStyle w:val="ListParagraph"/>
        <w:numPr>
          <w:ilvl w:val="0"/>
          <w:numId w:val="3"/>
        </w:numPr>
      </w:pPr>
      <w:r>
        <w:t>Disclose or provide, in any Federal, State, or local civil, criminal, administrative, legislative, or other proceeding, the name of such individual or any such information, document, or biospecimen that contains identifiable, sensitive information about the individual and that was created or compiled for purposes of the research, unless such disclosure or use is made with the consent of the individual to whom the information, document, or biospecimen pertains; or</w:t>
      </w:r>
    </w:p>
    <w:p w:rsidR="00526CF3" w:rsidP="00626F2A" w14:paraId="1F3E8C1E" w14:textId="2EFED950">
      <w:pPr>
        <w:pStyle w:val="ListParagraph"/>
        <w:numPr>
          <w:ilvl w:val="0"/>
          <w:numId w:val="3"/>
        </w:numPr>
      </w:pPr>
      <w:r>
        <w:t>Disclose or provide to any other person not connected with the research the name of such an individual or any information, document, or biospecimen that contains identifiable, sensitive information about such an individual and that was created or compiled for purposes of the research.</w:t>
      </w:r>
    </w:p>
    <w:p w:rsidR="00DE05C9" w:rsidP="00DE05C9" w14:paraId="6DEA1BBB" w14:textId="77777777">
      <w:pPr>
        <w:pStyle w:val="ListParagraph"/>
      </w:pPr>
    </w:p>
    <w:p w:rsidR="00526CF3" w:rsidP="00526CF3" w14:paraId="3D922FA5" w14:textId="77777777">
      <w:r>
        <w:t>Disclosure is permitted only when:</w:t>
      </w:r>
    </w:p>
    <w:p w:rsidR="00526CF3" w:rsidP="00626F2A" w14:paraId="2C3A9121" w14:textId="1F018A91">
      <w:pPr>
        <w:pStyle w:val="ListParagraph"/>
        <w:numPr>
          <w:ilvl w:val="0"/>
          <w:numId w:val="4"/>
        </w:numPr>
      </w:pPr>
      <w:r>
        <w:t xml:space="preserve">Required by Federal, State, or local laws (e.g., as required by the Federal Food, Drug, and Cosmetic Act, or state laws requiring the reporting of communicable diseases to State and local health departments), excluding instances of disclosure in any Federal, State, or local civil, criminal, administrative, legislative, or other </w:t>
      </w:r>
      <w:r>
        <w:t>proceeding;</w:t>
      </w:r>
    </w:p>
    <w:p w:rsidR="00526CF3" w:rsidP="00626F2A" w14:paraId="5DDE5DB4" w14:textId="30AEF36F">
      <w:pPr>
        <w:pStyle w:val="ListParagraph"/>
        <w:numPr>
          <w:ilvl w:val="0"/>
          <w:numId w:val="4"/>
        </w:numPr>
      </w:pPr>
      <w:r>
        <w:t>Made with the consent of the individual to whom the information, document, or biospecimen pertains; or</w:t>
      </w:r>
    </w:p>
    <w:p w:rsidR="00526CF3" w:rsidP="00526CF3" w14:paraId="36BD9D81" w14:textId="1E7760CE">
      <w:pPr>
        <w:pStyle w:val="ListParagraph"/>
        <w:numPr>
          <w:ilvl w:val="0"/>
          <w:numId w:val="4"/>
        </w:numPr>
      </w:pPr>
      <w:r>
        <w:t xml:space="preserve">Made for the purposes of other scientific research that </w:t>
      </w:r>
      <w:r>
        <w:t>is in compliance with</w:t>
      </w:r>
      <w:r>
        <w:t xml:space="preserve"> applicable Federal regulations governing the protection of human subjects in research.</w:t>
      </w:r>
    </w:p>
    <w:p w:rsidR="00526CF3" w:rsidP="00626F2A" w14:paraId="64C9905B" w14:textId="77777777">
      <w:pPr>
        <w:pStyle w:val="ListParagraph"/>
      </w:pPr>
    </w:p>
    <w:p w:rsidR="00626F2A" w:rsidP="00526CF3" w14:paraId="5F63B740" w14:textId="77777777">
      <w:r>
        <w:t>CDC and its collaborators conducting this research will establish and maintain effective internal controls (e.g., policies and procedures) that provide reasonable assurance that the research is managed in compliance with subsection 301(d) of the Public Health Service Act. CDC will ensure</w:t>
      </w:r>
      <w:r>
        <w:t xml:space="preserve"> the following</w:t>
      </w:r>
      <w:r>
        <w:t xml:space="preserve">: </w:t>
      </w:r>
    </w:p>
    <w:p w:rsidR="00626F2A" w:rsidP="004E7B03" w14:paraId="555169C8" w14:textId="77777777">
      <w:pPr>
        <w:ind w:left="990" w:hanging="180"/>
      </w:pPr>
      <w:r>
        <w:t xml:space="preserve">1) that any investigator or institution not funded by CDC who receives a copy of identifiable, sensitive information protected by this Certificate, understands that it is also subject to the requirements of the Certificate; and </w:t>
      </w:r>
    </w:p>
    <w:p w:rsidR="004E7B03" w:rsidP="004E7B03" w14:paraId="73BBEBC4" w14:textId="77777777">
      <w:pPr>
        <w:ind w:left="990" w:hanging="180"/>
      </w:pPr>
      <w:r>
        <w:t xml:space="preserve">2) that any subrecipient that receives CDC funds to carry out part of this research involving a copy of identifiable, sensitive information protected by a Certificate understands that it is subject to subsection 301(d) of the PHS Act. </w:t>
      </w:r>
    </w:p>
    <w:p w:rsidR="00526CF3" w:rsidP="00626F2A" w14:paraId="235032E9" w14:textId="41765587">
      <w:pPr>
        <w:ind w:firstLine="720"/>
      </w:pPr>
      <w:r>
        <w:t xml:space="preserve">Therefore, all study staff will receive training on the importance of protecting the confidentiality of human research subjects and of personal information acquired, including the collection of biological specimens. All research subjects will be informed of the protections and the limits to protections provided by this Certificate through the informed consent process. All study staff who obtain consent from study subjects will be trained on how the Certificate protects the information collected and the limitations of the Certificate’s protections. </w:t>
      </w:r>
    </w:p>
    <w:p w:rsidR="004E7B03" w:rsidP="004E7B03" w14:paraId="64BC6C0F" w14:textId="77777777">
      <w:pPr>
        <w:ind w:firstLine="720"/>
      </w:pPr>
    </w:p>
    <w:p w:rsidR="00526CF3" w:rsidRPr="00526CF3" w:rsidP="004E7B03" w14:paraId="5BE503F8" w14:textId="56BDCE57">
      <w:r>
        <w:t>Public health partners may assist in data collection during site visits at the worksite in question as well as data analysis; however, CDC/NIOSH will own and maintain the data.</w:t>
      </w:r>
    </w:p>
    <w:p w:rsidR="009C0CB3" w:rsidP="006771B4" w14:paraId="0AE050B9" w14:textId="1B70A644">
      <w:pPr>
        <w:pStyle w:val="Heading1"/>
      </w:pPr>
      <w:bookmarkStart w:id="12" w:name="_Toc130908461"/>
      <w:r>
        <w:t xml:space="preserve">11. </w:t>
      </w:r>
      <w:r w:rsidRPr="00E235B7" w:rsidR="00E235B7">
        <w:t>Institutional Review Board (IRB) and Justification for Sensitive Questions</w:t>
      </w:r>
      <w:bookmarkEnd w:id="12"/>
      <w:r w:rsidR="00E235B7">
        <w:t xml:space="preserve"> </w:t>
      </w:r>
    </w:p>
    <w:p w:rsidR="00E235B7" w:rsidP="00E235B7" w14:paraId="68ACFB56" w14:textId="77777777"/>
    <w:p w:rsidR="00D57F51" w:rsidP="00C11EED" w14:paraId="562D0971" w14:textId="0E5613DD">
      <w:pPr>
        <w:rPr>
          <w:i/>
          <w:iCs/>
        </w:rPr>
      </w:pPr>
      <w:r w:rsidRPr="00C11EED">
        <w:rPr>
          <w:i/>
          <w:iCs/>
        </w:rPr>
        <w:t>Institutional Review Board (IRB) Approval</w:t>
      </w:r>
    </w:p>
    <w:p w:rsidR="005A2255" w:rsidRPr="00E235B7" w:rsidP="00C11EED" w14:paraId="42CCDE60" w14:textId="77777777"/>
    <w:p w:rsidR="00526CF3" w:rsidP="00526CF3" w14:paraId="7145C1CE" w14:textId="560FE119">
      <w:r w:rsidRPr="00332EE1">
        <w:t>The project has been determined to be research involving human subjects. The NIOSH Institutional Review Board has reviewed and approved the proposed study</w:t>
      </w:r>
      <w:r w:rsidRPr="00332EE1" w:rsidR="00C104C2">
        <w:t xml:space="preserve"> </w:t>
      </w:r>
      <w:r w:rsidRPr="00C378C3" w:rsidR="00C104C2">
        <w:t xml:space="preserve">(Attachment </w:t>
      </w:r>
      <w:r w:rsidRPr="00C378C3" w:rsidR="00C378C3">
        <w:t>K</w:t>
      </w:r>
      <w:r w:rsidRPr="00C378C3" w:rsidR="00C104C2">
        <w:t xml:space="preserve"> – IRB approval letter)</w:t>
      </w:r>
      <w:r w:rsidRPr="00C378C3">
        <w:t>.</w:t>
      </w:r>
      <w:r>
        <w:t xml:space="preserve"> </w:t>
      </w:r>
    </w:p>
    <w:p w:rsidR="00526CF3" w:rsidP="00526CF3" w14:paraId="380D8801" w14:textId="77777777"/>
    <w:p w:rsidR="00D57F51" w:rsidRPr="00C11EED" w:rsidP="00526CF3" w14:paraId="3BA10C67" w14:textId="3014CF99">
      <w:pPr>
        <w:rPr>
          <w:i/>
          <w:iCs/>
        </w:rPr>
      </w:pPr>
      <w:r w:rsidRPr="00C11EED">
        <w:rPr>
          <w:i/>
          <w:iCs/>
        </w:rPr>
        <w:t xml:space="preserve">Justification for Sensitive Questions </w:t>
      </w:r>
    </w:p>
    <w:p w:rsidR="00D57F51" w:rsidP="00526CF3" w14:paraId="2C1DFAF8" w14:textId="77777777"/>
    <w:p w:rsidR="00354DCB" w:rsidP="00526CF3" w14:paraId="1176364B" w14:textId="77777777">
      <w:r>
        <w:t xml:space="preserve">The proposed questionnaire contains questions that may be sensitive in nature, including race and ethnicity and use of certain medications. </w:t>
      </w:r>
      <w:r w:rsidR="002F2D3E">
        <w:t>Some individuals may consider</w:t>
      </w:r>
      <w:r w:rsidR="0005528C">
        <w:t xml:space="preserve"> a question </w:t>
      </w:r>
      <w:r w:rsidR="00851C4F">
        <w:t>about</w:t>
      </w:r>
      <w:r w:rsidR="002F2D3E">
        <w:t xml:space="preserve"> self-evaluation of hearing ability to be </w:t>
      </w:r>
      <w:r w:rsidR="00675F97">
        <w:t xml:space="preserve">sensitive as well. </w:t>
      </w:r>
      <w:r>
        <w:t>The potentially sensitive questions on race and ethnicity are needed to accurately describe the demographics of the workforce population in the study and to identify potential increases in exposure or risk to minority populations. Information on use of medications will be collected to evaluate results for potential ototoxic effects from medication</w:t>
      </w:r>
      <w:r w:rsidR="004E7B03">
        <w:t xml:space="preserve"> use</w:t>
      </w:r>
      <w:r>
        <w:t>.</w:t>
      </w:r>
      <w:r w:rsidR="000B1A83">
        <w:t xml:space="preserve"> </w:t>
      </w:r>
    </w:p>
    <w:p w:rsidR="00354DCB" w:rsidP="00526CF3" w14:paraId="46993BD6" w14:textId="77777777"/>
    <w:p w:rsidR="002F2D3E" w:rsidP="00526CF3" w14:paraId="4FF614AD" w14:textId="13CD4314">
      <w:r>
        <w:t xml:space="preserve">The questionnaire asks </w:t>
      </w:r>
      <w:r w:rsidR="00FF51C7">
        <w:t xml:space="preserve">for a </w:t>
      </w:r>
      <w:r w:rsidR="00647C92">
        <w:t xml:space="preserve">self-evaluation of hearing </w:t>
      </w:r>
      <w:r w:rsidR="00FF51C7">
        <w:t xml:space="preserve">ability; this question </w:t>
      </w:r>
      <w:r w:rsidR="00647C92">
        <w:t>will be used as a surrogate for hearing loss</w:t>
      </w:r>
      <w:r w:rsidR="00570E1B">
        <w:t xml:space="preserve">. </w:t>
      </w:r>
      <w:r w:rsidR="00CC0269">
        <w:t>Collecting this</w:t>
      </w:r>
      <w:r w:rsidR="00570E1B">
        <w:t xml:space="preserve"> information is important </w:t>
      </w:r>
      <w:r w:rsidR="00325F4A">
        <w:t xml:space="preserve">to </w:t>
      </w:r>
      <w:r w:rsidR="00DF7710">
        <w:t>accomplish the aim of assessing the relationship between</w:t>
      </w:r>
      <w:r w:rsidR="00325F4A">
        <w:t xml:space="preserve"> exposures</w:t>
      </w:r>
      <w:r w:rsidR="00A243B7">
        <w:t xml:space="preserve"> and </w:t>
      </w:r>
      <w:r w:rsidR="00805DEF">
        <w:t xml:space="preserve">protective factors </w:t>
      </w:r>
      <w:r w:rsidR="00A243B7">
        <w:t xml:space="preserve">to hearing loss. </w:t>
      </w:r>
      <w:r w:rsidR="00061CD2">
        <w:t xml:space="preserve">A </w:t>
      </w:r>
      <w:r w:rsidR="00570E1B">
        <w:t xml:space="preserve">small subset of participants will undergo </w:t>
      </w:r>
      <w:r w:rsidR="00CC0269">
        <w:t>audiometric testing to evaluate their hearing by a</w:t>
      </w:r>
      <w:r w:rsidR="00881557">
        <w:t>n audiometry professional</w:t>
      </w:r>
      <w:r w:rsidR="00A243B7">
        <w:t xml:space="preserve">, so most hearing loss data will </w:t>
      </w:r>
      <w:r w:rsidR="00DD0B61">
        <w:t>be obtained using t</w:t>
      </w:r>
      <w:r w:rsidR="00A243B7">
        <w:t>he questionnaire</w:t>
      </w:r>
      <w:r w:rsidR="00061CD2">
        <w:t xml:space="preserve"> thereby </w:t>
      </w:r>
      <w:r w:rsidR="00DE3493">
        <w:t>justifying the inclusion of</w:t>
      </w:r>
      <w:r w:rsidR="00061CD2">
        <w:t xml:space="preserve"> this potentially</w:t>
      </w:r>
      <w:r w:rsidR="00C11EED">
        <w:t xml:space="preserve"> </w:t>
      </w:r>
      <w:r w:rsidR="00061CD2">
        <w:t>sensitive question</w:t>
      </w:r>
      <w:r w:rsidR="00CC0269">
        <w:t xml:space="preserve">. </w:t>
      </w:r>
      <w:r w:rsidR="0051011D">
        <w:t xml:space="preserve">Answering any question on the </w:t>
      </w:r>
      <w:r w:rsidR="00B716BD">
        <w:t>questionnaire</w:t>
      </w:r>
      <w:r w:rsidR="0051011D">
        <w:t xml:space="preserve"> is voluntary and participants may choose to </w:t>
      </w:r>
      <w:r w:rsidR="00A45D23">
        <w:t>not answer any question they find too sensitive by selecting “</w:t>
      </w:r>
      <w:r>
        <w:t>Prefer not to answer.”</w:t>
      </w:r>
    </w:p>
    <w:p w:rsidR="002F2D3E" w:rsidP="00526CF3" w14:paraId="1CEAF8F8" w14:textId="77777777"/>
    <w:p w:rsidR="00526CF3" w:rsidP="00526CF3" w14:paraId="1C290269" w14:textId="44931D13">
      <w:r>
        <w:t>Social security number</w:t>
      </w:r>
      <w:r w:rsidR="00C11EED">
        <w:t>s</w:t>
      </w:r>
      <w:r>
        <w:t xml:space="preserve"> will not be collected. </w:t>
      </w:r>
    </w:p>
    <w:p w:rsidR="00526CF3" w:rsidP="00526CF3" w14:paraId="01035DC9" w14:textId="77777777"/>
    <w:p w:rsidR="00C11EED" w:rsidP="00526CF3" w14:paraId="58B903A6" w14:textId="6D2E9697">
      <w:pPr>
        <w:rPr>
          <w:b/>
          <w:bCs/>
        </w:rPr>
      </w:pPr>
      <w:r>
        <w:t xml:space="preserve">The </w:t>
      </w:r>
      <w:r w:rsidR="00A449E2">
        <w:t xml:space="preserve">potentially </w:t>
      </w:r>
      <w:r>
        <w:t>sensitive questions</w:t>
      </w:r>
      <w:r w:rsidR="00A449E2">
        <w:t xml:space="preserve"> about race, ethnicity, medication use</w:t>
      </w:r>
      <w:r w:rsidR="00A243B7">
        <w:t xml:space="preserve">, and </w:t>
      </w:r>
      <w:r w:rsidR="00DF7710">
        <w:t>hearing ability</w:t>
      </w:r>
      <w:r>
        <w:t xml:space="preserve"> asked in the questionnaire</w:t>
      </w:r>
      <w:r w:rsidR="00C33E03">
        <w:t xml:space="preserve"> are in Table </w:t>
      </w:r>
      <w:r w:rsidR="00DD0B61">
        <w:t>A</w:t>
      </w:r>
      <w:r w:rsidR="00C33E03">
        <w:t>11.1</w:t>
      </w:r>
      <w:r w:rsidRPr="007A52D9" w:rsidR="007A52D9">
        <w:t>.</w:t>
      </w:r>
    </w:p>
    <w:p w:rsidR="00C11EED" w:rsidP="00526CF3" w14:paraId="1169CCC2" w14:textId="77777777">
      <w:pPr>
        <w:rPr>
          <w:b/>
          <w:bCs/>
        </w:rPr>
      </w:pPr>
    </w:p>
    <w:p w:rsidR="00C33E03" w:rsidRPr="00C33E03" w:rsidP="00526CF3" w14:paraId="7798887F" w14:textId="4CCDE227">
      <w:pPr>
        <w:rPr>
          <w:b/>
          <w:bCs/>
        </w:rPr>
      </w:pPr>
      <w:r w:rsidRPr="00C33E03">
        <w:rPr>
          <w:b/>
          <w:bCs/>
        </w:rPr>
        <w:t xml:space="preserve">Table A11.1 Potentially Sensitive Questions in Questionnaire </w:t>
      </w:r>
    </w:p>
    <w:p w:rsidR="00C33E03" w:rsidP="00526CF3" w14:paraId="14CAF9A7" w14:textId="77777777"/>
    <w:tbl>
      <w:tblPr>
        <w:tblStyle w:val="TableGrid"/>
        <w:tblW w:w="0" w:type="auto"/>
        <w:tblLook w:val="04A0"/>
      </w:tblPr>
      <w:tblGrid>
        <w:gridCol w:w="5035"/>
        <w:gridCol w:w="5035"/>
      </w:tblGrid>
      <w:tr w14:paraId="4761D0CC" w14:textId="77777777" w:rsidTr="00C33E03">
        <w:tblPrEx>
          <w:tblW w:w="0" w:type="auto"/>
          <w:tblLook w:val="04A0"/>
        </w:tblPrEx>
        <w:tc>
          <w:tcPr>
            <w:tcW w:w="5035" w:type="dxa"/>
          </w:tcPr>
          <w:p w:rsidR="00C33E03" w:rsidRPr="00B716BD" w:rsidP="00526CF3" w14:paraId="7F92B4A2" w14:textId="48608F80">
            <w:pPr>
              <w:rPr>
                <w:b/>
                <w:bCs/>
              </w:rPr>
            </w:pPr>
            <w:r w:rsidRPr="00B716BD">
              <w:rPr>
                <w:b/>
                <w:bCs/>
              </w:rPr>
              <w:t>Question</w:t>
            </w:r>
          </w:p>
        </w:tc>
        <w:tc>
          <w:tcPr>
            <w:tcW w:w="5035" w:type="dxa"/>
          </w:tcPr>
          <w:p w:rsidR="00C33E03" w:rsidRPr="00B716BD" w:rsidP="00526CF3" w14:paraId="3A28B984" w14:textId="03FB5D3E">
            <w:pPr>
              <w:rPr>
                <w:b/>
                <w:bCs/>
              </w:rPr>
            </w:pPr>
            <w:r w:rsidRPr="00B716BD">
              <w:rPr>
                <w:b/>
                <w:bCs/>
              </w:rPr>
              <w:t>Answer</w:t>
            </w:r>
          </w:p>
        </w:tc>
      </w:tr>
      <w:tr w14:paraId="33C85C41" w14:textId="77777777" w:rsidTr="00C33E03">
        <w:tblPrEx>
          <w:tblW w:w="0" w:type="auto"/>
          <w:tblLook w:val="04A0"/>
        </w:tblPrEx>
        <w:tc>
          <w:tcPr>
            <w:tcW w:w="5035" w:type="dxa"/>
          </w:tcPr>
          <w:p w:rsidR="00C33E03" w:rsidP="00526CF3" w14:paraId="48C3B814" w14:textId="47E49BA7">
            <w:r w:rsidRPr="00DF29B5">
              <w:t>What race or races do you consider yourself to be? (</w:t>
            </w:r>
            <w:r w:rsidR="00DF1F82">
              <w:t>Select</w:t>
            </w:r>
            <w:r w:rsidRPr="00DF29B5" w:rsidR="00DF1F82">
              <w:t xml:space="preserve"> </w:t>
            </w:r>
            <w:r w:rsidRPr="00DF29B5">
              <w:t>all that apply)</w:t>
            </w:r>
          </w:p>
        </w:tc>
        <w:tc>
          <w:tcPr>
            <w:tcW w:w="5035" w:type="dxa"/>
          </w:tcPr>
          <w:p w:rsidR="00C33E03" w:rsidP="00C33E03" w14:paraId="630F55AB" w14:textId="283437AD">
            <w:r>
              <w:t></w:t>
            </w:r>
            <w:r w:rsidR="00DF1F82">
              <w:t xml:space="preserve"> American Indian or Alaska Native</w:t>
            </w:r>
            <w:r>
              <w:t xml:space="preserve">  </w:t>
            </w:r>
          </w:p>
          <w:p w:rsidR="00C33E03" w:rsidP="00C33E03" w14:paraId="5E5662FA" w14:textId="7648B1CD">
            <w:r>
              <w:t xml:space="preserve"> </w:t>
            </w:r>
            <w:r w:rsidR="00DF1F82">
              <w:t>Asian</w:t>
            </w:r>
            <w:r>
              <w:t xml:space="preserve"> </w:t>
            </w:r>
          </w:p>
          <w:p w:rsidR="00C33E03" w:rsidP="00C33E03" w14:paraId="331FF334" w14:textId="5DD9EA06">
            <w:r>
              <w:t xml:space="preserve"> </w:t>
            </w:r>
            <w:r w:rsidR="00DF1F82">
              <w:t>Black or African</w:t>
            </w:r>
            <w:r>
              <w:t xml:space="preserve"> American </w:t>
            </w:r>
          </w:p>
          <w:p w:rsidR="00C33E03" w:rsidP="00C33E03" w14:paraId="6BC1D852" w14:textId="0BF3DF65">
            <w:r>
              <w:t> Native</w:t>
            </w:r>
            <w:r w:rsidR="00DF1F82">
              <w:t xml:space="preserve"> Hawaiian or Other Pacific Islander</w:t>
            </w:r>
            <w:r>
              <w:t xml:space="preserve">  </w:t>
            </w:r>
          </w:p>
          <w:p w:rsidR="00C33E03" w:rsidP="00C33E03" w14:paraId="35EA84B0" w14:textId="29005D99">
            <w:r>
              <w:t xml:space="preserve"> </w:t>
            </w:r>
            <w:r w:rsidR="00DF1F82">
              <w:t>White</w:t>
            </w:r>
            <w:r>
              <w:t xml:space="preserve">   </w:t>
            </w:r>
          </w:p>
          <w:p w:rsidR="00C33E03" w:rsidP="00C33E03" w14:paraId="00F12491" w14:textId="77777777">
            <w:r>
              <w:t xml:space="preserve"> Prefer not to answer  </w:t>
            </w:r>
          </w:p>
          <w:p w:rsidR="00C33E03" w:rsidP="00526CF3" w14:paraId="1779B959" w14:textId="77777777"/>
        </w:tc>
      </w:tr>
      <w:tr w14:paraId="408CD4DF" w14:textId="77777777" w:rsidTr="00C33E03">
        <w:tblPrEx>
          <w:tblW w:w="0" w:type="auto"/>
          <w:tblLook w:val="04A0"/>
        </w:tblPrEx>
        <w:tc>
          <w:tcPr>
            <w:tcW w:w="5035" w:type="dxa"/>
          </w:tcPr>
          <w:p w:rsidR="00C33E03" w:rsidP="00C33E03" w14:paraId="4EA3049A" w14:textId="77777777">
            <w:r w:rsidRPr="009E70FD">
              <w:t xml:space="preserve">Do you consider yourself to be Hispanic or Latino? </w:t>
            </w:r>
          </w:p>
          <w:p w:rsidR="00C33E03" w:rsidP="00526CF3" w14:paraId="52EC4D54" w14:textId="77777777"/>
        </w:tc>
        <w:tc>
          <w:tcPr>
            <w:tcW w:w="5035" w:type="dxa"/>
          </w:tcPr>
          <w:p w:rsidR="00C33E03" w:rsidP="00C33E03" w14:paraId="03584972" w14:textId="77777777">
            <w:r>
              <w:t xml:space="preserve"> Yes </w:t>
            </w:r>
          </w:p>
          <w:p w:rsidR="00C33E03" w:rsidP="00C33E03" w14:paraId="6D065275" w14:textId="77777777">
            <w:r>
              <w:t xml:space="preserve"> No </w:t>
            </w:r>
          </w:p>
          <w:p w:rsidR="00C33E03" w:rsidP="00C33E03" w14:paraId="26964D9D" w14:textId="77777777">
            <w:r>
              <w:t> Prefer not to answer</w:t>
            </w:r>
          </w:p>
          <w:p w:rsidR="00C33E03" w:rsidP="00526CF3" w14:paraId="4E5F7EB5" w14:textId="77777777"/>
        </w:tc>
      </w:tr>
      <w:tr w14:paraId="0D65980C" w14:textId="77777777" w:rsidTr="00C33E03">
        <w:tblPrEx>
          <w:tblW w:w="0" w:type="auto"/>
          <w:tblLook w:val="04A0"/>
        </w:tblPrEx>
        <w:tc>
          <w:tcPr>
            <w:tcW w:w="5035" w:type="dxa"/>
          </w:tcPr>
          <w:p w:rsidR="00C33E03" w:rsidP="00526CF3" w14:paraId="418CB33B" w14:textId="2F9C87FB">
            <w:r w:rsidRPr="001E1993">
              <w:t>Have you ever taken “</w:t>
            </w:r>
            <w:r w:rsidRPr="001E1993">
              <w:t>mycin</w:t>
            </w:r>
            <w:r w:rsidRPr="001E1993">
              <w:t>” antibiotics (such as streptomycin, gentamycin, or neomycin) for 2 weeks or longer?</w:t>
            </w:r>
          </w:p>
        </w:tc>
        <w:tc>
          <w:tcPr>
            <w:tcW w:w="5035" w:type="dxa"/>
          </w:tcPr>
          <w:p w:rsidR="00C33E03" w:rsidP="00C33E03" w14:paraId="17100C7E" w14:textId="1E5CD9B3">
            <w:r>
              <w:t>Yes</w:t>
            </w:r>
          </w:p>
          <w:p w:rsidR="00C33E03" w:rsidP="00C33E03" w14:paraId="5DBC0554" w14:textId="6B1857E7">
            <w:r>
              <w:t>No</w:t>
            </w:r>
          </w:p>
          <w:p w:rsidR="00C33E03" w:rsidP="00C33E03" w14:paraId="11255344" w14:textId="1FF13BBF">
            <w:r>
              <w:t>Prefer not to answer</w:t>
            </w:r>
          </w:p>
          <w:p w:rsidR="00C33E03" w:rsidP="00C33E03" w14:paraId="5FF812D2" w14:textId="048DC790">
            <w:r>
              <w:t>Don’t know</w:t>
            </w:r>
          </w:p>
          <w:p w:rsidR="00C33E03" w:rsidP="00526CF3" w14:paraId="4DC4AE75" w14:textId="77777777"/>
        </w:tc>
      </w:tr>
      <w:tr w14:paraId="623E78D9" w14:textId="77777777" w:rsidTr="00C33E03">
        <w:tblPrEx>
          <w:tblW w:w="0" w:type="auto"/>
          <w:tblLook w:val="04A0"/>
        </w:tblPrEx>
        <w:tc>
          <w:tcPr>
            <w:tcW w:w="5035" w:type="dxa"/>
          </w:tcPr>
          <w:p w:rsidR="00C33E03" w:rsidRPr="001E1993" w:rsidP="00526CF3" w14:paraId="2CFECA6B" w14:textId="098B2A02">
            <w:r w:rsidRPr="001E1993">
              <w:t>Have you ever taken any Chemotherapy drugs (such as cisplatin or carboplatin) for 2 weeks or longer?</w:t>
            </w:r>
          </w:p>
        </w:tc>
        <w:tc>
          <w:tcPr>
            <w:tcW w:w="5035" w:type="dxa"/>
          </w:tcPr>
          <w:p w:rsidR="00C33E03" w:rsidP="00C33E03" w14:paraId="2BA14D37" w14:textId="77777777">
            <w:r>
              <w:t>Yes</w:t>
            </w:r>
          </w:p>
          <w:p w:rsidR="00C33E03" w:rsidP="00C33E03" w14:paraId="661BFD30" w14:textId="77777777">
            <w:r>
              <w:t>No</w:t>
            </w:r>
          </w:p>
          <w:p w:rsidR="00C33E03" w:rsidP="00C33E03" w14:paraId="5ACCFBD8" w14:textId="77777777">
            <w:r>
              <w:t>Prefer not to answer</w:t>
            </w:r>
          </w:p>
          <w:p w:rsidR="00C33E03" w:rsidP="00C33E03" w14:paraId="04E66C68" w14:textId="77777777">
            <w:r>
              <w:t>Don’t know</w:t>
            </w:r>
          </w:p>
          <w:p w:rsidR="00C33E03" w:rsidP="00526CF3" w14:paraId="45A83D24" w14:textId="77777777"/>
        </w:tc>
      </w:tr>
      <w:tr w14:paraId="5C73CE6B" w14:textId="77777777" w:rsidTr="00C33E03">
        <w:tblPrEx>
          <w:tblW w:w="0" w:type="auto"/>
          <w:tblLook w:val="04A0"/>
        </w:tblPrEx>
        <w:tc>
          <w:tcPr>
            <w:tcW w:w="5035" w:type="dxa"/>
          </w:tcPr>
          <w:p w:rsidR="00C33E03" w:rsidP="00C33E03" w14:paraId="6D2BF8D1" w14:textId="77777777">
            <w:r w:rsidRPr="000C004B">
              <w:t xml:space="preserve">Have you ever taken water loss medicines, also called diuretics (such as </w:t>
            </w:r>
            <w:r w:rsidRPr="000C004B">
              <w:t>Edecrin</w:t>
            </w:r>
            <w:r w:rsidRPr="000C004B">
              <w:t xml:space="preserve"> [ethacrynic acid] or Lasix [furosemide]) for 1 month or longer?  </w:t>
            </w:r>
          </w:p>
          <w:p w:rsidR="00C33E03" w:rsidP="00C33E03" w14:paraId="4AF55898" w14:textId="77777777"/>
          <w:p w:rsidR="00C33E03" w:rsidP="00C33E03" w14:paraId="4154A3FF" w14:textId="77777777"/>
          <w:p w:rsidR="00C33E03" w:rsidP="00C33E03" w14:paraId="779A30AF" w14:textId="77777777"/>
          <w:p w:rsidR="00C33E03" w:rsidRPr="001E1993" w:rsidP="00C33E03" w14:paraId="16A4A905" w14:textId="77777777"/>
        </w:tc>
        <w:tc>
          <w:tcPr>
            <w:tcW w:w="5035" w:type="dxa"/>
          </w:tcPr>
          <w:p w:rsidR="00C33E03" w:rsidP="00C33E03" w14:paraId="07168F21" w14:textId="77777777">
            <w:r>
              <w:t>Yes</w:t>
            </w:r>
          </w:p>
          <w:p w:rsidR="00C33E03" w:rsidP="00C33E03" w14:paraId="077D8B6E" w14:textId="77777777">
            <w:r>
              <w:t>No</w:t>
            </w:r>
          </w:p>
          <w:p w:rsidR="00C33E03" w:rsidP="00C33E03" w14:paraId="765AB567" w14:textId="77777777">
            <w:r>
              <w:t>Prefer not to answer</w:t>
            </w:r>
          </w:p>
          <w:p w:rsidR="00C33E03" w:rsidP="00C33E03" w14:paraId="10EE2456" w14:textId="77777777">
            <w:r>
              <w:t>Don’t know</w:t>
            </w:r>
          </w:p>
          <w:p w:rsidR="00C33E03" w:rsidP="00526CF3" w14:paraId="45F4D3F2" w14:textId="77777777"/>
        </w:tc>
      </w:tr>
      <w:tr w14:paraId="30BC8E9D" w14:textId="77777777" w:rsidTr="00C33E03">
        <w:tblPrEx>
          <w:tblW w:w="0" w:type="auto"/>
          <w:tblLook w:val="04A0"/>
        </w:tblPrEx>
        <w:tc>
          <w:tcPr>
            <w:tcW w:w="5035" w:type="dxa"/>
          </w:tcPr>
          <w:p w:rsidR="00C33E03" w:rsidP="00C33E03" w14:paraId="50344CB4" w14:textId="77777777">
            <w:r w:rsidRPr="000C004B">
              <w:t>Have you ever taken any Antimalarial drugs (such as quinine, chloroquine, or hydroxychloroquine) for 1 month or longer?</w:t>
            </w:r>
          </w:p>
          <w:p w:rsidR="00C33E03" w:rsidRPr="001E1993" w:rsidP="00526CF3" w14:paraId="76AE4586" w14:textId="77777777"/>
        </w:tc>
        <w:tc>
          <w:tcPr>
            <w:tcW w:w="5035" w:type="dxa"/>
          </w:tcPr>
          <w:p w:rsidR="00C33E03" w:rsidP="00C33E03" w14:paraId="64B0F67F" w14:textId="77777777">
            <w:r>
              <w:t>Yes</w:t>
            </w:r>
          </w:p>
          <w:p w:rsidR="00C33E03" w:rsidP="00C33E03" w14:paraId="73ED6224" w14:textId="77777777">
            <w:r>
              <w:t>No</w:t>
            </w:r>
          </w:p>
          <w:p w:rsidR="00C33E03" w:rsidP="00C33E03" w14:paraId="74DAF084" w14:textId="77777777">
            <w:r>
              <w:t>Prefer not to answer</w:t>
            </w:r>
          </w:p>
          <w:p w:rsidR="00C33E03" w:rsidP="00C33E03" w14:paraId="0E49F875" w14:textId="77777777">
            <w:r>
              <w:t>Don’t know</w:t>
            </w:r>
          </w:p>
          <w:p w:rsidR="00C33E03" w:rsidP="00526CF3" w14:paraId="16AE1DDE" w14:textId="77777777"/>
        </w:tc>
      </w:tr>
      <w:tr w14:paraId="0ED2296B" w14:textId="77777777" w:rsidTr="00C33E03">
        <w:tblPrEx>
          <w:tblW w:w="0" w:type="auto"/>
          <w:tblLook w:val="04A0"/>
        </w:tblPrEx>
        <w:tc>
          <w:tcPr>
            <w:tcW w:w="5035" w:type="dxa"/>
          </w:tcPr>
          <w:p w:rsidR="00C33E03" w:rsidP="00C33E03" w14:paraId="1F11AB06" w14:textId="77777777">
            <w:r w:rsidRPr="0028032C">
              <w:t>Have you ever taken aspirin for 1 month or longer?</w:t>
            </w:r>
          </w:p>
          <w:p w:rsidR="00C33E03" w:rsidRPr="0028032C" w:rsidP="00C33E03" w14:paraId="4CBF4BA8" w14:textId="77777777"/>
        </w:tc>
        <w:tc>
          <w:tcPr>
            <w:tcW w:w="5035" w:type="dxa"/>
          </w:tcPr>
          <w:p w:rsidR="00C33E03" w:rsidP="00C33E03" w14:paraId="03DAC15A" w14:textId="5C2D6BA8">
            <w:r>
              <w:t>Yes</w:t>
            </w:r>
          </w:p>
          <w:p w:rsidR="00C33E03" w:rsidP="00C33E03" w14:paraId="7A3847B3" w14:textId="5587F24F">
            <w:r>
              <w:t>No</w:t>
            </w:r>
          </w:p>
          <w:p w:rsidR="00C33E03" w:rsidP="00C33E03" w14:paraId="5C238C18" w14:textId="5B679837">
            <w:r>
              <w:t>Prefer not to answer</w:t>
            </w:r>
          </w:p>
          <w:p w:rsidR="00C33E03" w:rsidP="00C33E03" w14:paraId="5AC26E7A" w14:textId="304755D1">
            <w:r>
              <w:t>Don’t know</w:t>
            </w:r>
          </w:p>
          <w:p w:rsidR="00C33E03" w:rsidP="00C33E03" w14:paraId="61C64857" w14:textId="77777777"/>
        </w:tc>
      </w:tr>
      <w:tr w14:paraId="16331899" w14:textId="77777777" w:rsidTr="00C33E03">
        <w:tblPrEx>
          <w:tblW w:w="0" w:type="auto"/>
          <w:tblLook w:val="04A0"/>
        </w:tblPrEx>
        <w:tc>
          <w:tcPr>
            <w:tcW w:w="5035" w:type="dxa"/>
          </w:tcPr>
          <w:p w:rsidR="00C33E03" w:rsidRPr="00B716BD" w:rsidP="00C33E03" w14:paraId="1FBB04D5" w14:textId="00613030">
            <w:r w:rsidRPr="00B716BD">
              <w:t xml:space="preserve">Which statement best describes your hearing (without a hearing aid or other listening devices)?  </w:t>
            </w:r>
          </w:p>
        </w:tc>
        <w:tc>
          <w:tcPr>
            <w:tcW w:w="5035" w:type="dxa"/>
          </w:tcPr>
          <w:p w:rsidR="0051011D" w:rsidRPr="00B716BD" w:rsidP="00B716BD" w14:paraId="6BAE3FE0" w14:textId="02F86C92">
            <w:pPr>
              <w:pStyle w:val="paragraph"/>
              <w:spacing w:before="0" w:beforeAutospacing="0" w:after="0" w:afterAutospacing="0"/>
              <w:textAlignment w:val="baseline"/>
            </w:pPr>
            <w:r w:rsidRPr="00B716BD">
              <w:t xml:space="preserve"> </w:t>
            </w:r>
            <w:r w:rsidRPr="00B716BD">
              <w:rPr>
                <w:rStyle w:val="normaltextrun"/>
              </w:rPr>
              <w:t>Excellent</w:t>
            </w:r>
            <w:r w:rsidRPr="00B716BD">
              <w:rPr>
                <w:rStyle w:val="eop"/>
              </w:rPr>
              <w:t> </w:t>
            </w:r>
          </w:p>
          <w:p w:rsidR="0051011D" w:rsidRPr="00B716BD" w:rsidP="00B716BD" w14:paraId="16D55A0E" w14:textId="0F69C7D4">
            <w:pPr>
              <w:pStyle w:val="paragraph"/>
              <w:spacing w:before="0" w:beforeAutospacing="0" w:after="0" w:afterAutospacing="0"/>
              <w:textAlignment w:val="baseline"/>
            </w:pPr>
            <w:r w:rsidRPr="00B716BD">
              <w:t xml:space="preserve"> </w:t>
            </w:r>
            <w:r w:rsidRPr="00B716BD">
              <w:rPr>
                <w:rStyle w:val="normaltextrun"/>
              </w:rPr>
              <w:t>Good</w:t>
            </w:r>
            <w:r w:rsidRPr="00B716BD">
              <w:rPr>
                <w:rStyle w:val="eop"/>
              </w:rPr>
              <w:t> </w:t>
            </w:r>
          </w:p>
          <w:p w:rsidR="0051011D" w:rsidRPr="00B716BD" w:rsidP="00B716BD" w14:paraId="11EC914C" w14:textId="6823B8A1">
            <w:pPr>
              <w:pStyle w:val="paragraph"/>
              <w:spacing w:before="0" w:beforeAutospacing="0" w:after="0" w:afterAutospacing="0"/>
              <w:textAlignment w:val="baseline"/>
            </w:pPr>
            <w:r w:rsidRPr="00B716BD">
              <w:t xml:space="preserve"> </w:t>
            </w:r>
            <w:r w:rsidRPr="00B716BD">
              <w:rPr>
                <w:rStyle w:val="normaltextrun"/>
              </w:rPr>
              <w:t>A little trouble </w:t>
            </w:r>
            <w:r w:rsidRPr="00B716BD">
              <w:rPr>
                <w:rStyle w:val="eop"/>
              </w:rPr>
              <w:t> </w:t>
            </w:r>
          </w:p>
          <w:p w:rsidR="0051011D" w:rsidRPr="00B716BD" w:rsidP="00B716BD" w14:paraId="3B8ECBA7" w14:textId="3D6ED433">
            <w:pPr>
              <w:pStyle w:val="paragraph"/>
              <w:spacing w:before="0" w:beforeAutospacing="0" w:after="0" w:afterAutospacing="0"/>
              <w:textAlignment w:val="baseline"/>
            </w:pPr>
            <w:r w:rsidRPr="00B716BD">
              <w:t xml:space="preserve"> </w:t>
            </w:r>
            <w:r w:rsidRPr="00B716BD">
              <w:rPr>
                <w:rStyle w:val="normaltextrun"/>
              </w:rPr>
              <w:t>Moderate hearing trouble</w:t>
            </w:r>
            <w:r w:rsidRPr="00B716BD">
              <w:rPr>
                <w:rStyle w:val="eop"/>
              </w:rPr>
              <w:t> </w:t>
            </w:r>
          </w:p>
          <w:p w:rsidR="0051011D" w:rsidRPr="00B716BD" w:rsidP="00B716BD" w14:paraId="7027A499" w14:textId="5FCF8EF4">
            <w:pPr>
              <w:pStyle w:val="paragraph"/>
              <w:spacing w:before="0" w:beforeAutospacing="0" w:after="0" w:afterAutospacing="0"/>
              <w:textAlignment w:val="baseline"/>
            </w:pPr>
            <w:r w:rsidRPr="00B716BD">
              <w:t xml:space="preserve"> </w:t>
            </w:r>
            <w:r w:rsidRPr="00B716BD">
              <w:rPr>
                <w:rStyle w:val="normaltextrun"/>
              </w:rPr>
              <w:t>A lot of trouble </w:t>
            </w:r>
            <w:r w:rsidRPr="00B716BD">
              <w:rPr>
                <w:rStyle w:val="eop"/>
              </w:rPr>
              <w:t> </w:t>
            </w:r>
          </w:p>
          <w:p w:rsidR="0051011D" w:rsidRPr="00B716BD" w:rsidP="00B716BD" w14:paraId="3BE2871B" w14:textId="38AC0C18">
            <w:pPr>
              <w:pStyle w:val="paragraph"/>
              <w:spacing w:before="0" w:beforeAutospacing="0" w:after="0" w:afterAutospacing="0"/>
              <w:textAlignment w:val="baseline"/>
            </w:pPr>
            <w:r w:rsidRPr="00B716BD">
              <w:t xml:space="preserve"> </w:t>
            </w:r>
            <w:r w:rsidRPr="00B716BD">
              <w:rPr>
                <w:rStyle w:val="normaltextrun"/>
              </w:rPr>
              <w:t>Deaf</w:t>
            </w:r>
            <w:r w:rsidRPr="00B716BD">
              <w:rPr>
                <w:rStyle w:val="eop"/>
              </w:rPr>
              <w:t> </w:t>
            </w:r>
          </w:p>
          <w:p w:rsidR="0051011D" w:rsidRPr="00B716BD" w:rsidP="00B716BD" w14:paraId="7C65E4A8" w14:textId="3B58CC4F">
            <w:pPr>
              <w:pStyle w:val="paragraph"/>
              <w:spacing w:before="0" w:beforeAutospacing="0" w:after="0" w:afterAutospacing="0"/>
              <w:textAlignment w:val="baseline"/>
            </w:pPr>
            <w:r w:rsidRPr="00B716BD">
              <w:t xml:space="preserve"> </w:t>
            </w:r>
            <w:r w:rsidRPr="00B716BD">
              <w:rPr>
                <w:rStyle w:val="normaltextrun"/>
              </w:rPr>
              <w:t>Prefer not to answer</w:t>
            </w:r>
            <w:r w:rsidRPr="00B716BD">
              <w:rPr>
                <w:rStyle w:val="eop"/>
              </w:rPr>
              <w:t> </w:t>
            </w:r>
          </w:p>
          <w:p w:rsidR="0051011D" w:rsidRPr="00B716BD" w:rsidP="00B716BD" w14:paraId="6C01F6AB" w14:textId="43732270">
            <w:pPr>
              <w:pStyle w:val="paragraph"/>
              <w:spacing w:before="0" w:beforeAutospacing="0" w:after="0" w:afterAutospacing="0"/>
              <w:textAlignment w:val="baseline"/>
            </w:pPr>
            <w:r w:rsidRPr="00B716BD">
              <w:t></w:t>
            </w:r>
            <w:r w:rsidRPr="00B716BD">
              <w:rPr>
                <w:rStyle w:val="normaltextrun"/>
              </w:rPr>
              <w:t xml:space="preserve"> Don’t know</w:t>
            </w:r>
            <w:r w:rsidRPr="00B716BD">
              <w:rPr>
                <w:rStyle w:val="eop"/>
              </w:rPr>
              <w:t> </w:t>
            </w:r>
          </w:p>
          <w:p w:rsidR="00C33E03" w:rsidRPr="00B716BD" w:rsidP="00C33E03" w14:paraId="64B53159" w14:textId="77777777"/>
        </w:tc>
      </w:tr>
    </w:tbl>
    <w:p w:rsidR="00C33E03" w:rsidP="00526CF3" w14:paraId="65920B69" w14:textId="77777777"/>
    <w:p w:rsidR="001E1993" w:rsidP="00526CF3" w14:paraId="732DFA8A" w14:textId="5A5D0C99">
      <w:r>
        <w:t xml:space="preserve"> </w:t>
      </w:r>
    </w:p>
    <w:p w:rsidR="00526CF3" w:rsidP="00B716BD" w14:paraId="16A33639" w14:textId="041AD1D7">
      <w:r>
        <w:t>All questionnaire response data will be treated in a secure manner</w:t>
      </w:r>
      <w:r w:rsidR="00FC1359">
        <w:t>, leveraging the NECP/Virtual Volumes, and possibly the Virtual Analytical Workspace, if available,</w:t>
      </w:r>
      <w:r>
        <w:t xml:space="preserve"> and will not be disclosed, unless compelled under law. Aggregation of responses will ensure participants will not be identifiable.</w:t>
      </w:r>
      <w:r w:rsidR="00AB264D">
        <w:t xml:space="preserve"> </w:t>
      </w:r>
    </w:p>
    <w:p w:rsidR="00C11EED" w:rsidRPr="00526CF3" w:rsidP="00B716BD" w14:paraId="2BC1575A" w14:textId="77777777"/>
    <w:p w:rsidR="009C0CB3" w:rsidP="006771B4" w14:paraId="5A857FE7" w14:textId="02A6C0A6">
      <w:pPr>
        <w:pStyle w:val="Heading1"/>
      </w:pPr>
      <w:bookmarkStart w:id="13" w:name="_Toc130908462"/>
      <w:r>
        <w:t>12. Estimates of Annualized Burden Hours and Costs</w:t>
      </w:r>
      <w:bookmarkEnd w:id="13"/>
    </w:p>
    <w:p w:rsidR="003D277D" w:rsidRPr="00315BC0" w:rsidP="004273F1" w14:paraId="7656757F" w14:textId="77777777"/>
    <w:p w:rsidR="001B2400" w:rsidP="00D8623B" w14:paraId="57132199" w14:textId="37804EEE">
      <w:r>
        <w:t xml:space="preserve">The burden hour estimates are presented in Table A12.1. </w:t>
      </w:r>
      <w:r w:rsidR="00D8623B">
        <w:t xml:space="preserve">We estimate a total response burden </w:t>
      </w:r>
      <w:r w:rsidRPr="001F0FCF" w:rsidR="00D8623B">
        <w:rPr>
          <w:color w:val="000000"/>
        </w:rPr>
        <w:t xml:space="preserve">of </w:t>
      </w:r>
      <w:r w:rsidR="00EA5BE3">
        <w:rPr>
          <w:color w:val="000000"/>
        </w:rPr>
        <w:t>106</w:t>
      </w:r>
      <w:r w:rsidR="00D8623B">
        <w:rPr>
          <w:color w:val="000000"/>
        </w:rPr>
        <w:t xml:space="preserve"> </w:t>
      </w:r>
      <w:r w:rsidRPr="001F0FCF" w:rsidR="00D8623B">
        <w:rPr>
          <w:color w:val="000000"/>
        </w:rPr>
        <w:t>hours</w:t>
      </w:r>
      <w:r w:rsidR="00D8623B">
        <w:t xml:space="preserve">. </w:t>
      </w:r>
      <w:r w:rsidR="00E25CDD">
        <w:t xml:space="preserve">A target of </w:t>
      </w:r>
      <w:r w:rsidR="00361ECA">
        <w:t>500</w:t>
      </w:r>
      <w:r w:rsidR="00D8623B">
        <w:t xml:space="preserve"> respondents</w:t>
      </w:r>
      <w:r w:rsidR="0074084F">
        <w:t xml:space="preserve"> </w:t>
      </w:r>
      <w:r w:rsidR="00E25CDD">
        <w:t>will</w:t>
      </w:r>
      <w:r w:rsidR="00D8623B">
        <w:t xml:space="preserve"> read</w:t>
      </w:r>
      <w:r w:rsidR="00E25CDD">
        <w:t xml:space="preserve"> </w:t>
      </w:r>
      <w:r w:rsidR="00D8623B">
        <w:t>and complet</w:t>
      </w:r>
      <w:r w:rsidR="00E25CDD">
        <w:t>e a</w:t>
      </w:r>
      <w:r w:rsidR="00D8623B">
        <w:t xml:space="preserve"> questionnaire</w:t>
      </w:r>
      <w:r w:rsidR="00F761DD">
        <w:t xml:space="preserve"> (Attachment C)</w:t>
      </w:r>
      <w:r>
        <w:t xml:space="preserve"> as well as an informed consent form (Attachment F)</w:t>
      </w:r>
      <w:r w:rsidR="00E25CDD">
        <w:t xml:space="preserve">. </w:t>
      </w:r>
      <w:r w:rsidR="00AD491E">
        <w:t>A</w:t>
      </w:r>
      <w:r w:rsidR="001B06D7">
        <w:t xml:space="preserve"> </w:t>
      </w:r>
      <w:r w:rsidR="00AD491E">
        <w:t>hundred workers will</w:t>
      </w:r>
      <w:r w:rsidR="00403BE9">
        <w:t xml:space="preserve"> undergo audiometry</w:t>
      </w:r>
      <w:r w:rsidR="00F761DD">
        <w:t xml:space="preserve"> (Attachment G)</w:t>
      </w:r>
      <w:r>
        <w:t>.</w:t>
      </w:r>
      <w:r w:rsidRPr="00B00284" w:rsidR="00D8623B">
        <w:t xml:space="preserve"> </w:t>
      </w:r>
    </w:p>
    <w:p w:rsidR="007D6E96" w:rsidP="00D8623B" w14:paraId="31CA3D4A" w14:textId="77777777">
      <w:pPr>
        <w:rPr>
          <w:b/>
        </w:rPr>
      </w:pPr>
    </w:p>
    <w:p w:rsidR="00D8623B" w:rsidP="00D8623B" w14:paraId="101160B2" w14:textId="0DD7FB24">
      <w:pPr>
        <w:rPr>
          <w:b/>
        </w:rPr>
      </w:pPr>
      <w:r w:rsidRPr="52F1935E">
        <w:rPr>
          <w:b/>
          <w:bCs/>
        </w:rPr>
        <w:t xml:space="preserve">Table A12.1 Estimated Annualized Time Burden to Respondents </w:t>
      </w:r>
    </w:p>
    <w:p w:rsidR="00B20705" w:rsidP="00D8623B" w14:paraId="10D12FDD" w14:textId="77777777">
      <w:pPr>
        <w:rPr>
          <w:b/>
        </w:rPr>
      </w:pPr>
    </w:p>
    <w:tbl>
      <w:tblPr>
        <w:tblW w:w="979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800"/>
        <w:gridCol w:w="2085"/>
        <w:gridCol w:w="1800"/>
        <w:gridCol w:w="1650"/>
        <w:gridCol w:w="1380"/>
        <w:gridCol w:w="1080"/>
      </w:tblGrid>
      <w:tr w14:paraId="0D47C4A0" w14:textId="77777777" w:rsidTr="00244EEC">
        <w:tblPrEx>
          <w:tblW w:w="979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c>
          <w:tcPr>
            <w:tcW w:w="1800" w:type="dxa"/>
            <w:tcBorders>
              <w:top w:val="single" w:sz="6" w:space="0" w:color="auto"/>
              <w:left w:val="single" w:sz="6" w:space="0" w:color="auto"/>
              <w:bottom w:val="single" w:sz="6" w:space="0" w:color="auto"/>
              <w:right w:val="single" w:sz="6" w:space="0" w:color="auto"/>
            </w:tcBorders>
            <w:shd w:val="clear" w:color="auto" w:fill="auto"/>
            <w:hideMark/>
          </w:tcPr>
          <w:p w:rsidR="00B20705" w:rsidRPr="006E44E1" w:rsidP="00B20705" w14:paraId="1F4FD29B" w14:textId="77777777">
            <w:pPr>
              <w:rPr>
                <w:b/>
              </w:rPr>
            </w:pPr>
            <w:r w:rsidRPr="006E44E1">
              <w:rPr>
                <w:b/>
              </w:rPr>
              <w:t>Type of Respondents </w:t>
            </w:r>
          </w:p>
        </w:tc>
        <w:tc>
          <w:tcPr>
            <w:tcW w:w="2085" w:type="dxa"/>
            <w:tcBorders>
              <w:top w:val="single" w:sz="6" w:space="0" w:color="auto"/>
              <w:left w:val="single" w:sz="6" w:space="0" w:color="auto"/>
              <w:bottom w:val="single" w:sz="6" w:space="0" w:color="auto"/>
              <w:right w:val="single" w:sz="6" w:space="0" w:color="auto"/>
            </w:tcBorders>
            <w:shd w:val="clear" w:color="auto" w:fill="auto"/>
            <w:hideMark/>
          </w:tcPr>
          <w:p w:rsidR="00B20705" w:rsidRPr="006E44E1" w:rsidP="00B20705" w14:paraId="544F4858" w14:textId="77777777">
            <w:pPr>
              <w:rPr>
                <w:b/>
              </w:rPr>
            </w:pPr>
            <w:r w:rsidRPr="006E44E1">
              <w:rPr>
                <w:b/>
              </w:rPr>
              <w:t>Form Name </w:t>
            </w:r>
          </w:p>
        </w:tc>
        <w:tc>
          <w:tcPr>
            <w:tcW w:w="1800" w:type="dxa"/>
            <w:tcBorders>
              <w:top w:val="single" w:sz="6" w:space="0" w:color="auto"/>
              <w:left w:val="single" w:sz="6" w:space="0" w:color="auto"/>
              <w:bottom w:val="single" w:sz="6" w:space="0" w:color="auto"/>
              <w:right w:val="single" w:sz="6" w:space="0" w:color="auto"/>
            </w:tcBorders>
            <w:shd w:val="clear" w:color="auto" w:fill="auto"/>
            <w:hideMark/>
          </w:tcPr>
          <w:p w:rsidR="00B20705" w:rsidRPr="006E44E1" w:rsidP="00B20705" w14:paraId="00972F1D" w14:textId="77777777">
            <w:pPr>
              <w:rPr>
                <w:b/>
              </w:rPr>
            </w:pPr>
            <w:r w:rsidRPr="006E44E1">
              <w:rPr>
                <w:b/>
              </w:rPr>
              <w:t>Number of Respondents </w:t>
            </w:r>
          </w:p>
        </w:tc>
        <w:tc>
          <w:tcPr>
            <w:tcW w:w="1650" w:type="dxa"/>
            <w:tcBorders>
              <w:top w:val="single" w:sz="6" w:space="0" w:color="auto"/>
              <w:left w:val="single" w:sz="6" w:space="0" w:color="auto"/>
              <w:bottom w:val="single" w:sz="6" w:space="0" w:color="auto"/>
              <w:right w:val="single" w:sz="6" w:space="0" w:color="auto"/>
            </w:tcBorders>
            <w:shd w:val="clear" w:color="auto" w:fill="auto"/>
            <w:hideMark/>
          </w:tcPr>
          <w:p w:rsidR="00B20705" w:rsidRPr="006E44E1" w:rsidP="00B20705" w14:paraId="42F72887" w14:textId="77777777">
            <w:pPr>
              <w:rPr>
                <w:b/>
              </w:rPr>
            </w:pPr>
            <w:r w:rsidRPr="006E44E1">
              <w:rPr>
                <w:b/>
              </w:rPr>
              <w:t>Number of Responses per Respondent </w:t>
            </w:r>
          </w:p>
        </w:tc>
        <w:tc>
          <w:tcPr>
            <w:tcW w:w="1380" w:type="dxa"/>
            <w:tcBorders>
              <w:top w:val="single" w:sz="6" w:space="0" w:color="auto"/>
              <w:left w:val="single" w:sz="6" w:space="0" w:color="auto"/>
              <w:bottom w:val="single" w:sz="6" w:space="0" w:color="auto"/>
              <w:right w:val="single" w:sz="6" w:space="0" w:color="auto"/>
            </w:tcBorders>
            <w:shd w:val="clear" w:color="auto" w:fill="auto"/>
            <w:hideMark/>
          </w:tcPr>
          <w:p w:rsidR="00B20705" w:rsidRPr="006E44E1" w:rsidP="00B20705" w14:paraId="1EDA9757" w14:textId="77777777">
            <w:pPr>
              <w:rPr>
                <w:b/>
              </w:rPr>
            </w:pPr>
            <w:r w:rsidRPr="006E44E1">
              <w:rPr>
                <w:b/>
              </w:rPr>
              <w:t>Average Burden per Response (in hours) </w:t>
            </w:r>
          </w:p>
        </w:tc>
        <w:tc>
          <w:tcPr>
            <w:tcW w:w="1080" w:type="dxa"/>
            <w:tcBorders>
              <w:top w:val="single" w:sz="6" w:space="0" w:color="auto"/>
              <w:left w:val="single" w:sz="6" w:space="0" w:color="auto"/>
              <w:bottom w:val="single" w:sz="6" w:space="0" w:color="auto"/>
              <w:right w:val="single" w:sz="6" w:space="0" w:color="auto"/>
            </w:tcBorders>
            <w:shd w:val="clear" w:color="auto" w:fill="auto"/>
            <w:hideMark/>
          </w:tcPr>
          <w:p w:rsidR="00B20705" w:rsidRPr="006E44E1" w:rsidP="00B20705" w14:paraId="42ECB0CF" w14:textId="77777777">
            <w:pPr>
              <w:rPr>
                <w:b/>
              </w:rPr>
            </w:pPr>
            <w:r w:rsidRPr="006E44E1">
              <w:rPr>
                <w:b/>
              </w:rPr>
              <w:t>Total Burden (in hours) </w:t>
            </w:r>
          </w:p>
        </w:tc>
      </w:tr>
      <w:tr w14:paraId="77355AE9" w14:textId="77777777" w:rsidTr="00652071">
        <w:tblPrEx>
          <w:tblW w:w="9795" w:type="dxa"/>
          <w:tblCellMar>
            <w:left w:w="0" w:type="dxa"/>
            <w:right w:w="0" w:type="dxa"/>
          </w:tblCellMar>
          <w:tblLook w:val="04A0"/>
        </w:tblPrEx>
        <w:tc>
          <w:tcPr>
            <w:tcW w:w="1800" w:type="dxa"/>
            <w:vMerge w:val="restart"/>
            <w:tcBorders>
              <w:top w:val="single" w:sz="6" w:space="0" w:color="auto"/>
              <w:left w:val="single" w:sz="6" w:space="0" w:color="auto"/>
              <w:right w:val="single" w:sz="6" w:space="0" w:color="auto"/>
            </w:tcBorders>
            <w:shd w:val="clear" w:color="auto" w:fill="auto"/>
            <w:hideMark/>
          </w:tcPr>
          <w:p w:rsidR="00F761DD" w:rsidP="00B20705" w14:paraId="688C254F" w14:textId="77777777">
            <w:pPr>
              <w:rPr>
                <w:bCs/>
              </w:rPr>
            </w:pPr>
          </w:p>
          <w:p w:rsidR="00F761DD" w:rsidRPr="009F02F7" w:rsidP="00B20705" w14:paraId="146ADCDD" w14:textId="3F98EB6A">
            <w:pPr>
              <w:rPr>
                <w:bCs/>
              </w:rPr>
            </w:pPr>
            <w:r w:rsidRPr="009F02F7">
              <w:rPr>
                <w:bCs/>
              </w:rPr>
              <w:t>Oil and Gas Workers </w:t>
            </w:r>
          </w:p>
          <w:p w:rsidR="00F761DD" w:rsidRPr="009F02F7" w:rsidP="00B20705" w14:paraId="154EF649" w14:textId="5060BF2D">
            <w:pPr>
              <w:rPr>
                <w:bCs/>
              </w:rPr>
            </w:pPr>
          </w:p>
        </w:tc>
        <w:tc>
          <w:tcPr>
            <w:tcW w:w="2085" w:type="dxa"/>
            <w:tcBorders>
              <w:top w:val="single" w:sz="6" w:space="0" w:color="auto"/>
              <w:left w:val="single" w:sz="6" w:space="0" w:color="auto"/>
              <w:bottom w:val="single" w:sz="6" w:space="0" w:color="auto"/>
              <w:right w:val="single" w:sz="6" w:space="0" w:color="auto"/>
            </w:tcBorders>
            <w:shd w:val="clear" w:color="auto" w:fill="auto"/>
            <w:hideMark/>
          </w:tcPr>
          <w:p w:rsidR="00F761DD" w:rsidRPr="009F02F7" w:rsidP="00B20705" w14:paraId="114AFEED" w14:textId="77777777">
            <w:pPr>
              <w:rPr>
                <w:bCs/>
              </w:rPr>
            </w:pPr>
            <w:r w:rsidRPr="009F02F7">
              <w:rPr>
                <w:bCs/>
              </w:rPr>
              <w:t>Noise and Hearing Questionnaire  </w:t>
            </w:r>
          </w:p>
        </w:tc>
        <w:tc>
          <w:tcPr>
            <w:tcW w:w="1800" w:type="dxa"/>
            <w:tcBorders>
              <w:top w:val="single" w:sz="6" w:space="0" w:color="auto"/>
              <w:left w:val="single" w:sz="6" w:space="0" w:color="auto"/>
              <w:bottom w:val="single" w:sz="6" w:space="0" w:color="auto"/>
              <w:right w:val="single" w:sz="6" w:space="0" w:color="auto"/>
            </w:tcBorders>
            <w:shd w:val="clear" w:color="auto" w:fill="auto"/>
            <w:hideMark/>
          </w:tcPr>
          <w:p w:rsidR="00F761DD" w:rsidRPr="009F02F7" w:rsidP="00B20705" w14:paraId="05228A9D" w14:textId="77777777">
            <w:pPr>
              <w:rPr>
                <w:bCs/>
              </w:rPr>
            </w:pPr>
            <w:r w:rsidRPr="009F02F7">
              <w:rPr>
                <w:bCs/>
              </w:rPr>
              <w:t>167 </w:t>
            </w:r>
          </w:p>
        </w:tc>
        <w:tc>
          <w:tcPr>
            <w:tcW w:w="1650" w:type="dxa"/>
            <w:tcBorders>
              <w:top w:val="single" w:sz="6" w:space="0" w:color="auto"/>
              <w:left w:val="single" w:sz="6" w:space="0" w:color="auto"/>
              <w:bottom w:val="single" w:sz="6" w:space="0" w:color="auto"/>
              <w:right w:val="single" w:sz="6" w:space="0" w:color="auto"/>
            </w:tcBorders>
            <w:shd w:val="clear" w:color="auto" w:fill="auto"/>
            <w:hideMark/>
          </w:tcPr>
          <w:p w:rsidR="00F761DD" w:rsidRPr="009F02F7" w:rsidP="00B20705" w14:paraId="192C6B93" w14:textId="77777777">
            <w:pPr>
              <w:rPr>
                <w:bCs/>
              </w:rPr>
            </w:pPr>
            <w:r w:rsidRPr="009F02F7">
              <w:rPr>
                <w:bCs/>
              </w:rPr>
              <w:t>1 </w:t>
            </w:r>
          </w:p>
        </w:tc>
        <w:tc>
          <w:tcPr>
            <w:tcW w:w="1380" w:type="dxa"/>
            <w:tcBorders>
              <w:top w:val="single" w:sz="6" w:space="0" w:color="auto"/>
              <w:left w:val="single" w:sz="6" w:space="0" w:color="auto"/>
              <w:bottom w:val="single" w:sz="6" w:space="0" w:color="auto"/>
              <w:right w:val="single" w:sz="6" w:space="0" w:color="auto"/>
            </w:tcBorders>
            <w:shd w:val="clear" w:color="auto" w:fill="auto"/>
            <w:hideMark/>
          </w:tcPr>
          <w:p w:rsidR="00F761DD" w:rsidRPr="009F02F7" w:rsidP="00B20705" w14:paraId="5827A544" w14:textId="77777777">
            <w:pPr>
              <w:rPr>
                <w:bCs/>
              </w:rPr>
            </w:pPr>
            <w:r w:rsidRPr="009F02F7">
              <w:rPr>
                <w:bCs/>
              </w:rPr>
              <w:t>17/60 </w:t>
            </w:r>
          </w:p>
        </w:tc>
        <w:tc>
          <w:tcPr>
            <w:tcW w:w="1080" w:type="dxa"/>
            <w:tcBorders>
              <w:top w:val="single" w:sz="6" w:space="0" w:color="auto"/>
              <w:left w:val="single" w:sz="6" w:space="0" w:color="auto"/>
              <w:bottom w:val="single" w:sz="6" w:space="0" w:color="auto"/>
              <w:right w:val="single" w:sz="6" w:space="0" w:color="auto"/>
            </w:tcBorders>
            <w:shd w:val="clear" w:color="auto" w:fill="auto"/>
            <w:hideMark/>
          </w:tcPr>
          <w:p w:rsidR="00F761DD" w:rsidRPr="009F02F7" w:rsidP="00B20705" w14:paraId="03FC0AC2" w14:textId="6B6DC98A">
            <w:pPr>
              <w:rPr>
                <w:bCs/>
              </w:rPr>
            </w:pPr>
            <w:r w:rsidRPr="009F02F7">
              <w:rPr>
                <w:bCs/>
              </w:rPr>
              <w:t>47 </w:t>
            </w:r>
          </w:p>
        </w:tc>
      </w:tr>
      <w:tr w14:paraId="25BE77CE" w14:textId="77777777" w:rsidTr="00652071">
        <w:tblPrEx>
          <w:tblW w:w="9795" w:type="dxa"/>
          <w:tblCellMar>
            <w:left w:w="0" w:type="dxa"/>
            <w:right w:w="0" w:type="dxa"/>
          </w:tblCellMar>
          <w:tblLook w:val="04A0"/>
        </w:tblPrEx>
        <w:tc>
          <w:tcPr>
            <w:tcW w:w="1800" w:type="dxa"/>
            <w:vMerge/>
            <w:tcBorders>
              <w:left w:val="single" w:sz="6" w:space="0" w:color="auto"/>
              <w:right w:val="single" w:sz="6" w:space="0" w:color="auto"/>
            </w:tcBorders>
            <w:shd w:val="clear" w:color="auto" w:fill="auto"/>
            <w:hideMark/>
          </w:tcPr>
          <w:p w:rsidR="00F761DD" w:rsidRPr="009F02F7" w:rsidP="00B20705" w14:paraId="54EDA3D0" w14:textId="46F732F6">
            <w:pPr>
              <w:rPr>
                <w:bCs/>
              </w:rPr>
            </w:pPr>
          </w:p>
        </w:tc>
        <w:tc>
          <w:tcPr>
            <w:tcW w:w="2085" w:type="dxa"/>
            <w:tcBorders>
              <w:top w:val="single" w:sz="6" w:space="0" w:color="auto"/>
              <w:left w:val="single" w:sz="6" w:space="0" w:color="auto"/>
              <w:bottom w:val="single" w:sz="6" w:space="0" w:color="auto"/>
              <w:right w:val="single" w:sz="6" w:space="0" w:color="auto"/>
            </w:tcBorders>
            <w:shd w:val="clear" w:color="auto" w:fill="auto"/>
            <w:hideMark/>
          </w:tcPr>
          <w:p w:rsidR="00F761DD" w:rsidRPr="009F02F7" w:rsidP="00B20705" w14:paraId="3BB2567A" w14:textId="2A92FC76">
            <w:pPr>
              <w:rPr>
                <w:bCs/>
              </w:rPr>
            </w:pPr>
            <w:r>
              <w:rPr>
                <w:bCs/>
              </w:rPr>
              <w:t>Informed Consent</w:t>
            </w:r>
            <w:r w:rsidRPr="009F02F7">
              <w:rPr>
                <w:bCs/>
              </w:rPr>
              <w:t> </w:t>
            </w:r>
          </w:p>
        </w:tc>
        <w:tc>
          <w:tcPr>
            <w:tcW w:w="1800" w:type="dxa"/>
            <w:tcBorders>
              <w:top w:val="single" w:sz="6" w:space="0" w:color="auto"/>
              <w:left w:val="single" w:sz="6" w:space="0" w:color="auto"/>
              <w:bottom w:val="single" w:sz="6" w:space="0" w:color="auto"/>
              <w:right w:val="single" w:sz="6" w:space="0" w:color="auto"/>
            </w:tcBorders>
            <w:shd w:val="clear" w:color="auto" w:fill="auto"/>
            <w:hideMark/>
          </w:tcPr>
          <w:p w:rsidR="00F761DD" w:rsidRPr="009F02F7" w:rsidP="00B20705" w14:paraId="43AC6016" w14:textId="63EC0FE9">
            <w:pPr>
              <w:rPr>
                <w:bCs/>
              </w:rPr>
            </w:pPr>
            <w:r>
              <w:rPr>
                <w:bCs/>
              </w:rPr>
              <w:t>167</w:t>
            </w:r>
            <w:r w:rsidRPr="009F02F7">
              <w:rPr>
                <w:bCs/>
              </w:rPr>
              <w:t> </w:t>
            </w:r>
          </w:p>
        </w:tc>
        <w:tc>
          <w:tcPr>
            <w:tcW w:w="1650" w:type="dxa"/>
            <w:tcBorders>
              <w:top w:val="single" w:sz="6" w:space="0" w:color="auto"/>
              <w:left w:val="single" w:sz="6" w:space="0" w:color="auto"/>
              <w:bottom w:val="single" w:sz="6" w:space="0" w:color="auto"/>
              <w:right w:val="single" w:sz="6" w:space="0" w:color="auto"/>
            </w:tcBorders>
            <w:shd w:val="clear" w:color="auto" w:fill="auto"/>
            <w:hideMark/>
          </w:tcPr>
          <w:p w:rsidR="00F761DD" w:rsidRPr="009F02F7" w:rsidP="00B20705" w14:paraId="46EEF6B2" w14:textId="77777777">
            <w:pPr>
              <w:rPr>
                <w:bCs/>
              </w:rPr>
            </w:pPr>
            <w:r w:rsidRPr="009F02F7">
              <w:rPr>
                <w:bCs/>
              </w:rPr>
              <w:t>1 </w:t>
            </w:r>
          </w:p>
        </w:tc>
        <w:tc>
          <w:tcPr>
            <w:tcW w:w="1380" w:type="dxa"/>
            <w:tcBorders>
              <w:top w:val="single" w:sz="6" w:space="0" w:color="auto"/>
              <w:left w:val="single" w:sz="6" w:space="0" w:color="auto"/>
              <w:bottom w:val="single" w:sz="6" w:space="0" w:color="auto"/>
              <w:right w:val="single" w:sz="6" w:space="0" w:color="auto"/>
            </w:tcBorders>
            <w:shd w:val="clear" w:color="auto" w:fill="auto"/>
            <w:hideMark/>
          </w:tcPr>
          <w:p w:rsidR="00F761DD" w:rsidRPr="009F02F7" w:rsidP="00B20705" w14:paraId="587AE82C" w14:textId="722B3DB3">
            <w:pPr>
              <w:rPr>
                <w:bCs/>
              </w:rPr>
            </w:pPr>
            <w:r>
              <w:rPr>
                <w:bCs/>
              </w:rPr>
              <w:t>15</w:t>
            </w:r>
            <w:r w:rsidRPr="009F02F7">
              <w:rPr>
                <w:bCs/>
              </w:rPr>
              <w:t>/60 </w:t>
            </w:r>
          </w:p>
        </w:tc>
        <w:tc>
          <w:tcPr>
            <w:tcW w:w="1080" w:type="dxa"/>
            <w:tcBorders>
              <w:top w:val="single" w:sz="6" w:space="0" w:color="auto"/>
              <w:left w:val="single" w:sz="6" w:space="0" w:color="auto"/>
              <w:bottom w:val="single" w:sz="6" w:space="0" w:color="auto"/>
              <w:right w:val="single" w:sz="6" w:space="0" w:color="auto"/>
            </w:tcBorders>
            <w:shd w:val="clear" w:color="auto" w:fill="auto"/>
            <w:hideMark/>
          </w:tcPr>
          <w:p w:rsidR="00F761DD" w:rsidRPr="009F02F7" w:rsidP="00B20705" w14:paraId="7E29D432" w14:textId="7FEAF6FB">
            <w:pPr>
              <w:rPr>
                <w:bCs/>
              </w:rPr>
            </w:pPr>
            <w:r>
              <w:rPr>
                <w:bCs/>
              </w:rPr>
              <w:t>42</w:t>
            </w:r>
          </w:p>
        </w:tc>
      </w:tr>
      <w:tr w14:paraId="47A8CC56" w14:textId="77777777" w:rsidTr="00652071">
        <w:tblPrEx>
          <w:tblW w:w="9795" w:type="dxa"/>
          <w:tblCellMar>
            <w:left w:w="0" w:type="dxa"/>
            <w:right w:w="0" w:type="dxa"/>
          </w:tblCellMar>
          <w:tblLook w:val="04A0"/>
        </w:tblPrEx>
        <w:tc>
          <w:tcPr>
            <w:tcW w:w="1800" w:type="dxa"/>
            <w:vMerge/>
            <w:tcBorders>
              <w:left w:val="single" w:sz="6" w:space="0" w:color="auto"/>
              <w:bottom w:val="single" w:sz="6" w:space="0" w:color="auto"/>
              <w:right w:val="single" w:sz="6" w:space="0" w:color="auto"/>
            </w:tcBorders>
            <w:shd w:val="clear" w:color="auto" w:fill="auto"/>
          </w:tcPr>
          <w:p w:rsidR="00F761DD" w:rsidRPr="009F02F7" w:rsidP="00B20705" w14:paraId="6FACDD1B" w14:textId="77777777">
            <w:pPr>
              <w:rPr>
                <w:bCs/>
              </w:rPr>
            </w:pPr>
          </w:p>
        </w:tc>
        <w:tc>
          <w:tcPr>
            <w:tcW w:w="2085" w:type="dxa"/>
            <w:tcBorders>
              <w:top w:val="single" w:sz="6" w:space="0" w:color="auto"/>
              <w:left w:val="single" w:sz="6" w:space="0" w:color="auto"/>
              <w:bottom w:val="single" w:sz="6" w:space="0" w:color="auto"/>
              <w:right w:val="single" w:sz="6" w:space="0" w:color="auto"/>
            </w:tcBorders>
            <w:shd w:val="clear" w:color="auto" w:fill="auto"/>
          </w:tcPr>
          <w:p w:rsidR="00F761DD" w:rsidRPr="009F02F7" w:rsidP="00B20705" w14:paraId="55AB3B3C" w14:textId="1ADE9C66">
            <w:pPr>
              <w:rPr>
                <w:bCs/>
              </w:rPr>
            </w:pPr>
            <w:r>
              <w:rPr>
                <w:bCs/>
              </w:rPr>
              <w:t>A</w:t>
            </w:r>
            <w:r w:rsidR="001B2400">
              <w:rPr>
                <w:bCs/>
              </w:rPr>
              <w:t>udiometry Testing</w:t>
            </w:r>
          </w:p>
        </w:tc>
        <w:tc>
          <w:tcPr>
            <w:tcW w:w="1800" w:type="dxa"/>
            <w:tcBorders>
              <w:top w:val="single" w:sz="6" w:space="0" w:color="auto"/>
              <w:left w:val="single" w:sz="6" w:space="0" w:color="auto"/>
              <w:bottom w:val="single" w:sz="6" w:space="0" w:color="auto"/>
              <w:right w:val="single" w:sz="6" w:space="0" w:color="auto"/>
            </w:tcBorders>
            <w:shd w:val="clear" w:color="auto" w:fill="auto"/>
          </w:tcPr>
          <w:p w:rsidR="00F761DD" w:rsidRPr="009F02F7" w:rsidP="00B20705" w14:paraId="250C5254" w14:textId="727CF181">
            <w:pPr>
              <w:rPr>
                <w:bCs/>
              </w:rPr>
            </w:pPr>
            <w:r>
              <w:rPr>
                <w:bCs/>
              </w:rPr>
              <w:t>33</w:t>
            </w:r>
          </w:p>
        </w:tc>
        <w:tc>
          <w:tcPr>
            <w:tcW w:w="1650" w:type="dxa"/>
            <w:tcBorders>
              <w:top w:val="single" w:sz="6" w:space="0" w:color="auto"/>
              <w:left w:val="single" w:sz="6" w:space="0" w:color="auto"/>
              <w:bottom w:val="single" w:sz="6" w:space="0" w:color="auto"/>
              <w:right w:val="single" w:sz="6" w:space="0" w:color="auto"/>
            </w:tcBorders>
            <w:shd w:val="clear" w:color="auto" w:fill="auto"/>
          </w:tcPr>
          <w:p w:rsidR="00F761DD" w:rsidRPr="009F02F7" w:rsidP="00B20705" w14:paraId="64BF18B6" w14:textId="3E49E391">
            <w:pPr>
              <w:rPr>
                <w:bCs/>
              </w:rPr>
            </w:pPr>
            <w:r>
              <w:rPr>
                <w:bCs/>
              </w:rPr>
              <w:t>1</w:t>
            </w:r>
          </w:p>
        </w:tc>
        <w:tc>
          <w:tcPr>
            <w:tcW w:w="1380" w:type="dxa"/>
            <w:tcBorders>
              <w:top w:val="single" w:sz="6" w:space="0" w:color="auto"/>
              <w:left w:val="single" w:sz="6" w:space="0" w:color="auto"/>
              <w:bottom w:val="single" w:sz="6" w:space="0" w:color="auto"/>
              <w:right w:val="single" w:sz="6" w:space="0" w:color="auto"/>
            </w:tcBorders>
            <w:shd w:val="clear" w:color="auto" w:fill="auto"/>
          </w:tcPr>
          <w:p w:rsidR="00F761DD" w:rsidRPr="009F02F7" w:rsidP="00B20705" w14:paraId="1223E0CD" w14:textId="33ABF556">
            <w:pPr>
              <w:rPr>
                <w:bCs/>
              </w:rPr>
            </w:pPr>
            <w:r>
              <w:rPr>
                <w:bCs/>
              </w:rPr>
              <w:t>30/60</w:t>
            </w:r>
          </w:p>
        </w:tc>
        <w:tc>
          <w:tcPr>
            <w:tcW w:w="1080" w:type="dxa"/>
            <w:tcBorders>
              <w:top w:val="single" w:sz="6" w:space="0" w:color="auto"/>
              <w:left w:val="single" w:sz="6" w:space="0" w:color="auto"/>
              <w:bottom w:val="single" w:sz="6" w:space="0" w:color="auto"/>
              <w:right w:val="single" w:sz="6" w:space="0" w:color="auto"/>
            </w:tcBorders>
            <w:shd w:val="clear" w:color="auto" w:fill="auto"/>
          </w:tcPr>
          <w:p w:rsidR="00F761DD" w:rsidRPr="009F02F7" w:rsidP="00B20705" w14:paraId="0573D46B" w14:textId="66EFBEE7">
            <w:pPr>
              <w:rPr>
                <w:bCs/>
              </w:rPr>
            </w:pPr>
            <w:r>
              <w:rPr>
                <w:bCs/>
              </w:rPr>
              <w:t>17</w:t>
            </w:r>
          </w:p>
        </w:tc>
      </w:tr>
      <w:tr w14:paraId="42ECBA8B" w14:textId="77777777" w:rsidTr="00244EEC">
        <w:tblPrEx>
          <w:tblW w:w="9795" w:type="dxa"/>
          <w:tblCellMar>
            <w:left w:w="0" w:type="dxa"/>
            <w:right w:w="0" w:type="dxa"/>
          </w:tblCellMar>
          <w:tblLook w:val="04A0"/>
        </w:tblPrEx>
        <w:tc>
          <w:tcPr>
            <w:tcW w:w="1800" w:type="dxa"/>
            <w:tcBorders>
              <w:top w:val="single" w:sz="6" w:space="0" w:color="auto"/>
              <w:left w:val="single" w:sz="6" w:space="0" w:color="auto"/>
              <w:bottom w:val="single" w:sz="6" w:space="0" w:color="auto"/>
              <w:right w:val="single" w:sz="6" w:space="0" w:color="auto"/>
            </w:tcBorders>
            <w:shd w:val="clear" w:color="auto" w:fill="auto"/>
            <w:hideMark/>
          </w:tcPr>
          <w:p w:rsidR="00B20705" w:rsidRPr="009F02F7" w:rsidP="00B20705" w14:paraId="4F1DB169" w14:textId="77777777">
            <w:pPr>
              <w:rPr>
                <w:bCs/>
              </w:rPr>
            </w:pPr>
            <w:r w:rsidRPr="009F02F7">
              <w:rPr>
                <w:bCs/>
              </w:rPr>
              <w:t>Total </w:t>
            </w:r>
          </w:p>
        </w:tc>
        <w:tc>
          <w:tcPr>
            <w:tcW w:w="6915" w:type="dxa"/>
            <w:gridSpan w:val="4"/>
            <w:tcBorders>
              <w:top w:val="single" w:sz="6" w:space="0" w:color="auto"/>
              <w:left w:val="single" w:sz="6" w:space="0" w:color="auto"/>
              <w:bottom w:val="single" w:sz="6" w:space="0" w:color="auto"/>
              <w:right w:val="single" w:sz="6" w:space="0" w:color="auto"/>
            </w:tcBorders>
            <w:shd w:val="clear" w:color="auto" w:fill="auto"/>
            <w:hideMark/>
          </w:tcPr>
          <w:p w:rsidR="00B20705" w:rsidRPr="009F02F7" w:rsidP="00B20705" w14:paraId="412BFBC9" w14:textId="77777777">
            <w:pPr>
              <w:rPr>
                <w:bCs/>
              </w:rPr>
            </w:pPr>
            <w:r w:rsidRPr="009F02F7">
              <w:rPr>
                <w:bCs/>
              </w:rPr>
              <w:t> </w:t>
            </w:r>
          </w:p>
        </w:tc>
        <w:tc>
          <w:tcPr>
            <w:tcW w:w="1080" w:type="dxa"/>
            <w:tcBorders>
              <w:top w:val="single" w:sz="6" w:space="0" w:color="auto"/>
              <w:left w:val="single" w:sz="6" w:space="0" w:color="auto"/>
              <w:bottom w:val="single" w:sz="6" w:space="0" w:color="auto"/>
              <w:right w:val="single" w:sz="6" w:space="0" w:color="auto"/>
            </w:tcBorders>
            <w:shd w:val="clear" w:color="auto" w:fill="auto"/>
            <w:hideMark/>
          </w:tcPr>
          <w:p w:rsidR="00B20705" w:rsidRPr="009F02F7" w:rsidP="00B20705" w14:paraId="4F672469" w14:textId="167B9BE2">
            <w:pPr>
              <w:rPr>
                <w:bCs/>
              </w:rPr>
            </w:pPr>
            <w:r w:rsidRPr="00481952">
              <w:rPr>
                <w:bCs/>
              </w:rPr>
              <w:t>106</w:t>
            </w:r>
          </w:p>
        </w:tc>
      </w:tr>
    </w:tbl>
    <w:p w:rsidR="00D8623B" w:rsidP="00D8623B" w14:paraId="05B74457" w14:textId="77777777">
      <w:pPr>
        <w:rPr>
          <w:b/>
        </w:rPr>
      </w:pPr>
    </w:p>
    <w:p w:rsidR="00A72C1E" w:rsidP="00361ECA" w14:paraId="02D7D353" w14:textId="4C42B0D3">
      <w:pPr>
        <w:rPr>
          <w:b/>
        </w:rPr>
      </w:pPr>
      <w:r w:rsidRPr="009F02F7">
        <w:rPr>
          <w:bCs/>
        </w:rPr>
        <w:t>To estimate cost burden to respondent, we used the estimated time burden</w:t>
      </w:r>
      <w:r w:rsidR="001A2551">
        <w:rPr>
          <w:bCs/>
        </w:rPr>
        <w:t xml:space="preserve"> from Table A12.1</w:t>
      </w:r>
      <w:r w:rsidRPr="009F02F7">
        <w:rPr>
          <w:bCs/>
        </w:rPr>
        <w:t xml:space="preserve"> and </w:t>
      </w:r>
      <w:r w:rsidRPr="009F02F7" w:rsidR="00DF5C1C">
        <w:rPr>
          <w:bCs/>
        </w:rPr>
        <w:t>hourly wage</w:t>
      </w:r>
      <w:r w:rsidR="001A2551">
        <w:rPr>
          <w:bCs/>
        </w:rPr>
        <w:t xml:space="preserve"> using hourly </w:t>
      </w:r>
      <w:r w:rsidR="005503B4">
        <w:rPr>
          <w:bCs/>
        </w:rPr>
        <w:t>rate data from the Bureau of Labor Statistics</w:t>
      </w:r>
      <w:r w:rsidRPr="009F02F7" w:rsidR="00DF5C1C">
        <w:rPr>
          <w:bCs/>
        </w:rPr>
        <w:t>.</w:t>
      </w:r>
      <w:r w:rsidRPr="009F02F7" w:rsidR="001A2551">
        <w:rPr>
          <w:bCs/>
        </w:rPr>
        <w:t xml:space="preserve"> </w:t>
      </w:r>
      <w:r w:rsidRPr="009F02F7" w:rsidR="00DF5C1C">
        <w:rPr>
          <w:bCs/>
        </w:rPr>
        <w:t xml:space="preserve">These estimates are in Table A12.2. </w:t>
      </w:r>
    </w:p>
    <w:p w:rsidR="00DF5C1C" w:rsidP="00361ECA" w14:paraId="6520688B" w14:textId="77777777">
      <w:pPr>
        <w:rPr>
          <w:b/>
        </w:rPr>
      </w:pPr>
    </w:p>
    <w:p w:rsidR="00361ECA" w:rsidP="00361ECA" w14:paraId="6749782A" w14:textId="2D67D15E">
      <w:pPr>
        <w:rPr>
          <w:b/>
        </w:rPr>
      </w:pPr>
      <w:r w:rsidRPr="00F2735C">
        <w:rPr>
          <w:b/>
        </w:rPr>
        <w:t>Table A12.</w:t>
      </w:r>
      <w:r>
        <w:rPr>
          <w:b/>
        </w:rPr>
        <w:t>2</w:t>
      </w:r>
      <w:r w:rsidRPr="00F2735C">
        <w:rPr>
          <w:b/>
        </w:rPr>
        <w:t xml:space="preserve"> Estimated Annualized </w:t>
      </w:r>
      <w:r>
        <w:rPr>
          <w:b/>
        </w:rPr>
        <w:t>Cost</w:t>
      </w:r>
      <w:r w:rsidRPr="00F2735C">
        <w:rPr>
          <w:b/>
        </w:rPr>
        <w:t xml:space="preserve"> Burden to Respondents</w:t>
      </w:r>
      <w:r w:rsidRPr="00D668EA">
        <w:rPr>
          <w:b/>
        </w:rPr>
        <w:t xml:space="preserve"> </w:t>
      </w:r>
    </w:p>
    <w:p w:rsidR="00361ECA" w:rsidP="00D8623B" w14:paraId="0C09133A" w14:textId="77777777">
      <w:pPr>
        <w:rPr>
          <w:b/>
        </w:rPr>
      </w:pPr>
    </w:p>
    <w:tbl>
      <w:tblPr>
        <w:tblW w:w="979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800"/>
        <w:gridCol w:w="2242"/>
        <w:gridCol w:w="1350"/>
        <w:gridCol w:w="1980"/>
        <w:gridCol w:w="2423"/>
      </w:tblGrid>
      <w:tr w14:paraId="3FA080E1" w14:textId="77777777" w:rsidTr="00727E03">
        <w:tblPrEx>
          <w:tblW w:w="979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c>
          <w:tcPr>
            <w:tcW w:w="1800" w:type="dxa"/>
            <w:tcBorders>
              <w:top w:val="single" w:sz="6" w:space="0" w:color="auto"/>
              <w:left w:val="single" w:sz="6" w:space="0" w:color="auto"/>
              <w:bottom w:val="single" w:sz="6" w:space="0" w:color="auto"/>
              <w:right w:val="single" w:sz="6" w:space="0" w:color="auto"/>
            </w:tcBorders>
            <w:shd w:val="clear" w:color="auto" w:fill="auto"/>
            <w:hideMark/>
          </w:tcPr>
          <w:p w:rsidR="00361ECA" w:rsidRPr="009F02F7" w:rsidP="00727E03" w14:paraId="7E5C5249" w14:textId="77777777">
            <w:pPr>
              <w:rPr>
                <w:b/>
              </w:rPr>
            </w:pPr>
            <w:r w:rsidRPr="009F02F7">
              <w:rPr>
                <w:b/>
              </w:rPr>
              <w:t>Type of Respondents </w:t>
            </w:r>
          </w:p>
        </w:tc>
        <w:tc>
          <w:tcPr>
            <w:tcW w:w="2242" w:type="dxa"/>
            <w:tcBorders>
              <w:top w:val="single" w:sz="6" w:space="0" w:color="auto"/>
              <w:left w:val="single" w:sz="6" w:space="0" w:color="auto"/>
              <w:bottom w:val="single" w:sz="6" w:space="0" w:color="auto"/>
              <w:right w:val="single" w:sz="6" w:space="0" w:color="auto"/>
            </w:tcBorders>
            <w:shd w:val="clear" w:color="auto" w:fill="auto"/>
            <w:hideMark/>
          </w:tcPr>
          <w:p w:rsidR="00361ECA" w:rsidRPr="009F02F7" w:rsidP="00727E03" w14:paraId="36CDA691" w14:textId="77777777">
            <w:pPr>
              <w:rPr>
                <w:b/>
              </w:rPr>
            </w:pPr>
            <w:r w:rsidRPr="009F02F7">
              <w:rPr>
                <w:b/>
              </w:rPr>
              <w:t>Form Name </w:t>
            </w:r>
          </w:p>
        </w:tc>
        <w:tc>
          <w:tcPr>
            <w:tcW w:w="1350" w:type="dxa"/>
            <w:tcBorders>
              <w:top w:val="single" w:sz="6" w:space="0" w:color="auto"/>
              <w:left w:val="single" w:sz="6" w:space="0" w:color="auto"/>
              <w:bottom w:val="single" w:sz="6" w:space="0" w:color="auto"/>
              <w:right w:val="single" w:sz="6" w:space="0" w:color="auto"/>
            </w:tcBorders>
            <w:shd w:val="clear" w:color="auto" w:fill="auto"/>
            <w:hideMark/>
          </w:tcPr>
          <w:p w:rsidR="00361ECA" w:rsidRPr="009F02F7" w:rsidP="00727E03" w14:paraId="0A7BDFD2" w14:textId="77777777">
            <w:pPr>
              <w:rPr>
                <w:b/>
              </w:rPr>
            </w:pPr>
            <w:r w:rsidRPr="009F02F7">
              <w:rPr>
                <w:b/>
              </w:rPr>
              <w:t>Total Burden (in hours) </w:t>
            </w:r>
          </w:p>
        </w:tc>
        <w:tc>
          <w:tcPr>
            <w:tcW w:w="1980" w:type="dxa"/>
            <w:tcBorders>
              <w:top w:val="single" w:sz="6" w:space="0" w:color="auto"/>
              <w:left w:val="single" w:sz="6" w:space="0" w:color="auto"/>
              <w:bottom w:val="single" w:sz="6" w:space="0" w:color="auto"/>
              <w:right w:val="single" w:sz="6" w:space="0" w:color="auto"/>
            </w:tcBorders>
            <w:shd w:val="clear" w:color="auto" w:fill="auto"/>
            <w:hideMark/>
          </w:tcPr>
          <w:p w:rsidR="00361ECA" w:rsidRPr="009F02F7" w:rsidP="00727E03" w14:paraId="4D463848" w14:textId="77777777">
            <w:pPr>
              <w:rPr>
                <w:b/>
              </w:rPr>
            </w:pPr>
            <w:r w:rsidRPr="009F02F7">
              <w:rPr>
                <w:b/>
              </w:rPr>
              <w:t>Hourly wage rate*</w:t>
            </w:r>
          </w:p>
        </w:tc>
        <w:tc>
          <w:tcPr>
            <w:tcW w:w="2423" w:type="dxa"/>
            <w:tcBorders>
              <w:top w:val="single" w:sz="6" w:space="0" w:color="auto"/>
              <w:left w:val="single" w:sz="6" w:space="0" w:color="auto"/>
              <w:bottom w:val="single" w:sz="6" w:space="0" w:color="auto"/>
              <w:right w:val="single" w:sz="6" w:space="0" w:color="auto"/>
            </w:tcBorders>
            <w:shd w:val="clear" w:color="auto" w:fill="auto"/>
            <w:hideMark/>
          </w:tcPr>
          <w:p w:rsidR="00361ECA" w:rsidRPr="009F02F7" w:rsidP="00727E03" w14:paraId="19E9F674" w14:textId="77777777">
            <w:pPr>
              <w:rPr>
                <w:b/>
              </w:rPr>
            </w:pPr>
            <w:r w:rsidRPr="009F02F7">
              <w:rPr>
                <w:b/>
              </w:rPr>
              <w:t>Total respondent cost</w:t>
            </w:r>
          </w:p>
        </w:tc>
      </w:tr>
      <w:tr w14:paraId="52DD8E03" w14:textId="77777777" w:rsidTr="0050215D">
        <w:tblPrEx>
          <w:tblW w:w="9795" w:type="dxa"/>
          <w:tblCellMar>
            <w:left w:w="0" w:type="dxa"/>
            <w:right w:w="0" w:type="dxa"/>
          </w:tblCellMar>
          <w:tblLook w:val="04A0"/>
        </w:tblPrEx>
        <w:tc>
          <w:tcPr>
            <w:tcW w:w="1800" w:type="dxa"/>
            <w:vMerge w:val="restart"/>
            <w:tcBorders>
              <w:top w:val="single" w:sz="6" w:space="0" w:color="auto"/>
              <w:left w:val="single" w:sz="6" w:space="0" w:color="auto"/>
              <w:right w:val="single" w:sz="6" w:space="0" w:color="auto"/>
            </w:tcBorders>
            <w:shd w:val="clear" w:color="auto" w:fill="auto"/>
            <w:hideMark/>
          </w:tcPr>
          <w:p w:rsidR="003B5A67" w:rsidP="00727E03" w14:paraId="30DA8FDE" w14:textId="77777777">
            <w:pPr>
              <w:rPr>
                <w:bCs/>
              </w:rPr>
            </w:pPr>
          </w:p>
          <w:p w:rsidR="003B5A67" w:rsidP="00727E03" w14:paraId="3C1CF319" w14:textId="77777777">
            <w:pPr>
              <w:rPr>
                <w:bCs/>
              </w:rPr>
            </w:pPr>
          </w:p>
          <w:p w:rsidR="003B5A67" w:rsidRPr="00447067" w:rsidP="00727E03" w14:paraId="52A96559" w14:textId="4BCE1588">
            <w:pPr>
              <w:rPr>
                <w:bCs/>
              </w:rPr>
            </w:pPr>
            <w:r w:rsidRPr="00447067">
              <w:rPr>
                <w:bCs/>
              </w:rPr>
              <w:t>Oil and Gas Workers </w:t>
            </w:r>
          </w:p>
          <w:p w:rsidR="003B5A67" w:rsidRPr="00447067" w:rsidP="00727E03" w14:paraId="0B7D0F2F" w14:textId="39AC0F95">
            <w:pPr>
              <w:rPr>
                <w:bCs/>
              </w:rPr>
            </w:pPr>
          </w:p>
        </w:tc>
        <w:tc>
          <w:tcPr>
            <w:tcW w:w="2242" w:type="dxa"/>
            <w:tcBorders>
              <w:top w:val="single" w:sz="6" w:space="0" w:color="auto"/>
              <w:left w:val="single" w:sz="6" w:space="0" w:color="auto"/>
              <w:bottom w:val="single" w:sz="6" w:space="0" w:color="auto"/>
              <w:right w:val="single" w:sz="6" w:space="0" w:color="auto"/>
            </w:tcBorders>
            <w:shd w:val="clear" w:color="auto" w:fill="auto"/>
            <w:hideMark/>
          </w:tcPr>
          <w:p w:rsidR="003B5A67" w:rsidRPr="00447067" w:rsidP="00727E03" w14:paraId="57BC3093" w14:textId="77777777">
            <w:pPr>
              <w:rPr>
                <w:bCs/>
              </w:rPr>
            </w:pPr>
            <w:r w:rsidRPr="00447067">
              <w:rPr>
                <w:bCs/>
              </w:rPr>
              <w:t>Noise and Hearing Questionnaire  </w:t>
            </w:r>
          </w:p>
        </w:tc>
        <w:tc>
          <w:tcPr>
            <w:tcW w:w="1350" w:type="dxa"/>
            <w:tcBorders>
              <w:top w:val="single" w:sz="6" w:space="0" w:color="auto"/>
              <w:left w:val="single" w:sz="6" w:space="0" w:color="auto"/>
              <w:bottom w:val="single" w:sz="6" w:space="0" w:color="auto"/>
              <w:right w:val="single" w:sz="6" w:space="0" w:color="auto"/>
            </w:tcBorders>
            <w:shd w:val="clear" w:color="auto" w:fill="auto"/>
            <w:hideMark/>
          </w:tcPr>
          <w:p w:rsidR="003B5A67" w:rsidRPr="00447067" w:rsidP="00727E03" w14:paraId="69A06193" w14:textId="6024D452">
            <w:pPr>
              <w:rPr>
                <w:bCs/>
              </w:rPr>
            </w:pPr>
            <w:r w:rsidRPr="00447067">
              <w:rPr>
                <w:bCs/>
              </w:rPr>
              <w:t>47</w:t>
            </w:r>
          </w:p>
        </w:tc>
        <w:tc>
          <w:tcPr>
            <w:tcW w:w="1980" w:type="dxa"/>
            <w:tcBorders>
              <w:top w:val="single" w:sz="6" w:space="0" w:color="auto"/>
              <w:left w:val="single" w:sz="6" w:space="0" w:color="auto"/>
              <w:bottom w:val="single" w:sz="6" w:space="0" w:color="auto"/>
              <w:right w:val="single" w:sz="6" w:space="0" w:color="auto"/>
            </w:tcBorders>
            <w:shd w:val="clear" w:color="auto" w:fill="auto"/>
            <w:hideMark/>
          </w:tcPr>
          <w:p w:rsidR="003B5A67" w:rsidRPr="00447067" w:rsidP="00727E03" w14:paraId="48CC2D01" w14:textId="77777777">
            <w:pPr>
              <w:rPr>
                <w:bCs/>
              </w:rPr>
            </w:pPr>
            <w:r w:rsidRPr="00447067">
              <w:rPr>
                <w:bCs/>
              </w:rPr>
              <w:t>$</w:t>
            </w:r>
            <w:r>
              <w:rPr>
                <w:bCs/>
              </w:rPr>
              <w:t>22.60</w:t>
            </w:r>
          </w:p>
        </w:tc>
        <w:tc>
          <w:tcPr>
            <w:tcW w:w="2423" w:type="dxa"/>
            <w:tcBorders>
              <w:top w:val="single" w:sz="6" w:space="0" w:color="auto"/>
              <w:left w:val="single" w:sz="6" w:space="0" w:color="auto"/>
              <w:bottom w:val="single" w:sz="6" w:space="0" w:color="auto"/>
              <w:right w:val="single" w:sz="6" w:space="0" w:color="auto"/>
            </w:tcBorders>
            <w:shd w:val="clear" w:color="auto" w:fill="auto"/>
            <w:hideMark/>
          </w:tcPr>
          <w:p w:rsidR="003B5A67" w:rsidRPr="00447067" w:rsidP="00727E03" w14:paraId="5BE748B7" w14:textId="0873F6D4">
            <w:pPr>
              <w:rPr>
                <w:bCs/>
              </w:rPr>
            </w:pPr>
            <w:r w:rsidRPr="00447067">
              <w:rPr>
                <w:bCs/>
              </w:rPr>
              <w:t>$</w:t>
            </w:r>
            <w:r>
              <w:rPr>
                <w:bCs/>
              </w:rPr>
              <w:t>1062</w:t>
            </w:r>
          </w:p>
        </w:tc>
      </w:tr>
      <w:tr w14:paraId="4E7C4953" w14:textId="77777777" w:rsidTr="0050215D">
        <w:tblPrEx>
          <w:tblW w:w="9795" w:type="dxa"/>
          <w:tblCellMar>
            <w:left w:w="0" w:type="dxa"/>
            <w:right w:w="0" w:type="dxa"/>
          </w:tblCellMar>
          <w:tblLook w:val="04A0"/>
        </w:tblPrEx>
        <w:trPr>
          <w:trHeight w:val="804"/>
        </w:trPr>
        <w:tc>
          <w:tcPr>
            <w:tcW w:w="1800" w:type="dxa"/>
            <w:vMerge/>
            <w:tcBorders>
              <w:left w:val="single" w:sz="6" w:space="0" w:color="auto"/>
              <w:right w:val="single" w:sz="6" w:space="0" w:color="auto"/>
            </w:tcBorders>
            <w:shd w:val="clear" w:color="auto" w:fill="auto"/>
          </w:tcPr>
          <w:p w:rsidR="003B5A67" w:rsidRPr="00447067" w:rsidP="00727E03" w14:paraId="1A833AEF" w14:textId="04D61D3F">
            <w:pPr>
              <w:rPr>
                <w:bCs/>
              </w:rPr>
            </w:pPr>
          </w:p>
        </w:tc>
        <w:tc>
          <w:tcPr>
            <w:tcW w:w="2242" w:type="dxa"/>
            <w:tcBorders>
              <w:top w:val="single" w:sz="6" w:space="0" w:color="auto"/>
              <w:left w:val="single" w:sz="6" w:space="0" w:color="auto"/>
              <w:bottom w:val="single" w:sz="6" w:space="0" w:color="auto"/>
              <w:right w:val="single" w:sz="6" w:space="0" w:color="auto"/>
            </w:tcBorders>
            <w:shd w:val="clear" w:color="auto" w:fill="auto"/>
          </w:tcPr>
          <w:p w:rsidR="003B5A67" w:rsidRPr="00447067" w:rsidP="00727E03" w14:paraId="3778B552" w14:textId="00100919">
            <w:pPr>
              <w:rPr>
                <w:bCs/>
              </w:rPr>
            </w:pPr>
            <w:r>
              <w:rPr>
                <w:bCs/>
              </w:rPr>
              <w:t>Informed Consent</w:t>
            </w:r>
          </w:p>
        </w:tc>
        <w:tc>
          <w:tcPr>
            <w:tcW w:w="1350" w:type="dxa"/>
            <w:tcBorders>
              <w:top w:val="single" w:sz="6" w:space="0" w:color="auto"/>
              <w:left w:val="single" w:sz="6" w:space="0" w:color="auto"/>
              <w:bottom w:val="single" w:sz="6" w:space="0" w:color="auto"/>
              <w:right w:val="single" w:sz="6" w:space="0" w:color="auto"/>
            </w:tcBorders>
            <w:shd w:val="clear" w:color="auto" w:fill="auto"/>
          </w:tcPr>
          <w:p w:rsidR="003B5A67" w:rsidRPr="00447067" w:rsidP="00727E03" w14:paraId="2CD0E41B" w14:textId="23C8B9B6">
            <w:pPr>
              <w:rPr>
                <w:bCs/>
              </w:rPr>
            </w:pPr>
            <w:r>
              <w:rPr>
                <w:bCs/>
              </w:rPr>
              <w:t>42</w:t>
            </w:r>
          </w:p>
        </w:tc>
        <w:tc>
          <w:tcPr>
            <w:tcW w:w="1980" w:type="dxa"/>
            <w:tcBorders>
              <w:top w:val="single" w:sz="6" w:space="0" w:color="auto"/>
              <w:left w:val="single" w:sz="6" w:space="0" w:color="auto"/>
              <w:bottom w:val="single" w:sz="6" w:space="0" w:color="auto"/>
              <w:right w:val="single" w:sz="6" w:space="0" w:color="auto"/>
            </w:tcBorders>
            <w:shd w:val="clear" w:color="auto" w:fill="auto"/>
          </w:tcPr>
          <w:p w:rsidR="003B5A67" w:rsidRPr="00447067" w:rsidP="00727E03" w14:paraId="64CBA710" w14:textId="133C5124">
            <w:pPr>
              <w:rPr>
                <w:bCs/>
              </w:rPr>
            </w:pPr>
            <w:r>
              <w:rPr>
                <w:bCs/>
              </w:rPr>
              <w:t>$22.60</w:t>
            </w:r>
          </w:p>
        </w:tc>
        <w:tc>
          <w:tcPr>
            <w:tcW w:w="2423" w:type="dxa"/>
            <w:tcBorders>
              <w:top w:val="single" w:sz="6" w:space="0" w:color="auto"/>
              <w:left w:val="single" w:sz="6" w:space="0" w:color="auto"/>
              <w:bottom w:val="single" w:sz="6" w:space="0" w:color="auto"/>
              <w:right w:val="single" w:sz="6" w:space="0" w:color="auto"/>
            </w:tcBorders>
            <w:shd w:val="clear" w:color="auto" w:fill="auto"/>
          </w:tcPr>
          <w:p w:rsidR="003B5A67" w:rsidRPr="00447067" w:rsidP="00727E03" w14:paraId="73D5070C" w14:textId="253A10F5">
            <w:pPr>
              <w:rPr>
                <w:bCs/>
              </w:rPr>
            </w:pPr>
            <w:r>
              <w:rPr>
                <w:bCs/>
              </w:rPr>
              <w:t>$949</w:t>
            </w:r>
          </w:p>
        </w:tc>
      </w:tr>
      <w:tr w14:paraId="233F59A2" w14:textId="77777777" w:rsidTr="0050215D">
        <w:tblPrEx>
          <w:tblW w:w="9795" w:type="dxa"/>
          <w:tblCellMar>
            <w:left w:w="0" w:type="dxa"/>
            <w:right w:w="0" w:type="dxa"/>
          </w:tblCellMar>
          <w:tblLook w:val="04A0"/>
        </w:tblPrEx>
        <w:tc>
          <w:tcPr>
            <w:tcW w:w="1800" w:type="dxa"/>
            <w:vMerge/>
            <w:tcBorders>
              <w:left w:val="single" w:sz="6" w:space="0" w:color="auto"/>
              <w:bottom w:val="single" w:sz="6" w:space="0" w:color="auto"/>
              <w:right w:val="single" w:sz="6" w:space="0" w:color="auto"/>
            </w:tcBorders>
            <w:shd w:val="clear" w:color="auto" w:fill="auto"/>
            <w:hideMark/>
          </w:tcPr>
          <w:p w:rsidR="003B5A67" w:rsidRPr="00447067" w:rsidP="00727E03" w14:paraId="189DFAC2" w14:textId="3C026AD9">
            <w:pPr>
              <w:rPr>
                <w:bCs/>
              </w:rPr>
            </w:pPr>
          </w:p>
        </w:tc>
        <w:tc>
          <w:tcPr>
            <w:tcW w:w="2242" w:type="dxa"/>
            <w:tcBorders>
              <w:top w:val="single" w:sz="6" w:space="0" w:color="auto"/>
              <w:left w:val="single" w:sz="6" w:space="0" w:color="auto"/>
              <w:bottom w:val="single" w:sz="6" w:space="0" w:color="auto"/>
              <w:right w:val="single" w:sz="6" w:space="0" w:color="auto"/>
            </w:tcBorders>
            <w:shd w:val="clear" w:color="auto" w:fill="auto"/>
            <w:hideMark/>
          </w:tcPr>
          <w:p w:rsidR="003B5A67" w:rsidRPr="00447067" w:rsidP="00727E03" w14:paraId="7FA9AD01" w14:textId="77777777">
            <w:pPr>
              <w:rPr>
                <w:bCs/>
              </w:rPr>
            </w:pPr>
            <w:r w:rsidRPr="00447067">
              <w:rPr>
                <w:bCs/>
              </w:rPr>
              <w:t>Audiometry Testing </w:t>
            </w:r>
          </w:p>
        </w:tc>
        <w:tc>
          <w:tcPr>
            <w:tcW w:w="1350" w:type="dxa"/>
            <w:tcBorders>
              <w:top w:val="single" w:sz="6" w:space="0" w:color="auto"/>
              <w:left w:val="single" w:sz="6" w:space="0" w:color="auto"/>
              <w:bottom w:val="single" w:sz="6" w:space="0" w:color="auto"/>
              <w:right w:val="single" w:sz="6" w:space="0" w:color="auto"/>
            </w:tcBorders>
            <w:shd w:val="clear" w:color="auto" w:fill="auto"/>
            <w:hideMark/>
          </w:tcPr>
          <w:p w:rsidR="003B5A67" w:rsidRPr="00447067" w:rsidP="00727E03" w14:paraId="2B5EF8F9" w14:textId="4C6D0B52">
            <w:pPr>
              <w:rPr>
                <w:bCs/>
              </w:rPr>
            </w:pPr>
            <w:r>
              <w:rPr>
                <w:bCs/>
              </w:rPr>
              <w:t>17</w:t>
            </w:r>
            <w:r w:rsidRPr="00447067">
              <w:rPr>
                <w:bCs/>
              </w:rPr>
              <w:t> </w:t>
            </w:r>
          </w:p>
        </w:tc>
        <w:tc>
          <w:tcPr>
            <w:tcW w:w="1980" w:type="dxa"/>
            <w:tcBorders>
              <w:top w:val="single" w:sz="6" w:space="0" w:color="auto"/>
              <w:left w:val="single" w:sz="6" w:space="0" w:color="auto"/>
              <w:bottom w:val="single" w:sz="6" w:space="0" w:color="auto"/>
              <w:right w:val="single" w:sz="6" w:space="0" w:color="auto"/>
            </w:tcBorders>
            <w:shd w:val="clear" w:color="auto" w:fill="auto"/>
            <w:hideMark/>
          </w:tcPr>
          <w:p w:rsidR="003B5A67" w:rsidRPr="00447067" w:rsidP="00727E03" w14:paraId="75823ACD" w14:textId="77777777">
            <w:pPr>
              <w:rPr>
                <w:bCs/>
              </w:rPr>
            </w:pPr>
            <w:r w:rsidRPr="00447067">
              <w:rPr>
                <w:bCs/>
              </w:rPr>
              <w:t>$</w:t>
            </w:r>
            <w:r>
              <w:rPr>
                <w:bCs/>
              </w:rPr>
              <w:t>22.60</w:t>
            </w:r>
          </w:p>
        </w:tc>
        <w:tc>
          <w:tcPr>
            <w:tcW w:w="2423" w:type="dxa"/>
            <w:tcBorders>
              <w:top w:val="single" w:sz="6" w:space="0" w:color="auto"/>
              <w:left w:val="single" w:sz="6" w:space="0" w:color="auto"/>
              <w:bottom w:val="single" w:sz="6" w:space="0" w:color="auto"/>
              <w:right w:val="single" w:sz="6" w:space="0" w:color="auto"/>
            </w:tcBorders>
            <w:shd w:val="clear" w:color="auto" w:fill="auto"/>
            <w:hideMark/>
          </w:tcPr>
          <w:p w:rsidR="003B5A67" w:rsidRPr="00447067" w:rsidP="00727E03" w14:paraId="2016BC37" w14:textId="489FC7AC">
            <w:pPr>
              <w:rPr>
                <w:bCs/>
              </w:rPr>
            </w:pPr>
            <w:r w:rsidRPr="00447067">
              <w:rPr>
                <w:bCs/>
              </w:rPr>
              <w:t>$</w:t>
            </w:r>
            <w:r>
              <w:rPr>
                <w:bCs/>
              </w:rPr>
              <w:t>384</w:t>
            </w:r>
          </w:p>
        </w:tc>
      </w:tr>
      <w:tr w14:paraId="769DAB85" w14:textId="77777777" w:rsidTr="00727E03">
        <w:tblPrEx>
          <w:tblW w:w="9795" w:type="dxa"/>
          <w:tblCellMar>
            <w:left w:w="0" w:type="dxa"/>
            <w:right w:w="0" w:type="dxa"/>
          </w:tblCellMar>
          <w:tblLook w:val="04A0"/>
        </w:tblPrEx>
        <w:tc>
          <w:tcPr>
            <w:tcW w:w="1800" w:type="dxa"/>
            <w:tcBorders>
              <w:top w:val="single" w:sz="6" w:space="0" w:color="auto"/>
              <w:left w:val="single" w:sz="6" w:space="0" w:color="auto"/>
              <w:bottom w:val="single" w:sz="6" w:space="0" w:color="auto"/>
              <w:right w:val="single" w:sz="6" w:space="0" w:color="auto"/>
            </w:tcBorders>
            <w:shd w:val="clear" w:color="auto" w:fill="auto"/>
            <w:hideMark/>
          </w:tcPr>
          <w:p w:rsidR="00361ECA" w:rsidRPr="00447067" w:rsidP="00727E03" w14:paraId="78A30DD4" w14:textId="77777777">
            <w:pPr>
              <w:rPr>
                <w:bCs/>
              </w:rPr>
            </w:pPr>
            <w:r w:rsidRPr="00447067">
              <w:rPr>
                <w:bCs/>
              </w:rPr>
              <w:t>Total </w:t>
            </w:r>
          </w:p>
        </w:tc>
        <w:tc>
          <w:tcPr>
            <w:tcW w:w="5572" w:type="dxa"/>
            <w:gridSpan w:val="3"/>
            <w:tcBorders>
              <w:top w:val="single" w:sz="6" w:space="0" w:color="auto"/>
              <w:left w:val="single" w:sz="6" w:space="0" w:color="auto"/>
              <w:bottom w:val="single" w:sz="6" w:space="0" w:color="auto"/>
              <w:right w:val="single" w:sz="6" w:space="0" w:color="auto"/>
            </w:tcBorders>
            <w:shd w:val="clear" w:color="auto" w:fill="auto"/>
            <w:hideMark/>
          </w:tcPr>
          <w:p w:rsidR="00361ECA" w:rsidRPr="00447067" w:rsidP="00727E03" w14:paraId="22567AEC" w14:textId="77777777">
            <w:pPr>
              <w:rPr>
                <w:bCs/>
              </w:rPr>
            </w:pPr>
            <w:r w:rsidRPr="00447067">
              <w:rPr>
                <w:bCs/>
              </w:rPr>
              <w:t> </w:t>
            </w:r>
          </w:p>
        </w:tc>
        <w:tc>
          <w:tcPr>
            <w:tcW w:w="2423" w:type="dxa"/>
            <w:tcBorders>
              <w:top w:val="single" w:sz="6" w:space="0" w:color="auto"/>
              <w:left w:val="single" w:sz="6" w:space="0" w:color="auto"/>
              <w:bottom w:val="single" w:sz="6" w:space="0" w:color="auto"/>
              <w:right w:val="single" w:sz="6" w:space="0" w:color="auto"/>
            </w:tcBorders>
            <w:shd w:val="clear" w:color="auto" w:fill="auto"/>
            <w:hideMark/>
          </w:tcPr>
          <w:p w:rsidR="00361ECA" w:rsidRPr="00447067" w:rsidP="00727E03" w14:paraId="6AB681C7" w14:textId="5F109C37">
            <w:pPr>
              <w:rPr>
                <w:bCs/>
              </w:rPr>
            </w:pPr>
            <w:r w:rsidRPr="00447067">
              <w:rPr>
                <w:bCs/>
              </w:rPr>
              <w:t>$</w:t>
            </w:r>
            <w:r w:rsidR="00481952">
              <w:rPr>
                <w:bCs/>
              </w:rPr>
              <w:t>23</w:t>
            </w:r>
            <w:r w:rsidR="00EB60E1">
              <w:rPr>
                <w:bCs/>
              </w:rPr>
              <w:t>95</w:t>
            </w:r>
          </w:p>
        </w:tc>
      </w:tr>
    </w:tbl>
    <w:p w:rsidR="00361ECA" w:rsidRPr="00D668EA" w:rsidP="00D8623B" w14:paraId="51E5F7B2" w14:textId="77777777">
      <w:pPr>
        <w:rPr>
          <w:b/>
        </w:rPr>
      </w:pPr>
    </w:p>
    <w:p w:rsidR="007D446A" w:rsidP="007D446A" w14:paraId="3842B915" w14:textId="7A4243F1">
      <w:r>
        <w:t>*Hourly rate based on “</w:t>
      </w:r>
      <w:r w:rsidRPr="00293BE2">
        <w:t>Construction and extraction occupations</w:t>
      </w:r>
      <w:r>
        <w:t xml:space="preserve">” median weekly pay for 2021 found at </w:t>
      </w:r>
      <w:hyperlink r:id="rId6" w:history="1">
        <w:r>
          <w:rPr>
            <w:rStyle w:val="Hyperlink"/>
            <w:rFonts w:eastAsiaTheme="majorEastAsia"/>
          </w:rPr>
          <w:t>Median weekly earnings of full-time wage and salary workers by detailed occupation and sex (bls.gov)</w:t>
        </w:r>
      </w:hyperlink>
      <w:r>
        <w:t xml:space="preserve"> </w:t>
      </w:r>
    </w:p>
    <w:p w:rsidR="00D8623B" w:rsidRPr="00D8623B" w:rsidP="009F02F7" w14:paraId="523958BA" w14:textId="77777777"/>
    <w:p w:rsidR="009C0CB3" w:rsidP="006771B4" w14:paraId="4E88B1AF" w14:textId="3D22AF5C">
      <w:pPr>
        <w:pStyle w:val="Heading1"/>
      </w:pPr>
      <w:bookmarkStart w:id="14" w:name="_Toc130908463"/>
      <w:r>
        <w:t>13. Estimates of Other Total Annual Cost Burden to Respondents or Record Keepers</w:t>
      </w:r>
      <w:bookmarkEnd w:id="14"/>
    </w:p>
    <w:p w:rsidR="00A953D5" w:rsidP="00A953D5" w14:paraId="76AE2B05" w14:textId="12B54D6A"/>
    <w:p w:rsidR="00484FEA" w:rsidP="00A953D5" w14:paraId="7749BA4A" w14:textId="6B2C5F05">
      <w:r>
        <w:t xml:space="preserve">There are no other costs to respondents or record keepers. </w:t>
      </w:r>
    </w:p>
    <w:p w:rsidR="009C0CB3" w:rsidP="009F02F7" w14:paraId="6D156E92" w14:textId="49D9ED15">
      <w:pPr>
        <w:pStyle w:val="Heading1"/>
      </w:pPr>
      <w:bookmarkStart w:id="15" w:name="_Toc130908464"/>
      <w:r>
        <w:t>14. Annualized Cost to the Government</w:t>
      </w:r>
      <w:bookmarkEnd w:id="15"/>
    </w:p>
    <w:p w:rsidR="00B95B2E" w:rsidRPr="00315BC0" w:rsidP="009F02F7" w14:paraId="08CB99AB" w14:textId="77777777"/>
    <w:p w:rsidR="00284031" w:rsidP="00A52B30" w14:paraId="17B4E8AD" w14:textId="6B1A81D2">
      <w:r>
        <w:t>The estimated annualized cost to the government is $</w:t>
      </w:r>
      <w:r w:rsidR="224DA1B2">
        <w:t xml:space="preserve">397,206 for the </w:t>
      </w:r>
      <w:r w:rsidR="766C8B94">
        <w:t>four years of the project</w:t>
      </w:r>
      <w:r>
        <w:t xml:space="preserve">. </w:t>
      </w:r>
      <w:r w:rsidR="3A5874E6">
        <w:t>The breakdown</w:t>
      </w:r>
      <w:r w:rsidR="181D6CDD">
        <w:t xml:space="preserve"> by cost type</w:t>
      </w:r>
      <w:r w:rsidR="3A5874E6">
        <w:t xml:space="preserve"> is </w:t>
      </w:r>
      <w:r w:rsidR="181D6CDD">
        <w:t xml:space="preserve">outlined in Table A14.1. </w:t>
      </w:r>
      <w:r w:rsidR="3B22EA52">
        <w:t xml:space="preserve">The estimated costs will cover the following: </w:t>
      </w:r>
    </w:p>
    <w:p w:rsidR="00C821C3" w:rsidP="00284031" w14:paraId="10FCF2F0" w14:textId="00CE55F3">
      <w:pPr>
        <w:pStyle w:val="ListParagraph"/>
        <w:numPr>
          <w:ilvl w:val="0"/>
          <w:numId w:val="5"/>
        </w:numPr>
      </w:pPr>
      <w:r>
        <w:t>G</w:t>
      </w:r>
      <w:r w:rsidR="00811DA5">
        <w:t xml:space="preserve">overnment </w:t>
      </w:r>
      <w:r>
        <w:t>personnel</w:t>
      </w:r>
      <w:r>
        <w:t xml:space="preserve"> time</w:t>
      </w:r>
      <w:r w:rsidR="00ED0C33">
        <w:t xml:space="preserve"> (pro-rated using percentage of time dedicated to the project</w:t>
      </w:r>
      <w:r w:rsidR="00ED0C33">
        <w:t>)</w:t>
      </w:r>
      <w:r>
        <w:t>;</w:t>
      </w:r>
    </w:p>
    <w:p w:rsidR="00FE294F" w:rsidP="00284031" w14:paraId="0CE92CDF" w14:textId="59E71427">
      <w:pPr>
        <w:pStyle w:val="ListParagraph"/>
        <w:numPr>
          <w:ilvl w:val="0"/>
          <w:numId w:val="5"/>
        </w:numPr>
      </w:pPr>
      <w:r>
        <w:t xml:space="preserve">Equipment for exposure </w:t>
      </w:r>
      <w:r>
        <w:t>assessment</w:t>
      </w:r>
      <w:r>
        <w:t>;</w:t>
      </w:r>
    </w:p>
    <w:p w:rsidR="00624F51" w:rsidP="00284031" w14:paraId="5B587B05" w14:textId="77777777">
      <w:pPr>
        <w:pStyle w:val="ListParagraph"/>
        <w:numPr>
          <w:ilvl w:val="0"/>
          <w:numId w:val="5"/>
        </w:numPr>
      </w:pPr>
      <w:r>
        <w:t xml:space="preserve">Media and supplies for sample </w:t>
      </w:r>
      <w:r>
        <w:t>collection;</w:t>
      </w:r>
    </w:p>
    <w:p w:rsidR="00284031" w:rsidP="00284031" w14:paraId="32A87393" w14:textId="6B499983">
      <w:pPr>
        <w:pStyle w:val="ListParagraph"/>
        <w:numPr>
          <w:ilvl w:val="0"/>
          <w:numId w:val="5"/>
        </w:numPr>
      </w:pPr>
      <w:r>
        <w:t>P</w:t>
      </w:r>
      <w:r w:rsidR="00074644">
        <w:t>ersonal protective equipment</w:t>
      </w:r>
      <w:r w:rsidR="00053909">
        <w:t xml:space="preserve"> for</w:t>
      </w:r>
      <w:r>
        <w:t xml:space="preserve"> project</w:t>
      </w:r>
      <w:r w:rsidR="00053909">
        <w:t xml:space="preserve"> </w:t>
      </w:r>
      <w:r w:rsidR="00053909">
        <w:t>staff</w:t>
      </w:r>
      <w:r w:rsidR="00EA683B">
        <w:t>;</w:t>
      </w:r>
      <w:r w:rsidR="00077B66">
        <w:t xml:space="preserve"> </w:t>
      </w:r>
    </w:p>
    <w:p w:rsidR="00284031" w14:paraId="0479F58F" w14:textId="241EE042">
      <w:pPr>
        <w:pStyle w:val="ListParagraph"/>
        <w:numPr>
          <w:ilvl w:val="0"/>
          <w:numId w:val="5"/>
        </w:numPr>
      </w:pPr>
      <w:r>
        <w:t>C</w:t>
      </w:r>
      <w:r w:rsidR="000407DC">
        <w:t>ontracts for staff</w:t>
      </w:r>
      <w:r w:rsidR="000E1436">
        <w:t xml:space="preserve">, </w:t>
      </w:r>
      <w:r>
        <w:t xml:space="preserve">translation, </w:t>
      </w:r>
      <w:r w:rsidR="000E1436">
        <w:t xml:space="preserve">and sample analytical </w:t>
      </w:r>
      <w:r w:rsidR="000E1436">
        <w:t>service;</w:t>
      </w:r>
    </w:p>
    <w:p w:rsidR="00284031" w:rsidP="00284031" w14:paraId="212F239E" w14:textId="3F06559E">
      <w:pPr>
        <w:pStyle w:val="ListParagraph"/>
        <w:numPr>
          <w:ilvl w:val="0"/>
          <w:numId w:val="5"/>
        </w:numPr>
      </w:pPr>
      <w:r>
        <w:t>T</w:t>
      </w:r>
      <w:r w:rsidR="00002184">
        <w:t xml:space="preserve">ravel </w:t>
      </w:r>
      <w:r w:rsidR="002F6B44">
        <w:t>for partner development, field evaluations, field questionnaire delivery, audiometry, and dissemination of findings</w:t>
      </w:r>
      <w:r w:rsidR="001B4E5C">
        <w:t xml:space="preserve">. </w:t>
      </w:r>
    </w:p>
    <w:p w:rsidR="00A52B30" w:rsidRPr="00315BC0" w:rsidP="5DF7CB22" w14:paraId="38AA61EC" w14:textId="7058FEAD">
      <w:pPr>
        <w:pStyle w:val="ListParagraph"/>
      </w:pPr>
      <w:r>
        <w:t xml:space="preserve"> </w:t>
      </w:r>
    </w:p>
    <w:p w:rsidR="00CC039B" w:rsidP="00CC039B" w14:paraId="45CFB7EA" w14:textId="77777777"/>
    <w:p w:rsidR="006E44E1" w:rsidRPr="006E44E1" w:rsidP="00CC039B" w14:paraId="63EF8D18" w14:textId="1018A959">
      <w:pPr>
        <w:rPr>
          <w:b/>
          <w:bCs/>
        </w:rPr>
      </w:pPr>
      <w:r w:rsidRPr="5DF7CB22">
        <w:rPr>
          <w:b/>
          <w:bCs/>
        </w:rPr>
        <w:t xml:space="preserve">Table A14.1 </w:t>
      </w:r>
      <w:r w:rsidR="00966DB6">
        <w:rPr>
          <w:b/>
          <w:bCs/>
        </w:rPr>
        <w:t>Annualized c</w:t>
      </w:r>
      <w:r w:rsidRPr="5DF7CB22">
        <w:rPr>
          <w:b/>
          <w:bCs/>
        </w:rPr>
        <w:t>osts to the government incurred by this project</w:t>
      </w:r>
    </w:p>
    <w:p w:rsidR="006E44E1" w:rsidP="00CC039B" w14:paraId="7B3D400F" w14:textId="77777777"/>
    <w:tbl>
      <w:tblPr>
        <w:tblW w:w="746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5122"/>
        <w:gridCol w:w="2340"/>
      </w:tblGrid>
      <w:tr w14:paraId="1D35F654" w14:textId="77777777" w:rsidTr="00C33E03">
        <w:tblPrEx>
          <w:tblW w:w="746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c>
          <w:tcPr>
            <w:tcW w:w="5122" w:type="dxa"/>
            <w:tcBorders>
              <w:top w:val="single" w:sz="6" w:space="0" w:color="auto"/>
              <w:left w:val="single" w:sz="6" w:space="0" w:color="auto"/>
              <w:bottom w:val="single" w:sz="6" w:space="0" w:color="auto"/>
              <w:right w:val="single" w:sz="6" w:space="0" w:color="auto"/>
            </w:tcBorders>
            <w:shd w:val="clear" w:color="auto" w:fill="auto"/>
            <w:hideMark/>
          </w:tcPr>
          <w:p w:rsidR="00BA72B7" w:rsidRPr="006E44E1" w:rsidP="52F1935E" w14:paraId="5FEEEDCD" w14:textId="7D903127">
            <w:pPr>
              <w:rPr>
                <w:b/>
                <w:bCs/>
              </w:rPr>
            </w:pPr>
            <w:r w:rsidRPr="5DF7CB22">
              <w:rPr>
                <w:b/>
                <w:bCs/>
              </w:rPr>
              <w:t>Item</w:t>
            </w:r>
          </w:p>
        </w:tc>
        <w:tc>
          <w:tcPr>
            <w:tcW w:w="2340" w:type="dxa"/>
            <w:tcBorders>
              <w:top w:val="single" w:sz="6" w:space="0" w:color="auto"/>
              <w:left w:val="single" w:sz="6" w:space="0" w:color="auto"/>
              <w:bottom w:val="single" w:sz="6" w:space="0" w:color="auto"/>
              <w:right w:val="single" w:sz="6" w:space="0" w:color="auto"/>
            </w:tcBorders>
            <w:shd w:val="clear" w:color="auto" w:fill="auto"/>
            <w:hideMark/>
          </w:tcPr>
          <w:p w:rsidR="00BA72B7" w:rsidRPr="006E44E1" w:rsidP="52F1935E" w14:paraId="6C25B55A" w14:textId="2A4B78E1">
            <w:pPr>
              <w:rPr>
                <w:b/>
                <w:bCs/>
              </w:rPr>
            </w:pPr>
            <w:r w:rsidRPr="5DF7CB22">
              <w:rPr>
                <w:b/>
                <w:bCs/>
              </w:rPr>
              <w:t>Annualized</w:t>
            </w:r>
            <w:r w:rsidR="00966DB6">
              <w:rPr>
                <w:b/>
                <w:bCs/>
              </w:rPr>
              <w:t xml:space="preserve"> Cost</w:t>
            </w:r>
          </w:p>
        </w:tc>
      </w:tr>
      <w:tr w14:paraId="2DCEC8CE" w14:textId="77777777" w:rsidTr="00C33E03">
        <w:tblPrEx>
          <w:tblW w:w="7462" w:type="dxa"/>
          <w:tblCellMar>
            <w:left w:w="0" w:type="dxa"/>
            <w:right w:w="0" w:type="dxa"/>
          </w:tblCellMar>
          <w:tblLook w:val="04A0"/>
        </w:tblPrEx>
        <w:tc>
          <w:tcPr>
            <w:tcW w:w="5122" w:type="dxa"/>
            <w:tcBorders>
              <w:top w:val="single" w:sz="6" w:space="0" w:color="auto"/>
              <w:left w:val="single" w:sz="6" w:space="0" w:color="auto"/>
              <w:bottom w:val="single" w:sz="6" w:space="0" w:color="auto"/>
              <w:right w:val="single" w:sz="6" w:space="0" w:color="auto"/>
            </w:tcBorders>
            <w:shd w:val="clear" w:color="auto" w:fill="auto"/>
          </w:tcPr>
          <w:p w:rsidR="00811DA5" w:rsidP="00727E03" w14:paraId="18407A35" w14:textId="0CE34499">
            <w:r>
              <w:t xml:space="preserve">NIOSH </w:t>
            </w:r>
            <w:r>
              <w:t>Personnel</w:t>
            </w:r>
          </w:p>
        </w:tc>
        <w:tc>
          <w:tcPr>
            <w:tcW w:w="2340" w:type="dxa"/>
            <w:tcBorders>
              <w:top w:val="single" w:sz="6" w:space="0" w:color="auto"/>
              <w:left w:val="single" w:sz="6" w:space="0" w:color="auto"/>
              <w:bottom w:val="single" w:sz="6" w:space="0" w:color="auto"/>
              <w:right w:val="single" w:sz="6" w:space="0" w:color="auto"/>
            </w:tcBorders>
            <w:shd w:val="clear" w:color="auto" w:fill="auto"/>
          </w:tcPr>
          <w:p w:rsidR="00811DA5" w:rsidP="00727E03" w14:paraId="7C9CFE25" w14:textId="76572462">
            <w:r>
              <w:t>$147,206</w:t>
            </w:r>
          </w:p>
        </w:tc>
      </w:tr>
      <w:tr w14:paraId="3123C266" w14:textId="77777777" w:rsidTr="00C33E03">
        <w:tblPrEx>
          <w:tblW w:w="7462" w:type="dxa"/>
          <w:tblCellMar>
            <w:left w:w="0" w:type="dxa"/>
            <w:right w:w="0" w:type="dxa"/>
          </w:tblCellMar>
          <w:tblLook w:val="04A0"/>
        </w:tblPrEx>
        <w:tc>
          <w:tcPr>
            <w:tcW w:w="5122" w:type="dxa"/>
            <w:tcBorders>
              <w:top w:val="single" w:sz="6" w:space="0" w:color="auto"/>
              <w:left w:val="single" w:sz="6" w:space="0" w:color="auto"/>
              <w:bottom w:val="single" w:sz="6" w:space="0" w:color="auto"/>
              <w:right w:val="single" w:sz="6" w:space="0" w:color="auto"/>
            </w:tcBorders>
            <w:shd w:val="clear" w:color="auto" w:fill="auto"/>
            <w:hideMark/>
          </w:tcPr>
          <w:p w:rsidR="006B4E91" w:rsidRPr="00447067" w:rsidP="00727E03" w14:paraId="3A37BD6C" w14:textId="064E77F3">
            <w:r>
              <w:t>Supplies</w:t>
            </w:r>
          </w:p>
        </w:tc>
        <w:tc>
          <w:tcPr>
            <w:tcW w:w="2340" w:type="dxa"/>
            <w:tcBorders>
              <w:top w:val="single" w:sz="6" w:space="0" w:color="auto"/>
              <w:left w:val="single" w:sz="6" w:space="0" w:color="auto"/>
              <w:bottom w:val="single" w:sz="6" w:space="0" w:color="auto"/>
              <w:right w:val="single" w:sz="6" w:space="0" w:color="auto"/>
            </w:tcBorders>
            <w:shd w:val="clear" w:color="auto" w:fill="auto"/>
            <w:hideMark/>
          </w:tcPr>
          <w:p w:rsidR="006B4E91" w:rsidRPr="009113AF" w:rsidP="52F1935E" w14:paraId="076AA7F6" w14:textId="4745A149">
            <w:r>
              <w:t>$5,000</w:t>
            </w:r>
          </w:p>
        </w:tc>
      </w:tr>
      <w:tr w14:paraId="2544AA3B" w14:textId="77777777" w:rsidTr="00C33E03">
        <w:tblPrEx>
          <w:tblW w:w="7462" w:type="dxa"/>
          <w:tblCellMar>
            <w:left w:w="0" w:type="dxa"/>
            <w:right w:w="0" w:type="dxa"/>
          </w:tblCellMar>
          <w:tblLook w:val="04A0"/>
        </w:tblPrEx>
        <w:tc>
          <w:tcPr>
            <w:tcW w:w="5122" w:type="dxa"/>
            <w:tcBorders>
              <w:top w:val="single" w:sz="6" w:space="0" w:color="auto"/>
              <w:left w:val="single" w:sz="6" w:space="0" w:color="auto"/>
              <w:bottom w:val="single" w:sz="6" w:space="0" w:color="auto"/>
              <w:right w:val="single" w:sz="6" w:space="0" w:color="auto"/>
            </w:tcBorders>
            <w:shd w:val="clear" w:color="auto" w:fill="auto"/>
            <w:hideMark/>
          </w:tcPr>
          <w:p w:rsidR="006B4E91" w:rsidRPr="00447067" w:rsidP="00727E03" w14:paraId="43E5933A" w14:textId="12700AAC">
            <w:r>
              <w:t>Equipment</w:t>
            </w:r>
          </w:p>
        </w:tc>
        <w:tc>
          <w:tcPr>
            <w:tcW w:w="2340" w:type="dxa"/>
            <w:tcBorders>
              <w:top w:val="single" w:sz="6" w:space="0" w:color="auto"/>
              <w:left w:val="single" w:sz="6" w:space="0" w:color="auto"/>
              <w:bottom w:val="single" w:sz="6" w:space="0" w:color="auto"/>
              <w:right w:val="single" w:sz="6" w:space="0" w:color="auto"/>
            </w:tcBorders>
            <w:shd w:val="clear" w:color="auto" w:fill="auto"/>
            <w:hideMark/>
          </w:tcPr>
          <w:p w:rsidR="006B4E91" w:rsidRPr="009113AF" w:rsidP="52F1935E" w14:paraId="594DFF8C" w14:textId="33F7E0D6">
            <w:r>
              <w:t>$12,5000</w:t>
            </w:r>
          </w:p>
        </w:tc>
      </w:tr>
      <w:tr w14:paraId="6FD8F8BE" w14:textId="77777777" w:rsidTr="00C33E03">
        <w:tblPrEx>
          <w:tblW w:w="7462" w:type="dxa"/>
          <w:tblCellMar>
            <w:left w:w="0" w:type="dxa"/>
            <w:right w:w="0" w:type="dxa"/>
          </w:tblCellMar>
          <w:tblLook w:val="04A0"/>
        </w:tblPrEx>
        <w:tc>
          <w:tcPr>
            <w:tcW w:w="5122" w:type="dxa"/>
            <w:tcBorders>
              <w:top w:val="single" w:sz="6" w:space="0" w:color="auto"/>
              <w:left w:val="single" w:sz="6" w:space="0" w:color="auto"/>
              <w:bottom w:val="single" w:sz="6" w:space="0" w:color="auto"/>
              <w:right w:val="single" w:sz="6" w:space="0" w:color="auto"/>
            </w:tcBorders>
            <w:shd w:val="clear" w:color="auto" w:fill="auto"/>
          </w:tcPr>
          <w:p w:rsidR="006B4E91" w:rsidP="00727E03" w14:paraId="21BC81D2" w14:textId="5AB16A29">
            <w:r>
              <w:t>Contracts for staff, sample analysis</w:t>
            </w:r>
            <w:r w:rsidR="00BD6271">
              <w:t>,</w:t>
            </w:r>
            <w:r>
              <w:t xml:space="preserve"> and translation</w:t>
            </w:r>
          </w:p>
        </w:tc>
        <w:tc>
          <w:tcPr>
            <w:tcW w:w="2340" w:type="dxa"/>
            <w:tcBorders>
              <w:top w:val="single" w:sz="6" w:space="0" w:color="auto"/>
              <w:left w:val="single" w:sz="6" w:space="0" w:color="auto"/>
              <w:bottom w:val="single" w:sz="6" w:space="0" w:color="auto"/>
              <w:right w:val="single" w:sz="6" w:space="0" w:color="auto"/>
            </w:tcBorders>
            <w:shd w:val="clear" w:color="auto" w:fill="auto"/>
          </w:tcPr>
          <w:p w:rsidR="006B4E91" w:rsidRPr="009113AF" w14:paraId="57CD08D7" w14:textId="37D9A2BD">
            <w:r>
              <w:t>$</w:t>
            </w:r>
            <w:r w:rsidR="002C598F">
              <w:t>167,500</w:t>
            </w:r>
          </w:p>
        </w:tc>
      </w:tr>
      <w:tr w14:paraId="1C60FBA9" w14:textId="77777777" w:rsidTr="00C33E03">
        <w:tblPrEx>
          <w:tblW w:w="7462" w:type="dxa"/>
          <w:tblCellMar>
            <w:left w:w="0" w:type="dxa"/>
            <w:right w:w="0" w:type="dxa"/>
          </w:tblCellMar>
          <w:tblLook w:val="04A0"/>
        </w:tblPrEx>
        <w:tc>
          <w:tcPr>
            <w:tcW w:w="5122" w:type="dxa"/>
            <w:tcBorders>
              <w:top w:val="single" w:sz="6" w:space="0" w:color="auto"/>
              <w:left w:val="single" w:sz="6" w:space="0" w:color="auto"/>
              <w:bottom w:val="single" w:sz="6" w:space="0" w:color="auto"/>
              <w:right w:val="single" w:sz="6" w:space="0" w:color="auto"/>
            </w:tcBorders>
            <w:shd w:val="clear" w:color="auto" w:fill="auto"/>
          </w:tcPr>
          <w:p w:rsidR="006B4E91" w:rsidP="00727E03" w14:paraId="64FA60DF" w14:textId="75B7AFF8">
            <w:r>
              <w:t>Travel</w:t>
            </w:r>
          </w:p>
        </w:tc>
        <w:tc>
          <w:tcPr>
            <w:tcW w:w="2340" w:type="dxa"/>
            <w:tcBorders>
              <w:top w:val="single" w:sz="6" w:space="0" w:color="auto"/>
              <w:left w:val="single" w:sz="6" w:space="0" w:color="auto"/>
              <w:bottom w:val="single" w:sz="6" w:space="0" w:color="auto"/>
              <w:right w:val="single" w:sz="6" w:space="0" w:color="auto"/>
            </w:tcBorders>
            <w:shd w:val="clear" w:color="auto" w:fill="auto"/>
          </w:tcPr>
          <w:p w:rsidR="006B4E91" w:rsidRPr="009113AF" w:rsidP="52F1935E" w14:paraId="74633123" w14:textId="4EA1E2C6">
            <w:r>
              <w:t>$</w:t>
            </w:r>
            <w:r w:rsidR="00BD6271">
              <w:t>65,000</w:t>
            </w:r>
          </w:p>
        </w:tc>
      </w:tr>
      <w:tr w14:paraId="003E75D5" w14:textId="77777777" w:rsidTr="00C33E03">
        <w:tblPrEx>
          <w:tblW w:w="7462" w:type="dxa"/>
          <w:tblCellMar>
            <w:left w:w="0" w:type="dxa"/>
            <w:right w:w="0" w:type="dxa"/>
          </w:tblCellMar>
          <w:tblLook w:val="04A0"/>
        </w:tblPrEx>
        <w:trPr>
          <w:trHeight w:val="372"/>
        </w:trPr>
        <w:tc>
          <w:tcPr>
            <w:tcW w:w="5122" w:type="dxa"/>
            <w:tcBorders>
              <w:top w:val="single" w:sz="6" w:space="0" w:color="auto"/>
              <w:left w:val="single" w:sz="6" w:space="0" w:color="auto"/>
              <w:bottom w:val="single" w:sz="6" w:space="0" w:color="auto"/>
              <w:right w:val="single" w:sz="6" w:space="0" w:color="auto"/>
            </w:tcBorders>
            <w:shd w:val="clear" w:color="auto" w:fill="auto"/>
            <w:hideMark/>
          </w:tcPr>
          <w:p w:rsidR="006B4E91" w:rsidRPr="002479D4" w:rsidP="00727E03" w14:paraId="5643566D" w14:textId="3B54DE5B">
            <w:pPr>
              <w:rPr>
                <w:i/>
                <w:iCs/>
              </w:rPr>
            </w:pPr>
            <w:r w:rsidRPr="002479D4">
              <w:rPr>
                <w:i/>
                <w:iCs/>
              </w:rPr>
              <w:t>Total</w:t>
            </w:r>
          </w:p>
        </w:tc>
        <w:tc>
          <w:tcPr>
            <w:tcW w:w="2340" w:type="dxa"/>
            <w:tcBorders>
              <w:top w:val="single" w:sz="6" w:space="0" w:color="auto"/>
              <w:left w:val="single" w:sz="6" w:space="0" w:color="auto"/>
              <w:bottom w:val="single" w:sz="6" w:space="0" w:color="auto"/>
              <w:right w:val="single" w:sz="6" w:space="0" w:color="auto"/>
            </w:tcBorders>
            <w:shd w:val="clear" w:color="auto" w:fill="auto"/>
            <w:hideMark/>
          </w:tcPr>
          <w:p w:rsidR="006B4E91" w:rsidRPr="002479D4" w:rsidP="00727E03" w14:paraId="705767E4" w14:textId="4AACD2FA">
            <w:pPr>
              <w:rPr>
                <w:i/>
                <w:iCs/>
              </w:rPr>
            </w:pPr>
            <w:r w:rsidRPr="002479D4">
              <w:rPr>
                <w:i/>
                <w:iCs/>
              </w:rPr>
              <w:t>$</w:t>
            </w:r>
            <w:r w:rsidR="00BD6271">
              <w:rPr>
                <w:i/>
                <w:iCs/>
              </w:rPr>
              <w:t>397</w:t>
            </w:r>
            <w:r w:rsidR="004E278E">
              <w:rPr>
                <w:i/>
                <w:iCs/>
              </w:rPr>
              <w:t>,206</w:t>
            </w:r>
          </w:p>
        </w:tc>
      </w:tr>
    </w:tbl>
    <w:p w:rsidR="00CC039B" w:rsidRPr="00315BC0" w:rsidP="5DF7CB22" w14:paraId="4AD96F22" w14:textId="77777777"/>
    <w:p w:rsidR="009C0CB3" w:rsidP="006771B4" w14:paraId="6A3FDBBC" w14:textId="331BA75E">
      <w:pPr>
        <w:pStyle w:val="Heading1"/>
      </w:pPr>
      <w:bookmarkStart w:id="16" w:name="_Toc130908465"/>
      <w:r>
        <w:t>15. Explanation for Program Changes or Adjustments</w:t>
      </w:r>
      <w:bookmarkEnd w:id="16"/>
    </w:p>
    <w:p w:rsidR="006E44E1" w:rsidP="000A5381" w14:paraId="2DEBEF86" w14:textId="77777777"/>
    <w:p w:rsidR="000A5381" w:rsidRPr="00315BC0" w:rsidP="5DF7CB22" w14:paraId="7FF0A126" w14:textId="58E5CE78">
      <w:r>
        <w:t xml:space="preserve">This is a new data collection. </w:t>
      </w:r>
    </w:p>
    <w:p w:rsidR="009C0CB3" w:rsidP="006771B4" w14:paraId="2EDDAF83" w14:textId="25896005">
      <w:pPr>
        <w:pStyle w:val="Heading1"/>
      </w:pPr>
      <w:bookmarkStart w:id="17" w:name="_Toc130908466"/>
      <w:r>
        <w:t>16. Plans for Tabulation and Publication and Project Time Schedule</w:t>
      </w:r>
      <w:bookmarkEnd w:id="17"/>
    </w:p>
    <w:p w:rsidR="00F93748" w:rsidRPr="00315BC0" w:rsidP="002479D4" w14:paraId="60E475B6" w14:textId="77777777"/>
    <w:p w:rsidR="00E41E13" w:rsidP="000A5381" w14:paraId="1DBB7C2E" w14:textId="19B54C0D">
      <w:r>
        <w:t xml:space="preserve">Once approved by OMB, </w:t>
      </w:r>
      <w:r w:rsidR="18AF61E6">
        <w:t xml:space="preserve">oil and gas extraction companies </w:t>
      </w:r>
      <w:r w:rsidR="11F8EEFA">
        <w:t xml:space="preserve">and workers </w:t>
      </w:r>
      <w:r w:rsidR="18AF61E6">
        <w:t>will be recruited for participation in this project</w:t>
      </w:r>
      <w:r w:rsidR="004D79B2">
        <w:t xml:space="preserve"> using the recruitment letter and fact</w:t>
      </w:r>
      <w:r w:rsidR="004038C0">
        <w:t xml:space="preserve"> </w:t>
      </w:r>
      <w:r w:rsidR="004D79B2">
        <w:t>sheet (Attachments D and E)</w:t>
      </w:r>
      <w:r w:rsidR="18AF61E6">
        <w:t xml:space="preserve">. </w:t>
      </w:r>
      <w:r w:rsidR="31B8C07C">
        <w:t>The tentati</w:t>
      </w:r>
      <w:r w:rsidR="293F21ED">
        <w:t xml:space="preserve">ve project time schedule is in Table A16.1. </w:t>
      </w:r>
      <w:r w:rsidR="18AF61E6">
        <w:t>Data collection will</w:t>
      </w:r>
      <w:r w:rsidR="001E40AE">
        <w:t xml:space="preserve"> start </w:t>
      </w:r>
      <w:r w:rsidR="004B0ECE">
        <w:t>between 3 and 6 months</w:t>
      </w:r>
      <w:r w:rsidR="6858F170">
        <w:t xml:space="preserve"> after approval, depending on company operations</w:t>
      </w:r>
      <w:r w:rsidR="00D462EA">
        <w:t xml:space="preserve"> and</w:t>
      </w:r>
      <w:r w:rsidR="6858F170">
        <w:t xml:space="preserve"> NIOSH staff schedul</w:t>
      </w:r>
      <w:r w:rsidR="11F8EEFA">
        <w:t>e availability</w:t>
      </w:r>
      <w:r w:rsidR="48F98EE3">
        <w:t xml:space="preserve">. </w:t>
      </w:r>
      <w:r w:rsidR="00BA5ADE">
        <w:t>Exposure results will be returned to participants on a rolling basis after data collection</w:t>
      </w:r>
      <w:r w:rsidR="008F362F">
        <w:t xml:space="preserve"> as results are returned from the analytical laboratory to the </w:t>
      </w:r>
      <w:r w:rsidR="00A74870">
        <w:t>project officers</w:t>
      </w:r>
      <w:r w:rsidR="008F362F">
        <w:t xml:space="preserve">. </w:t>
      </w:r>
      <w:r w:rsidR="00656AEE">
        <w:t>Aggregate data will be compiled and returned to the participating companies</w:t>
      </w:r>
      <w:r w:rsidR="00763623">
        <w:t xml:space="preserve">. Timely return of these results </w:t>
      </w:r>
      <w:r w:rsidR="009C6303">
        <w:t>is a priority</w:t>
      </w:r>
      <w:r w:rsidR="00420C10">
        <w:t xml:space="preserve"> so they can be acted upon to reduce noise</w:t>
      </w:r>
      <w:r w:rsidR="00290463">
        <w:t xml:space="preserve"> and chemical</w:t>
      </w:r>
      <w:r w:rsidR="00420C10">
        <w:t xml:space="preserve"> exposures in the event exposures </w:t>
      </w:r>
      <w:r w:rsidR="00290463">
        <w:t xml:space="preserve">are high relative to occupational exposure limits. </w:t>
      </w:r>
    </w:p>
    <w:p w:rsidR="00166AC6" w:rsidP="000A5381" w14:paraId="0B98E977" w14:textId="26FA9389">
      <w:r>
        <w:t>Then, data analysis will begin on the data collected using the questionnaire</w:t>
      </w:r>
      <w:r w:rsidR="00C33E03">
        <w:t xml:space="preserve"> and during </w:t>
      </w:r>
      <w:r>
        <w:t>exposure monitoring</w:t>
      </w:r>
      <w:r w:rsidR="00C33E03">
        <w:t xml:space="preserve"> and audiometric testing. </w:t>
      </w:r>
      <w:r w:rsidR="00EE3127">
        <w:t>Descriptive statistics</w:t>
      </w:r>
      <w:r w:rsidR="00053C54">
        <w:t xml:space="preserve"> on </w:t>
      </w:r>
      <w:r w:rsidR="00D631AF">
        <w:t>questionnaire</w:t>
      </w:r>
      <w:r w:rsidR="00891B01">
        <w:t>, sampling,</w:t>
      </w:r>
      <w:r w:rsidR="00D631AF">
        <w:t xml:space="preserve"> and audiometry data</w:t>
      </w:r>
      <w:r w:rsidR="00EE3127">
        <w:t xml:space="preserve"> will be </w:t>
      </w:r>
      <w:r>
        <w:t xml:space="preserve">calculated </w:t>
      </w:r>
      <w:r w:rsidR="00B14A06">
        <w:t xml:space="preserve">to demonstrate the </w:t>
      </w:r>
      <w:r w:rsidR="002627FB">
        <w:t>prevalence of hearing loss</w:t>
      </w:r>
      <w:r w:rsidR="00053C54">
        <w:t xml:space="preserve"> among this worker population</w:t>
      </w:r>
      <w:r w:rsidR="0076309D">
        <w:t xml:space="preserve">, exposure to ototoxic chemicals, </w:t>
      </w:r>
      <w:r w:rsidR="00891B01">
        <w:t xml:space="preserve">availability and use of exposure controls, among other variables. </w:t>
      </w:r>
      <w:r w:rsidR="00EE4515">
        <w:t xml:space="preserve">For exposure data, </w:t>
      </w:r>
      <w:r w:rsidRPr="002C6372" w:rsidR="002C6372">
        <w:t xml:space="preserve">the geometric mean, geometric standard deviation, maximum and minimum concentration (milligrams/cubic meter of air) for the exposure of concern will be calculated for each group of workers. </w:t>
      </w:r>
      <w:r w:rsidR="00727E03">
        <w:t xml:space="preserve">Exposure measurements will be compared to available </w:t>
      </w:r>
      <w:r w:rsidR="001D23B3">
        <w:t xml:space="preserve">regulatory, recommended, and consensus </w:t>
      </w:r>
      <w:r w:rsidR="00727E03">
        <w:t>occupational exposure limits (OELs</w:t>
      </w:r>
      <w:r w:rsidR="001D23B3">
        <w:t xml:space="preserve">) and that information will be shared with the participant if they elect as such. </w:t>
      </w:r>
    </w:p>
    <w:p w:rsidR="00D631AF" w:rsidP="000A5381" w14:paraId="19C50CD5" w14:textId="77777777"/>
    <w:p w:rsidR="002627FB" w:rsidP="000A5381" w14:paraId="6CE5E999" w14:textId="68C55E9C">
      <w:r w:rsidRPr="005F4AA4">
        <w:t xml:space="preserve">For analysis of questionnaire data, descriptive statistics will be used to determine the means, standard deviations, percentages, and frequencies of variables. </w:t>
      </w:r>
      <w:r w:rsidR="009C6534">
        <w:t>U</w:t>
      </w:r>
      <w:r w:rsidR="00316841">
        <w:t>sing</w:t>
      </w:r>
      <w:r w:rsidR="009C6534">
        <w:t xml:space="preserve"> data</w:t>
      </w:r>
      <w:r w:rsidR="00316841">
        <w:t xml:space="preserve"> </w:t>
      </w:r>
      <w:r w:rsidR="009C6534">
        <w:t xml:space="preserve">from </w:t>
      </w:r>
      <w:r w:rsidR="00316841">
        <w:t xml:space="preserve">questions </w:t>
      </w:r>
      <w:r w:rsidR="00891B01">
        <w:t xml:space="preserve">sourced </w:t>
      </w:r>
      <w:r w:rsidR="00316841">
        <w:t>from NHANES and NHIS</w:t>
      </w:r>
      <w:r w:rsidR="009C6534">
        <w:t xml:space="preserve">, the proportion of </w:t>
      </w:r>
      <w:r w:rsidR="001E4250">
        <w:t xml:space="preserve">participants reporting hearing loss, noise exposures at work and outside of work, </w:t>
      </w:r>
      <w:r w:rsidR="00C939F6">
        <w:t xml:space="preserve">and other variables will be compared between OGE workers and what was reported in the general population. </w:t>
      </w:r>
    </w:p>
    <w:p w:rsidR="004C25E0" w:rsidP="000A5381" w14:paraId="58E2C03A" w14:textId="4AB55DEC"/>
    <w:p w:rsidR="004C25E0" w:rsidP="000A5381" w14:paraId="1713B523" w14:textId="05FCFCBB">
      <w:r>
        <w:t xml:space="preserve">Univariate and multivariate regression techniques will be used to examine predictors of hearing loss </w:t>
      </w:r>
      <w:r w:rsidR="004D0FB5">
        <w:t xml:space="preserve">and </w:t>
      </w:r>
      <w:r>
        <w:t>over exposure to noise</w:t>
      </w:r>
      <w:r w:rsidR="004D0FB5">
        <w:t xml:space="preserve"> and chemicals.</w:t>
      </w:r>
      <w:r w:rsidR="002E49F7">
        <w:t xml:space="preserve"> </w:t>
      </w:r>
      <w:r w:rsidR="001E767D">
        <w:t xml:space="preserve">Predictors may include both work related </w:t>
      </w:r>
      <w:r w:rsidR="004253D9">
        <w:t xml:space="preserve">factors </w:t>
      </w:r>
      <w:r w:rsidR="001E767D">
        <w:t xml:space="preserve">(noise exposure on the job, ototoxic chemical exposure, noise </w:t>
      </w:r>
      <w:r w:rsidR="004253D9">
        <w:t xml:space="preserve">exposure </w:t>
      </w:r>
      <w:r w:rsidR="001E767D">
        <w:t>controls in place</w:t>
      </w:r>
      <w:r w:rsidR="004253D9">
        <w:t xml:space="preserve">) and non-work-related factors (use of ototoxic medication, non-work-related noise and chemical exposure, tobacco use). </w:t>
      </w:r>
    </w:p>
    <w:p w:rsidR="00F75454" w:rsidP="000A5381" w14:paraId="6794496B" w14:textId="77777777"/>
    <w:p w:rsidR="00E41E13" w:rsidP="000A5381" w14:paraId="21E70713" w14:textId="36D81369">
      <w:r w:rsidRPr="00854BCA">
        <w:t xml:space="preserve">The results of the study will be disseminated in the scientific literature </w:t>
      </w:r>
      <w:r>
        <w:t xml:space="preserve">and </w:t>
      </w:r>
      <w:r w:rsidRPr="00854BCA">
        <w:t>published in trade journals. Partners</w:t>
      </w:r>
      <w:r w:rsidR="004C25E0">
        <w:t xml:space="preserve"> and companies</w:t>
      </w:r>
      <w:r w:rsidRPr="00854BCA">
        <w:t xml:space="preserve"> </w:t>
      </w:r>
      <w:r w:rsidR="004C25E0">
        <w:t>that</w:t>
      </w:r>
      <w:r w:rsidRPr="00854BCA" w:rsidR="004C25E0">
        <w:t xml:space="preserve"> </w:t>
      </w:r>
      <w:r w:rsidRPr="00854BCA">
        <w:t>are active participants in the field portion of this study will be encouraged to disseminate the findings to stakeholders.</w:t>
      </w:r>
      <w:r w:rsidR="006B2FBC">
        <w:t xml:space="preserve"> </w:t>
      </w:r>
      <w:r w:rsidR="00A47816">
        <w:t xml:space="preserve">Through the end of </w:t>
      </w:r>
      <w:r w:rsidR="00027C75">
        <w:t>the OMB approval period, t</w:t>
      </w:r>
      <w:r w:rsidR="006B2FBC">
        <w:t>he results</w:t>
      </w:r>
      <w:r w:rsidR="00027C75">
        <w:t xml:space="preserve"> </w:t>
      </w:r>
      <w:r w:rsidR="00027C75">
        <w:t>will be disseminated. They</w:t>
      </w:r>
      <w:r w:rsidR="006B2FBC">
        <w:t xml:space="preserve"> will be used to identify </w:t>
      </w:r>
      <w:r w:rsidR="00A47816">
        <w:t xml:space="preserve">&amp; prioritize </w:t>
      </w:r>
      <w:r w:rsidR="006B2FBC">
        <w:t>worker exposures</w:t>
      </w:r>
      <w:r w:rsidR="005F5986">
        <w:t xml:space="preserve">, </w:t>
      </w:r>
      <w:r w:rsidR="00A47816">
        <w:t xml:space="preserve">identify </w:t>
      </w:r>
      <w:r w:rsidR="005F5986">
        <w:t xml:space="preserve">sources of occupational hearing loss, provide information about </w:t>
      </w:r>
      <w:r w:rsidR="0006780F">
        <w:t>noise and chemical exposure controls</w:t>
      </w:r>
      <w:r w:rsidR="000C68CE">
        <w:t xml:space="preserve">, and </w:t>
      </w:r>
      <w:r w:rsidR="006B0D0F">
        <w:t xml:space="preserve">develop education and awareness programs for workers and employers in the OGE industry and workers sectors that support OGE activities.  </w:t>
      </w:r>
    </w:p>
    <w:p w:rsidR="00B54E2B" w:rsidP="000A5381" w14:paraId="555ABC2D" w14:textId="77777777"/>
    <w:p w:rsidR="00871237" w:rsidP="000A5381" w14:paraId="65B8DF49" w14:textId="77777777"/>
    <w:p w:rsidR="00B22333" w:rsidP="000A5381" w14:paraId="7C70263C" w14:textId="77777777"/>
    <w:p w:rsidR="00B22333" w:rsidRPr="005514CA" w:rsidP="000A5381" w14:paraId="104CE894" w14:textId="36F756EA">
      <w:pPr>
        <w:rPr>
          <w:b/>
          <w:bCs/>
        </w:rPr>
      </w:pPr>
      <w:r w:rsidRPr="5DF7CB22">
        <w:rPr>
          <w:b/>
          <w:bCs/>
        </w:rPr>
        <w:t xml:space="preserve">Table </w:t>
      </w:r>
      <w:r w:rsidRPr="5DF7CB22" w:rsidR="293F21ED">
        <w:rPr>
          <w:b/>
          <w:bCs/>
        </w:rPr>
        <w:t>A</w:t>
      </w:r>
      <w:r w:rsidRPr="5DF7CB22">
        <w:rPr>
          <w:b/>
          <w:bCs/>
        </w:rPr>
        <w:t>16.1 Tentative Projected Schedule</w:t>
      </w:r>
      <w:r w:rsidR="00922154">
        <w:rPr>
          <w:b/>
          <w:bCs/>
        </w:rPr>
        <w:t xml:space="preserve"> by Quarter</w:t>
      </w:r>
    </w:p>
    <w:p w:rsidR="00B22333" w:rsidP="000A5381" w14:paraId="169F9401" w14:textId="77777777"/>
    <w:tbl>
      <w:tblPr>
        <w:tblW w:w="1006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2202"/>
        <w:gridCol w:w="640"/>
        <w:gridCol w:w="641"/>
        <w:gridCol w:w="641"/>
        <w:gridCol w:w="660"/>
        <w:gridCol w:w="660"/>
        <w:gridCol w:w="660"/>
        <w:gridCol w:w="660"/>
        <w:gridCol w:w="660"/>
        <w:gridCol w:w="660"/>
        <w:gridCol w:w="660"/>
        <w:gridCol w:w="660"/>
        <w:gridCol w:w="660"/>
      </w:tblGrid>
      <w:tr w14:paraId="11C1F3DB" w14:textId="4B5BBE31" w:rsidTr="006D2C10">
        <w:tblPrEx>
          <w:tblW w:w="1006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c>
          <w:tcPr>
            <w:tcW w:w="2202" w:type="dxa"/>
            <w:vMerge w:val="restart"/>
            <w:tcBorders>
              <w:top w:val="single" w:sz="6" w:space="0" w:color="auto"/>
              <w:left w:val="single" w:sz="6" w:space="0" w:color="auto"/>
              <w:right w:val="single" w:sz="6" w:space="0" w:color="auto"/>
            </w:tcBorders>
            <w:shd w:val="clear" w:color="auto" w:fill="auto"/>
          </w:tcPr>
          <w:p w:rsidR="00C77915" w:rsidRPr="00BC6FFC" w:rsidP="00727E03" w14:paraId="0394E1A3" w14:textId="695FC7BA">
            <w:r>
              <w:t>Activity</w:t>
            </w:r>
          </w:p>
        </w:tc>
        <w:tc>
          <w:tcPr>
            <w:tcW w:w="7862" w:type="dxa"/>
            <w:gridSpan w:val="12"/>
            <w:tcBorders>
              <w:top w:val="single" w:sz="6" w:space="0" w:color="auto"/>
              <w:left w:val="single" w:sz="6" w:space="0" w:color="auto"/>
              <w:bottom w:val="single" w:sz="6" w:space="0" w:color="auto"/>
              <w:right w:val="single" w:sz="6" w:space="0" w:color="auto"/>
            </w:tcBorders>
            <w:shd w:val="clear" w:color="auto" w:fill="auto"/>
          </w:tcPr>
          <w:p w:rsidR="00C77915" w14:paraId="1B37476C" w14:textId="7D681E01">
            <w:pPr>
              <w:jc w:val="center"/>
            </w:pPr>
            <w:r>
              <w:t>Months after OMB approval</w:t>
            </w:r>
          </w:p>
        </w:tc>
      </w:tr>
      <w:tr w14:paraId="0E79EB71" w14:textId="02623E71" w:rsidTr="006D2C10">
        <w:tblPrEx>
          <w:tblW w:w="10064" w:type="dxa"/>
          <w:tblCellMar>
            <w:left w:w="0" w:type="dxa"/>
            <w:right w:w="0" w:type="dxa"/>
          </w:tblCellMar>
          <w:tblLook w:val="04A0"/>
        </w:tblPrEx>
        <w:tc>
          <w:tcPr>
            <w:tcW w:w="2202" w:type="dxa"/>
            <w:vMerge/>
          </w:tcPr>
          <w:p w:rsidR="009113AF" w:rsidRPr="00BC6FFC" w:rsidP="00727E03" w14:paraId="58B4E5CF" w14:textId="2561A3E3"/>
        </w:tc>
        <w:tc>
          <w:tcPr>
            <w:tcW w:w="640" w:type="dxa"/>
            <w:tcBorders>
              <w:top w:val="single" w:sz="6" w:space="0" w:color="auto"/>
              <w:left w:val="single" w:sz="6" w:space="0" w:color="auto"/>
              <w:bottom w:val="single" w:sz="6" w:space="0" w:color="auto"/>
              <w:right w:val="single" w:sz="6" w:space="0" w:color="auto"/>
            </w:tcBorders>
            <w:shd w:val="clear" w:color="auto" w:fill="auto"/>
          </w:tcPr>
          <w:p w:rsidR="009113AF" w:rsidRPr="00BC6FFC" w:rsidP="5DF7CB22" w14:paraId="2EE125F5" w14:textId="3276719C">
            <w:pPr>
              <w:jc w:val="center"/>
            </w:pPr>
            <w:r>
              <w:t>0-3</w:t>
            </w:r>
          </w:p>
        </w:tc>
        <w:tc>
          <w:tcPr>
            <w:tcW w:w="641" w:type="dxa"/>
            <w:tcBorders>
              <w:top w:val="single" w:sz="6" w:space="0" w:color="auto"/>
              <w:left w:val="single" w:sz="6" w:space="0" w:color="auto"/>
              <w:bottom w:val="single" w:sz="6" w:space="0" w:color="auto"/>
              <w:right w:val="single" w:sz="6" w:space="0" w:color="auto"/>
            </w:tcBorders>
          </w:tcPr>
          <w:p w:rsidR="009113AF" w:rsidP="5DF7CB22" w14:paraId="3652E2E2" w14:textId="3A5CF23A">
            <w:pPr>
              <w:jc w:val="center"/>
            </w:pPr>
            <w:r>
              <w:t>4-6</w:t>
            </w:r>
          </w:p>
        </w:tc>
        <w:tc>
          <w:tcPr>
            <w:tcW w:w="641" w:type="dxa"/>
            <w:tcBorders>
              <w:top w:val="single" w:sz="6" w:space="0" w:color="auto"/>
              <w:left w:val="single" w:sz="6" w:space="0" w:color="auto"/>
              <w:bottom w:val="single" w:sz="6" w:space="0" w:color="auto"/>
              <w:right w:val="single" w:sz="6" w:space="0" w:color="auto"/>
            </w:tcBorders>
          </w:tcPr>
          <w:p w:rsidR="009113AF" w:rsidP="5DF7CB22" w14:paraId="665672A9" w14:textId="22D17F49">
            <w:pPr>
              <w:jc w:val="center"/>
            </w:pPr>
            <w:r>
              <w:t>7-9</w:t>
            </w:r>
          </w:p>
        </w:tc>
        <w:tc>
          <w:tcPr>
            <w:tcW w:w="660" w:type="dxa"/>
            <w:tcBorders>
              <w:top w:val="single" w:sz="6" w:space="0" w:color="auto"/>
              <w:left w:val="single" w:sz="6" w:space="0" w:color="auto"/>
              <w:bottom w:val="single" w:sz="6" w:space="0" w:color="auto"/>
              <w:right w:val="single" w:sz="6" w:space="0" w:color="auto"/>
            </w:tcBorders>
          </w:tcPr>
          <w:p w:rsidR="009113AF" w:rsidP="5DF7CB22" w14:paraId="1D79B38F" w14:textId="12DA123F">
            <w:pPr>
              <w:jc w:val="center"/>
            </w:pPr>
            <w:r>
              <w:t>10-12</w:t>
            </w:r>
          </w:p>
        </w:tc>
        <w:tc>
          <w:tcPr>
            <w:tcW w:w="660" w:type="dxa"/>
            <w:tcBorders>
              <w:top w:val="single" w:sz="6" w:space="0" w:color="auto"/>
              <w:left w:val="single" w:sz="6" w:space="0" w:color="auto"/>
              <w:bottom w:val="single" w:sz="6" w:space="0" w:color="auto"/>
              <w:right w:val="single" w:sz="6" w:space="0" w:color="auto"/>
            </w:tcBorders>
          </w:tcPr>
          <w:p w:rsidR="009113AF" w:rsidP="5DF7CB22" w14:paraId="60EA3995" w14:textId="5672D298">
            <w:pPr>
              <w:jc w:val="center"/>
            </w:pPr>
            <w:r>
              <w:t>13-15</w:t>
            </w:r>
          </w:p>
        </w:tc>
        <w:tc>
          <w:tcPr>
            <w:tcW w:w="660" w:type="dxa"/>
            <w:tcBorders>
              <w:top w:val="single" w:sz="6" w:space="0" w:color="auto"/>
              <w:left w:val="single" w:sz="6" w:space="0" w:color="auto"/>
              <w:bottom w:val="single" w:sz="6" w:space="0" w:color="auto"/>
              <w:right w:val="single" w:sz="6" w:space="0" w:color="auto"/>
            </w:tcBorders>
          </w:tcPr>
          <w:p w:rsidR="009113AF" w:rsidP="5DF7CB22" w14:paraId="381356E0" w14:textId="4FC6840C">
            <w:pPr>
              <w:jc w:val="center"/>
            </w:pPr>
            <w:r>
              <w:t>16-18</w:t>
            </w:r>
          </w:p>
        </w:tc>
        <w:tc>
          <w:tcPr>
            <w:tcW w:w="660" w:type="dxa"/>
            <w:tcBorders>
              <w:top w:val="single" w:sz="6" w:space="0" w:color="auto"/>
              <w:left w:val="single" w:sz="6" w:space="0" w:color="auto"/>
              <w:bottom w:val="single" w:sz="6" w:space="0" w:color="auto"/>
              <w:right w:val="single" w:sz="6" w:space="0" w:color="auto"/>
            </w:tcBorders>
          </w:tcPr>
          <w:p w:rsidR="009113AF" w:rsidP="5DF7CB22" w14:paraId="58F8AC36" w14:textId="120E3D33">
            <w:pPr>
              <w:jc w:val="center"/>
            </w:pPr>
            <w:r>
              <w:t>19-21</w:t>
            </w:r>
          </w:p>
        </w:tc>
        <w:tc>
          <w:tcPr>
            <w:tcW w:w="660" w:type="dxa"/>
            <w:tcBorders>
              <w:top w:val="single" w:sz="6" w:space="0" w:color="auto"/>
              <w:left w:val="single" w:sz="6" w:space="0" w:color="auto"/>
              <w:bottom w:val="single" w:sz="6" w:space="0" w:color="auto"/>
              <w:right w:val="single" w:sz="6" w:space="0" w:color="auto"/>
            </w:tcBorders>
          </w:tcPr>
          <w:p w:rsidR="009113AF" w:rsidP="5DF7CB22" w14:paraId="56F36F7A" w14:textId="6A91CE00">
            <w:pPr>
              <w:jc w:val="center"/>
            </w:pPr>
            <w:r>
              <w:t>22-24</w:t>
            </w:r>
          </w:p>
        </w:tc>
        <w:tc>
          <w:tcPr>
            <w:tcW w:w="660" w:type="dxa"/>
            <w:tcBorders>
              <w:top w:val="single" w:sz="6" w:space="0" w:color="auto"/>
              <w:left w:val="single" w:sz="6" w:space="0" w:color="auto"/>
              <w:bottom w:val="single" w:sz="6" w:space="0" w:color="auto"/>
              <w:right w:val="single" w:sz="6" w:space="0" w:color="auto"/>
            </w:tcBorders>
          </w:tcPr>
          <w:p w:rsidR="009113AF" w:rsidP="5DF7CB22" w14:paraId="54088FAF" w14:textId="57A33D1B">
            <w:pPr>
              <w:jc w:val="center"/>
            </w:pPr>
            <w:r>
              <w:t>25-27</w:t>
            </w:r>
          </w:p>
        </w:tc>
        <w:tc>
          <w:tcPr>
            <w:tcW w:w="660" w:type="dxa"/>
            <w:tcBorders>
              <w:top w:val="single" w:sz="6" w:space="0" w:color="auto"/>
              <w:left w:val="single" w:sz="6" w:space="0" w:color="auto"/>
              <w:bottom w:val="single" w:sz="6" w:space="0" w:color="auto"/>
              <w:right w:val="single" w:sz="6" w:space="0" w:color="auto"/>
            </w:tcBorders>
          </w:tcPr>
          <w:p w:rsidR="009113AF" w:rsidP="5DF7CB22" w14:paraId="677D09C8" w14:textId="6BCA35AE">
            <w:pPr>
              <w:jc w:val="center"/>
            </w:pPr>
            <w:r>
              <w:t>28-</w:t>
            </w:r>
            <w:r w:rsidR="00C77915">
              <w:t>30</w:t>
            </w:r>
          </w:p>
        </w:tc>
        <w:tc>
          <w:tcPr>
            <w:tcW w:w="660" w:type="dxa"/>
            <w:tcBorders>
              <w:top w:val="single" w:sz="6" w:space="0" w:color="auto"/>
              <w:left w:val="single" w:sz="6" w:space="0" w:color="auto"/>
              <w:bottom w:val="single" w:sz="6" w:space="0" w:color="auto"/>
              <w:right w:val="single" w:sz="6" w:space="0" w:color="auto"/>
            </w:tcBorders>
          </w:tcPr>
          <w:p w:rsidR="009113AF" w:rsidP="5DF7CB22" w14:paraId="0E0215DF" w14:textId="35AED0B5">
            <w:pPr>
              <w:jc w:val="center"/>
            </w:pPr>
            <w:r>
              <w:t>31-33</w:t>
            </w:r>
          </w:p>
        </w:tc>
        <w:tc>
          <w:tcPr>
            <w:tcW w:w="660" w:type="dxa"/>
            <w:tcBorders>
              <w:top w:val="single" w:sz="6" w:space="0" w:color="auto"/>
              <w:left w:val="single" w:sz="6" w:space="0" w:color="auto"/>
              <w:bottom w:val="single" w:sz="6" w:space="0" w:color="auto"/>
              <w:right w:val="single" w:sz="6" w:space="0" w:color="auto"/>
            </w:tcBorders>
          </w:tcPr>
          <w:p w:rsidR="009113AF" w:rsidP="5DF7CB22" w14:paraId="010DD4EC" w14:textId="631318D1">
            <w:pPr>
              <w:jc w:val="center"/>
            </w:pPr>
            <w:r>
              <w:t>34-36</w:t>
            </w:r>
          </w:p>
        </w:tc>
      </w:tr>
      <w:tr w14:paraId="3AE65858" w14:textId="36C542F8" w:rsidTr="006D2C10">
        <w:tblPrEx>
          <w:tblW w:w="10064" w:type="dxa"/>
          <w:tblCellMar>
            <w:left w:w="0" w:type="dxa"/>
            <w:right w:w="0" w:type="dxa"/>
          </w:tblCellMar>
          <w:tblLook w:val="04A0"/>
        </w:tblPrEx>
        <w:tc>
          <w:tcPr>
            <w:tcW w:w="2202" w:type="dxa"/>
            <w:tcBorders>
              <w:top w:val="single" w:sz="6" w:space="0" w:color="auto"/>
              <w:left w:val="single" w:sz="6" w:space="0" w:color="auto"/>
              <w:bottom w:val="single" w:sz="6" w:space="0" w:color="auto"/>
              <w:right w:val="single" w:sz="6" w:space="0" w:color="auto"/>
            </w:tcBorders>
            <w:shd w:val="clear" w:color="auto" w:fill="auto"/>
          </w:tcPr>
          <w:p w:rsidR="009113AF" w:rsidRPr="00BC6FFC" w:rsidP="00727E03" w14:paraId="764A13CE" w14:textId="3A684F39">
            <w:r>
              <w:t>Recruitment</w:t>
            </w:r>
          </w:p>
        </w:tc>
        <w:tc>
          <w:tcPr>
            <w:tcW w:w="640" w:type="dxa"/>
            <w:tcBorders>
              <w:top w:val="single" w:sz="6" w:space="0" w:color="auto"/>
              <w:left w:val="single" w:sz="6" w:space="0" w:color="auto"/>
              <w:bottom w:val="single" w:sz="6" w:space="0" w:color="auto"/>
              <w:right w:val="single" w:sz="6" w:space="0" w:color="auto"/>
            </w:tcBorders>
            <w:shd w:val="clear" w:color="auto" w:fill="AEAAAA" w:themeFill="background2" w:themeFillShade="BF"/>
          </w:tcPr>
          <w:p w:rsidR="009113AF" w:rsidRPr="00BC6FFC" w:rsidP="5DF7CB22" w14:paraId="12E6CA2A" w14:textId="7F5B2039">
            <w:pPr>
              <w:jc w:val="center"/>
              <w:rPr>
                <w:color w:val="AEAAAA" w:themeColor="background2" w:themeShade="BF"/>
              </w:rPr>
            </w:pPr>
            <w:r w:rsidRPr="5DF7CB22">
              <w:rPr>
                <w:color w:val="AEAAAA" w:themeColor="background2" w:themeShade="BF"/>
              </w:rPr>
              <w:t>X</w:t>
            </w:r>
          </w:p>
        </w:tc>
        <w:tc>
          <w:tcPr>
            <w:tcW w:w="641" w:type="dxa"/>
            <w:tcBorders>
              <w:top w:val="single" w:sz="6" w:space="0" w:color="auto"/>
              <w:left w:val="single" w:sz="6" w:space="0" w:color="auto"/>
              <w:bottom w:val="single" w:sz="6" w:space="0" w:color="auto"/>
              <w:right w:val="single" w:sz="6" w:space="0" w:color="auto"/>
            </w:tcBorders>
            <w:shd w:val="clear" w:color="auto" w:fill="AEAAAA" w:themeFill="background2" w:themeFillShade="BF"/>
          </w:tcPr>
          <w:p w:rsidR="009113AF" w:rsidRPr="00BC6FFC" w:rsidP="5DF7CB22" w14:paraId="66D3380D" w14:textId="566B358A">
            <w:pPr>
              <w:jc w:val="center"/>
              <w:rPr>
                <w:color w:val="AEAAAA" w:themeColor="background2" w:themeShade="BF"/>
              </w:rPr>
            </w:pPr>
            <w:r w:rsidRPr="5DF7CB22">
              <w:rPr>
                <w:color w:val="AEAAAA" w:themeColor="background2" w:themeShade="BF"/>
              </w:rPr>
              <w:t>X</w:t>
            </w:r>
          </w:p>
        </w:tc>
        <w:tc>
          <w:tcPr>
            <w:tcW w:w="641" w:type="dxa"/>
            <w:tcBorders>
              <w:top w:val="single" w:sz="6" w:space="0" w:color="auto"/>
              <w:left w:val="single" w:sz="6" w:space="0" w:color="auto"/>
              <w:bottom w:val="single" w:sz="6" w:space="0" w:color="auto"/>
              <w:right w:val="single" w:sz="6" w:space="0" w:color="auto"/>
            </w:tcBorders>
            <w:shd w:val="clear" w:color="auto" w:fill="AEAAAA" w:themeFill="background2" w:themeFillShade="BF"/>
          </w:tcPr>
          <w:p w:rsidR="009113AF" w:rsidRPr="00BC6FFC" w:rsidP="5DF7CB22" w14:paraId="5FC3D22F" w14:textId="143C2096">
            <w:pPr>
              <w:jc w:val="center"/>
              <w:rPr>
                <w:color w:val="AEAAAA" w:themeColor="background2" w:themeShade="BF"/>
              </w:rPr>
            </w:pPr>
            <w:r w:rsidRPr="5DF7CB22">
              <w:rPr>
                <w:color w:val="AEAAAA" w:themeColor="background2" w:themeShade="BF"/>
              </w:rPr>
              <w:t>X</w:t>
            </w:r>
          </w:p>
        </w:tc>
        <w:tc>
          <w:tcPr>
            <w:tcW w:w="660" w:type="dxa"/>
            <w:tcBorders>
              <w:top w:val="single" w:sz="6" w:space="0" w:color="auto"/>
              <w:left w:val="single" w:sz="6" w:space="0" w:color="auto"/>
              <w:bottom w:val="single" w:sz="6" w:space="0" w:color="auto"/>
              <w:right w:val="single" w:sz="6" w:space="0" w:color="auto"/>
            </w:tcBorders>
            <w:shd w:val="clear" w:color="auto" w:fill="AEAAAA" w:themeFill="background2" w:themeFillShade="BF"/>
          </w:tcPr>
          <w:p w:rsidR="009113AF" w:rsidRPr="00BC6FFC" w:rsidP="5DF7CB22" w14:paraId="7663477D" w14:textId="6073025E">
            <w:pPr>
              <w:jc w:val="center"/>
              <w:rPr>
                <w:color w:val="AEAAAA" w:themeColor="background2" w:themeShade="BF"/>
              </w:rPr>
            </w:pPr>
            <w:r w:rsidRPr="5DF7CB22">
              <w:rPr>
                <w:color w:val="AEAAAA" w:themeColor="background2" w:themeShade="BF"/>
              </w:rPr>
              <w:t>X</w:t>
            </w:r>
          </w:p>
        </w:tc>
        <w:tc>
          <w:tcPr>
            <w:tcW w:w="660" w:type="dxa"/>
            <w:tcBorders>
              <w:top w:val="single" w:sz="6" w:space="0" w:color="auto"/>
              <w:left w:val="single" w:sz="6" w:space="0" w:color="auto"/>
              <w:bottom w:val="single" w:sz="6" w:space="0" w:color="auto"/>
              <w:right w:val="single" w:sz="6" w:space="0" w:color="auto"/>
            </w:tcBorders>
            <w:shd w:val="clear" w:color="auto" w:fill="AEAAAA" w:themeFill="background2" w:themeFillShade="BF"/>
          </w:tcPr>
          <w:p w:rsidR="009113AF" w:rsidRPr="00BC6FFC" w:rsidP="5DF7CB22" w14:paraId="59BA6E42" w14:textId="3E485725">
            <w:pPr>
              <w:jc w:val="center"/>
              <w:rPr>
                <w:color w:val="AEAAAA" w:themeColor="background2" w:themeShade="BF"/>
              </w:rPr>
            </w:pPr>
            <w:r w:rsidRPr="5DF7CB22">
              <w:rPr>
                <w:color w:val="AEAAAA" w:themeColor="background2" w:themeShade="BF"/>
              </w:rPr>
              <w:t>X</w:t>
            </w:r>
          </w:p>
        </w:tc>
        <w:tc>
          <w:tcPr>
            <w:tcW w:w="660" w:type="dxa"/>
            <w:tcBorders>
              <w:top w:val="single" w:sz="6" w:space="0" w:color="auto"/>
              <w:left w:val="single" w:sz="6" w:space="0" w:color="auto"/>
              <w:bottom w:val="single" w:sz="6" w:space="0" w:color="auto"/>
              <w:right w:val="single" w:sz="6" w:space="0" w:color="auto"/>
            </w:tcBorders>
            <w:shd w:val="clear" w:color="auto" w:fill="AEAAAA" w:themeFill="background2" w:themeFillShade="BF"/>
          </w:tcPr>
          <w:p w:rsidR="009113AF" w:rsidRPr="00BC6FFC" w:rsidP="5DF7CB22" w14:paraId="07810CD8" w14:textId="2B983191">
            <w:pPr>
              <w:jc w:val="center"/>
              <w:rPr>
                <w:color w:val="AEAAAA" w:themeColor="background2" w:themeShade="BF"/>
              </w:rPr>
            </w:pPr>
            <w:r w:rsidRPr="5DF7CB22">
              <w:rPr>
                <w:color w:val="AEAAAA" w:themeColor="background2" w:themeShade="BF"/>
              </w:rPr>
              <w:t>X</w:t>
            </w:r>
          </w:p>
        </w:tc>
        <w:tc>
          <w:tcPr>
            <w:tcW w:w="660" w:type="dxa"/>
            <w:tcBorders>
              <w:top w:val="single" w:sz="6" w:space="0" w:color="auto"/>
              <w:left w:val="single" w:sz="6" w:space="0" w:color="auto"/>
              <w:bottom w:val="single" w:sz="6" w:space="0" w:color="auto"/>
              <w:right w:val="single" w:sz="6" w:space="0" w:color="auto"/>
            </w:tcBorders>
            <w:shd w:val="clear" w:color="auto" w:fill="AEAAAA" w:themeFill="background2" w:themeFillShade="BF"/>
          </w:tcPr>
          <w:p w:rsidR="009113AF" w:rsidRPr="00BC6FFC" w:rsidP="5DF7CB22" w14:paraId="7CD67FED" w14:textId="18FE7467">
            <w:pPr>
              <w:jc w:val="center"/>
              <w:rPr>
                <w:color w:val="AEAAAA" w:themeColor="background2" w:themeShade="BF"/>
              </w:rPr>
            </w:pPr>
            <w:r w:rsidRPr="5DF7CB22">
              <w:rPr>
                <w:color w:val="AEAAAA" w:themeColor="background2" w:themeShade="BF"/>
              </w:rPr>
              <w:t>X</w:t>
            </w:r>
          </w:p>
        </w:tc>
        <w:tc>
          <w:tcPr>
            <w:tcW w:w="660" w:type="dxa"/>
            <w:tcBorders>
              <w:top w:val="single" w:sz="6" w:space="0" w:color="auto"/>
              <w:left w:val="single" w:sz="6" w:space="0" w:color="auto"/>
              <w:bottom w:val="single" w:sz="6" w:space="0" w:color="auto"/>
              <w:right w:val="single" w:sz="6" w:space="0" w:color="auto"/>
            </w:tcBorders>
            <w:shd w:val="clear" w:color="auto" w:fill="AEAAAA" w:themeFill="background2" w:themeFillShade="BF"/>
          </w:tcPr>
          <w:p w:rsidR="009113AF" w:rsidRPr="00BC6FFC" w:rsidP="5DF7CB22" w14:paraId="4BF68F8C" w14:textId="603C56B1">
            <w:pPr>
              <w:jc w:val="center"/>
              <w:rPr>
                <w:color w:val="AEAAAA" w:themeColor="background2" w:themeShade="BF"/>
              </w:rPr>
            </w:pPr>
            <w:r w:rsidRPr="5DF7CB22">
              <w:rPr>
                <w:color w:val="AEAAAA" w:themeColor="background2" w:themeShade="BF"/>
              </w:rPr>
              <w:t>X</w:t>
            </w:r>
          </w:p>
        </w:tc>
        <w:tc>
          <w:tcPr>
            <w:tcW w:w="660" w:type="dxa"/>
            <w:tcBorders>
              <w:top w:val="single" w:sz="6" w:space="0" w:color="auto"/>
              <w:left w:val="single" w:sz="6" w:space="0" w:color="auto"/>
              <w:bottom w:val="single" w:sz="6" w:space="0" w:color="auto"/>
              <w:right w:val="single" w:sz="6" w:space="0" w:color="auto"/>
            </w:tcBorders>
          </w:tcPr>
          <w:p w:rsidR="009113AF" w:rsidRPr="00BC6FFC" w:rsidP="5DF7CB22" w14:paraId="4CEDCFCA" w14:textId="77777777">
            <w:pPr>
              <w:jc w:val="center"/>
            </w:pPr>
          </w:p>
        </w:tc>
        <w:tc>
          <w:tcPr>
            <w:tcW w:w="660" w:type="dxa"/>
            <w:tcBorders>
              <w:top w:val="single" w:sz="6" w:space="0" w:color="auto"/>
              <w:left w:val="single" w:sz="6" w:space="0" w:color="auto"/>
              <w:bottom w:val="single" w:sz="6" w:space="0" w:color="auto"/>
              <w:right w:val="single" w:sz="6" w:space="0" w:color="auto"/>
            </w:tcBorders>
          </w:tcPr>
          <w:p w:rsidR="009113AF" w:rsidRPr="00BC6FFC" w:rsidP="5DF7CB22" w14:paraId="5A4961BB" w14:textId="77777777">
            <w:pPr>
              <w:jc w:val="center"/>
            </w:pPr>
          </w:p>
        </w:tc>
        <w:tc>
          <w:tcPr>
            <w:tcW w:w="660" w:type="dxa"/>
            <w:tcBorders>
              <w:top w:val="single" w:sz="6" w:space="0" w:color="auto"/>
              <w:left w:val="single" w:sz="6" w:space="0" w:color="auto"/>
              <w:bottom w:val="single" w:sz="6" w:space="0" w:color="auto"/>
              <w:right w:val="single" w:sz="6" w:space="0" w:color="auto"/>
            </w:tcBorders>
          </w:tcPr>
          <w:p w:rsidR="009113AF" w:rsidRPr="00BC6FFC" w:rsidP="5DF7CB22" w14:paraId="48A6F4B7" w14:textId="77777777">
            <w:pPr>
              <w:jc w:val="center"/>
            </w:pPr>
          </w:p>
        </w:tc>
        <w:tc>
          <w:tcPr>
            <w:tcW w:w="660" w:type="dxa"/>
            <w:tcBorders>
              <w:top w:val="single" w:sz="6" w:space="0" w:color="auto"/>
              <w:left w:val="single" w:sz="6" w:space="0" w:color="auto"/>
              <w:bottom w:val="single" w:sz="6" w:space="0" w:color="auto"/>
              <w:right w:val="single" w:sz="6" w:space="0" w:color="auto"/>
            </w:tcBorders>
          </w:tcPr>
          <w:p w:rsidR="009113AF" w:rsidRPr="00BC6FFC" w:rsidP="5DF7CB22" w14:paraId="4806FB67" w14:textId="77777777">
            <w:pPr>
              <w:jc w:val="center"/>
            </w:pPr>
          </w:p>
        </w:tc>
      </w:tr>
      <w:tr w14:paraId="11D0E891" w14:textId="0EED4D70" w:rsidTr="006D2C10">
        <w:tblPrEx>
          <w:tblW w:w="10064" w:type="dxa"/>
          <w:tblCellMar>
            <w:left w:w="0" w:type="dxa"/>
            <w:right w:w="0" w:type="dxa"/>
          </w:tblCellMar>
          <w:tblLook w:val="04A0"/>
        </w:tblPrEx>
        <w:trPr>
          <w:trHeight w:val="372"/>
        </w:trPr>
        <w:tc>
          <w:tcPr>
            <w:tcW w:w="2202" w:type="dxa"/>
            <w:tcBorders>
              <w:top w:val="single" w:sz="6" w:space="0" w:color="auto"/>
              <w:left w:val="single" w:sz="6" w:space="0" w:color="auto"/>
              <w:bottom w:val="single" w:sz="6" w:space="0" w:color="auto"/>
              <w:right w:val="single" w:sz="6" w:space="0" w:color="auto"/>
            </w:tcBorders>
            <w:shd w:val="clear" w:color="auto" w:fill="auto"/>
          </w:tcPr>
          <w:p w:rsidR="009113AF" w:rsidRPr="00BC6FFC" w:rsidP="00727E03" w14:paraId="31D7EC74" w14:textId="4A7C7680">
            <w:r>
              <w:t>Data collection</w:t>
            </w:r>
          </w:p>
        </w:tc>
        <w:tc>
          <w:tcPr>
            <w:tcW w:w="640" w:type="dxa"/>
            <w:tcBorders>
              <w:top w:val="single" w:sz="6" w:space="0" w:color="auto"/>
              <w:left w:val="single" w:sz="6" w:space="0" w:color="auto"/>
              <w:bottom w:val="single" w:sz="6" w:space="0" w:color="auto"/>
              <w:right w:val="single" w:sz="6" w:space="0" w:color="auto"/>
            </w:tcBorders>
            <w:shd w:val="clear" w:color="auto" w:fill="auto"/>
          </w:tcPr>
          <w:p w:rsidR="009113AF" w:rsidRPr="00BC6FFC" w:rsidP="5DF7CB22" w14:paraId="4396F8BB" w14:textId="3724FA0C">
            <w:pPr>
              <w:jc w:val="center"/>
            </w:pPr>
          </w:p>
        </w:tc>
        <w:tc>
          <w:tcPr>
            <w:tcW w:w="641" w:type="dxa"/>
            <w:tcBorders>
              <w:top w:val="single" w:sz="6" w:space="0" w:color="auto"/>
              <w:left w:val="single" w:sz="6" w:space="0" w:color="auto"/>
              <w:bottom w:val="single" w:sz="6" w:space="0" w:color="auto"/>
              <w:right w:val="single" w:sz="6" w:space="0" w:color="auto"/>
            </w:tcBorders>
            <w:shd w:val="clear" w:color="auto" w:fill="AEAAAA" w:themeFill="background2" w:themeFillShade="BF"/>
          </w:tcPr>
          <w:p w:rsidR="009113AF" w:rsidRPr="00BC6FFC" w:rsidP="5DF7CB22" w14:paraId="4617921A" w14:textId="02CBFD7E">
            <w:pPr>
              <w:jc w:val="center"/>
              <w:rPr>
                <w:color w:val="AEAAAA" w:themeColor="background2" w:themeShade="BF"/>
              </w:rPr>
            </w:pPr>
            <w:r w:rsidRPr="5DF7CB22">
              <w:rPr>
                <w:color w:val="AEAAAA" w:themeColor="background2" w:themeShade="BF"/>
              </w:rPr>
              <w:t>X</w:t>
            </w:r>
          </w:p>
        </w:tc>
        <w:tc>
          <w:tcPr>
            <w:tcW w:w="641" w:type="dxa"/>
            <w:tcBorders>
              <w:top w:val="single" w:sz="6" w:space="0" w:color="auto"/>
              <w:left w:val="single" w:sz="6" w:space="0" w:color="auto"/>
              <w:bottom w:val="single" w:sz="6" w:space="0" w:color="auto"/>
              <w:right w:val="single" w:sz="6" w:space="0" w:color="auto"/>
            </w:tcBorders>
            <w:shd w:val="clear" w:color="auto" w:fill="AEAAAA" w:themeFill="background2" w:themeFillShade="BF"/>
          </w:tcPr>
          <w:p w:rsidR="009113AF" w:rsidRPr="00BC6FFC" w:rsidP="5DF7CB22" w14:paraId="644C956E" w14:textId="48F7BB7B">
            <w:pPr>
              <w:jc w:val="center"/>
              <w:rPr>
                <w:color w:val="AEAAAA" w:themeColor="background2" w:themeShade="BF"/>
              </w:rPr>
            </w:pPr>
            <w:r w:rsidRPr="5DF7CB22">
              <w:rPr>
                <w:color w:val="AEAAAA" w:themeColor="background2" w:themeShade="BF"/>
              </w:rPr>
              <w:t>X</w:t>
            </w:r>
          </w:p>
        </w:tc>
        <w:tc>
          <w:tcPr>
            <w:tcW w:w="660" w:type="dxa"/>
            <w:tcBorders>
              <w:top w:val="single" w:sz="6" w:space="0" w:color="auto"/>
              <w:left w:val="single" w:sz="6" w:space="0" w:color="auto"/>
              <w:bottom w:val="single" w:sz="6" w:space="0" w:color="auto"/>
              <w:right w:val="single" w:sz="6" w:space="0" w:color="auto"/>
            </w:tcBorders>
            <w:shd w:val="clear" w:color="auto" w:fill="AEAAAA" w:themeFill="background2" w:themeFillShade="BF"/>
          </w:tcPr>
          <w:p w:rsidR="009113AF" w:rsidRPr="00BC6FFC" w:rsidP="5DF7CB22" w14:paraId="690D7E5E" w14:textId="62E04276">
            <w:pPr>
              <w:jc w:val="center"/>
              <w:rPr>
                <w:color w:val="AEAAAA" w:themeColor="background2" w:themeShade="BF"/>
              </w:rPr>
            </w:pPr>
            <w:r w:rsidRPr="5DF7CB22">
              <w:rPr>
                <w:color w:val="AEAAAA" w:themeColor="background2" w:themeShade="BF"/>
              </w:rPr>
              <w:t>X</w:t>
            </w:r>
          </w:p>
        </w:tc>
        <w:tc>
          <w:tcPr>
            <w:tcW w:w="660" w:type="dxa"/>
            <w:tcBorders>
              <w:top w:val="single" w:sz="6" w:space="0" w:color="auto"/>
              <w:left w:val="single" w:sz="6" w:space="0" w:color="auto"/>
              <w:bottom w:val="single" w:sz="6" w:space="0" w:color="auto"/>
              <w:right w:val="single" w:sz="6" w:space="0" w:color="auto"/>
            </w:tcBorders>
            <w:shd w:val="clear" w:color="auto" w:fill="AEAAAA" w:themeFill="background2" w:themeFillShade="BF"/>
          </w:tcPr>
          <w:p w:rsidR="009113AF" w:rsidRPr="00BC6FFC" w:rsidP="5DF7CB22" w14:paraId="45B5BB15" w14:textId="5CE6BED2">
            <w:pPr>
              <w:jc w:val="center"/>
              <w:rPr>
                <w:color w:val="AEAAAA" w:themeColor="background2" w:themeShade="BF"/>
              </w:rPr>
            </w:pPr>
            <w:r w:rsidRPr="5DF7CB22">
              <w:rPr>
                <w:color w:val="AEAAAA" w:themeColor="background2" w:themeShade="BF"/>
              </w:rPr>
              <w:t>X</w:t>
            </w:r>
          </w:p>
        </w:tc>
        <w:tc>
          <w:tcPr>
            <w:tcW w:w="660" w:type="dxa"/>
            <w:tcBorders>
              <w:top w:val="single" w:sz="6" w:space="0" w:color="auto"/>
              <w:left w:val="single" w:sz="6" w:space="0" w:color="auto"/>
              <w:bottom w:val="single" w:sz="6" w:space="0" w:color="auto"/>
              <w:right w:val="single" w:sz="6" w:space="0" w:color="auto"/>
            </w:tcBorders>
            <w:shd w:val="clear" w:color="auto" w:fill="AEAAAA" w:themeFill="background2" w:themeFillShade="BF"/>
          </w:tcPr>
          <w:p w:rsidR="009113AF" w:rsidRPr="00BC6FFC" w:rsidP="5DF7CB22" w14:paraId="6DF383B0" w14:textId="1B33611F">
            <w:pPr>
              <w:jc w:val="center"/>
              <w:rPr>
                <w:color w:val="AEAAAA" w:themeColor="background2" w:themeShade="BF"/>
              </w:rPr>
            </w:pPr>
            <w:r w:rsidRPr="5DF7CB22">
              <w:rPr>
                <w:color w:val="AEAAAA" w:themeColor="background2" w:themeShade="BF"/>
              </w:rPr>
              <w:t>X</w:t>
            </w:r>
          </w:p>
        </w:tc>
        <w:tc>
          <w:tcPr>
            <w:tcW w:w="660" w:type="dxa"/>
            <w:tcBorders>
              <w:top w:val="single" w:sz="6" w:space="0" w:color="auto"/>
              <w:left w:val="single" w:sz="6" w:space="0" w:color="auto"/>
              <w:bottom w:val="single" w:sz="6" w:space="0" w:color="auto"/>
              <w:right w:val="single" w:sz="6" w:space="0" w:color="auto"/>
            </w:tcBorders>
            <w:shd w:val="clear" w:color="auto" w:fill="AEAAAA" w:themeFill="background2" w:themeFillShade="BF"/>
          </w:tcPr>
          <w:p w:rsidR="009113AF" w:rsidRPr="00BC6FFC" w:rsidP="5DF7CB22" w14:paraId="320FE95B" w14:textId="1D21AC25">
            <w:pPr>
              <w:jc w:val="center"/>
              <w:rPr>
                <w:color w:val="AEAAAA" w:themeColor="background2" w:themeShade="BF"/>
              </w:rPr>
            </w:pPr>
            <w:r w:rsidRPr="5DF7CB22">
              <w:rPr>
                <w:color w:val="AEAAAA" w:themeColor="background2" w:themeShade="BF"/>
              </w:rPr>
              <w:t>X</w:t>
            </w:r>
          </w:p>
        </w:tc>
        <w:tc>
          <w:tcPr>
            <w:tcW w:w="660" w:type="dxa"/>
            <w:tcBorders>
              <w:top w:val="single" w:sz="6" w:space="0" w:color="auto"/>
              <w:left w:val="single" w:sz="6" w:space="0" w:color="auto"/>
              <w:bottom w:val="single" w:sz="6" w:space="0" w:color="auto"/>
              <w:right w:val="single" w:sz="6" w:space="0" w:color="auto"/>
            </w:tcBorders>
            <w:shd w:val="clear" w:color="auto" w:fill="AEAAAA" w:themeFill="background2" w:themeFillShade="BF"/>
          </w:tcPr>
          <w:p w:rsidR="009113AF" w:rsidRPr="00BC6FFC" w:rsidP="5DF7CB22" w14:paraId="2778099F" w14:textId="2FD5BEAA">
            <w:pPr>
              <w:jc w:val="center"/>
              <w:rPr>
                <w:color w:val="AEAAAA" w:themeColor="background2" w:themeShade="BF"/>
              </w:rPr>
            </w:pPr>
            <w:r w:rsidRPr="5DF7CB22">
              <w:rPr>
                <w:color w:val="AEAAAA" w:themeColor="background2" w:themeShade="BF"/>
              </w:rPr>
              <w:t>X</w:t>
            </w:r>
          </w:p>
        </w:tc>
        <w:tc>
          <w:tcPr>
            <w:tcW w:w="660" w:type="dxa"/>
            <w:tcBorders>
              <w:top w:val="single" w:sz="6" w:space="0" w:color="auto"/>
              <w:left w:val="single" w:sz="6" w:space="0" w:color="auto"/>
              <w:bottom w:val="single" w:sz="6" w:space="0" w:color="auto"/>
              <w:right w:val="single" w:sz="6" w:space="0" w:color="auto"/>
            </w:tcBorders>
            <w:shd w:val="clear" w:color="auto" w:fill="AEAAAA" w:themeFill="background2" w:themeFillShade="BF"/>
          </w:tcPr>
          <w:p w:rsidR="009113AF" w:rsidRPr="00BC6FFC" w:rsidP="5DF7CB22" w14:paraId="4315F021" w14:textId="3087842C">
            <w:pPr>
              <w:jc w:val="center"/>
              <w:rPr>
                <w:color w:val="AEAAAA" w:themeColor="background2" w:themeShade="BF"/>
              </w:rPr>
            </w:pPr>
            <w:r w:rsidRPr="5DF7CB22">
              <w:rPr>
                <w:color w:val="AEAAAA" w:themeColor="background2" w:themeShade="BF"/>
              </w:rPr>
              <w:t>X</w:t>
            </w:r>
          </w:p>
        </w:tc>
        <w:tc>
          <w:tcPr>
            <w:tcW w:w="660" w:type="dxa"/>
            <w:tcBorders>
              <w:top w:val="single" w:sz="6" w:space="0" w:color="auto"/>
              <w:left w:val="single" w:sz="6" w:space="0" w:color="auto"/>
              <w:bottom w:val="single" w:sz="6" w:space="0" w:color="auto"/>
              <w:right w:val="single" w:sz="6" w:space="0" w:color="auto"/>
            </w:tcBorders>
            <w:shd w:val="clear" w:color="auto" w:fill="AEAAAA" w:themeFill="background2" w:themeFillShade="BF"/>
          </w:tcPr>
          <w:p w:rsidR="009113AF" w:rsidRPr="00BC6FFC" w:rsidP="5DF7CB22" w14:paraId="3BA9F3E3" w14:textId="59E65EA1">
            <w:pPr>
              <w:jc w:val="center"/>
              <w:rPr>
                <w:color w:val="AEAAAA" w:themeColor="background2" w:themeShade="BF"/>
              </w:rPr>
            </w:pPr>
            <w:r w:rsidRPr="5DF7CB22">
              <w:rPr>
                <w:color w:val="AEAAAA" w:themeColor="background2" w:themeShade="BF"/>
              </w:rPr>
              <w:t>X</w:t>
            </w:r>
          </w:p>
        </w:tc>
        <w:tc>
          <w:tcPr>
            <w:tcW w:w="660" w:type="dxa"/>
            <w:tcBorders>
              <w:top w:val="single" w:sz="6" w:space="0" w:color="auto"/>
              <w:left w:val="single" w:sz="6" w:space="0" w:color="auto"/>
              <w:bottom w:val="single" w:sz="6" w:space="0" w:color="auto"/>
              <w:right w:val="single" w:sz="6" w:space="0" w:color="auto"/>
            </w:tcBorders>
          </w:tcPr>
          <w:p w:rsidR="009113AF" w:rsidRPr="00BC6FFC" w:rsidP="5DF7CB22" w14:paraId="40C069C6" w14:textId="77777777">
            <w:pPr>
              <w:jc w:val="center"/>
            </w:pPr>
          </w:p>
        </w:tc>
        <w:tc>
          <w:tcPr>
            <w:tcW w:w="660" w:type="dxa"/>
            <w:tcBorders>
              <w:top w:val="single" w:sz="6" w:space="0" w:color="auto"/>
              <w:left w:val="single" w:sz="6" w:space="0" w:color="auto"/>
              <w:bottom w:val="single" w:sz="6" w:space="0" w:color="auto"/>
              <w:right w:val="single" w:sz="6" w:space="0" w:color="auto"/>
            </w:tcBorders>
          </w:tcPr>
          <w:p w:rsidR="009113AF" w:rsidRPr="00BC6FFC" w:rsidP="5DF7CB22" w14:paraId="30A6B197" w14:textId="77777777">
            <w:pPr>
              <w:jc w:val="center"/>
            </w:pPr>
          </w:p>
        </w:tc>
      </w:tr>
      <w:tr w14:paraId="0DDC0664" w14:textId="2757FBE7" w:rsidTr="006D2C10">
        <w:tblPrEx>
          <w:tblW w:w="10064" w:type="dxa"/>
          <w:tblCellMar>
            <w:left w:w="0" w:type="dxa"/>
            <w:right w:w="0" w:type="dxa"/>
          </w:tblCellMar>
          <w:tblLook w:val="04A0"/>
        </w:tblPrEx>
        <w:trPr>
          <w:trHeight w:val="372"/>
        </w:trPr>
        <w:tc>
          <w:tcPr>
            <w:tcW w:w="2202" w:type="dxa"/>
            <w:tcBorders>
              <w:top w:val="single" w:sz="6" w:space="0" w:color="auto"/>
              <w:left w:val="single" w:sz="6" w:space="0" w:color="auto"/>
              <w:bottom w:val="single" w:sz="6" w:space="0" w:color="auto"/>
              <w:right w:val="single" w:sz="6" w:space="0" w:color="auto"/>
            </w:tcBorders>
            <w:shd w:val="clear" w:color="auto" w:fill="auto"/>
          </w:tcPr>
          <w:p w:rsidR="009113AF" w:rsidP="00727E03" w14:paraId="135C06BD" w14:textId="4C4A4D11">
            <w:r>
              <w:t xml:space="preserve">Report </w:t>
            </w:r>
            <w:r w:rsidR="00BA5ADE">
              <w:t>e</w:t>
            </w:r>
            <w:r>
              <w:t>xposure results to individuals</w:t>
            </w:r>
          </w:p>
        </w:tc>
        <w:tc>
          <w:tcPr>
            <w:tcW w:w="640" w:type="dxa"/>
            <w:tcBorders>
              <w:top w:val="single" w:sz="6" w:space="0" w:color="auto"/>
              <w:left w:val="single" w:sz="6" w:space="0" w:color="auto"/>
              <w:bottom w:val="single" w:sz="6" w:space="0" w:color="auto"/>
              <w:right w:val="single" w:sz="6" w:space="0" w:color="auto"/>
            </w:tcBorders>
            <w:shd w:val="clear" w:color="auto" w:fill="auto"/>
          </w:tcPr>
          <w:p w:rsidR="009113AF" w:rsidRPr="00BC6FFC" w:rsidP="5DF7CB22" w14:paraId="4C7B3688" w14:textId="77777777">
            <w:pPr>
              <w:jc w:val="center"/>
            </w:pPr>
          </w:p>
        </w:tc>
        <w:tc>
          <w:tcPr>
            <w:tcW w:w="641" w:type="dxa"/>
            <w:tcBorders>
              <w:top w:val="single" w:sz="6" w:space="0" w:color="auto"/>
              <w:left w:val="single" w:sz="6" w:space="0" w:color="auto"/>
              <w:bottom w:val="single" w:sz="6" w:space="0" w:color="auto"/>
              <w:right w:val="single" w:sz="6" w:space="0" w:color="auto"/>
            </w:tcBorders>
          </w:tcPr>
          <w:p w:rsidR="009113AF" w:rsidRPr="00BC6FFC" w:rsidP="5DF7CB22" w14:paraId="2DE7F040" w14:textId="77777777">
            <w:pPr>
              <w:jc w:val="center"/>
            </w:pPr>
          </w:p>
        </w:tc>
        <w:tc>
          <w:tcPr>
            <w:tcW w:w="641" w:type="dxa"/>
            <w:tcBorders>
              <w:top w:val="single" w:sz="6" w:space="0" w:color="auto"/>
              <w:left w:val="single" w:sz="6" w:space="0" w:color="auto"/>
              <w:bottom w:val="single" w:sz="6" w:space="0" w:color="auto"/>
              <w:right w:val="single" w:sz="6" w:space="0" w:color="auto"/>
            </w:tcBorders>
            <w:shd w:val="clear" w:color="auto" w:fill="AEAAAA" w:themeFill="background2" w:themeFillShade="BF"/>
          </w:tcPr>
          <w:p w:rsidR="009113AF" w:rsidRPr="00BC6FFC" w:rsidP="5DF7CB22" w14:paraId="35F88FDB" w14:textId="36005494">
            <w:pPr>
              <w:jc w:val="center"/>
              <w:rPr>
                <w:color w:val="AEAAAA" w:themeColor="background2" w:themeShade="BF"/>
              </w:rPr>
            </w:pPr>
            <w:r w:rsidRPr="5DF7CB22">
              <w:rPr>
                <w:color w:val="AEAAAA" w:themeColor="background2" w:themeShade="BF"/>
              </w:rPr>
              <w:t>X</w:t>
            </w:r>
          </w:p>
        </w:tc>
        <w:tc>
          <w:tcPr>
            <w:tcW w:w="660" w:type="dxa"/>
            <w:tcBorders>
              <w:top w:val="single" w:sz="6" w:space="0" w:color="auto"/>
              <w:left w:val="single" w:sz="6" w:space="0" w:color="auto"/>
              <w:bottom w:val="single" w:sz="6" w:space="0" w:color="auto"/>
              <w:right w:val="single" w:sz="6" w:space="0" w:color="auto"/>
            </w:tcBorders>
            <w:shd w:val="clear" w:color="auto" w:fill="AEAAAA" w:themeFill="background2" w:themeFillShade="BF"/>
          </w:tcPr>
          <w:p w:rsidR="009113AF" w:rsidRPr="00BC6FFC" w:rsidP="5DF7CB22" w14:paraId="1BB39EC6" w14:textId="52508601">
            <w:pPr>
              <w:jc w:val="center"/>
              <w:rPr>
                <w:color w:val="AEAAAA" w:themeColor="background2" w:themeShade="BF"/>
              </w:rPr>
            </w:pPr>
            <w:r w:rsidRPr="5DF7CB22">
              <w:rPr>
                <w:color w:val="AEAAAA" w:themeColor="background2" w:themeShade="BF"/>
              </w:rPr>
              <w:t>X</w:t>
            </w:r>
          </w:p>
        </w:tc>
        <w:tc>
          <w:tcPr>
            <w:tcW w:w="660" w:type="dxa"/>
            <w:tcBorders>
              <w:top w:val="single" w:sz="6" w:space="0" w:color="auto"/>
              <w:left w:val="single" w:sz="6" w:space="0" w:color="auto"/>
              <w:bottom w:val="single" w:sz="6" w:space="0" w:color="auto"/>
              <w:right w:val="single" w:sz="6" w:space="0" w:color="auto"/>
            </w:tcBorders>
            <w:shd w:val="clear" w:color="auto" w:fill="AEAAAA" w:themeFill="background2" w:themeFillShade="BF"/>
          </w:tcPr>
          <w:p w:rsidR="009113AF" w:rsidRPr="00BC6FFC" w:rsidP="5DF7CB22" w14:paraId="54DEE014" w14:textId="7631A5F5">
            <w:pPr>
              <w:jc w:val="center"/>
              <w:rPr>
                <w:color w:val="AEAAAA" w:themeColor="background2" w:themeShade="BF"/>
              </w:rPr>
            </w:pPr>
            <w:r w:rsidRPr="5DF7CB22">
              <w:rPr>
                <w:color w:val="AEAAAA" w:themeColor="background2" w:themeShade="BF"/>
              </w:rPr>
              <w:t>X</w:t>
            </w:r>
          </w:p>
        </w:tc>
        <w:tc>
          <w:tcPr>
            <w:tcW w:w="660" w:type="dxa"/>
            <w:tcBorders>
              <w:top w:val="single" w:sz="6" w:space="0" w:color="auto"/>
              <w:left w:val="single" w:sz="6" w:space="0" w:color="auto"/>
              <w:bottom w:val="single" w:sz="6" w:space="0" w:color="auto"/>
              <w:right w:val="single" w:sz="6" w:space="0" w:color="auto"/>
            </w:tcBorders>
            <w:shd w:val="clear" w:color="auto" w:fill="AEAAAA" w:themeFill="background2" w:themeFillShade="BF"/>
          </w:tcPr>
          <w:p w:rsidR="009113AF" w:rsidRPr="00BC6FFC" w:rsidP="5DF7CB22" w14:paraId="05474A6B" w14:textId="69B8A0C9">
            <w:pPr>
              <w:jc w:val="center"/>
              <w:rPr>
                <w:color w:val="AEAAAA" w:themeColor="background2" w:themeShade="BF"/>
              </w:rPr>
            </w:pPr>
            <w:r w:rsidRPr="5DF7CB22">
              <w:rPr>
                <w:color w:val="AEAAAA" w:themeColor="background2" w:themeShade="BF"/>
              </w:rPr>
              <w:t>X</w:t>
            </w:r>
          </w:p>
        </w:tc>
        <w:tc>
          <w:tcPr>
            <w:tcW w:w="660" w:type="dxa"/>
            <w:tcBorders>
              <w:top w:val="single" w:sz="6" w:space="0" w:color="auto"/>
              <w:left w:val="single" w:sz="6" w:space="0" w:color="auto"/>
              <w:bottom w:val="single" w:sz="6" w:space="0" w:color="auto"/>
              <w:right w:val="single" w:sz="6" w:space="0" w:color="auto"/>
            </w:tcBorders>
            <w:shd w:val="clear" w:color="auto" w:fill="AEAAAA" w:themeFill="background2" w:themeFillShade="BF"/>
          </w:tcPr>
          <w:p w:rsidR="009113AF" w:rsidRPr="00BC6FFC" w:rsidP="5DF7CB22" w14:paraId="1AFE949C" w14:textId="6AFD37BA">
            <w:pPr>
              <w:jc w:val="center"/>
              <w:rPr>
                <w:color w:val="AEAAAA" w:themeColor="background2" w:themeShade="BF"/>
              </w:rPr>
            </w:pPr>
            <w:r w:rsidRPr="5DF7CB22">
              <w:rPr>
                <w:color w:val="AEAAAA" w:themeColor="background2" w:themeShade="BF"/>
              </w:rPr>
              <w:t>X</w:t>
            </w:r>
          </w:p>
        </w:tc>
        <w:tc>
          <w:tcPr>
            <w:tcW w:w="660" w:type="dxa"/>
            <w:tcBorders>
              <w:top w:val="single" w:sz="6" w:space="0" w:color="auto"/>
              <w:left w:val="single" w:sz="6" w:space="0" w:color="auto"/>
              <w:bottom w:val="single" w:sz="6" w:space="0" w:color="auto"/>
              <w:right w:val="single" w:sz="6" w:space="0" w:color="auto"/>
            </w:tcBorders>
            <w:shd w:val="clear" w:color="auto" w:fill="AEAAAA" w:themeFill="background2" w:themeFillShade="BF"/>
          </w:tcPr>
          <w:p w:rsidR="009113AF" w:rsidRPr="00BC6FFC" w:rsidP="5DF7CB22" w14:paraId="3397DED1" w14:textId="0F4FCC51">
            <w:pPr>
              <w:jc w:val="center"/>
              <w:rPr>
                <w:color w:val="AEAAAA" w:themeColor="background2" w:themeShade="BF"/>
              </w:rPr>
            </w:pPr>
            <w:r w:rsidRPr="5DF7CB22">
              <w:rPr>
                <w:color w:val="AEAAAA" w:themeColor="background2" w:themeShade="BF"/>
              </w:rPr>
              <w:t>X</w:t>
            </w:r>
          </w:p>
        </w:tc>
        <w:tc>
          <w:tcPr>
            <w:tcW w:w="660" w:type="dxa"/>
            <w:tcBorders>
              <w:top w:val="single" w:sz="6" w:space="0" w:color="auto"/>
              <w:left w:val="single" w:sz="6" w:space="0" w:color="auto"/>
              <w:bottom w:val="single" w:sz="6" w:space="0" w:color="auto"/>
              <w:right w:val="single" w:sz="6" w:space="0" w:color="auto"/>
            </w:tcBorders>
            <w:shd w:val="clear" w:color="auto" w:fill="AEAAAA" w:themeFill="background2" w:themeFillShade="BF"/>
          </w:tcPr>
          <w:p w:rsidR="009113AF" w:rsidRPr="00BC6FFC" w:rsidP="5DF7CB22" w14:paraId="644BCFF7" w14:textId="035DE8B7">
            <w:pPr>
              <w:jc w:val="center"/>
              <w:rPr>
                <w:color w:val="AEAAAA" w:themeColor="background2" w:themeShade="BF"/>
              </w:rPr>
            </w:pPr>
            <w:r w:rsidRPr="5DF7CB22">
              <w:rPr>
                <w:color w:val="AEAAAA" w:themeColor="background2" w:themeShade="BF"/>
              </w:rPr>
              <w:t>X</w:t>
            </w:r>
          </w:p>
        </w:tc>
        <w:tc>
          <w:tcPr>
            <w:tcW w:w="660" w:type="dxa"/>
            <w:tcBorders>
              <w:top w:val="single" w:sz="6" w:space="0" w:color="auto"/>
              <w:left w:val="single" w:sz="6" w:space="0" w:color="auto"/>
              <w:bottom w:val="single" w:sz="6" w:space="0" w:color="auto"/>
              <w:right w:val="single" w:sz="6" w:space="0" w:color="auto"/>
            </w:tcBorders>
            <w:shd w:val="clear" w:color="auto" w:fill="AEAAAA" w:themeFill="background2" w:themeFillShade="BF"/>
          </w:tcPr>
          <w:p w:rsidR="009113AF" w:rsidRPr="00BC6FFC" w:rsidP="5DF7CB22" w14:paraId="4B7620FA" w14:textId="14A1D68A">
            <w:pPr>
              <w:jc w:val="center"/>
              <w:rPr>
                <w:color w:val="AEAAAA" w:themeColor="background2" w:themeShade="BF"/>
              </w:rPr>
            </w:pPr>
            <w:r w:rsidRPr="5DF7CB22">
              <w:rPr>
                <w:color w:val="AEAAAA" w:themeColor="background2" w:themeShade="BF"/>
              </w:rPr>
              <w:t>X</w:t>
            </w:r>
          </w:p>
        </w:tc>
        <w:tc>
          <w:tcPr>
            <w:tcW w:w="660" w:type="dxa"/>
            <w:tcBorders>
              <w:top w:val="single" w:sz="6" w:space="0" w:color="auto"/>
              <w:left w:val="single" w:sz="6" w:space="0" w:color="auto"/>
              <w:bottom w:val="single" w:sz="6" w:space="0" w:color="auto"/>
              <w:right w:val="single" w:sz="6" w:space="0" w:color="auto"/>
            </w:tcBorders>
            <w:shd w:val="clear" w:color="auto" w:fill="AEAAAA" w:themeFill="background2" w:themeFillShade="BF"/>
          </w:tcPr>
          <w:p w:rsidR="009113AF" w:rsidRPr="00BC6FFC" w:rsidP="5DF7CB22" w14:paraId="75678B1B" w14:textId="444C2F29">
            <w:pPr>
              <w:jc w:val="center"/>
              <w:rPr>
                <w:color w:val="AEAAAA" w:themeColor="background2" w:themeShade="BF"/>
              </w:rPr>
            </w:pPr>
            <w:r w:rsidRPr="5DF7CB22">
              <w:rPr>
                <w:color w:val="AEAAAA" w:themeColor="background2" w:themeShade="BF"/>
              </w:rPr>
              <w:t>X</w:t>
            </w:r>
          </w:p>
        </w:tc>
        <w:tc>
          <w:tcPr>
            <w:tcW w:w="660" w:type="dxa"/>
            <w:tcBorders>
              <w:top w:val="single" w:sz="6" w:space="0" w:color="auto"/>
              <w:left w:val="single" w:sz="6" w:space="0" w:color="auto"/>
              <w:bottom w:val="single" w:sz="6" w:space="0" w:color="auto"/>
              <w:right w:val="single" w:sz="6" w:space="0" w:color="auto"/>
            </w:tcBorders>
          </w:tcPr>
          <w:p w:rsidR="009113AF" w:rsidRPr="00BC6FFC" w:rsidP="5DF7CB22" w14:paraId="205081DF" w14:textId="1EBC5E3A">
            <w:pPr>
              <w:jc w:val="center"/>
            </w:pPr>
          </w:p>
        </w:tc>
      </w:tr>
      <w:tr w14:paraId="0DAFB946" w14:textId="77BB7BCF" w:rsidTr="006D2C10">
        <w:tblPrEx>
          <w:tblW w:w="10064" w:type="dxa"/>
          <w:tblCellMar>
            <w:left w:w="0" w:type="dxa"/>
            <w:right w:w="0" w:type="dxa"/>
          </w:tblCellMar>
          <w:tblLook w:val="04A0"/>
        </w:tblPrEx>
        <w:trPr>
          <w:trHeight w:val="372"/>
        </w:trPr>
        <w:tc>
          <w:tcPr>
            <w:tcW w:w="2202" w:type="dxa"/>
            <w:tcBorders>
              <w:top w:val="single" w:sz="6" w:space="0" w:color="auto"/>
              <w:left w:val="single" w:sz="6" w:space="0" w:color="auto"/>
              <w:bottom w:val="single" w:sz="6" w:space="0" w:color="auto"/>
              <w:right w:val="single" w:sz="6" w:space="0" w:color="auto"/>
            </w:tcBorders>
            <w:shd w:val="clear" w:color="auto" w:fill="auto"/>
          </w:tcPr>
          <w:p w:rsidR="009113AF" w:rsidP="00727E03" w14:paraId="6726EB21" w14:textId="5F79C1DC">
            <w:r>
              <w:t>Data analysis</w:t>
            </w:r>
          </w:p>
        </w:tc>
        <w:tc>
          <w:tcPr>
            <w:tcW w:w="640" w:type="dxa"/>
            <w:tcBorders>
              <w:top w:val="single" w:sz="6" w:space="0" w:color="auto"/>
              <w:left w:val="single" w:sz="6" w:space="0" w:color="auto"/>
              <w:bottom w:val="single" w:sz="6" w:space="0" w:color="auto"/>
              <w:right w:val="single" w:sz="6" w:space="0" w:color="auto"/>
            </w:tcBorders>
            <w:shd w:val="clear" w:color="auto" w:fill="auto"/>
          </w:tcPr>
          <w:p w:rsidR="009113AF" w:rsidRPr="00BC6FFC" w:rsidP="5DF7CB22" w14:paraId="5B173A69" w14:textId="77777777">
            <w:pPr>
              <w:jc w:val="center"/>
            </w:pPr>
          </w:p>
        </w:tc>
        <w:tc>
          <w:tcPr>
            <w:tcW w:w="641" w:type="dxa"/>
            <w:tcBorders>
              <w:top w:val="single" w:sz="6" w:space="0" w:color="auto"/>
              <w:left w:val="single" w:sz="6" w:space="0" w:color="auto"/>
              <w:bottom w:val="single" w:sz="6" w:space="0" w:color="auto"/>
              <w:right w:val="single" w:sz="6" w:space="0" w:color="auto"/>
            </w:tcBorders>
          </w:tcPr>
          <w:p w:rsidR="009113AF" w:rsidRPr="00BC6FFC" w:rsidP="5DF7CB22" w14:paraId="2528BDCA" w14:textId="77777777">
            <w:pPr>
              <w:jc w:val="center"/>
            </w:pPr>
          </w:p>
        </w:tc>
        <w:tc>
          <w:tcPr>
            <w:tcW w:w="641" w:type="dxa"/>
            <w:tcBorders>
              <w:top w:val="single" w:sz="6" w:space="0" w:color="auto"/>
              <w:left w:val="single" w:sz="6" w:space="0" w:color="auto"/>
              <w:bottom w:val="single" w:sz="6" w:space="0" w:color="auto"/>
              <w:right w:val="single" w:sz="6" w:space="0" w:color="auto"/>
            </w:tcBorders>
            <w:shd w:val="clear" w:color="auto" w:fill="AEAAAA" w:themeFill="background2" w:themeFillShade="BF"/>
          </w:tcPr>
          <w:p w:rsidR="009113AF" w:rsidRPr="00BC6FFC" w:rsidP="5DF7CB22" w14:paraId="2705BA96" w14:textId="1FB0241B">
            <w:pPr>
              <w:jc w:val="center"/>
              <w:rPr>
                <w:color w:val="AEAAAA" w:themeColor="background2" w:themeShade="BF"/>
              </w:rPr>
            </w:pPr>
            <w:r w:rsidRPr="5DF7CB22">
              <w:rPr>
                <w:color w:val="AEAAAA" w:themeColor="background2" w:themeShade="BF"/>
              </w:rPr>
              <w:t>X</w:t>
            </w:r>
          </w:p>
        </w:tc>
        <w:tc>
          <w:tcPr>
            <w:tcW w:w="660" w:type="dxa"/>
            <w:tcBorders>
              <w:top w:val="single" w:sz="6" w:space="0" w:color="auto"/>
              <w:left w:val="single" w:sz="6" w:space="0" w:color="auto"/>
              <w:bottom w:val="single" w:sz="6" w:space="0" w:color="auto"/>
              <w:right w:val="single" w:sz="6" w:space="0" w:color="auto"/>
            </w:tcBorders>
            <w:shd w:val="clear" w:color="auto" w:fill="AEAAAA" w:themeFill="background2" w:themeFillShade="BF"/>
          </w:tcPr>
          <w:p w:rsidR="009113AF" w:rsidRPr="00BC6FFC" w:rsidP="5DF7CB22" w14:paraId="21D3DBEB" w14:textId="4365ED96">
            <w:pPr>
              <w:jc w:val="center"/>
              <w:rPr>
                <w:color w:val="AEAAAA" w:themeColor="background2" w:themeShade="BF"/>
              </w:rPr>
            </w:pPr>
            <w:r w:rsidRPr="5DF7CB22">
              <w:rPr>
                <w:color w:val="AEAAAA" w:themeColor="background2" w:themeShade="BF"/>
              </w:rPr>
              <w:t>X</w:t>
            </w:r>
          </w:p>
        </w:tc>
        <w:tc>
          <w:tcPr>
            <w:tcW w:w="660" w:type="dxa"/>
            <w:tcBorders>
              <w:top w:val="single" w:sz="6" w:space="0" w:color="auto"/>
              <w:left w:val="single" w:sz="6" w:space="0" w:color="auto"/>
              <w:bottom w:val="single" w:sz="6" w:space="0" w:color="auto"/>
              <w:right w:val="single" w:sz="6" w:space="0" w:color="auto"/>
            </w:tcBorders>
            <w:shd w:val="clear" w:color="auto" w:fill="AEAAAA" w:themeFill="background2" w:themeFillShade="BF"/>
          </w:tcPr>
          <w:p w:rsidR="009113AF" w:rsidRPr="00BC6FFC" w:rsidP="5DF7CB22" w14:paraId="57A88E87" w14:textId="38585BCC">
            <w:pPr>
              <w:jc w:val="center"/>
              <w:rPr>
                <w:color w:val="AEAAAA" w:themeColor="background2" w:themeShade="BF"/>
              </w:rPr>
            </w:pPr>
            <w:r w:rsidRPr="5DF7CB22">
              <w:rPr>
                <w:color w:val="AEAAAA" w:themeColor="background2" w:themeShade="BF"/>
              </w:rPr>
              <w:t>X</w:t>
            </w:r>
          </w:p>
        </w:tc>
        <w:tc>
          <w:tcPr>
            <w:tcW w:w="660" w:type="dxa"/>
            <w:tcBorders>
              <w:top w:val="single" w:sz="6" w:space="0" w:color="auto"/>
              <w:left w:val="single" w:sz="6" w:space="0" w:color="auto"/>
              <w:bottom w:val="single" w:sz="6" w:space="0" w:color="auto"/>
              <w:right w:val="single" w:sz="6" w:space="0" w:color="auto"/>
            </w:tcBorders>
            <w:shd w:val="clear" w:color="auto" w:fill="AEAAAA" w:themeFill="background2" w:themeFillShade="BF"/>
          </w:tcPr>
          <w:p w:rsidR="009113AF" w:rsidRPr="00BC6FFC" w:rsidP="5DF7CB22" w14:paraId="7870A7CF" w14:textId="30C685D0">
            <w:pPr>
              <w:jc w:val="center"/>
              <w:rPr>
                <w:color w:val="AEAAAA" w:themeColor="background2" w:themeShade="BF"/>
              </w:rPr>
            </w:pPr>
            <w:r w:rsidRPr="5DF7CB22">
              <w:rPr>
                <w:color w:val="AEAAAA" w:themeColor="background2" w:themeShade="BF"/>
              </w:rPr>
              <w:t>X</w:t>
            </w:r>
          </w:p>
        </w:tc>
        <w:tc>
          <w:tcPr>
            <w:tcW w:w="660" w:type="dxa"/>
            <w:tcBorders>
              <w:top w:val="single" w:sz="6" w:space="0" w:color="auto"/>
              <w:left w:val="single" w:sz="6" w:space="0" w:color="auto"/>
              <w:bottom w:val="single" w:sz="6" w:space="0" w:color="auto"/>
              <w:right w:val="single" w:sz="6" w:space="0" w:color="auto"/>
            </w:tcBorders>
            <w:shd w:val="clear" w:color="auto" w:fill="AEAAAA" w:themeFill="background2" w:themeFillShade="BF"/>
          </w:tcPr>
          <w:p w:rsidR="009113AF" w:rsidRPr="00BC6FFC" w:rsidP="5DF7CB22" w14:paraId="14E29714" w14:textId="4B085B32">
            <w:pPr>
              <w:jc w:val="center"/>
              <w:rPr>
                <w:color w:val="AEAAAA" w:themeColor="background2" w:themeShade="BF"/>
              </w:rPr>
            </w:pPr>
            <w:r w:rsidRPr="5DF7CB22">
              <w:rPr>
                <w:color w:val="AEAAAA" w:themeColor="background2" w:themeShade="BF"/>
              </w:rPr>
              <w:t>X</w:t>
            </w:r>
          </w:p>
        </w:tc>
        <w:tc>
          <w:tcPr>
            <w:tcW w:w="660" w:type="dxa"/>
            <w:tcBorders>
              <w:top w:val="single" w:sz="6" w:space="0" w:color="auto"/>
              <w:left w:val="single" w:sz="6" w:space="0" w:color="auto"/>
              <w:bottom w:val="single" w:sz="6" w:space="0" w:color="auto"/>
              <w:right w:val="single" w:sz="6" w:space="0" w:color="auto"/>
            </w:tcBorders>
            <w:shd w:val="clear" w:color="auto" w:fill="AEAAAA" w:themeFill="background2" w:themeFillShade="BF"/>
          </w:tcPr>
          <w:p w:rsidR="009113AF" w:rsidRPr="00BC6FFC" w:rsidP="5DF7CB22" w14:paraId="53CA9CE0" w14:textId="1A9F76D1">
            <w:pPr>
              <w:jc w:val="center"/>
              <w:rPr>
                <w:color w:val="AEAAAA" w:themeColor="background2" w:themeShade="BF"/>
              </w:rPr>
            </w:pPr>
            <w:r w:rsidRPr="5DF7CB22">
              <w:rPr>
                <w:color w:val="AEAAAA" w:themeColor="background2" w:themeShade="BF"/>
              </w:rPr>
              <w:t>X</w:t>
            </w:r>
          </w:p>
        </w:tc>
        <w:tc>
          <w:tcPr>
            <w:tcW w:w="660" w:type="dxa"/>
            <w:tcBorders>
              <w:top w:val="single" w:sz="6" w:space="0" w:color="auto"/>
              <w:left w:val="single" w:sz="6" w:space="0" w:color="auto"/>
              <w:bottom w:val="single" w:sz="6" w:space="0" w:color="auto"/>
              <w:right w:val="single" w:sz="6" w:space="0" w:color="auto"/>
            </w:tcBorders>
            <w:shd w:val="clear" w:color="auto" w:fill="AEAAAA" w:themeFill="background2" w:themeFillShade="BF"/>
          </w:tcPr>
          <w:p w:rsidR="009113AF" w:rsidRPr="00BC6FFC" w:rsidP="5DF7CB22" w14:paraId="1EF12993" w14:textId="729DE7BF">
            <w:pPr>
              <w:jc w:val="center"/>
              <w:rPr>
                <w:color w:val="AEAAAA" w:themeColor="background2" w:themeShade="BF"/>
              </w:rPr>
            </w:pPr>
            <w:r w:rsidRPr="5DF7CB22">
              <w:rPr>
                <w:color w:val="AEAAAA" w:themeColor="background2" w:themeShade="BF"/>
              </w:rPr>
              <w:t>X</w:t>
            </w:r>
          </w:p>
        </w:tc>
        <w:tc>
          <w:tcPr>
            <w:tcW w:w="660" w:type="dxa"/>
            <w:tcBorders>
              <w:top w:val="single" w:sz="6" w:space="0" w:color="auto"/>
              <w:left w:val="single" w:sz="6" w:space="0" w:color="auto"/>
              <w:bottom w:val="single" w:sz="6" w:space="0" w:color="auto"/>
              <w:right w:val="single" w:sz="6" w:space="0" w:color="auto"/>
            </w:tcBorders>
            <w:shd w:val="clear" w:color="auto" w:fill="AEAAAA" w:themeFill="background2" w:themeFillShade="BF"/>
          </w:tcPr>
          <w:p w:rsidR="009113AF" w:rsidRPr="00BC6FFC" w:rsidP="5DF7CB22" w14:paraId="24D4AAF8" w14:textId="2ED07097">
            <w:pPr>
              <w:jc w:val="center"/>
              <w:rPr>
                <w:color w:val="AEAAAA" w:themeColor="background2" w:themeShade="BF"/>
              </w:rPr>
            </w:pPr>
            <w:r w:rsidRPr="5DF7CB22">
              <w:rPr>
                <w:color w:val="AEAAAA" w:themeColor="background2" w:themeShade="BF"/>
              </w:rPr>
              <w:t>X</w:t>
            </w:r>
          </w:p>
        </w:tc>
        <w:tc>
          <w:tcPr>
            <w:tcW w:w="660" w:type="dxa"/>
            <w:tcBorders>
              <w:top w:val="single" w:sz="6" w:space="0" w:color="auto"/>
              <w:left w:val="single" w:sz="6" w:space="0" w:color="auto"/>
              <w:bottom w:val="single" w:sz="6" w:space="0" w:color="auto"/>
              <w:right w:val="single" w:sz="6" w:space="0" w:color="auto"/>
            </w:tcBorders>
            <w:shd w:val="clear" w:color="auto" w:fill="AEAAAA" w:themeFill="background2" w:themeFillShade="BF"/>
          </w:tcPr>
          <w:p w:rsidR="009113AF" w:rsidRPr="00BC6FFC" w:rsidP="5DF7CB22" w14:paraId="6E89AE54" w14:textId="0D7C2168">
            <w:pPr>
              <w:jc w:val="center"/>
              <w:rPr>
                <w:color w:val="AEAAAA" w:themeColor="background2" w:themeShade="BF"/>
              </w:rPr>
            </w:pPr>
            <w:r w:rsidRPr="5DF7CB22">
              <w:rPr>
                <w:color w:val="AEAAAA" w:themeColor="background2" w:themeShade="BF"/>
              </w:rPr>
              <w:t>X</w:t>
            </w:r>
          </w:p>
        </w:tc>
        <w:tc>
          <w:tcPr>
            <w:tcW w:w="660" w:type="dxa"/>
            <w:tcBorders>
              <w:top w:val="single" w:sz="6" w:space="0" w:color="auto"/>
              <w:left w:val="single" w:sz="6" w:space="0" w:color="auto"/>
              <w:bottom w:val="single" w:sz="6" w:space="0" w:color="auto"/>
              <w:right w:val="single" w:sz="6" w:space="0" w:color="auto"/>
            </w:tcBorders>
            <w:shd w:val="clear" w:color="auto" w:fill="AEAAAA" w:themeFill="background2" w:themeFillShade="BF"/>
          </w:tcPr>
          <w:p w:rsidR="009113AF" w:rsidRPr="00BC6FFC" w:rsidP="5DF7CB22" w14:paraId="32F1CFB7" w14:textId="6E1A505F">
            <w:pPr>
              <w:jc w:val="center"/>
              <w:rPr>
                <w:color w:val="AEAAAA" w:themeColor="background2" w:themeShade="BF"/>
              </w:rPr>
            </w:pPr>
            <w:r w:rsidRPr="5DF7CB22">
              <w:rPr>
                <w:color w:val="AEAAAA" w:themeColor="background2" w:themeShade="BF"/>
              </w:rPr>
              <w:t>X</w:t>
            </w:r>
          </w:p>
        </w:tc>
      </w:tr>
      <w:tr w14:paraId="4AD72ACE" w14:textId="0AB0ED33" w:rsidTr="006D2C10">
        <w:tblPrEx>
          <w:tblW w:w="10064" w:type="dxa"/>
          <w:tblCellMar>
            <w:left w:w="0" w:type="dxa"/>
            <w:right w:w="0" w:type="dxa"/>
          </w:tblCellMar>
          <w:tblLook w:val="04A0"/>
        </w:tblPrEx>
        <w:trPr>
          <w:trHeight w:val="372"/>
        </w:trPr>
        <w:tc>
          <w:tcPr>
            <w:tcW w:w="2202" w:type="dxa"/>
            <w:tcBorders>
              <w:top w:val="single" w:sz="6" w:space="0" w:color="auto"/>
              <w:left w:val="single" w:sz="6" w:space="0" w:color="auto"/>
              <w:bottom w:val="single" w:sz="6" w:space="0" w:color="auto"/>
              <w:right w:val="single" w:sz="6" w:space="0" w:color="auto"/>
            </w:tcBorders>
            <w:shd w:val="clear" w:color="auto" w:fill="auto"/>
          </w:tcPr>
          <w:p w:rsidR="009113AF" w:rsidP="5DF7CB22" w14:paraId="1F4010AD" w14:textId="52F2D7A4">
            <w:r>
              <w:t>Aggregate data reporting to company</w:t>
            </w:r>
          </w:p>
        </w:tc>
        <w:tc>
          <w:tcPr>
            <w:tcW w:w="640" w:type="dxa"/>
            <w:tcBorders>
              <w:top w:val="single" w:sz="6" w:space="0" w:color="auto"/>
              <w:left w:val="single" w:sz="6" w:space="0" w:color="auto"/>
              <w:bottom w:val="single" w:sz="6" w:space="0" w:color="auto"/>
              <w:right w:val="single" w:sz="6" w:space="0" w:color="auto"/>
            </w:tcBorders>
            <w:shd w:val="clear" w:color="auto" w:fill="auto"/>
          </w:tcPr>
          <w:p w:rsidR="009113AF" w:rsidRPr="00BC6FFC" w:rsidP="5DF7CB22" w14:paraId="77CC88BF" w14:textId="77777777">
            <w:pPr>
              <w:jc w:val="center"/>
            </w:pPr>
          </w:p>
        </w:tc>
        <w:tc>
          <w:tcPr>
            <w:tcW w:w="641" w:type="dxa"/>
            <w:tcBorders>
              <w:top w:val="single" w:sz="6" w:space="0" w:color="auto"/>
              <w:left w:val="single" w:sz="6" w:space="0" w:color="auto"/>
              <w:bottom w:val="single" w:sz="6" w:space="0" w:color="auto"/>
              <w:right w:val="single" w:sz="6" w:space="0" w:color="auto"/>
            </w:tcBorders>
          </w:tcPr>
          <w:p w:rsidR="009113AF" w:rsidRPr="00BC6FFC" w:rsidP="5DF7CB22" w14:paraId="7CA707A9" w14:textId="77777777">
            <w:pPr>
              <w:jc w:val="center"/>
            </w:pPr>
          </w:p>
        </w:tc>
        <w:tc>
          <w:tcPr>
            <w:tcW w:w="641" w:type="dxa"/>
            <w:tcBorders>
              <w:top w:val="single" w:sz="6" w:space="0" w:color="auto"/>
              <w:left w:val="single" w:sz="6" w:space="0" w:color="auto"/>
              <w:bottom w:val="single" w:sz="6" w:space="0" w:color="auto"/>
              <w:right w:val="single" w:sz="6" w:space="0" w:color="auto"/>
            </w:tcBorders>
            <w:shd w:val="clear" w:color="auto" w:fill="AEAAAA" w:themeFill="background2" w:themeFillShade="BF"/>
          </w:tcPr>
          <w:p w:rsidR="009113AF" w:rsidRPr="00BC6FFC" w:rsidP="5DF7CB22" w14:paraId="2EDDDD66" w14:textId="028A3232">
            <w:pPr>
              <w:jc w:val="center"/>
              <w:rPr>
                <w:color w:val="AEAAAA" w:themeColor="background2" w:themeShade="BF"/>
              </w:rPr>
            </w:pPr>
            <w:r w:rsidRPr="5DF7CB22">
              <w:rPr>
                <w:color w:val="AEAAAA" w:themeColor="background2" w:themeShade="BF"/>
              </w:rPr>
              <w:t>X</w:t>
            </w:r>
          </w:p>
        </w:tc>
        <w:tc>
          <w:tcPr>
            <w:tcW w:w="660" w:type="dxa"/>
            <w:tcBorders>
              <w:top w:val="single" w:sz="6" w:space="0" w:color="auto"/>
              <w:left w:val="single" w:sz="6" w:space="0" w:color="auto"/>
              <w:bottom w:val="single" w:sz="6" w:space="0" w:color="auto"/>
              <w:right w:val="single" w:sz="6" w:space="0" w:color="auto"/>
            </w:tcBorders>
            <w:shd w:val="clear" w:color="auto" w:fill="AEAAAA" w:themeFill="background2" w:themeFillShade="BF"/>
          </w:tcPr>
          <w:p w:rsidR="009113AF" w:rsidRPr="00BC6FFC" w:rsidP="5DF7CB22" w14:paraId="10836767" w14:textId="0AB44803">
            <w:pPr>
              <w:jc w:val="center"/>
              <w:rPr>
                <w:color w:val="AEAAAA" w:themeColor="background2" w:themeShade="BF"/>
              </w:rPr>
            </w:pPr>
            <w:r w:rsidRPr="5DF7CB22">
              <w:rPr>
                <w:color w:val="AEAAAA" w:themeColor="background2" w:themeShade="BF"/>
              </w:rPr>
              <w:t>X</w:t>
            </w:r>
          </w:p>
        </w:tc>
        <w:tc>
          <w:tcPr>
            <w:tcW w:w="660" w:type="dxa"/>
            <w:tcBorders>
              <w:top w:val="single" w:sz="6" w:space="0" w:color="auto"/>
              <w:left w:val="single" w:sz="6" w:space="0" w:color="auto"/>
              <w:bottom w:val="single" w:sz="6" w:space="0" w:color="auto"/>
              <w:right w:val="single" w:sz="6" w:space="0" w:color="auto"/>
            </w:tcBorders>
            <w:shd w:val="clear" w:color="auto" w:fill="AEAAAA" w:themeFill="background2" w:themeFillShade="BF"/>
          </w:tcPr>
          <w:p w:rsidR="009113AF" w:rsidRPr="00BC6FFC" w:rsidP="5DF7CB22" w14:paraId="1C2289A0" w14:textId="413B5623">
            <w:pPr>
              <w:jc w:val="center"/>
              <w:rPr>
                <w:color w:val="AEAAAA" w:themeColor="background2" w:themeShade="BF"/>
              </w:rPr>
            </w:pPr>
            <w:r w:rsidRPr="5DF7CB22">
              <w:rPr>
                <w:color w:val="AEAAAA" w:themeColor="background2" w:themeShade="BF"/>
              </w:rPr>
              <w:t>X</w:t>
            </w:r>
          </w:p>
        </w:tc>
        <w:tc>
          <w:tcPr>
            <w:tcW w:w="660" w:type="dxa"/>
            <w:tcBorders>
              <w:top w:val="single" w:sz="6" w:space="0" w:color="auto"/>
              <w:left w:val="single" w:sz="6" w:space="0" w:color="auto"/>
              <w:bottom w:val="single" w:sz="6" w:space="0" w:color="auto"/>
              <w:right w:val="single" w:sz="6" w:space="0" w:color="auto"/>
            </w:tcBorders>
            <w:shd w:val="clear" w:color="auto" w:fill="AEAAAA" w:themeFill="background2" w:themeFillShade="BF"/>
          </w:tcPr>
          <w:p w:rsidR="009113AF" w:rsidRPr="00BC6FFC" w:rsidP="5DF7CB22" w14:paraId="7406833B" w14:textId="1C644C48">
            <w:pPr>
              <w:jc w:val="center"/>
              <w:rPr>
                <w:color w:val="AEAAAA" w:themeColor="background2" w:themeShade="BF"/>
              </w:rPr>
            </w:pPr>
            <w:r w:rsidRPr="5DF7CB22">
              <w:rPr>
                <w:color w:val="AEAAAA" w:themeColor="background2" w:themeShade="BF"/>
              </w:rPr>
              <w:t>X</w:t>
            </w:r>
          </w:p>
        </w:tc>
        <w:tc>
          <w:tcPr>
            <w:tcW w:w="660" w:type="dxa"/>
            <w:tcBorders>
              <w:top w:val="single" w:sz="6" w:space="0" w:color="auto"/>
              <w:left w:val="single" w:sz="6" w:space="0" w:color="auto"/>
              <w:bottom w:val="single" w:sz="6" w:space="0" w:color="auto"/>
              <w:right w:val="single" w:sz="6" w:space="0" w:color="auto"/>
            </w:tcBorders>
            <w:shd w:val="clear" w:color="auto" w:fill="AEAAAA" w:themeFill="background2" w:themeFillShade="BF"/>
          </w:tcPr>
          <w:p w:rsidR="009113AF" w:rsidRPr="00BC6FFC" w:rsidP="5DF7CB22" w14:paraId="38E572E8" w14:textId="4ECF2CF7">
            <w:pPr>
              <w:jc w:val="center"/>
              <w:rPr>
                <w:color w:val="AEAAAA" w:themeColor="background2" w:themeShade="BF"/>
              </w:rPr>
            </w:pPr>
            <w:r w:rsidRPr="5DF7CB22">
              <w:rPr>
                <w:color w:val="AEAAAA" w:themeColor="background2" w:themeShade="BF"/>
              </w:rPr>
              <w:t>X</w:t>
            </w:r>
          </w:p>
        </w:tc>
        <w:tc>
          <w:tcPr>
            <w:tcW w:w="660" w:type="dxa"/>
            <w:tcBorders>
              <w:top w:val="single" w:sz="6" w:space="0" w:color="auto"/>
              <w:left w:val="single" w:sz="6" w:space="0" w:color="auto"/>
              <w:bottom w:val="single" w:sz="6" w:space="0" w:color="auto"/>
              <w:right w:val="single" w:sz="6" w:space="0" w:color="auto"/>
            </w:tcBorders>
            <w:shd w:val="clear" w:color="auto" w:fill="AEAAAA" w:themeFill="background2" w:themeFillShade="BF"/>
          </w:tcPr>
          <w:p w:rsidR="009113AF" w:rsidRPr="00BC6FFC" w:rsidP="5DF7CB22" w14:paraId="55760D84" w14:textId="7CFCCC27">
            <w:pPr>
              <w:jc w:val="center"/>
              <w:rPr>
                <w:color w:val="AEAAAA" w:themeColor="background2" w:themeShade="BF"/>
              </w:rPr>
            </w:pPr>
            <w:r w:rsidRPr="5DF7CB22">
              <w:rPr>
                <w:color w:val="AEAAAA" w:themeColor="background2" w:themeShade="BF"/>
              </w:rPr>
              <w:t>X</w:t>
            </w:r>
          </w:p>
        </w:tc>
        <w:tc>
          <w:tcPr>
            <w:tcW w:w="660" w:type="dxa"/>
            <w:tcBorders>
              <w:top w:val="single" w:sz="6" w:space="0" w:color="auto"/>
              <w:left w:val="single" w:sz="6" w:space="0" w:color="auto"/>
              <w:bottom w:val="single" w:sz="6" w:space="0" w:color="auto"/>
              <w:right w:val="single" w:sz="6" w:space="0" w:color="auto"/>
            </w:tcBorders>
            <w:shd w:val="clear" w:color="auto" w:fill="AEAAAA" w:themeFill="background2" w:themeFillShade="BF"/>
          </w:tcPr>
          <w:p w:rsidR="009113AF" w:rsidRPr="00BC6FFC" w:rsidP="5DF7CB22" w14:paraId="2CF155A0" w14:textId="0930FEDD">
            <w:pPr>
              <w:jc w:val="center"/>
              <w:rPr>
                <w:color w:val="AEAAAA" w:themeColor="background2" w:themeShade="BF"/>
              </w:rPr>
            </w:pPr>
            <w:r w:rsidRPr="5DF7CB22">
              <w:rPr>
                <w:color w:val="AEAAAA" w:themeColor="background2" w:themeShade="BF"/>
              </w:rPr>
              <w:t>X</w:t>
            </w:r>
          </w:p>
        </w:tc>
        <w:tc>
          <w:tcPr>
            <w:tcW w:w="660" w:type="dxa"/>
            <w:tcBorders>
              <w:top w:val="single" w:sz="6" w:space="0" w:color="auto"/>
              <w:left w:val="single" w:sz="6" w:space="0" w:color="auto"/>
              <w:bottom w:val="single" w:sz="6" w:space="0" w:color="auto"/>
              <w:right w:val="single" w:sz="6" w:space="0" w:color="auto"/>
            </w:tcBorders>
            <w:shd w:val="clear" w:color="auto" w:fill="AEAAAA" w:themeFill="background2" w:themeFillShade="BF"/>
          </w:tcPr>
          <w:p w:rsidR="009113AF" w:rsidRPr="00BC6FFC" w:rsidP="5DF7CB22" w14:paraId="416E9857" w14:textId="37AE2027">
            <w:pPr>
              <w:jc w:val="center"/>
              <w:rPr>
                <w:color w:val="AEAAAA" w:themeColor="background2" w:themeShade="BF"/>
              </w:rPr>
            </w:pPr>
            <w:r w:rsidRPr="5DF7CB22">
              <w:rPr>
                <w:color w:val="AEAAAA" w:themeColor="background2" w:themeShade="BF"/>
              </w:rPr>
              <w:t>X</w:t>
            </w:r>
          </w:p>
        </w:tc>
        <w:tc>
          <w:tcPr>
            <w:tcW w:w="660" w:type="dxa"/>
            <w:tcBorders>
              <w:top w:val="single" w:sz="6" w:space="0" w:color="auto"/>
              <w:left w:val="single" w:sz="6" w:space="0" w:color="auto"/>
              <w:bottom w:val="single" w:sz="6" w:space="0" w:color="auto"/>
              <w:right w:val="single" w:sz="6" w:space="0" w:color="auto"/>
            </w:tcBorders>
            <w:shd w:val="clear" w:color="auto" w:fill="AEAAAA" w:themeFill="background2" w:themeFillShade="BF"/>
          </w:tcPr>
          <w:p w:rsidR="009113AF" w:rsidRPr="00BC6FFC" w:rsidP="5DF7CB22" w14:paraId="408886E2" w14:textId="71889532">
            <w:pPr>
              <w:jc w:val="center"/>
              <w:rPr>
                <w:color w:val="AEAAAA" w:themeColor="background2" w:themeShade="BF"/>
              </w:rPr>
            </w:pPr>
            <w:r w:rsidRPr="5DF7CB22">
              <w:rPr>
                <w:color w:val="AEAAAA" w:themeColor="background2" w:themeShade="BF"/>
              </w:rPr>
              <w:t>X</w:t>
            </w:r>
          </w:p>
        </w:tc>
        <w:tc>
          <w:tcPr>
            <w:tcW w:w="660" w:type="dxa"/>
            <w:tcBorders>
              <w:top w:val="single" w:sz="6" w:space="0" w:color="auto"/>
              <w:left w:val="single" w:sz="6" w:space="0" w:color="auto"/>
              <w:bottom w:val="single" w:sz="6" w:space="0" w:color="auto"/>
              <w:right w:val="single" w:sz="6" w:space="0" w:color="auto"/>
            </w:tcBorders>
            <w:shd w:val="clear" w:color="auto" w:fill="AEAAAA" w:themeFill="background2" w:themeFillShade="BF"/>
          </w:tcPr>
          <w:p w:rsidR="009113AF" w:rsidRPr="00BC6FFC" w:rsidP="5DF7CB22" w14:paraId="50AB5F45" w14:textId="1FD098C6">
            <w:pPr>
              <w:jc w:val="center"/>
              <w:rPr>
                <w:color w:val="AEAAAA" w:themeColor="background2" w:themeShade="BF"/>
              </w:rPr>
            </w:pPr>
            <w:r w:rsidRPr="5DF7CB22">
              <w:rPr>
                <w:color w:val="AEAAAA" w:themeColor="background2" w:themeShade="BF"/>
              </w:rPr>
              <w:t>X</w:t>
            </w:r>
          </w:p>
        </w:tc>
      </w:tr>
      <w:tr w14:paraId="47BBAF7D" w14:textId="7D459F42" w:rsidTr="006D2C10">
        <w:tblPrEx>
          <w:tblW w:w="10064" w:type="dxa"/>
          <w:tblCellMar>
            <w:left w:w="0" w:type="dxa"/>
            <w:right w:w="0" w:type="dxa"/>
          </w:tblCellMar>
          <w:tblLook w:val="04A0"/>
        </w:tblPrEx>
        <w:trPr>
          <w:trHeight w:val="372"/>
        </w:trPr>
        <w:tc>
          <w:tcPr>
            <w:tcW w:w="2202" w:type="dxa"/>
            <w:tcBorders>
              <w:top w:val="single" w:sz="6" w:space="0" w:color="auto"/>
              <w:left w:val="single" w:sz="6" w:space="0" w:color="auto"/>
              <w:bottom w:val="single" w:sz="6" w:space="0" w:color="auto"/>
              <w:right w:val="single" w:sz="6" w:space="0" w:color="auto"/>
            </w:tcBorders>
            <w:shd w:val="clear" w:color="auto" w:fill="auto"/>
          </w:tcPr>
          <w:p w:rsidR="009113AF" w:rsidP="5DF7CB22" w14:paraId="76B07A25" w14:textId="56FBEEFD">
            <w:r>
              <w:t>Develop communication products</w:t>
            </w:r>
            <w:r w:rsidR="002363EF">
              <w:t xml:space="preserve"> on study results</w:t>
            </w:r>
            <w:r>
              <w:t>, including scientific journal articles</w:t>
            </w:r>
          </w:p>
        </w:tc>
        <w:tc>
          <w:tcPr>
            <w:tcW w:w="640" w:type="dxa"/>
            <w:tcBorders>
              <w:top w:val="single" w:sz="6" w:space="0" w:color="auto"/>
              <w:left w:val="single" w:sz="6" w:space="0" w:color="auto"/>
              <w:bottom w:val="single" w:sz="6" w:space="0" w:color="auto"/>
              <w:right w:val="single" w:sz="6" w:space="0" w:color="auto"/>
            </w:tcBorders>
            <w:shd w:val="clear" w:color="auto" w:fill="auto"/>
          </w:tcPr>
          <w:p w:rsidR="009113AF" w:rsidRPr="00BC6FFC" w:rsidP="5DF7CB22" w14:paraId="6B4AD5C6" w14:textId="77777777">
            <w:pPr>
              <w:jc w:val="center"/>
            </w:pPr>
          </w:p>
        </w:tc>
        <w:tc>
          <w:tcPr>
            <w:tcW w:w="641" w:type="dxa"/>
            <w:tcBorders>
              <w:top w:val="single" w:sz="6" w:space="0" w:color="auto"/>
              <w:left w:val="single" w:sz="6" w:space="0" w:color="auto"/>
              <w:bottom w:val="single" w:sz="6" w:space="0" w:color="auto"/>
              <w:right w:val="single" w:sz="6" w:space="0" w:color="auto"/>
            </w:tcBorders>
          </w:tcPr>
          <w:p w:rsidR="009113AF" w:rsidRPr="00BC6FFC" w:rsidP="5DF7CB22" w14:paraId="30F80258" w14:textId="77777777">
            <w:pPr>
              <w:jc w:val="center"/>
            </w:pPr>
          </w:p>
        </w:tc>
        <w:tc>
          <w:tcPr>
            <w:tcW w:w="641" w:type="dxa"/>
            <w:tcBorders>
              <w:top w:val="single" w:sz="6" w:space="0" w:color="auto"/>
              <w:left w:val="single" w:sz="6" w:space="0" w:color="auto"/>
              <w:bottom w:val="single" w:sz="6" w:space="0" w:color="auto"/>
              <w:right w:val="single" w:sz="6" w:space="0" w:color="auto"/>
            </w:tcBorders>
          </w:tcPr>
          <w:p w:rsidR="009113AF" w:rsidRPr="00BC6FFC" w:rsidP="5DF7CB22" w14:paraId="357EB5B9" w14:textId="77777777">
            <w:pPr>
              <w:jc w:val="center"/>
            </w:pPr>
          </w:p>
        </w:tc>
        <w:tc>
          <w:tcPr>
            <w:tcW w:w="660" w:type="dxa"/>
            <w:tcBorders>
              <w:top w:val="single" w:sz="6" w:space="0" w:color="auto"/>
              <w:left w:val="single" w:sz="6" w:space="0" w:color="auto"/>
              <w:bottom w:val="single" w:sz="6" w:space="0" w:color="auto"/>
              <w:right w:val="single" w:sz="6" w:space="0" w:color="auto"/>
            </w:tcBorders>
          </w:tcPr>
          <w:p w:rsidR="009113AF" w:rsidRPr="00BC6FFC" w:rsidP="5DF7CB22" w14:paraId="590E462F" w14:textId="77777777">
            <w:pPr>
              <w:jc w:val="center"/>
            </w:pPr>
          </w:p>
        </w:tc>
        <w:tc>
          <w:tcPr>
            <w:tcW w:w="660" w:type="dxa"/>
            <w:tcBorders>
              <w:top w:val="single" w:sz="6" w:space="0" w:color="auto"/>
              <w:left w:val="single" w:sz="6" w:space="0" w:color="auto"/>
              <w:bottom w:val="single" w:sz="6" w:space="0" w:color="auto"/>
              <w:right w:val="single" w:sz="6" w:space="0" w:color="auto"/>
            </w:tcBorders>
          </w:tcPr>
          <w:p w:rsidR="009113AF" w:rsidRPr="00BC6FFC" w:rsidP="5DF7CB22" w14:paraId="13A759F6" w14:textId="77777777">
            <w:pPr>
              <w:jc w:val="center"/>
            </w:pPr>
          </w:p>
        </w:tc>
        <w:tc>
          <w:tcPr>
            <w:tcW w:w="660" w:type="dxa"/>
            <w:tcBorders>
              <w:top w:val="single" w:sz="6" w:space="0" w:color="auto"/>
              <w:left w:val="single" w:sz="6" w:space="0" w:color="auto"/>
              <w:bottom w:val="single" w:sz="6" w:space="0" w:color="auto"/>
              <w:right w:val="single" w:sz="6" w:space="0" w:color="auto"/>
            </w:tcBorders>
          </w:tcPr>
          <w:p w:rsidR="009113AF" w:rsidRPr="00BC6FFC" w:rsidP="5DF7CB22" w14:paraId="1632E087" w14:textId="77777777">
            <w:pPr>
              <w:jc w:val="center"/>
            </w:pPr>
          </w:p>
        </w:tc>
        <w:tc>
          <w:tcPr>
            <w:tcW w:w="660" w:type="dxa"/>
            <w:tcBorders>
              <w:top w:val="single" w:sz="6" w:space="0" w:color="auto"/>
              <w:left w:val="single" w:sz="6" w:space="0" w:color="auto"/>
              <w:bottom w:val="single" w:sz="6" w:space="0" w:color="auto"/>
              <w:right w:val="single" w:sz="6" w:space="0" w:color="auto"/>
            </w:tcBorders>
          </w:tcPr>
          <w:p w:rsidR="009113AF" w:rsidRPr="00BC6FFC" w:rsidP="5DF7CB22" w14:paraId="38DC4A53" w14:textId="77777777">
            <w:pPr>
              <w:jc w:val="center"/>
            </w:pPr>
          </w:p>
        </w:tc>
        <w:tc>
          <w:tcPr>
            <w:tcW w:w="660" w:type="dxa"/>
            <w:tcBorders>
              <w:top w:val="single" w:sz="6" w:space="0" w:color="auto"/>
              <w:left w:val="single" w:sz="6" w:space="0" w:color="auto"/>
              <w:bottom w:val="single" w:sz="6" w:space="0" w:color="auto"/>
              <w:right w:val="single" w:sz="6" w:space="0" w:color="auto"/>
            </w:tcBorders>
          </w:tcPr>
          <w:p w:rsidR="009113AF" w:rsidRPr="00BC6FFC" w:rsidP="5DF7CB22" w14:paraId="761C1D3A" w14:textId="77777777">
            <w:pPr>
              <w:jc w:val="center"/>
            </w:pPr>
          </w:p>
        </w:tc>
        <w:tc>
          <w:tcPr>
            <w:tcW w:w="660" w:type="dxa"/>
            <w:tcBorders>
              <w:top w:val="single" w:sz="6" w:space="0" w:color="auto"/>
              <w:left w:val="single" w:sz="6" w:space="0" w:color="auto"/>
              <w:bottom w:val="single" w:sz="6" w:space="0" w:color="auto"/>
              <w:right w:val="single" w:sz="6" w:space="0" w:color="auto"/>
            </w:tcBorders>
          </w:tcPr>
          <w:p w:rsidR="009113AF" w:rsidRPr="00BC6FFC" w:rsidP="5DF7CB22" w14:paraId="2F9A3A6C" w14:textId="77777777">
            <w:pPr>
              <w:jc w:val="center"/>
            </w:pPr>
          </w:p>
        </w:tc>
        <w:tc>
          <w:tcPr>
            <w:tcW w:w="660" w:type="dxa"/>
            <w:tcBorders>
              <w:top w:val="single" w:sz="6" w:space="0" w:color="auto"/>
              <w:left w:val="single" w:sz="6" w:space="0" w:color="auto"/>
              <w:bottom w:val="single" w:sz="6" w:space="0" w:color="auto"/>
              <w:right w:val="single" w:sz="6" w:space="0" w:color="auto"/>
            </w:tcBorders>
          </w:tcPr>
          <w:p w:rsidR="009113AF" w:rsidRPr="00BC6FFC" w:rsidP="5DF7CB22" w14:paraId="4AC020EB" w14:textId="0464FEE7">
            <w:pPr>
              <w:jc w:val="center"/>
            </w:pPr>
          </w:p>
        </w:tc>
        <w:tc>
          <w:tcPr>
            <w:tcW w:w="660" w:type="dxa"/>
            <w:tcBorders>
              <w:top w:val="single" w:sz="6" w:space="0" w:color="auto"/>
              <w:left w:val="single" w:sz="6" w:space="0" w:color="auto"/>
              <w:bottom w:val="single" w:sz="6" w:space="0" w:color="auto"/>
              <w:right w:val="single" w:sz="6" w:space="0" w:color="auto"/>
            </w:tcBorders>
            <w:shd w:val="clear" w:color="auto" w:fill="AEAAAA" w:themeFill="background2" w:themeFillShade="BF"/>
          </w:tcPr>
          <w:p w:rsidR="009113AF" w:rsidRPr="00BC6FFC" w:rsidP="5DF7CB22" w14:paraId="72FB9F9C" w14:textId="2B3A8D2C">
            <w:pPr>
              <w:jc w:val="center"/>
              <w:rPr>
                <w:color w:val="AEAAAA" w:themeColor="background2" w:themeShade="BF"/>
              </w:rPr>
            </w:pPr>
            <w:r w:rsidRPr="5DF7CB22">
              <w:rPr>
                <w:color w:val="AEAAAA" w:themeColor="background2" w:themeShade="BF"/>
              </w:rPr>
              <w:t>X</w:t>
            </w:r>
          </w:p>
        </w:tc>
        <w:tc>
          <w:tcPr>
            <w:tcW w:w="660" w:type="dxa"/>
            <w:tcBorders>
              <w:top w:val="single" w:sz="6" w:space="0" w:color="auto"/>
              <w:left w:val="single" w:sz="6" w:space="0" w:color="auto"/>
              <w:bottom w:val="single" w:sz="6" w:space="0" w:color="auto"/>
              <w:right w:val="single" w:sz="6" w:space="0" w:color="auto"/>
            </w:tcBorders>
            <w:shd w:val="clear" w:color="auto" w:fill="AEAAAA" w:themeFill="background2" w:themeFillShade="BF"/>
          </w:tcPr>
          <w:p w:rsidR="009113AF" w:rsidRPr="00BC6FFC" w:rsidP="5DF7CB22" w14:paraId="3A270E98" w14:textId="0046A07D">
            <w:pPr>
              <w:jc w:val="center"/>
              <w:rPr>
                <w:color w:val="AEAAAA" w:themeColor="background2" w:themeShade="BF"/>
              </w:rPr>
            </w:pPr>
            <w:r w:rsidRPr="5DF7CB22">
              <w:rPr>
                <w:color w:val="AEAAAA" w:themeColor="background2" w:themeShade="BF"/>
              </w:rPr>
              <w:t>X</w:t>
            </w:r>
          </w:p>
        </w:tc>
      </w:tr>
      <w:tr w14:paraId="60F94461" w14:textId="77777777" w:rsidTr="006D2C10">
        <w:tblPrEx>
          <w:tblW w:w="10064" w:type="dxa"/>
          <w:tblCellMar>
            <w:left w:w="0" w:type="dxa"/>
            <w:right w:w="0" w:type="dxa"/>
          </w:tblCellMar>
          <w:tblLook w:val="04A0"/>
        </w:tblPrEx>
        <w:trPr>
          <w:trHeight w:val="372"/>
        </w:trPr>
        <w:tc>
          <w:tcPr>
            <w:tcW w:w="2202" w:type="dxa"/>
            <w:tcBorders>
              <w:top w:val="single" w:sz="6" w:space="0" w:color="auto"/>
              <w:left w:val="single" w:sz="6" w:space="0" w:color="auto"/>
              <w:bottom w:val="single" w:sz="6" w:space="0" w:color="auto"/>
              <w:right w:val="single" w:sz="6" w:space="0" w:color="auto"/>
            </w:tcBorders>
            <w:shd w:val="clear" w:color="auto" w:fill="auto"/>
          </w:tcPr>
          <w:p w:rsidR="00C77915" w:rsidP="00727E03" w14:paraId="14E6B39B" w14:textId="0C357722">
            <w:r>
              <w:t>Presentation</w:t>
            </w:r>
            <w:r w:rsidR="00C205F8">
              <w:t>s</w:t>
            </w:r>
            <w:r>
              <w:t xml:space="preserve"> at scientific meetings</w:t>
            </w:r>
          </w:p>
        </w:tc>
        <w:tc>
          <w:tcPr>
            <w:tcW w:w="640" w:type="dxa"/>
            <w:tcBorders>
              <w:top w:val="single" w:sz="6" w:space="0" w:color="auto"/>
              <w:left w:val="single" w:sz="6" w:space="0" w:color="auto"/>
              <w:bottom w:val="single" w:sz="6" w:space="0" w:color="auto"/>
              <w:right w:val="single" w:sz="6" w:space="0" w:color="auto"/>
            </w:tcBorders>
            <w:shd w:val="clear" w:color="auto" w:fill="auto"/>
          </w:tcPr>
          <w:p w:rsidR="00C77915" w:rsidRPr="00BC6FFC" w:rsidP="5DF7CB22" w14:paraId="71850292" w14:textId="77777777">
            <w:pPr>
              <w:jc w:val="center"/>
            </w:pPr>
          </w:p>
        </w:tc>
        <w:tc>
          <w:tcPr>
            <w:tcW w:w="641" w:type="dxa"/>
            <w:tcBorders>
              <w:top w:val="single" w:sz="6" w:space="0" w:color="auto"/>
              <w:left w:val="single" w:sz="6" w:space="0" w:color="auto"/>
              <w:bottom w:val="single" w:sz="6" w:space="0" w:color="auto"/>
              <w:right w:val="single" w:sz="6" w:space="0" w:color="auto"/>
            </w:tcBorders>
          </w:tcPr>
          <w:p w:rsidR="00C77915" w:rsidRPr="00BC6FFC" w:rsidP="5DF7CB22" w14:paraId="16C07CE6" w14:textId="77777777">
            <w:pPr>
              <w:jc w:val="center"/>
            </w:pPr>
          </w:p>
        </w:tc>
        <w:tc>
          <w:tcPr>
            <w:tcW w:w="641" w:type="dxa"/>
            <w:tcBorders>
              <w:top w:val="single" w:sz="6" w:space="0" w:color="auto"/>
              <w:left w:val="single" w:sz="6" w:space="0" w:color="auto"/>
              <w:bottom w:val="single" w:sz="6" w:space="0" w:color="auto"/>
              <w:right w:val="single" w:sz="6" w:space="0" w:color="auto"/>
            </w:tcBorders>
          </w:tcPr>
          <w:p w:rsidR="00C77915" w:rsidRPr="00BC6FFC" w:rsidP="5DF7CB22" w14:paraId="71843FB8" w14:textId="77777777">
            <w:pPr>
              <w:jc w:val="center"/>
            </w:pPr>
          </w:p>
        </w:tc>
        <w:tc>
          <w:tcPr>
            <w:tcW w:w="660" w:type="dxa"/>
            <w:tcBorders>
              <w:top w:val="single" w:sz="6" w:space="0" w:color="auto"/>
              <w:left w:val="single" w:sz="6" w:space="0" w:color="auto"/>
              <w:bottom w:val="single" w:sz="6" w:space="0" w:color="auto"/>
              <w:right w:val="single" w:sz="6" w:space="0" w:color="auto"/>
            </w:tcBorders>
            <w:shd w:val="clear" w:color="auto" w:fill="AEAAAA" w:themeFill="background2" w:themeFillShade="BF"/>
          </w:tcPr>
          <w:p w:rsidR="00C77915" w:rsidRPr="00BC6FFC" w:rsidP="5DF7CB22" w14:paraId="798D7093" w14:textId="3B77A393">
            <w:pPr>
              <w:jc w:val="center"/>
              <w:rPr>
                <w:color w:val="AEAAAA" w:themeColor="background2" w:themeShade="BF"/>
              </w:rPr>
            </w:pPr>
            <w:r w:rsidRPr="5DF7CB22">
              <w:rPr>
                <w:color w:val="AEAAAA" w:themeColor="background2" w:themeShade="BF"/>
              </w:rPr>
              <w:t>X</w:t>
            </w:r>
          </w:p>
        </w:tc>
        <w:tc>
          <w:tcPr>
            <w:tcW w:w="660" w:type="dxa"/>
            <w:tcBorders>
              <w:top w:val="single" w:sz="6" w:space="0" w:color="auto"/>
              <w:left w:val="single" w:sz="6" w:space="0" w:color="auto"/>
              <w:bottom w:val="single" w:sz="6" w:space="0" w:color="auto"/>
              <w:right w:val="single" w:sz="6" w:space="0" w:color="auto"/>
            </w:tcBorders>
          </w:tcPr>
          <w:p w:rsidR="00C77915" w:rsidRPr="00BC6FFC" w:rsidP="5DF7CB22" w14:paraId="4224A59F" w14:textId="77777777">
            <w:pPr>
              <w:jc w:val="center"/>
            </w:pPr>
          </w:p>
        </w:tc>
        <w:tc>
          <w:tcPr>
            <w:tcW w:w="660" w:type="dxa"/>
            <w:tcBorders>
              <w:top w:val="single" w:sz="6" w:space="0" w:color="auto"/>
              <w:left w:val="single" w:sz="6" w:space="0" w:color="auto"/>
              <w:bottom w:val="single" w:sz="6" w:space="0" w:color="auto"/>
              <w:right w:val="single" w:sz="6" w:space="0" w:color="auto"/>
            </w:tcBorders>
          </w:tcPr>
          <w:p w:rsidR="00C77915" w:rsidRPr="00BC6FFC" w:rsidP="5DF7CB22" w14:paraId="12F2A619" w14:textId="77777777">
            <w:pPr>
              <w:jc w:val="center"/>
            </w:pPr>
          </w:p>
        </w:tc>
        <w:tc>
          <w:tcPr>
            <w:tcW w:w="660" w:type="dxa"/>
            <w:tcBorders>
              <w:top w:val="single" w:sz="6" w:space="0" w:color="auto"/>
              <w:left w:val="single" w:sz="6" w:space="0" w:color="auto"/>
              <w:bottom w:val="single" w:sz="6" w:space="0" w:color="auto"/>
              <w:right w:val="single" w:sz="6" w:space="0" w:color="auto"/>
            </w:tcBorders>
          </w:tcPr>
          <w:p w:rsidR="00C77915" w:rsidRPr="00BC6FFC" w:rsidP="5DF7CB22" w14:paraId="01DABEB0" w14:textId="77777777">
            <w:pPr>
              <w:jc w:val="center"/>
            </w:pPr>
          </w:p>
        </w:tc>
        <w:tc>
          <w:tcPr>
            <w:tcW w:w="660" w:type="dxa"/>
            <w:tcBorders>
              <w:top w:val="single" w:sz="6" w:space="0" w:color="auto"/>
              <w:left w:val="single" w:sz="6" w:space="0" w:color="auto"/>
              <w:bottom w:val="single" w:sz="6" w:space="0" w:color="auto"/>
              <w:right w:val="single" w:sz="6" w:space="0" w:color="auto"/>
            </w:tcBorders>
            <w:shd w:val="clear" w:color="auto" w:fill="AEAAAA" w:themeFill="background2" w:themeFillShade="BF"/>
          </w:tcPr>
          <w:p w:rsidR="00C77915" w:rsidRPr="00BC6FFC" w:rsidP="5DF7CB22" w14:paraId="3FD222DB" w14:textId="77CB0355">
            <w:pPr>
              <w:jc w:val="center"/>
              <w:rPr>
                <w:color w:val="AEAAAA" w:themeColor="background2" w:themeShade="BF"/>
              </w:rPr>
            </w:pPr>
            <w:r w:rsidRPr="5DF7CB22">
              <w:rPr>
                <w:color w:val="AEAAAA" w:themeColor="background2" w:themeShade="BF"/>
              </w:rPr>
              <w:t>X</w:t>
            </w:r>
          </w:p>
        </w:tc>
        <w:tc>
          <w:tcPr>
            <w:tcW w:w="660" w:type="dxa"/>
            <w:tcBorders>
              <w:top w:val="single" w:sz="6" w:space="0" w:color="auto"/>
              <w:left w:val="single" w:sz="6" w:space="0" w:color="auto"/>
              <w:bottom w:val="single" w:sz="6" w:space="0" w:color="auto"/>
              <w:right w:val="single" w:sz="6" w:space="0" w:color="auto"/>
            </w:tcBorders>
          </w:tcPr>
          <w:p w:rsidR="00C77915" w:rsidRPr="00BC6FFC" w:rsidP="5DF7CB22" w14:paraId="7B8FF8E2" w14:textId="77777777">
            <w:pPr>
              <w:jc w:val="center"/>
            </w:pPr>
          </w:p>
        </w:tc>
        <w:tc>
          <w:tcPr>
            <w:tcW w:w="660" w:type="dxa"/>
            <w:tcBorders>
              <w:top w:val="single" w:sz="6" w:space="0" w:color="auto"/>
              <w:left w:val="single" w:sz="6" w:space="0" w:color="auto"/>
              <w:bottom w:val="single" w:sz="6" w:space="0" w:color="auto"/>
              <w:right w:val="single" w:sz="6" w:space="0" w:color="auto"/>
            </w:tcBorders>
          </w:tcPr>
          <w:p w:rsidR="00C77915" w:rsidRPr="00BC6FFC" w:rsidP="5DF7CB22" w14:paraId="5D4BF853" w14:textId="31938C88">
            <w:pPr>
              <w:jc w:val="center"/>
            </w:pPr>
          </w:p>
        </w:tc>
        <w:tc>
          <w:tcPr>
            <w:tcW w:w="660" w:type="dxa"/>
            <w:tcBorders>
              <w:top w:val="single" w:sz="6" w:space="0" w:color="auto"/>
              <w:left w:val="single" w:sz="6" w:space="0" w:color="auto"/>
              <w:bottom w:val="single" w:sz="6" w:space="0" w:color="auto"/>
              <w:right w:val="single" w:sz="6" w:space="0" w:color="auto"/>
            </w:tcBorders>
            <w:shd w:val="clear" w:color="auto" w:fill="AEAAAA" w:themeFill="background2" w:themeFillShade="BF"/>
          </w:tcPr>
          <w:p w:rsidR="00C77915" w:rsidRPr="00BC6FFC" w:rsidP="5DF7CB22" w14:paraId="46827CAA" w14:textId="628D1AA3">
            <w:pPr>
              <w:jc w:val="center"/>
              <w:rPr>
                <w:color w:val="AEAAAA" w:themeColor="background2" w:themeShade="BF"/>
              </w:rPr>
            </w:pPr>
            <w:r w:rsidRPr="5DF7CB22">
              <w:rPr>
                <w:color w:val="AEAAAA" w:themeColor="background2" w:themeShade="BF"/>
              </w:rPr>
              <w:t>X</w:t>
            </w:r>
          </w:p>
        </w:tc>
        <w:tc>
          <w:tcPr>
            <w:tcW w:w="660" w:type="dxa"/>
            <w:tcBorders>
              <w:top w:val="single" w:sz="6" w:space="0" w:color="auto"/>
              <w:left w:val="single" w:sz="6" w:space="0" w:color="auto"/>
              <w:bottom w:val="single" w:sz="6" w:space="0" w:color="auto"/>
              <w:right w:val="single" w:sz="6" w:space="0" w:color="auto"/>
            </w:tcBorders>
            <w:shd w:val="clear" w:color="auto" w:fill="AEAAAA" w:themeFill="background2" w:themeFillShade="BF"/>
          </w:tcPr>
          <w:p w:rsidR="00C77915" w:rsidRPr="00BC6FFC" w:rsidP="5DF7CB22" w14:paraId="16F570E8" w14:textId="5A43C651">
            <w:pPr>
              <w:jc w:val="center"/>
              <w:rPr>
                <w:color w:val="AEAAAA" w:themeColor="background2" w:themeShade="BF"/>
              </w:rPr>
            </w:pPr>
            <w:r w:rsidRPr="5DF7CB22">
              <w:rPr>
                <w:color w:val="AEAAAA" w:themeColor="background2" w:themeShade="BF"/>
              </w:rPr>
              <w:t>X</w:t>
            </w:r>
          </w:p>
        </w:tc>
      </w:tr>
    </w:tbl>
    <w:p w:rsidR="5DF7CB22" w14:paraId="1173104F" w14:textId="2528B21D"/>
    <w:p w:rsidR="00B22333" w:rsidRPr="00315BC0" w:rsidP="5DF7CB22" w14:paraId="413FA681" w14:textId="77777777"/>
    <w:p w:rsidR="009C0CB3" w:rsidP="006771B4" w14:paraId="09A303DE" w14:textId="59A83415">
      <w:pPr>
        <w:pStyle w:val="Heading1"/>
      </w:pPr>
      <w:bookmarkStart w:id="18" w:name="_Toc130908467"/>
      <w:r w:rsidRPr="00B401B2">
        <w:t>17. Reason(s) Display of OMB Expiration Date is Inappropriate</w:t>
      </w:r>
      <w:bookmarkEnd w:id="18"/>
    </w:p>
    <w:p w:rsidR="00B96BDC" w:rsidP="00B96BDC" w14:paraId="59DB3A4D" w14:textId="77777777"/>
    <w:p w:rsidR="00B96BDC" w:rsidRPr="00315BC0" w:rsidP="5DF7CB22" w14:paraId="408C88A3" w14:textId="1B50459F">
      <w:r>
        <w:t xml:space="preserve">Display of OMB Expiration Date is </w:t>
      </w:r>
      <w:r w:rsidR="0BEB54EE">
        <w:t xml:space="preserve">not inappropriate. </w:t>
      </w:r>
    </w:p>
    <w:p w:rsidR="009C0CB3" w:rsidP="006771B4" w14:paraId="1C521C4F" w14:textId="6F5A847B">
      <w:pPr>
        <w:pStyle w:val="Heading1"/>
      </w:pPr>
      <w:bookmarkStart w:id="19" w:name="_Toc130908468"/>
      <w:r w:rsidRPr="00B401B2">
        <w:t>18. Exceptions to Certification for Paperwork Reduction Act Submissions</w:t>
      </w:r>
      <w:bookmarkEnd w:id="19"/>
    </w:p>
    <w:p w:rsidR="009C0CB3" w14:paraId="6DC9A8E6" w14:textId="77777777"/>
    <w:p w:rsidR="00500DA7" w14:paraId="13EBE75E" w14:textId="7B60EFC9">
      <w:r>
        <w:t xml:space="preserve">There are no exceptions. </w:t>
      </w:r>
    </w:p>
    <w:p w:rsidR="00500DA7" w14:paraId="51102C9E" w14:textId="77777777"/>
    <w:p w:rsidR="00500DA7" w:rsidP="00500DA7" w14:paraId="1ED47E75" w14:textId="49819B18">
      <w:pPr>
        <w:pStyle w:val="Heading1"/>
      </w:pPr>
      <w:bookmarkStart w:id="20" w:name="_Toc130908469"/>
      <w:r>
        <w:t>19. References</w:t>
      </w:r>
      <w:bookmarkEnd w:id="20"/>
    </w:p>
    <w:p w:rsidR="00464811" w:rsidP="5DF7CB22" w14:paraId="60CF56E3" w14:textId="50BA3D7C"/>
    <w:p w:rsidR="00464811" w:rsidP="00464811" w14:paraId="0D452E37" w14:textId="6707F0A5">
      <w:r w:rsidRPr="00A94CA6">
        <w:t>American Academy of Audiology</w:t>
      </w:r>
      <w:r>
        <w:t xml:space="preserve"> </w:t>
      </w:r>
      <w:r w:rsidRPr="00A94CA6">
        <w:t>(AAA)</w:t>
      </w:r>
      <w:r>
        <w:t xml:space="preserve"> </w:t>
      </w:r>
      <w:r w:rsidRPr="00A94CA6">
        <w:t xml:space="preserve">(2003). Position Statement: Preventing noise-induced occupational hearing loss. </w:t>
      </w:r>
      <w:hyperlink r:id="rId7" w:history="1">
        <w:r w:rsidRPr="00D32301" w:rsidR="00967BC8">
          <w:rPr>
            <w:rStyle w:val="Hyperlink"/>
          </w:rPr>
          <w:t>https://www.audiology.org/wp-content/uploads/2021/05/niohlprevention.pdf_53996fb4c1ca13.61907521.pdf</w:t>
        </w:r>
      </w:hyperlink>
      <w:r w:rsidR="00967BC8">
        <w:t xml:space="preserve">. </w:t>
      </w:r>
      <w:r w:rsidRPr="00097C03" w:rsidR="00097C03">
        <w:t>Accessed April 2022</w:t>
      </w:r>
      <w:r w:rsidR="00097C03">
        <w:t>.</w:t>
      </w:r>
    </w:p>
    <w:p w:rsidR="00464811" w:rsidP="00464811" w14:paraId="320AAF1A" w14:textId="77777777"/>
    <w:p w:rsidR="00464811" w:rsidP="00464811" w14:paraId="5EEC37FC" w14:textId="77777777">
      <w:r w:rsidRPr="00A94CA6">
        <w:t>Berger EH, Royster LH, Royster JD, Driscoll DP, Layne M, eds. (2003). The noise manual. 5th rev. ed. Fairfax, VA: American Industrial Hygiene Association.</w:t>
      </w:r>
    </w:p>
    <w:p w:rsidR="00464811" w:rsidP="00464811" w14:paraId="272C9996" w14:textId="77777777"/>
    <w:p w:rsidR="00464811" w:rsidP="00464811" w14:paraId="750CDD91" w14:textId="77777777">
      <w:r w:rsidRPr="009D457D">
        <w:t>Kerns E, Masterson E, Themann C, Calvert G (2018). Cardiovascular conditions, hearing difficulty, and occupational noise exposure within US industries and occupations. Am J Ind Med; 61(6): 477–491.</w:t>
      </w:r>
    </w:p>
    <w:p w:rsidR="00464811" w:rsidP="00464811" w14:paraId="099CE7DC" w14:textId="77777777"/>
    <w:p w:rsidR="00464811" w:rsidP="00464811" w14:paraId="637790DA" w14:textId="77777777">
      <w:r w:rsidRPr="003B70EA">
        <w:t>Lawson SM, Masterson EA, Azman AS (2019). Prevalence of hearing loss among noise‐exposed workers within the Mining and Oil and Gas Extraction sectors, 2006–2015. Am J Ind Med; 62: 826–837.</w:t>
      </w:r>
    </w:p>
    <w:p w:rsidR="00464811" w:rsidP="00464811" w14:paraId="7CFCE24B" w14:textId="77777777"/>
    <w:p w:rsidR="00464811" w:rsidP="00464811" w14:paraId="0C82550E" w14:textId="77777777">
      <w:r w:rsidRPr="00151238">
        <w:t>Nietzel</w:t>
      </w:r>
      <w:r w:rsidRPr="00151238">
        <w:t xml:space="preserve"> RL, Swinburn TK, Hammer MS, and Eisenberg D (2017). Economic impact of </w:t>
      </w:r>
      <w:r w:rsidRPr="00151238">
        <w:t>hearingloss</w:t>
      </w:r>
      <w:r w:rsidRPr="00151238">
        <w:t xml:space="preserve"> and reduction of noise-induced hearing loss in the United States. </w:t>
      </w:r>
      <w:r w:rsidRPr="00151238">
        <w:t>JSpeech</w:t>
      </w:r>
      <w:r w:rsidRPr="00151238">
        <w:t xml:space="preserve"> Lang Hear Res; 60(1): 182–189.</w:t>
      </w:r>
    </w:p>
    <w:p w:rsidR="00464811" w:rsidP="00464811" w14:paraId="7F05ACA9" w14:textId="77777777"/>
    <w:p w:rsidR="00464811" w:rsidP="00464811" w14:paraId="17BDC08A" w14:textId="5B356F22">
      <w:r w:rsidRPr="00C63F70">
        <w:t xml:space="preserve">NIOSH (2018a). NIOSH Oil and Gas Extraction Program: Burden, Need, and Impact. </w:t>
      </w:r>
      <w:hyperlink r:id="rId8" w:history="1">
        <w:r w:rsidRPr="00706072">
          <w:rPr>
            <w:rStyle w:val="Hyperlink"/>
          </w:rPr>
          <w:t>https://www.cdc.gov/niosh/programs/oilgas/burden.html. Accessed January 2020</w:t>
        </w:r>
      </w:hyperlink>
      <w:r w:rsidRPr="00C63F70">
        <w:t>.</w:t>
      </w:r>
    </w:p>
    <w:p w:rsidR="00464811" w:rsidP="00464811" w14:paraId="65902C65" w14:textId="77777777"/>
    <w:p w:rsidR="00464811" w:rsidP="00464811" w14:paraId="67041CB8" w14:textId="0B72CB35">
      <w:r w:rsidRPr="00BE33CD">
        <w:t xml:space="preserve">NIOSH (2019a). Occupational hearing loss (OHL) surveillance.  </w:t>
      </w:r>
      <w:hyperlink r:id="rId9" w:history="1">
        <w:r w:rsidRPr="00D32301" w:rsidR="00097C03">
          <w:rPr>
            <w:rStyle w:val="Hyperlink"/>
          </w:rPr>
          <w:t>https://www.cdc.gov/niosh/topics/ohl/default.html</w:t>
        </w:r>
      </w:hyperlink>
      <w:r w:rsidRPr="00BE33CD">
        <w:t>.</w:t>
      </w:r>
      <w:r w:rsidR="00097C03">
        <w:t xml:space="preserve"> </w:t>
      </w:r>
      <w:r w:rsidRPr="00BE33CD">
        <w:t xml:space="preserve">Accessed </w:t>
      </w:r>
      <w:r w:rsidR="00764241">
        <w:t>April 2022</w:t>
      </w:r>
    </w:p>
    <w:p w:rsidR="00464811" w:rsidP="00464811" w14:paraId="23CEAC9E" w14:textId="77777777">
      <w:pPr>
        <w:tabs>
          <w:tab w:val="left" w:pos="1160"/>
        </w:tabs>
      </w:pPr>
    </w:p>
    <w:p w:rsidR="00FE5240" w:rsidP="00464811" w14:paraId="37F8257A" w14:textId="7D963488">
      <w:pPr>
        <w:tabs>
          <w:tab w:val="left" w:pos="1160"/>
        </w:tabs>
      </w:pPr>
      <w:r w:rsidRPr="00FE5240">
        <w:t xml:space="preserve">OSHA (2008). Occupational Safety and Health Standard 1910.95 - Occupational noise exposure. Accessed April 2022 at: https://www.osha.gov/laws-regs/regulations/standardnumber/1910/1910.95.  </w:t>
      </w:r>
      <w:r>
        <w:t xml:space="preserve"> </w:t>
      </w:r>
    </w:p>
    <w:p w:rsidR="00FE5240" w:rsidP="00464811" w14:paraId="37CEEE78" w14:textId="77777777">
      <w:pPr>
        <w:tabs>
          <w:tab w:val="left" w:pos="1160"/>
        </w:tabs>
      </w:pPr>
    </w:p>
    <w:p w:rsidR="00464811" w:rsidP="00464811" w14:paraId="4AC0E0D8" w14:textId="77777777">
      <w:pPr>
        <w:tabs>
          <w:tab w:val="left" w:pos="1160"/>
        </w:tabs>
      </w:pPr>
      <w:r w:rsidRPr="006403E2">
        <w:t xml:space="preserve">Themann C and Masterson E (2019). Occupational noise exposure: A review of its effects, epidemiology, and impact with recommendations for reducing its burden. </w:t>
      </w:r>
      <w:r w:rsidRPr="006403E2">
        <w:t>JAcoust</w:t>
      </w:r>
      <w:r w:rsidRPr="006403E2">
        <w:t xml:space="preserve"> Soc Am; 146(5): 3879–3905.</w:t>
      </w:r>
    </w:p>
    <w:p w:rsidR="0040657D" w:rsidP="0040657D" w14:paraId="4107A6E8" w14:textId="77777777">
      <w:pPr>
        <w:tabs>
          <w:tab w:val="left" w:pos="1160"/>
        </w:tabs>
      </w:pPr>
    </w:p>
    <w:p w:rsidR="0040657D" w:rsidP="0040657D" w14:paraId="5D9AF051" w14:textId="77777777">
      <w:pPr>
        <w:tabs>
          <w:tab w:val="left" w:pos="1160"/>
        </w:tabs>
      </w:pPr>
      <w:r>
        <w:t xml:space="preserve">WorkSafe BC (2018a). WorkSafe Bulletin: How loud is it? – Oil and Gas. WS 2018-10. Accessed April 2022 at: https://www.worksafebc.com/en/resources/health-safety/hazard-alerts/how-loud-is-it-oil-gas-ws-2018-10?lang=en&amp;direct.  </w:t>
      </w:r>
    </w:p>
    <w:p w:rsidR="0040657D" w:rsidP="0040657D" w14:paraId="1C022BB2" w14:textId="77777777">
      <w:pPr>
        <w:tabs>
          <w:tab w:val="left" w:pos="1160"/>
        </w:tabs>
      </w:pPr>
    </w:p>
    <w:p w:rsidR="0040657D" w:rsidP="0040657D" w14:paraId="2DA548E0" w14:textId="1A52FE18">
      <w:pPr>
        <w:tabs>
          <w:tab w:val="left" w:pos="1160"/>
        </w:tabs>
      </w:pPr>
      <w:r>
        <w:t>WorkSafeBC</w:t>
      </w:r>
      <w:r>
        <w:t xml:space="preserve"> (2018b). WorkSafe Press Release: Hearing-test data reveals steady rise in hearing loss among oil and gas drilling workers. Accessed April 2022 at: https://www.worksafebc.com/en/about-us/news-events/news-releases/2018/August/hearing-test-data-reveals-steady-rise-in-hearing-loss-among-oil-gas-drilling-workers.   </w:t>
      </w:r>
    </w:p>
    <w:p w:rsidR="00464811" w:rsidRPr="00464811" w14:paraId="4549F764" w14:textId="77777777"/>
    <w:sectPr w:rsidSect="00D26908">
      <w:headerReference w:type="even" r:id="rId10"/>
      <w:headerReference w:type="default" r:id="rId11"/>
      <w:footerReference w:type="even" r:id="rId12"/>
      <w:footerReference w:type="default" r:id="rId13"/>
      <w:headerReference w:type="first" r:id="rId14"/>
      <w:footerReference w:type="first" r:id="rId15"/>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Nova">
    <w:charset w:val="00"/>
    <w:family w:val="swiss"/>
    <w:pitch w:val="variable"/>
    <w:sig w:usb0="0000028F" w:usb1="00000002" w:usb2="00000000"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569CC" w14:paraId="7A335301"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44146262"/>
      <w:docPartObj>
        <w:docPartGallery w:val="Page Numbers (Bottom of Page)"/>
        <w:docPartUnique/>
      </w:docPartObj>
    </w:sdtPr>
    <w:sdtEndPr>
      <w:rPr>
        <w:noProof/>
      </w:rPr>
    </w:sdtEndPr>
    <w:sdtContent>
      <w:p w:rsidR="00617F35" w14:paraId="0B90B83D" w14:textId="627A08C7">
        <w:pPr>
          <w:pStyle w:val="Footer"/>
        </w:pPr>
        <w:r>
          <w:fldChar w:fldCharType="begin"/>
        </w:r>
        <w:r>
          <w:instrText xml:space="preserve"> PAGE   \* MERGEFORMAT </w:instrText>
        </w:r>
        <w:r>
          <w:fldChar w:fldCharType="separate"/>
        </w:r>
        <w:r>
          <w:rPr>
            <w:noProof/>
          </w:rPr>
          <w:t>2</w:t>
        </w:r>
        <w:r>
          <w:rPr>
            <w:noProof/>
          </w:rPr>
          <w:fldChar w:fldCharType="end"/>
        </w:r>
      </w:p>
    </w:sdtContent>
  </w:sdt>
  <w:p w:rsidR="00617F35" w14:paraId="4986A5CE"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569CC" w14:paraId="0EDF43E8"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569CC" w14:paraId="18661170"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569CC" w14:paraId="0A11DD34"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569CC" w14:paraId="239CA265"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FD50EE4"/>
    <w:multiLevelType w:val="multilevel"/>
    <w:tmpl w:val="EAEA9D0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15714B43"/>
    <w:multiLevelType w:val="hybridMultilevel"/>
    <w:tmpl w:val="1EA650E6"/>
    <w:lvl w:ilvl="0">
      <w:start w:val="1"/>
      <w:numFmt w:val="bullet"/>
      <w:lvlText w:val=""/>
      <w:lvlJc w:val="left"/>
      <w:pPr>
        <w:ind w:left="360" w:hanging="360"/>
      </w:pPr>
      <w:rPr>
        <w:rFonts w:ascii="Wingdings" w:hAnsi="Wingdings" w:hint="default"/>
      </w:rPr>
    </w:lvl>
    <w:lvl w:ilvl="1">
      <w:start w:val="0"/>
      <w:numFmt w:val="bullet"/>
      <w:lvlText w:val="-"/>
      <w:lvlJc w:val="left"/>
      <w:pPr>
        <w:ind w:left="1080" w:hanging="360"/>
      </w:pPr>
      <w:rPr>
        <w:rFonts w:ascii="Times New Roman" w:hAnsi="Times New Roman" w:eastAsiaTheme="minorHAnsi" w:cs="Times New Roman"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
    <w:nsid w:val="15DF52CD"/>
    <w:multiLevelType w:val="multilevel"/>
    <w:tmpl w:val="9446C92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6DA6612"/>
    <w:multiLevelType w:val="hybridMultilevel"/>
    <w:tmpl w:val="965CE830"/>
    <w:lvl w:ilvl="0">
      <w:start w:val="1"/>
      <w:numFmt w:val="bullet"/>
      <w:lvlText w:val=""/>
      <w:lvlJc w:val="left"/>
      <w:pPr>
        <w:ind w:left="360" w:hanging="360"/>
      </w:pPr>
      <w:rPr>
        <w:rFonts w:ascii="Wingdings" w:hAnsi="Wingdings"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
    <w:nsid w:val="192D0667"/>
    <w:multiLevelType w:val="hybridMultilevel"/>
    <w:tmpl w:val="401E450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B181B18"/>
    <w:multiLevelType w:val="hybridMultilevel"/>
    <w:tmpl w:val="C14C056A"/>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27A92E43"/>
    <w:multiLevelType w:val="multilevel"/>
    <w:tmpl w:val="002262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ADD0EC1"/>
    <w:multiLevelType w:val="multilevel"/>
    <w:tmpl w:val="4D9856B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41FE6168"/>
    <w:multiLevelType w:val="multilevel"/>
    <w:tmpl w:val="237462F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42546478"/>
    <w:multiLevelType w:val="hybridMultilevel"/>
    <w:tmpl w:val="14C88E6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4B6C2340"/>
    <w:multiLevelType w:val="hybridMultilevel"/>
    <w:tmpl w:val="03C62DD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4F483A22"/>
    <w:multiLevelType w:val="multilevel"/>
    <w:tmpl w:val="BDB2FAE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54034CFA"/>
    <w:multiLevelType w:val="hybridMultilevel"/>
    <w:tmpl w:val="6BF4F3C8"/>
    <w:lvl w:ilvl="0">
      <w:start w:val="1"/>
      <w:numFmt w:val="bullet"/>
      <w:lvlText w:val=""/>
      <w:lvlJc w:val="left"/>
      <w:pPr>
        <w:ind w:left="360" w:hanging="360"/>
      </w:pPr>
      <w:rPr>
        <w:rFonts w:ascii="Wingdings" w:hAnsi="Wingdings" w:hint="default"/>
        <w:color w:val="auto"/>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3">
    <w:nsid w:val="56AB18F5"/>
    <w:multiLevelType w:val="multilevel"/>
    <w:tmpl w:val="292E536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6099096F"/>
    <w:multiLevelType w:val="multilevel"/>
    <w:tmpl w:val="22846C0A"/>
    <w:lvl w:ilvl="0">
      <w:start w:val="7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67685F32"/>
    <w:multiLevelType w:val="hybridMultilevel"/>
    <w:tmpl w:val="094ADBE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716D213B"/>
    <w:multiLevelType w:val="multilevel"/>
    <w:tmpl w:val="8A2C351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7">
    <w:nsid w:val="75102939"/>
    <w:multiLevelType w:val="multilevel"/>
    <w:tmpl w:val="3D46002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28552707">
    <w:abstractNumId w:val="16"/>
  </w:num>
  <w:num w:numId="2" w16cid:durableId="80494471">
    <w:abstractNumId w:val="15"/>
  </w:num>
  <w:num w:numId="3" w16cid:durableId="47993045">
    <w:abstractNumId w:val="10"/>
  </w:num>
  <w:num w:numId="4" w16cid:durableId="1793937754">
    <w:abstractNumId w:val="4"/>
  </w:num>
  <w:num w:numId="5" w16cid:durableId="459959703">
    <w:abstractNumId w:val="9"/>
  </w:num>
  <w:num w:numId="6" w16cid:durableId="187985442">
    <w:abstractNumId w:val="6"/>
  </w:num>
  <w:num w:numId="7" w16cid:durableId="197133387">
    <w:abstractNumId w:val="8"/>
  </w:num>
  <w:num w:numId="8" w16cid:durableId="1602757835">
    <w:abstractNumId w:val="13"/>
  </w:num>
  <w:num w:numId="9" w16cid:durableId="737286869">
    <w:abstractNumId w:val="17"/>
  </w:num>
  <w:num w:numId="10" w16cid:durableId="719128657">
    <w:abstractNumId w:val="2"/>
  </w:num>
  <w:num w:numId="11" w16cid:durableId="923146807">
    <w:abstractNumId w:val="11"/>
  </w:num>
  <w:num w:numId="12" w16cid:durableId="648637249">
    <w:abstractNumId w:val="14"/>
  </w:num>
  <w:num w:numId="13" w16cid:durableId="336201154">
    <w:abstractNumId w:val="5"/>
  </w:num>
  <w:num w:numId="14" w16cid:durableId="588660190">
    <w:abstractNumId w:val="0"/>
  </w:num>
  <w:num w:numId="15" w16cid:durableId="1859655656">
    <w:abstractNumId w:val="7"/>
  </w:num>
  <w:num w:numId="16" w16cid:durableId="1487436127">
    <w:abstractNumId w:val="12"/>
  </w:num>
  <w:num w:numId="17" w16cid:durableId="39747117">
    <w:abstractNumId w:val="1"/>
  </w:num>
  <w:num w:numId="18" w16cid:durableId="134697856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0CB3"/>
    <w:rsid w:val="00002184"/>
    <w:rsid w:val="00006517"/>
    <w:rsid w:val="00007AE4"/>
    <w:rsid w:val="00012E5C"/>
    <w:rsid w:val="00022A61"/>
    <w:rsid w:val="00022B92"/>
    <w:rsid w:val="00023147"/>
    <w:rsid w:val="00027C75"/>
    <w:rsid w:val="0003024E"/>
    <w:rsid w:val="00036917"/>
    <w:rsid w:val="000407DC"/>
    <w:rsid w:val="00043719"/>
    <w:rsid w:val="00044E26"/>
    <w:rsid w:val="00044FC8"/>
    <w:rsid w:val="00053909"/>
    <w:rsid w:val="00053C54"/>
    <w:rsid w:val="0005528C"/>
    <w:rsid w:val="00055B16"/>
    <w:rsid w:val="00057D40"/>
    <w:rsid w:val="00060B4E"/>
    <w:rsid w:val="00061CD2"/>
    <w:rsid w:val="0006780F"/>
    <w:rsid w:val="00072C6F"/>
    <w:rsid w:val="00074644"/>
    <w:rsid w:val="00074E6E"/>
    <w:rsid w:val="00075025"/>
    <w:rsid w:val="0007741A"/>
    <w:rsid w:val="00077B66"/>
    <w:rsid w:val="00097C03"/>
    <w:rsid w:val="000A212E"/>
    <w:rsid w:val="000A23F7"/>
    <w:rsid w:val="000A5381"/>
    <w:rsid w:val="000A54DA"/>
    <w:rsid w:val="000A72D3"/>
    <w:rsid w:val="000B1A83"/>
    <w:rsid w:val="000B2566"/>
    <w:rsid w:val="000C004B"/>
    <w:rsid w:val="000C68CE"/>
    <w:rsid w:val="000D4161"/>
    <w:rsid w:val="000D7388"/>
    <w:rsid w:val="000E1436"/>
    <w:rsid w:val="000E31BB"/>
    <w:rsid w:val="000E6F62"/>
    <w:rsid w:val="000E7D10"/>
    <w:rsid w:val="000F6462"/>
    <w:rsid w:val="001103F8"/>
    <w:rsid w:val="00113DE6"/>
    <w:rsid w:val="00114169"/>
    <w:rsid w:val="00114E51"/>
    <w:rsid w:val="00147ECC"/>
    <w:rsid w:val="00150C9D"/>
    <w:rsid w:val="00151238"/>
    <w:rsid w:val="00163952"/>
    <w:rsid w:val="0016416F"/>
    <w:rsid w:val="001647B0"/>
    <w:rsid w:val="00166AC6"/>
    <w:rsid w:val="00171C2B"/>
    <w:rsid w:val="0017274F"/>
    <w:rsid w:val="0017577D"/>
    <w:rsid w:val="00180CAC"/>
    <w:rsid w:val="00180CDC"/>
    <w:rsid w:val="00183D7C"/>
    <w:rsid w:val="001915EC"/>
    <w:rsid w:val="00191BF7"/>
    <w:rsid w:val="00193A3A"/>
    <w:rsid w:val="00195973"/>
    <w:rsid w:val="001A1F0B"/>
    <w:rsid w:val="001A2551"/>
    <w:rsid w:val="001A2E55"/>
    <w:rsid w:val="001A6647"/>
    <w:rsid w:val="001B06D7"/>
    <w:rsid w:val="001B085F"/>
    <w:rsid w:val="001B2400"/>
    <w:rsid w:val="001B4ADF"/>
    <w:rsid w:val="001B4E5C"/>
    <w:rsid w:val="001B6D9C"/>
    <w:rsid w:val="001C0087"/>
    <w:rsid w:val="001C1725"/>
    <w:rsid w:val="001C3D06"/>
    <w:rsid w:val="001D23B3"/>
    <w:rsid w:val="001D4806"/>
    <w:rsid w:val="001E118D"/>
    <w:rsid w:val="001E1993"/>
    <w:rsid w:val="001E23A1"/>
    <w:rsid w:val="001E2F61"/>
    <w:rsid w:val="001E40AE"/>
    <w:rsid w:val="001E4250"/>
    <w:rsid w:val="001E767D"/>
    <w:rsid w:val="001F0FCF"/>
    <w:rsid w:val="001F1146"/>
    <w:rsid w:val="001F1697"/>
    <w:rsid w:val="001F2077"/>
    <w:rsid w:val="001F3F97"/>
    <w:rsid w:val="001F421C"/>
    <w:rsid w:val="001F59FB"/>
    <w:rsid w:val="00201913"/>
    <w:rsid w:val="00206760"/>
    <w:rsid w:val="002141EC"/>
    <w:rsid w:val="00215314"/>
    <w:rsid w:val="00221A9A"/>
    <w:rsid w:val="00222B1F"/>
    <w:rsid w:val="00233419"/>
    <w:rsid w:val="002363EF"/>
    <w:rsid w:val="00242E1D"/>
    <w:rsid w:val="00243811"/>
    <w:rsid w:val="00243819"/>
    <w:rsid w:val="00244291"/>
    <w:rsid w:val="00244EEC"/>
    <w:rsid w:val="00244FEC"/>
    <w:rsid w:val="002479D4"/>
    <w:rsid w:val="002508FE"/>
    <w:rsid w:val="00261571"/>
    <w:rsid w:val="002627FB"/>
    <w:rsid w:val="00266028"/>
    <w:rsid w:val="002716F9"/>
    <w:rsid w:val="002718DF"/>
    <w:rsid w:val="0028032C"/>
    <w:rsid w:val="00280CDD"/>
    <w:rsid w:val="002822C7"/>
    <w:rsid w:val="00284031"/>
    <w:rsid w:val="00285C73"/>
    <w:rsid w:val="00290463"/>
    <w:rsid w:val="00292BD0"/>
    <w:rsid w:val="00293BE2"/>
    <w:rsid w:val="00293CA8"/>
    <w:rsid w:val="002A13E6"/>
    <w:rsid w:val="002A33E9"/>
    <w:rsid w:val="002B1582"/>
    <w:rsid w:val="002B276E"/>
    <w:rsid w:val="002B4019"/>
    <w:rsid w:val="002B6A3C"/>
    <w:rsid w:val="002B7BCE"/>
    <w:rsid w:val="002C296E"/>
    <w:rsid w:val="002C2A70"/>
    <w:rsid w:val="002C5423"/>
    <w:rsid w:val="002C598F"/>
    <w:rsid w:val="002C5A3B"/>
    <w:rsid w:val="002C6372"/>
    <w:rsid w:val="002C6A19"/>
    <w:rsid w:val="002C7CBA"/>
    <w:rsid w:val="002D13DA"/>
    <w:rsid w:val="002D6039"/>
    <w:rsid w:val="002D7874"/>
    <w:rsid w:val="002E0793"/>
    <w:rsid w:val="002E35BF"/>
    <w:rsid w:val="002E49F7"/>
    <w:rsid w:val="002E58B1"/>
    <w:rsid w:val="002F2D3E"/>
    <w:rsid w:val="002F304F"/>
    <w:rsid w:val="002F3785"/>
    <w:rsid w:val="002F54F9"/>
    <w:rsid w:val="002F6B44"/>
    <w:rsid w:val="00306E97"/>
    <w:rsid w:val="003111C0"/>
    <w:rsid w:val="00315BC0"/>
    <w:rsid w:val="00316841"/>
    <w:rsid w:val="00320BCE"/>
    <w:rsid w:val="003237C4"/>
    <w:rsid w:val="00323E7B"/>
    <w:rsid w:val="00323F3D"/>
    <w:rsid w:val="00325D39"/>
    <w:rsid w:val="00325F4A"/>
    <w:rsid w:val="00326360"/>
    <w:rsid w:val="00327473"/>
    <w:rsid w:val="00332EE1"/>
    <w:rsid w:val="003440D7"/>
    <w:rsid w:val="00344F11"/>
    <w:rsid w:val="00350E00"/>
    <w:rsid w:val="003534BF"/>
    <w:rsid w:val="00354DCB"/>
    <w:rsid w:val="003561A4"/>
    <w:rsid w:val="00360DA5"/>
    <w:rsid w:val="00361ECA"/>
    <w:rsid w:val="00365A73"/>
    <w:rsid w:val="00365EA6"/>
    <w:rsid w:val="003741BA"/>
    <w:rsid w:val="0037750B"/>
    <w:rsid w:val="003777E0"/>
    <w:rsid w:val="0038120C"/>
    <w:rsid w:val="003827A3"/>
    <w:rsid w:val="003844DE"/>
    <w:rsid w:val="00386897"/>
    <w:rsid w:val="003A0037"/>
    <w:rsid w:val="003A72DF"/>
    <w:rsid w:val="003A7BBB"/>
    <w:rsid w:val="003B45DC"/>
    <w:rsid w:val="003B52F4"/>
    <w:rsid w:val="003B5A67"/>
    <w:rsid w:val="003B70EA"/>
    <w:rsid w:val="003C621B"/>
    <w:rsid w:val="003D277D"/>
    <w:rsid w:val="003E22BE"/>
    <w:rsid w:val="003E7C6F"/>
    <w:rsid w:val="003F588E"/>
    <w:rsid w:val="003F7774"/>
    <w:rsid w:val="0040098E"/>
    <w:rsid w:val="004023E0"/>
    <w:rsid w:val="004038C0"/>
    <w:rsid w:val="00403BE9"/>
    <w:rsid w:val="0040453B"/>
    <w:rsid w:val="004062AE"/>
    <w:rsid w:val="0040657D"/>
    <w:rsid w:val="004124C9"/>
    <w:rsid w:val="004126A3"/>
    <w:rsid w:val="00420C10"/>
    <w:rsid w:val="004253D9"/>
    <w:rsid w:val="004273F1"/>
    <w:rsid w:val="004401EA"/>
    <w:rsid w:val="004428AD"/>
    <w:rsid w:val="00443668"/>
    <w:rsid w:val="0044374B"/>
    <w:rsid w:val="00444C08"/>
    <w:rsid w:val="00447067"/>
    <w:rsid w:val="0045447D"/>
    <w:rsid w:val="004549F7"/>
    <w:rsid w:val="004553F6"/>
    <w:rsid w:val="004569CC"/>
    <w:rsid w:val="00464811"/>
    <w:rsid w:val="00471173"/>
    <w:rsid w:val="00472FCE"/>
    <w:rsid w:val="00474083"/>
    <w:rsid w:val="00474B79"/>
    <w:rsid w:val="00476E38"/>
    <w:rsid w:val="0047754D"/>
    <w:rsid w:val="004812C4"/>
    <w:rsid w:val="00481952"/>
    <w:rsid w:val="00484FEA"/>
    <w:rsid w:val="00486E52"/>
    <w:rsid w:val="00490099"/>
    <w:rsid w:val="004922C1"/>
    <w:rsid w:val="00494793"/>
    <w:rsid w:val="00495B9C"/>
    <w:rsid w:val="00496C6E"/>
    <w:rsid w:val="004A4DB5"/>
    <w:rsid w:val="004B0ECE"/>
    <w:rsid w:val="004B226D"/>
    <w:rsid w:val="004C25E0"/>
    <w:rsid w:val="004C7AE2"/>
    <w:rsid w:val="004D0FB5"/>
    <w:rsid w:val="004D4429"/>
    <w:rsid w:val="004D44AE"/>
    <w:rsid w:val="004D79B2"/>
    <w:rsid w:val="004E278E"/>
    <w:rsid w:val="004E384D"/>
    <w:rsid w:val="004E3A50"/>
    <w:rsid w:val="004E4FF9"/>
    <w:rsid w:val="004E5A9E"/>
    <w:rsid w:val="004E7B03"/>
    <w:rsid w:val="004F08A3"/>
    <w:rsid w:val="004F2E40"/>
    <w:rsid w:val="004F562A"/>
    <w:rsid w:val="00500DA7"/>
    <w:rsid w:val="005034DF"/>
    <w:rsid w:val="00503D0A"/>
    <w:rsid w:val="0050458C"/>
    <w:rsid w:val="0051011D"/>
    <w:rsid w:val="00510DF1"/>
    <w:rsid w:val="005132F4"/>
    <w:rsid w:val="0051332E"/>
    <w:rsid w:val="00526A82"/>
    <w:rsid w:val="00526CF3"/>
    <w:rsid w:val="005406E5"/>
    <w:rsid w:val="005503B4"/>
    <w:rsid w:val="005514CA"/>
    <w:rsid w:val="005517ED"/>
    <w:rsid w:val="00551916"/>
    <w:rsid w:val="0056166A"/>
    <w:rsid w:val="00567221"/>
    <w:rsid w:val="00570E1B"/>
    <w:rsid w:val="00576A1F"/>
    <w:rsid w:val="00576D93"/>
    <w:rsid w:val="00590A83"/>
    <w:rsid w:val="00592A57"/>
    <w:rsid w:val="00593A84"/>
    <w:rsid w:val="00597CF3"/>
    <w:rsid w:val="005A2255"/>
    <w:rsid w:val="005A4708"/>
    <w:rsid w:val="005B262D"/>
    <w:rsid w:val="005D07AD"/>
    <w:rsid w:val="005E177A"/>
    <w:rsid w:val="005E2721"/>
    <w:rsid w:val="005E36E0"/>
    <w:rsid w:val="005E769A"/>
    <w:rsid w:val="005F488F"/>
    <w:rsid w:val="005F4AA4"/>
    <w:rsid w:val="005F5986"/>
    <w:rsid w:val="00601A0E"/>
    <w:rsid w:val="00603294"/>
    <w:rsid w:val="006048E5"/>
    <w:rsid w:val="00606383"/>
    <w:rsid w:val="006115A2"/>
    <w:rsid w:val="00617F35"/>
    <w:rsid w:val="00624100"/>
    <w:rsid w:val="00624F51"/>
    <w:rsid w:val="00626F2A"/>
    <w:rsid w:val="00627776"/>
    <w:rsid w:val="006277A8"/>
    <w:rsid w:val="00640076"/>
    <w:rsid w:val="006403E2"/>
    <w:rsid w:val="006466A0"/>
    <w:rsid w:val="00647B06"/>
    <w:rsid w:val="00647C92"/>
    <w:rsid w:val="006504C5"/>
    <w:rsid w:val="006537A8"/>
    <w:rsid w:val="00655FEE"/>
    <w:rsid w:val="00656AEE"/>
    <w:rsid w:val="0066310F"/>
    <w:rsid w:val="00663F0D"/>
    <w:rsid w:val="006671C9"/>
    <w:rsid w:val="00673024"/>
    <w:rsid w:val="00675F97"/>
    <w:rsid w:val="006771B4"/>
    <w:rsid w:val="00686CA2"/>
    <w:rsid w:val="00690F05"/>
    <w:rsid w:val="006A30E8"/>
    <w:rsid w:val="006B0D0F"/>
    <w:rsid w:val="006B2FBC"/>
    <w:rsid w:val="006B42C2"/>
    <w:rsid w:val="006B4E91"/>
    <w:rsid w:val="006C6C48"/>
    <w:rsid w:val="006D2C10"/>
    <w:rsid w:val="006D7530"/>
    <w:rsid w:val="006E39E9"/>
    <w:rsid w:val="006E3DAF"/>
    <w:rsid w:val="006E405D"/>
    <w:rsid w:val="006E44E1"/>
    <w:rsid w:val="006E666E"/>
    <w:rsid w:val="006F1440"/>
    <w:rsid w:val="006F1B9F"/>
    <w:rsid w:val="006F51CB"/>
    <w:rsid w:val="00706072"/>
    <w:rsid w:val="00706C25"/>
    <w:rsid w:val="00711956"/>
    <w:rsid w:val="007130C7"/>
    <w:rsid w:val="00713E37"/>
    <w:rsid w:val="00717506"/>
    <w:rsid w:val="00723AB9"/>
    <w:rsid w:val="00727E03"/>
    <w:rsid w:val="0073230F"/>
    <w:rsid w:val="00734919"/>
    <w:rsid w:val="0074084F"/>
    <w:rsid w:val="00746FC0"/>
    <w:rsid w:val="0076040C"/>
    <w:rsid w:val="00761AE9"/>
    <w:rsid w:val="00762340"/>
    <w:rsid w:val="0076309D"/>
    <w:rsid w:val="00763623"/>
    <w:rsid w:val="00763E3C"/>
    <w:rsid w:val="00764241"/>
    <w:rsid w:val="00777225"/>
    <w:rsid w:val="00777831"/>
    <w:rsid w:val="00787D4F"/>
    <w:rsid w:val="007918F3"/>
    <w:rsid w:val="007A52D9"/>
    <w:rsid w:val="007B176C"/>
    <w:rsid w:val="007B5AB7"/>
    <w:rsid w:val="007C0142"/>
    <w:rsid w:val="007C01F9"/>
    <w:rsid w:val="007C1D48"/>
    <w:rsid w:val="007C2F78"/>
    <w:rsid w:val="007C39A2"/>
    <w:rsid w:val="007C49C0"/>
    <w:rsid w:val="007D313A"/>
    <w:rsid w:val="007D34F8"/>
    <w:rsid w:val="007D408B"/>
    <w:rsid w:val="007D446A"/>
    <w:rsid w:val="007D4987"/>
    <w:rsid w:val="007D6E96"/>
    <w:rsid w:val="007F37FE"/>
    <w:rsid w:val="00800CC8"/>
    <w:rsid w:val="00805DEF"/>
    <w:rsid w:val="00811DA5"/>
    <w:rsid w:val="008159F4"/>
    <w:rsid w:val="00815E71"/>
    <w:rsid w:val="00824B88"/>
    <w:rsid w:val="00825E21"/>
    <w:rsid w:val="00833D5F"/>
    <w:rsid w:val="00840542"/>
    <w:rsid w:val="00851C4F"/>
    <w:rsid w:val="00854B81"/>
    <w:rsid w:val="00854BCA"/>
    <w:rsid w:val="00862411"/>
    <w:rsid w:val="00862A16"/>
    <w:rsid w:val="008702F4"/>
    <w:rsid w:val="00871237"/>
    <w:rsid w:val="00871EE8"/>
    <w:rsid w:val="00873670"/>
    <w:rsid w:val="008748F2"/>
    <w:rsid w:val="008749BC"/>
    <w:rsid w:val="00874B78"/>
    <w:rsid w:val="00881557"/>
    <w:rsid w:val="00891B01"/>
    <w:rsid w:val="00892827"/>
    <w:rsid w:val="00895C52"/>
    <w:rsid w:val="008963C2"/>
    <w:rsid w:val="00896E7D"/>
    <w:rsid w:val="008A6CCB"/>
    <w:rsid w:val="008B4717"/>
    <w:rsid w:val="008C416F"/>
    <w:rsid w:val="008C447B"/>
    <w:rsid w:val="008C66F0"/>
    <w:rsid w:val="008D0898"/>
    <w:rsid w:val="008D0BA1"/>
    <w:rsid w:val="008D27E8"/>
    <w:rsid w:val="008D2876"/>
    <w:rsid w:val="008D334E"/>
    <w:rsid w:val="008D5AF7"/>
    <w:rsid w:val="008D6F7F"/>
    <w:rsid w:val="008E3376"/>
    <w:rsid w:val="008E6062"/>
    <w:rsid w:val="008E728A"/>
    <w:rsid w:val="008E7943"/>
    <w:rsid w:val="008F362F"/>
    <w:rsid w:val="00900074"/>
    <w:rsid w:val="0090007E"/>
    <w:rsid w:val="0090031E"/>
    <w:rsid w:val="00910AB1"/>
    <w:rsid w:val="009113AF"/>
    <w:rsid w:val="0092015E"/>
    <w:rsid w:val="009220BA"/>
    <w:rsid w:val="00922154"/>
    <w:rsid w:val="00923B70"/>
    <w:rsid w:val="00934AE8"/>
    <w:rsid w:val="00940924"/>
    <w:rsid w:val="0094136E"/>
    <w:rsid w:val="00942957"/>
    <w:rsid w:val="009451B2"/>
    <w:rsid w:val="009534EC"/>
    <w:rsid w:val="0096041E"/>
    <w:rsid w:val="00961194"/>
    <w:rsid w:val="00966DB6"/>
    <w:rsid w:val="00966FE9"/>
    <w:rsid w:val="00967AC1"/>
    <w:rsid w:val="00967BC8"/>
    <w:rsid w:val="00975087"/>
    <w:rsid w:val="00981B29"/>
    <w:rsid w:val="00982743"/>
    <w:rsid w:val="009831E9"/>
    <w:rsid w:val="00985407"/>
    <w:rsid w:val="00992F74"/>
    <w:rsid w:val="009A3AAA"/>
    <w:rsid w:val="009A509E"/>
    <w:rsid w:val="009B16EB"/>
    <w:rsid w:val="009B360F"/>
    <w:rsid w:val="009B6E20"/>
    <w:rsid w:val="009C0CB3"/>
    <w:rsid w:val="009C0E55"/>
    <w:rsid w:val="009C2523"/>
    <w:rsid w:val="009C3E55"/>
    <w:rsid w:val="009C5C95"/>
    <w:rsid w:val="009C5E68"/>
    <w:rsid w:val="009C6303"/>
    <w:rsid w:val="009C6534"/>
    <w:rsid w:val="009D0F08"/>
    <w:rsid w:val="009D3437"/>
    <w:rsid w:val="009D457D"/>
    <w:rsid w:val="009D5200"/>
    <w:rsid w:val="009E6E9C"/>
    <w:rsid w:val="009E70FD"/>
    <w:rsid w:val="009E713C"/>
    <w:rsid w:val="009F02F7"/>
    <w:rsid w:val="009F08D1"/>
    <w:rsid w:val="009F16E7"/>
    <w:rsid w:val="009F43CD"/>
    <w:rsid w:val="009F48A4"/>
    <w:rsid w:val="00A0036E"/>
    <w:rsid w:val="00A00E36"/>
    <w:rsid w:val="00A01DFF"/>
    <w:rsid w:val="00A10779"/>
    <w:rsid w:val="00A13BF6"/>
    <w:rsid w:val="00A16DBC"/>
    <w:rsid w:val="00A243B7"/>
    <w:rsid w:val="00A3073D"/>
    <w:rsid w:val="00A32EE9"/>
    <w:rsid w:val="00A33506"/>
    <w:rsid w:val="00A35A49"/>
    <w:rsid w:val="00A449E2"/>
    <w:rsid w:val="00A45D23"/>
    <w:rsid w:val="00A46BEE"/>
    <w:rsid w:val="00A47816"/>
    <w:rsid w:val="00A52B30"/>
    <w:rsid w:val="00A5663E"/>
    <w:rsid w:val="00A668C7"/>
    <w:rsid w:val="00A72C1E"/>
    <w:rsid w:val="00A7340A"/>
    <w:rsid w:val="00A74870"/>
    <w:rsid w:val="00A8421A"/>
    <w:rsid w:val="00A90A31"/>
    <w:rsid w:val="00A949ED"/>
    <w:rsid w:val="00A94CA6"/>
    <w:rsid w:val="00A953D5"/>
    <w:rsid w:val="00AA0B24"/>
    <w:rsid w:val="00AA22FB"/>
    <w:rsid w:val="00AB264D"/>
    <w:rsid w:val="00AC2D81"/>
    <w:rsid w:val="00AC2ECB"/>
    <w:rsid w:val="00AD489D"/>
    <w:rsid w:val="00AD491E"/>
    <w:rsid w:val="00AF68A8"/>
    <w:rsid w:val="00AF7646"/>
    <w:rsid w:val="00B00284"/>
    <w:rsid w:val="00B042FF"/>
    <w:rsid w:val="00B045BD"/>
    <w:rsid w:val="00B11B35"/>
    <w:rsid w:val="00B138B7"/>
    <w:rsid w:val="00B14A06"/>
    <w:rsid w:val="00B20705"/>
    <w:rsid w:val="00B22333"/>
    <w:rsid w:val="00B2281F"/>
    <w:rsid w:val="00B32B8B"/>
    <w:rsid w:val="00B33655"/>
    <w:rsid w:val="00B35D2D"/>
    <w:rsid w:val="00B37F3E"/>
    <w:rsid w:val="00B401B2"/>
    <w:rsid w:val="00B40E01"/>
    <w:rsid w:val="00B4100C"/>
    <w:rsid w:val="00B41C9D"/>
    <w:rsid w:val="00B4236C"/>
    <w:rsid w:val="00B424B8"/>
    <w:rsid w:val="00B45B68"/>
    <w:rsid w:val="00B54168"/>
    <w:rsid w:val="00B54E2B"/>
    <w:rsid w:val="00B56352"/>
    <w:rsid w:val="00B61EBF"/>
    <w:rsid w:val="00B64023"/>
    <w:rsid w:val="00B716BD"/>
    <w:rsid w:val="00B72A56"/>
    <w:rsid w:val="00B736EB"/>
    <w:rsid w:val="00B86F6A"/>
    <w:rsid w:val="00B916B2"/>
    <w:rsid w:val="00B921FD"/>
    <w:rsid w:val="00B95B2E"/>
    <w:rsid w:val="00B96BDC"/>
    <w:rsid w:val="00BA4347"/>
    <w:rsid w:val="00BA5748"/>
    <w:rsid w:val="00BA5ADE"/>
    <w:rsid w:val="00BA72B7"/>
    <w:rsid w:val="00BB22FC"/>
    <w:rsid w:val="00BB29A5"/>
    <w:rsid w:val="00BB6F63"/>
    <w:rsid w:val="00BC619D"/>
    <w:rsid w:val="00BC6FFC"/>
    <w:rsid w:val="00BD180D"/>
    <w:rsid w:val="00BD4036"/>
    <w:rsid w:val="00BD4843"/>
    <w:rsid w:val="00BD56D3"/>
    <w:rsid w:val="00BD6271"/>
    <w:rsid w:val="00BD6A62"/>
    <w:rsid w:val="00BD7A3C"/>
    <w:rsid w:val="00BE2541"/>
    <w:rsid w:val="00BE33CD"/>
    <w:rsid w:val="00BE3F2A"/>
    <w:rsid w:val="00BE57CB"/>
    <w:rsid w:val="00BE6C79"/>
    <w:rsid w:val="00BE7827"/>
    <w:rsid w:val="00BF46FA"/>
    <w:rsid w:val="00BF74A3"/>
    <w:rsid w:val="00BF7A43"/>
    <w:rsid w:val="00C03A5A"/>
    <w:rsid w:val="00C104C2"/>
    <w:rsid w:val="00C11EED"/>
    <w:rsid w:val="00C124B7"/>
    <w:rsid w:val="00C15018"/>
    <w:rsid w:val="00C17F8D"/>
    <w:rsid w:val="00C205F8"/>
    <w:rsid w:val="00C21B08"/>
    <w:rsid w:val="00C261A2"/>
    <w:rsid w:val="00C267C1"/>
    <w:rsid w:val="00C30E56"/>
    <w:rsid w:val="00C333E3"/>
    <w:rsid w:val="00C33E03"/>
    <w:rsid w:val="00C3450C"/>
    <w:rsid w:val="00C3524A"/>
    <w:rsid w:val="00C36BC2"/>
    <w:rsid w:val="00C3760D"/>
    <w:rsid w:val="00C378C3"/>
    <w:rsid w:val="00C37F71"/>
    <w:rsid w:val="00C41739"/>
    <w:rsid w:val="00C41890"/>
    <w:rsid w:val="00C507DB"/>
    <w:rsid w:val="00C57506"/>
    <w:rsid w:val="00C63F70"/>
    <w:rsid w:val="00C77915"/>
    <w:rsid w:val="00C80049"/>
    <w:rsid w:val="00C821C3"/>
    <w:rsid w:val="00C82D9E"/>
    <w:rsid w:val="00C8314D"/>
    <w:rsid w:val="00C85A97"/>
    <w:rsid w:val="00C875D9"/>
    <w:rsid w:val="00C939F6"/>
    <w:rsid w:val="00CA05C4"/>
    <w:rsid w:val="00CA23DF"/>
    <w:rsid w:val="00CA5315"/>
    <w:rsid w:val="00CA5F4C"/>
    <w:rsid w:val="00CB223E"/>
    <w:rsid w:val="00CB4E5E"/>
    <w:rsid w:val="00CB5928"/>
    <w:rsid w:val="00CB5A2B"/>
    <w:rsid w:val="00CB794B"/>
    <w:rsid w:val="00CC0269"/>
    <w:rsid w:val="00CC039B"/>
    <w:rsid w:val="00CC043E"/>
    <w:rsid w:val="00CC17E8"/>
    <w:rsid w:val="00CC5DBD"/>
    <w:rsid w:val="00CC787A"/>
    <w:rsid w:val="00CD0318"/>
    <w:rsid w:val="00CD134B"/>
    <w:rsid w:val="00CD2740"/>
    <w:rsid w:val="00CE2B45"/>
    <w:rsid w:val="00CE73B5"/>
    <w:rsid w:val="00CF7552"/>
    <w:rsid w:val="00CF7A68"/>
    <w:rsid w:val="00D013EE"/>
    <w:rsid w:val="00D1120A"/>
    <w:rsid w:val="00D12375"/>
    <w:rsid w:val="00D12F24"/>
    <w:rsid w:val="00D13143"/>
    <w:rsid w:val="00D22297"/>
    <w:rsid w:val="00D239C5"/>
    <w:rsid w:val="00D25A44"/>
    <w:rsid w:val="00D25F4C"/>
    <w:rsid w:val="00D26908"/>
    <w:rsid w:val="00D2759A"/>
    <w:rsid w:val="00D30DAD"/>
    <w:rsid w:val="00D3190C"/>
    <w:rsid w:val="00D32301"/>
    <w:rsid w:val="00D34F95"/>
    <w:rsid w:val="00D37176"/>
    <w:rsid w:val="00D435E3"/>
    <w:rsid w:val="00D43979"/>
    <w:rsid w:val="00D4612D"/>
    <w:rsid w:val="00D462EA"/>
    <w:rsid w:val="00D53AFF"/>
    <w:rsid w:val="00D56550"/>
    <w:rsid w:val="00D57F51"/>
    <w:rsid w:val="00D627E8"/>
    <w:rsid w:val="00D631AF"/>
    <w:rsid w:val="00D6602A"/>
    <w:rsid w:val="00D662F7"/>
    <w:rsid w:val="00D668EA"/>
    <w:rsid w:val="00D67A42"/>
    <w:rsid w:val="00D830E7"/>
    <w:rsid w:val="00D8623B"/>
    <w:rsid w:val="00D93E6F"/>
    <w:rsid w:val="00D947B5"/>
    <w:rsid w:val="00D94B58"/>
    <w:rsid w:val="00DA4276"/>
    <w:rsid w:val="00DA51B2"/>
    <w:rsid w:val="00DA5562"/>
    <w:rsid w:val="00DB0198"/>
    <w:rsid w:val="00DB2684"/>
    <w:rsid w:val="00DB358D"/>
    <w:rsid w:val="00DB781B"/>
    <w:rsid w:val="00DC3CD1"/>
    <w:rsid w:val="00DD0B61"/>
    <w:rsid w:val="00DD2E12"/>
    <w:rsid w:val="00DD6572"/>
    <w:rsid w:val="00DE05C9"/>
    <w:rsid w:val="00DE3493"/>
    <w:rsid w:val="00DE4A1A"/>
    <w:rsid w:val="00DF0737"/>
    <w:rsid w:val="00DF1184"/>
    <w:rsid w:val="00DF1F82"/>
    <w:rsid w:val="00DF29B5"/>
    <w:rsid w:val="00DF5C1C"/>
    <w:rsid w:val="00DF6F5A"/>
    <w:rsid w:val="00DF71EC"/>
    <w:rsid w:val="00DF7710"/>
    <w:rsid w:val="00E0608B"/>
    <w:rsid w:val="00E06D5D"/>
    <w:rsid w:val="00E14D26"/>
    <w:rsid w:val="00E17338"/>
    <w:rsid w:val="00E22551"/>
    <w:rsid w:val="00E2277A"/>
    <w:rsid w:val="00E235B7"/>
    <w:rsid w:val="00E243FE"/>
    <w:rsid w:val="00E24B92"/>
    <w:rsid w:val="00E25CDD"/>
    <w:rsid w:val="00E26AB1"/>
    <w:rsid w:val="00E36919"/>
    <w:rsid w:val="00E40A8A"/>
    <w:rsid w:val="00E41E13"/>
    <w:rsid w:val="00E50E13"/>
    <w:rsid w:val="00E70C04"/>
    <w:rsid w:val="00E72EE3"/>
    <w:rsid w:val="00E74022"/>
    <w:rsid w:val="00E75CAD"/>
    <w:rsid w:val="00E76F9F"/>
    <w:rsid w:val="00E773C8"/>
    <w:rsid w:val="00E84B1B"/>
    <w:rsid w:val="00E8538F"/>
    <w:rsid w:val="00E872C6"/>
    <w:rsid w:val="00E949AA"/>
    <w:rsid w:val="00E95900"/>
    <w:rsid w:val="00E9777F"/>
    <w:rsid w:val="00EA5BE3"/>
    <w:rsid w:val="00EA683B"/>
    <w:rsid w:val="00EB04E3"/>
    <w:rsid w:val="00EB19DD"/>
    <w:rsid w:val="00EB60E1"/>
    <w:rsid w:val="00EC1178"/>
    <w:rsid w:val="00EC1D73"/>
    <w:rsid w:val="00EC41C0"/>
    <w:rsid w:val="00ED0C33"/>
    <w:rsid w:val="00ED1E9C"/>
    <w:rsid w:val="00ED46F3"/>
    <w:rsid w:val="00ED6530"/>
    <w:rsid w:val="00ED6ACB"/>
    <w:rsid w:val="00EE3127"/>
    <w:rsid w:val="00EE39E7"/>
    <w:rsid w:val="00EE4515"/>
    <w:rsid w:val="00EF2024"/>
    <w:rsid w:val="00EF2871"/>
    <w:rsid w:val="00F0121D"/>
    <w:rsid w:val="00F04202"/>
    <w:rsid w:val="00F06033"/>
    <w:rsid w:val="00F06316"/>
    <w:rsid w:val="00F104B1"/>
    <w:rsid w:val="00F14A7D"/>
    <w:rsid w:val="00F160D0"/>
    <w:rsid w:val="00F21651"/>
    <w:rsid w:val="00F2242D"/>
    <w:rsid w:val="00F228D2"/>
    <w:rsid w:val="00F2735C"/>
    <w:rsid w:val="00F32E05"/>
    <w:rsid w:val="00F33A57"/>
    <w:rsid w:val="00F345DA"/>
    <w:rsid w:val="00F366E0"/>
    <w:rsid w:val="00F37087"/>
    <w:rsid w:val="00F50335"/>
    <w:rsid w:val="00F5167A"/>
    <w:rsid w:val="00F53A93"/>
    <w:rsid w:val="00F606A1"/>
    <w:rsid w:val="00F60DBB"/>
    <w:rsid w:val="00F70896"/>
    <w:rsid w:val="00F70E14"/>
    <w:rsid w:val="00F74D12"/>
    <w:rsid w:val="00F75454"/>
    <w:rsid w:val="00F75902"/>
    <w:rsid w:val="00F761DD"/>
    <w:rsid w:val="00F7622B"/>
    <w:rsid w:val="00F763CE"/>
    <w:rsid w:val="00F80624"/>
    <w:rsid w:val="00F9010F"/>
    <w:rsid w:val="00F93748"/>
    <w:rsid w:val="00F97F7A"/>
    <w:rsid w:val="00FA184B"/>
    <w:rsid w:val="00FA4C68"/>
    <w:rsid w:val="00FC0A58"/>
    <w:rsid w:val="00FC1359"/>
    <w:rsid w:val="00FC1F5C"/>
    <w:rsid w:val="00FC459C"/>
    <w:rsid w:val="00FC4D1B"/>
    <w:rsid w:val="00FC70C6"/>
    <w:rsid w:val="00FD3105"/>
    <w:rsid w:val="00FD3767"/>
    <w:rsid w:val="00FD378B"/>
    <w:rsid w:val="00FD539F"/>
    <w:rsid w:val="00FE294F"/>
    <w:rsid w:val="00FE2F61"/>
    <w:rsid w:val="00FE5240"/>
    <w:rsid w:val="00FF03A9"/>
    <w:rsid w:val="00FF51C7"/>
    <w:rsid w:val="033BF1C6"/>
    <w:rsid w:val="03C92117"/>
    <w:rsid w:val="0BEB54EE"/>
    <w:rsid w:val="0D1A9AE5"/>
    <w:rsid w:val="0EEC344B"/>
    <w:rsid w:val="11F8EEFA"/>
    <w:rsid w:val="15424D72"/>
    <w:rsid w:val="155245A5"/>
    <w:rsid w:val="16DE1DD3"/>
    <w:rsid w:val="17746C7C"/>
    <w:rsid w:val="181D6CDD"/>
    <w:rsid w:val="18AF61E6"/>
    <w:rsid w:val="19199A47"/>
    <w:rsid w:val="1A520964"/>
    <w:rsid w:val="1CE13678"/>
    <w:rsid w:val="1D33769E"/>
    <w:rsid w:val="1D964A0A"/>
    <w:rsid w:val="1DD3926C"/>
    <w:rsid w:val="1ECAF828"/>
    <w:rsid w:val="1F6F62CD"/>
    <w:rsid w:val="224DA1B2"/>
    <w:rsid w:val="233D7064"/>
    <w:rsid w:val="257FFE35"/>
    <w:rsid w:val="293F21ED"/>
    <w:rsid w:val="2940F111"/>
    <w:rsid w:val="2AEFDBEF"/>
    <w:rsid w:val="2DE7D637"/>
    <w:rsid w:val="2F605067"/>
    <w:rsid w:val="2F730FD7"/>
    <w:rsid w:val="2FFE580E"/>
    <w:rsid w:val="31B8C07C"/>
    <w:rsid w:val="372E1D8F"/>
    <w:rsid w:val="38F86263"/>
    <w:rsid w:val="3A5874E6"/>
    <w:rsid w:val="3A9432C4"/>
    <w:rsid w:val="3B22EA52"/>
    <w:rsid w:val="3B23AC62"/>
    <w:rsid w:val="3D3A47C5"/>
    <w:rsid w:val="3F43900A"/>
    <w:rsid w:val="3FF7FF68"/>
    <w:rsid w:val="412473B1"/>
    <w:rsid w:val="427FA536"/>
    <w:rsid w:val="466740EC"/>
    <w:rsid w:val="48F98EE3"/>
    <w:rsid w:val="49D7BE85"/>
    <w:rsid w:val="4CD68270"/>
    <w:rsid w:val="4D92B1EC"/>
    <w:rsid w:val="52F1935E"/>
    <w:rsid w:val="54266913"/>
    <w:rsid w:val="558869B7"/>
    <w:rsid w:val="56BABBC1"/>
    <w:rsid w:val="5A8FA00E"/>
    <w:rsid w:val="5C5BFAC1"/>
    <w:rsid w:val="5DF7CB22"/>
    <w:rsid w:val="61E3CF85"/>
    <w:rsid w:val="64368254"/>
    <w:rsid w:val="66B740A8"/>
    <w:rsid w:val="66CDC459"/>
    <w:rsid w:val="6858F170"/>
    <w:rsid w:val="6871DE3C"/>
    <w:rsid w:val="68DE1BC9"/>
    <w:rsid w:val="73004417"/>
    <w:rsid w:val="766C8B94"/>
    <w:rsid w:val="77A4568D"/>
    <w:rsid w:val="78A6EBDF"/>
    <w:rsid w:val="790A49C7"/>
    <w:rsid w:val="7C7B702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35F337E"/>
  <w15:chartTrackingRefBased/>
  <w15:docId w15:val="{83DBE019-51D5-4615-B4C3-7883D54924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33E03"/>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6771B4"/>
    <w:pPr>
      <w:keepNext/>
      <w:keepLines/>
      <w:spacing w:before="240"/>
      <w:outlineLvl w:val="0"/>
    </w:pPr>
    <w:rPr>
      <w:rFonts w:eastAsiaTheme="majorEastAsia" w:cstheme="majorBidi"/>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771B4"/>
    <w:pPr>
      <w:contextualSpacing/>
    </w:pPr>
    <w:rPr>
      <w:rFonts w:eastAsiaTheme="majorEastAsia" w:cstheme="majorBidi"/>
      <w:spacing w:val="-10"/>
      <w:kern w:val="28"/>
      <w:sz w:val="40"/>
      <w:szCs w:val="56"/>
    </w:rPr>
  </w:style>
  <w:style w:type="character" w:customStyle="1" w:styleId="TitleChar">
    <w:name w:val="Title Char"/>
    <w:basedOn w:val="DefaultParagraphFont"/>
    <w:link w:val="Title"/>
    <w:uiPriority w:val="10"/>
    <w:rsid w:val="006771B4"/>
    <w:rPr>
      <w:rFonts w:ascii="Times New Roman" w:hAnsi="Times New Roman" w:eastAsiaTheme="majorEastAsia" w:cstheme="majorBidi"/>
      <w:spacing w:val="-10"/>
      <w:kern w:val="28"/>
      <w:sz w:val="40"/>
      <w:szCs w:val="56"/>
    </w:rPr>
  </w:style>
  <w:style w:type="character" w:customStyle="1" w:styleId="Heading1Char">
    <w:name w:val="Heading 1 Char"/>
    <w:basedOn w:val="DefaultParagraphFont"/>
    <w:link w:val="Heading1"/>
    <w:uiPriority w:val="9"/>
    <w:rsid w:val="006771B4"/>
    <w:rPr>
      <w:rFonts w:ascii="Times New Roman" w:hAnsi="Times New Roman" w:eastAsiaTheme="majorEastAsia" w:cstheme="majorBidi"/>
      <w:sz w:val="24"/>
      <w:szCs w:val="32"/>
    </w:rPr>
  </w:style>
  <w:style w:type="paragraph" w:styleId="TOCHeading">
    <w:name w:val="TOC Heading"/>
    <w:basedOn w:val="Heading1"/>
    <w:next w:val="Normal"/>
    <w:uiPriority w:val="39"/>
    <w:unhideWhenUsed/>
    <w:qFormat/>
    <w:rsid w:val="00763E3C"/>
    <w:pPr>
      <w:spacing w:line="259" w:lineRule="auto"/>
      <w:outlineLvl w:val="9"/>
    </w:pPr>
    <w:rPr>
      <w:rFonts w:asciiTheme="majorHAnsi" w:hAnsiTheme="majorHAnsi"/>
      <w:color w:val="2F5496" w:themeColor="accent1" w:themeShade="BF"/>
      <w:sz w:val="32"/>
    </w:rPr>
  </w:style>
  <w:style w:type="paragraph" w:styleId="TOC1">
    <w:name w:val="toc 1"/>
    <w:basedOn w:val="Normal"/>
    <w:next w:val="Normal"/>
    <w:autoRedefine/>
    <w:uiPriority w:val="39"/>
    <w:unhideWhenUsed/>
    <w:rsid w:val="00763E3C"/>
    <w:pPr>
      <w:spacing w:after="100"/>
    </w:pPr>
  </w:style>
  <w:style w:type="character" w:styleId="Hyperlink">
    <w:name w:val="Hyperlink"/>
    <w:basedOn w:val="DefaultParagraphFont"/>
    <w:uiPriority w:val="99"/>
    <w:unhideWhenUsed/>
    <w:rsid w:val="00763E3C"/>
    <w:rPr>
      <w:color w:val="0563C1" w:themeColor="hyperlink"/>
      <w:u w:val="single"/>
    </w:rPr>
  </w:style>
  <w:style w:type="character" w:styleId="CommentReference">
    <w:name w:val="annotation reference"/>
    <w:basedOn w:val="DefaultParagraphFont"/>
    <w:uiPriority w:val="99"/>
    <w:semiHidden/>
    <w:unhideWhenUsed/>
    <w:rsid w:val="008D27E8"/>
    <w:rPr>
      <w:sz w:val="16"/>
      <w:szCs w:val="16"/>
    </w:rPr>
  </w:style>
  <w:style w:type="paragraph" w:styleId="CommentText">
    <w:name w:val="annotation text"/>
    <w:basedOn w:val="Normal"/>
    <w:link w:val="CommentTextChar"/>
    <w:uiPriority w:val="99"/>
    <w:semiHidden/>
    <w:unhideWhenUsed/>
    <w:rsid w:val="008D27E8"/>
    <w:rPr>
      <w:sz w:val="20"/>
      <w:szCs w:val="20"/>
    </w:rPr>
  </w:style>
  <w:style w:type="character" w:customStyle="1" w:styleId="CommentTextChar">
    <w:name w:val="Comment Text Char"/>
    <w:basedOn w:val="DefaultParagraphFont"/>
    <w:link w:val="CommentText"/>
    <w:uiPriority w:val="99"/>
    <w:semiHidden/>
    <w:rsid w:val="008D27E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D27E8"/>
    <w:rPr>
      <w:b/>
      <w:bCs/>
    </w:rPr>
  </w:style>
  <w:style w:type="character" w:customStyle="1" w:styleId="CommentSubjectChar">
    <w:name w:val="Comment Subject Char"/>
    <w:basedOn w:val="CommentTextChar"/>
    <w:link w:val="CommentSubject"/>
    <w:uiPriority w:val="99"/>
    <w:semiHidden/>
    <w:rsid w:val="008D27E8"/>
    <w:rPr>
      <w:rFonts w:ascii="Times New Roman" w:eastAsia="Times New Roman" w:hAnsi="Times New Roman" w:cs="Times New Roman"/>
      <w:b/>
      <w:bCs/>
      <w:sz w:val="20"/>
      <w:szCs w:val="20"/>
    </w:rPr>
  </w:style>
  <w:style w:type="paragraph" w:styleId="ListParagraph">
    <w:name w:val="List Paragraph"/>
    <w:basedOn w:val="Normal"/>
    <w:uiPriority w:val="34"/>
    <w:qFormat/>
    <w:rsid w:val="00942957"/>
    <w:pPr>
      <w:ind w:left="720"/>
      <w:contextualSpacing/>
    </w:pPr>
  </w:style>
  <w:style w:type="paragraph" w:styleId="Header">
    <w:name w:val="header"/>
    <w:basedOn w:val="Normal"/>
    <w:link w:val="HeaderChar"/>
    <w:uiPriority w:val="99"/>
    <w:unhideWhenUsed/>
    <w:rsid w:val="00711956"/>
    <w:pPr>
      <w:tabs>
        <w:tab w:val="center" w:pos="4680"/>
        <w:tab w:val="right" w:pos="9360"/>
      </w:tabs>
    </w:pPr>
  </w:style>
  <w:style w:type="character" w:customStyle="1" w:styleId="HeaderChar">
    <w:name w:val="Header Char"/>
    <w:basedOn w:val="DefaultParagraphFont"/>
    <w:link w:val="Header"/>
    <w:uiPriority w:val="99"/>
    <w:rsid w:val="0071195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11956"/>
    <w:pPr>
      <w:tabs>
        <w:tab w:val="center" w:pos="4680"/>
        <w:tab w:val="right" w:pos="9360"/>
      </w:tabs>
    </w:pPr>
  </w:style>
  <w:style w:type="character" w:customStyle="1" w:styleId="FooterChar">
    <w:name w:val="Footer Char"/>
    <w:basedOn w:val="DefaultParagraphFont"/>
    <w:link w:val="Footer"/>
    <w:uiPriority w:val="99"/>
    <w:rsid w:val="00711956"/>
    <w:rPr>
      <w:rFonts w:ascii="Times New Roman" w:eastAsia="Times New Roman" w:hAnsi="Times New Roman" w:cs="Times New Roman"/>
      <w:sz w:val="24"/>
      <w:szCs w:val="24"/>
    </w:rPr>
  </w:style>
  <w:style w:type="table" w:styleId="TableGrid">
    <w:name w:val="Table Grid"/>
    <w:basedOn w:val="TableNormal"/>
    <w:uiPriority w:val="39"/>
    <w:rsid w:val="00C33E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51011D"/>
    <w:pPr>
      <w:spacing w:before="100" w:beforeAutospacing="1" w:after="100" w:afterAutospacing="1"/>
    </w:pPr>
  </w:style>
  <w:style w:type="character" w:customStyle="1" w:styleId="normaltextrun">
    <w:name w:val="normaltextrun"/>
    <w:basedOn w:val="DefaultParagraphFont"/>
    <w:rsid w:val="0051011D"/>
  </w:style>
  <w:style w:type="character" w:customStyle="1" w:styleId="eop">
    <w:name w:val="eop"/>
    <w:basedOn w:val="DefaultParagraphFont"/>
    <w:rsid w:val="0051011D"/>
  </w:style>
  <w:style w:type="character" w:styleId="UnresolvedMention">
    <w:name w:val="Unresolved Mention"/>
    <w:basedOn w:val="DefaultParagraphFont"/>
    <w:uiPriority w:val="99"/>
    <w:semiHidden/>
    <w:unhideWhenUsed/>
    <w:rsid w:val="00C267C1"/>
    <w:rPr>
      <w:color w:val="605E5C"/>
      <w:shd w:val="clear" w:color="auto" w:fill="E1DFDD"/>
    </w:rPr>
  </w:style>
  <w:style w:type="paragraph" w:styleId="Revision">
    <w:name w:val="Revision"/>
    <w:hidden/>
    <w:uiPriority w:val="99"/>
    <w:semiHidden/>
    <w:rsid w:val="00BD6A62"/>
    <w:pPr>
      <w:spacing w:after="0" w:line="240" w:lineRule="auto"/>
    </w:pPr>
    <w:rPr>
      <w:rFonts w:ascii="Times New Roman" w:eastAsia="Times New Roman" w:hAnsi="Times New Roman" w:cs="Times New Roman"/>
      <w:sz w:val="24"/>
      <w:szCs w:val="24"/>
    </w:rPr>
  </w:style>
  <w:style w:type="table" w:customStyle="1" w:styleId="TableGrid1">
    <w:name w:val="Table Grid1"/>
    <w:basedOn w:val="TableNormal"/>
    <w:next w:val="TableGrid"/>
    <w:uiPriority w:val="59"/>
    <w:rsid w:val="009A3AAA"/>
    <w:pPr>
      <w:spacing w:after="0" w:line="240" w:lineRule="auto"/>
    </w:pPr>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header" Target="header2.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header" Target="header3.xml" /><Relationship Id="rId15" Type="http://schemas.openxmlformats.org/officeDocument/2006/relationships/footer" Target="footer3.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mailto:eje1@cdc.gov" TargetMode="External" /><Relationship Id="rId6" Type="http://schemas.openxmlformats.org/officeDocument/2006/relationships/hyperlink" Target="https://www.bls.gov/cps/cpsaat39.htm" TargetMode="External" /><Relationship Id="rId7" Type="http://schemas.openxmlformats.org/officeDocument/2006/relationships/hyperlink" Target="https://www.audiology.org/wp-content/uploads/2021/05/niohlprevention.pdf_53996fb4c1ca13.61907521.pdf" TargetMode="External" /><Relationship Id="rId8" Type="http://schemas.openxmlformats.org/officeDocument/2006/relationships/hyperlink" Target="https://www.cdc.gov/niosh/programs/oilgas/burden.html.%20Accessed%20January%202020" TargetMode="External" /><Relationship Id="rId9" Type="http://schemas.openxmlformats.org/officeDocument/2006/relationships/hyperlink" Target="https://www.cdc.gov/niosh/topics/ohl/default.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257EAB-4F97-4908-A20A-89157DA46C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17</Pages>
  <Words>6817</Words>
  <Characters>38862</Characters>
  <Application>Microsoft Office Word</Application>
  <DocSecurity>0</DocSecurity>
  <Lines>323</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Broadwater, Kendra (CDC/NIOSH/DSHEFS/HETAB)</dc:creator>
  <cp:lastModifiedBy>Clunis, Odion (CDC/DDPHSS/OS/OSI)</cp:lastModifiedBy>
  <cp:revision>3</cp:revision>
  <dcterms:created xsi:type="dcterms:W3CDTF">2023-04-12T17:29:00Z</dcterms:created>
  <dcterms:modified xsi:type="dcterms:W3CDTF">2023-08-30T16:58:00Z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ActionId">
    <vt:lpwstr>f175a6af-ed57-4911-a8fa-e3d6bb5646a4</vt:lpwstr>
  </property>
  <property fmtid="{D5CDD505-2E9C-101B-9397-08002B2CF9AE}" pid="3" name="MSIP_Label_7b94a7b8-f06c-4dfe-bdcc-9b548fd58c31_ContentBits">
    <vt:lpwstr>0</vt:lpwstr>
  </property>
  <property fmtid="{D5CDD505-2E9C-101B-9397-08002B2CF9AE}" pid="4" name="MSIP_Label_7b94a7b8-f06c-4dfe-bdcc-9b548fd58c31_Enabled">
    <vt:lpwstr>true</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etDate">
    <vt:lpwstr>2022-01-10T22:40:58Z</vt:lpwstr>
  </property>
  <property fmtid="{D5CDD505-2E9C-101B-9397-08002B2CF9AE}" pid="8" name="MSIP_Label_7b94a7b8-f06c-4dfe-bdcc-9b548fd58c31_SiteId">
    <vt:lpwstr>9ce70869-60db-44fd-abe8-d2767077fc8f</vt:lpwstr>
  </property>
</Properties>
</file>