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1D12" w:rsidP="00AA6780" w14:paraId="04117ECD" w14:textId="77777777">
      <w:pPr>
        <w:spacing w:after="0"/>
        <w:jc w:val="center"/>
        <w:rPr>
          <w:rFonts w:ascii="Times New Roman" w:hAnsi="Times New Roman"/>
          <w:b/>
          <w:sz w:val="24"/>
          <w:szCs w:val="24"/>
        </w:rPr>
      </w:pPr>
    </w:p>
    <w:p w:rsidR="00AA6780" w:rsidRPr="00D80630" w:rsidP="00AA6780" w14:paraId="63B817E0" w14:textId="4581150D">
      <w:pPr>
        <w:spacing w:after="0"/>
        <w:jc w:val="center"/>
        <w:rPr>
          <w:rFonts w:ascii="Times New Roman" w:hAnsi="Times New Roman"/>
          <w:b/>
          <w:sz w:val="24"/>
          <w:szCs w:val="24"/>
        </w:rPr>
      </w:pPr>
      <w:r w:rsidRPr="00D80630">
        <w:rPr>
          <w:rFonts w:ascii="Times New Roman" w:hAnsi="Times New Roman"/>
          <w:b/>
          <w:sz w:val="24"/>
          <w:szCs w:val="24"/>
        </w:rPr>
        <w:t>Supporting Statement for Form SSA-1694</w:t>
      </w:r>
    </w:p>
    <w:p w:rsidR="00AA6780" w:rsidRPr="00D80630" w:rsidP="00AA6780" w14:paraId="2878CADD" w14:textId="77777777">
      <w:pPr>
        <w:spacing w:after="0"/>
        <w:jc w:val="center"/>
        <w:rPr>
          <w:rFonts w:ascii="Times New Roman" w:hAnsi="Times New Roman"/>
          <w:b/>
          <w:sz w:val="24"/>
          <w:szCs w:val="24"/>
        </w:rPr>
      </w:pPr>
      <w:r w:rsidRPr="00D80630">
        <w:rPr>
          <w:rFonts w:ascii="Times New Roman" w:hAnsi="Times New Roman"/>
          <w:b/>
          <w:sz w:val="24"/>
          <w:szCs w:val="24"/>
        </w:rPr>
        <w:t>Request for Business Entity Taxpayer Information</w:t>
      </w:r>
    </w:p>
    <w:p w:rsidR="00F60E16" w:rsidRPr="00297D1A" w:rsidP="00AA6780" w14:paraId="509A3457" w14:textId="65D14F3D">
      <w:pPr>
        <w:spacing w:after="0"/>
        <w:jc w:val="center"/>
        <w:rPr>
          <w:rFonts w:ascii="Times New Roman" w:hAnsi="Times New Roman"/>
          <w:b/>
          <w:bCs/>
          <w:sz w:val="24"/>
          <w:szCs w:val="24"/>
        </w:rPr>
      </w:pPr>
      <w:r w:rsidRPr="00297D1A">
        <w:rPr>
          <w:rFonts w:ascii="Times New Roman" w:hAnsi="Times New Roman"/>
          <w:b/>
          <w:bCs/>
          <w:color w:val="000000" w:themeColor="text1"/>
          <w:sz w:val="24"/>
          <w:szCs w:val="24"/>
        </w:rPr>
        <w:t>20 CFR</w:t>
      </w:r>
      <w:r w:rsidR="00A107C7">
        <w:rPr>
          <w:rFonts w:ascii="Times New Roman" w:hAnsi="Times New Roman"/>
          <w:b/>
          <w:bCs/>
          <w:color w:val="000000" w:themeColor="text1"/>
          <w:sz w:val="24"/>
          <w:szCs w:val="24"/>
        </w:rPr>
        <w:t xml:space="preserve"> 404.1</w:t>
      </w:r>
      <w:r w:rsidR="002F6384">
        <w:rPr>
          <w:rFonts w:ascii="Times New Roman" w:hAnsi="Times New Roman"/>
          <w:b/>
          <w:bCs/>
          <w:color w:val="000000" w:themeColor="text1"/>
          <w:sz w:val="24"/>
          <w:szCs w:val="24"/>
        </w:rPr>
        <w:t>707, 20 CFR 404.1735, 20 CFR 416.1507 and 20 CFR 416.1535</w:t>
      </w:r>
    </w:p>
    <w:p w:rsidR="00F60E16" w:rsidP="00F60E16" w14:paraId="7902EAF2" w14:textId="77777777">
      <w:pPr>
        <w:spacing w:after="0"/>
        <w:jc w:val="center"/>
        <w:rPr>
          <w:rFonts w:ascii="Times New Roman" w:hAnsi="Times New Roman"/>
          <w:b/>
          <w:sz w:val="24"/>
          <w:szCs w:val="24"/>
        </w:rPr>
      </w:pPr>
      <w:r w:rsidRPr="00D80630">
        <w:rPr>
          <w:rFonts w:ascii="Times New Roman" w:hAnsi="Times New Roman"/>
          <w:b/>
          <w:sz w:val="24"/>
          <w:szCs w:val="24"/>
        </w:rPr>
        <w:t>OMB No. 0960-0731</w:t>
      </w:r>
    </w:p>
    <w:p w:rsidR="00F60E16" w:rsidRPr="00F60E16" w:rsidP="00AA6780" w14:paraId="5C4C5FC5" w14:textId="77777777">
      <w:pPr>
        <w:spacing w:after="0"/>
        <w:jc w:val="center"/>
        <w:rPr>
          <w:rFonts w:ascii="Times New Roman" w:hAnsi="Times New Roman"/>
          <w:b/>
          <w:bCs/>
          <w:sz w:val="24"/>
          <w:szCs w:val="24"/>
        </w:rPr>
      </w:pPr>
    </w:p>
    <w:p w:rsidR="00F367D2" w:rsidRPr="00D80630" w:rsidP="00F367D2" w14:paraId="305241D7" w14:textId="77777777">
      <w:pPr>
        <w:pStyle w:val="ListParagraph"/>
        <w:numPr>
          <w:ilvl w:val="0"/>
          <w:numId w:val="1"/>
        </w:numPr>
        <w:tabs>
          <w:tab w:val="left" w:pos="1440"/>
        </w:tabs>
        <w:rPr>
          <w:b/>
          <w:u w:val="single"/>
        </w:rPr>
      </w:pPr>
      <w:r w:rsidRPr="00D80630">
        <w:rPr>
          <w:b/>
          <w:u w:val="single"/>
        </w:rPr>
        <w:t>Justification</w:t>
      </w:r>
    </w:p>
    <w:p w:rsidR="00AA6780" w:rsidRPr="00D80630" w:rsidP="0071723F" w14:paraId="68026BA0" w14:textId="13A15BFA">
      <w:pPr>
        <w:pStyle w:val="ListParagraph"/>
        <w:numPr>
          <w:ilvl w:val="0"/>
          <w:numId w:val="4"/>
        </w:numPr>
        <w:tabs>
          <w:tab w:val="left" w:pos="1440"/>
        </w:tabs>
        <w:ind w:firstLine="0"/>
        <w:rPr>
          <w:b/>
          <w:u w:val="single"/>
        </w:rPr>
      </w:pPr>
      <w:r w:rsidRPr="00D80630">
        <w:rPr>
          <w:b/>
        </w:rPr>
        <w:t>Introduction/Authorizing Laws and Regulations</w:t>
      </w:r>
    </w:p>
    <w:p w:rsidR="00BD43F0" w:rsidRPr="000B6929" w:rsidP="00AF491C" w14:paraId="081BB0FB" w14:textId="299942AE">
      <w:pPr>
        <w:pStyle w:val="ListParagraph"/>
        <w:ind w:left="1440"/>
      </w:pPr>
      <w:r w:rsidRPr="00D80630">
        <w:t>S</w:t>
      </w:r>
      <w:r w:rsidRPr="00D80630" w:rsidR="00AA6780">
        <w:t xml:space="preserve">ections </w:t>
      </w:r>
      <w:r w:rsidRPr="00D80630" w:rsidR="00AA6780">
        <w:rPr>
          <w:i/>
        </w:rPr>
        <w:t>206(a)</w:t>
      </w:r>
      <w:r w:rsidRPr="00D80630" w:rsidR="00AA6780">
        <w:t xml:space="preserve"> and </w:t>
      </w:r>
      <w:r w:rsidRPr="00D80630" w:rsidR="00AA6780">
        <w:rPr>
          <w:i/>
        </w:rPr>
        <w:t>1631(d)</w:t>
      </w:r>
      <w:r w:rsidRPr="00D80630" w:rsidR="00AA6780">
        <w:t xml:space="preserve"> of the </w:t>
      </w:r>
      <w:r w:rsidRPr="00D80630" w:rsidR="00AA6780">
        <w:rPr>
          <w:iCs/>
        </w:rPr>
        <w:t>Social Security</w:t>
      </w:r>
      <w:r>
        <w:rPr>
          <w:iCs/>
        </w:rPr>
        <w:t xml:space="preserve"> Act,</w:t>
      </w:r>
      <w:r w:rsidRPr="00D80630" w:rsidR="00AA6780">
        <w:t xml:space="preserve"> the Social Security Administration (SSA) collect information to facilitate direct payment of</w:t>
      </w:r>
      <w:r w:rsidRPr="00D80630" w:rsidR="00145682">
        <w:t xml:space="preserve"> authorized fees to an attorney, </w:t>
      </w:r>
      <w:r w:rsidRPr="00D80630" w:rsidR="00AA6780">
        <w:t xml:space="preserve">or other </w:t>
      </w:r>
      <w:r w:rsidRPr="00D80630" w:rsidR="000C713C">
        <w:t>non-attorney</w:t>
      </w:r>
      <w:r w:rsidRPr="00D80630" w:rsidR="00145682">
        <w:t>,</w:t>
      </w:r>
      <w:r w:rsidRPr="00D80630" w:rsidR="00AA6780">
        <w:t xml:space="preserve"> who represent</w:t>
      </w:r>
      <w:r w:rsidRPr="00D80630" w:rsidR="00145682">
        <w:t>s</w:t>
      </w:r>
      <w:r w:rsidRPr="00D80630" w:rsidR="00AA6780">
        <w:t xml:space="preserve"> claim</w:t>
      </w:r>
      <w:r w:rsidRPr="00D80630" w:rsidR="00B21C54">
        <w:t xml:space="preserve">ants for benefits before SSA.  </w:t>
      </w:r>
      <w:r w:rsidRPr="00D80630" w:rsidR="00AA6780">
        <w:t xml:space="preserve">SSA uses the Form SSA-1694, </w:t>
      </w:r>
      <w:r w:rsidRPr="00D80630" w:rsidR="00106B00">
        <w:rPr>
          <w:i/>
        </w:rPr>
        <w:t>Entity Registration and Taxpayer Information</w:t>
      </w:r>
      <w:r w:rsidRPr="00D80630" w:rsidR="00AA6780">
        <w:t>, to meet requirement</w:t>
      </w:r>
      <w:r w:rsidRPr="00D80630" w:rsidR="00447E88">
        <w:t>s</w:t>
      </w:r>
      <w:r w:rsidRPr="00D80630" w:rsidR="00AA6780">
        <w:t xml:space="preserve"> to issue Form 1099-MISC</w:t>
      </w:r>
      <w:r w:rsidRPr="00D80630" w:rsidR="00C207E1">
        <w:t xml:space="preserve"> </w:t>
      </w:r>
      <w:r w:rsidRPr="00D80630" w:rsidR="00B5260F">
        <w:t xml:space="preserve">(Miscellaneous) </w:t>
      </w:r>
      <w:r w:rsidRPr="00D80630" w:rsidR="00C207E1">
        <w:t>or</w:t>
      </w:r>
      <w:r w:rsidRPr="00D80630" w:rsidR="00F367D2">
        <w:t xml:space="preserve"> </w:t>
      </w:r>
      <w:r w:rsidRPr="00D80630" w:rsidR="00C207E1">
        <w:t>Form 1099-NEC</w:t>
      </w:r>
      <w:r w:rsidRPr="00D80630" w:rsidR="00B5260F">
        <w:t xml:space="preserve"> (Nonemployee Compensation)</w:t>
      </w:r>
      <w:r w:rsidRPr="00D80630" w:rsidR="00AA6780">
        <w:t xml:space="preserve">, as per the Internal Revenue Code, </w:t>
      </w:r>
      <w:r w:rsidRPr="00D80630" w:rsidR="00AA6780">
        <w:rPr>
          <w:i/>
        </w:rPr>
        <w:t xml:space="preserve">26 USC 6041 </w:t>
      </w:r>
      <w:r w:rsidRPr="00D80630" w:rsidR="00AA6780">
        <w:t>and</w:t>
      </w:r>
      <w:r w:rsidRPr="00D80630" w:rsidR="00AA6780">
        <w:rPr>
          <w:i/>
        </w:rPr>
        <w:t xml:space="preserve"> 26 USC 6045(f)</w:t>
      </w:r>
      <w:r w:rsidRPr="00D80630" w:rsidR="00AA6780">
        <w:t xml:space="preserve"> of the</w:t>
      </w:r>
      <w:r w:rsidRPr="00D80630" w:rsidR="00AA6780">
        <w:rPr>
          <w:i/>
        </w:rPr>
        <w:t xml:space="preserve"> United States Code</w:t>
      </w:r>
      <w:r w:rsidRPr="00D80630" w:rsidR="00AA6780">
        <w:t>.</w:t>
      </w:r>
      <w:r w:rsidR="00AF491C">
        <w:t xml:space="preserve">  </w:t>
      </w:r>
      <w:r>
        <w:t>S</w:t>
      </w:r>
      <w:r w:rsidRPr="71664D26">
        <w:t xml:space="preserve">ections </w:t>
      </w:r>
      <w:r w:rsidRPr="00AF491C">
        <w:rPr>
          <w:i/>
          <w:iCs/>
          <w:color w:val="000000" w:themeColor="text1"/>
        </w:rPr>
        <w:t xml:space="preserve">20 </w:t>
      </w:r>
      <w:r w:rsidRPr="00AF491C">
        <w:rPr>
          <w:color w:val="000000" w:themeColor="text1"/>
        </w:rPr>
        <w:t xml:space="preserve">CFR </w:t>
      </w:r>
      <w:r w:rsidRPr="00AF491C">
        <w:rPr>
          <w:i/>
          <w:iCs/>
          <w:color w:val="000000" w:themeColor="text1"/>
        </w:rPr>
        <w:t xml:space="preserve">404.1735 </w:t>
      </w:r>
      <w:r w:rsidRPr="00AF491C">
        <w:rPr>
          <w:color w:val="000000" w:themeColor="text1"/>
        </w:rPr>
        <w:t>and</w:t>
      </w:r>
      <w:r w:rsidRPr="00AF491C">
        <w:rPr>
          <w:i/>
          <w:iCs/>
          <w:color w:val="000000" w:themeColor="text1"/>
        </w:rPr>
        <w:t xml:space="preserve"> 416.1535 </w:t>
      </w:r>
      <w:r w:rsidRPr="00AF491C" w:rsidR="00AF491C">
        <w:rPr>
          <w:color w:val="000000" w:themeColor="text1"/>
        </w:rPr>
        <w:t>of the</w:t>
      </w:r>
      <w:r w:rsidR="00AF491C">
        <w:rPr>
          <w:i/>
          <w:iCs/>
          <w:color w:val="000000" w:themeColor="text1"/>
        </w:rPr>
        <w:t xml:space="preserve"> Code of Federal Regulations (Code) </w:t>
      </w:r>
      <w:r w:rsidRPr="00AF491C">
        <w:rPr>
          <w:color w:val="000000" w:themeColor="text1"/>
        </w:rPr>
        <w:t xml:space="preserve">establish the criteria for entities to be able to receive fee assignment from a representative, including that we will pay fees assigned to entities exclusively through electronic fee transfer (EFT).  Sections </w:t>
      </w:r>
      <w:r w:rsidRPr="00AF491C">
        <w:rPr>
          <w:i/>
          <w:iCs/>
        </w:rPr>
        <w:t xml:space="preserve">20 </w:t>
      </w:r>
      <w:r w:rsidRPr="00A107C7">
        <w:t>CFR</w:t>
      </w:r>
      <w:r w:rsidRPr="00AF491C">
        <w:rPr>
          <w:i/>
          <w:iCs/>
        </w:rPr>
        <w:t xml:space="preserve"> 404.1707</w:t>
      </w:r>
      <w:r w:rsidRPr="71664D26">
        <w:t xml:space="preserve"> and </w:t>
      </w:r>
      <w:r w:rsidRPr="00AF491C">
        <w:rPr>
          <w:i/>
          <w:iCs/>
        </w:rPr>
        <w:t>416.1507</w:t>
      </w:r>
      <w:r w:rsidR="00AF491C">
        <w:rPr>
          <w:i/>
          <w:iCs/>
        </w:rPr>
        <w:t xml:space="preserve"> </w:t>
      </w:r>
      <w:r w:rsidRPr="00AF491C" w:rsidR="00AF491C">
        <w:t>of the</w:t>
      </w:r>
      <w:r w:rsidR="00AF491C">
        <w:rPr>
          <w:i/>
          <w:iCs/>
        </w:rPr>
        <w:t xml:space="preserve"> Code</w:t>
      </w:r>
      <w:r w:rsidRPr="71664D26">
        <w:t>, explain</w:t>
      </w:r>
      <w:r>
        <w:t xml:space="preserve">s </w:t>
      </w:r>
      <w:r w:rsidRPr="71664D26">
        <w:t xml:space="preserve">how an individual can be an appointed representative on a claim, such as requiring use of </w:t>
      </w:r>
      <w:r w:rsidR="00AF491C">
        <w:t>F</w:t>
      </w:r>
      <w:r w:rsidRPr="71664D26">
        <w:t>orm SSA</w:t>
      </w:r>
      <w:r w:rsidR="00AF491C">
        <w:noBreakHyphen/>
      </w:r>
      <w:r w:rsidRPr="71664D26">
        <w:t>1696</w:t>
      </w:r>
      <w:r w:rsidR="00AF491C">
        <w:t xml:space="preserve"> (OMB No. 0960-0527)</w:t>
      </w:r>
      <w:r w:rsidRPr="71664D26">
        <w:t>.</w:t>
      </w:r>
    </w:p>
    <w:p w:rsidR="00AA6780" w:rsidRPr="00D80630" w:rsidP="00BD43F0" w14:paraId="3AD170FA" w14:textId="30FE6693">
      <w:pPr>
        <w:pStyle w:val="ListParagraph"/>
        <w:ind w:left="1440"/>
      </w:pPr>
      <w:r>
        <w:rPr>
          <w:color w:val="000000" w:themeColor="text1"/>
        </w:rPr>
        <w:t xml:space="preserve">   </w:t>
      </w:r>
    </w:p>
    <w:p w:rsidR="00AA6780" w:rsidRPr="00D80630" w:rsidP="0071723F" w14:paraId="0FE7EA8F" w14:textId="77777777">
      <w:pPr>
        <w:pStyle w:val="ListParagraph"/>
        <w:numPr>
          <w:ilvl w:val="0"/>
          <w:numId w:val="4"/>
        </w:numPr>
        <w:tabs>
          <w:tab w:val="left" w:pos="1440"/>
        </w:tabs>
        <w:ind w:firstLine="0"/>
        <w:rPr>
          <w:b/>
        </w:rPr>
      </w:pPr>
      <w:r w:rsidRPr="00D80630">
        <w:rPr>
          <w:b/>
        </w:rPr>
        <w:t>Description of Collection</w:t>
      </w:r>
    </w:p>
    <w:p w:rsidR="00E265C0" w:rsidRPr="002A77B6" w:rsidP="0071723F" w14:paraId="0CAE0FBB" w14:textId="779FE64C">
      <w:pPr>
        <w:pStyle w:val="ListParagraph"/>
        <w:ind w:left="1440"/>
      </w:pPr>
      <w:r w:rsidRPr="00D80630">
        <w:t xml:space="preserve">SSA </w:t>
      </w:r>
      <w:r w:rsidRPr="00D80630" w:rsidR="0086798E">
        <w:t xml:space="preserve">allows claimants to appoint another individual to represent them </w:t>
      </w:r>
      <w:r w:rsidRPr="00D80630" w:rsidR="002A6BCB">
        <w:t xml:space="preserve">during their interactions with SSA (these representatives are known as “appointed representatives”). </w:t>
      </w:r>
      <w:r w:rsidR="00BA0B9F">
        <w:t xml:space="preserve"> SSA</w:t>
      </w:r>
      <w:r w:rsidRPr="00D80630" w:rsidR="000A0913">
        <w:t xml:space="preserve"> make</w:t>
      </w:r>
      <w:r w:rsidR="00BA0B9F">
        <w:t>s</w:t>
      </w:r>
      <w:r w:rsidRPr="00D80630" w:rsidR="000A0913">
        <w:t xml:space="preserve"> direct payments to representatives via electronic funds transfers (EFT) or checks. </w:t>
      </w:r>
      <w:r>
        <w:t xml:space="preserve"> </w:t>
      </w:r>
      <w:r w:rsidRPr="00D80630" w:rsidR="000A0913">
        <w:t xml:space="preserve">Under </w:t>
      </w:r>
      <w:r w:rsidR="002A77B6">
        <w:t xml:space="preserve">SSA’s </w:t>
      </w:r>
      <w:r w:rsidRPr="00D80630" w:rsidR="000A0913">
        <w:t xml:space="preserve">new rules </w:t>
      </w:r>
      <w:r w:rsidR="002A77B6">
        <w:t xml:space="preserve">established on </w:t>
      </w:r>
      <w:r w:rsidRPr="00D80630" w:rsidR="000A0913">
        <w:t>December 9, 2024, at the appointed representative</w:t>
      </w:r>
      <w:r w:rsidRPr="00D80630" w:rsidR="00FC07A3">
        <w:t>’s request,</w:t>
      </w:r>
      <w:r w:rsidRPr="00D80630" w:rsidR="000A0913">
        <w:t xml:space="preserve"> we may make direct payment </w:t>
      </w:r>
      <w:r w:rsidRPr="00D80630" w:rsidR="00FC07A3">
        <w:t xml:space="preserve">of the representative’s authorized fee </w:t>
      </w:r>
      <w:r w:rsidRPr="00D80630" w:rsidR="000A0913">
        <w:t>to the representative’s affiliated entity</w:t>
      </w:r>
      <w:r w:rsidR="00C456D6">
        <w:t xml:space="preserve"> </w:t>
      </w:r>
      <w:r w:rsidRPr="00D80630" w:rsidR="000A0913">
        <w:t>when</w:t>
      </w:r>
      <w:r w:rsidR="00F252D6">
        <w:t xml:space="preserve"> they meet </w:t>
      </w:r>
      <w:r w:rsidRPr="00D80630" w:rsidR="000A0913">
        <w:t xml:space="preserve">certain </w:t>
      </w:r>
      <w:r w:rsidRPr="00D80630" w:rsidR="00C456D6">
        <w:t>criteria</w:t>
      </w:r>
      <w:r w:rsidR="00F252D6">
        <w:t>.</w:t>
      </w:r>
      <w:r w:rsidRPr="00D80630" w:rsidR="000A0913">
        <w:t xml:space="preserve"> </w:t>
      </w:r>
      <w:r w:rsidR="00BA0B9F">
        <w:t xml:space="preserve"> </w:t>
      </w:r>
      <w:r w:rsidR="002A77B6">
        <w:t>SSA</w:t>
      </w:r>
      <w:r w:rsidRPr="00D80630" w:rsidR="007D43CD">
        <w:t xml:space="preserve"> call</w:t>
      </w:r>
      <w:r w:rsidR="002A77B6">
        <w:t>s</w:t>
      </w:r>
      <w:r w:rsidRPr="00D80630" w:rsidR="007D43CD">
        <w:t xml:space="preserve"> a representative’s request to redirect payment of the authorized fee to the affiliated entity “assignment</w:t>
      </w:r>
      <w:r w:rsidR="00F26136">
        <w:t>.</w:t>
      </w:r>
      <w:r w:rsidRPr="00D80630" w:rsidR="007D43CD">
        <w:t xml:space="preserve">” </w:t>
      </w:r>
      <w:r w:rsidRPr="00D80630" w:rsidR="000A0913">
        <w:t xml:space="preserve">  </w:t>
      </w:r>
      <w:r w:rsidR="00F26136">
        <w:t>T</w:t>
      </w:r>
      <w:r w:rsidR="00BA0B9F">
        <w:t xml:space="preserve">o receive direct payment of authorized fees, </w:t>
      </w:r>
      <w:r w:rsidR="00B300E6">
        <w:t>SSA require</w:t>
      </w:r>
      <w:r w:rsidR="002A77B6">
        <w:t>s</w:t>
      </w:r>
      <w:r w:rsidR="00B300E6">
        <w:t xml:space="preserve"> </w:t>
      </w:r>
      <w:r w:rsidR="00BA0B9F">
        <w:t xml:space="preserve">the entity </w:t>
      </w:r>
      <w:r w:rsidR="00B300E6">
        <w:t xml:space="preserve">to </w:t>
      </w:r>
      <w:r w:rsidR="00BA0B9F">
        <w:t xml:space="preserve">complete </w:t>
      </w:r>
      <w:r w:rsidR="002A77B6">
        <w:t>form SSA-1694, Request for Business Entity Taxpayer Information</w:t>
      </w:r>
      <w:r w:rsidR="00BA0B9F">
        <w:t>. </w:t>
      </w:r>
      <w:r w:rsidR="00B300E6">
        <w:t xml:space="preserve"> The appointed representative learns about </w:t>
      </w:r>
      <w:r w:rsidR="00AF491C">
        <w:t>F</w:t>
      </w:r>
      <w:r w:rsidR="002A77B6">
        <w:t>orm</w:t>
      </w:r>
      <w:r w:rsidR="00B300E6">
        <w:t xml:space="preserve"> SSA-1694 from SSA’s website where there is an entire section on representation</w:t>
      </w:r>
      <w:r w:rsidR="002A77B6">
        <w:t xml:space="preserve">, </w:t>
      </w:r>
      <w:hyperlink r:id="rId8" w:history="1">
        <w:r w:rsidR="002A77B6">
          <w:rPr>
            <w:rStyle w:val="Hyperlink"/>
          </w:rPr>
          <w:t>Representing SSA Claimants | SSA</w:t>
        </w:r>
      </w:hyperlink>
      <w:r w:rsidR="002A77B6">
        <w:rPr>
          <w:rStyle w:val="Hyperlink"/>
        </w:rPr>
        <w:t>.</w:t>
      </w:r>
      <w:r w:rsidR="00B300E6">
        <w:t xml:space="preserve"> </w:t>
      </w:r>
      <w:r w:rsidR="00BA0B9F">
        <w:t xml:space="preserve"> SSA does not mail the SSA-1694, </w:t>
      </w:r>
      <w:r w:rsidR="00F26136">
        <w:t xml:space="preserve">as </w:t>
      </w:r>
      <w:r w:rsidR="00BA0B9F">
        <w:t>it is available for downloading and printing from SSA’s website</w:t>
      </w:r>
      <w:r w:rsidR="00C456D6">
        <w:t xml:space="preserve">.  </w:t>
      </w:r>
      <w:r>
        <w:t xml:space="preserve">The </w:t>
      </w:r>
      <w:r w:rsidR="002A77B6">
        <w:t>entity completes the SSA</w:t>
      </w:r>
      <w:r w:rsidR="00F26136">
        <w:noBreakHyphen/>
      </w:r>
      <w:r w:rsidR="002A77B6">
        <w:t xml:space="preserve">1694 and submits it to </w:t>
      </w:r>
      <w:r>
        <w:t>SSA via fax (preferred) or in person to a local field office.</w:t>
      </w:r>
    </w:p>
    <w:p w:rsidR="002A6BCB" w:rsidRPr="00D80630" w:rsidP="00BF55DF" w14:paraId="1C56F309" w14:textId="77777777">
      <w:pPr>
        <w:pStyle w:val="ListParagraph"/>
        <w:ind w:left="1080"/>
      </w:pPr>
    </w:p>
    <w:p w:rsidR="00BF55DF" w:rsidP="0071723F" w14:paraId="2DDD69E5" w14:textId="7ACD1371">
      <w:pPr>
        <w:pStyle w:val="ListParagraph"/>
        <w:ind w:left="1440"/>
      </w:pPr>
      <w:r w:rsidRPr="00D80630">
        <w:t>Previously</w:t>
      </w:r>
      <w:r w:rsidRPr="00D80630" w:rsidR="00FC07A3">
        <w:t>,</w:t>
      </w:r>
      <w:r w:rsidRPr="00D80630">
        <w:t xml:space="preserve"> we used t</w:t>
      </w:r>
      <w:r w:rsidRPr="00D80630" w:rsidR="00E85140">
        <w:t>he</w:t>
      </w:r>
      <w:r w:rsidR="0080118A">
        <w:rPr>
          <w:rStyle w:val="CommentReference"/>
          <w:rFonts w:ascii="Calibri" w:hAnsi="Calibri"/>
        </w:rPr>
        <w:t xml:space="preserve"> </w:t>
      </w:r>
      <w:r w:rsidR="0080118A">
        <w:rPr>
          <w:rStyle w:val="CommentReference"/>
          <w:sz w:val="24"/>
          <w:szCs w:val="24"/>
        </w:rPr>
        <w:t>S</w:t>
      </w:r>
      <w:r w:rsidRPr="00D80630" w:rsidR="0033563A">
        <w:t xml:space="preserve">SA-1694, </w:t>
      </w:r>
      <w:r w:rsidRPr="00D80630" w:rsidR="009A4917">
        <w:t xml:space="preserve">to register the </w:t>
      </w:r>
      <w:r w:rsidRPr="00D80630" w:rsidR="00FC07A3">
        <w:t xml:space="preserve">affiliated </w:t>
      </w:r>
      <w:r w:rsidRPr="00D80630" w:rsidR="009A4917">
        <w:t>entity</w:t>
      </w:r>
      <w:r w:rsidRPr="00D80630" w:rsidR="00FC07A3">
        <w:t xml:space="preserve"> and issue informational tax documents for the aggregate payments to all representatives affiliated with a specific entity</w:t>
      </w:r>
      <w:r w:rsidRPr="00D80630" w:rsidR="00C456D6">
        <w:t xml:space="preserve">.  </w:t>
      </w:r>
      <w:r w:rsidRPr="00D80630" w:rsidR="00FC07A3">
        <w:t xml:space="preserve">Under our new rules we collect additional information on </w:t>
      </w:r>
      <w:r w:rsidR="001964C7">
        <w:t xml:space="preserve">the SSA-1694, </w:t>
      </w:r>
      <w:r w:rsidRPr="00D80630" w:rsidR="00FC07A3">
        <w:t>such as banking institution</w:t>
      </w:r>
      <w:r w:rsidR="00F26136">
        <w:t>,</w:t>
      </w:r>
      <w:r w:rsidRPr="00D80630" w:rsidR="00FC07A3">
        <w:t xml:space="preserve"> to enable us to make payments directly to the entity and </w:t>
      </w:r>
      <w:r w:rsidRPr="00D80630" w:rsidR="009A4917">
        <w:t xml:space="preserve">report </w:t>
      </w:r>
      <w:r w:rsidRPr="00D80630" w:rsidR="00FC07A3">
        <w:t xml:space="preserve">the </w:t>
      </w:r>
      <w:r w:rsidRPr="00D80630" w:rsidR="009A4917">
        <w:t xml:space="preserve">income to the Internal Revenue Service (IRS) using the IRS Forms 1099-NEC and 1099-MISC. </w:t>
      </w:r>
      <w:r w:rsidR="001E6460">
        <w:t xml:space="preserve"> </w:t>
      </w:r>
      <w:r w:rsidR="00F26136">
        <w:t xml:space="preserve">Our new rules </w:t>
      </w:r>
      <w:r w:rsidR="00F26136">
        <w:t xml:space="preserve">also require representatives to use the SSA-1694 simultaneously with other SSA forms.  </w:t>
      </w:r>
      <w:r w:rsidR="001964C7">
        <w:t>These include</w:t>
      </w:r>
      <w:r w:rsidRPr="00D80630" w:rsidR="0033563A">
        <w:t>:</w:t>
      </w:r>
    </w:p>
    <w:p w:rsidR="001964C7" w14:paraId="5097E870" w14:textId="77777777">
      <w:pPr>
        <w:pStyle w:val="ListParagraph"/>
        <w:ind w:left="1080"/>
      </w:pPr>
    </w:p>
    <w:p w:rsidR="00440547" w:rsidP="00C456D6" w14:paraId="46EB30FC" w14:textId="6C87DF9A">
      <w:pPr>
        <w:pStyle w:val="ListParagraph"/>
        <w:numPr>
          <w:ilvl w:val="0"/>
          <w:numId w:val="5"/>
        </w:numPr>
      </w:pPr>
      <w:r>
        <w:t xml:space="preserve">Form </w:t>
      </w:r>
      <w:r w:rsidRPr="00D80630">
        <w:t>SSA-1699</w:t>
      </w:r>
      <w:r w:rsidRPr="00D80630" w:rsidR="00153267">
        <w:t>,</w:t>
      </w:r>
      <w:r w:rsidRPr="00D80630">
        <w:t xml:space="preserve"> Representative Registration</w:t>
      </w:r>
      <w:r>
        <w:t xml:space="preserve"> (</w:t>
      </w:r>
      <w:r w:rsidRPr="00D80630">
        <w:t>OMB No. 0960-0732</w:t>
      </w:r>
      <w:r>
        <w:t xml:space="preserve">) - </w:t>
      </w:r>
      <w:r w:rsidRPr="00D80630">
        <w:t>All representatives who want to represent claimants before us must first register using Form SSA-1699</w:t>
      </w:r>
      <w:r w:rsidRPr="00D80630" w:rsidR="00C456D6">
        <w:t xml:space="preserve">.  </w:t>
      </w:r>
      <w:r>
        <w:t xml:space="preserve">We now use this </w:t>
      </w:r>
      <w:r w:rsidRPr="00D80630">
        <w:t xml:space="preserve">form to </w:t>
      </w:r>
      <w:r w:rsidRPr="00D80630" w:rsidR="007D43CD">
        <w:t xml:space="preserve">capture minimal information for </w:t>
      </w:r>
      <w:r w:rsidRPr="00D80630">
        <w:t>individuals who want to serve as a</w:t>
      </w:r>
      <w:r w:rsidR="00BD43F0">
        <w:t xml:space="preserve"> </w:t>
      </w:r>
      <w:r w:rsidRPr="00D80630">
        <w:t>POC for</w:t>
      </w:r>
      <w:r w:rsidRPr="00D80630" w:rsidR="007D43CD">
        <w:t xml:space="preserve"> an entity</w:t>
      </w:r>
      <w:r w:rsidRPr="00D80630">
        <w:t>.</w:t>
      </w:r>
    </w:p>
    <w:p w:rsidR="00D80630" w:rsidRPr="00D80630" w:rsidP="00D80630" w14:paraId="2CB316DD" w14:textId="77777777">
      <w:pPr>
        <w:pStyle w:val="ListParagraph"/>
        <w:ind w:left="1800"/>
      </w:pPr>
    </w:p>
    <w:p w:rsidR="00440547" w:rsidP="00440547" w14:paraId="74BB2CA8" w14:textId="636BBB70">
      <w:pPr>
        <w:pStyle w:val="ListParagraph"/>
        <w:numPr>
          <w:ilvl w:val="0"/>
          <w:numId w:val="5"/>
        </w:numPr>
      </w:pPr>
      <w:r w:rsidRPr="00D80630">
        <w:t>SSA-1696</w:t>
      </w:r>
      <w:r w:rsidRPr="00D80630" w:rsidR="00153267">
        <w:t>,</w:t>
      </w:r>
      <w:r w:rsidRPr="00D80630">
        <w:t xml:space="preserve"> Claimant’s Appointment of Representative</w:t>
      </w:r>
      <w:r w:rsidR="00C456D6">
        <w:t xml:space="preserve"> (</w:t>
      </w:r>
      <w:r w:rsidRPr="00D80630">
        <w:t>OMB No. 0960-0527</w:t>
      </w:r>
      <w:r w:rsidR="001E6460">
        <w:t xml:space="preserve">) - </w:t>
      </w:r>
      <w:r w:rsidRPr="00D80630">
        <w:t>Claimants use Form SSA-1696 to appoint and directly pay fees for a particular case to a representative</w:t>
      </w:r>
      <w:r w:rsidRPr="00D80630" w:rsidR="00C456D6">
        <w:t xml:space="preserve">.  </w:t>
      </w:r>
      <w:r w:rsidR="001E6460">
        <w:t xml:space="preserve">Representatives also use Form SSA-1696 </w:t>
      </w:r>
      <w:r w:rsidRPr="00D80630">
        <w:t xml:space="preserve">to assign direct payment of their fee to an affiliated firm or organization. </w:t>
      </w:r>
    </w:p>
    <w:p w:rsidR="00D80630" w:rsidRPr="00D80630" w:rsidP="00D80630" w14:paraId="069A44DF" w14:textId="77777777">
      <w:pPr>
        <w:pStyle w:val="ListParagraph"/>
        <w:ind w:left="1800"/>
      </w:pPr>
    </w:p>
    <w:p w:rsidR="00C456D6" w:rsidRPr="00C456D6" w:rsidP="00C456D6" w14:paraId="5F337A8F" w14:textId="2C5FF50F">
      <w:pPr>
        <w:pStyle w:val="ListParagraph"/>
        <w:numPr>
          <w:ilvl w:val="0"/>
          <w:numId w:val="5"/>
        </w:numPr>
      </w:pPr>
      <w:r w:rsidRPr="00D80630">
        <w:t>SSA-1694</w:t>
      </w:r>
      <w:r w:rsidRPr="00D80630" w:rsidR="00153267">
        <w:t>,</w:t>
      </w:r>
      <w:r w:rsidRPr="00D80630">
        <w:t xml:space="preserve"> </w:t>
      </w:r>
      <w:r w:rsidRPr="00D80630">
        <w:rPr>
          <w:iCs/>
        </w:rPr>
        <w:t>Entity Registration and Taxpayer Information</w:t>
      </w:r>
      <w:r w:rsidR="001E6460">
        <w:rPr>
          <w:iCs/>
        </w:rPr>
        <w:t xml:space="preserve"> (OMB</w:t>
      </w:r>
      <w:r w:rsidR="00656FDC">
        <w:rPr>
          <w:iCs/>
        </w:rPr>
        <w:t xml:space="preserve">.  </w:t>
      </w:r>
      <w:r w:rsidR="001E6460">
        <w:rPr>
          <w:iCs/>
        </w:rPr>
        <w:t>N</w:t>
      </w:r>
      <w:r>
        <w:rPr>
          <w:iCs/>
        </w:rPr>
        <w:t>o</w:t>
      </w:r>
      <w:r w:rsidR="001E6460">
        <w:rPr>
          <w:iCs/>
        </w:rPr>
        <w:t>.</w:t>
      </w:r>
    </w:p>
    <w:p w:rsidR="00440547" w:rsidP="00C456D6" w14:paraId="5FD08D91" w14:textId="112D5E45">
      <w:pPr>
        <w:pStyle w:val="ListParagraph"/>
        <w:ind w:left="1800"/>
      </w:pPr>
      <w:r>
        <w:rPr>
          <w:iCs/>
        </w:rPr>
        <w:t>0960-0731)</w:t>
      </w:r>
      <w:r>
        <w:t xml:space="preserve"> – SSA requires</w:t>
      </w:r>
      <w:r w:rsidRPr="00D80630" w:rsidR="007D43CD">
        <w:t xml:space="preserve"> entities who want to receive direct payment of fees we authorize to their affiliated representatives to </w:t>
      </w:r>
      <w:r w:rsidRPr="00D80630">
        <w:t>register with us</w:t>
      </w:r>
      <w:r w:rsidRPr="00D80630" w:rsidR="00C456D6">
        <w:t xml:space="preserve">.  </w:t>
      </w:r>
      <w:r w:rsidRPr="00D80630">
        <w:t xml:space="preserve">Registering allows us to </w:t>
      </w:r>
      <w:r w:rsidRPr="00D80630" w:rsidR="007D43CD">
        <w:t xml:space="preserve">document aggregate fees </w:t>
      </w:r>
      <w:r w:rsidRPr="00D80630" w:rsidR="00061498">
        <w:t xml:space="preserve">each calendar year and </w:t>
      </w:r>
      <w:r w:rsidRPr="00D80630">
        <w:t xml:space="preserve">issue Form 1099-NEC to the </w:t>
      </w:r>
      <w:r w:rsidRPr="00D80630" w:rsidR="00061498">
        <w:t>entity</w:t>
      </w:r>
      <w:r w:rsidRPr="00D80630" w:rsidR="00C15A33">
        <w:t>.</w:t>
      </w:r>
      <w:r w:rsidRPr="00D80630">
        <w:t xml:space="preserve"> </w:t>
      </w:r>
      <w:r w:rsidRPr="00D80630" w:rsidR="00C15A33">
        <w:t xml:space="preserve"> </w:t>
      </w:r>
      <w:r w:rsidRPr="00D80630">
        <w:t xml:space="preserve">The </w:t>
      </w:r>
      <w:r w:rsidRPr="00D80630" w:rsidR="00061498">
        <w:t xml:space="preserve">POC </w:t>
      </w:r>
      <w:r w:rsidRPr="00D80630">
        <w:t xml:space="preserve">cannot register the </w:t>
      </w:r>
      <w:r w:rsidRPr="00D80630" w:rsidR="00061498">
        <w:t>entity</w:t>
      </w:r>
      <w:r w:rsidRPr="00D80630">
        <w:t xml:space="preserve"> until after they register as a representative using Form SSA-1699 and receive a representative ID (Rep ID)</w:t>
      </w:r>
      <w:r w:rsidRPr="00D80630" w:rsidR="00C456D6">
        <w:t xml:space="preserve">.  </w:t>
      </w:r>
      <w:r w:rsidRPr="00D80630" w:rsidR="00061498">
        <w:t xml:space="preserve">Obtaining a </w:t>
      </w:r>
      <w:r w:rsidRPr="00D80630">
        <w:t>Rep ID for the POC is now part of the entity registration process.</w:t>
      </w:r>
    </w:p>
    <w:p w:rsidR="002A77B6" w:rsidRPr="00D80630" w:rsidP="002A77B6" w14:paraId="2EB277D7" w14:textId="77777777">
      <w:pPr>
        <w:pStyle w:val="ListParagraph"/>
        <w:ind w:left="1800"/>
      </w:pPr>
    </w:p>
    <w:p w:rsidR="00735F15" w:rsidRPr="00D80630" w:rsidP="0071723F" w14:paraId="35976B8F" w14:textId="0BBDAEF3">
      <w:pPr>
        <w:pStyle w:val="CommentText"/>
        <w:ind w:left="1440"/>
        <w:rPr>
          <w:rFonts w:ascii="Times New Roman" w:hAnsi="Times New Roman"/>
          <w:sz w:val="24"/>
          <w:szCs w:val="24"/>
        </w:rPr>
      </w:pPr>
      <w:r w:rsidRPr="00D80630">
        <w:rPr>
          <w:rFonts w:ascii="Times New Roman" w:hAnsi="Times New Roman"/>
          <w:sz w:val="24"/>
          <w:szCs w:val="24"/>
        </w:rPr>
        <w:t xml:space="preserve">Registration is a one-time process; however, when </w:t>
      </w:r>
      <w:r w:rsidRPr="00D80630" w:rsidR="00996571">
        <w:rPr>
          <w:rFonts w:ascii="Times New Roman" w:hAnsi="Times New Roman"/>
          <w:sz w:val="24"/>
          <w:szCs w:val="24"/>
        </w:rPr>
        <w:t xml:space="preserve">an </w:t>
      </w:r>
      <w:r w:rsidRPr="00D80630">
        <w:rPr>
          <w:rFonts w:ascii="Times New Roman" w:hAnsi="Times New Roman"/>
          <w:sz w:val="24"/>
          <w:szCs w:val="24"/>
        </w:rPr>
        <w:t xml:space="preserve">entity needs to update any information </w:t>
      </w:r>
      <w:r w:rsidRPr="00D80630" w:rsidR="00996571">
        <w:rPr>
          <w:rFonts w:ascii="Times New Roman" w:hAnsi="Times New Roman"/>
          <w:sz w:val="24"/>
          <w:szCs w:val="24"/>
        </w:rPr>
        <w:t>on the registration</w:t>
      </w:r>
      <w:r w:rsidRPr="00D80630">
        <w:rPr>
          <w:rFonts w:ascii="Times New Roman" w:hAnsi="Times New Roman"/>
          <w:sz w:val="24"/>
          <w:szCs w:val="24"/>
        </w:rPr>
        <w:t xml:space="preserve">, the POC on file </w:t>
      </w:r>
      <w:r w:rsidRPr="00D80630" w:rsidR="00996571">
        <w:rPr>
          <w:rFonts w:ascii="Times New Roman" w:hAnsi="Times New Roman"/>
          <w:sz w:val="24"/>
          <w:szCs w:val="24"/>
        </w:rPr>
        <w:t>must</w:t>
      </w:r>
      <w:r w:rsidRPr="00D80630">
        <w:rPr>
          <w:rFonts w:ascii="Times New Roman" w:hAnsi="Times New Roman"/>
          <w:sz w:val="24"/>
          <w:szCs w:val="24"/>
        </w:rPr>
        <w:t xml:space="preserve"> complete and submit </w:t>
      </w:r>
      <w:r w:rsidRPr="00D80630" w:rsidR="00996571">
        <w:rPr>
          <w:rFonts w:ascii="Times New Roman" w:hAnsi="Times New Roman"/>
          <w:sz w:val="24"/>
          <w:szCs w:val="24"/>
        </w:rPr>
        <w:t xml:space="preserve">a </w:t>
      </w:r>
      <w:r w:rsidRPr="00D80630">
        <w:rPr>
          <w:rFonts w:ascii="Times New Roman" w:hAnsi="Times New Roman"/>
          <w:sz w:val="24"/>
          <w:szCs w:val="24"/>
        </w:rPr>
        <w:t>new form with the new information and provide</w:t>
      </w:r>
      <w:r w:rsidRPr="00D80630" w:rsidR="009866B2">
        <w:rPr>
          <w:rFonts w:ascii="Times New Roman" w:hAnsi="Times New Roman"/>
          <w:sz w:val="24"/>
          <w:szCs w:val="24"/>
        </w:rPr>
        <w:t xml:space="preserve"> the POC signature and date.</w:t>
      </w:r>
    </w:p>
    <w:p w:rsidR="00E07612" w:rsidP="0071723F" w14:paraId="6C7DE4AD" w14:textId="4D55FFF0">
      <w:pPr>
        <w:pStyle w:val="ListParagraph"/>
        <w:ind w:left="1440"/>
        <w:rPr>
          <w:b/>
          <w:bCs/>
        </w:rPr>
      </w:pPr>
      <w:r>
        <w:t>SSA</w:t>
      </w:r>
      <w:r w:rsidRPr="00D80630" w:rsidR="00996571">
        <w:t xml:space="preserve"> </w:t>
      </w:r>
      <w:r w:rsidRPr="00D80630" w:rsidR="00D05C24">
        <w:t>use</w:t>
      </w:r>
      <w:r>
        <w:t>s</w:t>
      </w:r>
      <w:r w:rsidRPr="00D80630" w:rsidR="00D05C24">
        <w:t xml:space="preserve"> the </w:t>
      </w:r>
      <w:r w:rsidRPr="00D80630" w:rsidR="00B33E23">
        <w:t xml:space="preserve">Employer Identification Number </w:t>
      </w:r>
      <w:r w:rsidRPr="00D80630" w:rsidR="00D05C24">
        <w:t xml:space="preserve">and other identifiable information to locate all appointed representatives </w:t>
      </w:r>
      <w:r w:rsidRPr="00D80630" w:rsidR="00B33E23">
        <w:t xml:space="preserve">who are </w:t>
      </w:r>
      <w:r w:rsidRPr="00D80630" w:rsidR="00D05C24">
        <w:t>associated with the business entity</w:t>
      </w:r>
      <w:r w:rsidRPr="00D80630" w:rsidR="00B33E23">
        <w:t xml:space="preserve"> and have received at least $600 in fees</w:t>
      </w:r>
      <w:r w:rsidRPr="00D80630" w:rsidR="00D05C24">
        <w:t>.</w:t>
      </w:r>
      <w:r w:rsidRPr="00D80630" w:rsidR="00D05C24">
        <w:rPr>
          <w:b/>
          <w:bCs/>
        </w:rPr>
        <w:t xml:space="preserve"> </w:t>
      </w:r>
      <w:r w:rsidRPr="00D80630" w:rsidR="0043034B">
        <w:rPr>
          <w:b/>
          <w:bCs/>
        </w:rPr>
        <w:t xml:space="preserve"> </w:t>
      </w:r>
    </w:p>
    <w:p w:rsidR="001964C7" w:rsidRPr="00D80630" w:rsidP="00F367D2" w14:paraId="31022CEE" w14:textId="77777777">
      <w:pPr>
        <w:pStyle w:val="ListParagraph"/>
        <w:ind w:left="1080"/>
      </w:pPr>
    </w:p>
    <w:p w:rsidR="00E07612" w:rsidRPr="00D80630" w:rsidP="0071723F" w14:paraId="6A1D488A" w14:textId="77777777">
      <w:pPr>
        <w:spacing w:after="0"/>
        <w:ind w:left="1440"/>
        <w:rPr>
          <w:rFonts w:ascii="Times New Roman" w:hAnsi="Times New Roman"/>
          <w:sz w:val="24"/>
          <w:szCs w:val="24"/>
        </w:rPr>
      </w:pPr>
      <w:r w:rsidRPr="00D80630">
        <w:rPr>
          <w:rFonts w:ascii="Times New Roman" w:hAnsi="Times New Roman"/>
          <w:sz w:val="24"/>
          <w:szCs w:val="24"/>
        </w:rPr>
        <w:t>We identified the following psychological costs based on the requirements for this information collection:</w:t>
      </w:r>
    </w:p>
    <w:p w:rsidR="00294F1F" w:rsidRPr="00D80630" w:rsidP="00241286" w14:paraId="1D1862D5" w14:textId="77777777">
      <w:pPr>
        <w:spacing w:after="0" w:line="240" w:lineRule="auto"/>
        <w:ind w:left="2160"/>
        <w:rPr>
          <w:rFonts w:ascii="Times New Roman" w:hAnsi="Times New Roman"/>
          <w:sz w:val="24"/>
          <w:szCs w:val="24"/>
        </w:rPr>
      </w:pPr>
    </w:p>
    <w:p w:rsidR="00E07612" w:rsidRPr="00D80630" w:rsidP="0071723F" w14:paraId="5D74D5FA" w14:textId="7A51D980">
      <w:pPr>
        <w:numPr>
          <w:ilvl w:val="0"/>
          <w:numId w:val="8"/>
        </w:numPr>
        <w:tabs>
          <w:tab w:val="left" w:pos="1710"/>
        </w:tabs>
        <w:spacing w:after="0" w:line="240" w:lineRule="auto"/>
        <w:ind w:left="1440" w:firstLine="0"/>
        <w:rPr>
          <w:rFonts w:ascii="Times New Roman" w:hAnsi="Times New Roman"/>
          <w:sz w:val="24"/>
          <w:szCs w:val="24"/>
        </w:rPr>
      </w:pPr>
      <w:r w:rsidRPr="00D80630">
        <w:rPr>
          <w:rFonts w:ascii="Times New Roman" w:hAnsi="Times New Roman"/>
          <w:b/>
          <w:bCs/>
          <w:sz w:val="24"/>
          <w:szCs w:val="24"/>
          <w:u w:val="single"/>
        </w:rPr>
        <w:t>Psychological Cost #</w:t>
      </w:r>
      <w:r w:rsidR="00A83245">
        <w:rPr>
          <w:rFonts w:ascii="Times New Roman" w:hAnsi="Times New Roman"/>
          <w:b/>
          <w:bCs/>
          <w:sz w:val="24"/>
          <w:szCs w:val="24"/>
          <w:u w:val="single"/>
        </w:rPr>
        <w:t>1</w:t>
      </w:r>
      <w:r w:rsidRPr="00D80630">
        <w:rPr>
          <w:rFonts w:ascii="Times New Roman" w:hAnsi="Times New Roman"/>
          <w:sz w:val="24"/>
          <w:szCs w:val="24"/>
        </w:rPr>
        <w:t xml:space="preserve">:  </w:t>
      </w:r>
    </w:p>
    <w:p w:rsidR="004F75BD" w:rsidP="0071723F" w14:paraId="135C0CED" w14:textId="77777777">
      <w:pPr>
        <w:numPr>
          <w:ilvl w:val="1"/>
          <w:numId w:val="8"/>
        </w:numPr>
        <w:tabs>
          <w:tab w:val="left" w:pos="2430"/>
        </w:tabs>
        <w:spacing w:after="0" w:line="240" w:lineRule="auto"/>
        <w:ind w:left="2430" w:hanging="270"/>
        <w:rPr>
          <w:rFonts w:ascii="Times New Roman" w:hAnsi="Times New Roman"/>
          <w:sz w:val="24"/>
          <w:szCs w:val="24"/>
        </w:rPr>
      </w:pPr>
      <w:r w:rsidRPr="00D80630">
        <w:rPr>
          <w:rFonts w:ascii="Times New Roman" w:hAnsi="Times New Roman"/>
          <w:b/>
          <w:bCs/>
          <w:sz w:val="24"/>
          <w:szCs w:val="24"/>
        </w:rPr>
        <w:t>Requirement for the Program:</w:t>
      </w:r>
      <w:r w:rsidRPr="00D80630">
        <w:rPr>
          <w:rFonts w:ascii="Times New Roman" w:hAnsi="Times New Roman"/>
          <w:sz w:val="24"/>
          <w:szCs w:val="24"/>
        </w:rPr>
        <w:t xml:space="preserve">  </w:t>
      </w:r>
      <w:r w:rsidR="00052CD1">
        <w:rPr>
          <w:rFonts w:ascii="Times New Roman" w:hAnsi="Times New Roman"/>
          <w:sz w:val="24"/>
          <w:szCs w:val="24"/>
        </w:rPr>
        <w:t xml:space="preserve">SSA requires </w:t>
      </w:r>
      <w:r>
        <w:rPr>
          <w:rFonts w:ascii="Times New Roman" w:hAnsi="Times New Roman"/>
          <w:sz w:val="24"/>
          <w:szCs w:val="24"/>
        </w:rPr>
        <w:t>respondents</w:t>
      </w:r>
      <w:r w:rsidR="00052CD1">
        <w:rPr>
          <w:rFonts w:ascii="Times New Roman" w:hAnsi="Times New Roman"/>
          <w:sz w:val="24"/>
          <w:szCs w:val="24"/>
        </w:rPr>
        <w:t xml:space="preserve"> to update form </w:t>
      </w:r>
      <w:r w:rsidRPr="00D80630">
        <w:rPr>
          <w:rFonts w:ascii="Times New Roman" w:hAnsi="Times New Roman"/>
          <w:sz w:val="24"/>
          <w:szCs w:val="24"/>
        </w:rPr>
        <w:t xml:space="preserve">SSA-1694 </w:t>
      </w:r>
      <w:r w:rsidR="00052CD1">
        <w:rPr>
          <w:rFonts w:ascii="Times New Roman" w:hAnsi="Times New Roman"/>
          <w:sz w:val="24"/>
          <w:szCs w:val="24"/>
        </w:rPr>
        <w:t>e</w:t>
      </w:r>
      <w:r w:rsidR="001108CB">
        <w:rPr>
          <w:rFonts w:ascii="Times New Roman" w:hAnsi="Times New Roman"/>
          <w:sz w:val="24"/>
          <w:szCs w:val="24"/>
        </w:rPr>
        <w:t xml:space="preserve">ach time </w:t>
      </w:r>
      <w:r w:rsidR="00052CD1">
        <w:rPr>
          <w:rFonts w:ascii="Times New Roman" w:hAnsi="Times New Roman"/>
          <w:sz w:val="24"/>
          <w:szCs w:val="24"/>
        </w:rPr>
        <w:t>the respondent makes changes or update</w:t>
      </w:r>
      <w:r>
        <w:rPr>
          <w:rFonts w:ascii="Times New Roman" w:hAnsi="Times New Roman"/>
          <w:sz w:val="24"/>
          <w:szCs w:val="24"/>
        </w:rPr>
        <w:t>s</w:t>
      </w:r>
      <w:r w:rsidR="001108CB">
        <w:rPr>
          <w:rFonts w:ascii="Times New Roman" w:hAnsi="Times New Roman"/>
          <w:sz w:val="24"/>
          <w:szCs w:val="24"/>
        </w:rPr>
        <w:t xml:space="preserve">.  </w:t>
      </w:r>
    </w:p>
    <w:p w:rsidR="00E07612" w:rsidRPr="00D80630" w:rsidP="004F75BD" w14:paraId="6641CF1B" w14:textId="6912B321">
      <w:pPr>
        <w:tabs>
          <w:tab w:val="left" w:pos="2430"/>
        </w:tabs>
        <w:spacing w:after="0" w:line="240" w:lineRule="auto"/>
        <w:ind w:left="2430"/>
        <w:rPr>
          <w:rFonts w:ascii="Times New Roman" w:hAnsi="Times New Roman"/>
          <w:sz w:val="24"/>
          <w:szCs w:val="24"/>
        </w:rPr>
      </w:pPr>
      <w:r>
        <w:rPr>
          <w:rFonts w:ascii="Times New Roman" w:hAnsi="Times New Roman"/>
          <w:sz w:val="24"/>
          <w:szCs w:val="24"/>
        </w:rPr>
        <w:t>T</w:t>
      </w:r>
      <w:r w:rsidRPr="004F75BD">
        <w:rPr>
          <w:rFonts w:ascii="Times New Roman" w:hAnsi="Times New Roman"/>
          <w:sz w:val="24"/>
          <w:szCs w:val="24"/>
        </w:rPr>
        <w:t>he new point of contact submits the updated SSA-1694, and the SSA processes changes and updates with some delay</w:t>
      </w:r>
      <w:r>
        <w:rPr>
          <w:rFonts w:ascii="Times New Roman" w:hAnsi="Times New Roman"/>
          <w:sz w:val="24"/>
          <w:szCs w:val="24"/>
        </w:rPr>
        <w:t xml:space="preserve">.  </w:t>
      </w:r>
      <w:r w:rsidRPr="00AF4CB7" w:rsidR="00F64923">
        <w:rPr>
          <w:rFonts w:ascii="Times New Roman" w:hAnsi="Times New Roman"/>
          <w:sz w:val="24"/>
          <w:szCs w:val="24"/>
        </w:rPr>
        <w:t xml:space="preserve">This </w:t>
      </w:r>
      <w:r w:rsidR="00852B0F">
        <w:rPr>
          <w:rFonts w:ascii="Times New Roman" w:hAnsi="Times New Roman"/>
          <w:sz w:val="24"/>
          <w:szCs w:val="24"/>
        </w:rPr>
        <w:t xml:space="preserve">could </w:t>
      </w:r>
      <w:r w:rsidRPr="00AF4CB7" w:rsidR="00F64923">
        <w:rPr>
          <w:rFonts w:ascii="Times New Roman" w:hAnsi="Times New Roman"/>
          <w:sz w:val="24"/>
          <w:szCs w:val="24"/>
        </w:rPr>
        <w:t>cause delays and potential issues for payments for the representative.</w:t>
      </w:r>
    </w:p>
    <w:p w:rsidR="00E07612" w:rsidRPr="00D80630" w:rsidP="00E07612" w14:paraId="05B31F3F" w14:textId="77777777">
      <w:pPr>
        <w:spacing w:after="0"/>
        <w:ind w:left="2430"/>
        <w:rPr>
          <w:rFonts w:ascii="Times New Roman" w:hAnsi="Times New Roman"/>
          <w:sz w:val="24"/>
          <w:szCs w:val="24"/>
        </w:rPr>
      </w:pPr>
    </w:p>
    <w:p w:rsidR="00E07612" w:rsidRPr="0080118A" w:rsidP="00E07612" w14:paraId="43C25E99" w14:textId="680EC6E6">
      <w:pPr>
        <w:numPr>
          <w:ilvl w:val="1"/>
          <w:numId w:val="8"/>
        </w:numPr>
        <w:spacing w:after="0" w:line="240" w:lineRule="auto"/>
        <w:ind w:left="2430" w:hanging="270"/>
        <w:rPr>
          <w:rFonts w:ascii="Times New Roman" w:hAnsi="Times New Roman"/>
          <w:b/>
          <w:bCs/>
          <w:sz w:val="24"/>
          <w:szCs w:val="24"/>
        </w:rPr>
      </w:pPr>
      <w:r w:rsidRPr="00D80630">
        <w:rPr>
          <w:rFonts w:ascii="Times New Roman" w:hAnsi="Times New Roman"/>
          <w:b/>
          <w:bCs/>
          <w:sz w:val="24"/>
          <w:szCs w:val="24"/>
        </w:rPr>
        <w:t xml:space="preserve">Psychological Cost:  </w:t>
      </w:r>
      <w:r w:rsidR="004F75BD">
        <w:rPr>
          <w:rFonts w:ascii="Times New Roman" w:hAnsi="Times New Roman"/>
          <w:sz w:val="24"/>
          <w:szCs w:val="24"/>
        </w:rPr>
        <w:t>Respondents</w:t>
      </w:r>
      <w:r w:rsidRPr="004F75BD" w:rsidR="004F75BD">
        <w:rPr>
          <w:rFonts w:ascii="Times New Roman" w:hAnsi="Times New Roman"/>
          <w:sz w:val="24"/>
          <w:szCs w:val="24"/>
        </w:rPr>
        <w:t xml:space="preserve"> may feel stressed or anxious due to delays in processing updates, which can create uncertainty about payment timing</w:t>
      </w:r>
      <w:r w:rsidR="004F75BD">
        <w:rPr>
          <w:rFonts w:ascii="Times New Roman" w:hAnsi="Times New Roman"/>
          <w:snapToGrid w:val="0"/>
          <w:color w:val="000000"/>
          <w:sz w:val="24"/>
          <w:szCs w:val="24"/>
        </w:rPr>
        <w:t xml:space="preserve">.  </w:t>
      </w:r>
      <w:r w:rsidR="003F0747">
        <w:rPr>
          <w:rFonts w:ascii="Times New Roman" w:hAnsi="Times New Roman"/>
          <w:snapToGrid w:val="0"/>
          <w:color w:val="000000"/>
          <w:sz w:val="24"/>
          <w:szCs w:val="24"/>
        </w:rPr>
        <w:t>In addition,</w:t>
      </w:r>
      <w:r w:rsidR="00AE4E69">
        <w:rPr>
          <w:rFonts w:ascii="Times New Roman" w:hAnsi="Times New Roman"/>
          <w:snapToGrid w:val="0"/>
          <w:color w:val="000000"/>
          <w:sz w:val="24"/>
          <w:szCs w:val="24"/>
        </w:rPr>
        <w:t xml:space="preserve"> t</w:t>
      </w:r>
      <w:r w:rsidR="00A65B67">
        <w:rPr>
          <w:rFonts w:ascii="Times New Roman" w:hAnsi="Times New Roman"/>
          <w:sz w:val="24"/>
          <w:szCs w:val="24"/>
        </w:rPr>
        <w:t>he respondent</w:t>
      </w:r>
      <w:r w:rsidR="008A71EE">
        <w:rPr>
          <w:rFonts w:ascii="Times New Roman" w:hAnsi="Times New Roman"/>
          <w:sz w:val="24"/>
          <w:szCs w:val="24"/>
        </w:rPr>
        <w:t xml:space="preserve"> may become frustrated with the business process and the processing time</w:t>
      </w:r>
      <w:r w:rsidR="004F75BD">
        <w:rPr>
          <w:rFonts w:ascii="Times New Roman" w:hAnsi="Times New Roman"/>
          <w:sz w:val="24"/>
          <w:szCs w:val="24"/>
        </w:rPr>
        <w:t xml:space="preserve"> which could cause the respondent to delay completing the form.</w:t>
      </w:r>
    </w:p>
    <w:p w:rsidR="0080118A" w:rsidRPr="003F0747" w:rsidP="0080118A" w14:paraId="0D5AFADC" w14:textId="77777777">
      <w:pPr>
        <w:spacing w:after="0" w:line="240" w:lineRule="auto"/>
        <w:ind w:left="2430"/>
        <w:rPr>
          <w:rFonts w:ascii="Times New Roman" w:hAnsi="Times New Roman"/>
          <w:b/>
          <w:bCs/>
          <w:sz w:val="24"/>
          <w:szCs w:val="24"/>
        </w:rPr>
      </w:pPr>
    </w:p>
    <w:p w:rsidR="00AF4CB7" w:rsidRPr="003F0747" w:rsidP="003A4153" w14:paraId="32B74873" w14:textId="116EBC0D">
      <w:pPr>
        <w:numPr>
          <w:ilvl w:val="0"/>
          <w:numId w:val="8"/>
        </w:numPr>
        <w:spacing w:after="0" w:line="240" w:lineRule="auto"/>
        <w:ind w:left="1440" w:firstLine="0"/>
        <w:rPr>
          <w:rFonts w:ascii="Times New Roman" w:hAnsi="Times New Roman"/>
          <w:sz w:val="24"/>
          <w:szCs w:val="24"/>
        </w:rPr>
      </w:pPr>
      <w:r w:rsidRPr="003F0747">
        <w:rPr>
          <w:rFonts w:ascii="Times New Roman" w:hAnsi="Times New Roman"/>
          <w:b/>
          <w:bCs/>
          <w:sz w:val="24"/>
          <w:szCs w:val="24"/>
        </w:rPr>
        <w:t xml:space="preserve"> </w:t>
      </w:r>
      <w:r w:rsidRPr="003F0747">
        <w:rPr>
          <w:rFonts w:ascii="Times New Roman" w:hAnsi="Times New Roman"/>
          <w:b/>
          <w:bCs/>
          <w:sz w:val="24"/>
          <w:szCs w:val="24"/>
          <w:u w:val="single"/>
        </w:rPr>
        <w:t>Psychological Cost #</w:t>
      </w:r>
      <w:r w:rsidRPr="003F0747" w:rsidR="00A83245">
        <w:rPr>
          <w:rFonts w:ascii="Times New Roman" w:hAnsi="Times New Roman"/>
          <w:b/>
          <w:bCs/>
          <w:sz w:val="24"/>
          <w:szCs w:val="24"/>
          <w:u w:val="single"/>
        </w:rPr>
        <w:t>2</w:t>
      </w:r>
      <w:r w:rsidRPr="003F0747">
        <w:rPr>
          <w:rFonts w:ascii="Times New Roman" w:hAnsi="Times New Roman"/>
          <w:sz w:val="24"/>
          <w:szCs w:val="24"/>
        </w:rPr>
        <w:t xml:space="preserve">:  </w:t>
      </w:r>
    </w:p>
    <w:p w:rsidR="003F0747" w:rsidP="00C0525E" w14:paraId="72906AAA" w14:textId="10B648CD">
      <w:pPr>
        <w:numPr>
          <w:ilvl w:val="1"/>
          <w:numId w:val="8"/>
        </w:numPr>
        <w:tabs>
          <w:tab w:val="left" w:pos="2430"/>
        </w:tabs>
        <w:spacing w:after="0" w:line="240" w:lineRule="auto"/>
        <w:ind w:left="2430" w:hanging="270"/>
        <w:rPr>
          <w:rFonts w:ascii="Times New Roman" w:hAnsi="Times New Roman"/>
          <w:sz w:val="24"/>
          <w:szCs w:val="24"/>
        </w:rPr>
      </w:pPr>
      <w:r w:rsidRPr="003F0747">
        <w:rPr>
          <w:rFonts w:ascii="Times New Roman" w:hAnsi="Times New Roman"/>
          <w:b/>
          <w:bCs/>
          <w:sz w:val="24"/>
          <w:szCs w:val="24"/>
        </w:rPr>
        <w:t>Requirement for the Program:</w:t>
      </w:r>
      <w:r w:rsidRPr="003F0747">
        <w:rPr>
          <w:rFonts w:ascii="Times New Roman" w:hAnsi="Times New Roman"/>
          <w:sz w:val="24"/>
          <w:szCs w:val="24"/>
        </w:rPr>
        <w:t xml:space="preserve">  The SSA-1694 application process does not accept the three required representative payee forms simultaneously.</w:t>
      </w:r>
      <w:r>
        <w:rPr>
          <w:rFonts w:ascii="Times New Roman" w:hAnsi="Times New Roman"/>
          <w:sz w:val="24"/>
          <w:szCs w:val="24"/>
        </w:rPr>
        <w:t xml:space="preserve">  T</w:t>
      </w:r>
      <w:r w:rsidRPr="003F0747">
        <w:rPr>
          <w:rFonts w:ascii="Times New Roman" w:hAnsi="Times New Roman"/>
          <w:sz w:val="24"/>
          <w:szCs w:val="24"/>
        </w:rPr>
        <w:t xml:space="preserve">he representative submits the SSA-1694, </w:t>
      </w:r>
    </w:p>
    <w:p w:rsidR="003F0747" w:rsidP="003F0747" w14:paraId="15FC4B9C" w14:textId="7A0A1A51">
      <w:pPr>
        <w:tabs>
          <w:tab w:val="left" w:pos="2430"/>
        </w:tabs>
        <w:spacing w:after="0" w:line="240" w:lineRule="auto"/>
        <w:ind w:left="2430"/>
        <w:rPr>
          <w:rFonts w:ascii="Times New Roman" w:hAnsi="Times New Roman"/>
          <w:sz w:val="24"/>
          <w:szCs w:val="24"/>
        </w:rPr>
      </w:pPr>
      <w:r w:rsidRPr="003F0747">
        <w:rPr>
          <w:rFonts w:ascii="Times New Roman" w:hAnsi="Times New Roman"/>
          <w:sz w:val="24"/>
          <w:szCs w:val="24"/>
        </w:rPr>
        <w:t>SSA-1699, and SSA-1696 at the same time</w:t>
      </w:r>
      <w:r>
        <w:rPr>
          <w:rFonts w:ascii="Times New Roman" w:hAnsi="Times New Roman"/>
          <w:sz w:val="24"/>
          <w:szCs w:val="24"/>
        </w:rPr>
        <w:t xml:space="preserve">; however, </w:t>
      </w:r>
      <w:r w:rsidRPr="003F0747">
        <w:rPr>
          <w:rFonts w:ascii="Times New Roman" w:hAnsi="Times New Roman"/>
          <w:sz w:val="24"/>
          <w:szCs w:val="24"/>
        </w:rPr>
        <w:t xml:space="preserve">SSA delays processing the SSA-1696 and SSA-1694 until </w:t>
      </w:r>
      <w:r>
        <w:rPr>
          <w:rFonts w:ascii="Times New Roman" w:hAnsi="Times New Roman"/>
          <w:sz w:val="24"/>
          <w:szCs w:val="24"/>
        </w:rPr>
        <w:t>SSA</w:t>
      </w:r>
      <w:r w:rsidRPr="003F0747">
        <w:rPr>
          <w:rFonts w:ascii="Times New Roman" w:hAnsi="Times New Roman"/>
          <w:sz w:val="24"/>
          <w:szCs w:val="24"/>
        </w:rPr>
        <w:t xml:space="preserve"> processes the </w:t>
      </w:r>
    </w:p>
    <w:p w:rsidR="00AF4CB7" w:rsidP="003F0747" w14:paraId="41B09C94" w14:textId="0F79716E">
      <w:pPr>
        <w:tabs>
          <w:tab w:val="left" w:pos="2430"/>
        </w:tabs>
        <w:spacing w:after="0" w:line="240" w:lineRule="auto"/>
        <w:ind w:left="2430"/>
        <w:rPr>
          <w:rFonts w:ascii="Times New Roman" w:hAnsi="Times New Roman"/>
          <w:sz w:val="24"/>
          <w:szCs w:val="24"/>
        </w:rPr>
      </w:pPr>
      <w:r w:rsidRPr="003F0747">
        <w:rPr>
          <w:rFonts w:ascii="Times New Roman" w:hAnsi="Times New Roman"/>
          <w:sz w:val="24"/>
          <w:szCs w:val="24"/>
        </w:rPr>
        <w:t>SSA-1699 to complete the registration</w:t>
      </w:r>
      <w:r w:rsidRPr="003F0747" w:rsidR="000D15F9">
        <w:rPr>
          <w:rFonts w:ascii="Times New Roman" w:hAnsi="Times New Roman"/>
          <w:sz w:val="24"/>
          <w:szCs w:val="24"/>
        </w:rPr>
        <w:t xml:space="preserve">.  </w:t>
      </w:r>
      <w:r w:rsidRPr="003F0747">
        <w:rPr>
          <w:rFonts w:ascii="Times New Roman" w:hAnsi="Times New Roman"/>
          <w:sz w:val="24"/>
          <w:szCs w:val="24"/>
        </w:rPr>
        <w:t>This delay can cause payment issues for the representative.</w:t>
      </w:r>
    </w:p>
    <w:p w:rsidR="003F0747" w:rsidRPr="003F0747" w:rsidP="003F0747" w14:paraId="54540EDF" w14:textId="77777777">
      <w:pPr>
        <w:tabs>
          <w:tab w:val="left" w:pos="2430"/>
        </w:tabs>
        <w:spacing w:after="0" w:line="240" w:lineRule="auto"/>
        <w:ind w:left="2430"/>
        <w:rPr>
          <w:rFonts w:ascii="Times New Roman" w:hAnsi="Times New Roman"/>
          <w:sz w:val="24"/>
          <w:szCs w:val="24"/>
        </w:rPr>
      </w:pPr>
    </w:p>
    <w:p w:rsidR="00A83245" w:rsidRPr="000D15F9" w:rsidP="000D15F9" w14:paraId="0574242E" w14:textId="3567EC69">
      <w:pPr>
        <w:numPr>
          <w:ilvl w:val="1"/>
          <w:numId w:val="8"/>
        </w:numPr>
        <w:spacing w:after="0" w:line="240" w:lineRule="auto"/>
        <w:ind w:left="2430" w:hanging="270"/>
        <w:rPr>
          <w:rFonts w:ascii="Times New Roman" w:hAnsi="Times New Roman"/>
          <w:sz w:val="24"/>
          <w:szCs w:val="24"/>
        </w:rPr>
      </w:pPr>
      <w:r w:rsidRPr="003F0747">
        <w:rPr>
          <w:rFonts w:ascii="Times New Roman" w:hAnsi="Times New Roman"/>
          <w:b/>
          <w:bCs/>
          <w:sz w:val="24"/>
          <w:szCs w:val="24"/>
        </w:rPr>
        <w:t xml:space="preserve">Psychological Cost:  </w:t>
      </w:r>
      <w:r w:rsidR="000D15F9">
        <w:rPr>
          <w:rFonts w:ascii="Times New Roman" w:hAnsi="Times New Roman"/>
          <w:sz w:val="24"/>
          <w:szCs w:val="24"/>
        </w:rPr>
        <w:t>Respondents</w:t>
      </w:r>
      <w:r w:rsidRPr="003F0747">
        <w:rPr>
          <w:rFonts w:ascii="Times New Roman" w:hAnsi="Times New Roman"/>
          <w:snapToGrid w:val="0"/>
          <w:color w:val="000000"/>
          <w:sz w:val="24"/>
          <w:szCs w:val="24"/>
        </w:rPr>
        <w:t xml:space="preserve"> </w:t>
      </w:r>
      <w:r w:rsidR="003F0747">
        <w:rPr>
          <w:rFonts w:ascii="Times New Roman" w:hAnsi="Times New Roman"/>
          <w:snapToGrid w:val="0"/>
          <w:color w:val="000000"/>
          <w:sz w:val="24"/>
          <w:szCs w:val="24"/>
        </w:rPr>
        <w:t xml:space="preserve">may </w:t>
      </w:r>
      <w:r w:rsidRPr="003F0747" w:rsidR="003F0747">
        <w:rPr>
          <w:rFonts w:ascii="Times New Roman" w:hAnsi="Times New Roman"/>
          <w:snapToGrid w:val="0"/>
          <w:color w:val="000000"/>
          <w:sz w:val="24"/>
          <w:szCs w:val="24"/>
        </w:rPr>
        <w:t>feel stressed or anxious because delays and uncertainty affect timely payment processing.</w:t>
      </w:r>
      <w:r w:rsidR="000D15F9">
        <w:rPr>
          <w:b/>
          <w:bCs/>
        </w:rPr>
        <w:t xml:space="preserve">   </w:t>
      </w:r>
    </w:p>
    <w:p w:rsidR="000D15F9" w:rsidRPr="000D15F9" w:rsidP="000D15F9" w14:paraId="1182B0A0" w14:textId="77777777">
      <w:pPr>
        <w:spacing w:after="0" w:line="240" w:lineRule="auto"/>
        <w:ind w:left="2520" w:firstLine="90"/>
        <w:rPr>
          <w:rFonts w:ascii="Times New Roman" w:hAnsi="Times New Roman"/>
          <w:sz w:val="24"/>
          <w:szCs w:val="24"/>
        </w:rPr>
      </w:pPr>
    </w:p>
    <w:p w:rsidR="000D15F9" w:rsidRPr="000D15F9" w:rsidP="000D15F9" w14:paraId="5C85D8D9" w14:textId="7E93C6B7">
      <w:pPr>
        <w:pStyle w:val="ListParagraph"/>
        <w:numPr>
          <w:ilvl w:val="0"/>
          <w:numId w:val="11"/>
        </w:numPr>
        <w:ind w:firstLine="810"/>
      </w:pPr>
      <w:r w:rsidRPr="000D15F9">
        <w:rPr>
          <w:b/>
          <w:bCs/>
          <w:u w:val="single"/>
        </w:rPr>
        <w:t>Psychological Cost #</w:t>
      </w:r>
      <w:r>
        <w:rPr>
          <w:b/>
          <w:bCs/>
          <w:u w:val="single"/>
        </w:rPr>
        <w:t>3</w:t>
      </w:r>
    </w:p>
    <w:p w:rsidR="00656FDC" w:rsidP="000D15F9" w14:paraId="6C388FD8" w14:textId="77777777">
      <w:pPr>
        <w:pStyle w:val="ListParagraph"/>
        <w:numPr>
          <w:ilvl w:val="1"/>
          <w:numId w:val="8"/>
        </w:numPr>
        <w:ind w:left="2430" w:hanging="270"/>
      </w:pPr>
      <w:r w:rsidRPr="000D15F9">
        <w:rPr>
          <w:b/>
          <w:bCs/>
        </w:rPr>
        <w:t>Requirement for the Program:</w:t>
      </w:r>
      <w:r w:rsidR="000D15F9">
        <w:rPr>
          <w:b/>
          <w:bCs/>
        </w:rPr>
        <w:t xml:space="preserve">  </w:t>
      </w:r>
      <w:r w:rsidRPr="000D15F9" w:rsidR="000D15F9">
        <w:t>The SSA-1694 application process asks the entity to provide contact information, including the address and EIN</w:t>
      </w:r>
      <w:r w:rsidRPr="000D15F9">
        <w:t xml:space="preserve">.  </w:t>
      </w:r>
      <w:r w:rsidRPr="000D15F9" w:rsidR="000D15F9">
        <w:t>This information helps the SSA associate representatives with their entities and issue the correct 1099 forms</w:t>
      </w:r>
      <w:r w:rsidRPr="000D15F9">
        <w:t xml:space="preserve">.  </w:t>
      </w:r>
      <w:r w:rsidRPr="000D15F9" w:rsidR="000D15F9">
        <w:t xml:space="preserve">SSA issues a </w:t>
      </w:r>
    </w:p>
    <w:p w:rsidR="00A83245" w:rsidP="00656FDC" w14:paraId="3AE891BC" w14:textId="5A6EEAF5">
      <w:pPr>
        <w:pStyle w:val="ListParagraph"/>
        <w:ind w:left="2430"/>
      </w:pPr>
      <w:r w:rsidRPr="000D15F9">
        <w:t xml:space="preserve">1099-MISC to representatives affiliated with registered entities and a 1099-NEC to the entity itself. </w:t>
      </w:r>
      <w:r>
        <w:t xml:space="preserve"> </w:t>
      </w:r>
      <w:r w:rsidRPr="000D15F9">
        <w:t>Representatives who operate as sole proprietors or who register with entities not registered with SSA receive a 1099-NEC.</w:t>
      </w:r>
      <w:r>
        <w:t xml:space="preserve"> </w:t>
      </w:r>
      <w:r w:rsidRPr="000D15F9">
        <w:t xml:space="preserve"> The SSA reports fees on the 1099-NEC as income paid directly to or on behalf of the representative</w:t>
      </w:r>
      <w:r w:rsidRPr="000D15F9" w:rsidR="00656FDC">
        <w:t xml:space="preserve">.  </w:t>
      </w:r>
      <w:r w:rsidRPr="000D15F9">
        <w:t>In the past, recipients who worked for a firm and received the previous version of the 1099</w:t>
      </w:r>
      <w:r>
        <w:t xml:space="preserve"> </w:t>
      </w:r>
      <w:r w:rsidRPr="000D15F9">
        <w:t>with fees reported in Box 7 instead of Box 14 (equivalent to a 1099-NEC)</w:t>
      </w:r>
      <w:r>
        <w:t xml:space="preserve"> </w:t>
      </w:r>
      <w:r w:rsidRPr="000D15F9">
        <w:t>had to prove to the IRS that the payments represented funds paid on behalf of the entity and not additional personal income</w:t>
      </w:r>
      <w:r w:rsidRPr="000D15F9" w:rsidR="00656FDC">
        <w:t xml:space="preserve">.  </w:t>
      </w:r>
      <w:r w:rsidRPr="000D15F9">
        <w:t>Registering an entity allows the SSA to issue IRS forms that clearly indicate whether the representative works with a registered entity or operates as a sole proprietor.</w:t>
      </w:r>
    </w:p>
    <w:p w:rsidR="00320933" w:rsidRPr="00320933" w:rsidP="00320933" w14:paraId="4495443E" w14:textId="77777777">
      <w:pPr>
        <w:spacing w:after="0" w:line="240" w:lineRule="auto"/>
        <w:ind w:left="2430"/>
        <w:rPr>
          <w:b/>
          <w:bCs/>
        </w:rPr>
      </w:pPr>
    </w:p>
    <w:p w:rsidR="00E07612" w:rsidRPr="000D15F9" w:rsidP="00C250D1" w14:paraId="3438E903" w14:textId="5F043A0C">
      <w:pPr>
        <w:numPr>
          <w:ilvl w:val="1"/>
          <w:numId w:val="8"/>
        </w:numPr>
        <w:spacing w:after="0" w:line="240" w:lineRule="auto"/>
        <w:ind w:left="2430" w:hanging="270"/>
        <w:rPr>
          <w:b/>
          <w:bCs/>
        </w:rPr>
      </w:pPr>
      <w:r w:rsidRPr="000D15F9">
        <w:rPr>
          <w:rFonts w:ascii="Times New Roman" w:hAnsi="Times New Roman"/>
          <w:b/>
          <w:bCs/>
          <w:sz w:val="24"/>
          <w:szCs w:val="24"/>
        </w:rPr>
        <w:t xml:space="preserve">Psychological Cost: </w:t>
      </w:r>
      <w:r w:rsidRPr="000D15F9" w:rsidR="00DC2659">
        <w:rPr>
          <w:rFonts w:ascii="Times New Roman" w:hAnsi="Times New Roman"/>
          <w:b/>
          <w:bCs/>
          <w:sz w:val="24"/>
          <w:szCs w:val="24"/>
        </w:rPr>
        <w:t xml:space="preserve"> </w:t>
      </w:r>
      <w:r w:rsidRPr="00D80630">
        <w:rPr>
          <w:rFonts w:ascii="Times New Roman" w:hAnsi="Times New Roman"/>
          <w:sz w:val="24"/>
          <w:szCs w:val="24"/>
        </w:rPr>
        <w:t>T</w:t>
      </w:r>
      <w:r w:rsidRPr="000D15F9">
        <w:rPr>
          <w:rFonts w:ascii="Times New Roman" w:hAnsi="Times New Roman"/>
          <w:snapToGrid w:val="0"/>
          <w:color w:val="000000"/>
          <w:sz w:val="24"/>
          <w:szCs w:val="24"/>
        </w:rPr>
        <w:t>he respondent</w:t>
      </w:r>
      <w:r w:rsidR="00C250D1">
        <w:rPr>
          <w:rFonts w:ascii="Times New Roman" w:hAnsi="Times New Roman"/>
          <w:snapToGrid w:val="0"/>
          <w:color w:val="000000"/>
          <w:sz w:val="24"/>
          <w:szCs w:val="24"/>
        </w:rPr>
        <w:t xml:space="preserve"> may be upset about having to submit additional information on the form, and view it as an inconvenience, which could delay in completing the form. </w:t>
      </w:r>
    </w:p>
    <w:p w:rsidR="000D15F9" w:rsidRPr="000D15F9" w:rsidP="000D15F9" w14:paraId="6F08C008" w14:textId="77777777">
      <w:pPr>
        <w:spacing w:after="0" w:line="240" w:lineRule="auto"/>
        <w:ind w:left="2430"/>
        <w:rPr>
          <w:b/>
          <w:bCs/>
        </w:rPr>
      </w:pPr>
    </w:p>
    <w:p w:rsidR="00E07612" w:rsidP="001964C7" w14:paraId="55B60CFA" w14:textId="59AECA04">
      <w:pPr>
        <w:pStyle w:val="ListParagraph"/>
        <w:ind w:left="1440"/>
      </w:pPr>
      <w:r w:rsidRPr="00D80630">
        <w:t>We understand these psychological costs may cause respondents to delay their completion of the information collection or cause them to</w:t>
      </w:r>
      <w:r w:rsidR="00E93DB2">
        <w:t xml:space="preserve"> delay completion.</w:t>
      </w:r>
      <w:r w:rsidRPr="00D80630">
        <w:t xml:space="preserve">  Therefore, we have taken this potential psychological cost into account when calculating our burden in #12 below.</w:t>
      </w:r>
    </w:p>
    <w:p w:rsidR="00E265C0" w:rsidP="005759E4" w14:paraId="2E7A0C23" w14:textId="77777777">
      <w:pPr>
        <w:pStyle w:val="ListParagraph"/>
      </w:pPr>
    </w:p>
    <w:p w:rsidR="001964C7" w:rsidRPr="00D80630" w:rsidP="001964C7" w14:paraId="3B826E05" w14:textId="5D1A8D10">
      <w:pPr>
        <w:pStyle w:val="ListParagraph"/>
        <w:ind w:left="1440"/>
      </w:pPr>
      <w:r>
        <w:t>The r</w:t>
      </w:r>
      <w:r w:rsidRPr="00D80630">
        <w:t>espondents are law firms, non-attorney firms,</w:t>
      </w:r>
      <w:r w:rsidRPr="00D80630">
        <w:rPr>
          <w:b/>
          <w:iCs/>
        </w:rPr>
        <w:t xml:space="preserve"> </w:t>
      </w:r>
      <w:r w:rsidRPr="00D80630">
        <w:t xml:space="preserve">or other businesses who </w:t>
      </w:r>
      <w:r w:rsidR="00BF0070">
        <w:t xml:space="preserve">represent SSA claimants and </w:t>
      </w:r>
      <w:r w:rsidRPr="00D80630">
        <w:t>want to receive direct payments of fees.</w:t>
      </w:r>
    </w:p>
    <w:p w:rsidR="001964C7" w:rsidRPr="00D80630" w:rsidP="001964C7" w14:paraId="15C37B34" w14:textId="77777777">
      <w:pPr>
        <w:pStyle w:val="ListParagraph"/>
        <w:ind w:left="1080"/>
      </w:pPr>
    </w:p>
    <w:p w:rsidR="00AA6780" w:rsidRPr="00D80630" w:rsidP="0071723F" w14:paraId="1093DB17" w14:textId="123F0BD3">
      <w:pPr>
        <w:pStyle w:val="ListParagraph"/>
        <w:numPr>
          <w:ilvl w:val="0"/>
          <w:numId w:val="4"/>
        </w:numPr>
        <w:tabs>
          <w:tab w:val="left" w:pos="1440"/>
        </w:tabs>
        <w:ind w:firstLine="0"/>
        <w:rPr>
          <w:b/>
        </w:rPr>
      </w:pPr>
      <w:r w:rsidRPr="00D80630">
        <w:rPr>
          <w:b/>
        </w:rPr>
        <w:t>Use of Information Technology to Collect the Information</w:t>
      </w:r>
    </w:p>
    <w:p w:rsidR="001964C7" w:rsidP="0071723F" w14:paraId="4D3A0CB2" w14:textId="08132EDD">
      <w:pPr>
        <w:pStyle w:val="ListParagraph"/>
        <w:ind w:left="1080" w:firstLine="360"/>
      </w:pPr>
      <w:r>
        <w:t>Form SSA-1694 is available for download and printing on SSA’s website.</w:t>
      </w:r>
    </w:p>
    <w:p w:rsidR="00217B75" w:rsidP="00217B75" w14:paraId="67A63B79" w14:textId="24E86C2D">
      <w:pPr>
        <w:pStyle w:val="ListParagraph"/>
        <w:ind w:left="1440"/>
      </w:pPr>
      <w:r>
        <w:t>SSA prefers the entity to fax the completed SSA-1694 for faster processing; however, the entity can mail or hand-deliver the completed form to a local field office.</w:t>
      </w:r>
    </w:p>
    <w:p w:rsidR="00217B75" w:rsidP="0071723F" w14:paraId="301236A7" w14:textId="77777777">
      <w:pPr>
        <w:pStyle w:val="ListParagraph"/>
        <w:ind w:left="1080" w:firstLine="360"/>
      </w:pPr>
    </w:p>
    <w:p w:rsidR="004222C5" w:rsidP="004222C5" w14:paraId="2D332C2C" w14:textId="77777777">
      <w:pPr>
        <w:pStyle w:val="ListParagraph"/>
        <w:ind w:left="1440"/>
      </w:pPr>
      <w:r w:rsidRPr="004222C5">
        <w:t xml:space="preserve">This collection does not currently have a fully public-facing Internet version, however; we are in the process of allowing respondents to use SSA’s Upload Documents Portal (OMB No. 0960-0830).  Upload Documents allows the respondent to complete the fillable PDF and submit the information through the Upload Documents Portal.  The submittable version mirrors the paper version and provides respondents with an online service option as an alternative to mailing, faxing, or bringing the form to an SSA field office.  Use of the Upload Documents Portal does not require respondents to download and install the application locally on their device or pay any subscription or licensing fees, and we account for the burden for using Upload Documents under OMB No. </w:t>
      </w:r>
    </w:p>
    <w:p w:rsidR="004222C5" w:rsidRPr="004222C5" w:rsidP="004222C5" w14:paraId="7CBC31FC" w14:textId="5E3187CA">
      <w:pPr>
        <w:pStyle w:val="ListParagraph"/>
        <w:ind w:left="1440"/>
      </w:pPr>
      <w:r w:rsidRPr="004222C5">
        <w:t>0960-0830.  Once the electronic submission version of the form is ready for implementation, we will submit a Change Request to OMB for prior approval.</w:t>
      </w:r>
    </w:p>
    <w:p w:rsidR="00E84FC2" w:rsidP="0071723F" w14:paraId="1A91E329" w14:textId="77777777">
      <w:pPr>
        <w:pStyle w:val="ListParagraph"/>
        <w:ind w:left="1440"/>
      </w:pPr>
    </w:p>
    <w:p w:rsidR="00AA6780" w:rsidRPr="00D80630" w:rsidP="00A25682" w14:paraId="65A7940F" w14:textId="7E9C1677">
      <w:pPr>
        <w:pStyle w:val="ListParagraph"/>
        <w:tabs>
          <w:tab w:val="left" w:pos="1440"/>
        </w:tabs>
        <w:ind w:left="1080"/>
        <w:rPr>
          <w:b/>
        </w:rPr>
      </w:pPr>
      <w:r w:rsidRPr="00D80630">
        <w:rPr>
          <w:b/>
        </w:rPr>
        <w:t>4.</w:t>
      </w:r>
      <w:r w:rsidRPr="00D80630">
        <w:rPr>
          <w:b/>
        </w:rPr>
        <w:tab/>
        <w:t>Why We Cannot Use Duplicate Information</w:t>
      </w:r>
    </w:p>
    <w:p w:rsidR="00AA6780" w:rsidRPr="00D80630" w:rsidP="00A25682" w14:paraId="68E7FB2F" w14:textId="77777777">
      <w:pPr>
        <w:pStyle w:val="ListParagraph"/>
        <w:ind w:left="1440"/>
      </w:pPr>
      <w:r w:rsidRPr="00D80630">
        <w:t>The nature of the information we collect and the manner in which we collect it preclude</w:t>
      </w:r>
      <w:r w:rsidRPr="00D80630" w:rsidR="00B618C3">
        <w:t>s</w:t>
      </w:r>
      <w:r w:rsidRPr="00D80630">
        <w:t xml:space="preserve"> duplication.  </w:t>
      </w:r>
      <w:r w:rsidRPr="00D80630" w:rsidR="00F92B8D">
        <w:t>SSA does not use another collection instrument to obtain similar data.</w:t>
      </w:r>
    </w:p>
    <w:p w:rsidR="00AA6780" w:rsidRPr="00D80630" w:rsidP="00FB76AA" w14:paraId="269C1DF5" w14:textId="77777777">
      <w:pPr>
        <w:pStyle w:val="ListParagraph"/>
        <w:ind w:left="1440"/>
      </w:pPr>
    </w:p>
    <w:p w:rsidR="00AA6780" w:rsidRPr="00D80630" w:rsidP="00A25682" w14:paraId="4E35F859" w14:textId="06E13CA7">
      <w:pPr>
        <w:pStyle w:val="ListParagraph"/>
        <w:tabs>
          <w:tab w:val="left" w:pos="1440"/>
        </w:tabs>
        <w:ind w:left="1080"/>
        <w:rPr>
          <w:b/>
        </w:rPr>
      </w:pPr>
      <w:r w:rsidRPr="00D80630">
        <w:rPr>
          <w:b/>
        </w:rPr>
        <w:t>5.</w:t>
      </w:r>
      <w:r w:rsidRPr="00D80630">
        <w:rPr>
          <w:b/>
        </w:rPr>
        <w:tab/>
        <w:t>Minimizing Burden on Small Respondents</w:t>
      </w:r>
    </w:p>
    <w:p w:rsidR="00B62588" w:rsidRPr="00D80630" w:rsidP="00A25682" w14:paraId="2811F789" w14:textId="69212E91">
      <w:pPr>
        <w:pStyle w:val="ListParagraph"/>
        <w:ind w:left="1440"/>
        <w:rPr>
          <w:iCs/>
        </w:rPr>
      </w:pPr>
      <w:r w:rsidRPr="00D80630">
        <w:rPr>
          <w:iCs/>
        </w:rPr>
        <w:t xml:space="preserve">This collection does not significantly affect small businesses or other small entities. </w:t>
      </w:r>
    </w:p>
    <w:p w:rsidR="006C0649" w:rsidRPr="00D80630" w:rsidP="00FB76AA" w14:paraId="22986A58" w14:textId="77777777">
      <w:pPr>
        <w:pStyle w:val="ListParagraph"/>
        <w:ind w:left="1530"/>
        <w:rPr>
          <w:iCs/>
        </w:rPr>
      </w:pPr>
    </w:p>
    <w:p w:rsidR="00AA6780" w:rsidRPr="00D80630" w:rsidP="00A25682" w14:paraId="4C34722F" w14:textId="150299A6">
      <w:pPr>
        <w:pStyle w:val="ListParagraph"/>
        <w:tabs>
          <w:tab w:val="left" w:pos="1350"/>
          <w:tab w:val="left" w:pos="1530"/>
        </w:tabs>
        <w:ind w:left="1080"/>
        <w:rPr>
          <w:b/>
        </w:rPr>
      </w:pPr>
      <w:r w:rsidRPr="00D80630">
        <w:rPr>
          <w:b/>
        </w:rPr>
        <w:t>6.</w:t>
      </w:r>
      <w:r w:rsidRPr="00D80630">
        <w:rPr>
          <w:b/>
        </w:rPr>
        <w:tab/>
        <w:t>Consequence of Not Collecting Information or Collecting it Less Frequently</w:t>
      </w:r>
    </w:p>
    <w:p w:rsidR="00AA6780" w:rsidP="00A25682" w14:paraId="130D421B" w14:textId="45D225CF">
      <w:pPr>
        <w:pStyle w:val="ListParagraph"/>
        <w:tabs>
          <w:tab w:val="left" w:pos="1350"/>
        </w:tabs>
        <w:ind w:left="1350"/>
      </w:pPr>
      <w:r w:rsidRPr="00D80630">
        <w:t xml:space="preserve">To receive direct payment of fees, we need to have </w:t>
      </w:r>
      <w:r w:rsidR="00BF0070">
        <w:t xml:space="preserve">the </w:t>
      </w:r>
      <w:r w:rsidRPr="00D80630">
        <w:t>information</w:t>
      </w:r>
      <w:r w:rsidR="00BF0070">
        <w:t xml:space="preserve"> we</w:t>
      </w:r>
      <w:r w:rsidRPr="00D80630">
        <w:t xml:space="preserve"> capture on </w:t>
      </w:r>
      <w:r w:rsidR="00BF0070">
        <w:t>F</w:t>
      </w:r>
      <w:r w:rsidRPr="00D80630">
        <w:t xml:space="preserve">orm SSA-1694.  </w:t>
      </w:r>
      <w:r w:rsidRPr="00D80630" w:rsidR="00F02C13">
        <w:t>Because we collect the information on an as needed basis, we cannot collect it less frequently.</w:t>
      </w:r>
      <w:r w:rsidRPr="00D80630">
        <w:t xml:space="preserve">  There are no technical or legal obstacles </w:t>
      </w:r>
      <w:r w:rsidRPr="00D80630" w:rsidR="00F92B8D">
        <w:t>to burden reduction</w:t>
      </w:r>
      <w:r w:rsidRPr="00D80630">
        <w:t>.</w:t>
      </w:r>
    </w:p>
    <w:p w:rsidR="004222C5" w:rsidP="00A25682" w14:paraId="6D61160E" w14:textId="77777777">
      <w:pPr>
        <w:pStyle w:val="ListParagraph"/>
        <w:tabs>
          <w:tab w:val="left" w:pos="1350"/>
        </w:tabs>
        <w:ind w:left="1350"/>
      </w:pPr>
    </w:p>
    <w:p w:rsidR="00AA6780" w:rsidRPr="00D80630" w:rsidP="00A25682" w14:paraId="6817894B" w14:textId="52692A4A">
      <w:pPr>
        <w:pStyle w:val="ListParagraph"/>
        <w:tabs>
          <w:tab w:val="left" w:pos="1530"/>
        </w:tabs>
        <w:ind w:left="1080"/>
        <w:rPr>
          <w:b/>
          <w:i/>
        </w:rPr>
      </w:pPr>
      <w:r w:rsidRPr="00D80630">
        <w:rPr>
          <w:b/>
        </w:rPr>
        <w:t>7.</w:t>
      </w:r>
      <w:r w:rsidRPr="00D80630" w:rsidR="00B04FA2">
        <w:rPr>
          <w:b/>
        </w:rPr>
        <w:t xml:space="preserve">   </w:t>
      </w:r>
      <w:r w:rsidRPr="00D80630">
        <w:rPr>
          <w:b/>
        </w:rPr>
        <w:t>Special Circumstances</w:t>
      </w:r>
    </w:p>
    <w:p w:rsidR="00AA6780" w:rsidRPr="00D80630" w:rsidP="00A25682" w14:paraId="69FB03A5" w14:textId="77777777">
      <w:pPr>
        <w:pStyle w:val="ListParagraph"/>
        <w:ind w:left="1440"/>
      </w:pPr>
      <w:r w:rsidRPr="00D80630">
        <w:t xml:space="preserve">There are no special circumstances that would cause SSA to conduct this information collection in a manner inconsistent with </w:t>
      </w:r>
      <w:r w:rsidRPr="00D80630">
        <w:rPr>
          <w:i/>
        </w:rPr>
        <w:t>5 CFR 1320.5</w:t>
      </w:r>
      <w:r w:rsidRPr="00D80630">
        <w:t xml:space="preserve">. </w:t>
      </w:r>
    </w:p>
    <w:p w:rsidR="00AA6780" w:rsidRPr="00D80630" w:rsidP="00FB76AA" w14:paraId="5DC7C561" w14:textId="77777777">
      <w:pPr>
        <w:pStyle w:val="ListParagraph"/>
        <w:ind w:left="1530"/>
        <w:rPr>
          <w:i/>
        </w:rPr>
      </w:pPr>
    </w:p>
    <w:p w:rsidR="00AA6780" w:rsidRPr="00D80630" w:rsidP="00A25682" w14:paraId="53EBFE6B" w14:textId="7D6F4283">
      <w:pPr>
        <w:pStyle w:val="ListParagraph"/>
        <w:widowControl w:val="0"/>
        <w:ind w:left="1080"/>
        <w:rPr>
          <w:b/>
        </w:rPr>
      </w:pPr>
      <w:r w:rsidRPr="00D80630">
        <w:rPr>
          <w:b/>
        </w:rPr>
        <w:t>8.</w:t>
      </w:r>
      <w:r w:rsidRPr="00D80630">
        <w:rPr>
          <w:b/>
        </w:rPr>
        <w:tab/>
        <w:t>Solicitation of Public Comment and Other Consultations with the Public</w:t>
      </w:r>
    </w:p>
    <w:p w:rsidR="0043034B" w:rsidRPr="00D80630" w:rsidP="0043034B" w14:paraId="290C0C82" w14:textId="77777777">
      <w:pPr>
        <w:pStyle w:val="ListParagraph"/>
        <w:ind w:left="1440"/>
      </w:pPr>
      <w:r w:rsidRPr="00D80630">
        <w:rPr>
          <w:noProof/>
          <w:lang w:eastAsia="zh-CN" w:bidi="en-US"/>
        </w:rPr>
        <w:t xml:space="preserve">The 60-day advance Federal Register Notice published on </w:t>
      </w:r>
      <w:r w:rsidRPr="00D80630">
        <w:t xml:space="preserve">April 4, 2025, at </w:t>
      </w:r>
    </w:p>
    <w:p w:rsidR="00DC2659" w:rsidP="00DC2659" w14:paraId="58738A3E" w14:textId="783B9200">
      <w:pPr>
        <w:pStyle w:val="ListParagraph"/>
        <w:ind w:left="1440"/>
      </w:pPr>
      <w:r w:rsidRPr="00D80630">
        <w:t xml:space="preserve">90 FR 14891, </w:t>
      </w:r>
      <w:r w:rsidRPr="00D80630">
        <w:rPr>
          <w:noProof/>
          <w:lang w:eastAsia="zh-CN" w:bidi="en-US"/>
        </w:rPr>
        <w:t>and we received no public comments.</w:t>
      </w:r>
      <w:r>
        <w:rPr>
          <w:noProof/>
          <w:lang w:eastAsia="zh-CN" w:bidi="en-US"/>
        </w:rPr>
        <w:t xml:space="preserve">  </w:t>
      </w:r>
      <w:r w:rsidRPr="0067356B">
        <w:t xml:space="preserve">The 30-day FRN published on </w:t>
      </w:r>
      <w:r>
        <w:t xml:space="preserve">June 17, </w:t>
      </w:r>
      <w:r w:rsidR="004222C5">
        <w:t>2025,</w:t>
      </w:r>
      <w:r>
        <w:t xml:space="preserve"> </w:t>
      </w:r>
      <w:r w:rsidRPr="0067356B">
        <w:t xml:space="preserve">at </w:t>
      </w:r>
      <w:r>
        <w:t>90 FR 25734</w:t>
      </w:r>
      <w:r w:rsidRPr="0067356B">
        <w:t>.  If we receive any comments in response to this Notice, we will forward them to OMB.  We did not consult with the public in the revision of this form.</w:t>
      </w:r>
    </w:p>
    <w:p w:rsidR="004222C5" w:rsidP="00DC2659" w14:paraId="69DA89C8" w14:textId="77777777">
      <w:pPr>
        <w:pStyle w:val="ListParagraph"/>
        <w:ind w:left="1440"/>
      </w:pPr>
    </w:p>
    <w:p w:rsidR="0080118A" w:rsidP="00DC2659" w14:paraId="688E5366" w14:textId="77777777">
      <w:pPr>
        <w:pStyle w:val="ListParagraph"/>
        <w:ind w:left="1440"/>
      </w:pPr>
    </w:p>
    <w:p w:rsidR="0080118A" w:rsidP="00DC2659" w14:paraId="3D67BA9A" w14:textId="77777777">
      <w:pPr>
        <w:pStyle w:val="ListParagraph"/>
        <w:ind w:left="1440"/>
      </w:pPr>
    </w:p>
    <w:p w:rsidR="0080118A" w:rsidRPr="0067356B" w:rsidP="00DC2659" w14:paraId="59A83C0A" w14:textId="77777777">
      <w:pPr>
        <w:pStyle w:val="ListParagraph"/>
        <w:ind w:left="1440"/>
      </w:pPr>
    </w:p>
    <w:p w:rsidR="000820A8" w:rsidRPr="004222C5" w:rsidP="0080118A" w14:paraId="6818DBE4" w14:textId="638B4E61">
      <w:pPr>
        <w:tabs>
          <w:tab w:val="num" w:pos="1440"/>
        </w:tabs>
        <w:spacing w:after="0" w:line="240" w:lineRule="auto"/>
        <w:ind w:left="1440"/>
        <w:rPr>
          <w:rFonts w:ascii="Times New Roman" w:hAnsi="Times New Roman"/>
          <w:b/>
          <w:sz w:val="24"/>
          <w:szCs w:val="24"/>
        </w:rPr>
      </w:pPr>
      <w:r w:rsidRPr="004222C5">
        <w:rPr>
          <w:rFonts w:ascii="Times New Roman" w:hAnsi="Times New Roman"/>
          <w:b/>
          <w:sz w:val="24"/>
          <w:szCs w:val="24"/>
        </w:rPr>
        <w:t>9.</w:t>
      </w:r>
      <w:r w:rsidRPr="004222C5" w:rsidR="009A4917">
        <w:rPr>
          <w:rFonts w:ascii="Times New Roman" w:hAnsi="Times New Roman"/>
          <w:b/>
          <w:sz w:val="24"/>
          <w:szCs w:val="24"/>
        </w:rPr>
        <w:t xml:space="preserve">   </w:t>
      </w:r>
      <w:r w:rsidRPr="004222C5" w:rsidR="00AA6780">
        <w:rPr>
          <w:rFonts w:ascii="Times New Roman" w:hAnsi="Times New Roman"/>
          <w:b/>
          <w:sz w:val="24"/>
          <w:szCs w:val="24"/>
        </w:rPr>
        <w:t>Payment or Gifts to Respondents</w:t>
      </w:r>
    </w:p>
    <w:p w:rsidR="00AA6780" w:rsidRPr="00D80630" w:rsidP="0080118A" w14:paraId="2BC1B384" w14:textId="46ADB724">
      <w:pPr>
        <w:pStyle w:val="ListParagraph"/>
        <w:tabs>
          <w:tab w:val="left" w:pos="1530"/>
        </w:tabs>
        <w:ind w:left="1440"/>
        <w:rPr>
          <w:bCs/>
        </w:rPr>
      </w:pPr>
      <w:r w:rsidRPr="00D80630">
        <w:rPr>
          <w:bCs/>
        </w:rPr>
        <w:t>If the representative elects to assign direct payment of the</w:t>
      </w:r>
      <w:r w:rsidRPr="00D80630" w:rsidR="004722B3">
        <w:rPr>
          <w:bCs/>
        </w:rPr>
        <w:t xml:space="preserve"> </w:t>
      </w:r>
      <w:r w:rsidRPr="00D80630">
        <w:rPr>
          <w:bCs/>
        </w:rPr>
        <w:t xml:space="preserve">fee, SSA will make direct payment to the respondent if the firm or organization is properly registered, has an active POC, and direct payment information on file.  </w:t>
      </w:r>
    </w:p>
    <w:p w:rsidR="000820A8" w:rsidRPr="00D80630" w:rsidP="000820A8" w14:paraId="5DF50F1F" w14:textId="77777777">
      <w:pPr>
        <w:pStyle w:val="ListParagraph"/>
        <w:tabs>
          <w:tab w:val="left" w:pos="1530"/>
        </w:tabs>
        <w:ind w:left="1440"/>
      </w:pPr>
    </w:p>
    <w:p w:rsidR="00AA6780" w:rsidRPr="00D80630" w:rsidP="00A25682" w14:paraId="4110966F" w14:textId="1F40BB65">
      <w:pPr>
        <w:pStyle w:val="ListParagraph"/>
        <w:ind w:left="1080"/>
        <w:rPr>
          <w:b/>
        </w:rPr>
      </w:pPr>
      <w:r w:rsidRPr="00D80630">
        <w:rPr>
          <w:b/>
        </w:rPr>
        <w:t>10.</w:t>
      </w:r>
      <w:r w:rsidRPr="00D80630">
        <w:rPr>
          <w:b/>
        </w:rPr>
        <w:tab/>
      </w:r>
      <w:r w:rsidRPr="00D80630" w:rsidR="00852E30">
        <w:rPr>
          <w:b/>
        </w:rPr>
        <w:t xml:space="preserve"> </w:t>
      </w:r>
      <w:r w:rsidRPr="00D80630">
        <w:rPr>
          <w:b/>
        </w:rPr>
        <w:t>Assurances of Confidentiality</w:t>
      </w:r>
    </w:p>
    <w:p w:rsidR="00AA6780" w:rsidRPr="00D80630" w:rsidP="00A25682" w14:paraId="3468051B" w14:textId="77777777">
      <w:pPr>
        <w:ind w:left="1440"/>
        <w:rPr>
          <w:rFonts w:ascii="Times New Roman" w:hAnsi="Times New Roman"/>
          <w:i/>
          <w:color w:val="0000FF"/>
          <w:sz w:val="24"/>
          <w:szCs w:val="24"/>
        </w:rPr>
      </w:pPr>
      <w:r w:rsidRPr="00D80630">
        <w:rPr>
          <w:rFonts w:ascii="Times New Roman" w:hAnsi="Times New Roman"/>
          <w:sz w:val="24"/>
          <w:szCs w:val="24"/>
        </w:rPr>
        <w:t xml:space="preserve">SSA protects and holds confidential the information </w:t>
      </w:r>
      <w:r w:rsidRPr="00D80630" w:rsidR="00F92B8D">
        <w:rPr>
          <w:rFonts w:ascii="Times New Roman" w:hAnsi="Times New Roman"/>
          <w:sz w:val="24"/>
          <w:szCs w:val="24"/>
        </w:rPr>
        <w:t>it</w:t>
      </w:r>
      <w:r w:rsidRPr="00D80630">
        <w:rPr>
          <w:rFonts w:ascii="Times New Roman" w:hAnsi="Times New Roman"/>
          <w:sz w:val="24"/>
          <w:szCs w:val="24"/>
        </w:rPr>
        <w:t xml:space="preserve"> collect</w:t>
      </w:r>
      <w:r w:rsidRPr="00D80630" w:rsidR="00F92B8D">
        <w:rPr>
          <w:rFonts w:ascii="Times New Roman" w:hAnsi="Times New Roman"/>
          <w:sz w:val="24"/>
          <w:szCs w:val="24"/>
        </w:rPr>
        <w:t>s</w:t>
      </w:r>
      <w:r w:rsidRPr="00D80630">
        <w:rPr>
          <w:rFonts w:ascii="Times New Roman" w:hAnsi="Times New Roman"/>
          <w:sz w:val="24"/>
          <w:szCs w:val="24"/>
        </w:rPr>
        <w:t xml:space="preserve"> in accordance with </w:t>
      </w:r>
      <w:r w:rsidRPr="00D80630" w:rsidR="00F92B8D">
        <w:rPr>
          <w:rFonts w:ascii="Times New Roman" w:hAnsi="Times New Roman"/>
          <w:i/>
          <w:sz w:val="24"/>
          <w:szCs w:val="24"/>
        </w:rPr>
        <w:t>42 U.S.C. 1306, 20 CFR 401 and 402, 5 U.S.C. 552 (</w:t>
      </w:r>
      <w:r w:rsidRPr="00D80630" w:rsidR="00F92B8D">
        <w:rPr>
          <w:rFonts w:ascii="Times New Roman" w:hAnsi="Times New Roman"/>
          <w:sz w:val="24"/>
          <w:szCs w:val="24"/>
        </w:rPr>
        <w:t>Freedom of Information</w:t>
      </w:r>
      <w:r w:rsidRPr="00D80630" w:rsidR="00F92B8D">
        <w:rPr>
          <w:rFonts w:ascii="Times New Roman" w:hAnsi="Times New Roman"/>
          <w:i/>
          <w:sz w:val="24"/>
          <w:szCs w:val="24"/>
        </w:rPr>
        <w:t xml:space="preserve"> </w:t>
      </w:r>
      <w:r w:rsidRPr="00D80630" w:rsidR="00F92B8D">
        <w:rPr>
          <w:rFonts w:ascii="Times New Roman" w:hAnsi="Times New Roman"/>
          <w:sz w:val="24"/>
          <w:szCs w:val="24"/>
        </w:rPr>
        <w:t>Ac</w:t>
      </w:r>
      <w:r w:rsidRPr="00D80630" w:rsidR="00F92B8D">
        <w:rPr>
          <w:rFonts w:ascii="Times New Roman" w:hAnsi="Times New Roman"/>
          <w:i/>
          <w:sz w:val="24"/>
          <w:szCs w:val="24"/>
        </w:rPr>
        <w:t>t), 5 U.S.C. 552a (</w:t>
      </w:r>
      <w:r w:rsidRPr="00D80630" w:rsidR="00F92B8D">
        <w:rPr>
          <w:rFonts w:ascii="Times New Roman" w:hAnsi="Times New Roman"/>
          <w:sz w:val="24"/>
          <w:szCs w:val="24"/>
        </w:rPr>
        <w:t>Privacy Act of 1974</w:t>
      </w:r>
      <w:r w:rsidRPr="00D80630" w:rsidR="00F92B8D">
        <w:rPr>
          <w:rFonts w:ascii="Times New Roman" w:hAnsi="Times New Roman"/>
          <w:i/>
          <w:sz w:val="24"/>
          <w:szCs w:val="24"/>
        </w:rPr>
        <w:t xml:space="preserve">), </w:t>
      </w:r>
      <w:r w:rsidRPr="00D80630" w:rsidR="00F92B8D">
        <w:rPr>
          <w:rFonts w:ascii="Times New Roman" w:hAnsi="Times New Roman"/>
          <w:sz w:val="24"/>
          <w:szCs w:val="24"/>
        </w:rPr>
        <w:t>and OMB Circular No. A-130</w:t>
      </w:r>
      <w:r w:rsidRPr="00D80630" w:rsidR="00F92B8D">
        <w:rPr>
          <w:rFonts w:ascii="Times New Roman" w:hAnsi="Times New Roman"/>
          <w:i/>
          <w:color w:val="0000FF"/>
          <w:sz w:val="24"/>
          <w:szCs w:val="24"/>
        </w:rPr>
        <w:t>.</w:t>
      </w:r>
    </w:p>
    <w:p w:rsidR="00AA6780" w:rsidRPr="00D80630" w:rsidP="00CB3DE0" w14:paraId="15989C0D" w14:textId="1A48FDF0">
      <w:pPr>
        <w:pStyle w:val="ListParagraph"/>
        <w:ind w:left="1080"/>
        <w:rPr>
          <w:b/>
        </w:rPr>
      </w:pPr>
      <w:r w:rsidRPr="00D80630">
        <w:rPr>
          <w:b/>
        </w:rPr>
        <w:t>11.</w:t>
      </w:r>
      <w:r w:rsidRPr="00D80630">
        <w:rPr>
          <w:b/>
        </w:rPr>
        <w:tab/>
        <w:t>Justification for Sensitive Questions</w:t>
      </w:r>
    </w:p>
    <w:p w:rsidR="00A75025" w:rsidRPr="00D80630" w:rsidP="00A75025" w14:paraId="366434BD" w14:textId="046A7C1C">
      <w:pPr>
        <w:spacing w:after="0"/>
        <w:ind w:left="1440"/>
        <w:rPr>
          <w:rFonts w:ascii="Times New Roman" w:hAnsi="Times New Roman"/>
          <w:color w:val="000000" w:themeColor="text1"/>
          <w:sz w:val="24"/>
          <w:szCs w:val="24"/>
        </w:rPr>
      </w:pPr>
      <w:r w:rsidRPr="00D80630">
        <w:rPr>
          <w:rFonts w:ascii="Times New Roman" w:hAnsi="Times New Roman"/>
          <w:snapToGrid w:val="0"/>
          <w:color w:val="000000" w:themeColor="text1"/>
          <w:sz w:val="24"/>
          <w:szCs w:val="24"/>
        </w:rPr>
        <w:t xml:space="preserve">As stated in #2 above, we need to ask some questions which some respondents may perceive as sensitive in nature to assess their eligibility for </w:t>
      </w:r>
      <w:r w:rsidRPr="00D80630" w:rsidR="00DC5CCE">
        <w:rPr>
          <w:rFonts w:ascii="Times New Roman" w:hAnsi="Times New Roman"/>
          <w:snapToGrid w:val="0"/>
          <w:color w:val="000000" w:themeColor="text1"/>
          <w:sz w:val="24"/>
          <w:szCs w:val="24"/>
        </w:rPr>
        <w:t>direct fee paymen</w:t>
      </w:r>
      <w:r w:rsidRPr="00D80630" w:rsidR="00916CD4">
        <w:rPr>
          <w:rFonts w:ascii="Times New Roman" w:hAnsi="Times New Roman"/>
          <w:snapToGrid w:val="0"/>
          <w:color w:val="000000" w:themeColor="text1"/>
          <w:sz w:val="24"/>
          <w:szCs w:val="24"/>
        </w:rPr>
        <w:t>ts</w:t>
      </w:r>
      <w:r w:rsidRPr="00D80630">
        <w:rPr>
          <w:rFonts w:ascii="Times New Roman" w:hAnsi="Times New Roman"/>
          <w:snapToGrid w:val="0"/>
          <w:color w:val="000000" w:themeColor="text1"/>
          <w:sz w:val="24"/>
          <w:szCs w:val="24"/>
        </w:rPr>
        <w:t xml:space="preserve"> under this program</w:t>
      </w:r>
      <w:r w:rsidRPr="00D80630" w:rsidR="00F03C70">
        <w:rPr>
          <w:rFonts w:ascii="Times New Roman" w:hAnsi="Times New Roman"/>
          <w:snapToGrid w:val="0"/>
          <w:color w:val="000000" w:themeColor="text1"/>
          <w:sz w:val="24"/>
          <w:szCs w:val="24"/>
        </w:rPr>
        <w:t xml:space="preserve"> or income recording, or both</w:t>
      </w:r>
      <w:r w:rsidRPr="00D80630" w:rsidR="00C456D6">
        <w:rPr>
          <w:rFonts w:ascii="Times New Roman" w:hAnsi="Times New Roman"/>
          <w:snapToGrid w:val="0"/>
          <w:color w:val="000000" w:themeColor="text1"/>
          <w:sz w:val="24"/>
          <w:szCs w:val="24"/>
        </w:rPr>
        <w:t xml:space="preserve">.  </w:t>
      </w:r>
      <w:r w:rsidRPr="00D80630">
        <w:rPr>
          <w:rFonts w:ascii="Times New Roman" w:hAnsi="Times New Roman"/>
          <w:snapToGrid w:val="0"/>
          <w:color w:val="000000" w:themeColor="text1"/>
          <w:sz w:val="24"/>
          <w:szCs w:val="24"/>
        </w:rPr>
        <w:t xml:space="preserve">These include questions regarding their </w:t>
      </w:r>
      <w:r w:rsidRPr="00D80630" w:rsidR="00241D12">
        <w:rPr>
          <w:rFonts w:ascii="Times New Roman" w:hAnsi="Times New Roman"/>
          <w:snapToGrid w:val="0"/>
          <w:color w:val="000000" w:themeColor="text1"/>
          <w:sz w:val="24"/>
          <w:szCs w:val="24"/>
        </w:rPr>
        <w:t>business entity information and their banking information</w:t>
      </w:r>
      <w:r w:rsidRPr="00D80630" w:rsidR="00C456D6">
        <w:rPr>
          <w:rFonts w:ascii="Times New Roman" w:hAnsi="Times New Roman"/>
          <w:snapToGrid w:val="0"/>
          <w:color w:val="000000" w:themeColor="text1"/>
          <w:sz w:val="24"/>
          <w:szCs w:val="24"/>
        </w:rPr>
        <w:t xml:space="preserve">.  </w:t>
      </w:r>
      <w:r w:rsidRPr="00D80630">
        <w:rPr>
          <w:rFonts w:ascii="Times New Roman" w:hAnsi="Times New Roman"/>
          <w:snapToGrid w:val="0"/>
          <w:color w:val="000000" w:themeColor="text1"/>
          <w:sz w:val="24"/>
          <w:szCs w:val="24"/>
        </w:rPr>
        <w:t xml:space="preserve">As such, this information collection may have psychological costs pertaining to collection of personal questions (which we also discussed in #2 above).  However, we must ask these questions to </w:t>
      </w:r>
      <w:r w:rsidRPr="00D80630">
        <w:rPr>
          <w:rFonts w:ascii="Times New Roman" w:hAnsi="Times New Roman"/>
          <w:color w:val="000000" w:themeColor="text1"/>
          <w:sz w:val="24"/>
          <w:szCs w:val="24"/>
        </w:rPr>
        <w:t xml:space="preserve">evaluate the </w:t>
      </w:r>
      <w:r w:rsidRPr="00D80630" w:rsidR="0002128A">
        <w:rPr>
          <w:rFonts w:ascii="Times New Roman" w:hAnsi="Times New Roman"/>
          <w:color w:val="000000" w:themeColor="text1"/>
          <w:sz w:val="24"/>
          <w:szCs w:val="24"/>
        </w:rPr>
        <w:t>eligibility for direct fee payment</w:t>
      </w:r>
      <w:r w:rsidRPr="00D80630" w:rsidR="00CA14EF">
        <w:rPr>
          <w:rFonts w:ascii="Times New Roman" w:hAnsi="Times New Roman"/>
          <w:color w:val="000000" w:themeColor="text1"/>
          <w:sz w:val="24"/>
          <w:szCs w:val="24"/>
        </w:rPr>
        <w:t xml:space="preserve"> and makes the payment recording and income reporting processes more efficient</w:t>
      </w:r>
      <w:r w:rsidRPr="00D80630" w:rsidR="0002128A">
        <w:rPr>
          <w:rFonts w:ascii="Times New Roman" w:hAnsi="Times New Roman"/>
          <w:color w:val="000000" w:themeColor="text1"/>
          <w:sz w:val="24"/>
          <w:szCs w:val="24"/>
        </w:rPr>
        <w:t>.</w:t>
      </w:r>
      <w:r w:rsidRPr="00D80630">
        <w:rPr>
          <w:rFonts w:ascii="Times New Roman" w:hAnsi="Times New Roman"/>
          <w:color w:val="000000" w:themeColor="text1"/>
          <w:sz w:val="24"/>
          <w:szCs w:val="24"/>
        </w:rPr>
        <w:t xml:space="preserve"> </w:t>
      </w:r>
    </w:p>
    <w:p w:rsidR="00AA6780" w:rsidRPr="00D80630" w:rsidP="00AA6780" w14:paraId="21C9AC07" w14:textId="77777777">
      <w:pPr>
        <w:pStyle w:val="ListParagraph"/>
      </w:pPr>
    </w:p>
    <w:p w:rsidR="009C266C" w:rsidRPr="00D80630" w:rsidP="00297D1A" w14:paraId="79FAB93B" w14:textId="59A07BAD">
      <w:pPr>
        <w:pStyle w:val="ListParagraph"/>
        <w:ind w:left="1080"/>
      </w:pPr>
      <w:r w:rsidRPr="00D80630">
        <w:rPr>
          <w:b/>
        </w:rPr>
        <w:t>12.</w:t>
      </w:r>
      <w:r w:rsidRPr="00D80630">
        <w:rPr>
          <w:b/>
        </w:rPr>
        <w:tab/>
      </w:r>
      <w:r w:rsidRPr="00D80630" w:rsidR="00AA6780">
        <w:rPr>
          <w:b/>
        </w:rPr>
        <w:t>Estimates of Public Reporting Burden</w:t>
      </w:r>
    </w:p>
    <w:tbl>
      <w:tblPr>
        <w:tblW w:w="9594"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1523"/>
        <w:gridCol w:w="1310"/>
        <w:gridCol w:w="1190"/>
        <w:gridCol w:w="1256"/>
        <w:gridCol w:w="1389"/>
        <w:gridCol w:w="1510"/>
      </w:tblGrid>
      <w:tr w14:paraId="49D24DDB" w14:textId="77777777" w:rsidTr="007424D3">
        <w:tblPrEx>
          <w:tblW w:w="9594"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16" w:type="dxa"/>
          </w:tcPr>
          <w:p w:rsidR="00BB481E" w:rsidRPr="00D80630" w:rsidP="00BB481E" w14:paraId="0AC2D433" w14:textId="77777777">
            <w:pPr>
              <w:spacing w:after="0" w:line="240" w:lineRule="auto"/>
              <w:rPr>
                <w:rFonts w:ascii="Times New Roman" w:eastAsia="SimSun" w:hAnsi="Times New Roman"/>
                <w:b/>
                <w:sz w:val="24"/>
                <w:szCs w:val="24"/>
                <w:lang w:eastAsia="zh-CN"/>
              </w:rPr>
            </w:pPr>
            <w:r w:rsidRPr="00D80630">
              <w:rPr>
                <w:rFonts w:ascii="Times New Roman" w:eastAsia="SimSun" w:hAnsi="Times New Roman"/>
                <w:b/>
                <w:sz w:val="24"/>
                <w:szCs w:val="24"/>
                <w:lang w:eastAsia="zh-CN"/>
              </w:rPr>
              <w:t>Modality of Completion</w:t>
            </w:r>
          </w:p>
        </w:tc>
        <w:tc>
          <w:tcPr>
            <w:tcW w:w="1523" w:type="dxa"/>
          </w:tcPr>
          <w:p w:rsidR="00BB481E" w:rsidRPr="00D80630" w:rsidP="00BB481E" w14:paraId="6F536418" w14:textId="77777777">
            <w:pPr>
              <w:spacing w:after="0" w:line="240" w:lineRule="auto"/>
              <w:rPr>
                <w:rFonts w:ascii="Times New Roman" w:eastAsia="SimSun" w:hAnsi="Times New Roman"/>
                <w:b/>
                <w:sz w:val="24"/>
                <w:szCs w:val="24"/>
                <w:lang w:eastAsia="zh-CN"/>
              </w:rPr>
            </w:pPr>
            <w:r w:rsidRPr="00D80630">
              <w:rPr>
                <w:rFonts w:ascii="Times New Roman" w:eastAsia="SimSun" w:hAnsi="Times New Roman"/>
                <w:b/>
                <w:sz w:val="24"/>
                <w:szCs w:val="24"/>
                <w:lang w:eastAsia="zh-CN"/>
              </w:rPr>
              <w:t>Number of Respondents</w:t>
            </w:r>
          </w:p>
        </w:tc>
        <w:tc>
          <w:tcPr>
            <w:tcW w:w="1310" w:type="dxa"/>
          </w:tcPr>
          <w:p w:rsidR="00BB481E" w:rsidRPr="00D80630" w:rsidP="00BB481E" w14:paraId="6D33D611" w14:textId="77777777">
            <w:pPr>
              <w:spacing w:after="0" w:line="240" w:lineRule="auto"/>
              <w:rPr>
                <w:rFonts w:ascii="Times New Roman" w:eastAsia="SimSun" w:hAnsi="Times New Roman"/>
                <w:b/>
                <w:sz w:val="24"/>
                <w:szCs w:val="24"/>
                <w:lang w:eastAsia="zh-CN"/>
              </w:rPr>
            </w:pPr>
            <w:r w:rsidRPr="00D80630">
              <w:rPr>
                <w:rFonts w:ascii="Times New Roman" w:eastAsia="SimSun" w:hAnsi="Times New Roman"/>
                <w:b/>
                <w:sz w:val="24"/>
                <w:szCs w:val="24"/>
                <w:lang w:eastAsia="zh-CN"/>
              </w:rPr>
              <w:t>Frequency of Response</w:t>
            </w:r>
          </w:p>
        </w:tc>
        <w:tc>
          <w:tcPr>
            <w:tcW w:w="1190" w:type="dxa"/>
          </w:tcPr>
          <w:p w:rsidR="00BB481E" w:rsidRPr="00D80630" w:rsidP="00BB481E" w14:paraId="78A832FF" w14:textId="77777777">
            <w:pPr>
              <w:spacing w:after="0" w:line="240" w:lineRule="auto"/>
              <w:rPr>
                <w:rFonts w:ascii="Times New Roman" w:eastAsia="SimSun" w:hAnsi="Times New Roman"/>
                <w:b/>
                <w:sz w:val="24"/>
                <w:szCs w:val="24"/>
                <w:lang w:eastAsia="zh-CN"/>
              </w:rPr>
            </w:pPr>
            <w:r w:rsidRPr="00D80630">
              <w:rPr>
                <w:rFonts w:ascii="Times New Roman" w:eastAsia="SimSun" w:hAnsi="Times New Roman"/>
                <w:b/>
                <w:sz w:val="24"/>
                <w:szCs w:val="24"/>
                <w:lang w:eastAsia="zh-CN"/>
              </w:rPr>
              <w:t>Average Burden per Response (minutes)</w:t>
            </w:r>
          </w:p>
        </w:tc>
        <w:tc>
          <w:tcPr>
            <w:tcW w:w="1256" w:type="dxa"/>
          </w:tcPr>
          <w:p w:rsidR="00BB481E" w:rsidRPr="00D80630" w:rsidP="00BB481E" w14:paraId="67B96555" w14:textId="77777777">
            <w:pPr>
              <w:spacing w:after="0" w:line="240" w:lineRule="auto"/>
              <w:rPr>
                <w:rFonts w:ascii="Times New Roman" w:eastAsia="SimSun" w:hAnsi="Times New Roman"/>
                <w:b/>
                <w:sz w:val="24"/>
                <w:szCs w:val="24"/>
                <w:lang w:eastAsia="zh-CN"/>
              </w:rPr>
            </w:pPr>
            <w:r w:rsidRPr="00D80630">
              <w:rPr>
                <w:rFonts w:ascii="Times New Roman" w:eastAsia="SimSun" w:hAnsi="Times New Roman"/>
                <w:b/>
                <w:sz w:val="24"/>
                <w:szCs w:val="24"/>
                <w:lang w:eastAsia="zh-CN"/>
              </w:rPr>
              <w:t>Estimated Total Annual Burden (hours)</w:t>
            </w:r>
          </w:p>
        </w:tc>
        <w:tc>
          <w:tcPr>
            <w:tcW w:w="1389" w:type="dxa"/>
          </w:tcPr>
          <w:p w:rsidR="00BB481E" w:rsidRPr="00D80630" w:rsidP="00BB481E" w14:paraId="4E716218" w14:textId="77777777">
            <w:pPr>
              <w:spacing w:after="0" w:line="240" w:lineRule="auto"/>
              <w:rPr>
                <w:rFonts w:ascii="Times New Roman" w:eastAsia="SimSun" w:hAnsi="Times New Roman"/>
                <w:b/>
                <w:sz w:val="24"/>
                <w:szCs w:val="24"/>
                <w:lang w:eastAsia="zh-CN"/>
              </w:rPr>
            </w:pPr>
            <w:r w:rsidRPr="00D80630">
              <w:rPr>
                <w:rFonts w:ascii="Times New Roman" w:eastAsia="SimSun" w:hAnsi="Times New Roman"/>
                <w:b/>
                <w:sz w:val="24"/>
                <w:szCs w:val="24"/>
                <w:lang w:eastAsia="zh-CN"/>
              </w:rPr>
              <w:t>Average Theoretical Hourly Cost Amount (dollars)*</w:t>
            </w:r>
          </w:p>
        </w:tc>
        <w:tc>
          <w:tcPr>
            <w:tcW w:w="1510" w:type="dxa"/>
          </w:tcPr>
          <w:p w:rsidR="00BB481E" w:rsidRPr="00D80630" w:rsidP="00BB481E" w14:paraId="6ECD01FE" w14:textId="77777777">
            <w:pPr>
              <w:spacing w:after="0" w:line="240" w:lineRule="auto"/>
              <w:rPr>
                <w:rFonts w:ascii="Times New Roman" w:eastAsia="SimSun" w:hAnsi="Times New Roman"/>
                <w:b/>
                <w:sz w:val="24"/>
                <w:szCs w:val="24"/>
                <w:lang w:eastAsia="zh-CN"/>
              </w:rPr>
            </w:pPr>
            <w:r w:rsidRPr="00D80630">
              <w:rPr>
                <w:rFonts w:ascii="Times New Roman" w:eastAsia="SimSun" w:hAnsi="Times New Roman"/>
                <w:b/>
                <w:sz w:val="24"/>
                <w:szCs w:val="24"/>
                <w:lang w:eastAsia="zh-CN"/>
              </w:rPr>
              <w:t>Total Annual Opportunity Cost (dollars)**</w:t>
            </w:r>
          </w:p>
        </w:tc>
      </w:tr>
      <w:tr w14:paraId="67700FF8" w14:textId="77777777" w:rsidTr="007424D3">
        <w:tblPrEx>
          <w:tblW w:w="9594" w:type="dxa"/>
          <w:tblInd w:w="535" w:type="dxa"/>
          <w:tblLook w:val="01E0"/>
        </w:tblPrEx>
        <w:tc>
          <w:tcPr>
            <w:tcW w:w="1416" w:type="dxa"/>
          </w:tcPr>
          <w:p w:rsidR="00BB481E" w:rsidRPr="00D80630" w:rsidP="00A1608A" w14:paraId="2401A9A5" w14:textId="3FCE7809">
            <w:pPr>
              <w:spacing w:after="0" w:line="240" w:lineRule="auto"/>
              <w:rPr>
                <w:rFonts w:ascii="Times New Roman" w:eastAsia="SimSun" w:hAnsi="Times New Roman"/>
                <w:sz w:val="24"/>
                <w:szCs w:val="24"/>
                <w:lang w:eastAsia="zh-CN"/>
              </w:rPr>
            </w:pPr>
            <w:r w:rsidRPr="00D80630">
              <w:rPr>
                <w:rFonts w:ascii="Times New Roman" w:eastAsia="SimSun" w:hAnsi="Times New Roman"/>
                <w:sz w:val="24"/>
                <w:szCs w:val="24"/>
                <w:lang w:eastAsia="zh-CN"/>
              </w:rPr>
              <w:t xml:space="preserve">SSA -1694 </w:t>
            </w:r>
          </w:p>
        </w:tc>
        <w:tc>
          <w:tcPr>
            <w:tcW w:w="1523" w:type="dxa"/>
          </w:tcPr>
          <w:p w:rsidR="00BB481E" w:rsidRPr="00D80630" w:rsidP="00A1608A" w14:paraId="6ED5E5AC" w14:textId="618E3DF4">
            <w:pPr>
              <w:spacing w:after="0" w:line="240" w:lineRule="auto"/>
              <w:jc w:val="right"/>
              <w:rPr>
                <w:rFonts w:ascii="Times New Roman" w:eastAsia="SimSun" w:hAnsi="Times New Roman"/>
                <w:sz w:val="24"/>
                <w:szCs w:val="24"/>
                <w:lang w:eastAsia="zh-CN"/>
              </w:rPr>
            </w:pPr>
            <w:r w:rsidRPr="00D80630">
              <w:rPr>
                <w:rFonts w:ascii="Times New Roman" w:eastAsia="SimSun" w:hAnsi="Times New Roman"/>
                <w:sz w:val="24"/>
                <w:szCs w:val="24"/>
                <w:lang w:eastAsia="zh-CN"/>
              </w:rPr>
              <w:t>18</w:t>
            </w:r>
            <w:r w:rsidRPr="00D80630" w:rsidR="00091E08">
              <w:rPr>
                <w:rFonts w:ascii="Times New Roman" w:eastAsia="SimSun" w:hAnsi="Times New Roman"/>
                <w:sz w:val="24"/>
                <w:szCs w:val="24"/>
                <w:lang w:eastAsia="zh-CN"/>
              </w:rPr>
              <w:t>1</w:t>
            </w:r>
          </w:p>
        </w:tc>
        <w:tc>
          <w:tcPr>
            <w:tcW w:w="1310" w:type="dxa"/>
          </w:tcPr>
          <w:p w:rsidR="00BB481E" w:rsidRPr="00D80630" w:rsidP="00A1608A" w14:paraId="1ED8E34F" w14:textId="77777777">
            <w:pPr>
              <w:spacing w:after="0" w:line="240" w:lineRule="auto"/>
              <w:jc w:val="right"/>
              <w:rPr>
                <w:rFonts w:ascii="Times New Roman" w:eastAsia="SimSun" w:hAnsi="Times New Roman"/>
                <w:sz w:val="24"/>
                <w:szCs w:val="24"/>
                <w:lang w:eastAsia="zh-CN"/>
              </w:rPr>
            </w:pPr>
            <w:r w:rsidRPr="00D80630">
              <w:rPr>
                <w:rFonts w:ascii="Times New Roman" w:eastAsia="SimSun" w:hAnsi="Times New Roman"/>
                <w:sz w:val="24"/>
                <w:szCs w:val="24"/>
                <w:lang w:eastAsia="zh-CN"/>
              </w:rPr>
              <w:t>1</w:t>
            </w:r>
          </w:p>
        </w:tc>
        <w:tc>
          <w:tcPr>
            <w:tcW w:w="1190" w:type="dxa"/>
          </w:tcPr>
          <w:p w:rsidR="00BB481E" w:rsidRPr="00D80630" w:rsidP="00A1608A" w14:paraId="01950FDD" w14:textId="77777777">
            <w:pPr>
              <w:spacing w:after="0" w:line="240" w:lineRule="auto"/>
              <w:jc w:val="right"/>
              <w:rPr>
                <w:rFonts w:ascii="Times New Roman" w:eastAsia="SimSun" w:hAnsi="Times New Roman"/>
                <w:sz w:val="24"/>
                <w:szCs w:val="24"/>
                <w:lang w:eastAsia="zh-CN"/>
              </w:rPr>
            </w:pPr>
            <w:r w:rsidRPr="00D80630">
              <w:rPr>
                <w:rFonts w:ascii="Times New Roman" w:eastAsia="SimSun" w:hAnsi="Times New Roman"/>
                <w:sz w:val="24"/>
                <w:szCs w:val="24"/>
                <w:lang w:eastAsia="zh-CN"/>
              </w:rPr>
              <w:t>20</w:t>
            </w:r>
          </w:p>
        </w:tc>
        <w:tc>
          <w:tcPr>
            <w:tcW w:w="1256" w:type="dxa"/>
          </w:tcPr>
          <w:p w:rsidR="00BB481E" w:rsidRPr="00D80630" w:rsidP="00A1608A" w14:paraId="4E8E53AC" w14:textId="2B849324">
            <w:pPr>
              <w:spacing w:after="0" w:line="240" w:lineRule="auto"/>
              <w:jc w:val="right"/>
              <w:rPr>
                <w:rFonts w:ascii="Times New Roman" w:eastAsia="SimSun" w:hAnsi="Times New Roman"/>
                <w:sz w:val="24"/>
                <w:szCs w:val="24"/>
                <w:lang w:eastAsia="zh-CN"/>
              </w:rPr>
            </w:pPr>
            <w:r w:rsidRPr="00D80630">
              <w:rPr>
                <w:rFonts w:ascii="Times New Roman" w:eastAsia="SimSun" w:hAnsi="Times New Roman"/>
                <w:sz w:val="24"/>
                <w:szCs w:val="24"/>
                <w:lang w:eastAsia="zh-CN"/>
              </w:rPr>
              <w:t>60</w:t>
            </w:r>
          </w:p>
        </w:tc>
        <w:tc>
          <w:tcPr>
            <w:tcW w:w="1389" w:type="dxa"/>
          </w:tcPr>
          <w:p w:rsidR="00BB481E" w:rsidRPr="00D80630" w:rsidP="00A1608A" w14:paraId="452CC4C7" w14:textId="5E24D927">
            <w:pPr>
              <w:spacing w:after="0" w:line="240" w:lineRule="auto"/>
              <w:jc w:val="right"/>
              <w:rPr>
                <w:rFonts w:ascii="Times New Roman" w:eastAsia="SimSun" w:hAnsi="Times New Roman"/>
                <w:sz w:val="24"/>
                <w:szCs w:val="24"/>
                <w:lang w:eastAsia="zh-CN"/>
              </w:rPr>
            </w:pPr>
            <w:r w:rsidRPr="00D80630">
              <w:rPr>
                <w:rFonts w:ascii="Times New Roman" w:eastAsia="SimSun" w:hAnsi="Times New Roman"/>
                <w:sz w:val="24"/>
                <w:szCs w:val="24"/>
                <w:lang w:eastAsia="zh-CN"/>
              </w:rPr>
              <w:t>$</w:t>
            </w:r>
            <w:r w:rsidRPr="00D80630" w:rsidR="000A2242">
              <w:rPr>
                <w:rFonts w:ascii="Times New Roman" w:eastAsia="SimSun" w:hAnsi="Times New Roman"/>
                <w:sz w:val="24"/>
                <w:szCs w:val="24"/>
                <w:lang w:eastAsia="zh-CN"/>
              </w:rPr>
              <w:t>84.84</w:t>
            </w:r>
            <w:r w:rsidRPr="00D80630">
              <w:rPr>
                <w:rFonts w:ascii="Times New Roman" w:eastAsia="SimSun" w:hAnsi="Times New Roman"/>
                <w:sz w:val="24"/>
                <w:szCs w:val="24"/>
                <w:lang w:eastAsia="zh-CN"/>
              </w:rPr>
              <w:t>*</w:t>
            </w:r>
          </w:p>
        </w:tc>
        <w:tc>
          <w:tcPr>
            <w:tcW w:w="1510" w:type="dxa"/>
          </w:tcPr>
          <w:p w:rsidR="00BB481E" w:rsidRPr="00D80630" w:rsidP="00A1608A" w14:paraId="6185DCAF" w14:textId="4C3DB684">
            <w:pPr>
              <w:spacing w:after="0" w:line="240" w:lineRule="auto"/>
              <w:jc w:val="right"/>
              <w:rPr>
                <w:rFonts w:ascii="Times New Roman" w:eastAsia="SimSun" w:hAnsi="Times New Roman"/>
                <w:sz w:val="24"/>
                <w:szCs w:val="24"/>
                <w:lang w:eastAsia="zh-CN"/>
              </w:rPr>
            </w:pPr>
            <w:r w:rsidRPr="00D80630">
              <w:rPr>
                <w:rFonts w:ascii="Times New Roman" w:eastAsia="SimSun" w:hAnsi="Times New Roman"/>
                <w:sz w:val="24"/>
                <w:szCs w:val="24"/>
                <w:lang w:eastAsia="zh-CN"/>
              </w:rPr>
              <w:t>$</w:t>
            </w:r>
            <w:r w:rsidRPr="00D80630" w:rsidR="007249B4">
              <w:rPr>
                <w:rFonts w:ascii="Times New Roman" w:eastAsia="SimSun" w:hAnsi="Times New Roman"/>
                <w:sz w:val="24"/>
                <w:szCs w:val="24"/>
                <w:lang w:eastAsia="zh-CN"/>
              </w:rPr>
              <w:t>5,0</w:t>
            </w:r>
            <w:r w:rsidRPr="00D80630" w:rsidR="009460A1">
              <w:rPr>
                <w:rFonts w:ascii="Times New Roman" w:eastAsia="SimSun" w:hAnsi="Times New Roman"/>
                <w:sz w:val="24"/>
                <w:szCs w:val="24"/>
                <w:lang w:eastAsia="zh-CN"/>
              </w:rPr>
              <w:t>90</w:t>
            </w:r>
            <w:r w:rsidRPr="00D80630">
              <w:rPr>
                <w:rFonts w:ascii="Times New Roman" w:eastAsia="SimSun" w:hAnsi="Times New Roman"/>
                <w:sz w:val="24"/>
                <w:szCs w:val="24"/>
                <w:lang w:eastAsia="zh-CN"/>
              </w:rPr>
              <w:t>**</w:t>
            </w:r>
          </w:p>
        </w:tc>
      </w:tr>
    </w:tbl>
    <w:p w:rsidR="00BB481E" w:rsidRPr="004222C5" w:rsidP="0071723F" w14:paraId="0CA5176E" w14:textId="2A015715">
      <w:pPr>
        <w:spacing w:line="240" w:lineRule="auto"/>
        <w:ind w:left="1440"/>
        <w:rPr>
          <w:rStyle w:val="Hyperlink"/>
          <w:rFonts w:ascii="Times New Roman" w:hAnsi="Times New Roman"/>
          <w:sz w:val="24"/>
          <w:szCs w:val="24"/>
        </w:rPr>
      </w:pPr>
      <w:r w:rsidRPr="00D80630">
        <w:rPr>
          <w:rFonts w:ascii="Times New Roman" w:hAnsi="Times New Roman"/>
          <w:sz w:val="24"/>
          <w:szCs w:val="24"/>
        </w:rPr>
        <w:t xml:space="preserve">* We based this figure on the average legal occupation’s hourly salary, as reported by Bureau of Labor Statistics data </w:t>
      </w:r>
      <w:r w:rsidRPr="004222C5">
        <w:rPr>
          <w:rFonts w:ascii="Times New Roman" w:hAnsi="Times New Roman"/>
          <w:sz w:val="24"/>
          <w:szCs w:val="24"/>
        </w:rPr>
        <w:t>(</w:t>
      </w:r>
      <w:hyperlink w:history="1"/>
      <w:hyperlink r:id="rId9" w:anchor="/industry/000000" w:history="1">
        <w:r w:rsidRPr="004222C5" w:rsidR="00BF0070">
          <w:rPr>
            <w:rStyle w:val="Hyperlink"/>
            <w:rFonts w:ascii="Times New Roman" w:hAnsi="Times New Roman"/>
            <w:sz w:val="24"/>
            <w:szCs w:val="24"/>
          </w:rPr>
          <w:t>Occupational Employment and Wage Statistics</w:t>
        </w:r>
      </w:hyperlink>
      <w:r w:rsidRPr="004222C5">
        <w:rPr>
          <w:rFonts w:ascii="Times New Roman" w:hAnsi="Times New Roman"/>
          <w:sz w:val="24"/>
          <w:szCs w:val="24"/>
        </w:rPr>
        <w:t>)</w:t>
      </w:r>
    </w:p>
    <w:p w:rsidR="00BB481E" w:rsidRPr="00D80630" w:rsidP="0071723F" w14:paraId="348099A6" w14:textId="77777777">
      <w:pPr>
        <w:pStyle w:val="ListParagraph"/>
        <w:ind w:left="1440"/>
        <w:rPr>
          <w:b/>
          <w:u w:val="single"/>
        </w:rPr>
      </w:pPr>
      <w:r w:rsidRPr="00D80630">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D80630">
        <w:rPr>
          <w:b/>
          <w:u w:val="single"/>
        </w:rPr>
        <w:t>There is no actual charge to respondents to complete the application.</w:t>
      </w:r>
    </w:p>
    <w:p w:rsidR="00F367D2" w:rsidRPr="00D80630" w:rsidP="00BB481E" w14:paraId="21F67BF5" w14:textId="77777777">
      <w:pPr>
        <w:pStyle w:val="ListParagraph"/>
        <w:tabs>
          <w:tab w:val="left" w:pos="1440"/>
        </w:tabs>
        <w:ind w:left="1440"/>
      </w:pPr>
    </w:p>
    <w:p w:rsidR="009C266C" w:rsidRPr="00D80630" w:rsidP="0071723F" w14:paraId="22A0FCC1" w14:textId="5496DDAD">
      <w:pPr>
        <w:pStyle w:val="ListParagraph"/>
        <w:tabs>
          <w:tab w:val="left" w:pos="1710"/>
        </w:tabs>
        <w:ind w:left="1440"/>
      </w:pPr>
      <w:r w:rsidRPr="00D80630">
        <w:t xml:space="preserve">The total burden for this ICR is </w:t>
      </w:r>
      <w:r w:rsidRPr="00D80630" w:rsidR="00657AC4">
        <w:rPr>
          <w:b/>
          <w:bCs/>
        </w:rPr>
        <w:t>60</w:t>
      </w:r>
      <w:r w:rsidRPr="00D80630">
        <w:rPr>
          <w:b/>
        </w:rPr>
        <w:t xml:space="preserve"> </w:t>
      </w:r>
      <w:r w:rsidRPr="00D80630">
        <w:t xml:space="preserve">burden hours (reflecting SSA management information data), which results in an associated theoretical (not actual) opportunity cost financial burden of </w:t>
      </w:r>
      <w:r w:rsidRPr="00D80630">
        <w:rPr>
          <w:b/>
          <w:bCs/>
        </w:rPr>
        <w:t>$</w:t>
      </w:r>
      <w:r w:rsidRPr="00D80630" w:rsidR="00657AC4">
        <w:rPr>
          <w:b/>
          <w:bCs/>
        </w:rPr>
        <w:t>5,090</w:t>
      </w:r>
      <w:r w:rsidRPr="00D80630">
        <w:t>.  SSA does not charge respondents to complete our applications.</w:t>
      </w:r>
    </w:p>
    <w:p w:rsidR="00FE33FD" w:rsidRPr="00D80630" w:rsidP="00F367D2" w14:paraId="20728B47" w14:textId="77777777">
      <w:pPr>
        <w:pStyle w:val="ListParagraph"/>
        <w:tabs>
          <w:tab w:val="left" w:pos="1710"/>
        </w:tabs>
        <w:ind w:left="1080"/>
      </w:pPr>
    </w:p>
    <w:p w:rsidR="00FE33FD" w:rsidRPr="00D80630" w:rsidP="0071723F" w14:paraId="6BB5B0AE" w14:textId="77777777">
      <w:pPr>
        <w:widowControl w:val="0"/>
        <w:spacing w:after="0"/>
        <w:ind w:left="1440"/>
        <w:rPr>
          <w:rFonts w:ascii="Times New Roman" w:hAnsi="Times New Roman"/>
          <w:snapToGrid w:val="0"/>
          <w:color w:val="000000" w:themeColor="text1"/>
          <w:sz w:val="24"/>
          <w:szCs w:val="24"/>
        </w:rPr>
      </w:pPr>
      <w:r w:rsidRPr="00D80630">
        <w:rPr>
          <w:rFonts w:ascii="Times New Roman" w:hAnsi="Times New Roman"/>
          <w:snapToGrid w:val="0"/>
          <w:color w:val="000000" w:themeColor="text1"/>
          <w:sz w:val="24"/>
          <w:szCs w:val="24"/>
        </w:rPr>
        <w:t xml:space="preserve">We calculated the following Learning Cost time burden based on the estimated time and effort we expect respondents will take to learn about this program, its </w:t>
      </w:r>
      <w:r w:rsidRPr="00D80630">
        <w:rPr>
          <w:rFonts w:ascii="Times New Roman" w:hAnsi="Times New Roman"/>
          <w:snapToGrid w:val="0"/>
          <w:color w:val="000000" w:themeColor="text1"/>
          <w:sz w:val="24"/>
          <w:szCs w:val="24"/>
        </w:rPr>
        <w:t>applicability to their circumstances, and to cover any additional research we believe respondents may need to take to understand how to comply with the program requirements (beyond reading the instructions on the collection instrument):</w:t>
      </w:r>
    </w:p>
    <w:p w:rsidR="00B44604" w:rsidRPr="00D80630" w:rsidP="00FE33FD" w14:paraId="73FF377F" w14:textId="77777777">
      <w:pPr>
        <w:widowControl w:val="0"/>
        <w:spacing w:after="0"/>
        <w:ind w:left="1080"/>
        <w:rPr>
          <w:rFonts w:ascii="Times New Roman" w:hAnsi="Times New Roman"/>
          <w:snapToGrid w:val="0"/>
          <w:color w:val="000000" w:themeColor="text1"/>
          <w:sz w:val="24"/>
          <w:szCs w:val="24"/>
        </w:rPr>
      </w:pPr>
    </w:p>
    <w:tbl>
      <w:tblPr>
        <w:tblW w:w="7483"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3"/>
        <w:gridCol w:w="1336"/>
        <w:gridCol w:w="1362"/>
        <w:gridCol w:w="1433"/>
        <w:gridCol w:w="1829"/>
      </w:tblGrid>
      <w:tr w14:paraId="08B15976" w14:textId="77777777" w:rsidTr="00D04034">
        <w:tblPrEx>
          <w:tblW w:w="7483"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362" w:type="dxa"/>
            <w:shd w:val="clear" w:color="auto" w:fill="auto"/>
          </w:tcPr>
          <w:p w:rsidR="00B44604" w:rsidRPr="00D80630" w:rsidP="00CC7DC7" w14:paraId="1EC34581" w14:textId="77777777">
            <w:pPr>
              <w:widowControl w:val="0"/>
              <w:spacing w:after="0"/>
              <w:rPr>
                <w:rFonts w:ascii="Times New Roman" w:hAnsi="Times New Roman"/>
                <w:b/>
                <w:snapToGrid w:val="0"/>
                <w:color w:val="000000" w:themeColor="text1"/>
                <w:sz w:val="24"/>
                <w:szCs w:val="24"/>
              </w:rPr>
            </w:pPr>
            <w:r w:rsidRPr="00D80630">
              <w:rPr>
                <w:rFonts w:ascii="Times New Roman" w:hAnsi="Times New Roman"/>
                <w:b/>
                <w:snapToGrid w:val="0"/>
                <w:color w:val="000000" w:themeColor="text1"/>
                <w:sz w:val="24"/>
                <w:szCs w:val="24"/>
              </w:rPr>
              <w:t xml:space="preserve">Total Number of Respondents </w:t>
            </w:r>
          </w:p>
        </w:tc>
        <w:tc>
          <w:tcPr>
            <w:tcW w:w="1342" w:type="dxa"/>
            <w:shd w:val="clear" w:color="auto" w:fill="auto"/>
          </w:tcPr>
          <w:p w:rsidR="00B44604" w:rsidRPr="00D80630" w:rsidP="00CC7DC7" w14:paraId="444E1FC8" w14:textId="77777777">
            <w:pPr>
              <w:widowControl w:val="0"/>
              <w:spacing w:after="0"/>
              <w:rPr>
                <w:rFonts w:ascii="Times New Roman" w:hAnsi="Times New Roman"/>
                <w:b/>
                <w:snapToGrid w:val="0"/>
                <w:color w:val="000000" w:themeColor="text1"/>
                <w:sz w:val="24"/>
                <w:szCs w:val="24"/>
              </w:rPr>
            </w:pPr>
            <w:r w:rsidRPr="00D80630">
              <w:rPr>
                <w:rFonts w:ascii="Times New Roman" w:hAnsi="Times New Roman"/>
                <w:b/>
                <w:snapToGrid w:val="0"/>
                <w:color w:val="000000" w:themeColor="text1"/>
                <w:sz w:val="24"/>
                <w:szCs w:val="24"/>
              </w:rPr>
              <w:t>Frequency of Response</w:t>
            </w:r>
          </w:p>
        </w:tc>
        <w:tc>
          <w:tcPr>
            <w:tcW w:w="1405" w:type="dxa"/>
            <w:shd w:val="clear" w:color="auto" w:fill="auto"/>
          </w:tcPr>
          <w:p w:rsidR="00B44604" w:rsidRPr="00D80630" w:rsidP="00CC7DC7" w14:paraId="04262529" w14:textId="77777777">
            <w:pPr>
              <w:widowControl w:val="0"/>
              <w:spacing w:after="0"/>
              <w:rPr>
                <w:rFonts w:ascii="Times New Roman" w:hAnsi="Times New Roman"/>
                <w:b/>
                <w:snapToGrid w:val="0"/>
                <w:color w:val="000000" w:themeColor="text1"/>
                <w:sz w:val="24"/>
                <w:szCs w:val="24"/>
              </w:rPr>
            </w:pPr>
            <w:r w:rsidRPr="00D80630">
              <w:rPr>
                <w:rFonts w:ascii="Times New Roman" w:hAnsi="Times New Roman"/>
                <w:b/>
                <w:snapToGrid w:val="0"/>
                <w:color w:val="000000" w:themeColor="text1"/>
                <w:sz w:val="24"/>
                <w:szCs w:val="24"/>
              </w:rPr>
              <w:t>Estimate Learning Cost (minutes)</w:t>
            </w:r>
          </w:p>
        </w:tc>
        <w:tc>
          <w:tcPr>
            <w:tcW w:w="1478" w:type="dxa"/>
          </w:tcPr>
          <w:p w:rsidR="00B44604" w:rsidRPr="00D80630" w:rsidP="00CC7DC7" w14:paraId="466C3FC8" w14:textId="77777777">
            <w:pPr>
              <w:widowControl w:val="0"/>
              <w:spacing w:after="0"/>
              <w:rPr>
                <w:rFonts w:ascii="Times New Roman" w:hAnsi="Times New Roman"/>
                <w:b/>
                <w:snapToGrid w:val="0"/>
                <w:color w:val="000000" w:themeColor="text1"/>
                <w:sz w:val="24"/>
                <w:szCs w:val="24"/>
              </w:rPr>
            </w:pPr>
            <w:r w:rsidRPr="00D80630">
              <w:rPr>
                <w:rFonts w:ascii="Times New Roman" w:hAnsi="Times New Roman"/>
                <w:b/>
                <w:snapToGrid w:val="0"/>
                <w:color w:val="000000" w:themeColor="text1"/>
                <w:sz w:val="24"/>
                <w:szCs w:val="24"/>
              </w:rPr>
              <w:t>Estimated Total Annual Burden (hours)</w:t>
            </w:r>
          </w:p>
        </w:tc>
        <w:tc>
          <w:tcPr>
            <w:tcW w:w="1896" w:type="dxa"/>
            <w:shd w:val="clear" w:color="auto" w:fill="auto"/>
          </w:tcPr>
          <w:p w:rsidR="00B44604" w:rsidRPr="00D80630" w:rsidP="00CC7DC7" w14:paraId="41D7A3BD" w14:textId="77777777">
            <w:pPr>
              <w:widowControl w:val="0"/>
              <w:spacing w:after="0"/>
              <w:rPr>
                <w:rFonts w:ascii="Times New Roman" w:hAnsi="Times New Roman"/>
                <w:b/>
                <w:snapToGrid w:val="0"/>
                <w:color w:val="000000" w:themeColor="text1"/>
                <w:sz w:val="24"/>
                <w:szCs w:val="24"/>
              </w:rPr>
            </w:pPr>
            <w:r w:rsidRPr="00D80630">
              <w:rPr>
                <w:rFonts w:ascii="Times New Roman" w:hAnsi="Times New Roman"/>
                <w:b/>
                <w:snapToGrid w:val="0"/>
                <w:color w:val="000000" w:themeColor="text1"/>
                <w:sz w:val="24"/>
                <w:szCs w:val="24"/>
              </w:rPr>
              <w:t>Total Annual Learning Cost (dollars)****</w:t>
            </w:r>
          </w:p>
        </w:tc>
      </w:tr>
      <w:tr w14:paraId="6AA12B0C" w14:textId="77777777" w:rsidTr="00D04034">
        <w:tblPrEx>
          <w:tblW w:w="7483" w:type="dxa"/>
          <w:tblInd w:w="1525" w:type="dxa"/>
          <w:tblLook w:val="04A0"/>
        </w:tblPrEx>
        <w:trPr>
          <w:trHeight w:val="306"/>
        </w:trPr>
        <w:tc>
          <w:tcPr>
            <w:tcW w:w="1362" w:type="dxa"/>
            <w:shd w:val="clear" w:color="auto" w:fill="auto"/>
          </w:tcPr>
          <w:p w:rsidR="00B44604" w:rsidRPr="00D80630" w:rsidP="00D04034" w14:paraId="16C1C881" w14:textId="46523F79">
            <w:pPr>
              <w:widowControl w:val="0"/>
              <w:spacing w:after="0"/>
              <w:jc w:val="right"/>
              <w:rPr>
                <w:rFonts w:ascii="Times New Roman" w:hAnsi="Times New Roman"/>
                <w:snapToGrid w:val="0"/>
                <w:color w:val="000000" w:themeColor="text1"/>
                <w:sz w:val="24"/>
                <w:szCs w:val="24"/>
              </w:rPr>
            </w:pPr>
            <w:r w:rsidRPr="00D80630">
              <w:rPr>
                <w:rFonts w:ascii="Times New Roman" w:hAnsi="Times New Roman"/>
                <w:snapToGrid w:val="0"/>
                <w:color w:val="000000" w:themeColor="text1"/>
                <w:sz w:val="24"/>
                <w:szCs w:val="24"/>
              </w:rPr>
              <w:t>181</w:t>
            </w:r>
          </w:p>
        </w:tc>
        <w:tc>
          <w:tcPr>
            <w:tcW w:w="1342" w:type="dxa"/>
            <w:shd w:val="clear" w:color="auto" w:fill="auto"/>
          </w:tcPr>
          <w:p w:rsidR="00B44604" w:rsidRPr="00D80630" w:rsidP="00D04034" w14:paraId="2335BF07" w14:textId="77777777">
            <w:pPr>
              <w:widowControl w:val="0"/>
              <w:spacing w:after="0"/>
              <w:jc w:val="right"/>
              <w:rPr>
                <w:rFonts w:ascii="Times New Roman" w:hAnsi="Times New Roman"/>
                <w:snapToGrid w:val="0"/>
                <w:color w:val="000000" w:themeColor="text1"/>
                <w:sz w:val="24"/>
                <w:szCs w:val="24"/>
              </w:rPr>
            </w:pPr>
            <w:r w:rsidRPr="00D80630">
              <w:rPr>
                <w:rFonts w:ascii="Times New Roman" w:hAnsi="Times New Roman"/>
                <w:snapToGrid w:val="0"/>
                <w:color w:val="000000" w:themeColor="text1"/>
                <w:sz w:val="24"/>
                <w:szCs w:val="24"/>
              </w:rPr>
              <w:t>1</w:t>
            </w:r>
          </w:p>
        </w:tc>
        <w:tc>
          <w:tcPr>
            <w:tcW w:w="1405" w:type="dxa"/>
            <w:shd w:val="clear" w:color="auto" w:fill="auto"/>
          </w:tcPr>
          <w:p w:rsidR="00B44604" w:rsidRPr="00D80630" w:rsidP="00D04034" w14:paraId="5FEE31EE" w14:textId="77777777">
            <w:pPr>
              <w:widowControl w:val="0"/>
              <w:spacing w:after="0"/>
              <w:jc w:val="right"/>
              <w:rPr>
                <w:rFonts w:ascii="Times New Roman" w:hAnsi="Times New Roman"/>
                <w:snapToGrid w:val="0"/>
                <w:color w:val="000000" w:themeColor="text1"/>
                <w:sz w:val="24"/>
                <w:szCs w:val="24"/>
              </w:rPr>
            </w:pPr>
            <w:r w:rsidRPr="00D80630">
              <w:rPr>
                <w:rFonts w:ascii="Times New Roman" w:hAnsi="Times New Roman"/>
                <w:snapToGrid w:val="0"/>
                <w:color w:val="000000" w:themeColor="text1"/>
                <w:sz w:val="24"/>
                <w:szCs w:val="24"/>
              </w:rPr>
              <w:t>15</w:t>
            </w:r>
          </w:p>
        </w:tc>
        <w:tc>
          <w:tcPr>
            <w:tcW w:w="1478" w:type="dxa"/>
          </w:tcPr>
          <w:p w:rsidR="00B44604" w:rsidRPr="00D80630" w:rsidP="00D04034" w14:paraId="4FFE4EC0" w14:textId="098A9DDA">
            <w:pPr>
              <w:widowControl w:val="0"/>
              <w:spacing w:after="0"/>
              <w:jc w:val="right"/>
              <w:rPr>
                <w:rFonts w:ascii="Times New Roman" w:hAnsi="Times New Roman"/>
                <w:snapToGrid w:val="0"/>
                <w:color w:val="000000" w:themeColor="text1"/>
                <w:sz w:val="24"/>
                <w:szCs w:val="24"/>
              </w:rPr>
            </w:pPr>
            <w:r w:rsidRPr="00D80630">
              <w:rPr>
                <w:rFonts w:ascii="Times New Roman" w:hAnsi="Times New Roman"/>
                <w:snapToGrid w:val="0"/>
                <w:color w:val="000000" w:themeColor="text1"/>
                <w:sz w:val="24"/>
                <w:szCs w:val="24"/>
              </w:rPr>
              <w:t>45</w:t>
            </w:r>
          </w:p>
        </w:tc>
        <w:tc>
          <w:tcPr>
            <w:tcW w:w="1896" w:type="dxa"/>
            <w:shd w:val="clear" w:color="auto" w:fill="auto"/>
          </w:tcPr>
          <w:p w:rsidR="00B44604" w:rsidRPr="00D80630" w:rsidP="00D04034" w14:paraId="6A200D0A" w14:textId="6D5324AF">
            <w:pPr>
              <w:widowControl w:val="0"/>
              <w:spacing w:after="0"/>
              <w:jc w:val="right"/>
              <w:rPr>
                <w:rFonts w:ascii="Times New Roman" w:hAnsi="Times New Roman"/>
                <w:snapToGrid w:val="0"/>
                <w:color w:val="000000" w:themeColor="text1"/>
                <w:sz w:val="24"/>
                <w:szCs w:val="24"/>
              </w:rPr>
            </w:pPr>
            <w:r w:rsidRPr="00D80630">
              <w:rPr>
                <w:rFonts w:ascii="Times New Roman" w:hAnsi="Times New Roman"/>
                <w:snapToGrid w:val="0"/>
                <w:color w:val="000000" w:themeColor="text1"/>
                <w:sz w:val="24"/>
                <w:szCs w:val="24"/>
              </w:rPr>
              <w:t>$3,81</w:t>
            </w:r>
            <w:r w:rsidR="00D04034">
              <w:rPr>
                <w:rFonts w:ascii="Times New Roman" w:hAnsi="Times New Roman"/>
                <w:snapToGrid w:val="0"/>
                <w:color w:val="000000" w:themeColor="text1"/>
                <w:sz w:val="24"/>
                <w:szCs w:val="24"/>
              </w:rPr>
              <w:t>8</w:t>
            </w:r>
          </w:p>
        </w:tc>
      </w:tr>
    </w:tbl>
    <w:p w:rsidR="00623F54" w:rsidRPr="00D80630" w:rsidP="00623F54" w14:paraId="40A021BF" w14:textId="77777777">
      <w:pPr>
        <w:widowControl w:val="0"/>
        <w:spacing w:after="0"/>
        <w:ind w:left="1440"/>
        <w:rPr>
          <w:rFonts w:ascii="Times New Roman" w:hAnsi="Times New Roman"/>
          <w:snapToGrid w:val="0"/>
          <w:color w:val="000000" w:themeColor="text1"/>
          <w:sz w:val="24"/>
          <w:szCs w:val="24"/>
        </w:rPr>
      </w:pPr>
      <w:r w:rsidRPr="00D80630">
        <w:rPr>
          <w:rFonts w:ascii="Times New Roman" w:hAnsi="Times New Roman"/>
          <w:snapToGrid w:val="0"/>
          <w:color w:val="000000" w:themeColor="text1"/>
          <w:sz w:val="24"/>
          <w:szCs w:val="24"/>
        </w:rPr>
        <w:t>**** We based this dollar amount on the Average Theoretical Hourly Cost Amount in dollars shown on the burden chart above.</w:t>
      </w:r>
    </w:p>
    <w:p w:rsidR="00623F54" w:rsidRPr="00D80630" w:rsidP="00623F54" w14:paraId="5A3B825D" w14:textId="77777777">
      <w:pPr>
        <w:widowControl w:val="0"/>
        <w:spacing w:after="0"/>
        <w:ind w:left="1440"/>
        <w:rPr>
          <w:rFonts w:ascii="Times New Roman" w:hAnsi="Times New Roman"/>
          <w:snapToGrid w:val="0"/>
          <w:color w:val="000000" w:themeColor="text1"/>
          <w:sz w:val="24"/>
          <w:szCs w:val="24"/>
        </w:rPr>
      </w:pPr>
    </w:p>
    <w:p w:rsidR="00623F54" w:rsidRPr="00D80630" w:rsidP="00623F54" w14:paraId="38050BCB" w14:textId="77777777">
      <w:pPr>
        <w:widowControl w:val="0"/>
        <w:spacing w:after="0"/>
        <w:ind w:left="1440"/>
        <w:rPr>
          <w:rFonts w:ascii="Times New Roman" w:hAnsi="Times New Roman"/>
          <w:snapToGrid w:val="0"/>
          <w:color w:val="000000" w:themeColor="text1"/>
          <w:sz w:val="24"/>
          <w:szCs w:val="24"/>
        </w:rPr>
      </w:pPr>
      <w:r w:rsidRPr="00D80630">
        <w:rPr>
          <w:rFonts w:ascii="Times New Roman" w:hAnsi="Times New Roman"/>
          <w:snapToGrid w:val="0"/>
          <w:color w:val="000000" w:themeColor="text1"/>
          <w:sz w:val="24"/>
          <w:szCs w:val="24"/>
        </w:rPr>
        <w:t>NOTE:  We included the total opportunity cost estimate from this chart in our calculations when showing the total time and opportunity cost estimates in the paragraph below.</w:t>
      </w:r>
    </w:p>
    <w:p w:rsidR="002A0EDD" w:rsidRPr="00D80630" w:rsidP="00623F54" w14:paraId="41AF857A" w14:textId="77777777">
      <w:pPr>
        <w:widowControl w:val="0"/>
        <w:spacing w:after="0"/>
        <w:ind w:left="1440"/>
        <w:rPr>
          <w:rFonts w:ascii="Times New Roman" w:hAnsi="Times New Roman"/>
          <w:snapToGrid w:val="0"/>
          <w:color w:val="000000" w:themeColor="text1"/>
          <w:sz w:val="24"/>
          <w:szCs w:val="24"/>
        </w:rPr>
      </w:pPr>
    </w:p>
    <w:p w:rsidR="007C61D9" w:rsidRPr="00D80630" w:rsidP="007C61D9" w14:paraId="7DE88544" w14:textId="5F39B38D">
      <w:pPr>
        <w:spacing w:after="0"/>
        <w:ind w:left="1440"/>
        <w:rPr>
          <w:rFonts w:ascii="Times New Roman" w:hAnsi="Times New Roman"/>
          <w:color w:val="000000" w:themeColor="text1"/>
          <w:sz w:val="24"/>
          <w:szCs w:val="24"/>
        </w:rPr>
      </w:pPr>
      <w:r w:rsidRPr="00D80630">
        <w:rPr>
          <w:rFonts w:ascii="Times New Roman" w:hAnsi="Times New Roman"/>
          <w:color w:val="000000" w:themeColor="text1"/>
          <w:sz w:val="24"/>
          <w:szCs w:val="24"/>
        </w:rPr>
        <w:t xml:space="preserve">We base our burden estimates on current management information data, which includes data from actual interviews, as well as from years of conducting this information collection.  Per our management information data, we believe that </w:t>
      </w:r>
      <w:r w:rsidRPr="00D80630" w:rsidR="00B62DAF">
        <w:rPr>
          <w:rFonts w:ascii="Times New Roman" w:hAnsi="Times New Roman"/>
          <w:b/>
          <w:bCs/>
          <w:color w:val="000000" w:themeColor="text1"/>
          <w:sz w:val="24"/>
          <w:szCs w:val="24"/>
        </w:rPr>
        <w:t>15</w:t>
      </w:r>
      <w:r w:rsidRPr="00D80630">
        <w:rPr>
          <w:rFonts w:ascii="Times New Roman" w:hAnsi="Times New Roman"/>
          <w:color w:val="000000" w:themeColor="text1"/>
          <w:sz w:val="24"/>
          <w:szCs w:val="24"/>
        </w:rPr>
        <w:t xml:space="preserve"> minutes accurately shows the average burden per response for 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  Based on our current management information data, the current burden information we provided is accurate.  The total burden for this collection instrument is </w:t>
      </w:r>
      <w:r w:rsidR="00E93DB2">
        <w:rPr>
          <w:rFonts w:ascii="Times New Roman" w:eastAsia="SimSun" w:hAnsi="Times New Roman"/>
          <w:b/>
          <w:bCs/>
          <w:color w:val="000000" w:themeColor="text1"/>
          <w:sz w:val="24"/>
          <w:szCs w:val="24"/>
          <w:lang w:eastAsia="ar-SA"/>
        </w:rPr>
        <w:t>60</w:t>
      </w:r>
      <w:r w:rsidRPr="00D80630">
        <w:rPr>
          <w:rFonts w:ascii="Times New Roman" w:hAnsi="Times New Roman"/>
          <w:b/>
          <w:color w:val="000000" w:themeColor="text1"/>
          <w:sz w:val="24"/>
          <w:szCs w:val="24"/>
        </w:rPr>
        <w:t xml:space="preserve"> </w:t>
      </w:r>
      <w:r w:rsidRPr="00D80630">
        <w:rPr>
          <w:rFonts w:ascii="Times New Roman" w:hAnsi="Times New Roman"/>
          <w:color w:val="000000" w:themeColor="text1"/>
          <w:sz w:val="24"/>
          <w:szCs w:val="24"/>
        </w:rPr>
        <w:t xml:space="preserve">burden hours (reflecting SSA management information data), which results in an associated theoretical (not actual) opportunity cost financial burden of </w:t>
      </w:r>
      <w:r w:rsidRPr="00D80630">
        <w:rPr>
          <w:rFonts w:ascii="Times New Roman" w:hAnsi="Times New Roman"/>
          <w:b/>
          <w:bCs/>
          <w:color w:val="000000" w:themeColor="text1"/>
          <w:sz w:val="24"/>
          <w:szCs w:val="24"/>
        </w:rPr>
        <w:t>$</w:t>
      </w:r>
      <w:r w:rsidRPr="00D80630" w:rsidR="00B62DAF">
        <w:rPr>
          <w:rFonts w:ascii="Times New Roman" w:hAnsi="Times New Roman"/>
          <w:b/>
          <w:bCs/>
          <w:color w:val="000000" w:themeColor="text1"/>
          <w:sz w:val="24"/>
          <w:szCs w:val="24"/>
        </w:rPr>
        <w:t>3,817.80</w:t>
      </w:r>
      <w:r w:rsidRPr="00D80630">
        <w:rPr>
          <w:rFonts w:ascii="Times New Roman" w:hAnsi="Times New Roman"/>
          <w:color w:val="000000" w:themeColor="text1"/>
          <w:sz w:val="24"/>
          <w:szCs w:val="24"/>
        </w:rPr>
        <w:t>.  SSA does not charge respondents to complete our applications.</w:t>
      </w:r>
    </w:p>
    <w:p w:rsidR="006C0649" w:rsidRPr="00D80630" w:rsidP="00EA5467" w14:paraId="36EBFEE8" w14:textId="77777777">
      <w:pPr>
        <w:pStyle w:val="ListParagraph"/>
        <w:ind w:left="1440"/>
      </w:pPr>
    </w:p>
    <w:p w:rsidR="00AA6780" w:rsidRPr="00D80630" w:rsidP="00CB3DE0" w14:paraId="169ED1B1" w14:textId="035FEC4F">
      <w:pPr>
        <w:pStyle w:val="ListParagraph"/>
        <w:ind w:left="1080"/>
        <w:rPr>
          <w:b/>
        </w:rPr>
      </w:pPr>
      <w:r w:rsidRPr="00D80630">
        <w:rPr>
          <w:b/>
        </w:rPr>
        <w:t>13.</w:t>
      </w:r>
      <w:r w:rsidRPr="00D80630">
        <w:rPr>
          <w:b/>
        </w:rPr>
        <w:tab/>
        <w:t>Annual Cost to the Respondents (Other)</w:t>
      </w:r>
    </w:p>
    <w:p w:rsidR="00AA6780" w:rsidRPr="00D80630" w:rsidP="00CB3DE0" w14:paraId="65DF2ABF" w14:textId="77777777">
      <w:pPr>
        <w:pStyle w:val="ListParagraph"/>
        <w:ind w:left="1080" w:firstLine="360"/>
      </w:pPr>
      <w:r w:rsidRPr="00D80630">
        <w:t>This collection does not impose a known cost burden on the respondents.</w:t>
      </w:r>
    </w:p>
    <w:p w:rsidR="00145682" w:rsidRPr="00D80630" w:rsidP="00B21C54" w14:paraId="3D77CB1C" w14:textId="77777777">
      <w:pPr>
        <w:pStyle w:val="ListParagraph"/>
        <w:ind w:left="0"/>
      </w:pPr>
    </w:p>
    <w:p w:rsidR="00AA6780" w:rsidRPr="00D80630" w:rsidP="00CB3DE0" w14:paraId="37B7D653" w14:textId="7B430CF2">
      <w:pPr>
        <w:pStyle w:val="ListParagraph"/>
        <w:ind w:left="1080"/>
        <w:rPr>
          <w:b/>
        </w:rPr>
      </w:pPr>
      <w:r w:rsidRPr="00D80630">
        <w:rPr>
          <w:b/>
        </w:rPr>
        <w:t>14.</w:t>
      </w:r>
      <w:r w:rsidRPr="00D80630">
        <w:rPr>
          <w:b/>
        </w:rPr>
        <w:tab/>
        <w:t>Annual Cost To Federal Government</w:t>
      </w:r>
    </w:p>
    <w:p w:rsidR="000A2242" w:rsidRPr="00D80630" w:rsidP="004222C5" w14:paraId="07B0F79C" w14:textId="7FE4BBFB">
      <w:pPr>
        <w:pStyle w:val="ListParagraph"/>
        <w:ind w:left="1440"/>
        <w:rPr>
          <w:color w:val="000000"/>
        </w:rPr>
      </w:pPr>
      <w:r w:rsidRPr="00D80630">
        <w:rPr>
          <w:color w:val="000000"/>
        </w:rPr>
        <w:t xml:space="preserve">The annual cost to the Federal Government is approximately </w:t>
      </w:r>
      <w:r w:rsidRPr="00D80630">
        <w:rPr>
          <w:b/>
          <w:bCs/>
          <w:color w:val="000000"/>
        </w:rPr>
        <w:t>$</w:t>
      </w:r>
      <w:r w:rsidRPr="00D80630" w:rsidR="00D94824">
        <w:rPr>
          <w:b/>
          <w:bCs/>
          <w:color w:val="000000"/>
        </w:rPr>
        <w:t>2,087</w:t>
      </w:r>
      <w:r w:rsidRPr="00D80630" w:rsidR="00AF692B">
        <w:rPr>
          <w:b/>
          <w:bCs/>
          <w:color w:val="000000"/>
        </w:rPr>
        <w:t>,876</w:t>
      </w:r>
      <w:r w:rsidRPr="00D80630">
        <w:rPr>
          <w:color w:val="000000"/>
        </w:rPr>
        <w:t>.  This estimate accounts for costs from the following areas:</w:t>
      </w:r>
    </w:p>
    <w:p w:rsidR="00852D45" w:rsidRPr="00D80630" w:rsidP="00852D45" w14:paraId="41A38322" w14:textId="40EB01A8">
      <w:pPr>
        <w:pStyle w:val="ListParagraph"/>
        <w:ind w:left="900"/>
        <w:rPr>
          <w:b/>
        </w:rPr>
      </w:pPr>
    </w:p>
    <w:tbl>
      <w:tblPr>
        <w:tblStyle w:val="TableGrid"/>
        <w:tblW w:w="8460" w:type="dxa"/>
        <w:tblInd w:w="1435" w:type="dxa"/>
        <w:tblLook w:val="04A0"/>
      </w:tblPr>
      <w:tblGrid>
        <w:gridCol w:w="2700"/>
        <w:gridCol w:w="3060"/>
        <w:gridCol w:w="2700"/>
      </w:tblGrid>
      <w:tr w14:paraId="54788E99" w14:textId="77777777" w:rsidTr="0071723F">
        <w:tblPrEx>
          <w:tblW w:w="8460" w:type="dxa"/>
          <w:tblInd w:w="1435" w:type="dxa"/>
          <w:tblLook w:val="04A0"/>
        </w:tblPrEx>
        <w:tc>
          <w:tcPr>
            <w:tcW w:w="2700" w:type="dxa"/>
          </w:tcPr>
          <w:p w:rsidR="00852D45" w:rsidRPr="00D80630" w:rsidP="00852D45" w14:paraId="16406EBC" w14:textId="77777777">
            <w:pPr>
              <w:spacing w:after="0" w:line="240" w:lineRule="auto"/>
              <w:rPr>
                <w:rFonts w:ascii="Times New Roman" w:hAnsi="Times New Roman" w:cs="Times New Roman"/>
                <w:b/>
                <w:bCs/>
                <w:color w:val="000000"/>
                <w:sz w:val="24"/>
                <w:szCs w:val="24"/>
              </w:rPr>
            </w:pPr>
            <w:r w:rsidRPr="00D80630">
              <w:rPr>
                <w:rFonts w:ascii="Times New Roman" w:hAnsi="Times New Roman" w:cs="Times New Roman"/>
                <w:b/>
                <w:bCs/>
                <w:color w:val="000000"/>
                <w:sz w:val="24"/>
                <w:szCs w:val="24"/>
              </w:rPr>
              <w:t>Description of Cost Factor</w:t>
            </w:r>
          </w:p>
        </w:tc>
        <w:tc>
          <w:tcPr>
            <w:tcW w:w="3060" w:type="dxa"/>
          </w:tcPr>
          <w:p w:rsidR="00852D45" w:rsidRPr="00D80630" w:rsidP="00852D45" w14:paraId="40E4EEF3" w14:textId="77777777">
            <w:pPr>
              <w:spacing w:after="0" w:line="240" w:lineRule="auto"/>
              <w:rPr>
                <w:rFonts w:ascii="Times New Roman" w:hAnsi="Times New Roman" w:cs="Times New Roman"/>
                <w:b/>
                <w:bCs/>
                <w:color w:val="000000"/>
                <w:sz w:val="24"/>
                <w:szCs w:val="24"/>
              </w:rPr>
            </w:pPr>
            <w:r w:rsidRPr="00D80630">
              <w:rPr>
                <w:rFonts w:ascii="Times New Roman" w:hAnsi="Times New Roman" w:cs="Times New Roman"/>
                <w:b/>
                <w:bCs/>
                <w:color w:val="000000"/>
                <w:sz w:val="24"/>
                <w:szCs w:val="24"/>
              </w:rPr>
              <w:t>Methodology for Estimating Cost</w:t>
            </w:r>
          </w:p>
        </w:tc>
        <w:tc>
          <w:tcPr>
            <w:tcW w:w="2700" w:type="dxa"/>
          </w:tcPr>
          <w:p w:rsidR="00852D45" w:rsidRPr="00D80630" w:rsidP="00852D45" w14:paraId="29AFB326" w14:textId="77777777">
            <w:pPr>
              <w:spacing w:after="0" w:line="240" w:lineRule="auto"/>
              <w:rPr>
                <w:rFonts w:ascii="Times New Roman" w:hAnsi="Times New Roman" w:cs="Times New Roman"/>
                <w:b/>
                <w:bCs/>
                <w:color w:val="000000"/>
                <w:sz w:val="24"/>
                <w:szCs w:val="24"/>
              </w:rPr>
            </w:pPr>
            <w:r w:rsidRPr="00D80630">
              <w:rPr>
                <w:rFonts w:ascii="Times New Roman" w:hAnsi="Times New Roman" w:cs="Times New Roman"/>
                <w:b/>
                <w:bCs/>
                <w:color w:val="000000"/>
                <w:sz w:val="24"/>
                <w:szCs w:val="24"/>
              </w:rPr>
              <w:t>Cost in Dollars*</w:t>
            </w:r>
          </w:p>
        </w:tc>
      </w:tr>
      <w:tr w14:paraId="52F6FC7A" w14:textId="77777777" w:rsidTr="0071723F">
        <w:tblPrEx>
          <w:tblW w:w="8460" w:type="dxa"/>
          <w:tblInd w:w="1435" w:type="dxa"/>
          <w:tblLook w:val="04A0"/>
        </w:tblPrEx>
        <w:tc>
          <w:tcPr>
            <w:tcW w:w="2700" w:type="dxa"/>
          </w:tcPr>
          <w:p w:rsidR="00852D45" w:rsidRPr="00D80630" w:rsidP="00852D45" w14:paraId="30035C99" w14:textId="77777777">
            <w:pPr>
              <w:spacing w:after="0" w:line="240" w:lineRule="auto"/>
              <w:rPr>
                <w:rFonts w:ascii="Times New Roman" w:hAnsi="Times New Roman" w:cs="Times New Roman"/>
                <w:color w:val="000000"/>
                <w:sz w:val="24"/>
                <w:szCs w:val="24"/>
              </w:rPr>
            </w:pPr>
            <w:r w:rsidRPr="00D80630">
              <w:rPr>
                <w:rFonts w:ascii="Times New Roman" w:hAnsi="Times New Roman" w:cs="Times New Roman"/>
                <w:color w:val="000000"/>
                <w:sz w:val="24"/>
                <w:szCs w:val="24"/>
              </w:rPr>
              <w:t>Designing and Printing the Form</w:t>
            </w:r>
          </w:p>
        </w:tc>
        <w:tc>
          <w:tcPr>
            <w:tcW w:w="3060" w:type="dxa"/>
          </w:tcPr>
          <w:p w:rsidR="00852D45" w:rsidRPr="00D80630" w:rsidP="00852D45" w14:paraId="0C042B55" w14:textId="77777777">
            <w:pPr>
              <w:spacing w:after="0" w:line="240" w:lineRule="auto"/>
              <w:rPr>
                <w:rFonts w:ascii="Times New Roman" w:hAnsi="Times New Roman" w:cs="Times New Roman"/>
                <w:color w:val="000000"/>
                <w:sz w:val="24"/>
                <w:szCs w:val="24"/>
              </w:rPr>
            </w:pPr>
            <w:r w:rsidRPr="00D80630">
              <w:rPr>
                <w:rFonts w:ascii="Times New Roman" w:hAnsi="Times New Roman" w:cs="Times New Roman"/>
                <w:color w:val="000000"/>
                <w:sz w:val="24"/>
                <w:szCs w:val="24"/>
              </w:rPr>
              <w:t>Design Cost + Printing Cost</w:t>
            </w:r>
          </w:p>
        </w:tc>
        <w:tc>
          <w:tcPr>
            <w:tcW w:w="2700" w:type="dxa"/>
          </w:tcPr>
          <w:p w:rsidR="00852D45" w:rsidRPr="00D80630" w:rsidP="0043034B" w14:paraId="16FF15E0" w14:textId="77F86AA3">
            <w:pPr>
              <w:spacing w:after="0" w:line="240" w:lineRule="auto"/>
              <w:jc w:val="right"/>
              <w:rPr>
                <w:rFonts w:ascii="Times New Roman" w:hAnsi="Times New Roman" w:cs="Times New Roman"/>
                <w:color w:val="000000"/>
                <w:sz w:val="24"/>
                <w:szCs w:val="24"/>
                <w:highlight w:val="yellow"/>
              </w:rPr>
            </w:pPr>
            <w:r w:rsidRPr="00D80630">
              <w:rPr>
                <w:rFonts w:ascii="Times New Roman" w:hAnsi="Times New Roman" w:cs="Times New Roman"/>
                <w:sz w:val="24"/>
                <w:szCs w:val="24"/>
              </w:rPr>
              <w:t>$3</w:t>
            </w:r>
            <w:r w:rsidRPr="00D80630" w:rsidR="00C50671">
              <w:rPr>
                <w:rFonts w:ascii="Times New Roman" w:hAnsi="Times New Roman" w:cs="Times New Roman"/>
                <w:sz w:val="24"/>
                <w:szCs w:val="24"/>
              </w:rPr>
              <w:t>84</w:t>
            </w:r>
          </w:p>
        </w:tc>
      </w:tr>
      <w:tr w14:paraId="1C5EBD1D" w14:textId="77777777" w:rsidTr="0071723F">
        <w:tblPrEx>
          <w:tblW w:w="8460" w:type="dxa"/>
          <w:tblInd w:w="1435" w:type="dxa"/>
          <w:tblLook w:val="04A0"/>
        </w:tblPrEx>
        <w:tc>
          <w:tcPr>
            <w:tcW w:w="2700" w:type="dxa"/>
          </w:tcPr>
          <w:p w:rsidR="00852D45" w:rsidRPr="00D80630" w:rsidP="00852D45" w14:paraId="6840C6CF" w14:textId="77777777">
            <w:pPr>
              <w:spacing w:after="0" w:line="240" w:lineRule="auto"/>
              <w:rPr>
                <w:rFonts w:ascii="Times New Roman" w:hAnsi="Times New Roman" w:cs="Times New Roman"/>
                <w:color w:val="000000"/>
                <w:sz w:val="24"/>
                <w:szCs w:val="24"/>
              </w:rPr>
            </w:pPr>
            <w:r w:rsidRPr="00D80630">
              <w:rPr>
                <w:rFonts w:ascii="Times New Roman" w:hAnsi="Times New Roman" w:cs="Times New Roman"/>
                <w:color w:val="000000"/>
                <w:sz w:val="24"/>
                <w:szCs w:val="24"/>
              </w:rPr>
              <w:t>Distributing, Shipping, and Material Costs for the Form</w:t>
            </w:r>
          </w:p>
        </w:tc>
        <w:tc>
          <w:tcPr>
            <w:tcW w:w="3060" w:type="dxa"/>
          </w:tcPr>
          <w:p w:rsidR="00852D45" w:rsidRPr="00D80630" w:rsidP="00852D45" w14:paraId="1817E205" w14:textId="77777777">
            <w:pPr>
              <w:spacing w:after="0" w:line="240" w:lineRule="auto"/>
              <w:rPr>
                <w:rFonts w:ascii="Times New Roman" w:hAnsi="Times New Roman" w:cs="Times New Roman"/>
                <w:color w:val="000000"/>
                <w:sz w:val="24"/>
                <w:szCs w:val="24"/>
              </w:rPr>
            </w:pPr>
            <w:r w:rsidRPr="00D80630">
              <w:rPr>
                <w:rFonts w:ascii="Times New Roman" w:hAnsi="Times New Roman" w:cs="Times New Roman"/>
                <w:color w:val="000000"/>
                <w:sz w:val="24"/>
                <w:szCs w:val="24"/>
              </w:rPr>
              <w:t>Distribution + Shipping + Material Cost</w:t>
            </w:r>
          </w:p>
        </w:tc>
        <w:tc>
          <w:tcPr>
            <w:tcW w:w="2700" w:type="dxa"/>
          </w:tcPr>
          <w:p w:rsidR="00852D45" w:rsidRPr="00D80630" w:rsidP="0043034B" w14:paraId="6746A617" w14:textId="4D181C21">
            <w:pPr>
              <w:spacing w:after="0" w:line="240" w:lineRule="auto"/>
              <w:jc w:val="right"/>
              <w:rPr>
                <w:rFonts w:ascii="Times New Roman" w:hAnsi="Times New Roman" w:cs="Times New Roman"/>
                <w:color w:val="000000"/>
                <w:sz w:val="24"/>
                <w:szCs w:val="24"/>
              </w:rPr>
            </w:pPr>
            <w:r w:rsidRPr="00D80630">
              <w:rPr>
                <w:rFonts w:ascii="Times New Roman" w:hAnsi="Times New Roman" w:cs="Times New Roman"/>
                <w:color w:val="000000"/>
                <w:sz w:val="24"/>
                <w:szCs w:val="24"/>
              </w:rPr>
              <w:t>$0</w:t>
            </w:r>
            <w:r w:rsidR="00D04034">
              <w:rPr>
                <w:rFonts w:ascii="Times New Roman" w:hAnsi="Times New Roman" w:cs="Times New Roman"/>
                <w:color w:val="000000"/>
                <w:sz w:val="24"/>
                <w:szCs w:val="24"/>
              </w:rPr>
              <w:t>*</w:t>
            </w:r>
          </w:p>
        </w:tc>
      </w:tr>
      <w:tr w14:paraId="5295A196" w14:textId="77777777" w:rsidTr="0071723F">
        <w:tblPrEx>
          <w:tblW w:w="8460" w:type="dxa"/>
          <w:tblInd w:w="1435" w:type="dxa"/>
          <w:tblLook w:val="04A0"/>
        </w:tblPrEx>
        <w:tc>
          <w:tcPr>
            <w:tcW w:w="2700" w:type="dxa"/>
          </w:tcPr>
          <w:p w:rsidR="00852D45" w:rsidRPr="00D80630" w:rsidP="00852D45" w14:paraId="7989C591" w14:textId="77777777">
            <w:pPr>
              <w:spacing w:after="0" w:line="240" w:lineRule="auto"/>
              <w:rPr>
                <w:rFonts w:ascii="Times New Roman" w:hAnsi="Times New Roman" w:cs="Times New Roman"/>
                <w:color w:val="000000"/>
                <w:sz w:val="24"/>
                <w:szCs w:val="24"/>
              </w:rPr>
            </w:pPr>
            <w:r w:rsidRPr="00D80630">
              <w:rPr>
                <w:rFonts w:ascii="Times New Roman" w:hAnsi="Times New Roman" w:cs="Times New Roman"/>
                <w:color w:val="000000"/>
                <w:sz w:val="24"/>
                <w:szCs w:val="24"/>
              </w:rPr>
              <w:t>SSA Employee (e.g., field office, 800 number, DDS staff) Information Collection and Processing Time</w:t>
            </w:r>
          </w:p>
        </w:tc>
        <w:tc>
          <w:tcPr>
            <w:tcW w:w="3060" w:type="dxa"/>
          </w:tcPr>
          <w:p w:rsidR="00852D45" w:rsidRPr="00D80630" w:rsidP="00852D45" w14:paraId="356D492F" w14:textId="77777777">
            <w:pPr>
              <w:spacing w:after="0" w:line="240" w:lineRule="auto"/>
              <w:rPr>
                <w:rFonts w:ascii="Times New Roman" w:hAnsi="Times New Roman" w:cs="Times New Roman"/>
                <w:color w:val="000000"/>
                <w:sz w:val="24"/>
                <w:szCs w:val="24"/>
              </w:rPr>
            </w:pPr>
            <w:r w:rsidRPr="00D80630">
              <w:rPr>
                <w:rFonts w:ascii="Times New Roman" w:hAnsi="Times New Roman" w:cs="Times New Roman"/>
                <w:color w:val="000000"/>
                <w:sz w:val="24"/>
                <w:szCs w:val="24"/>
              </w:rPr>
              <w:t>GS-9 employee x # of responses x processing time</w:t>
            </w:r>
          </w:p>
          <w:p w:rsidR="00852D45" w:rsidRPr="00D80630" w:rsidP="00852D45" w14:paraId="3C9D4D24" w14:textId="5E1FCFF1">
            <w:pPr>
              <w:spacing w:after="0" w:line="240" w:lineRule="auto"/>
              <w:rPr>
                <w:rFonts w:ascii="Times New Roman" w:hAnsi="Times New Roman" w:cs="Times New Roman"/>
                <w:color w:val="000000"/>
                <w:sz w:val="24"/>
                <w:szCs w:val="24"/>
              </w:rPr>
            </w:pPr>
            <w:r w:rsidRPr="00D80630">
              <w:rPr>
                <w:rFonts w:ascii="Times New Roman" w:hAnsi="Times New Roman" w:cs="Times New Roman"/>
                <w:color w:val="000000"/>
                <w:sz w:val="24"/>
                <w:szCs w:val="24"/>
              </w:rPr>
              <w:t xml:space="preserve"> </w:t>
            </w:r>
          </w:p>
        </w:tc>
        <w:tc>
          <w:tcPr>
            <w:tcW w:w="2700" w:type="dxa"/>
          </w:tcPr>
          <w:p w:rsidR="00852D45" w:rsidRPr="00D80630" w:rsidP="0043034B" w14:paraId="79A53956" w14:textId="7282F971">
            <w:pPr>
              <w:spacing w:after="0" w:line="240" w:lineRule="auto"/>
              <w:jc w:val="right"/>
              <w:rPr>
                <w:rFonts w:ascii="Times New Roman" w:hAnsi="Times New Roman" w:cs="Times New Roman"/>
                <w:color w:val="000000"/>
                <w:sz w:val="24"/>
                <w:szCs w:val="24"/>
              </w:rPr>
            </w:pPr>
            <w:r w:rsidRPr="00D80630">
              <w:rPr>
                <w:rFonts w:ascii="Times New Roman" w:hAnsi="Times New Roman" w:cs="Times New Roman"/>
                <w:color w:val="000000"/>
                <w:sz w:val="24"/>
                <w:szCs w:val="24"/>
              </w:rPr>
              <w:t>$</w:t>
            </w:r>
            <w:r w:rsidRPr="00D80630" w:rsidR="00154DE4">
              <w:rPr>
                <w:rFonts w:ascii="Times New Roman" w:hAnsi="Times New Roman" w:cs="Times New Roman"/>
                <w:color w:val="000000"/>
                <w:sz w:val="24"/>
                <w:szCs w:val="24"/>
              </w:rPr>
              <w:t>206,355</w:t>
            </w:r>
          </w:p>
        </w:tc>
      </w:tr>
      <w:tr w14:paraId="5FFE94FD" w14:textId="77777777" w:rsidTr="0071723F">
        <w:tblPrEx>
          <w:tblW w:w="8460" w:type="dxa"/>
          <w:tblInd w:w="1435" w:type="dxa"/>
          <w:tblLook w:val="04A0"/>
        </w:tblPrEx>
        <w:tc>
          <w:tcPr>
            <w:tcW w:w="2700" w:type="dxa"/>
          </w:tcPr>
          <w:p w:rsidR="00852D45" w:rsidRPr="00D80630" w:rsidP="00852D45" w14:paraId="5164CF62" w14:textId="77777777">
            <w:pPr>
              <w:spacing w:after="0" w:line="240" w:lineRule="auto"/>
              <w:rPr>
                <w:rFonts w:ascii="Times New Roman" w:hAnsi="Times New Roman" w:cs="Times New Roman"/>
                <w:color w:val="000000"/>
                <w:sz w:val="24"/>
                <w:szCs w:val="24"/>
              </w:rPr>
            </w:pPr>
            <w:r w:rsidRPr="00D80630">
              <w:rPr>
                <w:rFonts w:ascii="Times New Roman" w:hAnsi="Times New Roman" w:cs="Times New Roman"/>
                <w:color w:val="000000"/>
                <w:sz w:val="24"/>
                <w:szCs w:val="24"/>
              </w:rPr>
              <w:t>Full-Time Equivalent Costs</w:t>
            </w:r>
          </w:p>
        </w:tc>
        <w:tc>
          <w:tcPr>
            <w:tcW w:w="3060" w:type="dxa"/>
          </w:tcPr>
          <w:p w:rsidR="00852D45" w:rsidRPr="00D80630" w:rsidP="00852D45" w14:paraId="2374BEEA" w14:textId="77777777">
            <w:pPr>
              <w:spacing w:after="0" w:line="240" w:lineRule="auto"/>
              <w:rPr>
                <w:rFonts w:ascii="Times New Roman" w:hAnsi="Times New Roman" w:cs="Times New Roman"/>
                <w:color w:val="000000"/>
                <w:sz w:val="24"/>
                <w:szCs w:val="24"/>
              </w:rPr>
            </w:pPr>
            <w:r w:rsidRPr="00D80630">
              <w:rPr>
                <w:rFonts w:ascii="Times New Roman" w:hAnsi="Times New Roman" w:cs="Times New Roman"/>
                <w:color w:val="000000"/>
                <w:sz w:val="24"/>
                <w:szCs w:val="24"/>
              </w:rPr>
              <w:t>Out of pocket costs + Other expenses for providing this service</w:t>
            </w:r>
          </w:p>
        </w:tc>
        <w:tc>
          <w:tcPr>
            <w:tcW w:w="2700" w:type="dxa"/>
          </w:tcPr>
          <w:p w:rsidR="00852D45" w:rsidRPr="00D80630" w:rsidP="0043034B" w14:paraId="50CCE874" w14:textId="30FC05B1">
            <w:pPr>
              <w:spacing w:after="0" w:line="240" w:lineRule="auto"/>
              <w:jc w:val="right"/>
              <w:rPr>
                <w:rFonts w:ascii="Times New Roman" w:hAnsi="Times New Roman" w:cs="Times New Roman"/>
                <w:color w:val="000000"/>
                <w:sz w:val="24"/>
                <w:szCs w:val="24"/>
              </w:rPr>
            </w:pPr>
            <w:r w:rsidRPr="00D80630">
              <w:rPr>
                <w:rFonts w:ascii="Times New Roman" w:hAnsi="Times New Roman" w:cs="Times New Roman"/>
                <w:color w:val="000000"/>
                <w:sz w:val="24"/>
                <w:szCs w:val="24"/>
              </w:rPr>
              <w:t>$0</w:t>
            </w:r>
            <w:r w:rsidR="00D04034">
              <w:rPr>
                <w:rFonts w:ascii="Times New Roman" w:hAnsi="Times New Roman" w:cs="Times New Roman"/>
                <w:color w:val="000000"/>
                <w:sz w:val="24"/>
                <w:szCs w:val="24"/>
              </w:rPr>
              <w:t>*</w:t>
            </w:r>
          </w:p>
        </w:tc>
      </w:tr>
      <w:tr w14:paraId="5FDE9A41" w14:textId="77777777" w:rsidTr="0071723F">
        <w:tblPrEx>
          <w:tblW w:w="8460" w:type="dxa"/>
          <w:tblInd w:w="1435" w:type="dxa"/>
          <w:tblLook w:val="04A0"/>
        </w:tblPrEx>
        <w:tc>
          <w:tcPr>
            <w:tcW w:w="2700" w:type="dxa"/>
          </w:tcPr>
          <w:p w:rsidR="00852D45" w:rsidRPr="00D80630" w:rsidP="00852D45" w14:paraId="44A68880" w14:textId="77777777">
            <w:pPr>
              <w:spacing w:after="0" w:line="240" w:lineRule="auto"/>
              <w:rPr>
                <w:rFonts w:ascii="Times New Roman" w:hAnsi="Times New Roman" w:cs="Times New Roman"/>
                <w:color w:val="000000"/>
                <w:sz w:val="24"/>
                <w:szCs w:val="24"/>
              </w:rPr>
            </w:pPr>
            <w:r w:rsidRPr="00D80630">
              <w:rPr>
                <w:rFonts w:ascii="Times New Roman" w:hAnsi="Times New Roman" w:cs="Times New Roman"/>
                <w:color w:val="000000"/>
                <w:sz w:val="24"/>
                <w:szCs w:val="24"/>
              </w:rPr>
              <w:t>Systems Development, Updating, and Maintenance</w:t>
            </w:r>
          </w:p>
        </w:tc>
        <w:tc>
          <w:tcPr>
            <w:tcW w:w="3060" w:type="dxa"/>
          </w:tcPr>
          <w:p w:rsidR="00852D45" w:rsidRPr="00D80630" w:rsidP="00852D45" w14:paraId="6E1A5162" w14:textId="21E935B0">
            <w:pPr>
              <w:spacing w:after="0" w:line="240" w:lineRule="auto"/>
              <w:rPr>
                <w:rFonts w:ascii="Times New Roman" w:hAnsi="Times New Roman" w:cs="Times New Roman"/>
                <w:color w:val="000000"/>
                <w:sz w:val="24"/>
                <w:szCs w:val="24"/>
              </w:rPr>
            </w:pPr>
            <w:r w:rsidRPr="00D80630">
              <w:rPr>
                <w:rFonts w:ascii="Times New Roman" w:hAnsi="Times New Roman" w:cs="Times New Roman"/>
                <w:color w:val="000000"/>
                <w:sz w:val="24"/>
                <w:szCs w:val="24"/>
              </w:rPr>
              <w:t>GS-9 employee x man hours for development, updating, maintenance</w:t>
            </w:r>
          </w:p>
        </w:tc>
        <w:tc>
          <w:tcPr>
            <w:tcW w:w="2700" w:type="dxa"/>
          </w:tcPr>
          <w:p w:rsidR="00852D45" w:rsidRPr="00D80630" w:rsidP="0043034B" w14:paraId="02B11E28" w14:textId="6FBF9BFD">
            <w:pPr>
              <w:spacing w:after="0" w:line="240" w:lineRule="auto"/>
              <w:jc w:val="right"/>
              <w:rPr>
                <w:rFonts w:ascii="Times New Roman" w:hAnsi="Times New Roman" w:cs="Times New Roman"/>
                <w:color w:val="000000"/>
                <w:sz w:val="24"/>
                <w:szCs w:val="24"/>
              </w:rPr>
            </w:pPr>
            <w:r w:rsidRPr="00D80630">
              <w:rPr>
                <w:rFonts w:ascii="Times New Roman" w:hAnsi="Times New Roman" w:cs="Times New Roman"/>
                <w:color w:val="000000"/>
                <w:sz w:val="24"/>
                <w:szCs w:val="24"/>
              </w:rPr>
              <w:t>$</w:t>
            </w:r>
            <w:r w:rsidRPr="00D80630" w:rsidR="00A72265">
              <w:rPr>
                <w:rFonts w:ascii="Times New Roman" w:hAnsi="Times New Roman" w:cs="Times New Roman"/>
                <w:color w:val="000000"/>
                <w:sz w:val="24"/>
                <w:szCs w:val="24"/>
              </w:rPr>
              <w:t>1,881,137</w:t>
            </w:r>
          </w:p>
        </w:tc>
      </w:tr>
      <w:tr w14:paraId="5AE2BA76" w14:textId="77777777" w:rsidTr="0071723F">
        <w:tblPrEx>
          <w:tblW w:w="8460" w:type="dxa"/>
          <w:tblInd w:w="1435" w:type="dxa"/>
          <w:tblLook w:val="04A0"/>
        </w:tblPrEx>
        <w:tc>
          <w:tcPr>
            <w:tcW w:w="2700" w:type="dxa"/>
          </w:tcPr>
          <w:p w:rsidR="0013383C" w:rsidRPr="00D80630" w:rsidP="0013383C" w14:paraId="3CC6FDCC" w14:textId="4BE794B1">
            <w:pPr>
              <w:spacing w:after="0" w:line="240" w:lineRule="auto"/>
              <w:rPr>
                <w:rFonts w:ascii="Times New Roman" w:hAnsi="Times New Roman" w:cs="Times New Roman"/>
                <w:b/>
                <w:bCs/>
                <w:color w:val="000000"/>
                <w:sz w:val="24"/>
                <w:szCs w:val="24"/>
              </w:rPr>
            </w:pPr>
            <w:r w:rsidRPr="00D80630">
              <w:rPr>
                <w:rFonts w:ascii="Times New Roman" w:hAnsi="Times New Roman" w:cs="Times New Roman"/>
                <w:color w:val="000000"/>
                <w:sz w:val="24"/>
                <w:szCs w:val="24"/>
              </w:rPr>
              <w:t>Quantifiable IT Costs</w:t>
            </w:r>
          </w:p>
        </w:tc>
        <w:tc>
          <w:tcPr>
            <w:tcW w:w="3060" w:type="dxa"/>
          </w:tcPr>
          <w:p w:rsidR="0013383C" w:rsidRPr="00D80630" w:rsidP="0013383C" w14:paraId="390350FA" w14:textId="0E402A10">
            <w:pPr>
              <w:spacing w:after="0" w:line="240" w:lineRule="auto"/>
              <w:rPr>
                <w:rFonts w:ascii="Times New Roman" w:hAnsi="Times New Roman" w:cs="Times New Roman"/>
                <w:b/>
                <w:bCs/>
                <w:color w:val="000000"/>
                <w:sz w:val="24"/>
                <w:szCs w:val="24"/>
              </w:rPr>
            </w:pPr>
            <w:r w:rsidRPr="00D80630">
              <w:rPr>
                <w:rFonts w:ascii="Times New Roman" w:hAnsi="Times New Roman" w:cs="Times New Roman"/>
                <w:color w:val="000000"/>
                <w:sz w:val="24"/>
                <w:szCs w:val="24"/>
              </w:rPr>
              <w:t>Any additional IT costs</w:t>
            </w:r>
          </w:p>
        </w:tc>
        <w:tc>
          <w:tcPr>
            <w:tcW w:w="2700" w:type="dxa"/>
          </w:tcPr>
          <w:p w:rsidR="0013383C" w:rsidRPr="00D80630" w:rsidP="0043034B" w14:paraId="4F4666CE" w14:textId="4E9A6088">
            <w:pPr>
              <w:spacing w:after="0" w:line="240" w:lineRule="auto"/>
              <w:jc w:val="right"/>
              <w:rPr>
                <w:rFonts w:ascii="Times New Roman" w:hAnsi="Times New Roman" w:cs="Times New Roman"/>
                <w:b/>
                <w:bCs/>
                <w:color w:val="000000"/>
                <w:sz w:val="24"/>
                <w:szCs w:val="24"/>
                <w:highlight w:val="yellow"/>
              </w:rPr>
            </w:pPr>
            <w:r w:rsidRPr="00D80630">
              <w:rPr>
                <w:rFonts w:ascii="Times New Roman" w:hAnsi="Times New Roman" w:cs="Times New Roman"/>
                <w:color w:val="000000"/>
                <w:sz w:val="24"/>
                <w:szCs w:val="24"/>
              </w:rPr>
              <w:t>$0*</w:t>
            </w:r>
          </w:p>
        </w:tc>
      </w:tr>
      <w:tr w14:paraId="05E81259" w14:textId="77777777" w:rsidTr="0071723F">
        <w:tblPrEx>
          <w:tblW w:w="8460" w:type="dxa"/>
          <w:tblInd w:w="1435" w:type="dxa"/>
          <w:tblLook w:val="04A0"/>
        </w:tblPrEx>
        <w:tc>
          <w:tcPr>
            <w:tcW w:w="2700" w:type="dxa"/>
          </w:tcPr>
          <w:p w:rsidR="0013383C" w:rsidRPr="00D80630" w:rsidP="0013383C" w14:paraId="515D939E" w14:textId="77777777">
            <w:pPr>
              <w:spacing w:after="0" w:line="240" w:lineRule="auto"/>
              <w:rPr>
                <w:rFonts w:ascii="Times New Roman" w:hAnsi="Times New Roman" w:cs="Times New Roman"/>
                <w:b/>
                <w:bCs/>
                <w:color w:val="000000"/>
                <w:sz w:val="24"/>
                <w:szCs w:val="24"/>
              </w:rPr>
            </w:pPr>
            <w:r w:rsidRPr="00D80630">
              <w:rPr>
                <w:rFonts w:ascii="Times New Roman" w:hAnsi="Times New Roman" w:cs="Times New Roman"/>
                <w:b/>
                <w:bCs/>
                <w:color w:val="000000"/>
                <w:sz w:val="24"/>
                <w:szCs w:val="24"/>
              </w:rPr>
              <w:t>Total</w:t>
            </w:r>
          </w:p>
        </w:tc>
        <w:tc>
          <w:tcPr>
            <w:tcW w:w="3060" w:type="dxa"/>
          </w:tcPr>
          <w:p w:rsidR="0013383C" w:rsidRPr="00D80630" w:rsidP="0013383C" w14:paraId="0DF4E5A0" w14:textId="77777777">
            <w:pPr>
              <w:spacing w:after="0" w:line="240" w:lineRule="auto"/>
              <w:rPr>
                <w:rFonts w:ascii="Times New Roman" w:hAnsi="Times New Roman" w:cs="Times New Roman"/>
                <w:b/>
                <w:bCs/>
                <w:color w:val="000000"/>
                <w:sz w:val="24"/>
                <w:szCs w:val="24"/>
              </w:rPr>
            </w:pPr>
          </w:p>
        </w:tc>
        <w:tc>
          <w:tcPr>
            <w:tcW w:w="2700" w:type="dxa"/>
          </w:tcPr>
          <w:p w:rsidR="0013383C" w:rsidRPr="00D80630" w:rsidP="0043034B" w14:paraId="0719DAB5" w14:textId="0233EB7D">
            <w:pPr>
              <w:spacing w:after="0" w:line="240" w:lineRule="auto"/>
              <w:jc w:val="right"/>
              <w:rPr>
                <w:rFonts w:ascii="Times New Roman" w:hAnsi="Times New Roman" w:cs="Times New Roman"/>
                <w:b/>
                <w:bCs/>
                <w:color w:val="000000"/>
                <w:sz w:val="24"/>
                <w:szCs w:val="24"/>
              </w:rPr>
            </w:pPr>
            <w:r w:rsidRPr="00D80630">
              <w:rPr>
                <w:rFonts w:ascii="Times New Roman" w:hAnsi="Times New Roman" w:cs="Times New Roman"/>
                <w:b/>
                <w:bCs/>
                <w:color w:val="000000"/>
                <w:sz w:val="24"/>
                <w:szCs w:val="24"/>
              </w:rPr>
              <w:t>$</w:t>
            </w:r>
            <w:r w:rsidRPr="00D80630" w:rsidR="00D94824">
              <w:rPr>
                <w:rFonts w:ascii="Times New Roman" w:hAnsi="Times New Roman" w:cs="Times New Roman"/>
                <w:b/>
                <w:bCs/>
                <w:color w:val="000000"/>
                <w:sz w:val="24"/>
                <w:szCs w:val="24"/>
              </w:rPr>
              <w:t>2,087,876</w:t>
            </w:r>
          </w:p>
        </w:tc>
      </w:tr>
    </w:tbl>
    <w:p w:rsidR="00A2463B" w:rsidRPr="00D80630" w:rsidP="0071723F" w14:paraId="17CC44BF" w14:textId="246891B6">
      <w:pPr>
        <w:tabs>
          <w:tab w:val="left" w:pos="1710"/>
        </w:tabs>
        <w:ind w:left="1440"/>
        <w:rPr>
          <w:rFonts w:ascii="Times New Roman" w:hAnsi="Times New Roman"/>
          <w:color w:val="000000"/>
          <w:sz w:val="24"/>
          <w:szCs w:val="24"/>
        </w:rPr>
      </w:pPr>
      <w:r w:rsidRPr="00D80630">
        <w:rPr>
          <w:rFonts w:ascii="Times New Roman" w:hAnsi="Times New Roman"/>
          <w:color w:val="000000"/>
          <w:sz w:val="24"/>
          <w:szCs w:val="24"/>
        </w:rPr>
        <w:t>* We have inserted a $0 amount for cost factors that do not apply to this collection.</w:t>
      </w:r>
    </w:p>
    <w:p w:rsidR="00B62588" w:rsidRPr="00D80630" w:rsidP="0071723F" w14:paraId="5BD81496" w14:textId="038AC4D5">
      <w:pPr>
        <w:ind w:left="1440"/>
        <w:rPr>
          <w:rFonts w:ascii="Times New Roman" w:hAnsi="Times New Roman"/>
          <w:color w:val="000000"/>
          <w:sz w:val="24"/>
          <w:szCs w:val="24"/>
        </w:rPr>
      </w:pPr>
      <w:r w:rsidRPr="00D80630">
        <w:rPr>
          <w:rFonts w:ascii="Times New Roman" w:hAnsi="Times New Roman"/>
          <w:color w:val="000000"/>
          <w:sz w:val="24"/>
          <w:szCs w:val="24"/>
        </w:rPr>
        <w:t>SSA is unable to break down the costs to the Federal government further than we already have.</w:t>
      </w:r>
      <w:r w:rsidR="00E93DB2">
        <w:rPr>
          <w:rFonts w:ascii="Times New Roman" w:hAnsi="Times New Roman"/>
          <w:color w:val="000000"/>
          <w:sz w:val="24"/>
          <w:szCs w:val="24"/>
        </w:rPr>
        <w:t xml:space="preserve">  </w:t>
      </w:r>
      <w:r w:rsidRPr="00D80630">
        <w:rPr>
          <w:rFonts w:ascii="Times New Roman" w:hAnsi="Times New Roman"/>
          <w:color w:val="000000"/>
          <w:sz w:val="24"/>
          <w:szCs w:val="24"/>
        </w:rPr>
        <w:t xml:space="preserve">In addition, it is difficult for us to break down the cost for processing a single form, as </w:t>
      </w:r>
      <w:r w:rsidR="00E93DB2">
        <w:rPr>
          <w:rFonts w:ascii="Times New Roman" w:hAnsi="Times New Roman"/>
          <w:color w:val="000000"/>
          <w:sz w:val="24"/>
          <w:szCs w:val="24"/>
        </w:rPr>
        <w:t xml:space="preserve">representatives complete </w:t>
      </w:r>
      <w:r>
        <w:rPr>
          <w:rFonts w:ascii="Times New Roman" w:hAnsi="Times New Roman"/>
          <w:color w:val="000000"/>
          <w:sz w:val="24"/>
          <w:szCs w:val="24"/>
        </w:rPr>
        <w:t>and submit this form along with several others at the same time</w:t>
      </w:r>
      <w:r w:rsidR="00E93DB2">
        <w:rPr>
          <w:rFonts w:ascii="Times New Roman" w:hAnsi="Times New Roman"/>
          <w:color w:val="000000"/>
          <w:sz w:val="24"/>
          <w:szCs w:val="24"/>
        </w:rPr>
        <w:t>.</w:t>
      </w:r>
      <w:r w:rsidRPr="00D80630">
        <w:rPr>
          <w:rFonts w:ascii="Times New Roman" w:hAnsi="Times New Roman"/>
          <w:color w:val="000000"/>
          <w:sz w:val="24"/>
          <w:szCs w:val="24"/>
        </w:rPr>
        <w: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AA6780" w:rsidRPr="00D80630" w:rsidP="00CB3DE0" w14:paraId="57C99EB8" w14:textId="67CD89A7">
      <w:pPr>
        <w:pStyle w:val="ListParagraph"/>
        <w:ind w:left="1080"/>
        <w:rPr>
          <w:b/>
        </w:rPr>
      </w:pPr>
      <w:r w:rsidRPr="00D80630">
        <w:rPr>
          <w:b/>
        </w:rPr>
        <w:t>1</w:t>
      </w:r>
      <w:r w:rsidR="0071723F">
        <w:rPr>
          <w:b/>
        </w:rPr>
        <w:t>5</w:t>
      </w:r>
      <w:r w:rsidRPr="00D80630">
        <w:rPr>
          <w:b/>
        </w:rPr>
        <w:t>.</w:t>
      </w:r>
      <w:r w:rsidRPr="00D80630">
        <w:rPr>
          <w:b/>
        </w:rPr>
        <w:tab/>
        <w:t>Program Changes or Adjustments to the Information Collection Request</w:t>
      </w:r>
    </w:p>
    <w:p w:rsidR="008236CC" w:rsidRPr="008236CC" w:rsidP="008236CC" w14:paraId="7EE9CC43" w14:textId="20E2ECB6">
      <w:pPr>
        <w:ind w:left="1440"/>
        <w:rPr>
          <w:rFonts w:ascii="Times New Roman" w:hAnsi="Times New Roman"/>
          <w:b/>
          <w:iCs/>
          <w:sz w:val="24"/>
          <w:szCs w:val="24"/>
        </w:rPr>
      </w:pPr>
      <w:r w:rsidRPr="008236CC">
        <w:rPr>
          <w:rFonts w:ascii="Times New Roman" w:hAnsi="Times New Roman"/>
          <w:iCs/>
          <w:sz w:val="24"/>
          <w:szCs w:val="24"/>
        </w:rPr>
        <w:t>When we last cleared this IC in 20</w:t>
      </w:r>
      <w:r>
        <w:rPr>
          <w:rFonts w:ascii="Times New Roman" w:hAnsi="Times New Roman"/>
          <w:iCs/>
          <w:sz w:val="24"/>
          <w:szCs w:val="24"/>
        </w:rPr>
        <w:t>22</w:t>
      </w:r>
      <w:r w:rsidRPr="008236CC">
        <w:rPr>
          <w:rFonts w:ascii="Times New Roman" w:hAnsi="Times New Roman"/>
          <w:iCs/>
          <w:sz w:val="24"/>
          <w:szCs w:val="24"/>
        </w:rPr>
        <w:t xml:space="preserve">, the burden was </w:t>
      </w:r>
      <w:r>
        <w:rPr>
          <w:rFonts w:ascii="Times New Roman" w:hAnsi="Times New Roman"/>
          <w:iCs/>
          <w:sz w:val="24"/>
          <w:szCs w:val="24"/>
        </w:rPr>
        <w:t>156</w:t>
      </w:r>
      <w:r w:rsidRPr="008236CC">
        <w:rPr>
          <w:rFonts w:ascii="Times New Roman" w:hAnsi="Times New Roman"/>
          <w:iCs/>
          <w:sz w:val="24"/>
          <w:szCs w:val="24"/>
        </w:rPr>
        <w:t xml:space="preserve"> hours.  However, we are currently reporting a burden of </w:t>
      </w:r>
      <w:r>
        <w:rPr>
          <w:rFonts w:ascii="Times New Roman" w:hAnsi="Times New Roman"/>
          <w:iCs/>
          <w:sz w:val="24"/>
          <w:szCs w:val="24"/>
        </w:rPr>
        <w:t>60</w:t>
      </w:r>
      <w:r w:rsidRPr="008236CC">
        <w:rPr>
          <w:rFonts w:ascii="Times New Roman" w:hAnsi="Times New Roman"/>
          <w:iCs/>
          <w:sz w:val="24"/>
          <w:szCs w:val="24"/>
        </w:rPr>
        <w:t xml:space="preserve"> hours.  This change stems a decrease in the number of responses from </w:t>
      </w:r>
      <w:r>
        <w:rPr>
          <w:rFonts w:ascii="Times New Roman" w:hAnsi="Times New Roman"/>
          <w:iCs/>
          <w:sz w:val="24"/>
          <w:szCs w:val="24"/>
        </w:rPr>
        <w:t>469</w:t>
      </w:r>
      <w:r w:rsidRPr="008236CC">
        <w:rPr>
          <w:rFonts w:ascii="Times New Roman" w:hAnsi="Times New Roman"/>
          <w:iCs/>
          <w:sz w:val="24"/>
          <w:szCs w:val="24"/>
        </w:rPr>
        <w:t xml:space="preserve"> to </w:t>
      </w:r>
      <w:r>
        <w:rPr>
          <w:rFonts w:ascii="Times New Roman" w:hAnsi="Times New Roman"/>
          <w:iCs/>
          <w:sz w:val="24"/>
          <w:szCs w:val="24"/>
        </w:rPr>
        <w:t>181</w:t>
      </w:r>
      <w:r w:rsidR="00E84FC2">
        <w:rPr>
          <w:rFonts w:ascii="Times New Roman" w:hAnsi="Times New Roman"/>
          <w:iCs/>
          <w:sz w:val="24"/>
          <w:szCs w:val="24"/>
        </w:rPr>
        <w:t>,</w:t>
      </w:r>
      <w:r w:rsidR="00EB3A8D">
        <w:rPr>
          <w:rFonts w:ascii="Times New Roman" w:hAnsi="Times New Roman"/>
          <w:iCs/>
          <w:sz w:val="24"/>
          <w:szCs w:val="24"/>
        </w:rPr>
        <w:t xml:space="preserve">  </w:t>
      </w:r>
      <w:r w:rsidRPr="008236CC">
        <w:rPr>
          <w:rFonts w:ascii="Times New Roman" w:hAnsi="Times New Roman"/>
          <w:iCs/>
          <w:sz w:val="24"/>
          <w:szCs w:val="24"/>
        </w:rPr>
        <w:t>There is no change to the burden time per response.  Although the number of responses changed, SSA did not take any actions to cause this change.  These figures represent current Management Information data.</w:t>
      </w:r>
    </w:p>
    <w:p w:rsidR="008236CC" w:rsidRPr="00495B43" w:rsidP="008236CC" w14:paraId="1F391636" w14:textId="761A0624">
      <w:pPr>
        <w:pStyle w:val="NoSpacing"/>
        <w:ind w:left="1440"/>
        <w:rPr>
          <w:b/>
          <w:bCs/>
          <w:iCs/>
        </w:rPr>
      </w:pPr>
      <w:r>
        <w:rPr>
          <w:color w:val="000000"/>
        </w:rPr>
        <w:t xml:space="preserve">* Note: The total burden reflected in ROCIS is </w:t>
      </w:r>
      <w:r w:rsidR="00EB3A8D">
        <w:rPr>
          <w:b/>
          <w:bCs/>
          <w:color w:val="000000"/>
        </w:rPr>
        <w:t>105</w:t>
      </w:r>
      <w:r>
        <w:rPr>
          <w:color w:val="000000"/>
        </w:rPr>
        <w:t xml:space="preserve">, while the burden cited in #12 of the Supporting Statement is </w:t>
      </w:r>
      <w:r>
        <w:rPr>
          <w:b/>
          <w:bCs/>
          <w:color w:val="000000"/>
        </w:rPr>
        <w:t>60</w:t>
      </w:r>
      <w:r>
        <w:rPr>
          <w:color w:val="000000"/>
        </w:rPr>
        <w:t>.  This discrepancy is because the ROCIS burden reflects the learning costs.  In contrast, the chart in #12 of the Supporting Statement reflects actual burden.</w:t>
      </w:r>
    </w:p>
    <w:p w:rsidR="003F4137" w:rsidRPr="00D80630" w:rsidP="00EA5467" w14:paraId="22CE49DE" w14:textId="77777777">
      <w:pPr>
        <w:pStyle w:val="ListParagraph"/>
        <w:ind w:left="1440"/>
      </w:pPr>
    </w:p>
    <w:p w:rsidR="00AA6780" w:rsidRPr="00D80630" w:rsidP="00CB3DE0" w14:paraId="5EF491CE" w14:textId="0DADD222">
      <w:pPr>
        <w:pStyle w:val="ListParagraph"/>
        <w:ind w:left="1080"/>
        <w:rPr>
          <w:b/>
        </w:rPr>
      </w:pPr>
      <w:r w:rsidRPr="00D80630">
        <w:rPr>
          <w:b/>
        </w:rPr>
        <w:t>1</w:t>
      </w:r>
      <w:r w:rsidR="0071723F">
        <w:rPr>
          <w:b/>
        </w:rPr>
        <w:t>6</w:t>
      </w:r>
      <w:r w:rsidRPr="00D80630">
        <w:rPr>
          <w:b/>
        </w:rPr>
        <w:t>.</w:t>
      </w:r>
      <w:r w:rsidRPr="00D80630">
        <w:rPr>
          <w:b/>
        </w:rPr>
        <w:tab/>
        <w:t>Plans for Publication Information Collection Results</w:t>
      </w:r>
    </w:p>
    <w:p w:rsidR="00AA6780" w:rsidP="00CB3DE0" w14:paraId="678A629A" w14:textId="77777777">
      <w:pPr>
        <w:pStyle w:val="ListParagraph"/>
        <w:ind w:firstLine="720"/>
      </w:pPr>
      <w:r w:rsidRPr="00D80630">
        <w:t>SSA will not publish the results of the information collection.</w:t>
      </w:r>
    </w:p>
    <w:p w:rsidR="0080118A" w:rsidRPr="00D80630" w:rsidP="00CB3DE0" w14:paraId="284BC4BB" w14:textId="77777777">
      <w:pPr>
        <w:pStyle w:val="ListParagraph"/>
        <w:ind w:firstLine="720"/>
      </w:pPr>
    </w:p>
    <w:p w:rsidR="00AA6780" w:rsidRPr="00D80630" w:rsidP="00AA6780" w14:paraId="42F594D2" w14:textId="77777777">
      <w:pPr>
        <w:pStyle w:val="ListParagraph"/>
      </w:pPr>
    </w:p>
    <w:p w:rsidR="00AA6780" w:rsidRPr="00D80630" w:rsidP="00CB3DE0" w14:paraId="625B2530" w14:textId="55828997">
      <w:pPr>
        <w:pStyle w:val="ListParagraph"/>
        <w:ind w:left="1080"/>
        <w:rPr>
          <w:b/>
        </w:rPr>
      </w:pPr>
      <w:r w:rsidRPr="00D80630">
        <w:rPr>
          <w:b/>
        </w:rPr>
        <w:t>1</w:t>
      </w:r>
      <w:r w:rsidR="0071723F">
        <w:rPr>
          <w:b/>
        </w:rPr>
        <w:t>7</w:t>
      </w:r>
      <w:r w:rsidRPr="00D80630">
        <w:rPr>
          <w:b/>
        </w:rPr>
        <w:t>.</w:t>
      </w:r>
      <w:r w:rsidRPr="00D80630">
        <w:rPr>
          <w:b/>
        </w:rPr>
        <w:tab/>
        <w:t>Displaying the OMB Approval Expiration Date</w:t>
      </w:r>
    </w:p>
    <w:p w:rsidR="00AA6780" w:rsidRPr="00D80630" w:rsidP="00CB3DE0" w14:paraId="5DAE87AA" w14:textId="50AE70CF">
      <w:pPr>
        <w:pStyle w:val="ListParagraph"/>
        <w:ind w:left="1440"/>
      </w:pPr>
      <w:r w:rsidRPr="00EB3A8D">
        <w:rPr>
          <w:bCs/>
        </w:rPr>
        <w:t>O</w:t>
      </w:r>
      <w:r w:rsidRPr="00D80630" w:rsidR="0008335B">
        <w:t xml:space="preserve">MB exempted SSA from the requirement to print the OMB approval expiration date on its forms. </w:t>
      </w:r>
      <w:r w:rsidRPr="00D80630" w:rsidR="00B21C54">
        <w:t xml:space="preserve"> </w:t>
      </w:r>
      <w:r w:rsidRPr="00D80630" w:rsidR="0008335B">
        <w:t>SSA produces millions of public-use forms, many of which have a life cycle longer</w:t>
      </w:r>
      <w:r w:rsidRPr="00D80630" w:rsidR="00B21C54">
        <w:t xml:space="preserve"> than that of an OMB approval.  </w:t>
      </w:r>
      <w:r w:rsidRPr="00D80630" w:rsidR="0008335B">
        <w:t>SSA does not periodically revise and reprint its public-use forms (e.g., on an annual basis).  OMB granted this exemption so SSA would not have to discontinue using otherwise usable editions of forms with outdated expiration dates.  In addition, SSA avoids Government waste because we will not have to destroy and reprint stocks of forms.</w:t>
      </w:r>
    </w:p>
    <w:p w:rsidR="00AA6780" w:rsidRPr="00D80630" w:rsidP="00EA5467" w14:paraId="0B976DD0" w14:textId="77777777">
      <w:pPr>
        <w:pStyle w:val="ListParagraph"/>
        <w:ind w:left="1440"/>
      </w:pPr>
    </w:p>
    <w:p w:rsidR="00AA6780" w:rsidRPr="00D80630" w:rsidP="00830E89" w14:paraId="13A835C1" w14:textId="76646ED7">
      <w:pPr>
        <w:pStyle w:val="ListParagraph"/>
        <w:ind w:left="1080"/>
        <w:rPr>
          <w:b/>
        </w:rPr>
      </w:pPr>
      <w:r w:rsidRPr="00D80630">
        <w:rPr>
          <w:b/>
        </w:rPr>
        <w:t>1</w:t>
      </w:r>
      <w:r w:rsidR="0071723F">
        <w:rPr>
          <w:b/>
        </w:rPr>
        <w:t>8</w:t>
      </w:r>
      <w:r w:rsidRPr="00D80630" w:rsidR="00830E89">
        <w:rPr>
          <w:b/>
        </w:rPr>
        <w:t>.</w:t>
      </w:r>
      <w:r w:rsidRPr="00D80630" w:rsidR="00830E89">
        <w:rPr>
          <w:b/>
        </w:rPr>
        <w:tab/>
      </w:r>
      <w:r w:rsidRPr="00D80630">
        <w:rPr>
          <w:b/>
        </w:rPr>
        <w:t>Exception to Certification Statement</w:t>
      </w:r>
    </w:p>
    <w:p w:rsidR="008236CC" w:rsidP="00830E89" w14:paraId="6998FB35" w14:textId="2CEA0D47">
      <w:pPr>
        <w:pStyle w:val="BodyText2"/>
        <w:tabs>
          <w:tab w:val="clear" w:pos="-720"/>
          <w:tab w:val="clear" w:pos="0"/>
          <w:tab w:val="clear" w:pos="720"/>
          <w:tab w:val="clear" w:pos="1440"/>
          <w:tab w:val="left" w:pos="1530"/>
        </w:tabs>
        <w:suppressAutoHyphens w:val="0"/>
        <w:ind w:left="1440"/>
        <w:rPr>
          <w:rFonts w:ascii="Times New Roman" w:hAnsi="Times New Roman"/>
          <w:b w:val="0"/>
          <w:i w:val="0"/>
        </w:rPr>
      </w:pPr>
      <w:r w:rsidRPr="00D80630">
        <w:rPr>
          <w:rFonts w:ascii="Times New Roman" w:hAnsi="Times New Roman"/>
          <w:b w:val="0"/>
          <w:i w:val="0"/>
        </w:rPr>
        <w:t xml:space="preserve">SSA is not requesting an exception to the certification requirements at </w:t>
      </w:r>
    </w:p>
    <w:p w:rsidR="00B618C3" w:rsidRPr="00D80630" w:rsidP="00830E89" w14:paraId="500BF2A8" w14:textId="155499B2">
      <w:pPr>
        <w:pStyle w:val="BodyText2"/>
        <w:tabs>
          <w:tab w:val="clear" w:pos="-720"/>
          <w:tab w:val="clear" w:pos="0"/>
          <w:tab w:val="clear" w:pos="720"/>
          <w:tab w:val="clear" w:pos="1440"/>
          <w:tab w:val="left" w:pos="1530"/>
        </w:tabs>
        <w:suppressAutoHyphens w:val="0"/>
        <w:ind w:left="1440"/>
        <w:rPr>
          <w:rFonts w:ascii="Times New Roman" w:hAnsi="Times New Roman"/>
          <w:b w:val="0"/>
          <w:i w:val="0"/>
        </w:rPr>
      </w:pPr>
      <w:r w:rsidRPr="00D80630">
        <w:rPr>
          <w:rFonts w:ascii="Times New Roman" w:hAnsi="Times New Roman"/>
          <w:b w:val="0"/>
        </w:rPr>
        <w:t>5 CFR 1320.9</w:t>
      </w:r>
      <w:r w:rsidRPr="00D80630">
        <w:rPr>
          <w:rFonts w:ascii="Times New Roman" w:hAnsi="Times New Roman"/>
          <w:b w:val="0"/>
          <w:i w:val="0"/>
        </w:rPr>
        <w:t xml:space="preserve"> and related provisions at </w:t>
      </w:r>
      <w:r w:rsidRPr="00D80630">
        <w:rPr>
          <w:rFonts w:ascii="Times New Roman" w:hAnsi="Times New Roman"/>
          <w:b w:val="0"/>
        </w:rPr>
        <w:t>5 CFR 1320.8(b)(3).</w:t>
      </w:r>
      <w:r w:rsidRPr="00D80630">
        <w:rPr>
          <w:rFonts w:ascii="Times New Roman" w:hAnsi="Times New Roman"/>
          <w:b w:val="0"/>
          <w:i w:val="0"/>
        </w:rPr>
        <w:t xml:space="preserve"> </w:t>
      </w:r>
    </w:p>
    <w:p w:rsidR="00AA6780" w:rsidRPr="00D80630" w:rsidP="00AA6780" w14:paraId="7568F48A" w14:textId="77777777">
      <w:pPr>
        <w:pStyle w:val="ListParagraph"/>
      </w:pPr>
    </w:p>
    <w:p w:rsidR="00AA6780" w:rsidRPr="00D80630" w:rsidP="00AA6780" w14:paraId="567A4658" w14:textId="77777777">
      <w:pPr>
        <w:pStyle w:val="ListParagraph"/>
        <w:numPr>
          <w:ilvl w:val="0"/>
          <w:numId w:val="1"/>
        </w:numPr>
        <w:rPr>
          <w:b/>
          <w:u w:val="single"/>
        </w:rPr>
      </w:pPr>
      <w:r w:rsidRPr="00D80630">
        <w:rPr>
          <w:b/>
          <w:u w:val="single"/>
        </w:rPr>
        <w:t>Collections of Information Employing Statistical Methods</w:t>
      </w:r>
    </w:p>
    <w:p w:rsidR="00AA6780" w:rsidRPr="00D80630" w:rsidP="00291DA8" w14:paraId="2BE993AF" w14:textId="790C892F">
      <w:pPr>
        <w:ind w:left="1080" w:firstLine="360"/>
        <w:rPr>
          <w:rFonts w:ascii="Times New Roman" w:hAnsi="Times New Roman"/>
          <w:b/>
          <w:sz w:val="24"/>
          <w:szCs w:val="24"/>
          <w:u w:val="single"/>
        </w:rPr>
      </w:pPr>
      <w:r w:rsidRPr="00D80630">
        <w:rPr>
          <w:rFonts w:ascii="Times New Roman" w:hAnsi="Times New Roman"/>
          <w:sz w:val="24"/>
          <w:szCs w:val="24"/>
        </w:rPr>
        <w:t>SSA does not use statistical methods for this information collection.</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61203834"/>
      <w:docPartObj>
        <w:docPartGallery w:val="Page Numbers (Bottom of Page)"/>
        <w:docPartUnique/>
      </w:docPartObj>
    </w:sdtPr>
    <w:sdtEndPr>
      <w:rPr>
        <w:noProof/>
      </w:rPr>
    </w:sdtEndPr>
    <w:sdtContent>
      <w:p w:rsidR="00447E88" w14:paraId="76BAC2E6" w14:textId="5F222E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47E88" w14:paraId="3E27909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7E88" w14:paraId="4E42B41B" w14:textId="7391F028">
    <w:pPr>
      <w:pStyle w:val="Header"/>
      <w:jc w:val="center"/>
    </w:pPr>
  </w:p>
  <w:p w:rsidR="00447E88" w14:paraId="5D3A33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033038"/>
    <w:multiLevelType w:val="hybridMultilevel"/>
    <w:tmpl w:val="CC5690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320380"/>
    <w:multiLevelType w:val="hybridMultilevel"/>
    <w:tmpl w:val="6E74E77E"/>
    <w:lvl w:ilvl="0">
      <w:start w:val="1"/>
      <w:numFmt w:val="decimal"/>
      <w:lvlText w:val="%1."/>
      <w:lvlJc w:val="left"/>
      <w:pPr>
        <w:ind w:left="720" w:hanging="360"/>
      </w:pPr>
      <w:rPr>
        <w:b w:val="0"/>
        <w:i w:val="0"/>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C27F01"/>
    <w:multiLevelType w:val="hybridMultilevel"/>
    <w:tmpl w:val="1C1248B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35541481"/>
    <w:multiLevelType w:val="hybridMultilevel"/>
    <w:tmpl w:val="92B6C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58A2C11"/>
    <w:multiLevelType w:val="hybridMultilevel"/>
    <w:tmpl w:val="7454542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40C33D13"/>
    <w:multiLevelType w:val="hybridMultilevel"/>
    <w:tmpl w:val="CE287D5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4426292E"/>
    <w:multiLevelType w:val="hybridMultilevel"/>
    <w:tmpl w:val="5DF2A9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5D76691"/>
    <w:multiLevelType w:val="hybridMultilevel"/>
    <w:tmpl w:val="A2309CA0"/>
    <w:lvl w:ilvl="0">
      <w:start w:val="1"/>
      <w:numFmt w:val="decimal"/>
      <w:lvlText w:val="%1."/>
      <w:lvlJc w:val="left"/>
      <w:pPr>
        <w:ind w:left="1080" w:hanging="360"/>
      </w:pPr>
      <w:rPr>
        <w:b/>
        <w:b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5757737F"/>
    <w:multiLevelType w:val="hybridMultilevel"/>
    <w:tmpl w:val="27B24556"/>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9">
    <w:nsid w:val="6A4A563F"/>
    <w:multiLevelType w:val="hybridMultilevel"/>
    <w:tmpl w:val="DEB2F512"/>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0">
    <w:nsid w:val="6B7A6538"/>
    <w:multiLevelType w:val="hybridMultilevel"/>
    <w:tmpl w:val="F9E09B4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23081325">
    <w:abstractNumId w:val="10"/>
  </w:num>
  <w:num w:numId="2" w16cid:durableId="49773427">
    <w:abstractNumId w:val="1"/>
  </w:num>
  <w:num w:numId="3" w16cid:durableId="1087536560">
    <w:abstractNumId w:val="2"/>
  </w:num>
  <w:num w:numId="4" w16cid:durableId="170071075">
    <w:abstractNumId w:val="7"/>
  </w:num>
  <w:num w:numId="5" w16cid:durableId="110898713">
    <w:abstractNumId w:val="4"/>
  </w:num>
  <w:num w:numId="6" w16cid:durableId="1460686934">
    <w:abstractNumId w:val="6"/>
  </w:num>
  <w:num w:numId="7" w16cid:durableId="962156272">
    <w:abstractNumId w:val="0"/>
  </w:num>
  <w:num w:numId="8" w16cid:durableId="949700437">
    <w:abstractNumId w:val="5"/>
  </w:num>
  <w:num w:numId="9" w16cid:durableId="1708065133">
    <w:abstractNumId w:val="8"/>
  </w:num>
  <w:num w:numId="10" w16cid:durableId="195429475">
    <w:abstractNumId w:val="9"/>
  </w:num>
  <w:num w:numId="11" w16cid:durableId="24791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780"/>
    <w:rsid w:val="00012767"/>
    <w:rsid w:val="0001551C"/>
    <w:rsid w:val="0001790A"/>
    <w:rsid w:val="0002128A"/>
    <w:rsid w:val="000258A4"/>
    <w:rsid w:val="000341E2"/>
    <w:rsid w:val="00041A60"/>
    <w:rsid w:val="0004691D"/>
    <w:rsid w:val="000476FF"/>
    <w:rsid w:val="00052CD1"/>
    <w:rsid w:val="00057B8D"/>
    <w:rsid w:val="00061498"/>
    <w:rsid w:val="00062DD3"/>
    <w:rsid w:val="000820A8"/>
    <w:rsid w:val="00082857"/>
    <w:rsid w:val="0008335B"/>
    <w:rsid w:val="00091E08"/>
    <w:rsid w:val="000935D7"/>
    <w:rsid w:val="00094457"/>
    <w:rsid w:val="00095BC0"/>
    <w:rsid w:val="000A0913"/>
    <w:rsid w:val="000A2242"/>
    <w:rsid w:val="000B6929"/>
    <w:rsid w:val="000C5127"/>
    <w:rsid w:val="000C713C"/>
    <w:rsid w:val="000D15F9"/>
    <w:rsid w:val="000D345A"/>
    <w:rsid w:val="000E4EBC"/>
    <w:rsid w:val="00106B00"/>
    <w:rsid w:val="001108CB"/>
    <w:rsid w:val="00116211"/>
    <w:rsid w:val="00132ECE"/>
    <w:rsid w:val="0013383C"/>
    <w:rsid w:val="00134E62"/>
    <w:rsid w:val="00137FCC"/>
    <w:rsid w:val="00145682"/>
    <w:rsid w:val="00146401"/>
    <w:rsid w:val="00153267"/>
    <w:rsid w:val="00154DE4"/>
    <w:rsid w:val="001645B4"/>
    <w:rsid w:val="00165F62"/>
    <w:rsid w:val="00174D7D"/>
    <w:rsid w:val="001751BE"/>
    <w:rsid w:val="001779D4"/>
    <w:rsid w:val="00185CAC"/>
    <w:rsid w:val="00193550"/>
    <w:rsid w:val="001964C7"/>
    <w:rsid w:val="001972B6"/>
    <w:rsid w:val="001B27F0"/>
    <w:rsid w:val="001D253F"/>
    <w:rsid w:val="001E1EFB"/>
    <w:rsid w:val="001E39E3"/>
    <w:rsid w:val="001E6460"/>
    <w:rsid w:val="00217B75"/>
    <w:rsid w:val="00225ADC"/>
    <w:rsid w:val="00231E46"/>
    <w:rsid w:val="00237AF7"/>
    <w:rsid w:val="00241286"/>
    <w:rsid w:val="00241D12"/>
    <w:rsid w:val="00243503"/>
    <w:rsid w:val="002528F3"/>
    <w:rsid w:val="002563BF"/>
    <w:rsid w:val="00275352"/>
    <w:rsid w:val="00291DA8"/>
    <w:rsid w:val="00294F1F"/>
    <w:rsid w:val="00297D1A"/>
    <w:rsid w:val="002A0EDD"/>
    <w:rsid w:val="002A2ABF"/>
    <w:rsid w:val="002A33EA"/>
    <w:rsid w:val="002A6BCB"/>
    <w:rsid w:val="002A77B6"/>
    <w:rsid w:val="002E13F8"/>
    <w:rsid w:val="002E2731"/>
    <w:rsid w:val="002E4612"/>
    <w:rsid w:val="002E6309"/>
    <w:rsid w:val="002E6788"/>
    <w:rsid w:val="002F6384"/>
    <w:rsid w:val="00310D67"/>
    <w:rsid w:val="00320933"/>
    <w:rsid w:val="00334E38"/>
    <w:rsid w:val="0033563A"/>
    <w:rsid w:val="00340111"/>
    <w:rsid w:val="0035171C"/>
    <w:rsid w:val="00352C5C"/>
    <w:rsid w:val="0035447B"/>
    <w:rsid w:val="00360B2F"/>
    <w:rsid w:val="00361585"/>
    <w:rsid w:val="0037288B"/>
    <w:rsid w:val="003A4153"/>
    <w:rsid w:val="003A556F"/>
    <w:rsid w:val="003A557B"/>
    <w:rsid w:val="003A726B"/>
    <w:rsid w:val="003F0747"/>
    <w:rsid w:val="003F4137"/>
    <w:rsid w:val="004222C5"/>
    <w:rsid w:val="0043034B"/>
    <w:rsid w:val="00440547"/>
    <w:rsid w:val="00447E88"/>
    <w:rsid w:val="00461A32"/>
    <w:rsid w:val="004722B3"/>
    <w:rsid w:val="004777E4"/>
    <w:rsid w:val="00495B43"/>
    <w:rsid w:val="004A1687"/>
    <w:rsid w:val="004B234D"/>
    <w:rsid w:val="004B4D2F"/>
    <w:rsid w:val="004D1D12"/>
    <w:rsid w:val="004F75BD"/>
    <w:rsid w:val="00500936"/>
    <w:rsid w:val="00520EA0"/>
    <w:rsid w:val="00527B84"/>
    <w:rsid w:val="00530B33"/>
    <w:rsid w:val="00535048"/>
    <w:rsid w:val="0054398E"/>
    <w:rsid w:val="0054504C"/>
    <w:rsid w:val="0055197F"/>
    <w:rsid w:val="0057088A"/>
    <w:rsid w:val="005759E4"/>
    <w:rsid w:val="00581011"/>
    <w:rsid w:val="00581361"/>
    <w:rsid w:val="005A1533"/>
    <w:rsid w:val="005C4578"/>
    <w:rsid w:val="005C4EC5"/>
    <w:rsid w:val="005C73DC"/>
    <w:rsid w:val="0060468E"/>
    <w:rsid w:val="006134F7"/>
    <w:rsid w:val="00623F54"/>
    <w:rsid w:val="00632802"/>
    <w:rsid w:val="00656FDC"/>
    <w:rsid w:val="00657AC4"/>
    <w:rsid w:val="0067356B"/>
    <w:rsid w:val="00684D72"/>
    <w:rsid w:val="00691BFB"/>
    <w:rsid w:val="00693357"/>
    <w:rsid w:val="006A4941"/>
    <w:rsid w:val="006B0520"/>
    <w:rsid w:val="006B2C6C"/>
    <w:rsid w:val="006C0649"/>
    <w:rsid w:val="006C1B3F"/>
    <w:rsid w:val="006C6821"/>
    <w:rsid w:val="006D15D8"/>
    <w:rsid w:val="006D53D0"/>
    <w:rsid w:val="006E3D76"/>
    <w:rsid w:val="006E6841"/>
    <w:rsid w:val="006F4ACC"/>
    <w:rsid w:val="00700BC3"/>
    <w:rsid w:val="0071723F"/>
    <w:rsid w:val="00717628"/>
    <w:rsid w:val="007224A0"/>
    <w:rsid w:val="007249B4"/>
    <w:rsid w:val="00735F15"/>
    <w:rsid w:val="00737D02"/>
    <w:rsid w:val="00754970"/>
    <w:rsid w:val="00777B4E"/>
    <w:rsid w:val="0078093A"/>
    <w:rsid w:val="0078398D"/>
    <w:rsid w:val="007C61D9"/>
    <w:rsid w:val="007D3A67"/>
    <w:rsid w:val="007D43CD"/>
    <w:rsid w:val="007D50E4"/>
    <w:rsid w:val="007F28D4"/>
    <w:rsid w:val="0080118A"/>
    <w:rsid w:val="0080284F"/>
    <w:rsid w:val="008076B4"/>
    <w:rsid w:val="008236CC"/>
    <w:rsid w:val="008241D8"/>
    <w:rsid w:val="0082452C"/>
    <w:rsid w:val="00830E89"/>
    <w:rsid w:val="0083295F"/>
    <w:rsid w:val="008422AE"/>
    <w:rsid w:val="00843407"/>
    <w:rsid w:val="00844B44"/>
    <w:rsid w:val="00847831"/>
    <w:rsid w:val="00852B0F"/>
    <w:rsid w:val="00852D45"/>
    <w:rsid w:val="00852E30"/>
    <w:rsid w:val="008631E8"/>
    <w:rsid w:val="0086798E"/>
    <w:rsid w:val="00871864"/>
    <w:rsid w:val="00882172"/>
    <w:rsid w:val="00890ABA"/>
    <w:rsid w:val="008A2A05"/>
    <w:rsid w:val="008A71EE"/>
    <w:rsid w:val="008B3678"/>
    <w:rsid w:val="008B4FA2"/>
    <w:rsid w:val="008F0AED"/>
    <w:rsid w:val="00903D36"/>
    <w:rsid w:val="00913AD9"/>
    <w:rsid w:val="00916CD4"/>
    <w:rsid w:val="00940117"/>
    <w:rsid w:val="00943866"/>
    <w:rsid w:val="009460A1"/>
    <w:rsid w:val="009464BF"/>
    <w:rsid w:val="00947993"/>
    <w:rsid w:val="009547BB"/>
    <w:rsid w:val="00960A90"/>
    <w:rsid w:val="00965AF2"/>
    <w:rsid w:val="009745FF"/>
    <w:rsid w:val="009866B2"/>
    <w:rsid w:val="00987986"/>
    <w:rsid w:val="00992EBD"/>
    <w:rsid w:val="00996571"/>
    <w:rsid w:val="009A4917"/>
    <w:rsid w:val="009C266C"/>
    <w:rsid w:val="009F1485"/>
    <w:rsid w:val="00A03A65"/>
    <w:rsid w:val="00A107C7"/>
    <w:rsid w:val="00A16013"/>
    <w:rsid w:val="00A1608A"/>
    <w:rsid w:val="00A20359"/>
    <w:rsid w:val="00A20DA4"/>
    <w:rsid w:val="00A2463B"/>
    <w:rsid w:val="00A25682"/>
    <w:rsid w:val="00A3520E"/>
    <w:rsid w:val="00A43105"/>
    <w:rsid w:val="00A43B7F"/>
    <w:rsid w:val="00A45FB3"/>
    <w:rsid w:val="00A54CDF"/>
    <w:rsid w:val="00A65B67"/>
    <w:rsid w:val="00A70088"/>
    <w:rsid w:val="00A72265"/>
    <w:rsid w:val="00A75025"/>
    <w:rsid w:val="00A77FF2"/>
    <w:rsid w:val="00A83245"/>
    <w:rsid w:val="00A85DA4"/>
    <w:rsid w:val="00A94E86"/>
    <w:rsid w:val="00AA6780"/>
    <w:rsid w:val="00AB51F4"/>
    <w:rsid w:val="00AC154B"/>
    <w:rsid w:val="00AD4E58"/>
    <w:rsid w:val="00AE4E69"/>
    <w:rsid w:val="00AE5365"/>
    <w:rsid w:val="00AE63D1"/>
    <w:rsid w:val="00AE762B"/>
    <w:rsid w:val="00AF0104"/>
    <w:rsid w:val="00AF491C"/>
    <w:rsid w:val="00AF4CB7"/>
    <w:rsid w:val="00AF592A"/>
    <w:rsid w:val="00AF692B"/>
    <w:rsid w:val="00AF7004"/>
    <w:rsid w:val="00B04FA2"/>
    <w:rsid w:val="00B0746D"/>
    <w:rsid w:val="00B21C54"/>
    <w:rsid w:val="00B300E6"/>
    <w:rsid w:val="00B33E23"/>
    <w:rsid w:val="00B425FE"/>
    <w:rsid w:val="00B42B00"/>
    <w:rsid w:val="00B44604"/>
    <w:rsid w:val="00B447F5"/>
    <w:rsid w:val="00B45F13"/>
    <w:rsid w:val="00B50399"/>
    <w:rsid w:val="00B5260F"/>
    <w:rsid w:val="00B53979"/>
    <w:rsid w:val="00B618C3"/>
    <w:rsid w:val="00B62588"/>
    <w:rsid w:val="00B62DAF"/>
    <w:rsid w:val="00B631A9"/>
    <w:rsid w:val="00B7056E"/>
    <w:rsid w:val="00B74496"/>
    <w:rsid w:val="00B757AD"/>
    <w:rsid w:val="00B77FA3"/>
    <w:rsid w:val="00B86954"/>
    <w:rsid w:val="00BA0B9F"/>
    <w:rsid w:val="00BA2C0C"/>
    <w:rsid w:val="00BB099D"/>
    <w:rsid w:val="00BB481E"/>
    <w:rsid w:val="00BD43F0"/>
    <w:rsid w:val="00BE4CC2"/>
    <w:rsid w:val="00BF0070"/>
    <w:rsid w:val="00BF259A"/>
    <w:rsid w:val="00BF55DF"/>
    <w:rsid w:val="00C0525E"/>
    <w:rsid w:val="00C05648"/>
    <w:rsid w:val="00C05BFD"/>
    <w:rsid w:val="00C15A33"/>
    <w:rsid w:val="00C207E1"/>
    <w:rsid w:val="00C250D1"/>
    <w:rsid w:val="00C342CA"/>
    <w:rsid w:val="00C41E2C"/>
    <w:rsid w:val="00C43540"/>
    <w:rsid w:val="00C442DF"/>
    <w:rsid w:val="00C456D6"/>
    <w:rsid w:val="00C45F0F"/>
    <w:rsid w:val="00C50671"/>
    <w:rsid w:val="00C50E38"/>
    <w:rsid w:val="00C62281"/>
    <w:rsid w:val="00C6440A"/>
    <w:rsid w:val="00C66F33"/>
    <w:rsid w:val="00C77B5F"/>
    <w:rsid w:val="00C95DEF"/>
    <w:rsid w:val="00C97DCC"/>
    <w:rsid w:val="00CA14EF"/>
    <w:rsid w:val="00CA7A75"/>
    <w:rsid w:val="00CB3DE0"/>
    <w:rsid w:val="00CB5CE5"/>
    <w:rsid w:val="00CC458C"/>
    <w:rsid w:val="00CC7DC7"/>
    <w:rsid w:val="00CD05A4"/>
    <w:rsid w:val="00CD349F"/>
    <w:rsid w:val="00CE0B13"/>
    <w:rsid w:val="00CE374B"/>
    <w:rsid w:val="00CE4CB2"/>
    <w:rsid w:val="00CE67A2"/>
    <w:rsid w:val="00CF704A"/>
    <w:rsid w:val="00D02522"/>
    <w:rsid w:val="00D04034"/>
    <w:rsid w:val="00D05C24"/>
    <w:rsid w:val="00D10738"/>
    <w:rsid w:val="00D23578"/>
    <w:rsid w:val="00D247BD"/>
    <w:rsid w:val="00D350DB"/>
    <w:rsid w:val="00D541E7"/>
    <w:rsid w:val="00D60C05"/>
    <w:rsid w:val="00D67576"/>
    <w:rsid w:val="00D70341"/>
    <w:rsid w:val="00D80630"/>
    <w:rsid w:val="00D94824"/>
    <w:rsid w:val="00D9653D"/>
    <w:rsid w:val="00DA20E3"/>
    <w:rsid w:val="00DA29F4"/>
    <w:rsid w:val="00DA545A"/>
    <w:rsid w:val="00DB22EF"/>
    <w:rsid w:val="00DB239B"/>
    <w:rsid w:val="00DB4854"/>
    <w:rsid w:val="00DB4E09"/>
    <w:rsid w:val="00DB4FFA"/>
    <w:rsid w:val="00DB5EF5"/>
    <w:rsid w:val="00DB7E57"/>
    <w:rsid w:val="00DC2659"/>
    <w:rsid w:val="00DC5CCE"/>
    <w:rsid w:val="00DC5D8B"/>
    <w:rsid w:val="00DD6163"/>
    <w:rsid w:val="00DE1C1D"/>
    <w:rsid w:val="00DF24FD"/>
    <w:rsid w:val="00E07612"/>
    <w:rsid w:val="00E078C6"/>
    <w:rsid w:val="00E265C0"/>
    <w:rsid w:val="00E356F9"/>
    <w:rsid w:val="00E4685C"/>
    <w:rsid w:val="00E64891"/>
    <w:rsid w:val="00E710E1"/>
    <w:rsid w:val="00E7112A"/>
    <w:rsid w:val="00E773DB"/>
    <w:rsid w:val="00E84FC2"/>
    <w:rsid w:val="00E85140"/>
    <w:rsid w:val="00E92D94"/>
    <w:rsid w:val="00E93DB2"/>
    <w:rsid w:val="00EA5467"/>
    <w:rsid w:val="00EB3A8D"/>
    <w:rsid w:val="00EB4C07"/>
    <w:rsid w:val="00EC0595"/>
    <w:rsid w:val="00EC49D0"/>
    <w:rsid w:val="00EC5490"/>
    <w:rsid w:val="00EC73E9"/>
    <w:rsid w:val="00ED125F"/>
    <w:rsid w:val="00EE1011"/>
    <w:rsid w:val="00EF0147"/>
    <w:rsid w:val="00EF31BE"/>
    <w:rsid w:val="00F01375"/>
    <w:rsid w:val="00F02C13"/>
    <w:rsid w:val="00F03C70"/>
    <w:rsid w:val="00F07B77"/>
    <w:rsid w:val="00F151FA"/>
    <w:rsid w:val="00F2013F"/>
    <w:rsid w:val="00F252D6"/>
    <w:rsid w:val="00F26136"/>
    <w:rsid w:val="00F367D2"/>
    <w:rsid w:val="00F4186F"/>
    <w:rsid w:val="00F43728"/>
    <w:rsid w:val="00F53DFA"/>
    <w:rsid w:val="00F60E16"/>
    <w:rsid w:val="00F64923"/>
    <w:rsid w:val="00F653EE"/>
    <w:rsid w:val="00F66DAB"/>
    <w:rsid w:val="00F77E32"/>
    <w:rsid w:val="00F8264C"/>
    <w:rsid w:val="00F842B4"/>
    <w:rsid w:val="00F92B8D"/>
    <w:rsid w:val="00F97318"/>
    <w:rsid w:val="00FA156C"/>
    <w:rsid w:val="00FB6114"/>
    <w:rsid w:val="00FB76AA"/>
    <w:rsid w:val="00FC07A3"/>
    <w:rsid w:val="00FC2AD6"/>
    <w:rsid w:val="00FC3553"/>
    <w:rsid w:val="00FD1975"/>
    <w:rsid w:val="00FE01FF"/>
    <w:rsid w:val="00FE0611"/>
    <w:rsid w:val="00FE1135"/>
    <w:rsid w:val="00FE1C51"/>
    <w:rsid w:val="00FE33FD"/>
    <w:rsid w:val="00FE655A"/>
    <w:rsid w:val="00FF2835"/>
    <w:rsid w:val="71664D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D7D612"/>
  <w15:chartTrackingRefBased/>
  <w15:docId w15:val="{C4318518-BFEF-410F-9418-D0421237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BD43F0"/>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pPr>
    <w:rPr>
      <w:rFonts w:ascii="Courier New" w:eastAsia="Times New Roman" w:hAnsi="Courier New" w:cs="Courier New"/>
      <w:b/>
      <w:bCs/>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780"/>
    <w:pPr>
      <w:spacing w:after="0" w:line="240" w:lineRule="auto"/>
      <w:ind w:left="720"/>
      <w:contextualSpacing/>
    </w:pPr>
    <w:rPr>
      <w:rFonts w:ascii="Times New Roman" w:hAnsi="Times New Roman"/>
      <w:sz w:val="24"/>
      <w:szCs w:val="24"/>
    </w:rPr>
  </w:style>
  <w:style w:type="paragraph" w:styleId="HTMLPreformatted">
    <w:name w:val="HTML Preformatted"/>
    <w:basedOn w:val="Normal"/>
    <w:link w:val="HTMLPreformattedChar"/>
    <w:rsid w:val="00AA6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link w:val="HTMLPreformatted"/>
    <w:rsid w:val="00AA6780"/>
    <w:rPr>
      <w:rFonts w:ascii="Courier New" w:eastAsia="SimSun" w:hAnsi="Courier New" w:cs="Courier New"/>
      <w:lang w:eastAsia="zh-CN"/>
    </w:rPr>
  </w:style>
  <w:style w:type="character" w:styleId="Hyperlink">
    <w:name w:val="Hyperlink"/>
    <w:uiPriority w:val="99"/>
    <w:unhideWhenUsed/>
    <w:rsid w:val="00AA6780"/>
    <w:rPr>
      <w:color w:val="0000FF"/>
      <w:u w:val="single"/>
    </w:rPr>
  </w:style>
  <w:style w:type="character" w:styleId="FollowedHyperlink">
    <w:name w:val="FollowedHyperlink"/>
    <w:uiPriority w:val="99"/>
    <w:semiHidden/>
    <w:unhideWhenUsed/>
    <w:rsid w:val="00AA6780"/>
    <w:rPr>
      <w:color w:val="954F72"/>
      <w:u w:val="single"/>
    </w:rPr>
  </w:style>
  <w:style w:type="paragraph" w:styleId="NoSpacing">
    <w:name w:val="No Spacing"/>
    <w:qFormat/>
    <w:rsid w:val="0008335B"/>
    <w:rPr>
      <w:rFonts w:ascii="Times New Roman" w:eastAsia="Times New Roman" w:hAnsi="Times New Roman"/>
      <w:sz w:val="24"/>
      <w:szCs w:val="24"/>
      <w:lang w:bidi="en-US"/>
    </w:rPr>
  </w:style>
  <w:style w:type="paragraph" w:styleId="Revision">
    <w:name w:val="Revision"/>
    <w:hidden/>
    <w:uiPriority w:val="99"/>
    <w:semiHidden/>
    <w:rsid w:val="000258A4"/>
    <w:rPr>
      <w:sz w:val="22"/>
      <w:szCs w:val="22"/>
    </w:rPr>
  </w:style>
  <w:style w:type="paragraph" w:styleId="BalloonText">
    <w:name w:val="Balloon Text"/>
    <w:basedOn w:val="Normal"/>
    <w:link w:val="BalloonTextChar"/>
    <w:uiPriority w:val="99"/>
    <w:semiHidden/>
    <w:unhideWhenUsed/>
    <w:rsid w:val="000258A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258A4"/>
    <w:rPr>
      <w:rFonts w:ascii="Segoe UI" w:hAnsi="Segoe UI" w:cs="Segoe UI"/>
      <w:sz w:val="18"/>
      <w:szCs w:val="18"/>
    </w:rPr>
  </w:style>
  <w:style w:type="paragraph" w:styleId="BodyText2">
    <w:name w:val="Body Text 2"/>
    <w:basedOn w:val="Normal"/>
    <w:link w:val="BodyText2Char"/>
    <w:semiHidden/>
    <w:unhideWhenUsed/>
    <w:rsid w:val="00B618C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spacing w:after="0" w:line="240" w:lineRule="auto"/>
    </w:pPr>
    <w:rPr>
      <w:rFonts w:ascii="Courier" w:eastAsia="Times New Roman" w:hAnsi="Courier"/>
      <w:b/>
      <w:bCs/>
      <w:i/>
      <w:iCs/>
      <w:sz w:val="24"/>
      <w:szCs w:val="24"/>
    </w:rPr>
  </w:style>
  <w:style w:type="character" w:customStyle="1" w:styleId="BodyText2Char">
    <w:name w:val="Body Text 2 Char"/>
    <w:link w:val="BodyText2"/>
    <w:semiHidden/>
    <w:rsid w:val="00B618C3"/>
    <w:rPr>
      <w:rFonts w:ascii="Courier" w:eastAsia="Times New Roman" w:hAnsi="Courier"/>
      <w:b/>
      <w:bCs/>
      <w:i/>
      <w:iCs/>
      <w:sz w:val="24"/>
      <w:szCs w:val="24"/>
    </w:rPr>
  </w:style>
  <w:style w:type="table" w:styleId="TableGrid">
    <w:name w:val="Table Grid"/>
    <w:basedOn w:val="TableNormal"/>
    <w:uiPriority w:val="39"/>
    <w:rsid w:val="00852D4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7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E88"/>
    <w:rPr>
      <w:sz w:val="22"/>
      <w:szCs w:val="22"/>
    </w:rPr>
  </w:style>
  <w:style w:type="paragraph" w:styleId="Footer">
    <w:name w:val="footer"/>
    <w:basedOn w:val="Normal"/>
    <w:link w:val="FooterChar"/>
    <w:uiPriority w:val="99"/>
    <w:unhideWhenUsed/>
    <w:rsid w:val="00447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E88"/>
    <w:rPr>
      <w:sz w:val="22"/>
      <w:szCs w:val="22"/>
    </w:rPr>
  </w:style>
  <w:style w:type="character" w:styleId="CommentReference">
    <w:name w:val="annotation reference"/>
    <w:basedOn w:val="DefaultParagraphFont"/>
    <w:uiPriority w:val="99"/>
    <w:semiHidden/>
    <w:unhideWhenUsed/>
    <w:rsid w:val="00F367D2"/>
    <w:rPr>
      <w:sz w:val="16"/>
      <w:szCs w:val="16"/>
    </w:rPr>
  </w:style>
  <w:style w:type="paragraph" w:styleId="CommentText">
    <w:name w:val="annotation text"/>
    <w:basedOn w:val="Normal"/>
    <w:link w:val="CommentTextChar"/>
    <w:uiPriority w:val="99"/>
    <w:unhideWhenUsed/>
    <w:rsid w:val="00F367D2"/>
    <w:pPr>
      <w:spacing w:line="240" w:lineRule="auto"/>
    </w:pPr>
    <w:rPr>
      <w:sz w:val="20"/>
      <w:szCs w:val="20"/>
    </w:rPr>
  </w:style>
  <w:style w:type="character" w:customStyle="1" w:styleId="CommentTextChar">
    <w:name w:val="Comment Text Char"/>
    <w:basedOn w:val="DefaultParagraphFont"/>
    <w:link w:val="CommentText"/>
    <w:uiPriority w:val="99"/>
    <w:rsid w:val="00F367D2"/>
  </w:style>
  <w:style w:type="paragraph" w:styleId="CommentSubject">
    <w:name w:val="annotation subject"/>
    <w:basedOn w:val="CommentText"/>
    <w:next w:val="CommentText"/>
    <w:link w:val="CommentSubjectChar"/>
    <w:uiPriority w:val="99"/>
    <w:semiHidden/>
    <w:unhideWhenUsed/>
    <w:rsid w:val="00F367D2"/>
    <w:rPr>
      <w:b/>
      <w:bCs/>
    </w:rPr>
  </w:style>
  <w:style w:type="character" w:customStyle="1" w:styleId="CommentSubjectChar">
    <w:name w:val="Comment Subject Char"/>
    <w:basedOn w:val="CommentTextChar"/>
    <w:link w:val="CommentSubject"/>
    <w:uiPriority w:val="99"/>
    <w:semiHidden/>
    <w:rsid w:val="00F367D2"/>
    <w:rPr>
      <w:b/>
      <w:bCs/>
    </w:rPr>
  </w:style>
  <w:style w:type="character" w:styleId="UnresolvedMention">
    <w:name w:val="Unresolved Mention"/>
    <w:basedOn w:val="DefaultParagraphFont"/>
    <w:uiPriority w:val="99"/>
    <w:semiHidden/>
    <w:unhideWhenUsed/>
    <w:rsid w:val="00530B33"/>
    <w:rPr>
      <w:color w:val="605E5C"/>
      <w:shd w:val="clear" w:color="auto" w:fill="E1DFDD"/>
    </w:rPr>
  </w:style>
  <w:style w:type="character" w:customStyle="1" w:styleId="Heading1Char">
    <w:name w:val="Heading 1 Char"/>
    <w:basedOn w:val="DefaultParagraphFont"/>
    <w:link w:val="Heading1"/>
    <w:rsid w:val="00BD43F0"/>
    <w:rPr>
      <w:rFonts w:ascii="Courier New" w:eastAsia="Times New Roman" w:hAnsi="Courier New" w:cs="Courier New"/>
      <w:b/>
      <w:b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ssa.gov/representation/index.htm" TargetMode="External" /><Relationship Id="rId9"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c590910-aa36-4de1-98f9-4e0fca8e9e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013F34FA3D9488E5415FF73CF773E" ma:contentTypeVersion="11" ma:contentTypeDescription="Create a new document." ma:contentTypeScope="" ma:versionID="b0f2ed80917ff2f69e09034875c46c12">
  <xsd:schema xmlns:xsd="http://www.w3.org/2001/XMLSchema" xmlns:xs="http://www.w3.org/2001/XMLSchema" xmlns:p="http://schemas.microsoft.com/office/2006/metadata/properties" xmlns:ns3="fc590910-aa36-4de1-98f9-4e0fca8e9e41" targetNamespace="http://schemas.microsoft.com/office/2006/metadata/properties" ma:root="true" ma:fieldsID="ca83ff2ecc74ca58ae8ed2520b7fbc3e" ns3:_="">
    <xsd:import namespace="fc590910-aa36-4de1-98f9-4e0fca8e9e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_activity"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90910-aa36-4de1-98f9-4e0fca8e9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26478-8872-4818-9C15-DB95E37F0520}">
  <ds:schemaRefs>
    <ds:schemaRef ds:uri="http://schemas.microsoft.com/sharepoint/v3/contenttype/forms"/>
  </ds:schemaRefs>
</ds:datastoreItem>
</file>

<file path=customXml/itemProps2.xml><?xml version="1.0" encoding="utf-8"?>
<ds:datastoreItem xmlns:ds="http://schemas.openxmlformats.org/officeDocument/2006/customXml" ds:itemID="{E25556A7-C2E5-4181-9388-D0FEF1706400}">
  <ds:schemaRefs>
    <ds:schemaRef ds:uri="http://schemas.microsoft.com/office/2006/metadata/properties"/>
    <ds:schemaRef ds:uri="http://schemas.microsoft.com/office/infopath/2007/PartnerControls"/>
    <ds:schemaRef ds:uri="fc590910-aa36-4de1-98f9-4e0fca8e9e41"/>
  </ds:schemaRefs>
</ds:datastoreItem>
</file>

<file path=customXml/itemProps3.xml><?xml version="1.0" encoding="utf-8"?>
<ds:datastoreItem xmlns:ds="http://schemas.openxmlformats.org/officeDocument/2006/customXml" ds:itemID="{F8FE1A57-EB18-4F8C-8AF6-97882B920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90910-aa36-4de1-98f9-4e0fca8e9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036BAD-0E6B-47A7-A2B1-ECC986CD6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2670</Words>
  <Characters>15222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Rauser, Kyle</dc:creator>
  <cp:lastModifiedBy>SSA Response</cp:lastModifiedBy>
  <cp:revision>3</cp:revision>
  <dcterms:created xsi:type="dcterms:W3CDTF">2025-06-25T18:10:00Z</dcterms:created>
  <dcterms:modified xsi:type="dcterms:W3CDTF">2025-06-25T18:13:00Z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0x010100DC2013F34FA3D9488E5415FF73CF773E</vt:lpwstr>
  </property>
  <property fmtid="{D5CDD505-2E9C-101B-9397-08002B2CF9AE}" pid="3" name="_AdHocReviewCycleID">
    <vt:i4>1649382763</vt:i4>
  </property>
  <property fmtid="{D5CDD505-2E9C-101B-9397-08002B2CF9AE}" pid="4" name="_AuthorEmail">
    <vt:lpwstr>Naomi.Sipple@ssa.gov</vt:lpwstr>
  </property>
  <property fmtid="{D5CDD505-2E9C-101B-9397-08002B2CF9AE}" pid="5" name="_AuthorEmailDisplayName">
    <vt:lpwstr>Sipple, Naomi</vt:lpwstr>
  </property>
  <property fmtid="{D5CDD505-2E9C-101B-9397-08002B2CF9AE}" pid="6" name="_EmailSubject">
    <vt:lpwstr>OMB 0960-0731</vt:lpwstr>
  </property>
  <property fmtid="{D5CDD505-2E9C-101B-9397-08002B2CF9AE}" pid="7" name="_NewReviewCycle">
    <vt:lpwstr/>
  </property>
  <property fmtid="{D5CDD505-2E9C-101B-9397-08002B2CF9AE}" pid="8" name="_PreviousAdHocReviewCycleID">
    <vt:i4>-1811468581</vt:i4>
  </property>
  <property fmtid="{D5CDD505-2E9C-101B-9397-08002B2CF9AE}" pid="9" name="_ReviewingToolsShownOnce">
    <vt:lpwstr/>
  </property>
</Properties>
</file>