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7117" w:rsidP="00577117" w14:paraId="110745C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w:t>
      </w:r>
      <w:r w:rsidR="009C162A">
        <w:rPr>
          <w:rFonts w:ascii="Times New Roman" w:hAnsi="Times New Roman" w:cs="Times New Roman"/>
        </w:rPr>
        <w:t xml:space="preserve">B </w:t>
      </w:r>
      <w:r w:rsidRPr="00BC7F42">
        <w:rPr>
          <w:rFonts w:ascii="Times New Roman" w:hAnsi="Times New Roman" w:cs="Times New Roman"/>
        </w:rPr>
        <w:t xml:space="preserve">for </w:t>
      </w:r>
    </w:p>
    <w:p w:rsidR="0041131C" w:rsidP="009C162A" w14:paraId="185BC83E" w14:textId="284D7B9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Cs w:val="0"/>
          <w:iCs/>
        </w:rPr>
      </w:pPr>
      <w:r w:rsidRPr="009C162A">
        <w:rPr>
          <w:rFonts w:ascii="Times New Roman" w:hAnsi="Times New Roman"/>
          <w:bCs w:val="0"/>
          <w:iCs/>
        </w:rPr>
        <w:t>Supportive Housing &amp; Individual Pl</w:t>
      </w:r>
      <w:r w:rsidRPr="009C162A" w:rsidR="00C712F2">
        <w:rPr>
          <w:rFonts w:ascii="Times New Roman" w:hAnsi="Times New Roman"/>
          <w:bCs w:val="0"/>
          <w:iCs/>
        </w:rPr>
        <w:t>acement and Support (SHIP</w:t>
      </w:r>
      <w:r w:rsidRPr="009C162A">
        <w:rPr>
          <w:rFonts w:ascii="Times New Roman" w:hAnsi="Times New Roman"/>
          <w:bCs w:val="0"/>
          <w:iCs/>
        </w:rPr>
        <w:t>S)</w:t>
      </w:r>
      <w:r w:rsidRPr="009C162A" w:rsidR="00C712F2">
        <w:rPr>
          <w:rFonts w:ascii="Times New Roman" w:hAnsi="Times New Roman"/>
          <w:bCs w:val="0"/>
          <w:iCs/>
        </w:rPr>
        <w:t xml:space="preserve"> Study</w:t>
      </w:r>
    </w:p>
    <w:p w:rsidR="00533BD9" w:rsidRPr="00533BD9" w:rsidP="00533BD9" w14:paraId="01F7D64D" w14:textId="40F34EF3">
      <w:pPr>
        <w:jc w:val="center"/>
        <w:rPr>
          <w:rFonts w:ascii="Times New Roman" w:hAnsi="Times New Roman"/>
          <w:b/>
          <w:bCs/>
        </w:rPr>
      </w:pPr>
      <w:r w:rsidRPr="00D80630">
        <w:rPr>
          <w:rFonts w:ascii="Times New Roman" w:hAnsi="Times New Roman"/>
          <w:b/>
        </w:rPr>
        <w:t>OMB No</w:t>
      </w:r>
      <w:r>
        <w:rPr>
          <w:rFonts w:ascii="Times New Roman" w:hAnsi="Times New Roman"/>
          <w:b/>
        </w:rPr>
        <w:t>. 0960-0804</w:t>
      </w:r>
    </w:p>
    <w:p w:rsidR="00A45D82" w:rsidRPr="00BC7F42" w:rsidP="00A45D82" w14:paraId="141DBB22" w14:textId="77777777">
      <w:pPr>
        <w:rPr>
          <w:rFonts w:ascii="Times New Roman" w:hAnsi="Times New Roman"/>
        </w:rPr>
      </w:pPr>
    </w:p>
    <w:p w:rsidR="00A45D82" w:rsidP="00A45D82" w14:paraId="53A0BB33" w14:textId="7777777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8D781C" w:rsidRPr="008D781C" w:rsidP="008D781C" w14:paraId="583A880A" w14:textId="12C27098">
      <w:pPr>
        <w:ind w:left="360"/>
        <w:rPr>
          <w:rFonts w:ascii="Times New Roman" w:hAnsi="Times New Roman"/>
        </w:rPr>
      </w:pPr>
      <w:r>
        <w:rPr>
          <w:rFonts w:ascii="Times New Roman" w:hAnsi="Times New Roman"/>
          <w:snapToGrid/>
          <w:lang w:val="en"/>
        </w:rPr>
        <w:t xml:space="preserve">SSA </w:t>
      </w:r>
      <w:r w:rsidR="008E1933">
        <w:rPr>
          <w:rFonts w:ascii="Times New Roman" w:hAnsi="Times New Roman"/>
          <w:snapToGrid/>
          <w:lang w:val="en"/>
        </w:rPr>
        <w:t xml:space="preserve">awarded </w:t>
      </w:r>
      <w:r>
        <w:rPr>
          <w:rFonts w:ascii="Times New Roman" w:hAnsi="Times New Roman"/>
          <w:snapToGrid/>
          <w:lang w:val="en"/>
        </w:rPr>
        <w:t xml:space="preserve">Westat </w:t>
      </w:r>
      <w:r w:rsidR="008E1933">
        <w:rPr>
          <w:rFonts w:ascii="Times New Roman" w:hAnsi="Times New Roman"/>
          <w:snapToGrid/>
          <w:lang w:val="en"/>
        </w:rPr>
        <w:t xml:space="preserve">a cooperative agreement </w:t>
      </w:r>
      <w:r>
        <w:rPr>
          <w:rFonts w:ascii="Times New Roman" w:hAnsi="Times New Roman"/>
          <w:snapToGrid/>
          <w:lang w:val="en"/>
        </w:rPr>
        <w:t>to conduct the</w:t>
      </w:r>
      <w:r w:rsidRPr="00712825">
        <w:rPr>
          <w:rFonts w:ascii="Times New Roman" w:hAnsi="Times New Roman"/>
        </w:rPr>
        <w:t xml:space="preserve"> randomized controlled trial </w:t>
      </w:r>
      <w:r>
        <w:rPr>
          <w:rFonts w:ascii="Times New Roman" w:hAnsi="Times New Roman"/>
        </w:rPr>
        <w:t>of the Supportive Housing &amp; Individual Placement and Support (SHIPS) Study.  The primary objective of SHIPS is to</w:t>
      </w:r>
      <w:r w:rsidRPr="00712825">
        <w:rPr>
          <w:rFonts w:ascii="Times New Roman" w:hAnsi="Times New Roman"/>
        </w:rPr>
        <w:t xml:space="preserve"> determine whether participation in Individual Placement and Support (IPS) improves the employment, income, health, and self-sufficiency of people who are recently homeless and living in supportive housing.  The SHIPS study </w:t>
      </w:r>
      <w:r>
        <w:rPr>
          <w:rFonts w:ascii="Times New Roman" w:hAnsi="Times New Roman"/>
        </w:rPr>
        <w:t xml:space="preserve">will </w:t>
      </w:r>
      <w:r w:rsidRPr="00712825">
        <w:rPr>
          <w:rFonts w:ascii="Times New Roman" w:hAnsi="Times New Roman"/>
        </w:rPr>
        <w:t xml:space="preserve">mark the first </w:t>
      </w:r>
      <w:r>
        <w:rPr>
          <w:rFonts w:ascii="Times New Roman" w:hAnsi="Times New Roman"/>
        </w:rPr>
        <w:t xml:space="preserve">study testing the effectiveness of implementing </w:t>
      </w:r>
      <w:r w:rsidRPr="00712825">
        <w:rPr>
          <w:rFonts w:ascii="Times New Roman" w:hAnsi="Times New Roman"/>
        </w:rPr>
        <w:t>IPS in a supportive housing program.</w:t>
      </w:r>
    </w:p>
    <w:p w:rsidR="008D781C" w:rsidP="008D781C" w14:paraId="5881D2C7" w14:textId="77777777">
      <w:pPr>
        <w:ind w:firstLine="360"/>
        <w:rPr>
          <w:rFonts w:ascii="Times New Roman" w:hAnsi="Times New Roman"/>
          <w:snapToGrid/>
          <w:lang w:val="en"/>
        </w:rPr>
      </w:pPr>
    </w:p>
    <w:p w:rsidR="006C7131" w:rsidRPr="00093CFD" w:rsidP="00013FE3" w14:paraId="078012C2" w14:textId="77777777">
      <w:pPr>
        <w:numPr>
          <w:ilvl w:val="0"/>
          <w:numId w:val="5"/>
        </w:numPr>
        <w:rPr>
          <w:rFonts w:ascii="Times New Roman" w:hAnsi="Times New Roman"/>
          <w:b/>
        </w:rPr>
      </w:pPr>
      <w:r w:rsidRPr="00BC7F42">
        <w:rPr>
          <w:rFonts w:ascii="Times New Roman" w:hAnsi="Times New Roman"/>
          <w:b/>
        </w:rPr>
        <w:t>Statistical Methodology</w:t>
      </w:r>
      <w:r>
        <w:rPr>
          <w:rFonts w:ascii="Times New Roman" w:hAnsi="Times New Roman"/>
          <w:b/>
        </w:rPr>
        <w:t xml:space="preserve">.  </w:t>
      </w:r>
      <w:r w:rsidRPr="006C7131">
        <w:rPr>
          <w:rFonts w:ascii="Times New Roman" w:hAnsi="Times New Roman"/>
          <w:i/>
          <w:iCs/>
        </w:rPr>
        <w:t xml:space="preserve"> </w:t>
      </w:r>
      <w:r w:rsidRPr="006C7131">
        <w:rPr>
          <w:rFonts w:ascii="Times New Roman" w:hAnsi="Times New Roman"/>
        </w:rPr>
        <w:t xml:space="preserve"> </w:t>
      </w:r>
    </w:p>
    <w:p w:rsidR="00093CFD" w:rsidP="00533BD9" w14:paraId="575C569F" w14:textId="021062FF">
      <w:pPr>
        <w:ind w:left="1080"/>
        <w:rPr>
          <w:rFonts w:ascii="Times New Roman" w:hAnsi="Times New Roman"/>
          <w:i/>
          <w:iCs/>
        </w:rPr>
      </w:pPr>
      <w:r>
        <w:rPr>
          <w:rFonts w:ascii="Times New Roman" w:hAnsi="Times New Roman"/>
        </w:rPr>
        <w:t xml:space="preserve">SHIPS is a </w:t>
      </w:r>
      <w:r>
        <w:rPr>
          <w:rFonts w:ascii="Times New Roman" w:hAnsi="Times New Roman"/>
        </w:rPr>
        <w:t>randomized controlled trial</w:t>
      </w:r>
      <w:r>
        <w:rPr>
          <w:rFonts w:ascii="Times New Roman" w:hAnsi="Times New Roman"/>
        </w:rPr>
        <w:t xml:space="preserve"> which</w:t>
      </w:r>
      <w:r>
        <w:rPr>
          <w:rFonts w:ascii="Times New Roman" w:hAnsi="Times New Roman"/>
        </w:rPr>
        <w:t xml:space="preserve"> will sample </w:t>
      </w:r>
      <w:r>
        <w:rPr>
          <w:rFonts w:ascii="Times New Roman" w:hAnsi="Times New Roman"/>
        </w:rPr>
        <w:t>a</w:t>
      </w:r>
      <w:r w:rsidR="00C363B8">
        <w:rPr>
          <w:rFonts w:ascii="Times New Roman" w:hAnsi="Times New Roman"/>
        </w:rPr>
        <w:t>t least</w:t>
      </w:r>
      <w:r>
        <w:rPr>
          <w:rFonts w:ascii="Times New Roman" w:hAnsi="Times New Roman"/>
        </w:rPr>
        <w:t xml:space="preserve"> 200 people (100 for each of two treatment arms) </w:t>
      </w:r>
      <w:r w:rsidR="001C5DA7">
        <w:rPr>
          <w:rFonts w:ascii="Times New Roman" w:hAnsi="Times New Roman"/>
        </w:rPr>
        <w:t xml:space="preserve">and as many as 300 people (150 for each of two treatment arms) </w:t>
      </w:r>
      <w:r>
        <w:rPr>
          <w:rFonts w:ascii="Times New Roman" w:hAnsi="Times New Roman"/>
        </w:rPr>
        <w:t>from the population of approximately 2000 people receiving supportive housing services from People Assisting the Homeless of Greater Los Angeles (PATH)</w:t>
      </w:r>
      <w:r w:rsidRPr="00034D9F">
        <w:rPr>
          <w:rFonts w:ascii="Times New Roman" w:hAnsi="Times New Roman"/>
        </w:rPr>
        <w:t xml:space="preserve">.  </w:t>
      </w:r>
      <w:r w:rsidRPr="00E5636C" w:rsidR="00E10EB9">
        <w:rPr>
          <w:rFonts w:ascii="Times New Roman" w:hAnsi="Times New Roman"/>
        </w:rPr>
        <w:t>F</w:t>
      </w:r>
      <w:r w:rsidRPr="009B31B1" w:rsidR="00E10EB9">
        <w:rPr>
          <w:rFonts w:ascii="Times New Roman" w:hAnsi="Times New Roman"/>
        </w:rPr>
        <w:t xml:space="preserve">or the purposes of this study, </w:t>
      </w:r>
      <w:r w:rsidR="00A637F2">
        <w:rPr>
          <w:rFonts w:ascii="Times New Roman" w:hAnsi="Times New Roman"/>
        </w:rPr>
        <w:t xml:space="preserve">we define </w:t>
      </w:r>
      <w:r w:rsidRPr="009B31B1" w:rsidR="00E10EB9">
        <w:rPr>
          <w:rFonts w:ascii="Times New Roman" w:hAnsi="Times New Roman"/>
        </w:rPr>
        <w:t xml:space="preserve">supportive housing as services on the spectrum of supportive housing that </w:t>
      </w:r>
      <w:r w:rsidR="009E3570">
        <w:rPr>
          <w:rFonts w:ascii="Times New Roman" w:hAnsi="Times New Roman"/>
        </w:rPr>
        <w:t>incorporate</w:t>
      </w:r>
      <w:r w:rsidRPr="009B31B1" w:rsidR="00E10EB9">
        <w:rPr>
          <w:rFonts w:ascii="Times New Roman" w:hAnsi="Times New Roman"/>
        </w:rPr>
        <w:t xml:space="preserve"> case management.  These include place-based and scattered site permanent supportive housing (PB-PSH and SS-PSH) and rapid rehousing (RRH).</w:t>
      </w:r>
      <w:r w:rsidR="00E10EB9">
        <w:rPr>
          <w:rFonts w:ascii="Times New Roman" w:hAnsi="Times New Roman"/>
        </w:rPr>
        <w:t xml:space="preserve">  </w:t>
      </w:r>
      <w:r w:rsidR="0032607F">
        <w:rPr>
          <w:rFonts w:ascii="Times New Roman" w:hAnsi="Times New Roman"/>
        </w:rPr>
        <w:t xml:space="preserve">PATH refers to its RRH services by the program name Time-Limited Support (TLS).  </w:t>
      </w:r>
      <w:r w:rsidRPr="00034D9F">
        <w:rPr>
          <w:rStyle w:val="Heading7Char"/>
          <w:rFonts w:ascii="Times New Roman" w:hAnsi="Times New Roman"/>
          <w:b w:val="0"/>
          <w:bCs w:val="0"/>
          <w:u w:val="none"/>
        </w:rPr>
        <w:t xml:space="preserve">Eligible referrals are adults (age 18 and up) living in </w:t>
      </w:r>
      <w:r>
        <w:rPr>
          <w:rStyle w:val="Heading7Char"/>
          <w:rFonts w:ascii="Times New Roman" w:hAnsi="Times New Roman"/>
          <w:b w:val="0"/>
          <w:bCs w:val="0"/>
          <w:u w:val="none"/>
        </w:rPr>
        <w:t>PATH</w:t>
      </w:r>
      <w:r w:rsidRPr="00034D9F">
        <w:rPr>
          <w:rStyle w:val="Heading7Char"/>
          <w:rFonts w:ascii="Times New Roman" w:hAnsi="Times New Roman"/>
          <w:b w:val="0"/>
          <w:bCs w:val="0"/>
          <w:u w:val="none"/>
        </w:rPr>
        <w:t xml:space="preserve"> supportive housing units.  All are recently homeless or at risk of being homeless.</w:t>
      </w:r>
      <w:r w:rsidR="0071057A">
        <w:rPr>
          <w:rStyle w:val="Heading7Char"/>
          <w:rFonts w:ascii="Times New Roman" w:hAnsi="Times New Roman"/>
          <w:b w:val="0"/>
          <w:bCs w:val="0"/>
          <w:u w:val="none"/>
        </w:rPr>
        <w:t xml:space="preserve"> </w:t>
      </w:r>
      <w:r w:rsidRPr="00034D9F">
        <w:rPr>
          <w:rStyle w:val="Heading7Char"/>
          <w:rFonts w:ascii="Times New Roman" w:hAnsi="Times New Roman"/>
          <w:b w:val="0"/>
          <w:bCs w:val="0"/>
          <w:u w:val="none"/>
        </w:rPr>
        <w:t xml:space="preserve"> </w:t>
      </w:r>
      <w:r w:rsidRPr="00034D9F">
        <w:rPr>
          <w:rStyle w:val="Heading7Char"/>
          <w:rFonts w:ascii="Times New Roman" w:eastAsia="DengXian" w:hAnsi="Times New Roman"/>
          <w:b w:val="0"/>
          <w:bCs w:val="0"/>
          <w:u w:val="none"/>
        </w:rPr>
        <w:t>Most of</w:t>
      </w:r>
      <w:r w:rsidRPr="00034D9F">
        <w:rPr>
          <w:rStyle w:val="Heading7Char"/>
          <w:rFonts w:ascii="Times New Roman" w:hAnsi="Times New Roman"/>
          <w:b w:val="0"/>
          <w:bCs w:val="0"/>
          <w:u w:val="none"/>
        </w:rPr>
        <w:t xml:space="preserve"> these individuals are unemployed </w:t>
      </w:r>
      <w:r w:rsidRPr="00034D9F">
        <w:rPr>
          <w:rFonts w:ascii="Times New Roman" w:hAnsi="Times New Roman"/>
        </w:rPr>
        <w:t xml:space="preserve">or underemployed </w:t>
      </w:r>
      <w:r w:rsidRPr="00034D9F">
        <w:rPr>
          <w:rStyle w:val="Heading7Char"/>
          <w:rFonts w:ascii="Times New Roman" w:hAnsi="Times New Roman"/>
          <w:b w:val="0"/>
          <w:bCs w:val="0"/>
          <w:u w:val="none"/>
        </w:rPr>
        <w:t xml:space="preserve">and </w:t>
      </w:r>
      <w:r w:rsidRPr="00034D9F">
        <w:rPr>
          <w:rStyle w:val="Heading7Char"/>
          <w:rFonts w:ascii="Times New Roman" w:eastAsia="DengXian" w:hAnsi="Times New Roman"/>
          <w:b w:val="0"/>
          <w:bCs w:val="0"/>
          <w:u w:val="none"/>
        </w:rPr>
        <w:t>receiving benefits</w:t>
      </w:r>
      <w:r w:rsidRPr="00034D9F">
        <w:rPr>
          <w:rStyle w:val="Heading7Char"/>
          <w:rFonts w:ascii="Times New Roman" w:hAnsi="Times New Roman"/>
          <w:b w:val="0"/>
          <w:bCs w:val="0"/>
          <w:u w:val="none"/>
        </w:rPr>
        <w:t xml:space="preserve"> and health insurance through various disability or unemployment programs.</w:t>
      </w:r>
    </w:p>
    <w:p w:rsidR="008D781C" w:rsidP="008D781C" w14:paraId="0C73E9CE" w14:textId="77777777">
      <w:pPr>
        <w:rPr>
          <w:rFonts w:ascii="Times New Roman" w:hAnsi="Times New Roman"/>
          <w:i/>
          <w:iCs/>
        </w:rPr>
      </w:pPr>
    </w:p>
    <w:p w:rsidR="006C7131" w:rsidP="00533BD9" w14:paraId="55DD47B8" w14:textId="77777777">
      <w:pPr>
        <w:ind w:left="1080"/>
        <w:rPr>
          <w:rFonts w:ascii="Times New Roman" w:hAnsi="Times New Roman"/>
        </w:rPr>
      </w:pPr>
      <w:r>
        <w:rPr>
          <w:rFonts w:ascii="Times New Roman" w:hAnsi="Times New Roman"/>
        </w:rPr>
        <w:t xml:space="preserve">PATH provides </w:t>
      </w:r>
      <w:r w:rsidR="00E10EB9">
        <w:rPr>
          <w:rFonts w:ascii="Times New Roman" w:hAnsi="Times New Roman"/>
        </w:rPr>
        <w:t xml:space="preserve">place-based </w:t>
      </w:r>
      <w:r w:rsidR="001E31C0">
        <w:rPr>
          <w:rFonts w:ascii="Times New Roman" w:hAnsi="Times New Roman"/>
        </w:rPr>
        <w:t xml:space="preserve">permanent supportive housing services, </w:t>
      </w:r>
      <w:r w:rsidR="00E10EB9">
        <w:rPr>
          <w:rFonts w:ascii="Times New Roman" w:hAnsi="Times New Roman"/>
        </w:rPr>
        <w:t xml:space="preserve">scattered-site permanent </w:t>
      </w:r>
      <w:r>
        <w:rPr>
          <w:rFonts w:ascii="Times New Roman" w:hAnsi="Times New Roman"/>
        </w:rPr>
        <w:t>supportive housing services</w:t>
      </w:r>
      <w:r w:rsidR="001E31C0">
        <w:rPr>
          <w:rFonts w:ascii="Times New Roman" w:hAnsi="Times New Roman"/>
        </w:rPr>
        <w:t>, and rapid rehousing services</w:t>
      </w:r>
      <w:r>
        <w:rPr>
          <w:rFonts w:ascii="Times New Roman" w:hAnsi="Times New Roman"/>
        </w:rPr>
        <w:t xml:space="preserve"> </w:t>
      </w:r>
      <w:r w:rsidR="00E10EB9">
        <w:rPr>
          <w:rFonts w:ascii="Times New Roman" w:hAnsi="Times New Roman"/>
        </w:rPr>
        <w:t>throughout Los Angeles County</w:t>
      </w:r>
      <w:r>
        <w:rPr>
          <w:rFonts w:ascii="Times New Roman" w:hAnsi="Times New Roman"/>
        </w:rPr>
        <w:t xml:space="preserve">.  </w:t>
      </w:r>
      <w:r w:rsidR="00C363B8">
        <w:rPr>
          <w:rFonts w:ascii="Times New Roman" w:hAnsi="Times New Roman"/>
        </w:rPr>
        <w:t xml:space="preserve">The potential population of </w:t>
      </w:r>
      <w:r w:rsidR="00622B1F">
        <w:rPr>
          <w:rFonts w:ascii="Times New Roman" w:hAnsi="Times New Roman"/>
        </w:rPr>
        <w:t xml:space="preserve">SHIPS </w:t>
      </w:r>
      <w:r w:rsidR="00C363B8">
        <w:rPr>
          <w:rFonts w:ascii="Times New Roman" w:hAnsi="Times New Roman"/>
        </w:rPr>
        <w:t xml:space="preserve">enrollees includes residents of </w:t>
      </w:r>
      <w:r w:rsidR="00622B1F">
        <w:rPr>
          <w:rFonts w:ascii="Times New Roman" w:hAnsi="Times New Roman"/>
        </w:rPr>
        <w:t xml:space="preserve">13 </w:t>
      </w:r>
      <w:r w:rsidR="00C363B8">
        <w:rPr>
          <w:rFonts w:ascii="Times New Roman" w:hAnsi="Times New Roman"/>
        </w:rPr>
        <w:t xml:space="preserve">place-based </w:t>
      </w:r>
      <w:r w:rsidR="00622B1F">
        <w:rPr>
          <w:rFonts w:ascii="Times New Roman" w:hAnsi="Times New Roman"/>
        </w:rPr>
        <w:t>residences in downtown Los Angeles</w:t>
      </w:r>
      <w:r w:rsidR="008C2FC6">
        <w:rPr>
          <w:rFonts w:ascii="Times New Roman" w:hAnsi="Times New Roman"/>
        </w:rPr>
        <w:t xml:space="preserve"> home to 688 residents</w:t>
      </w:r>
      <w:r w:rsidR="00C363B8">
        <w:rPr>
          <w:rFonts w:ascii="Times New Roman" w:hAnsi="Times New Roman"/>
        </w:rPr>
        <w:t xml:space="preserve">; 120 people receiving scattered-site permanent supportive housing; and a projected </w:t>
      </w:r>
      <w:r w:rsidR="0032607F">
        <w:rPr>
          <w:rFonts w:ascii="Times New Roman" w:hAnsi="Times New Roman"/>
        </w:rPr>
        <w:t>400</w:t>
      </w:r>
      <w:r w:rsidR="00C363B8">
        <w:rPr>
          <w:rFonts w:ascii="Times New Roman" w:hAnsi="Times New Roman"/>
        </w:rPr>
        <w:t xml:space="preserve"> people </w:t>
      </w:r>
      <w:r w:rsidR="0032607F">
        <w:rPr>
          <w:rFonts w:ascii="Times New Roman" w:hAnsi="Times New Roman"/>
        </w:rPr>
        <w:t>receiving TLS services from PATH in SPAs 4 and 5.</w:t>
      </w:r>
    </w:p>
    <w:p w:rsidR="0071057A" w:rsidRPr="007D1371" w:rsidP="008D781C" w14:paraId="61075842" w14:textId="77777777">
      <w:pPr>
        <w:ind w:left="720"/>
        <w:rPr>
          <w:rFonts w:ascii="Times New Roman" w:hAnsi="Times New Roman"/>
          <w:i/>
          <w:iCs/>
        </w:rPr>
      </w:pP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812"/>
        <w:gridCol w:w="2772"/>
        <w:gridCol w:w="1260"/>
      </w:tblGrid>
      <w:tr w14:paraId="27A226BB" w14:textId="77777777" w:rsidTr="008D781C">
        <w:tblPrEx>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86" w:type="dxa"/>
            <w:shd w:val="clear" w:color="auto" w:fill="auto"/>
          </w:tcPr>
          <w:p w:rsidR="007D1371" w:rsidRPr="00483F20" w:rsidP="007D1371" w14:paraId="25154D6A" w14:textId="77777777">
            <w:pPr>
              <w:rPr>
                <w:rFonts w:ascii="Times New Roman" w:hAnsi="Times New Roman"/>
              </w:rPr>
            </w:pPr>
            <w:r w:rsidRPr="00483F20">
              <w:rPr>
                <w:rFonts w:ascii="Times New Roman" w:hAnsi="Times New Roman"/>
              </w:rPr>
              <w:t>Stratum</w:t>
            </w:r>
          </w:p>
        </w:tc>
        <w:tc>
          <w:tcPr>
            <w:tcW w:w="812" w:type="dxa"/>
            <w:shd w:val="clear" w:color="auto" w:fill="auto"/>
          </w:tcPr>
          <w:p w:rsidR="007D1371" w:rsidRPr="00483F20" w:rsidP="007D1371" w14:paraId="3D47A0BE" w14:textId="77777777">
            <w:pPr>
              <w:rPr>
                <w:rFonts w:ascii="Times New Roman" w:hAnsi="Times New Roman"/>
              </w:rPr>
            </w:pPr>
            <w:r w:rsidRPr="00483F20">
              <w:rPr>
                <w:rFonts w:ascii="Times New Roman" w:hAnsi="Times New Roman"/>
              </w:rPr>
              <w:t>N</w:t>
            </w:r>
          </w:p>
        </w:tc>
        <w:tc>
          <w:tcPr>
            <w:tcW w:w="2772" w:type="dxa"/>
            <w:shd w:val="clear" w:color="auto" w:fill="auto"/>
          </w:tcPr>
          <w:p w:rsidR="007D1371" w:rsidRPr="00483F20" w:rsidP="007D1371" w14:paraId="7FEE6C91" w14:textId="77777777">
            <w:pPr>
              <w:rPr>
                <w:rFonts w:ascii="Times New Roman" w:hAnsi="Times New Roman"/>
              </w:rPr>
            </w:pPr>
            <w:r w:rsidRPr="00483F20">
              <w:rPr>
                <w:rFonts w:ascii="Times New Roman" w:hAnsi="Times New Roman"/>
              </w:rPr>
              <w:t>Predicted recruitment rate</w:t>
            </w:r>
          </w:p>
        </w:tc>
        <w:tc>
          <w:tcPr>
            <w:tcW w:w="1260" w:type="dxa"/>
            <w:shd w:val="clear" w:color="auto" w:fill="auto"/>
          </w:tcPr>
          <w:p w:rsidR="007D1371" w:rsidRPr="00483F20" w:rsidP="007D1371" w14:paraId="78C7E4D1" w14:textId="77777777">
            <w:pPr>
              <w:rPr>
                <w:rFonts w:ascii="Times New Roman" w:hAnsi="Times New Roman"/>
              </w:rPr>
            </w:pPr>
            <w:r w:rsidRPr="00483F20">
              <w:rPr>
                <w:rFonts w:ascii="Times New Roman" w:hAnsi="Times New Roman"/>
              </w:rPr>
              <w:t>Sample N</w:t>
            </w:r>
          </w:p>
        </w:tc>
      </w:tr>
      <w:tr w14:paraId="37BA6C2D" w14:textId="77777777" w:rsidTr="008D781C">
        <w:tblPrEx>
          <w:tblW w:w="0" w:type="auto"/>
          <w:tblInd w:w="1116" w:type="dxa"/>
          <w:tblLook w:val="04A0"/>
        </w:tblPrEx>
        <w:tc>
          <w:tcPr>
            <w:tcW w:w="1186" w:type="dxa"/>
            <w:shd w:val="clear" w:color="auto" w:fill="auto"/>
          </w:tcPr>
          <w:p w:rsidR="007D1371" w:rsidRPr="00483F20" w:rsidP="007D1371" w14:paraId="12B490B4" w14:textId="77777777">
            <w:pPr>
              <w:rPr>
                <w:rFonts w:ascii="Times New Roman" w:hAnsi="Times New Roman"/>
              </w:rPr>
            </w:pPr>
            <w:r w:rsidRPr="00483F20">
              <w:rPr>
                <w:rFonts w:ascii="Times New Roman" w:hAnsi="Times New Roman"/>
              </w:rPr>
              <w:t>PB-PSH</w:t>
            </w:r>
          </w:p>
        </w:tc>
        <w:tc>
          <w:tcPr>
            <w:tcW w:w="812" w:type="dxa"/>
            <w:shd w:val="clear" w:color="auto" w:fill="auto"/>
          </w:tcPr>
          <w:p w:rsidR="007D1371" w:rsidRPr="00483F20" w:rsidP="007D1371" w14:paraId="342008C8" w14:textId="77777777">
            <w:pPr>
              <w:rPr>
                <w:rFonts w:ascii="Times New Roman" w:hAnsi="Times New Roman"/>
              </w:rPr>
            </w:pPr>
            <w:r w:rsidRPr="00483F20">
              <w:rPr>
                <w:rFonts w:ascii="Times New Roman" w:hAnsi="Times New Roman"/>
              </w:rPr>
              <w:t>700</w:t>
            </w:r>
          </w:p>
        </w:tc>
        <w:tc>
          <w:tcPr>
            <w:tcW w:w="2772" w:type="dxa"/>
            <w:shd w:val="clear" w:color="auto" w:fill="auto"/>
          </w:tcPr>
          <w:p w:rsidR="007D1371" w:rsidRPr="00483F20" w:rsidP="007D1371" w14:paraId="4BFDADC2" w14:textId="77777777">
            <w:pPr>
              <w:rPr>
                <w:rFonts w:ascii="Times New Roman" w:hAnsi="Times New Roman"/>
              </w:rPr>
            </w:pPr>
            <w:r w:rsidRPr="00483F20">
              <w:rPr>
                <w:rFonts w:ascii="Times New Roman" w:hAnsi="Times New Roman"/>
              </w:rPr>
              <w:t>10%</w:t>
            </w:r>
          </w:p>
        </w:tc>
        <w:tc>
          <w:tcPr>
            <w:tcW w:w="1260" w:type="dxa"/>
            <w:shd w:val="clear" w:color="auto" w:fill="auto"/>
          </w:tcPr>
          <w:p w:rsidR="007D1371" w:rsidRPr="00483F20" w:rsidP="007D1371" w14:paraId="5DFFC1CB" w14:textId="77777777">
            <w:pPr>
              <w:rPr>
                <w:rFonts w:ascii="Times New Roman" w:hAnsi="Times New Roman"/>
              </w:rPr>
            </w:pPr>
            <w:r w:rsidRPr="00483F20">
              <w:rPr>
                <w:rFonts w:ascii="Times New Roman" w:hAnsi="Times New Roman"/>
              </w:rPr>
              <w:t>70</w:t>
            </w:r>
          </w:p>
        </w:tc>
      </w:tr>
      <w:tr w14:paraId="2064D5F9" w14:textId="77777777" w:rsidTr="008D781C">
        <w:tblPrEx>
          <w:tblW w:w="0" w:type="auto"/>
          <w:tblInd w:w="1116" w:type="dxa"/>
          <w:tblLook w:val="04A0"/>
        </w:tblPrEx>
        <w:tc>
          <w:tcPr>
            <w:tcW w:w="1186" w:type="dxa"/>
            <w:shd w:val="clear" w:color="auto" w:fill="auto"/>
          </w:tcPr>
          <w:p w:rsidR="007D1371" w:rsidRPr="00483F20" w:rsidP="007D1371" w14:paraId="05D4D59D" w14:textId="77777777">
            <w:pPr>
              <w:rPr>
                <w:rFonts w:ascii="Times New Roman" w:hAnsi="Times New Roman"/>
              </w:rPr>
            </w:pPr>
            <w:r w:rsidRPr="00483F20">
              <w:rPr>
                <w:rFonts w:ascii="Times New Roman" w:hAnsi="Times New Roman"/>
              </w:rPr>
              <w:t>SS-PSH</w:t>
            </w:r>
          </w:p>
        </w:tc>
        <w:tc>
          <w:tcPr>
            <w:tcW w:w="812" w:type="dxa"/>
            <w:shd w:val="clear" w:color="auto" w:fill="auto"/>
          </w:tcPr>
          <w:p w:rsidR="007D1371" w:rsidRPr="00483F20" w:rsidP="007D1371" w14:paraId="5113A4A7" w14:textId="77777777">
            <w:pPr>
              <w:rPr>
                <w:rFonts w:ascii="Times New Roman" w:hAnsi="Times New Roman"/>
              </w:rPr>
            </w:pPr>
            <w:r w:rsidRPr="00483F20">
              <w:rPr>
                <w:rFonts w:ascii="Times New Roman" w:hAnsi="Times New Roman"/>
              </w:rPr>
              <w:t>120</w:t>
            </w:r>
          </w:p>
        </w:tc>
        <w:tc>
          <w:tcPr>
            <w:tcW w:w="2772" w:type="dxa"/>
            <w:shd w:val="clear" w:color="auto" w:fill="auto"/>
          </w:tcPr>
          <w:p w:rsidR="007D1371" w:rsidRPr="00483F20" w:rsidP="007D1371" w14:paraId="79A0727B" w14:textId="77777777">
            <w:pPr>
              <w:rPr>
                <w:rFonts w:ascii="Times New Roman" w:hAnsi="Times New Roman"/>
              </w:rPr>
            </w:pPr>
            <w:r w:rsidRPr="00483F20">
              <w:rPr>
                <w:rFonts w:ascii="Times New Roman" w:hAnsi="Times New Roman"/>
              </w:rPr>
              <w:t>10%</w:t>
            </w:r>
          </w:p>
        </w:tc>
        <w:tc>
          <w:tcPr>
            <w:tcW w:w="1260" w:type="dxa"/>
            <w:shd w:val="clear" w:color="auto" w:fill="auto"/>
          </w:tcPr>
          <w:p w:rsidR="007D1371" w:rsidRPr="00483F20" w:rsidP="007D1371" w14:paraId="1B54D465" w14:textId="77777777">
            <w:pPr>
              <w:rPr>
                <w:rFonts w:ascii="Times New Roman" w:hAnsi="Times New Roman"/>
              </w:rPr>
            </w:pPr>
            <w:r w:rsidRPr="00483F20">
              <w:rPr>
                <w:rFonts w:ascii="Times New Roman" w:hAnsi="Times New Roman"/>
              </w:rPr>
              <w:t>12</w:t>
            </w:r>
          </w:p>
        </w:tc>
      </w:tr>
      <w:tr w14:paraId="48CCE00D" w14:textId="77777777" w:rsidTr="008D781C">
        <w:tblPrEx>
          <w:tblW w:w="0" w:type="auto"/>
          <w:tblInd w:w="1116" w:type="dxa"/>
          <w:tblLook w:val="04A0"/>
        </w:tblPrEx>
        <w:tc>
          <w:tcPr>
            <w:tcW w:w="1186" w:type="dxa"/>
            <w:shd w:val="clear" w:color="auto" w:fill="auto"/>
          </w:tcPr>
          <w:p w:rsidR="007D1371" w:rsidRPr="00483F20" w:rsidP="007D1371" w14:paraId="57717C89" w14:textId="77777777">
            <w:pPr>
              <w:rPr>
                <w:rFonts w:ascii="Times New Roman" w:hAnsi="Times New Roman"/>
              </w:rPr>
            </w:pPr>
            <w:r w:rsidRPr="00483F20">
              <w:rPr>
                <w:rFonts w:ascii="Times New Roman" w:hAnsi="Times New Roman"/>
              </w:rPr>
              <w:t>RRH</w:t>
            </w:r>
          </w:p>
        </w:tc>
        <w:tc>
          <w:tcPr>
            <w:tcW w:w="812" w:type="dxa"/>
            <w:shd w:val="clear" w:color="auto" w:fill="auto"/>
          </w:tcPr>
          <w:p w:rsidR="007D1371" w:rsidRPr="00483F20" w:rsidP="007D1371" w14:paraId="37C36DC2" w14:textId="77777777">
            <w:pPr>
              <w:rPr>
                <w:rFonts w:ascii="Times New Roman" w:hAnsi="Times New Roman"/>
              </w:rPr>
            </w:pPr>
            <w:r>
              <w:rPr>
                <w:rFonts w:ascii="Times New Roman" w:hAnsi="Times New Roman"/>
              </w:rPr>
              <w:t>400</w:t>
            </w:r>
          </w:p>
        </w:tc>
        <w:tc>
          <w:tcPr>
            <w:tcW w:w="2772" w:type="dxa"/>
            <w:shd w:val="clear" w:color="auto" w:fill="auto"/>
          </w:tcPr>
          <w:p w:rsidR="007D1371" w:rsidRPr="00483F20" w:rsidP="007D1371" w14:paraId="5F568B15" w14:textId="77777777">
            <w:pPr>
              <w:rPr>
                <w:rFonts w:ascii="Times New Roman" w:hAnsi="Times New Roman"/>
              </w:rPr>
            </w:pPr>
            <w:r>
              <w:rPr>
                <w:rFonts w:ascii="Times New Roman" w:hAnsi="Times New Roman"/>
              </w:rPr>
              <w:t>30</w:t>
            </w:r>
            <w:r w:rsidRPr="00483F20">
              <w:rPr>
                <w:rFonts w:ascii="Times New Roman" w:hAnsi="Times New Roman"/>
              </w:rPr>
              <w:t>%</w:t>
            </w:r>
          </w:p>
        </w:tc>
        <w:tc>
          <w:tcPr>
            <w:tcW w:w="1260" w:type="dxa"/>
            <w:shd w:val="clear" w:color="auto" w:fill="auto"/>
          </w:tcPr>
          <w:p w:rsidR="007D1371" w:rsidRPr="00483F20" w:rsidP="007D1371" w14:paraId="16229C24" w14:textId="77777777">
            <w:pPr>
              <w:rPr>
                <w:rFonts w:ascii="Times New Roman" w:hAnsi="Times New Roman"/>
              </w:rPr>
            </w:pPr>
            <w:r>
              <w:rPr>
                <w:rFonts w:ascii="Times New Roman" w:hAnsi="Times New Roman"/>
              </w:rPr>
              <w:t>120</w:t>
            </w:r>
          </w:p>
        </w:tc>
      </w:tr>
      <w:tr w14:paraId="14641F22" w14:textId="77777777" w:rsidTr="008D781C">
        <w:tblPrEx>
          <w:tblW w:w="0" w:type="auto"/>
          <w:tblInd w:w="1116" w:type="dxa"/>
          <w:tblLook w:val="04A0"/>
        </w:tblPrEx>
        <w:tc>
          <w:tcPr>
            <w:tcW w:w="1186" w:type="dxa"/>
            <w:shd w:val="clear" w:color="auto" w:fill="auto"/>
          </w:tcPr>
          <w:p w:rsidR="007D1371" w:rsidRPr="00483F20" w:rsidP="007D1371" w14:paraId="76BC3DCB" w14:textId="77777777">
            <w:pPr>
              <w:rPr>
                <w:rFonts w:ascii="Times New Roman" w:hAnsi="Times New Roman"/>
              </w:rPr>
            </w:pPr>
            <w:r w:rsidRPr="00483F20">
              <w:rPr>
                <w:rFonts w:ascii="Times New Roman" w:hAnsi="Times New Roman"/>
              </w:rPr>
              <w:t>Total</w:t>
            </w:r>
          </w:p>
        </w:tc>
        <w:tc>
          <w:tcPr>
            <w:tcW w:w="812" w:type="dxa"/>
            <w:shd w:val="clear" w:color="auto" w:fill="auto"/>
          </w:tcPr>
          <w:p w:rsidR="007D1371" w:rsidRPr="00483F20" w:rsidP="007D1371" w14:paraId="2E9B843E" w14:textId="77777777">
            <w:pPr>
              <w:rPr>
                <w:rFonts w:ascii="Times New Roman" w:hAnsi="Times New Roman"/>
              </w:rPr>
            </w:pPr>
            <w:r w:rsidRPr="00483F20">
              <w:rPr>
                <w:rFonts w:ascii="Times New Roman" w:hAnsi="Times New Roman"/>
              </w:rPr>
              <w:t>1</w:t>
            </w:r>
            <w:r w:rsidR="0032607F">
              <w:rPr>
                <w:rFonts w:ascii="Times New Roman" w:hAnsi="Times New Roman"/>
              </w:rPr>
              <w:t>2</w:t>
            </w:r>
            <w:r w:rsidRPr="00483F20">
              <w:rPr>
                <w:rFonts w:ascii="Times New Roman" w:hAnsi="Times New Roman"/>
              </w:rPr>
              <w:t>20</w:t>
            </w:r>
          </w:p>
        </w:tc>
        <w:tc>
          <w:tcPr>
            <w:tcW w:w="2772" w:type="dxa"/>
            <w:shd w:val="clear" w:color="auto" w:fill="auto"/>
          </w:tcPr>
          <w:p w:rsidR="007D1371" w:rsidRPr="00483F20" w:rsidP="007D1371" w14:paraId="1F2CFCCB" w14:textId="77777777">
            <w:pPr>
              <w:rPr>
                <w:rFonts w:ascii="Times New Roman" w:hAnsi="Times New Roman"/>
              </w:rPr>
            </w:pPr>
            <w:r w:rsidRPr="00483F20">
              <w:rPr>
                <w:rFonts w:ascii="Times New Roman" w:hAnsi="Times New Roman"/>
              </w:rPr>
              <w:t>1</w:t>
            </w:r>
            <w:r w:rsidR="0032607F">
              <w:rPr>
                <w:rFonts w:ascii="Times New Roman" w:hAnsi="Times New Roman"/>
              </w:rPr>
              <w:t>7</w:t>
            </w:r>
            <w:r w:rsidRPr="00483F20">
              <w:rPr>
                <w:rFonts w:ascii="Times New Roman" w:hAnsi="Times New Roman"/>
              </w:rPr>
              <w:t>%</w:t>
            </w:r>
          </w:p>
        </w:tc>
        <w:tc>
          <w:tcPr>
            <w:tcW w:w="1260" w:type="dxa"/>
            <w:shd w:val="clear" w:color="auto" w:fill="auto"/>
          </w:tcPr>
          <w:p w:rsidR="007D1371" w:rsidRPr="00483F20" w:rsidP="007D1371" w14:paraId="1BEAA90D" w14:textId="77777777">
            <w:pPr>
              <w:rPr>
                <w:rFonts w:ascii="Times New Roman" w:hAnsi="Times New Roman"/>
              </w:rPr>
            </w:pPr>
            <w:r w:rsidRPr="00483F20">
              <w:rPr>
                <w:rFonts w:ascii="Times New Roman" w:hAnsi="Times New Roman"/>
              </w:rPr>
              <w:t>2</w:t>
            </w:r>
            <w:r w:rsidR="0032607F">
              <w:rPr>
                <w:rFonts w:ascii="Times New Roman" w:hAnsi="Times New Roman"/>
              </w:rPr>
              <w:t>0</w:t>
            </w:r>
            <w:r w:rsidRPr="00483F20">
              <w:rPr>
                <w:rFonts w:ascii="Times New Roman" w:hAnsi="Times New Roman"/>
              </w:rPr>
              <w:t>2</w:t>
            </w:r>
          </w:p>
        </w:tc>
      </w:tr>
    </w:tbl>
    <w:p w:rsidR="006C7131" w:rsidP="007D1371" w14:paraId="600B12CC" w14:textId="77777777">
      <w:pPr>
        <w:rPr>
          <w:rFonts w:ascii="Times New Roman" w:hAnsi="Times New Roman"/>
        </w:rPr>
      </w:pPr>
    </w:p>
    <w:p w:rsidR="006C7131" w:rsidRPr="00E155F4" w:rsidP="00533BD9" w14:paraId="23DD05D6" w14:textId="77777777">
      <w:pPr>
        <w:ind w:left="1080"/>
        <w:rPr>
          <w:rFonts w:ascii="Times New Roman" w:hAnsi="Times New Roman"/>
          <w:i/>
          <w:iCs/>
        </w:rPr>
      </w:pPr>
      <w:r>
        <w:rPr>
          <w:rFonts w:ascii="Times New Roman" w:hAnsi="Times New Roman"/>
        </w:rPr>
        <w:t xml:space="preserve">Please see the above table for stratum-specific predicted recruitment rates.  </w:t>
      </w:r>
      <w:r w:rsidR="00B3445F">
        <w:rPr>
          <w:rFonts w:ascii="Times New Roman" w:hAnsi="Times New Roman"/>
        </w:rPr>
        <w:t>Overall, w</w:t>
      </w:r>
      <w:r w:rsidR="00BA2F5C">
        <w:rPr>
          <w:rFonts w:ascii="Times New Roman" w:hAnsi="Times New Roman"/>
        </w:rPr>
        <w:t xml:space="preserve">e expect </w:t>
      </w:r>
      <w:r w:rsidR="00B3445F">
        <w:rPr>
          <w:rFonts w:ascii="Times New Roman" w:hAnsi="Times New Roman"/>
        </w:rPr>
        <w:t>1</w:t>
      </w:r>
      <w:r w:rsidR="00F1723B">
        <w:rPr>
          <w:rFonts w:ascii="Times New Roman" w:hAnsi="Times New Roman"/>
        </w:rPr>
        <w:t>7</w:t>
      </w:r>
      <w:r w:rsidR="00BA2F5C">
        <w:rPr>
          <w:rFonts w:ascii="Times New Roman" w:hAnsi="Times New Roman"/>
        </w:rPr>
        <w:t xml:space="preserve">% of </w:t>
      </w:r>
      <w:r w:rsidR="00B3445F">
        <w:rPr>
          <w:rFonts w:ascii="Times New Roman" w:hAnsi="Times New Roman"/>
        </w:rPr>
        <w:t>recently homeless people</w:t>
      </w:r>
      <w:r w:rsidR="00BA2F5C">
        <w:rPr>
          <w:rFonts w:ascii="Times New Roman" w:hAnsi="Times New Roman"/>
        </w:rPr>
        <w:t xml:space="preserve"> </w:t>
      </w:r>
      <w:r w:rsidR="00B3445F">
        <w:rPr>
          <w:rFonts w:ascii="Times New Roman" w:hAnsi="Times New Roman"/>
        </w:rPr>
        <w:t>receiving supportive housing services</w:t>
      </w:r>
      <w:r w:rsidR="00D024AC">
        <w:rPr>
          <w:rFonts w:ascii="Times New Roman" w:hAnsi="Times New Roman"/>
        </w:rPr>
        <w:t xml:space="preserve"> </w:t>
      </w:r>
      <w:r w:rsidR="00E250DD">
        <w:rPr>
          <w:rFonts w:ascii="Times New Roman" w:hAnsi="Times New Roman"/>
        </w:rPr>
        <w:t xml:space="preserve">from PATH and for whom the usual employment services represent the described control condition </w:t>
      </w:r>
      <w:r w:rsidR="00B3445F">
        <w:rPr>
          <w:rFonts w:ascii="Times New Roman" w:hAnsi="Times New Roman"/>
        </w:rPr>
        <w:t>to enroll</w:t>
      </w:r>
      <w:r w:rsidR="00BA2F5C">
        <w:rPr>
          <w:rFonts w:ascii="Times New Roman" w:hAnsi="Times New Roman"/>
        </w:rPr>
        <w:t>.</w:t>
      </w:r>
      <w:r w:rsidR="00B43383">
        <w:rPr>
          <w:rFonts w:ascii="Times New Roman" w:hAnsi="Times New Roman"/>
        </w:rPr>
        <w:t xml:space="preserve">  </w:t>
      </w:r>
      <w:r w:rsidR="009D0859">
        <w:rPr>
          <w:rFonts w:ascii="Times New Roman" w:hAnsi="Times New Roman"/>
        </w:rPr>
        <w:t>This is based on conservative estimates provided by experts familiar with the population</w:t>
      </w:r>
      <w:r w:rsidR="00F1723B">
        <w:rPr>
          <w:rFonts w:ascii="Times New Roman" w:hAnsi="Times New Roman"/>
        </w:rPr>
        <w:t xml:space="preserve">.  </w:t>
      </w:r>
      <w:r w:rsidR="00B43383">
        <w:rPr>
          <w:rFonts w:ascii="Times New Roman" w:hAnsi="Times New Roman"/>
        </w:rPr>
        <w:t>We expect minimal loss to follow-up among those enrolled in SHIP</w:t>
      </w:r>
      <w:r w:rsidR="00D24416">
        <w:rPr>
          <w:rFonts w:ascii="Times New Roman" w:hAnsi="Times New Roman"/>
        </w:rPr>
        <w:t>S</w:t>
      </w:r>
      <w:r w:rsidR="00CD5E40">
        <w:rPr>
          <w:rFonts w:ascii="Times New Roman" w:hAnsi="Times New Roman"/>
        </w:rPr>
        <w:t>, but we have allowed for a 20% dropout rate in our design</w:t>
      </w:r>
      <w:r w:rsidR="00B43383">
        <w:rPr>
          <w:rFonts w:ascii="Times New Roman" w:hAnsi="Times New Roman"/>
        </w:rPr>
        <w:t xml:space="preserve">.  </w:t>
      </w:r>
      <w:r w:rsidR="0095171C">
        <w:rPr>
          <w:rFonts w:ascii="Times New Roman" w:hAnsi="Times New Roman"/>
        </w:rPr>
        <w:t>Rigorous recruitment methods, o</w:t>
      </w:r>
      <w:r w:rsidR="00B43383">
        <w:rPr>
          <w:rFonts w:ascii="Times New Roman" w:hAnsi="Times New Roman"/>
        </w:rPr>
        <w:t>utcome measures that repeat both quarterly and monthly,</w:t>
      </w:r>
      <w:r w:rsidR="009D0859">
        <w:rPr>
          <w:rFonts w:ascii="Times New Roman" w:hAnsi="Times New Roman"/>
        </w:rPr>
        <w:t xml:space="preserve"> </w:t>
      </w:r>
      <w:r w:rsidR="00B43383">
        <w:rPr>
          <w:rFonts w:ascii="Times New Roman" w:hAnsi="Times New Roman"/>
        </w:rPr>
        <w:t xml:space="preserve">measures that provide redundancy for primary outcomes, </w:t>
      </w:r>
      <w:r w:rsidR="009D0859">
        <w:rPr>
          <w:rFonts w:ascii="Times New Roman" w:hAnsi="Times New Roman"/>
        </w:rPr>
        <w:t xml:space="preserve">the relative geographic stability of populations in permanent supportive housing, and ongoing efforts to maintain contact with enrollees </w:t>
      </w:r>
      <w:r w:rsidR="00B43383">
        <w:rPr>
          <w:rFonts w:ascii="Times New Roman" w:hAnsi="Times New Roman"/>
        </w:rPr>
        <w:t>will ensure valid effect estimates.</w:t>
      </w:r>
    </w:p>
    <w:p w:rsidR="006C7131" w:rsidRPr="00BC7F42" w:rsidP="006C7131" w14:paraId="7135A188" w14:textId="77777777">
      <w:pPr>
        <w:ind w:left="1440"/>
        <w:rPr>
          <w:rFonts w:ascii="Times New Roman" w:hAnsi="Times New Roman"/>
        </w:rPr>
      </w:pPr>
    </w:p>
    <w:p w:rsidR="006C7131" w:rsidP="00013FE3" w14:paraId="3182C07D" w14:textId="77777777">
      <w:pPr>
        <w:numPr>
          <w:ilvl w:val="0"/>
          <w:numId w:val="5"/>
        </w:numPr>
        <w:rPr>
          <w:rFonts w:ascii="Times New Roman" w:hAnsi="Times New Roman"/>
          <w:b/>
        </w:rPr>
      </w:pPr>
      <w:r w:rsidRPr="00BC7F42">
        <w:rPr>
          <w:rFonts w:ascii="Times New Roman" w:hAnsi="Times New Roman"/>
          <w:b/>
        </w:rPr>
        <w:t>Procedures for Collecting the Information</w:t>
      </w:r>
    </w:p>
    <w:p w:rsidR="006C7131" w:rsidP="00533BD9" w14:paraId="001F4C69" w14:textId="12639B90">
      <w:pPr>
        <w:ind w:left="1080"/>
        <w:rPr>
          <w:rFonts w:ascii="Times New Roman" w:hAnsi="Times New Roman"/>
        </w:rPr>
      </w:pPr>
      <w:r>
        <w:rPr>
          <w:rFonts w:ascii="Times New Roman" w:hAnsi="Times New Roman"/>
          <w:bCs/>
        </w:rPr>
        <w:t xml:space="preserve">SHIPS is a </w:t>
      </w:r>
      <w:r w:rsidRPr="00034D9F" w:rsidR="00B35A33">
        <w:rPr>
          <w:rFonts w:ascii="Times New Roman" w:hAnsi="Times New Roman"/>
          <w:bCs/>
        </w:rPr>
        <w:t xml:space="preserve">randomization scheme designed to </w:t>
      </w:r>
      <w:r w:rsidR="00B35A33">
        <w:rPr>
          <w:rFonts w:ascii="Times New Roman" w:hAnsi="Times New Roman"/>
          <w:bCs/>
        </w:rPr>
        <w:t>evenly distribute</w:t>
      </w:r>
      <w:r w:rsidR="00B814E1">
        <w:rPr>
          <w:rFonts w:ascii="Times New Roman" w:hAnsi="Times New Roman"/>
          <w:bCs/>
        </w:rPr>
        <w:t xml:space="preserve"> eligible</w:t>
      </w:r>
      <w:r w:rsidR="00B35A33">
        <w:rPr>
          <w:rFonts w:ascii="Times New Roman" w:hAnsi="Times New Roman"/>
          <w:bCs/>
        </w:rPr>
        <w:t xml:space="preserve"> enrollees to the two treatment arms </w:t>
      </w:r>
      <w:r w:rsidR="00D42B0C">
        <w:rPr>
          <w:rFonts w:ascii="Times New Roman" w:hAnsi="Times New Roman"/>
          <w:bCs/>
        </w:rPr>
        <w:t>across strata defined by service type using</w:t>
      </w:r>
      <w:r w:rsidR="00B814E1">
        <w:rPr>
          <w:rFonts w:ascii="Times New Roman" w:hAnsi="Times New Roman"/>
          <w:bCs/>
        </w:rPr>
        <w:t xml:space="preserve"> block randomization with a block size of 4</w:t>
      </w:r>
      <w:r w:rsidRPr="00034D9F" w:rsidR="00B35A33">
        <w:rPr>
          <w:rFonts w:ascii="Times New Roman" w:hAnsi="Times New Roman"/>
          <w:bCs/>
        </w:rPr>
        <w:t>.</w:t>
      </w:r>
      <w:r w:rsidR="00B814E1">
        <w:rPr>
          <w:rFonts w:ascii="Times New Roman" w:hAnsi="Times New Roman"/>
          <w:bCs/>
        </w:rPr>
        <w:t xml:space="preserve">  </w:t>
      </w:r>
      <w:r w:rsidR="00D42B0C">
        <w:rPr>
          <w:rFonts w:ascii="Times New Roman" w:hAnsi="Times New Roman"/>
          <w:bCs/>
        </w:rPr>
        <w:t xml:space="preserve">Strata will consist of people receiving rapid rehousing services, scattered-site permanent supportive housing, and individual place-based permanent supportive housing residences.  </w:t>
      </w:r>
      <w:r w:rsidR="00B814E1">
        <w:rPr>
          <w:rFonts w:ascii="Times New Roman" w:hAnsi="Times New Roman"/>
          <w:bCs/>
        </w:rPr>
        <w:t>This will ensure equally sized treatment arms, control for site-level confounders associated with location</w:t>
      </w:r>
      <w:r w:rsidR="00D42B0C">
        <w:rPr>
          <w:rFonts w:ascii="Times New Roman" w:hAnsi="Times New Roman"/>
          <w:bCs/>
        </w:rPr>
        <w:t xml:space="preserve"> and service type</w:t>
      </w:r>
      <w:r w:rsidR="00B814E1">
        <w:rPr>
          <w:rFonts w:ascii="Times New Roman" w:hAnsi="Times New Roman"/>
          <w:bCs/>
        </w:rPr>
        <w:t xml:space="preserve">, including proximity to transportation, and yield manageable and predictable caseloads for the </w:t>
      </w:r>
      <w:r w:rsidR="00D42B0C">
        <w:rPr>
          <w:rFonts w:ascii="Times New Roman" w:hAnsi="Times New Roman"/>
          <w:bCs/>
        </w:rPr>
        <w:t>service</w:t>
      </w:r>
      <w:r w:rsidR="00B814E1">
        <w:rPr>
          <w:rFonts w:ascii="Times New Roman" w:hAnsi="Times New Roman"/>
          <w:bCs/>
        </w:rPr>
        <w:t xml:space="preserve">-specific IPS treatment teams.  </w:t>
      </w:r>
      <w:r w:rsidRPr="00034D9F" w:rsidR="00B35A33">
        <w:rPr>
          <w:rFonts w:ascii="Times New Roman" w:hAnsi="Times New Roman"/>
          <w:bCs/>
        </w:rPr>
        <w:t xml:space="preserve">The research assistants will be blind to study condition until each participant </w:t>
      </w:r>
      <w:r w:rsidR="00C726C0">
        <w:rPr>
          <w:rFonts w:ascii="Times New Roman" w:hAnsi="Times New Roman"/>
          <w:bCs/>
        </w:rPr>
        <w:t xml:space="preserve">completes </w:t>
      </w:r>
      <w:r w:rsidRPr="00034D9F" w:rsidR="00B35A33">
        <w:rPr>
          <w:rFonts w:ascii="Times New Roman" w:hAnsi="Times New Roman"/>
          <w:bCs/>
        </w:rPr>
        <w:t xml:space="preserve">the baseline </w:t>
      </w:r>
      <w:r w:rsidRPr="00034D9F" w:rsidR="0071057A">
        <w:rPr>
          <w:rFonts w:ascii="Times New Roman" w:hAnsi="Times New Roman"/>
          <w:bCs/>
        </w:rPr>
        <w:t>interview</w:t>
      </w:r>
      <w:r w:rsidR="0071057A">
        <w:rPr>
          <w:rFonts w:ascii="Times New Roman" w:hAnsi="Times New Roman"/>
          <w:bCs/>
        </w:rPr>
        <w:t xml:space="preserve"> and</w:t>
      </w:r>
      <w:r w:rsidR="002816AA">
        <w:rPr>
          <w:rFonts w:ascii="Times New Roman" w:hAnsi="Times New Roman"/>
          <w:bCs/>
        </w:rPr>
        <w:t xml:space="preserve"> </w:t>
      </w:r>
      <w:r w:rsidR="00C726C0">
        <w:rPr>
          <w:rFonts w:ascii="Times New Roman" w:hAnsi="Times New Roman"/>
          <w:bCs/>
        </w:rPr>
        <w:t xml:space="preserve"> </w:t>
      </w:r>
      <w:r w:rsidRPr="00034D9F" w:rsidR="00B35A33">
        <w:rPr>
          <w:rFonts w:ascii="Times New Roman" w:hAnsi="Times New Roman"/>
          <w:bCs/>
        </w:rPr>
        <w:t xml:space="preserve">formally enroll in the study. </w:t>
      </w:r>
      <w:r w:rsidR="002816AA">
        <w:rPr>
          <w:rFonts w:ascii="Times New Roman" w:hAnsi="Times New Roman"/>
          <w:bCs/>
        </w:rPr>
        <w:t xml:space="preserve"> </w:t>
      </w:r>
      <w:r w:rsidRPr="00034D9F" w:rsidR="00B35A33">
        <w:rPr>
          <w:rFonts w:ascii="Times New Roman" w:hAnsi="Times New Roman"/>
          <w:bCs/>
        </w:rPr>
        <w:t xml:space="preserve">At this time, the remotely accessed </w:t>
      </w:r>
      <w:r w:rsidR="00B814E1">
        <w:rPr>
          <w:rFonts w:ascii="Times New Roman" w:hAnsi="Times New Roman"/>
          <w:bCs/>
        </w:rPr>
        <w:t xml:space="preserve">REDCap </w:t>
      </w:r>
      <w:r w:rsidRPr="00034D9F" w:rsidR="00B35A33">
        <w:rPr>
          <w:rFonts w:ascii="Times New Roman" w:hAnsi="Times New Roman"/>
          <w:bCs/>
        </w:rPr>
        <w:t>data collection system will reveal the participant’s treatment assignment</w:t>
      </w:r>
      <w:r w:rsidRPr="00034D9F" w:rsidR="005D5A5A">
        <w:rPr>
          <w:rFonts w:ascii="Times New Roman" w:hAnsi="Times New Roman"/>
          <w:bCs/>
        </w:rPr>
        <w:t xml:space="preserve">.  </w:t>
      </w:r>
      <w:r w:rsidRPr="00034D9F" w:rsidR="00B35A33">
        <w:rPr>
          <w:rFonts w:ascii="Times New Roman" w:hAnsi="Times New Roman"/>
          <w:bCs/>
        </w:rPr>
        <w:t>The participant and research assistant will learn of the assignment at the same time.</w:t>
      </w:r>
      <w:r w:rsidRPr="00034D9F" w:rsidR="00B35A33">
        <w:rPr>
          <w:rFonts w:ascii="Times New Roman" w:hAnsi="Times New Roman"/>
        </w:rPr>
        <w:t xml:space="preserve"> </w:t>
      </w:r>
    </w:p>
    <w:p w:rsidR="0071057A" w:rsidRPr="00B814E1" w:rsidP="00A637F2" w14:paraId="4A523491" w14:textId="69A9DE11">
      <w:pPr>
        <w:ind w:left="720"/>
        <w:rPr>
          <w:rFonts w:ascii="Times New Roman" w:hAnsi="Times New Roman"/>
        </w:rPr>
      </w:pPr>
      <w:r>
        <w:rPr>
          <w:rFonts w:ascii="Times New Roman" w:hAnsi="Times New Roman"/>
        </w:rPr>
        <w:t xml:space="preserve"> </w:t>
      </w:r>
    </w:p>
    <w:p w:rsidR="006C7131" w:rsidP="00013FE3" w14:paraId="4BC3192F" w14:textId="77777777">
      <w:pPr>
        <w:numPr>
          <w:ilvl w:val="0"/>
          <w:numId w:val="1"/>
        </w:numPr>
        <w:tabs>
          <w:tab w:val="clear" w:pos="360"/>
          <w:tab w:val="num" w:pos="1440"/>
        </w:tabs>
        <w:ind w:left="1440"/>
        <w:rPr>
          <w:rFonts w:ascii="Times New Roman" w:hAnsi="Times New Roman"/>
        </w:rPr>
      </w:pPr>
      <w:r w:rsidRPr="00107335">
        <w:rPr>
          <w:rFonts w:ascii="Times New Roman" w:hAnsi="Times New Roman"/>
          <w:i/>
          <w:iCs/>
        </w:rPr>
        <w:t>Estimation procedure</w:t>
      </w:r>
      <w:r w:rsidR="00CD4CA4">
        <w:rPr>
          <w:rFonts w:ascii="Times New Roman" w:hAnsi="Times New Roman"/>
        </w:rPr>
        <w:t xml:space="preserve">.  </w:t>
      </w:r>
      <w:r w:rsidR="00B43383">
        <w:rPr>
          <w:rFonts w:ascii="Times New Roman" w:hAnsi="Times New Roman"/>
        </w:rPr>
        <w:t xml:space="preserve">Primary analyses of the effect of IPS on employment, earnings, and housing outcomes will be intent-to-treat.  The validity of these analyses is conditional on effective randomization procedures and compliance with treatment assignment.  Our randomization procedures will yield treatment arms of equal sizes and characteristics.  Small IPS studies, in which participants are recruited from within existing institutions such as community health centers, have had high rates of treatment compliance.  We anticipate the existing relationships that PATH has established with enrollees, in combination with </w:t>
      </w:r>
      <w:r w:rsidR="00582324">
        <w:rPr>
          <w:rFonts w:ascii="Times New Roman" w:hAnsi="Times New Roman"/>
        </w:rPr>
        <w:t xml:space="preserve">scientific recruitment procedures and </w:t>
      </w:r>
      <w:r w:rsidR="00B43383">
        <w:rPr>
          <w:rFonts w:ascii="Times New Roman" w:hAnsi="Times New Roman"/>
        </w:rPr>
        <w:t>ongoing efforts by both PATH and SHIPS to maintain contact with those enrolled in the study, will continue this pattern.</w:t>
      </w:r>
    </w:p>
    <w:p w:rsidR="0071057A" w:rsidRPr="00BC7F42" w:rsidP="0071057A" w14:paraId="6EF358FE" w14:textId="77777777">
      <w:pPr>
        <w:ind w:left="1440"/>
        <w:rPr>
          <w:rFonts w:ascii="Times New Roman" w:hAnsi="Times New Roman"/>
        </w:rPr>
      </w:pPr>
    </w:p>
    <w:p w:rsidR="006C7131" w:rsidRPr="0071057A" w:rsidP="00013FE3" w14:paraId="16A9ED08" w14:textId="5A47F1AF">
      <w:pPr>
        <w:numPr>
          <w:ilvl w:val="0"/>
          <w:numId w:val="2"/>
        </w:numPr>
        <w:tabs>
          <w:tab w:val="clear" w:pos="360"/>
          <w:tab w:val="num" w:pos="1440"/>
        </w:tabs>
        <w:ind w:left="1440"/>
        <w:rPr>
          <w:rFonts w:ascii="Times New Roman" w:hAnsi="Times New Roman"/>
          <w:i/>
          <w:iCs/>
        </w:rPr>
      </w:pPr>
      <w:r w:rsidRPr="00107335">
        <w:rPr>
          <w:rFonts w:ascii="Times New Roman" w:hAnsi="Times New Roman"/>
          <w:i/>
          <w:iCs/>
        </w:rPr>
        <w:t>Degree of accuracy needed for the purpose described in the justification</w:t>
      </w:r>
      <w:r w:rsidR="00B43383">
        <w:rPr>
          <w:rFonts w:ascii="Times New Roman" w:hAnsi="Times New Roman"/>
          <w:i/>
          <w:iCs/>
        </w:rPr>
        <w:t>.</w:t>
      </w:r>
      <w:r w:rsidR="00B43383">
        <w:rPr>
          <w:rFonts w:ascii="Times New Roman" w:hAnsi="Times New Roman"/>
        </w:rPr>
        <w:t xml:space="preserve">  Randomized controlled trials yield unbiased estimates of the effect of randomization to treatment arm.  Therefore, accuracy of effect estimates will not be an issue.</w:t>
      </w:r>
      <w:r w:rsidR="00DF58A3">
        <w:rPr>
          <w:rFonts w:ascii="Times New Roman" w:hAnsi="Times New Roman"/>
        </w:rPr>
        <w:t xml:space="preserve">  Power calculations estimate that this sample size will yield adequate power to detect a </w:t>
      </w:r>
      <w:r w:rsidRPr="006E7006" w:rsidR="00DF58A3">
        <w:rPr>
          <w:rFonts w:ascii="Times New Roman" w:hAnsi="Times New Roman"/>
        </w:rPr>
        <w:t>medium effect size (defined as a mean standardized effect size of at least 0.50)</w:t>
      </w:r>
      <w:r w:rsidRPr="006E7006" w:rsidR="00DF58A3">
        <w:rPr>
          <w:rFonts w:ascii="Times New Roman" w:hAnsi="Times New Roman"/>
          <w:color w:val="000000"/>
        </w:rPr>
        <w:t xml:space="preserve"> The literature on existing IPS trials suggests that a medium effect size is a reasonable assumption</w:t>
      </w:r>
      <w:r w:rsidRPr="006E7006" w:rsidR="00DF58A3">
        <w:rPr>
          <w:rFonts w:ascii="Times New Roman" w:hAnsi="Times New Roman"/>
        </w:rPr>
        <w:t xml:space="preserve">.  </w:t>
      </w:r>
      <w:r w:rsidRPr="006E7006" w:rsidR="00DF58A3">
        <w:rPr>
          <w:rFonts w:ascii="Times New Roman" w:hAnsi="Times New Roman"/>
          <w:bCs/>
          <w:color w:val="000000"/>
        </w:rPr>
        <w:t xml:space="preserve">If we enroll 200 participants and </w:t>
      </w:r>
      <w:r w:rsidR="00582324">
        <w:rPr>
          <w:rFonts w:ascii="Times New Roman" w:hAnsi="Times New Roman"/>
          <w:bCs/>
          <w:color w:val="000000"/>
        </w:rPr>
        <w:t>experience</w:t>
      </w:r>
      <w:r w:rsidRPr="001C3222" w:rsidR="00DF58A3">
        <w:rPr>
          <w:rFonts w:ascii="Times New Roman" w:hAnsi="Times New Roman"/>
          <w:bCs/>
          <w:color w:val="000000"/>
        </w:rPr>
        <w:t xml:space="preserve"> a 20% dropout rate, the actual sample will be 160</w:t>
      </w:r>
      <w:r w:rsidRPr="001C3222" w:rsidR="005D5A5A">
        <w:rPr>
          <w:rFonts w:ascii="Times New Roman" w:hAnsi="Times New Roman"/>
          <w:bCs/>
          <w:color w:val="000000"/>
        </w:rPr>
        <w:t xml:space="preserve">.  </w:t>
      </w:r>
      <w:r w:rsidRPr="001C3222" w:rsidR="00DF58A3">
        <w:rPr>
          <w:rFonts w:ascii="Times New Roman" w:hAnsi="Times New Roman"/>
          <w:bCs/>
          <w:color w:val="000000"/>
        </w:rPr>
        <w:t>Thus, an enrolled sample of 200 will give us ample power (88%) to detect a medium effect size.</w:t>
      </w:r>
      <w:r w:rsidR="00DF58A3">
        <w:rPr>
          <w:rFonts w:ascii="Times New Roman" w:hAnsi="Times New Roman"/>
          <w:bCs/>
          <w:color w:val="000000"/>
        </w:rPr>
        <w:t xml:space="preserve"> </w:t>
      </w:r>
    </w:p>
    <w:p w:rsidR="0071057A" w:rsidRPr="00107335" w:rsidP="0071057A" w14:paraId="7EB7DA9E" w14:textId="77777777">
      <w:pPr>
        <w:ind w:left="1440"/>
        <w:rPr>
          <w:rFonts w:ascii="Times New Roman" w:hAnsi="Times New Roman"/>
          <w:i/>
          <w:iCs/>
        </w:rPr>
      </w:pPr>
    </w:p>
    <w:p w:rsidR="009C162A" w:rsidRPr="009C162A" w:rsidP="00013FE3" w14:paraId="0FF6FC50" w14:textId="5BBBFA35">
      <w:pPr>
        <w:numPr>
          <w:ilvl w:val="0"/>
          <w:numId w:val="3"/>
        </w:numPr>
        <w:tabs>
          <w:tab w:val="clear" w:pos="360"/>
          <w:tab w:val="num" w:pos="1440"/>
        </w:tabs>
        <w:ind w:left="1440"/>
        <w:rPr>
          <w:rFonts w:ascii="Times New Roman" w:hAnsi="Times New Roman"/>
          <w:i/>
          <w:iCs/>
        </w:rPr>
      </w:pPr>
      <w:r w:rsidRPr="00107335">
        <w:rPr>
          <w:rFonts w:ascii="Times New Roman" w:hAnsi="Times New Roman"/>
          <w:i/>
          <w:iCs/>
        </w:rPr>
        <w:t>Unusual problems requiring specialized sampling procedures</w:t>
      </w:r>
      <w:r w:rsidR="00B43383">
        <w:rPr>
          <w:rFonts w:ascii="Times New Roman" w:hAnsi="Times New Roman"/>
          <w:i/>
          <w:iCs/>
        </w:rPr>
        <w:t>.</w:t>
      </w:r>
      <w:r w:rsidR="00B43383">
        <w:rPr>
          <w:rFonts w:ascii="Times New Roman" w:hAnsi="Times New Roman"/>
        </w:rPr>
        <w:t xml:space="preserve">  </w:t>
      </w:r>
      <w:r>
        <w:rPr>
          <w:rFonts w:ascii="Times New Roman" w:hAnsi="Times New Roman"/>
        </w:rPr>
        <w:t>West</w:t>
      </w:r>
      <w:r w:rsidR="0071057A">
        <w:rPr>
          <w:rFonts w:ascii="Times New Roman" w:hAnsi="Times New Roman"/>
        </w:rPr>
        <w:t>at</w:t>
      </w:r>
      <w:r>
        <w:rPr>
          <w:rFonts w:ascii="Times New Roman" w:hAnsi="Times New Roman"/>
        </w:rPr>
        <w:t xml:space="preserve"> is implementing </w:t>
      </w:r>
      <w:r w:rsidR="00B43383">
        <w:rPr>
          <w:rFonts w:ascii="Times New Roman" w:hAnsi="Times New Roman"/>
        </w:rPr>
        <w:t xml:space="preserve">SHIPS </w:t>
      </w:r>
      <w:r w:rsidR="00754A19">
        <w:rPr>
          <w:rFonts w:ascii="Times New Roman" w:hAnsi="Times New Roman"/>
        </w:rPr>
        <w:t>with</w:t>
      </w:r>
      <w:r w:rsidR="00B43383">
        <w:rPr>
          <w:rFonts w:ascii="Times New Roman" w:hAnsi="Times New Roman"/>
        </w:rPr>
        <w:t xml:space="preserve"> PATH at numerous sites throughout the greater Los Angeles area.</w:t>
      </w:r>
      <w:r w:rsidR="00D31F68">
        <w:rPr>
          <w:rFonts w:ascii="Times New Roman" w:hAnsi="Times New Roman"/>
        </w:rPr>
        <w:t xml:space="preserve">  </w:t>
      </w:r>
      <w:r w:rsidR="00301821">
        <w:rPr>
          <w:rFonts w:ascii="Times New Roman" w:hAnsi="Times New Roman"/>
        </w:rPr>
        <w:t>Place-based permanent supportive housing</w:t>
      </w:r>
      <w:r w:rsidR="00D31F68">
        <w:rPr>
          <w:rFonts w:ascii="Times New Roman" w:hAnsi="Times New Roman"/>
        </w:rPr>
        <w:t xml:space="preserve"> sites house from about 20-120 residents each</w:t>
      </w:r>
      <w:r w:rsidR="00301821">
        <w:rPr>
          <w:rFonts w:ascii="Times New Roman" w:hAnsi="Times New Roman"/>
        </w:rPr>
        <w:t>, and the populations participating in either scattered site or rapid rehousing are larger than 120 people</w:t>
      </w:r>
      <w:r w:rsidR="00D31F68">
        <w:rPr>
          <w:rFonts w:ascii="Times New Roman" w:hAnsi="Times New Roman"/>
        </w:rPr>
        <w:t xml:space="preserve">.  Block-randomizing within each </w:t>
      </w:r>
      <w:r w:rsidR="00754A19">
        <w:rPr>
          <w:rFonts w:ascii="Times New Roman" w:hAnsi="Times New Roman"/>
        </w:rPr>
        <w:t xml:space="preserve">place-based </w:t>
      </w:r>
      <w:r w:rsidR="00301821">
        <w:rPr>
          <w:rFonts w:ascii="Times New Roman" w:hAnsi="Times New Roman"/>
        </w:rPr>
        <w:t xml:space="preserve">residence </w:t>
      </w:r>
      <w:r w:rsidR="00D31F68">
        <w:rPr>
          <w:rFonts w:ascii="Times New Roman" w:hAnsi="Times New Roman"/>
        </w:rPr>
        <w:t xml:space="preserve">ensures that trial arms will draw equal numbers from each </w:t>
      </w:r>
      <w:r w:rsidR="00D31F68">
        <w:rPr>
          <w:rFonts w:ascii="Times New Roman" w:hAnsi="Times New Roman"/>
        </w:rPr>
        <w:t xml:space="preserve">residence </w:t>
      </w:r>
      <w:r w:rsidR="00301821">
        <w:rPr>
          <w:rFonts w:ascii="Times New Roman" w:hAnsi="Times New Roman"/>
        </w:rPr>
        <w:t>or population</w:t>
      </w:r>
      <w:r>
        <w:rPr>
          <w:rFonts w:ascii="Times New Roman" w:hAnsi="Times New Roman"/>
        </w:rPr>
        <w:t>.  A single IPS treatment team will cover</w:t>
      </w:r>
      <w:r w:rsidR="00D31F68">
        <w:rPr>
          <w:rFonts w:ascii="Times New Roman" w:hAnsi="Times New Roman"/>
        </w:rPr>
        <w:t xml:space="preserve"> each site, </w:t>
      </w:r>
      <w:r>
        <w:rPr>
          <w:rFonts w:ascii="Times New Roman" w:hAnsi="Times New Roman"/>
        </w:rPr>
        <w:t xml:space="preserve">and </w:t>
      </w:r>
      <w:r w:rsidR="00D31F68">
        <w:rPr>
          <w:rFonts w:ascii="Times New Roman" w:hAnsi="Times New Roman"/>
        </w:rPr>
        <w:t xml:space="preserve">distribute those randomized to receive IPS evenly between those teams.  </w:t>
      </w:r>
    </w:p>
    <w:p w:rsidR="006C7131" w:rsidP="009C162A" w14:paraId="113A4994" w14:textId="77777777">
      <w:pPr>
        <w:ind w:left="1440"/>
        <w:rPr>
          <w:rFonts w:ascii="Times New Roman" w:hAnsi="Times New Roman"/>
        </w:rPr>
      </w:pPr>
      <w:r>
        <w:rPr>
          <w:rFonts w:ascii="Times New Roman" w:hAnsi="Times New Roman"/>
        </w:rPr>
        <w:t xml:space="preserve">Block-randomizing separately within the SS-PSH and RRH populations will accomplish the same goal for those populations.  </w:t>
      </w:r>
    </w:p>
    <w:p w:rsidR="0071057A" w:rsidRPr="00107335" w:rsidP="0071057A" w14:paraId="60B4DC2B" w14:textId="77777777">
      <w:pPr>
        <w:rPr>
          <w:rFonts w:ascii="Times New Roman" w:hAnsi="Times New Roman"/>
          <w:i/>
          <w:iCs/>
        </w:rPr>
      </w:pPr>
    </w:p>
    <w:p w:rsidR="006C7131" w:rsidRPr="00BC7F42" w:rsidP="00013FE3" w14:paraId="0425754E" w14:textId="77777777">
      <w:pPr>
        <w:numPr>
          <w:ilvl w:val="0"/>
          <w:numId w:val="4"/>
        </w:numPr>
        <w:tabs>
          <w:tab w:val="clear" w:pos="360"/>
          <w:tab w:val="num" w:pos="1440"/>
        </w:tabs>
        <w:ind w:left="1440"/>
        <w:rPr>
          <w:rFonts w:ascii="Times New Roman" w:hAnsi="Times New Roman"/>
        </w:rPr>
      </w:pPr>
      <w:r w:rsidRPr="00107335">
        <w:rPr>
          <w:rFonts w:ascii="Times New Roman" w:hAnsi="Times New Roman"/>
          <w:i/>
          <w:iCs/>
        </w:rPr>
        <w:t>Any use of periodic data collection cycles (less frequent than annual) to reduce burden</w:t>
      </w:r>
      <w:r w:rsidRPr="00BC7F42">
        <w:rPr>
          <w:rFonts w:ascii="Times New Roman" w:hAnsi="Times New Roman"/>
        </w:rPr>
        <w:t>.</w:t>
      </w:r>
      <w:r w:rsidR="00D31F68">
        <w:rPr>
          <w:rFonts w:ascii="Times New Roman" w:hAnsi="Times New Roman"/>
        </w:rPr>
        <w:t xml:space="preserve">  The design of SHIPS does not allow for less frequent data collection.  Recall is only valid over about three months, and participation activities are relevant at monthly intervals.  </w:t>
      </w:r>
    </w:p>
    <w:p w:rsidR="006C7131" w:rsidRPr="00BC7F42" w:rsidP="006C7131" w14:paraId="2C11F034" w14:textId="77777777">
      <w:pPr>
        <w:pStyle w:val="Header"/>
        <w:tabs>
          <w:tab w:val="clear" w:pos="4320"/>
          <w:tab w:val="clear" w:pos="8640"/>
        </w:tabs>
        <w:rPr>
          <w:rFonts w:ascii="Times New Roman" w:hAnsi="Times New Roman"/>
        </w:rPr>
      </w:pPr>
    </w:p>
    <w:p w:rsidR="006C7131" w:rsidP="00013FE3" w14:paraId="4738BD94" w14:textId="77777777">
      <w:pPr>
        <w:numPr>
          <w:ilvl w:val="0"/>
          <w:numId w:val="5"/>
        </w:numPr>
        <w:rPr>
          <w:rFonts w:ascii="Times New Roman" w:hAnsi="Times New Roman"/>
          <w:b/>
        </w:rPr>
      </w:pPr>
      <w:r w:rsidRPr="00BC7F42">
        <w:rPr>
          <w:rFonts w:ascii="Times New Roman" w:hAnsi="Times New Roman"/>
          <w:b/>
        </w:rPr>
        <w:t>Methods to Maximize Response Rates</w:t>
      </w:r>
    </w:p>
    <w:p w:rsidR="006C7131" w:rsidP="00533BD9" w14:paraId="66CDA391" w14:textId="64690A49">
      <w:pPr>
        <w:ind w:left="1080"/>
        <w:rPr>
          <w:rFonts w:ascii="Times New Roman" w:hAnsi="Times New Roman"/>
        </w:rPr>
      </w:pPr>
      <w:r>
        <w:rPr>
          <w:rFonts w:ascii="Times New Roman" w:hAnsi="Times New Roman"/>
        </w:rPr>
        <w:t xml:space="preserve">This RCT has two stages at which the term “response rate” may have relevance.  These are recruitment and follow-up.  </w:t>
      </w:r>
      <w:r w:rsidRPr="002816AA" w:rsidR="002816AA">
        <w:rPr>
          <w:rFonts w:ascii="Times New Roman" w:eastAsia="Calibri" w:hAnsi="Times New Roman"/>
        </w:rPr>
        <w:t>PATH, Westat, and USC</w:t>
      </w:r>
      <w:r w:rsidR="002816AA">
        <w:rPr>
          <w:rFonts w:ascii="Times New Roman" w:hAnsi="Times New Roman"/>
        </w:rPr>
        <w:t xml:space="preserve"> are making e</w:t>
      </w:r>
      <w:r>
        <w:rPr>
          <w:rFonts w:ascii="Times New Roman" w:hAnsi="Times New Roman"/>
        </w:rPr>
        <w:t>fforts are to maximize both the proportion of PATH residents who enroll in SHIPS</w:t>
      </w:r>
      <w:r w:rsidR="009B31CF">
        <w:rPr>
          <w:rFonts w:ascii="Times New Roman" w:hAnsi="Times New Roman"/>
        </w:rPr>
        <w:t xml:space="preserve"> (recruitment)</w:t>
      </w:r>
      <w:r>
        <w:rPr>
          <w:rFonts w:ascii="Times New Roman" w:hAnsi="Times New Roman"/>
        </w:rPr>
        <w:t xml:space="preserve"> and the rate at which those enrolled complete quarterly interviews</w:t>
      </w:r>
      <w:r w:rsidR="009B31CF">
        <w:rPr>
          <w:rFonts w:ascii="Times New Roman" w:hAnsi="Times New Roman"/>
        </w:rPr>
        <w:t xml:space="preserve"> (follow-up)</w:t>
      </w:r>
      <w:r>
        <w:rPr>
          <w:rFonts w:ascii="Times New Roman" w:hAnsi="Times New Roman"/>
        </w:rPr>
        <w:t>.</w:t>
      </w:r>
    </w:p>
    <w:p w:rsidR="00F25D44" w:rsidP="006C7131" w14:paraId="7A08D27B" w14:textId="77777777">
      <w:pPr>
        <w:ind w:left="720"/>
        <w:rPr>
          <w:rFonts w:ascii="Times New Roman" w:hAnsi="Times New Roman"/>
        </w:rPr>
      </w:pPr>
    </w:p>
    <w:p w:rsidR="00C726C0" w:rsidP="00D27B7B" w14:paraId="512D0BE6" w14:textId="2F143414">
      <w:pPr>
        <w:ind w:left="1080"/>
        <w:rPr>
          <w:rFonts w:ascii="Times New Roman" w:hAnsi="Times New Roman"/>
        </w:rPr>
      </w:pPr>
      <w:r w:rsidRPr="008D781C">
        <w:rPr>
          <w:rFonts w:ascii="Times New Roman" w:hAnsi="Times New Roman"/>
          <w:b/>
          <w:bCs/>
        </w:rPr>
        <w:t>Recruitment.</w:t>
      </w:r>
      <w:r>
        <w:rPr>
          <w:rFonts w:ascii="Times New Roman" w:hAnsi="Times New Roman"/>
        </w:rPr>
        <w:t xml:space="preserve"> </w:t>
      </w:r>
      <w:r w:rsidR="008D781C">
        <w:rPr>
          <w:rFonts w:ascii="Times New Roman" w:hAnsi="Times New Roman"/>
        </w:rPr>
        <w:t xml:space="preserve"> </w:t>
      </w:r>
      <w:r w:rsidR="00055F97">
        <w:rPr>
          <w:rFonts w:ascii="Times New Roman" w:hAnsi="Times New Roman"/>
        </w:rPr>
        <w:t>We will maximize recruitment rates by first conducting outreach at PATH sites</w:t>
      </w:r>
      <w:r w:rsidR="005114D4">
        <w:rPr>
          <w:rFonts w:ascii="Times New Roman" w:hAnsi="Times New Roman"/>
        </w:rPr>
        <w:t xml:space="preserve"> and services</w:t>
      </w:r>
      <w:r w:rsidR="00055F97">
        <w:rPr>
          <w:rFonts w:ascii="Times New Roman" w:hAnsi="Times New Roman"/>
        </w:rPr>
        <w:t xml:space="preserve"> involved in SHIPS.  These will take the form of posters, presentations, and introduction of the study to residents by case managers.  The goal is for the study’s existence to be common knowledge when recruitment begins</w:t>
      </w:r>
      <w:r w:rsidR="005D5A5A">
        <w:rPr>
          <w:rFonts w:ascii="Times New Roman" w:hAnsi="Times New Roman"/>
        </w:rPr>
        <w:t>.  T</w:t>
      </w:r>
      <w:r w:rsidRPr="00C726C0">
        <w:rPr>
          <w:rFonts w:ascii="Times New Roman" w:hAnsi="Times New Roman"/>
        </w:rPr>
        <w:t>he information carefully focuses on the benefits of employment; reassures potential participants that staff will provide assistance with benefits to minimize the risk of earnings compromising those benefits; and emphasizes that both Individual Placement and Support and Worksource Center services effectively help people find jobs, with neither service being superior to the other</w:t>
      </w:r>
      <w:r w:rsidRPr="00C726C0" w:rsidR="005D5A5A">
        <w:rPr>
          <w:rFonts w:ascii="Times New Roman" w:hAnsi="Times New Roman"/>
        </w:rPr>
        <w:t xml:space="preserve">.  </w:t>
      </w:r>
      <w:r w:rsidRPr="00C726C0">
        <w:rPr>
          <w:rFonts w:ascii="Times New Roman" w:hAnsi="Times New Roman"/>
        </w:rPr>
        <w:t>This approach reduces the likelihood of attrition from usual care caused by resentment in that group for not receiving services available to those in the IPS arm.</w:t>
      </w:r>
    </w:p>
    <w:p w:rsidR="00F25D44" w:rsidP="006C7131" w14:paraId="200D436C" w14:textId="77777777">
      <w:pPr>
        <w:ind w:left="720"/>
        <w:rPr>
          <w:rFonts w:ascii="Times New Roman" w:hAnsi="Times New Roman"/>
        </w:rPr>
      </w:pPr>
      <w:r>
        <w:rPr>
          <w:rFonts w:ascii="Times New Roman" w:hAnsi="Times New Roman"/>
        </w:rPr>
        <w:t xml:space="preserve">  </w:t>
      </w:r>
    </w:p>
    <w:p w:rsidR="00587FC5" w:rsidP="00533BD9" w14:paraId="37E057E8" w14:textId="3A5A5BA7">
      <w:pPr>
        <w:ind w:left="1080"/>
        <w:rPr>
          <w:rStyle w:val="Heading7Char"/>
          <w:rFonts w:ascii="Times New Roman" w:hAnsi="Times New Roman"/>
          <w:b w:val="0"/>
          <w:bCs w:val="0"/>
          <w:u w:val="none"/>
        </w:rPr>
      </w:pPr>
      <w:r>
        <w:rPr>
          <w:rStyle w:val="Heading7Char"/>
          <w:rFonts w:ascii="Times New Roman" w:hAnsi="Times New Roman"/>
          <w:b w:val="0"/>
          <w:bCs w:val="0"/>
          <w:u w:val="none"/>
        </w:rPr>
        <w:t>PATH</w:t>
      </w:r>
      <w:r w:rsidRPr="00034D9F">
        <w:rPr>
          <w:rStyle w:val="Heading7Char"/>
          <w:rFonts w:ascii="Times New Roman" w:hAnsi="Times New Roman"/>
          <w:b w:val="0"/>
          <w:bCs w:val="0"/>
          <w:u w:val="none"/>
        </w:rPr>
        <w:t xml:space="preserve"> case managers will receive an introduction to IPS and the proposed study</w:t>
      </w:r>
      <w:r w:rsidR="006D278F">
        <w:rPr>
          <w:rStyle w:val="Heading7Char"/>
          <w:rFonts w:ascii="Times New Roman" w:hAnsi="Times New Roman"/>
          <w:b w:val="0"/>
          <w:bCs w:val="0"/>
          <w:u w:val="none"/>
        </w:rPr>
        <w:t xml:space="preserve">, and </w:t>
      </w:r>
      <w:r w:rsidRPr="00034D9F">
        <w:rPr>
          <w:rStyle w:val="Heading7Char"/>
          <w:rFonts w:ascii="Times New Roman" w:hAnsi="Times New Roman"/>
          <w:b w:val="0"/>
          <w:bCs w:val="0"/>
          <w:u w:val="none"/>
        </w:rPr>
        <w:t xml:space="preserve">will identify residents interested in obtaining employment.  Potential recruits must be able to understand the project and its requirements and, throughout the recruitment process, consistently express a desire for competitive employment. </w:t>
      </w:r>
      <w:r w:rsidR="0071057A">
        <w:rPr>
          <w:rStyle w:val="Heading7Char"/>
          <w:rFonts w:ascii="Times New Roman" w:hAnsi="Times New Roman"/>
          <w:b w:val="0"/>
          <w:bCs w:val="0"/>
          <w:u w:val="none"/>
        </w:rPr>
        <w:t xml:space="preserve"> </w:t>
      </w:r>
      <w:r w:rsidRPr="00034D9F">
        <w:rPr>
          <w:rStyle w:val="Heading7Char"/>
          <w:rFonts w:ascii="Times New Roman" w:hAnsi="Times New Roman"/>
          <w:b w:val="0"/>
          <w:bCs w:val="0"/>
          <w:u w:val="none"/>
        </w:rPr>
        <w:t>Eligible individuals will also be unemployed, able to participate in the study, and willing to provide informed consent for a five-year follow-up period.</w:t>
      </w:r>
      <w:r>
        <w:rPr>
          <w:rFonts w:ascii="Times New Roman" w:hAnsi="Times New Roman"/>
        </w:rPr>
        <w:t xml:space="preserve"> </w:t>
      </w:r>
      <w:r w:rsidR="0071057A">
        <w:rPr>
          <w:rFonts w:ascii="Times New Roman" w:hAnsi="Times New Roman"/>
        </w:rPr>
        <w:t xml:space="preserve"> </w:t>
      </w:r>
      <w:r>
        <w:rPr>
          <w:rFonts w:ascii="Times New Roman" w:hAnsi="Times New Roman"/>
        </w:rPr>
        <w:t>Interested</w:t>
      </w:r>
      <w:r w:rsidR="001E13BF">
        <w:rPr>
          <w:rFonts w:ascii="Times New Roman" w:hAnsi="Times New Roman"/>
        </w:rPr>
        <w:t xml:space="preserve"> residents will participate in two informational interviews</w:t>
      </w:r>
      <w:r>
        <w:rPr>
          <w:rFonts w:ascii="Times New Roman" w:hAnsi="Times New Roman"/>
        </w:rPr>
        <w:t xml:space="preserve"> to</w:t>
      </w:r>
      <w:r w:rsidRPr="00EA35DA">
        <w:rPr>
          <w:rStyle w:val="Heading7Char"/>
          <w:rFonts w:ascii="Times New Roman" w:hAnsi="Times New Roman"/>
          <w:b w:val="0"/>
          <w:bCs w:val="0"/>
          <w:u w:val="none"/>
        </w:rPr>
        <w:t xml:space="preserve"> ask questions and confirm their understanding and motivation, which are the hallmarks of successful recruitment. </w:t>
      </w:r>
      <w:r w:rsidR="0071057A">
        <w:rPr>
          <w:rStyle w:val="Heading7Char"/>
          <w:rFonts w:ascii="Times New Roman" w:hAnsi="Times New Roman"/>
          <w:b w:val="0"/>
          <w:bCs w:val="0"/>
          <w:u w:val="none"/>
        </w:rPr>
        <w:t xml:space="preserve"> </w:t>
      </w:r>
      <w:r w:rsidRPr="00EA35DA">
        <w:rPr>
          <w:rStyle w:val="Heading7Char"/>
          <w:rFonts w:ascii="Times New Roman" w:hAnsi="Times New Roman"/>
          <w:b w:val="0"/>
          <w:bCs w:val="0"/>
          <w:u w:val="none"/>
        </w:rPr>
        <w:t>Our team has successfully used science-based research introduction groups to ensure that potential participants understand the project</w:t>
      </w:r>
      <w:r w:rsidR="004B3B11">
        <w:rPr>
          <w:rStyle w:val="Heading7Char"/>
          <w:rFonts w:ascii="Times New Roman" w:hAnsi="Times New Roman"/>
          <w:b w:val="0"/>
          <w:bCs w:val="0"/>
          <w:u w:val="none"/>
        </w:rPr>
        <w:t xml:space="preserve"> participants signed</w:t>
      </w:r>
      <w:r w:rsidR="006D278F">
        <w:rPr>
          <w:rStyle w:val="Heading7Char"/>
          <w:rFonts w:ascii="Times New Roman" w:hAnsi="Times New Roman"/>
          <w:b w:val="0"/>
          <w:bCs w:val="0"/>
          <w:u w:val="none"/>
        </w:rPr>
        <w:t xml:space="preserve"> up for and have a des</w:t>
      </w:r>
      <w:r w:rsidRPr="00EA35DA">
        <w:rPr>
          <w:rStyle w:val="Heading7Char"/>
          <w:rFonts w:ascii="Times New Roman" w:hAnsi="Times New Roman"/>
          <w:b w:val="0"/>
          <w:bCs w:val="0"/>
          <w:u w:val="none"/>
        </w:rPr>
        <w:t xml:space="preserve">ire to work </w:t>
      </w:r>
      <w:r w:rsidRPr="00EA35DA">
        <w:rPr>
          <w:rStyle w:val="Heading7Char"/>
          <w:rFonts w:ascii="Times New Roman" w:hAnsi="Times New Roman"/>
          <w:b w:val="0"/>
          <w:bCs w:val="0"/>
          <w:u w:val="none"/>
        </w:rPr>
        <w:fldChar w:fldCharType="begin"/>
      </w:r>
      <w:r w:rsidRPr="00EA35DA">
        <w:rPr>
          <w:rStyle w:val="Heading7Char"/>
          <w:rFonts w:ascii="Times New Roman" w:hAnsi="Times New Roman"/>
          <w:b w:val="0"/>
          <w:bCs w:val="0"/>
          <w:u w:val="none"/>
        </w:rPr>
        <w:instrText>ADDIN EN.CITE</w:instrText>
      </w:r>
      <w:r w:rsidRPr="00EA35DA">
        <w:rPr>
          <w:rStyle w:val="Heading7Char"/>
          <w:rFonts w:ascii="Times New Roman" w:hAnsi="Times New Roman"/>
          <w:b w:val="0"/>
          <w:bCs w:val="0"/>
          <w:u w:val="none"/>
        </w:rPr>
        <w:fldChar w:fldCharType="begin"/>
      </w:r>
      <w:r w:rsidRPr="00EA35DA">
        <w:rPr>
          <w:rStyle w:val="Heading7Char"/>
          <w:rFonts w:ascii="Times New Roman" w:hAnsi="Times New Roman"/>
          <w:b w:val="0"/>
          <w:bCs w:val="0"/>
          <w:u w:val="none"/>
        </w:rPr>
        <w:instrText>ADDIN EN.CITE.DATA</w:instrText>
      </w:r>
      <w:r w:rsidRPr="00EA35DA">
        <w:rPr>
          <w:rStyle w:val="Heading7Char"/>
          <w:rFonts w:ascii="Times New Roman" w:hAnsi="Times New Roman"/>
          <w:b w:val="0"/>
          <w:bCs w:val="0"/>
          <w:u w:val="none"/>
        </w:rPr>
        <w:fldChar w:fldCharType="separate"/>
      </w:r>
      <w:r w:rsidRPr="00EA35DA">
        <w:rPr>
          <w:rStyle w:val="Heading7Char"/>
          <w:rFonts w:ascii="Times New Roman" w:hAnsi="Times New Roman"/>
          <w:b w:val="0"/>
          <w:bCs w:val="0"/>
          <w:u w:val="none"/>
        </w:rPr>
        <w:fldChar w:fldCharType="end"/>
      </w:r>
      <w:r w:rsidRPr="00EA35DA">
        <w:rPr>
          <w:rStyle w:val="Heading7Char"/>
          <w:rFonts w:ascii="Times New Roman" w:hAnsi="Times New Roman"/>
          <w:b w:val="0"/>
          <w:bCs w:val="0"/>
          <w:u w:val="none"/>
        </w:rPr>
        <w:fldChar w:fldCharType="separate"/>
      </w:r>
      <w:r w:rsidRPr="00EA35DA">
        <w:rPr>
          <w:rStyle w:val="Heading7Char"/>
          <w:rFonts w:ascii="Times New Roman" w:hAnsi="Times New Roman"/>
          <w:b w:val="0"/>
          <w:bCs w:val="0"/>
          <w:u w:val="none"/>
        </w:rPr>
        <w:t>(Bebout et al., 1998; Bond et al., 2007; Drake et al., 1994)</w:t>
      </w:r>
      <w:r w:rsidRPr="00EA35DA">
        <w:rPr>
          <w:rStyle w:val="Heading7Char"/>
          <w:rFonts w:ascii="Times New Roman" w:hAnsi="Times New Roman"/>
          <w:b w:val="0"/>
          <w:bCs w:val="0"/>
          <w:u w:val="none"/>
        </w:rPr>
        <w:fldChar w:fldCharType="end"/>
      </w:r>
      <w:r>
        <w:rPr>
          <w:rStyle w:val="Heading7Char"/>
          <w:rFonts w:ascii="Times New Roman" w:hAnsi="Times New Roman"/>
          <w:b w:val="0"/>
          <w:bCs w:val="0"/>
          <w:u w:val="none"/>
        </w:rPr>
        <w:t xml:space="preserve">.  </w:t>
      </w:r>
      <w:r w:rsidRPr="00EA35DA">
        <w:rPr>
          <w:rStyle w:val="Heading7Char"/>
          <w:rFonts w:ascii="Times New Roman" w:hAnsi="Times New Roman"/>
          <w:b w:val="0"/>
          <w:bCs w:val="0"/>
          <w:u w:val="none"/>
        </w:rPr>
        <w:t>A research assistant, with the assistance of a peer advocate, will explain and obtain informed consent from each eligible enrollee</w:t>
      </w:r>
      <w:r>
        <w:rPr>
          <w:rStyle w:val="Heading7Char"/>
          <w:rFonts w:ascii="Times New Roman" w:hAnsi="Times New Roman"/>
          <w:b w:val="0"/>
          <w:bCs w:val="0"/>
          <w:u w:val="none"/>
        </w:rPr>
        <w:t xml:space="preserve"> following these information interviews</w:t>
      </w:r>
      <w:r w:rsidRPr="00EA35DA">
        <w:rPr>
          <w:rStyle w:val="Heading7Char"/>
          <w:rFonts w:ascii="Times New Roman" w:hAnsi="Times New Roman"/>
          <w:b w:val="0"/>
          <w:bCs w:val="0"/>
          <w:u w:val="none"/>
        </w:rPr>
        <w:t xml:space="preserve">. </w:t>
      </w:r>
      <w:r w:rsidR="0071057A">
        <w:rPr>
          <w:rStyle w:val="Heading7Char"/>
          <w:rFonts w:ascii="Times New Roman" w:hAnsi="Times New Roman"/>
          <w:b w:val="0"/>
          <w:bCs w:val="0"/>
          <w:u w:val="none"/>
        </w:rPr>
        <w:t xml:space="preserve"> </w:t>
      </w:r>
      <w:r w:rsidRPr="00533BD9">
        <w:rPr>
          <w:rStyle w:val="Heading7Char"/>
          <w:rFonts w:ascii="Times New Roman" w:hAnsi="Times New Roman"/>
          <w:b w:val="0"/>
          <w:bCs w:val="0"/>
          <w:u w:val="none"/>
        </w:rPr>
        <w:t>These procedures have resulted in exemplary retention rates even in populations known for their distrust of research and yielded high rates of participation (over 90%) across numerous IPS studies</w:t>
      </w:r>
      <w:r w:rsidRPr="00533BD9">
        <w:rPr>
          <w:rStyle w:val="Heading7Char"/>
          <w:rFonts w:ascii="Times New Roman" w:hAnsi="Times New Roman"/>
          <w:b w:val="0"/>
          <w:bCs w:val="0"/>
          <w:u w:val="none"/>
        </w:rPr>
        <w:t>.</w:t>
      </w:r>
    </w:p>
    <w:p w:rsidR="00587FC5" w:rsidP="00587FC5" w14:paraId="349938AC" w14:textId="77777777">
      <w:pPr>
        <w:ind w:left="720"/>
        <w:rPr>
          <w:rStyle w:val="Heading7Char"/>
          <w:rFonts w:ascii="Times New Roman" w:hAnsi="Times New Roman"/>
          <w:b w:val="0"/>
          <w:bCs w:val="0"/>
          <w:u w:val="none"/>
        </w:rPr>
      </w:pPr>
    </w:p>
    <w:p w:rsidR="00754CCC" w:rsidP="00754CCC" w14:paraId="050BF5F8" w14:textId="0967BFAD">
      <w:pPr>
        <w:ind w:left="1080"/>
        <w:rPr>
          <w:rFonts w:ascii="Times New Roman" w:hAnsi="Times New Roman"/>
          <w:bCs/>
        </w:rPr>
      </w:pPr>
      <w:r w:rsidRPr="00A637F2">
        <w:rPr>
          <w:rStyle w:val="Heading7Char"/>
          <w:rFonts w:ascii="Times New Roman" w:hAnsi="Times New Roman"/>
          <w:u w:val="none"/>
        </w:rPr>
        <w:t>Follow-up</w:t>
      </w:r>
      <w:r w:rsidR="008D781C">
        <w:rPr>
          <w:rStyle w:val="Heading7Char"/>
          <w:rFonts w:ascii="Times New Roman" w:hAnsi="Times New Roman"/>
          <w:i/>
          <w:iCs/>
          <w:u w:val="none"/>
        </w:rPr>
        <w:t xml:space="preserve">:  </w:t>
      </w:r>
      <w:r>
        <w:rPr>
          <w:rStyle w:val="Heading7Char"/>
          <w:rFonts w:ascii="Times New Roman" w:hAnsi="Times New Roman"/>
          <w:b w:val="0"/>
          <w:bCs w:val="0"/>
          <w:u w:val="none"/>
        </w:rPr>
        <w:t xml:space="preserve"> We will take several actions to maximize response rates to quarterly interviews throughout two years of follow-up for each enrollee and longer interviews at 12- and 24-months.  These will incentivize continued participation and maintain contact between enrollees and research </w:t>
      </w:r>
      <w:r w:rsidRPr="00974A21">
        <w:rPr>
          <w:rStyle w:val="Heading7Char"/>
          <w:rFonts w:ascii="Times New Roman" w:hAnsi="Times New Roman"/>
          <w:b w:val="0"/>
          <w:bCs w:val="0"/>
          <w:u w:val="none"/>
        </w:rPr>
        <w:t xml:space="preserve">staff.  </w:t>
      </w:r>
      <w:r>
        <w:rPr>
          <w:rFonts w:ascii="Times New Roman" w:hAnsi="Times New Roman"/>
          <w:bCs/>
          <w:color w:val="000000"/>
        </w:rPr>
        <w:t xml:space="preserve">Participants </w:t>
      </w:r>
      <w:r w:rsidRPr="00754CCC">
        <w:rPr>
          <w:rFonts w:ascii="Times New Roman" w:hAnsi="Times New Roman"/>
          <w:bCs/>
        </w:rPr>
        <w:t>will receive reimbursements of $20 for each quarterly phone interview and $50 for both the baseline and end-of-follow-up in-person interviews after joining the study</w:t>
      </w:r>
      <w:r>
        <w:rPr>
          <w:rFonts w:ascii="Times New Roman" w:hAnsi="Times New Roman"/>
          <w:bCs/>
        </w:rPr>
        <w:t xml:space="preserve">.  </w:t>
      </w:r>
    </w:p>
    <w:p w:rsidR="00754CCC" w:rsidP="00533BD9" w14:paraId="79CAE7C4" w14:textId="77777777">
      <w:pPr>
        <w:ind w:left="1080"/>
        <w:rPr>
          <w:rFonts w:ascii="Times New Roman" w:hAnsi="Times New Roman"/>
          <w:bCs/>
        </w:rPr>
      </w:pPr>
    </w:p>
    <w:p w:rsidR="00587FC5" w:rsidP="00533BD9" w14:paraId="751FECB5" w14:textId="49AE0A8C">
      <w:pPr>
        <w:ind w:left="1080"/>
        <w:rPr>
          <w:rFonts w:ascii="Times New Roman" w:hAnsi="Times New Roman"/>
        </w:rPr>
      </w:pPr>
      <w:r w:rsidRPr="00974A21">
        <w:rPr>
          <w:rFonts w:ascii="Times New Roman" w:hAnsi="Times New Roman"/>
          <w:bCs/>
        </w:rPr>
        <w:t>The project manager will supervise and assist t</w:t>
      </w:r>
      <w:r w:rsidRPr="00974A21">
        <w:rPr>
          <w:rFonts w:ascii="Times New Roman" w:hAnsi="Times New Roman"/>
          <w:bCs/>
          <w:color w:val="000000"/>
        </w:rPr>
        <w:t>wo</w:t>
      </w:r>
      <w:r w:rsidRPr="00974A21">
        <w:rPr>
          <w:rFonts w:ascii="Times New Roman" w:hAnsi="Times New Roman"/>
          <w:color w:val="000000"/>
        </w:rPr>
        <w:t xml:space="preserve"> research assistants in LA who will conduct </w:t>
      </w:r>
      <w:r w:rsidRPr="00974A21">
        <w:rPr>
          <w:rFonts w:ascii="Times New Roman" w:eastAsia="DengXian" w:hAnsi="Times New Roman"/>
          <w:color w:val="000000"/>
        </w:rPr>
        <w:t>all interviews</w:t>
      </w:r>
      <w:r w:rsidRPr="00974A21">
        <w:rPr>
          <w:rFonts w:ascii="Times New Roman" w:hAnsi="Times New Roman"/>
          <w:color w:val="000000"/>
        </w:rPr>
        <w:t xml:space="preserve">, entering data directly into a </w:t>
      </w:r>
      <w:r w:rsidR="002B536E">
        <w:rPr>
          <w:rFonts w:ascii="Times New Roman" w:hAnsi="Times New Roman"/>
          <w:color w:val="000000"/>
        </w:rPr>
        <w:t>REDCap online data collection system</w:t>
      </w:r>
      <w:r w:rsidRPr="00974A21">
        <w:rPr>
          <w:rFonts w:ascii="Times New Roman" w:hAnsi="Times New Roman"/>
          <w:color w:val="000000"/>
        </w:rPr>
        <w:t xml:space="preserve">. </w:t>
      </w:r>
      <w:r w:rsidR="0071057A">
        <w:rPr>
          <w:rFonts w:ascii="Times New Roman" w:hAnsi="Times New Roman"/>
          <w:color w:val="000000"/>
        </w:rPr>
        <w:t xml:space="preserve"> </w:t>
      </w:r>
      <w:r w:rsidRPr="00974A21">
        <w:rPr>
          <w:rFonts w:ascii="Times New Roman" w:hAnsi="Times New Roman"/>
          <w:color w:val="000000"/>
        </w:rPr>
        <w:t xml:space="preserve">The research assistants will live in LA and have primary responsibility for contacting enrollees and conducting quarterly interviews. </w:t>
      </w:r>
      <w:r w:rsidR="0071057A">
        <w:rPr>
          <w:rFonts w:ascii="Times New Roman" w:hAnsi="Times New Roman"/>
          <w:color w:val="000000"/>
        </w:rPr>
        <w:t xml:space="preserve"> </w:t>
      </w:r>
      <w:r w:rsidRPr="00974A21">
        <w:rPr>
          <w:rFonts w:ascii="Times New Roman" w:hAnsi="Times New Roman"/>
        </w:rPr>
        <w:t xml:space="preserve">The PIs and project manager will provide training. </w:t>
      </w:r>
      <w:r w:rsidR="0071057A">
        <w:rPr>
          <w:rFonts w:ascii="Times New Roman" w:hAnsi="Times New Roman"/>
        </w:rPr>
        <w:t xml:space="preserve"> </w:t>
      </w:r>
      <w:r w:rsidRPr="00974A21">
        <w:rPr>
          <w:rFonts w:ascii="Times New Roman" w:hAnsi="Times New Roman"/>
        </w:rPr>
        <w:t xml:space="preserve">The project manager </w:t>
      </w:r>
      <w:r w:rsidR="002B536E">
        <w:rPr>
          <w:rFonts w:ascii="Times New Roman" w:hAnsi="Times New Roman"/>
        </w:rPr>
        <w:t xml:space="preserve">(Dr. Ben Henwood) </w:t>
      </w:r>
      <w:r w:rsidRPr="00974A21">
        <w:rPr>
          <w:rFonts w:ascii="Times New Roman" w:hAnsi="Times New Roman"/>
        </w:rPr>
        <w:t xml:space="preserve">resides in LA and has prior research experience with the study population. </w:t>
      </w:r>
      <w:r w:rsidR="0071057A">
        <w:rPr>
          <w:rFonts w:ascii="Times New Roman" w:hAnsi="Times New Roman"/>
        </w:rPr>
        <w:t xml:space="preserve"> </w:t>
      </w:r>
      <w:r w:rsidR="002B536E">
        <w:rPr>
          <w:rFonts w:ascii="Times New Roman" w:hAnsi="Times New Roman"/>
        </w:rPr>
        <w:t>Case manager</w:t>
      </w:r>
      <w:r w:rsidRPr="00974A21">
        <w:rPr>
          <w:rFonts w:ascii="Times New Roman" w:hAnsi="Times New Roman"/>
        </w:rPr>
        <w:t>s will assist with community engagement to facilitate continued contact</w:t>
      </w:r>
      <w:r>
        <w:rPr>
          <w:rFonts w:ascii="Times New Roman" w:hAnsi="Times New Roman"/>
        </w:rPr>
        <w:t xml:space="preserve">.  </w:t>
      </w:r>
      <w:r w:rsidR="002816AA">
        <w:rPr>
          <w:rFonts w:ascii="Times New Roman" w:hAnsi="Times New Roman"/>
        </w:rPr>
        <w:t xml:space="preserve">USC </w:t>
      </w:r>
      <w:r>
        <w:rPr>
          <w:rFonts w:ascii="Times New Roman" w:hAnsi="Times New Roman"/>
        </w:rPr>
        <w:t xml:space="preserve">Research assistants will </w:t>
      </w:r>
      <w:r w:rsidR="002816AA">
        <w:rPr>
          <w:rFonts w:ascii="Times New Roman" w:hAnsi="Times New Roman"/>
        </w:rPr>
        <w:t>maintain</w:t>
      </w:r>
      <w:r>
        <w:rPr>
          <w:rFonts w:ascii="Times New Roman" w:hAnsi="Times New Roman"/>
        </w:rPr>
        <w:t xml:space="preserve"> contact with enrollees and awareness of their living status.  </w:t>
      </w:r>
      <w:r w:rsidR="002816AA">
        <w:rPr>
          <w:rFonts w:ascii="Times New Roman" w:hAnsi="Times New Roman"/>
        </w:rPr>
        <w:t xml:space="preserve">In addition, the USC Research assistants will ensure </w:t>
      </w:r>
      <w:r>
        <w:rPr>
          <w:rFonts w:ascii="Times New Roman" w:hAnsi="Times New Roman"/>
        </w:rPr>
        <w:t>the study population lives in centralized locations and are under consistent observation by PATH staff will facilitate this process.</w:t>
      </w:r>
    </w:p>
    <w:p w:rsidR="00D52F1B" w:rsidP="00587FC5" w14:paraId="64C8CDDE" w14:textId="77777777">
      <w:pPr>
        <w:ind w:left="720"/>
        <w:rPr>
          <w:rStyle w:val="Heading7Char"/>
          <w:rFonts w:ascii="Times New Roman" w:hAnsi="Times New Roman"/>
          <w:b w:val="0"/>
          <w:bCs w:val="0"/>
          <w:u w:val="none"/>
        </w:rPr>
      </w:pPr>
    </w:p>
    <w:p w:rsidR="00D52F1B" w:rsidRPr="00D52F1B" w:rsidP="00533BD9" w14:paraId="068EB011" w14:textId="1F316617">
      <w:pPr>
        <w:ind w:left="1080"/>
        <w:rPr>
          <w:rStyle w:val="Heading7Char"/>
          <w:rFonts w:ascii="Times New Roman" w:hAnsi="Times New Roman"/>
          <w:b w:val="0"/>
          <w:bCs w:val="0"/>
          <w:u w:val="none"/>
        </w:rPr>
      </w:pPr>
      <w:r>
        <w:rPr>
          <w:rStyle w:val="Heading7Char"/>
          <w:rFonts w:ascii="Times New Roman" w:hAnsi="Times New Roman"/>
          <w:b w:val="0"/>
          <w:bCs w:val="0"/>
          <w:u w:val="none"/>
        </w:rPr>
        <w:t xml:space="preserve">Observational data, </w:t>
      </w:r>
      <w:r w:rsidR="0071057A">
        <w:rPr>
          <w:rStyle w:val="Heading7Char"/>
          <w:rFonts w:ascii="Times New Roman" w:hAnsi="Times New Roman"/>
          <w:b w:val="0"/>
          <w:bCs w:val="0"/>
          <w:u w:val="none"/>
        </w:rPr>
        <w:t xml:space="preserve">which case managers and IPS employment specialists will </w:t>
      </w:r>
      <w:r>
        <w:rPr>
          <w:rStyle w:val="Heading7Char"/>
          <w:rFonts w:ascii="Times New Roman" w:hAnsi="Times New Roman"/>
          <w:b w:val="0"/>
          <w:bCs w:val="0"/>
          <w:u w:val="none"/>
        </w:rPr>
        <w:t>collect</w:t>
      </w:r>
      <w:r w:rsidR="0071057A">
        <w:rPr>
          <w:rStyle w:val="Heading7Char"/>
          <w:rFonts w:ascii="Times New Roman" w:hAnsi="Times New Roman"/>
          <w:b w:val="0"/>
          <w:bCs w:val="0"/>
          <w:u w:val="none"/>
        </w:rPr>
        <w:t xml:space="preserve">, </w:t>
      </w:r>
      <w:r>
        <w:rPr>
          <w:rStyle w:val="Heading7Char"/>
          <w:rFonts w:ascii="Times New Roman" w:hAnsi="Times New Roman"/>
          <w:b w:val="0"/>
          <w:bCs w:val="0"/>
          <w:u w:val="none"/>
        </w:rPr>
        <w:t>will serve as secondary, corroborating measures of employment and compliance with treatment assignment.  Completion rates for this measure were greater than 90% in the Supported Employment Demonstration.</w:t>
      </w:r>
    </w:p>
    <w:p w:rsidR="006C7131" w:rsidRPr="00BC7F42" w:rsidP="006C7131" w14:paraId="031B7329" w14:textId="77777777">
      <w:pPr>
        <w:rPr>
          <w:rFonts w:ascii="Times New Roman" w:hAnsi="Times New Roman"/>
        </w:rPr>
      </w:pPr>
    </w:p>
    <w:p w:rsidR="006C7131" w:rsidP="00013FE3" w14:paraId="4F1D9B8C" w14:textId="77777777">
      <w:pPr>
        <w:numPr>
          <w:ilvl w:val="0"/>
          <w:numId w:val="5"/>
        </w:numPr>
        <w:rPr>
          <w:rFonts w:ascii="Times New Roman" w:hAnsi="Times New Roman"/>
          <w:b/>
        </w:rPr>
      </w:pPr>
      <w:r w:rsidRPr="00BC7F42">
        <w:rPr>
          <w:rFonts w:ascii="Times New Roman" w:hAnsi="Times New Roman"/>
          <w:b/>
        </w:rPr>
        <w:t>Tests of Procedures</w:t>
      </w:r>
    </w:p>
    <w:p w:rsidR="006C7131" w:rsidRPr="00DF58A3" w:rsidP="00533BD9" w14:paraId="3DE537C8" w14:textId="4674D187">
      <w:pPr>
        <w:ind w:left="1080"/>
        <w:rPr>
          <w:rFonts w:ascii="Times New Roman" w:hAnsi="Times New Roman"/>
          <w:u w:val="single"/>
        </w:rPr>
      </w:pPr>
      <w:r>
        <w:rPr>
          <w:rFonts w:ascii="Times New Roman" w:hAnsi="Times New Roman"/>
          <w:bCs/>
          <w:color w:val="000000"/>
        </w:rPr>
        <w:t>We do not plan to conduct procedural tests on more than 10 members of the public</w:t>
      </w:r>
      <w:r w:rsidR="005D5A5A">
        <w:rPr>
          <w:rFonts w:ascii="Times New Roman" w:hAnsi="Times New Roman"/>
          <w:bCs/>
          <w:color w:val="000000"/>
        </w:rPr>
        <w:t xml:space="preserve">.  </w:t>
      </w:r>
      <w:r w:rsidR="002816AA">
        <w:rPr>
          <w:rFonts w:ascii="Times New Roman" w:hAnsi="Times New Roman"/>
          <w:bCs/>
          <w:color w:val="000000"/>
        </w:rPr>
        <w:t>Research staff has used a</w:t>
      </w:r>
      <w:r>
        <w:rPr>
          <w:rFonts w:ascii="Times New Roman" w:hAnsi="Times New Roman"/>
          <w:bCs/>
          <w:color w:val="000000"/>
        </w:rPr>
        <w:t xml:space="preserve">ll instruments and collection procedures in prior studies.  Research staff will test the data collection system throughout its development. </w:t>
      </w:r>
      <w:r w:rsidRPr="00DF58A3" w:rsidR="009D0859">
        <w:rPr>
          <w:rFonts w:ascii="Times New Roman" w:hAnsi="Times New Roman"/>
          <w:i/>
          <w:iCs/>
        </w:rPr>
        <w:t xml:space="preserve"> </w:t>
      </w:r>
    </w:p>
    <w:p w:rsidR="006C7131" w:rsidRPr="00BC7F42" w:rsidP="006C7131" w14:paraId="1D99D00C" w14:textId="77777777">
      <w:pPr>
        <w:rPr>
          <w:rFonts w:ascii="Times New Roman" w:hAnsi="Times New Roman"/>
        </w:rPr>
      </w:pPr>
    </w:p>
    <w:p w:rsidR="006C7131" w:rsidRPr="00533BD9" w:rsidP="00013FE3" w14:paraId="30CF0E6A" w14:textId="77777777">
      <w:pPr>
        <w:numPr>
          <w:ilvl w:val="0"/>
          <w:numId w:val="5"/>
        </w:numPr>
        <w:rPr>
          <w:rFonts w:ascii="Times New Roman" w:hAnsi="Times New Roman"/>
        </w:rPr>
      </w:pPr>
      <w:r w:rsidRPr="00533BD9">
        <w:rPr>
          <w:rFonts w:ascii="Times New Roman" w:hAnsi="Times New Roman"/>
          <w:b/>
        </w:rPr>
        <w:t>Statistical Agency Contact for Statistical Information</w:t>
      </w:r>
    </w:p>
    <w:p w:rsidR="002D686F" w:rsidP="00533BD9" w14:paraId="1268B8E0" w14:textId="01297A41">
      <w:pPr>
        <w:tabs>
          <w:tab w:val="left" w:pos="1080"/>
        </w:tabs>
        <w:ind w:left="360"/>
        <w:rPr>
          <w:rFonts w:ascii="Times New Roman" w:hAnsi="Times New Roman"/>
          <w:lang w:val="en"/>
        </w:rPr>
      </w:pPr>
      <w:r>
        <w:rPr>
          <w:rFonts w:ascii="Times New Roman" w:hAnsi="Times New Roman"/>
          <w:lang w:val="en"/>
        </w:rPr>
        <w:tab/>
      </w:r>
      <w:r w:rsidRPr="00CB5CE4">
        <w:rPr>
          <w:rFonts w:ascii="Times New Roman" w:hAnsi="Times New Roman"/>
          <w:lang w:val="en"/>
        </w:rPr>
        <w:t>For further information you can communicate with the following staff members:</w:t>
      </w:r>
    </w:p>
    <w:p w:rsidR="002D686F" w:rsidP="002D686F" w14:paraId="56891DF9" w14:textId="77777777">
      <w:pPr>
        <w:ind w:firstLine="720"/>
        <w:rPr>
          <w:rFonts w:ascii="Times New Roman" w:hAnsi="Times New Roman"/>
        </w:rPr>
      </w:pPr>
    </w:p>
    <w:p w:rsidR="002D686F" w:rsidP="00533BD9" w14:paraId="654FC6ED" w14:textId="41FB835B">
      <w:pPr>
        <w:tabs>
          <w:tab w:val="left" w:pos="1440"/>
        </w:tabs>
        <w:ind w:left="1080"/>
        <w:rPr>
          <w:rFonts w:ascii="Times New Roman" w:hAnsi="Times New Roman"/>
          <w:snapToGrid/>
          <w:sz w:val="22"/>
          <w:szCs w:val="22"/>
        </w:rPr>
      </w:pPr>
      <w:r>
        <w:rPr>
          <w:rFonts w:ascii="Times New Roman" w:hAnsi="Times New Roman"/>
        </w:rPr>
        <w:t>Justin Metcalfe, Ph.D., Principal Investigator &amp; Lead Evaluator</w:t>
      </w:r>
    </w:p>
    <w:p w:rsidR="002D686F" w:rsidP="00533BD9" w14:paraId="408F5A66" w14:textId="77777777">
      <w:pPr>
        <w:ind w:left="360" w:firstLine="720"/>
        <w:rPr>
          <w:rFonts w:ascii="Times New Roman" w:hAnsi="Times New Roman"/>
        </w:rPr>
      </w:pPr>
      <w:r>
        <w:rPr>
          <w:rFonts w:ascii="Times New Roman" w:hAnsi="Times New Roman"/>
        </w:rPr>
        <w:t>Telephone:  603-237-1899</w:t>
      </w:r>
    </w:p>
    <w:p w:rsidR="002D686F" w:rsidP="00533BD9" w14:paraId="568BCEE6" w14:textId="77777777">
      <w:pPr>
        <w:ind w:left="360" w:firstLine="720"/>
        <w:rPr>
          <w:rFonts w:ascii="Times New Roman" w:hAnsi="Times New Roman"/>
        </w:rPr>
      </w:pPr>
      <w:r>
        <w:rPr>
          <w:rFonts w:ascii="Times New Roman" w:hAnsi="Times New Roman"/>
        </w:rPr>
        <w:t xml:space="preserve">Email: </w:t>
      </w:r>
      <w:hyperlink r:id="rId5" w:history="1">
        <w:r>
          <w:rPr>
            <w:rStyle w:val="Hyperlink"/>
            <w:rFonts w:ascii="Times New Roman" w:hAnsi="Times New Roman"/>
          </w:rPr>
          <w:t>JustinMetcalfe@westat.com</w:t>
        </w:r>
      </w:hyperlink>
    </w:p>
    <w:p w:rsidR="002D686F" w:rsidP="002D686F" w14:paraId="4C8D3135" w14:textId="77777777">
      <w:pPr>
        <w:rPr>
          <w:rFonts w:ascii="Times New Roman" w:hAnsi="Times New Roman"/>
        </w:rPr>
      </w:pPr>
      <w:r>
        <w:rPr>
          <w:rFonts w:ascii="Times New Roman" w:hAnsi="Times New Roman"/>
        </w:rPr>
        <w:t> </w:t>
      </w:r>
    </w:p>
    <w:p w:rsidR="002D686F" w:rsidP="00533BD9" w14:paraId="5FA5AE6C" w14:textId="77777777">
      <w:pPr>
        <w:ind w:left="360" w:firstLine="720"/>
        <w:rPr>
          <w:rFonts w:ascii="Times New Roman" w:hAnsi="Times New Roman"/>
        </w:rPr>
      </w:pPr>
      <w:r>
        <w:rPr>
          <w:rFonts w:ascii="Times New Roman" w:hAnsi="Times New Roman"/>
        </w:rPr>
        <w:t>Gary Bond, Ph.D., Implementation &amp; Fidelity Expert</w:t>
      </w:r>
    </w:p>
    <w:p w:rsidR="002D686F" w:rsidP="00533BD9" w14:paraId="72213BD9" w14:textId="77777777">
      <w:pPr>
        <w:ind w:left="360" w:firstLine="720"/>
        <w:rPr>
          <w:rFonts w:ascii="Times New Roman" w:hAnsi="Times New Roman"/>
        </w:rPr>
      </w:pPr>
      <w:r>
        <w:rPr>
          <w:rFonts w:ascii="Times New Roman" w:hAnsi="Times New Roman"/>
        </w:rPr>
        <w:t>Telephone:  603-276-3215</w:t>
      </w:r>
    </w:p>
    <w:p w:rsidR="002D686F" w:rsidP="00533BD9" w14:paraId="0001F324" w14:textId="77777777">
      <w:pPr>
        <w:ind w:left="360" w:firstLine="720"/>
        <w:rPr>
          <w:rFonts w:ascii="Times New Roman" w:hAnsi="Times New Roman"/>
        </w:rPr>
      </w:pPr>
      <w:r>
        <w:rPr>
          <w:rFonts w:ascii="Times New Roman" w:hAnsi="Times New Roman"/>
        </w:rPr>
        <w:t xml:space="preserve">Email: </w:t>
      </w:r>
      <w:hyperlink r:id="rId6" w:history="1">
        <w:r>
          <w:rPr>
            <w:rStyle w:val="Hyperlink"/>
            <w:rFonts w:ascii="Times New Roman" w:hAnsi="Times New Roman"/>
          </w:rPr>
          <w:t>GaryBond@westat.com</w:t>
        </w:r>
      </w:hyperlink>
    </w:p>
    <w:p w:rsidR="002D686F" w:rsidP="002D686F" w14:paraId="382901BD" w14:textId="495BA6CB">
      <w:pPr>
        <w:rPr>
          <w:rFonts w:ascii="Times New Roman" w:hAnsi="Times New Roman"/>
        </w:rPr>
      </w:pPr>
      <w:r>
        <w:rPr>
          <w:rFonts w:ascii="Times New Roman" w:hAnsi="Times New Roman"/>
        </w:rPr>
        <w:tab/>
        <w:t>  </w:t>
      </w:r>
    </w:p>
    <w:p w:rsidR="002D686F" w:rsidP="00533BD9" w14:paraId="183484B5" w14:textId="77777777">
      <w:pPr>
        <w:ind w:left="360" w:firstLine="720"/>
        <w:rPr>
          <w:rFonts w:ascii="Times New Roman" w:hAnsi="Times New Roman"/>
        </w:rPr>
      </w:pPr>
      <w:r>
        <w:rPr>
          <w:rFonts w:ascii="Times New Roman" w:hAnsi="Times New Roman"/>
        </w:rPr>
        <w:t>Monirah Al-Abdulmunem, Research Analyst</w:t>
      </w:r>
    </w:p>
    <w:p w:rsidR="002D686F" w:rsidP="00533BD9" w14:paraId="31D3CD73" w14:textId="77777777">
      <w:pPr>
        <w:ind w:left="90"/>
        <w:rPr>
          <w:rFonts w:ascii="Times New Roman" w:hAnsi="Times New Roman"/>
        </w:rPr>
      </w:pPr>
      <w:r>
        <w:rPr>
          <w:rFonts w:ascii="Times New Roman" w:hAnsi="Times New Roman"/>
        </w:rPr>
        <w:t>                Telephone:  603-287-4720</w:t>
      </w:r>
    </w:p>
    <w:p w:rsidR="002D686F" w:rsidP="00533BD9" w14:paraId="257D8960" w14:textId="77777777">
      <w:pPr>
        <w:ind w:left="720" w:firstLine="360"/>
        <w:rPr>
          <w:rFonts w:ascii="Times New Roman" w:hAnsi="Times New Roman"/>
        </w:rPr>
      </w:pPr>
      <w:r>
        <w:rPr>
          <w:rFonts w:ascii="Times New Roman" w:hAnsi="Times New Roman"/>
        </w:rPr>
        <w:t xml:space="preserve">Email: </w:t>
      </w:r>
      <w:hyperlink r:id="rId7" w:history="1">
        <w:r>
          <w:rPr>
            <w:rStyle w:val="Hyperlink"/>
            <w:rFonts w:ascii="Times New Roman" w:hAnsi="Times New Roman"/>
          </w:rPr>
          <w:t>MonirahAl-Abdulmunem@westat.com</w:t>
        </w:r>
      </w:hyperlink>
    </w:p>
    <w:p w:rsidR="002D686F" w:rsidP="002D686F" w14:paraId="5C0BDE1F" w14:textId="77777777">
      <w:pPr>
        <w:rPr>
          <w:rFonts w:ascii="Calibri" w:hAnsi="Calibri" w:cs="Calibri"/>
        </w:rPr>
      </w:pPr>
    </w:p>
    <w:p w:rsidR="00974A21" w:rsidP="00DF58A3" w14:paraId="4E553895" w14:textId="77777777">
      <w:pPr>
        <w:rPr>
          <w:rStyle w:val="Heading7Char"/>
          <w:rFonts w:ascii="Times New Roman" w:hAnsi="Times New Roman"/>
          <w:b w:val="0"/>
          <w:bCs w:val="0"/>
          <w:u w:val="none"/>
        </w:rPr>
      </w:pPr>
    </w:p>
    <w:p w:rsidR="004C7588" w:rsidRPr="00EA35DA" w:rsidP="00CA3A3C" w14:paraId="3668867E" w14:textId="77777777">
      <w:pPr>
        <w:ind w:left="180"/>
        <w:rPr>
          <w:rFonts w:ascii="Times New Roman" w:hAnsi="Times New Roman"/>
          <w:i/>
        </w:rPr>
      </w:pPr>
    </w:p>
    <w:p w:rsidR="00CA3A3C" w:rsidP="00CA3A3C" w14:paraId="62FC6BDC" w14:textId="77777777">
      <w:pPr>
        <w:pStyle w:val="Header"/>
        <w:tabs>
          <w:tab w:val="clear" w:pos="4320"/>
          <w:tab w:val="clear" w:pos="8640"/>
        </w:tabs>
        <w:ind w:left="180"/>
        <w:rPr>
          <w:rFonts w:ascii="Times New Roman" w:hAnsi="Times New Roman"/>
          <w:bCs/>
          <w:color w:val="000000"/>
        </w:rPr>
      </w:pPr>
    </w:p>
    <w:p w:rsidR="00CA3A3C" w:rsidP="00CA3A3C" w14:paraId="08C2B9D5" w14:textId="77777777">
      <w:pPr>
        <w:pStyle w:val="Header"/>
        <w:tabs>
          <w:tab w:val="clear" w:pos="4320"/>
          <w:tab w:val="clear" w:pos="8640"/>
        </w:tabs>
        <w:ind w:left="180"/>
        <w:rPr>
          <w:rFonts w:ascii="Times New Roman" w:hAnsi="Times New Roman"/>
          <w:bCs/>
          <w:color w:val="000000"/>
        </w:rPr>
      </w:pPr>
    </w:p>
    <w:p w:rsidR="0041131C" w:rsidRPr="0041131C" w:rsidP="00CA3A3C" w14:paraId="315FCADD" w14:textId="77777777">
      <w:pPr>
        <w:ind w:left="180"/>
        <w:rPr>
          <w:rFonts w:ascii="Times New Roman" w:hAnsi="Times New Roman"/>
        </w:rPr>
      </w:pPr>
    </w:p>
    <w:p w:rsidR="00A45D82" w:rsidRPr="00BC7F42" w:rsidP="00CA3A3C" w14:paraId="42F659C0" w14:textId="77777777">
      <w:pPr>
        <w:ind w:left="180"/>
        <w:rPr>
          <w:rFonts w:ascii="Times New Roman" w:hAnsi="Times New Roman"/>
          <w:i/>
        </w:rPr>
      </w:pPr>
    </w:p>
    <w:p w:rsidR="00F832E5" w:rsidRPr="00BC7F42" w:rsidP="00CA3A3C" w14:paraId="7FDDEFF1" w14:textId="77777777">
      <w:pPr>
        <w:pStyle w:val="Heading6"/>
        <w:ind w:left="180"/>
        <w:jc w:val="left"/>
        <w:rPr>
          <w:rFonts w:ascii="Times New Roman" w:hAnsi="Times New Roman"/>
        </w:rPr>
      </w:pPr>
    </w:p>
    <w:p w:rsidR="00A45D82" w:rsidRPr="00BC7F42" w:rsidP="00CA3A3C" w14:paraId="004ADE8D" w14:textId="77777777">
      <w:pPr>
        <w:ind w:left="180"/>
        <w:rPr>
          <w:rFonts w:ascii="Times New Roman" w:hAnsi="Times New Roman"/>
        </w:rPr>
      </w:pPr>
    </w:p>
    <w:sectPr w:rsidSect="008D7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B8484D"/>
    <w:multiLevelType w:val="hybridMultilevel"/>
    <w:tmpl w:val="D9F2ADA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76EF0A82"/>
    <w:multiLevelType w:val="hybridMultilevel"/>
    <w:tmpl w:val="B380A5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00242989">
    <w:abstractNumId w:val="1"/>
  </w:num>
  <w:num w:numId="2" w16cid:durableId="208877291">
    <w:abstractNumId w:val="0"/>
  </w:num>
  <w:num w:numId="3" w16cid:durableId="581835481">
    <w:abstractNumId w:val="3"/>
  </w:num>
  <w:num w:numId="4" w16cid:durableId="940912645">
    <w:abstractNumId w:val="4"/>
  </w:num>
  <w:num w:numId="5" w16cid:durableId="1693339134">
    <w:abstractNumId w:val="2"/>
  </w:num>
  <w:num w:numId="6" w16cid:durableId="1115174750">
    <w:abstractNumId w:val="6"/>
  </w:num>
  <w:num w:numId="7" w16cid:durableId="105670748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105FC"/>
    <w:rsid w:val="00013FE3"/>
    <w:rsid w:val="000209DA"/>
    <w:rsid w:val="000213E1"/>
    <w:rsid w:val="000222A7"/>
    <w:rsid w:val="00025216"/>
    <w:rsid w:val="00025D75"/>
    <w:rsid w:val="0002677F"/>
    <w:rsid w:val="000348B1"/>
    <w:rsid w:val="00034D9F"/>
    <w:rsid w:val="00055F97"/>
    <w:rsid w:val="00063A05"/>
    <w:rsid w:val="0006715D"/>
    <w:rsid w:val="0007189E"/>
    <w:rsid w:val="00077720"/>
    <w:rsid w:val="00077E0E"/>
    <w:rsid w:val="00086E84"/>
    <w:rsid w:val="00093CFD"/>
    <w:rsid w:val="000958AA"/>
    <w:rsid w:val="000A6AE3"/>
    <w:rsid w:val="000B2B68"/>
    <w:rsid w:val="000B3B12"/>
    <w:rsid w:val="000C151C"/>
    <w:rsid w:val="000C1D18"/>
    <w:rsid w:val="000D5F5C"/>
    <w:rsid w:val="00105CEC"/>
    <w:rsid w:val="00107335"/>
    <w:rsid w:val="00113E40"/>
    <w:rsid w:val="00121032"/>
    <w:rsid w:val="00122EE2"/>
    <w:rsid w:val="00127980"/>
    <w:rsid w:val="00146275"/>
    <w:rsid w:val="0015576E"/>
    <w:rsid w:val="0017796F"/>
    <w:rsid w:val="00192897"/>
    <w:rsid w:val="001A3317"/>
    <w:rsid w:val="001A65F9"/>
    <w:rsid w:val="001B7CF4"/>
    <w:rsid w:val="001C3222"/>
    <w:rsid w:val="001C5DA7"/>
    <w:rsid w:val="001C6D3A"/>
    <w:rsid w:val="001D0B21"/>
    <w:rsid w:val="001E1076"/>
    <w:rsid w:val="001E13BF"/>
    <w:rsid w:val="001E31C0"/>
    <w:rsid w:val="001F0EAE"/>
    <w:rsid w:val="001F15BE"/>
    <w:rsid w:val="00202C06"/>
    <w:rsid w:val="00206AEE"/>
    <w:rsid w:val="00210E0D"/>
    <w:rsid w:val="00217246"/>
    <w:rsid w:val="00225B75"/>
    <w:rsid w:val="002321B0"/>
    <w:rsid w:val="00246836"/>
    <w:rsid w:val="00253C1B"/>
    <w:rsid w:val="0026052B"/>
    <w:rsid w:val="00264EF1"/>
    <w:rsid w:val="00276AAF"/>
    <w:rsid w:val="00277292"/>
    <w:rsid w:val="002801F8"/>
    <w:rsid w:val="002816AA"/>
    <w:rsid w:val="002A4C30"/>
    <w:rsid w:val="002A7BD5"/>
    <w:rsid w:val="002B0820"/>
    <w:rsid w:val="002B536E"/>
    <w:rsid w:val="002B5578"/>
    <w:rsid w:val="002C391F"/>
    <w:rsid w:val="002D24BC"/>
    <w:rsid w:val="002D4988"/>
    <w:rsid w:val="002D686F"/>
    <w:rsid w:val="002E18CF"/>
    <w:rsid w:val="002E335E"/>
    <w:rsid w:val="002F1C11"/>
    <w:rsid w:val="003010E9"/>
    <w:rsid w:val="00301821"/>
    <w:rsid w:val="00302545"/>
    <w:rsid w:val="0031471D"/>
    <w:rsid w:val="003176E1"/>
    <w:rsid w:val="0032607F"/>
    <w:rsid w:val="00331821"/>
    <w:rsid w:val="00333D3D"/>
    <w:rsid w:val="00336214"/>
    <w:rsid w:val="003465DC"/>
    <w:rsid w:val="003469CA"/>
    <w:rsid w:val="0035505D"/>
    <w:rsid w:val="0036696D"/>
    <w:rsid w:val="0038050B"/>
    <w:rsid w:val="00395E8A"/>
    <w:rsid w:val="003A0CA6"/>
    <w:rsid w:val="003A4653"/>
    <w:rsid w:val="003A6CA8"/>
    <w:rsid w:val="003B15EC"/>
    <w:rsid w:val="003B30B4"/>
    <w:rsid w:val="003C10BD"/>
    <w:rsid w:val="003C6EB1"/>
    <w:rsid w:val="003D0DF8"/>
    <w:rsid w:val="003E145C"/>
    <w:rsid w:val="003E48AD"/>
    <w:rsid w:val="00405548"/>
    <w:rsid w:val="0041131C"/>
    <w:rsid w:val="00414061"/>
    <w:rsid w:val="00414E8E"/>
    <w:rsid w:val="00424AEE"/>
    <w:rsid w:val="00430C24"/>
    <w:rsid w:val="004317CB"/>
    <w:rsid w:val="00444F04"/>
    <w:rsid w:val="00447EE9"/>
    <w:rsid w:val="0045065A"/>
    <w:rsid w:val="004509AD"/>
    <w:rsid w:val="00471DC1"/>
    <w:rsid w:val="00475350"/>
    <w:rsid w:val="00481B44"/>
    <w:rsid w:val="00483F20"/>
    <w:rsid w:val="00484662"/>
    <w:rsid w:val="004915B5"/>
    <w:rsid w:val="004B3B11"/>
    <w:rsid w:val="004C21B6"/>
    <w:rsid w:val="004C2CE4"/>
    <w:rsid w:val="004C7588"/>
    <w:rsid w:val="004D4F75"/>
    <w:rsid w:val="004E146D"/>
    <w:rsid w:val="004E34CD"/>
    <w:rsid w:val="004E7823"/>
    <w:rsid w:val="004F78C4"/>
    <w:rsid w:val="0050197F"/>
    <w:rsid w:val="005040EC"/>
    <w:rsid w:val="00506486"/>
    <w:rsid w:val="005114D4"/>
    <w:rsid w:val="00516FC8"/>
    <w:rsid w:val="00533BD9"/>
    <w:rsid w:val="0056163C"/>
    <w:rsid w:val="005705B4"/>
    <w:rsid w:val="005721D4"/>
    <w:rsid w:val="00577117"/>
    <w:rsid w:val="005808A7"/>
    <w:rsid w:val="00582324"/>
    <w:rsid w:val="0058798D"/>
    <w:rsid w:val="00587FC5"/>
    <w:rsid w:val="00593A36"/>
    <w:rsid w:val="00594CB3"/>
    <w:rsid w:val="005A1198"/>
    <w:rsid w:val="005B15E5"/>
    <w:rsid w:val="005B6475"/>
    <w:rsid w:val="005C2C39"/>
    <w:rsid w:val="005D4107"/>
    <w:rsid w:val="005D5A5A"/>
    <w:rsid w:val="005F208A"/>
    <w:rsid w:val="006002DD"/>
    <w:rsid w:val="006013A3"/>
    <w:rsid w:val="006160ED"/>
    <w:rsid w:val="00622B1F"/>
    <w:rsid w:val="00626C22"/>
    <w:rsid w:val="00631F1B"/>
    <w:rsid w:val="0063304D"/>
    <w:rsid w:val="00637AF5"/>
    <w:rsid w:val="00640A26"/>
    <w:rsid w:val="00656CBA"/>
    <w:rsid w:val="00663881"/>
    <w:rsid w:val="00664553"/>
    <w:rsid w:val="006806E1"/>
    <w:rsid w:val="00691468"/>
    <w:rsid w:val="00694411"/>
    <w:rsid w:val="006946A1"/>
    <w:rsid w:val="0069667B"/>
    <w:rsid w:val="006B173F"/>
    <w:rsid w:val="006B17EF"/>
    <w:rsid w:val="006B297F"/>
    <w:rsid w:val="006B5173"/>
    <w:rsid w:val="006C0D39"/>
    <w:rsid w:val="006C40FF"/>
    <w:rsid w:val="006C70C9"/>
    <w:rsid w:val="006C7131"/>
    <w:rsid w:val="006C735F"/>
    <w:rsid w:val="006D08A1"/>
    <w:rsid w:val="006D278F"/>
    <w:rsid w:val="006D2EC4"/>
    <w:rsid w:val="006E4A7C"/>
    <w:rsid w:val="006E7006"/>
    <w:rsid w:val="006F0560"/>
    <w:rsid w:val="006F10ED"/>
    <w:rsid w:val="006F2B8B"/>
    <w:rsid w:val="006F4D0F"/>
    <w:rsid w:val="006F50EA"/>
    <w:rsid w:val="0070479A"/>
    <w:rsid w:val="00707228"/>
    <w:rsid w:val="0071057A"/>
    <w:rsid w:val="00712825"/>
    <w:rsid w:val="00712F1B"/>
    <w:rsid w:val="0071437B"/>
    <w:rsid w:val="007245C9"/>
    <w:rsid w:val="007256B3"/>
    <w:rsid w:val="00727754"/>
    <w:rsid w:val="007375AD"/>
    <w:rsid w:val="00742B56"/>
    <w:rsid w:val="00742F43"/>
    <w:rsid w:val="00745462"/>
    <w:rsid w:val="00754A19"/>
    <w:rsid w:val="00754CCC"/>
    <w:rsid w:val="007643AC"/>
    <w:rsid w:val="00791985"/>
    <w:rsid w:val="007939C3"/>
    <w:rsid w:val="00795BAB"/>
    <w:rsid w:val="007A08D1"/>
    <w:rsid w:val="007A2DEE"/>
    <w:rsid w:val="007B007C"/>
    <w:rsid w:val="007B45CA"/>
    <w:rsid w:val="007C3FA8"/>
    <w:rsid w:val="007D061D"/>
    <w:rsid w:val="007D1371"/>
    <w:rsid w:val="007D151D"/>
    <w:rsid w:val="007D22EB"/>
    <w:rsid w:val="007E17BD"/>
    <w:rsid w:val="00806984"/>
    <w:rsid w:val="00810485"/>
    <w:rsid w:val="00814772"/>
    <w:rsid w:val="00824D72"/>
    <w:rsid w:val="00825B97"/>
    <w:rsid w:val="00837626"/>
    <w:rsid w:val="0084775D"/>
    <w:rsid w:val="00855159"/>
    <w:rsid w:val="0086463A"/>
    <w:rsid w:val="008754ED"/>
    <w:rsid w:val="00886FC2"/>
    <w:rsid w:val="00891CA8"/>
    <w:rsid w:val="00892B57"/>
    <w:rsid w:val="00892E12"/>
    <w:rsid w:val="008B6774"/>
    <w:rsid w:val="008C065B"/>
    <w:rsid w:val="008C2FC6"/>
    <w:rsid w:val="008D158E"/>
    <w:rsid w:val="008D37FF"/>
    <w:rsid w:val="008D781C"/>
    <w:rsid w:val="008E1933"/>
    <w:rsid w:val="008E3A3A"/>
    <w:rsid w:val="00906892"/>
    <w:rsid w:val="00917157"/>
    <w:rsid w:val="009252AB"/>
    <w:rsid w:val="009278FB"/>
    <w:rsid w:val="00943A94"/>
    <w:rsid w:val="00947B4E"/>
    <w:rsid w:val="00950F2B"/>
    <w:rsid w:val="00951258"/>
    <w:rsid w:val="0095171C"/>
    <w:rsid w:val="00952C5B"/>
    <w:rsid w:val="00955EC4"/>
    <w:rsid w:val="009748B6"/>
    <w:rsid w:val="00974A21"/>
    <w:rsid w:val="00975DD8"/>
    <w:rsid w:val="00980CA5"/>
    <w:rsid w:val="0098447D"/>
    <w:rsid w:val="0099299C"/>
    <w:rsid w:val="009A0B16"/>
    <w:rsid w:val="009B31B1"/>
    <w:rsid w:val="009B31CF"/>
    <w:rsid w:val="009C162A"/>
    <w:rsid w:val="009D07D1"/>
    <w:rsid w:val="009D0859"/>
    <w:rsid w:val="009E3570"/>
    <w:rsid w:val="009E3C50"/>
    <w:rsid w:val="009F23D6"/>
    <w:rsid w:val="009F23E7"/>
    <w:rsid w:val="009F4173"/>
    <w:rsid w:val="009F7BB3"/>
    <w:rsid w:val="00A0073F"/>
    <w:rsid w:val="00A0439D"/>
    <w:rsid w:val="00A20359"/>
    <w:rsid w:val="00A26F83"/>
    <w:rsid w:val="00A32399"/>
    <w:rsid w:val="00A337E4"/>
    <w:rsid w:val="00A33C65"/>
    <w:rsid w:val="00A34222"/>
    <w:rsid w:val="00A40DB9"/>
    <w:rsid w:val="00A45D82"/>
    <w:rsid w:val="00A637F2"/>
    <w:rsid w:val="00A651A7"/>
    <w:rsid w:val="00A67D76"/>
    <w:rsid w:val="00A706B8"/>
    <w:rsid w:val="00A72DC3"/>
    <w:rsid w:val="00A86925"/>
    <w:rsid w:val="00AA06A4"/>
    <w:rsid w:val="00AA0858"/>
    <w:rsid w:val="00AA0C27"/>
    <w:rsid w:val="00AA10E0"/>
    <w:rsid w:val="00AB0CA7"/>
    <w:rsid w:val="00AC39FD"/>
    <w:rsid w:val="00AD0977"/>
    <w:rsid w:val="00AD2384"/>
    <w:rsid w:val="00AE0527"/>
    <w:rsid w:val="00AF0658"/>
    <w:rsid w:val="00AF06B7"/>
    <w:rsid w:val="00AF3530"/>
    <w:rsid w:val="00AF3BEA"/>
    <w:rsid w:val="00B007C5"/>
    <w:rsid w:val="00B01D57"/>
    <w:rsid w:val="00B143D1"/>
    <w:rsid w:val="00B16973"/>
    <w:rsid w:val="00B22A7B"/>
    <w:rsid w:val="00B32586"/>
    <w:rsid w:val="00B3445F"/>
    <w:rsid w:val="00B35A33"/>
    <w:rsid w:val="00B43383"/>
    <w:rsid w:val="00B741F6"/>
    <w:rsid w:val="00B74384"/>
    <w:rsid w:val="00B814E1"/>
    <w:rsid w:val="00B92550"/>
    <w:rsid w:val="00BA1653"/>
    <w:rsid w:val="00BA19E3"/>
    <w:rsid w:val="00BA2F5C"/>
    <w:rsid w:val="00BA31DE"/>
    <w:rsid w:val="00BA401A"/>
    <w:rsid w:val="00BB19D6"/>
    <w:rsid w:val="00BC35F2"/>
    <w:rsid w:val="00BC5531"/>
    <w:rsid w:val="00BC7F42"/>
    <w:rsid w:val="00BF026F"/>
    <w:rsid w:val="00C0290B"/>
    <w:rsid w:val="00C07337"/>
    <w:rsid w:val="00C11811"/>
    <w:rsid w:val="00C22097"/>
    <w:rsid w:val="00C25FDC"/>
    <w:rsid w:val="00C34A91"/>
    <w:rsid w:val="00C363B8"/>
    <w:rsid w:val="00C377BC"/>
    <w:rsid w:val="00C40265"/>
    <w:rsid w:val="00C5104E"/>
    <w:rsid w:val="00C60E61"/>
    <w:rsid w:val="00C67C8A"/>
    <w:rsid w:val="00C67F83"/>
    <w:rsid w:val="00C70EEF"/>
    <w:rsid w:val="00C712F2"/>
    <w:rsid w:val="00C726C0"/>
    <w:rsid w:val="00C903B8"/>
    <w:rsid w:val="00C941E2"/>
    <w:rsid w:val="00CA0B15"/>
    <w:rsid w:val="00CA3A3C"/>
    <w:rsid w:val="00CA5840"/>
    <w:rsid w:val="00CA5F75"/>
    <w:rsid w:val="00CA6CAE"/>
    <w:rsid w:val="00CB17E6"/>
    <w:rsid w:val="00CB3D52"/>
    <w:rsid w:val="00CB5CE4"/>
    <w:rsid w:val="00CB7253"/>
    <w:rsid w:val="00CB7557"/>
    <w:rsid w:val="00CC58E8"/>
    <w:rsid w:val="00CD07B4"/>
    <w:rsid w:val="00CD4CA4"/>
    <w:rsid w:val="00CD5E40"/>
    <w:rsid w:val="00CD667A"/>
    <w:rsid w:val="00CE23C1"/>
    <w:rsid w:val="00D0011E"/>
    <w:rsid w:val="00D024AC"/>
    <w:rsid w:val="00D03E8A"/>
    <w:rsid w:val="00D05668"/>
    <w:rsid w:val="00D136D7"/>
    <w:rsid w:val="00D20863"/>
    <w:rsid w:val="00D24416"/>
    <w:rsid w:val="00D258F6"/>
    <w:rsid w:val="00D27B7B"/>
    <w:rsid w:val="00D31DD9"/>
    <w:rsid w:val="00D31F68"/>
    <w:rsid w:val="00D42B0C"/>
    <w:rsid w:val="00D42EFE"/>
    <w:rsid w:val="00D44900"/>
    <w:rsid w:val="00D46E0C"/>
    <w:rsid w:val="00D47C24"/>
    <w:rsid w:val="00D52F1B"/>
    <w:rsid w:val="00D5531A"/>
    <w:rsid w:val="00D6636B"/>
    <w:rsid w:val="00D678F8"/>
    <w:rsid w:val="00D80630"/>
    <w:rsid w:val="00D916B7"/>
    <w:rsid w:val="00DB0C7B"/>
    <w:rsid w:val="00DB1DB4"/>
    <w:rsid w:val="00DB4FFA"/>
    <w:rsid w:val="00DD494D"/>
    <w:rsid w:val="00DD6A62"/>
    <w:rsid w:val="00DE6186"/>
    <w:rsid w:val="00DF58A3"/>
    <w:rsid w:val="00E0137B"/>
    <w:rsid w:val="00E01737"/>
    <w:rsid w:val="00E065DA"/>
    <w:rsid w:val="00E1017F"/>
    <w:rsid w:val="00E10EB9"/>
    <w:rsid w:val="00E155F4"/>
    <w:rsid w:val="00E17641"/>
    <w:rsid w:val="00E250DD"/>
    <w:rsid w:val="00E30A14"/>
    <w:rsid w:val="00E3164F"/>
    <w:rsid w:val="00E353EB"/>
    <w:rsid w:val="00E41224"/>
    <w:rsid w:val="00E437C5"/>
    <w:rsid w:val="00E5636C"/>
    <w:rsid w:val="00E61606"/>
    <w:rsid w:val="00E75DB0"/>
    <w:rsid w:val="00E80456"/>
    <w:rsid w:val="00E9390F"/>
    <w:rsid w:val="00E9494A"/>
    <w:rsid w:val="00E956F3"/>
    <w:rsid w:val="00EA35DA"/>
    <w:rsid w:val="00EB26AD"/>
    <w:rsid w:val="00EB2AB0"/>
    <w:rsid w:val="00EC2919"/>
    <w:rsid w:val="00EC7EFD"/>
    <w:rsid w:val="00ED36D8"/>
    <w:rsid w:val="00EE6086"/>
    <w:rsid w:val="00EF4071"/>
    <w:rsid w:val="00EF765F"/>
    <w:rsid w:val="00F028DE"/>
    <w:rsid w:val="00F0585C"/>
    <w:rsid w:val="00F107B7"/>
    <w:rsid w:val="00F11F57"/>
    <w:rsid w:val="00F14BA8"/>
    <w:rsid w:val="00F15EF8"/>
    <w:rsid w:val="00F1723B"/>
    <w:rsid w:val="00F17B00"/>
    <w:rsid w:val="00F25D44"/>
    <w:rsid w:val="00F36E53"/>
    <w:rsid w:val="00F4316C"/>
    <w:rsid w:val="00F44360"/>
    <w:rsid w:val="00F46176"/>
    <w:rsid w:val="00F5149E"/>
    <w:rsid w:val="00F546DD"/>
    <w:rsid w:val="00F56A74"/>
    <w:rsid w:val="00F57AD9"/>
    <w:rsid w:val="00F76EF6"/>
    <w:rsid w:val="00F832E5"/>
    <w:rsid w:val="00F870A3"/>
    <w:rsid w:val="00F91762"/>
    <w:rsid w:val="00F9405B"/>
    <w:rsid w:val="00FA0FE2"/>
    <w:rsid w:val="00FA34E8"/>
    <w:rsid w:val="00FA7D4E"/>
    <w:rsid w:val="00FD549D"/>
    <w:rsid w:val="00FD56D5"/>
    <w:rsid w:val="00FD6374"/>
    <w:rsid w:val="00FE4E87"/>
    <w:rsid w:val="00FE72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21C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link w:val="Heading7Char"/>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minorhead">
    <w:name w:val="minorhead"/>
    <w:rsid w:val="00D46E0C"/>
    <w:rPr>
      <w:rFonts w:ascii="Arial" w:hAnsi="Arial" w:cs="Arial"/>
      <w:b/>
      <w:bCs/>
      <w:sz w:val="24"/>
      <w:szCs w:val="24"/>
    </w:rPr>
  </w:style>
  <w:style w:type="paragraph" w:styleId="BodyTextIndent">
    <w:name w:val="Body Text Indent"/>
    <w:basedOn w:val="Normal"/>
    <w:link w:val="BodyTextIndentChar"/>
    <w:rsid w:val="009278FB"/>
    <w:pPr>
      <w:spacing w:after="120"/>
      <w:ind w:left="360"/>
    </w:pPr>
  </w:style>
  <w:style w:type="character" w:customStyle="1" w:styleId="BodyTextIndentChar">
    <w:name w:val="Body Text Indent Char"/>
    <w:link w:val="BodyTextIndent"/>
    <w:rsid w:val="009278FB"/>
    <w:rPr>
      <w:rFonts w:ascii="Courier" w:eastAsia="Times New Roman" w:hAnsi="Courier"/>
      <w:snapToGrid w:val="0"/>
      <w:sz w:val="24"/>
      <w:szCs w:val="24"/>
    </w:rPr>
  </w:style>
  <w:style w:type="character" w:customStyle="1" w:styleId="Heading7Char">
    <w:name w:val="Heading 7 Char"/>
    <w:link w:val="Heading7"/>
    <w:uiPriority w:val="99"/>
    <w:rsid w:val="00034D9F"/>
    <w:rPr>
      <w:rFonts w:eastAsia="Times New Roman"/>
      <w:b/>
      <w:bCs/>
      <w:snapToGrid w:val="0"/>
      <w:sz w:val="24"/>
      <w:szCs w:val="24"/>
      <w:u w:val="single"/>
    </w:rPr>
  </w:style>
  <w:style w:type="paragraph" w:styleId="Revision">
    <w:name w:val="Revision"/>
    <w:hidden/>
    <w:uiPriority w:val="99"/>
    <w:semiHidden/>
    <w:rsid w:val="008E1933"/>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stinMetcalfe@westat.com" TargetMode="External" /><Relationship Id="rId6" Type="http://schemas.openxmlformats.org/officeDocument/2006/relationships/hyperlink" Target="mailto:GaryBond@westat.com" TargetMode="External" /><Relationship Id="rId7" Type="http://schemas.openxmlformats.org/officeDocument/2006/relationships/hyperlink" Target="mailto:MonirahAl-Abdulmunem@westat.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4DDA-F332-4183-BA9D-3968D52E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2025-06-04T17:00:00Z</dcterms:created>
  <dcterms:modified xsi:type="dcterms:W3CDTF">2025-06-25T14:32:00Z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