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8028DD1" w14:textId="77777777">
      <w:pPr>
        <w:rPr>
          <w:b/>
        </w:rPr>
      </w:pPr>
    </w:p>
    <w:p w:rsidR="001960ED" w:rsidP="00D51337" w14:paraId="27456841" w14:textId="77777777">
      <w:pPr>
        <w:pStyle w:val="ReportCover-Title"/>
        <w:jc w:val="center"/>
        <w:rPr>
          <w:rFonts w:ascii="Arial" w:eastAsia="Arial Unicode MS" w:hAnsi="Arial" w:cs="Arial"/>
          <w:noProof/>
          <w:color w:val="auto"/>
        </w:rPr>
      </w:pPr>
    </w:p>
    <w:p w:rsidR="00D51337" w:rsidRPr="00B13297" w:rsidP="00946CEF" w14:paraId="0AD36610" w14:textId="5CAFBD7A">
      <w:pPr>
        <w:pStyle w:val="ReportCover-Title"/>
        <w:jc w:val="center"/>
        <w:rPr>
          <w:rFonts w:ascii="Arial" w:hAnsi="Arial" w:cs="Arial"/>
          <w:color w:val="auto"/>
        </w:rPr>
      </w:pPr>
      <w:r>
        <w:rPr>
          <w:rFonts w:ascii="Arial" w:eastAsia="Arial Unicode MS" w:hAnsi="Arial" w:cs="Arial"/>
          <w:noProof/>
          <w:color w:val="auto"/>
        </w:rPr>
        <w:t xml:space="preserve">Examining Equity of the </w:t>
      </w:r>
      <w:bookmarkStart w:id="0" w:name="_Hlk162514631"/>
      <w:r>
        <w:rPr>
          <w:rFonts w:ascii="Arial" w:eastAsia="Arial Unicode MS" w:hAnsi="Arial" w:cs="Arial"/>
          <w:noProof/>
          <w:color w:val="auto"/>
        </w:rPr>
        <w:t xml:space="preserve">Administration for Children and Families’ </w:t>
      </w:r>
      <w:bookmarkEnd w:id="0"/>
      <w:r>
        <w:rPr>
          <w:rFonts w:ascii="Arial" w:eastAsia="Arial Unicode MS" w:hAnsi="Arial" w:cs="Arial"/>
          <w:noProof/>
          <w:color w:val="auto"/>
        </w:rPr>
        <w:t xml:space="preserve">Healthy Marriage and Responsible Fatherhood (HMRF) Client Surveys </w:t>
      </w: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1960ED" w:rsidRPr="0023386D" w:rsidP="001960ED" w14:paraId="262DF74D" w14:textId="77777777">
      <w:pPr>
        <w:pStyle w:val="ReportCover-Title"/>
        <w:jc w:val="center"/>
        <w:rPr>
          <w:rFonts w:ascii="Arial" w:hAnsi="Arial" w:cs="Arial"/>
          <w:color w:val="auto"/>
          <w:sz w:val="44"/>
          <w:szCs w:val="44"/>
        </w:rPr>
      </w:pPr>
      <w:r w:rsidRPr="0023386D">
        <w:rPr>
          <w:rFonts w:ascii="Arial" w:hAnsi="Arial" w:cs="Arial"/>
          <w:color w:val="auto"/>
          <w:sz w:val="44"/>
          <w:szCs w:val="44"/>
        </w:rPr>
        <w:t>Administration for Children and Families Generic for Engagement Efforts</w:t>
      </w:r>
    </w:p>
    <w:p w:rsidR="001960ED" w:rsidRPr="008F570D" w:rsidP="001960ED" w14:paraId="4C7517EB" w14:textId="77777777">
      <w:pPr>
        <w:pStyle w:val="ReportCover-Title"/>
        <w:jc w:val="center"/>
        <w:rPr>
          <w:rFonts w:ascii="Arial" w:hAnsi="Arial" w:cs="Arial"/>
          <w:color w:val="auto"/>
          <w:sz w:val="32"/>
          <w:szCs w:val="32"/>
        </w:rPr>
      </w:pPr>
    </w:p>
    <w:p w:rsidR="001960ED" w:rsidRPr="0023386D" w:rsidP="001960ED" w14:paraId="43236F22" w14:textId="77777777">
      <w:pPr>
        <w:pStyle w:val="ReportCover-Title"/>
        <w:jc w:val="center"/>
        <w:rPr>
          <w:rFonts w:ascii="Arial" w:hAnsi="Arial" w:cs="Arial"/>
          <w:color w:val="auto"/>
          <w:sz w:val="36"/>
          <w:szCs w:val="36"/>
        </w:rPr>
      </w:pPr>
      <w:r w:rsidRPr="0023386D">
        <w:rPr>
          <w:rFonts w:ascii="Arial" w:hAnsi="Arial" w:cs="Arial"/>
          <w:color w:val="auto"/>
          <w:sz w:val="36"/>
          <w:szCs w:val="36"/>
        </w:rPr>
        <w:t>0970 – 0630</w:t>
      </w:r>
    </w:p>
    <w:p w:rsidR="001960ED" w:rsidRPr="002C4F75" w:rsidP="001960ED" w14:paraId="416B403F" w14:textId="77777777">
      <w:pPr>
        <w:rPr>
          <w:rFonts w:ascii="Arial" w:hAnsi="Arial" w:cs="Arial"/>
        </w:rPr>
      </w:pPr>
    </w:p>
    <w:p w:rsidR="001960ED" w:rsidRPr="002C4F75" w:rsidP="001960ED" w14:paraId="4A8C8302" w14:textId="77777777">
      <w:pPr>
        <w:pStyle w:val="ReportCover-Date"/>
        <w:jc w:val="center"/>
        <w:rPr>
          <w:rFonts w:ascii="Arial" w:hAnsi="Arial" w:cs="Arial"/>
          <w:color w:val="auto"/>
        </w:rPr>
      </w:pPr>
    </w:p>
    <w:p w:rsidR="00D51337" w:rsidRPr="001960ED" w:rsidP="001960ED" w14:paraId="329074F6" w14:textId="44C272E6">
      <w:pPr>
        <w:jc w:val="center"/>
        <w:rPr>
          <w:rFonts w:ascii="Arial" w:hAnsi="Arial" w:cs="Arial"/>
          <w:b/>
          <w:bCs/>
          <w:sz w:val="40"/>
          <w:szCs w:val="40"/>
        </w:rPr>
      </w:pPr>
      <w:r w:rsidRPr="001960ED">
        <w:rPr>
          <w:rFonts w:ascii="Arial" w:hAnsi="Arial" w:cs="Arial"/>
          <w:b/>
          <w:bCs/>
          <w:sz w:val="40"/>
          <w:szCs w:val="40"/>
        </w:rPr>
        <w:t>Supporting Statement Part</w:t>
      </w:r>
      <w:r w:rsidRPr="001960ED">
        <w:rPr>
          <w:rFonts w:ascii="Arial" w:hAnsi="Arial" w:cs="Arial"/>
          <w:b/>
          <w:bCs/>
          <w:sz w:val="40"/>
          <w:szCs w:val="40"/>
        </w:rPr>
        <w:t xml:space="preserve"> </w:t>
      </w:r>
      <w:r w:rsidRPr="001960ED" w:rsidR="00E80588">
        <w:rPr>
          <w:rFonts w:ascii="Arial" w:hAnsi="Arial" w:cs="Arial"/>
          <w:b/>
          <w:bCs/>
          <w:sz w:val="40"/>
          <w:szCs w:val="40"/>
        </w:rPr>
        <w:t>B</w:t>
      </w:r>
    </w:p>
    <w:p w:rsidR="001960ED" w:rsidRPr="001960ED" w:rsidP="001960ED" w14:paraId="5C3517CB" w14:textId="1E999034">
      <w:pPr>
        <w:spacing w:after="840" w:line="260" w:lineRule="exact"/>
        <w:jc w:val="center"/>
        <w:rPr>
          <w:rFonts w:ascii="Arial" w:eastAsia="Times New Roman" w:hAnsi="Arial" w:cs="Arial"/>
          <w:b/>
          <w:sz w:val="24"/>
          <w:szCs w:val="20"/>
        </w:rPr>
      </w:pPr>
      <w:r w:rsidRPr="0099466E">
        <w:rPr>
          <w:rFonts w:ascii="Arial" w:eastAsia="Times New Roman" w:hAnsi="Arial" w:cs="Arial"/>
          <w:b/>
          <w:sz w:val="24"/>
          <w:szCs w:val="20"/>
        </w:rPr>
        <w:t>August</w:t>
      </w:r>
      <w:r w:rsidRPr="0099466E">
        <w:rPr>
          <w:rFonts w:ascii="Arial" w:eastAsia="Times New Roman" w:hAnsi="Arial" w:cs="Arial"/>
          <w:b/>
          <w:sz w:val="24"/>
          <w:szCs w:val="20"/>
        </w:rPr>
        <w:t xml:space="preserve"> </w:t>
      </w:r>
      <w:r w:rsidRPr="0099466E" w:rsidR="00946CEF">
        <w:rPr>
          <w:rFonts w:ascii="Arial" w:eastAsia="Times New Roman" w:hAnsi="Arial" w:cs="Arial"/>
          <w:b/>
          <w:sz w:val="24"/>
          <w:szCs w:val="20"/>
        </w:rPr>
        <w:t>2024</w:t>
      </w:r>
    </w:p>
    <w:p w:rsidR="001960ED" w:rsidRPr="001960ED" w:rsidP="001960ED" w14:paraId="7BDEB988" w14:textId="77777777">
      <w:pPr>
        <w:spacing w:after="0" w:line="240" w:lineRule="auto"/>
        <w:jc w:val="center"/>
        <w:rPr>
          <w:rFonts w:ascii="Arial" w:eastAsia="Times New Roman" w:hAnsi="Arial" w:cs="Arial"/>
          <w:sz w:val="24"/>
          <w:szCs w:val="24"/>
        </w:rPr>
      </w:pPr>
    </w:p>
    <w:p w:rsidR="001960ED" w:rsidRPr="001960ED" w:rsidP="001960ED" w14:paraId="2A80A11A" w14:textId="77777777">
      <w:pPr>
        <w:spacing w:after="0" w:line="240" w:lineRule="auto"/>
        <w:jc w:val="center"/>
        <w:rPr>
          <w:rFonts w:ascii="Arial" w:eastAsia="Times New Roman" w:hAnsi="Arial" w:cs="Arial"/>
          <w:sz w:val="24"/>
          <w:szCs w:val="24"/>
        </w:rPr>
      </w:pPr>
      <w:r w:rsidRPr="001960ED">
        <w:rPr>
          <w:rFonts w:ascii="Arial" w:eastAsia="Times New Roman" w:hAnsi="Arial" w:cs="Arial"/>
          <w:sz w:val="24"/>
          <w:szCs w:val="24"/>
        </w:rPr>
        <w:t>Submitted By:</w:t>
      </w:r>
    </w:p>
    <w:p w:rsidR="00946CEF" w:rsidP="001960ED" w14:paraId="0B06AEC3" w14:textId="77777777">
      <w:pPr>
        <w:spacing w:after="0" w:line="240" w:lineRule="auto"/>
        <w:jc w:val="center"/>
        <w:rPr>
          <w:rFonts w:ascii="Arial" w:eastAsia="Times New Roman" w:hAnsi="Arial" w:cs="Arial"/>
          <w:sz w:val="24"/>
          <w:szCs w:val="24"/>
        </w:rPr>
      </w:pPr>
      <w:r w:rsidRPr="00946CEF">
        <w:rPr>
          <w:rFonts w:ascii="Arial" w:eastAsia="Times New Roman" w:hAnsi="Arial" w:cs="Arial"/>
          <w:sz w:val="24"/>
          <w:szCs w:val="24"/>
        </w:rPr>
        <w:t>Office of Planning, Research, and Evaluation</w:t>
      </w:r>
    </w:p>
    <w:p w:rsidR="001960ED" w:rsidRPr="001960ED" w:rsidP="001960ED" w14:paraId="5CE4C1EC" w14:textId="409764E6">
      <w:pPr>
        <w:spacing w:after="0" w:line="240" w:lineRule="auto"/>
        <w:jc w:val="center"/>
        <w:rPr>
          <w:rFonts w:ascii="Arial" w:eastAsia="Times New Roman" w:hAnsi="Arial" w:cs="Arial"/>
          <w:sz w:val="24"/>
          <w:szCs w:val="24"/>
        </w:rPr>
      </w:pPr>
      <w:r w:rsidRPr="001960ED">
        <w:rPr>
          <w:rFonts w:ascii="Arial" w:eastAsia="Times New Roman" w:hAnsi="Arial" w:cs="Arial"/>
          <w:sz w:val="24"/>
          <w:szCs w:val="24"/>
        </w:rPr>
        <w:t xml:space="preserve">Administration for Children and Families </w:t>
      </w:r>
    </w:p>
    <w:p w:rsidR="001960ED" w:rsidRPr="001960ED" w:rsidP="001960ED" w14:paraId="4EF052ED" w14:textId="77777777">
      <w:pPr>
        <w:spacing w:after="0" w:line="240" w:lineRule="auto"/>
        <w:jc w:val="center"/>
        <w:rPr>
          <w:rFonts w:ascii="Arial" w:eastAsia="Times New Roman" w:hAnsi="Arial" w:cs="Arial"/>
          <w:sz w:val="24"/>
          <w:szCs w:val="24"/>
        </w:rPr>
      </w:pPr>
      <w:r w:rsidRPr="001960ED">
        <w:rPr>
          <w:rFonts w:ascii="Arial" w:eastAsia="Times New Roman" w:hAnsi="Arial" w:cs="Arial"/>
          <w:sz w:val="24"/>
          <w:szCs w:val="24"/>
        </w:rPr>
        <w:t>U.S. Department of Health and Human Services</w:t>
      </w:r>
    </w:p>
    <w:p w:rsidR="001960ED" w:rsidRPr="001960ED" w:rsidP="001960ED" w14:paraId="74AA1FEB" w14:textId="77777777">
      <w:pPr>
        <w:spacing w:after="0" w:line="240" w:lineRule="auto"/>
        <w:jc w:val="center"/>
        <w:rPr>
          <w:rFonts w:ascii="Arial" w:eastAsia="Times New Roman" w:hAnsi="Arial" w:cs="Arial"/>
          <w:sz w:val="24"/>
          <w:szCs w:val="24"/>
        </w:rPr>
      </w:pPr>
    </w:p>
    <w:p w:rsidR="001960ED" w:rsidRPr="001960ED" w:rsidP="001960ED" w14:paraId="3D9761B3" w14:textId="77777777">
      <w:pPr>
        <w:spacing w:after="0" w:line="240" w:lineRule="auto"/>
        <w:jc w:val="center"/>
        <w:rPr>
          <w:rFonts w:ascii="Arial" w:eastAsia="Times New Roman" w:hAnsi="Arial" w:cs="Arial"/>
          <w:sz w:val="24"/>
          <w:szCs w:val="24"/>
        </w:rPr>
      </w:pPr>
      <w:r w:rsidRPr="001960ED">
        <w:rPr>
          <w:rFonts w:ascii="Arial" w:eastAsia="Times New Roman" w:hAnsi="Arial" w:cs="Arial"/>
          <w:sz w:val="24"/>
          <w:szCs w:val="24"/>
        </w:rPr>
        <w:t>4</w:t>
      </w:r>
      <w:r w:rsidRPr="001960ED">
        <w:rPr>
          <w:rFonts w:ascii="Arial" w:eastAsia="Times New Roman" w:hAnsi="Arial" w:cs="Arial"/>
          <w:sz w:val="24"/>
          <w:szCs w:val="24"/>
          <w:vertAlign w:val="superscript"/>
        </w:rPr>
        <w:t>th</w:t>
      </w:r>
      <w:r w:rsidRPr="001960ED">
        <w:rPr>
          <w:rFonts w:ascii="Arial" w:eastAsia="Times New Roman" w:hAnsi="Arial" w:cs="Arial"/>
          <w:sz w:val="24"/>
          <w:szCs w:val="24"/>
        </w:rPr>
        <w:t xml:space="preserve"> Floor, Mary E. Switzer Building</w:t>
      </w:r>
    </w:p>
    <w:p w:rsidR="001960ED" w:rsidRPr="001960ED" w:rsidP="001960ED" w14:paraId="738BD615" w14:textId="77777777">
      <w:pPr>
        <w:spacing w:after="0" w:line="240" w:lineRule="auto"/>
        <w:jc w:val="center"/>
        <w:rPr>
          <w:rFonts w:ascii="Arial" w:eastAsia="Times New Roman" w:hAnsi="Arial" w:cs="Arial"/>
          <w:sz w:val="24"/>
          <w:szCs w:val="24"/>
        </w:rPr>
      </w:pPr>
      <w:r w:rsidRPr="001960ED">
        <w:rPr>
          <w:rFonts w:ascii="Arial" w:eastAsia="Times New Roman" w:hAnsi="Arial" w:cs="Arial"/>
          <w:sz w:val="24"/>
          <w:szCs w:val="24"/>
        </w:rPr>
        <w:t>330 C Street, SW</w:t>
      </w:r>
    </w:p>
    <w:p w:rsidR="001960ED" w:rsidRPr="001960ED" w:rsidP="001960ED" w14:paraId="56A0DD76" w14:textId="77777777">
      <w:pPr>
        <w:spacing w:after="0" w:line="240" w:lineRule="auto"/>
        <w:jc w:val="center"/>
        <w:rPr>
          <w:rFonts w:ascii="Arial" w:eastAsia="Times New Roman" w:hAnsi="Arial" w:cs="Arial"/>
          <w:sz w:val="24"/>
          <w:szCs w:val="24"/>
        </w:rPr>
      </w:pPr>
      <w:r w:rsidRPr="001960ED">
        <w:rPr>
          <w:rFonts w:ascii="Arial" w:eastAsia="Times New Roman" w:hAnsi="Arial" w:cs="Arial"/>
          <w:sz w:val="24"/>
          <w:szCs w:val="24"/>
        </w:rPr>
        <w:t>Washington, D.C. 20201</w:t>
      </w:r>
    </w:p>
    <w:p w:rsidR="001960ED" w:rsidRPr="001960ED" w:rsidP="001960ED" w14:paraId="745CDF31" w14:textId="77777777">
      <w:pPr>
        <w:spacing w:after="0" w:line="240" w:lineRule="auto"/>
        <w:jc w:val="center"/>
        <w:rPr>
          <w:rFonts w:ascii="Arial" w:eastAsia="Times New Roman" w:hAnsi="Arial" w:cs="Arial"/>
          <w:sz w:val="24"/>
          <w:szCs w:val="24"/>
        </w:rPr>
      </w:pPr>
    </w:p>
    <w:p w:rsidR="001960ED" w:rsidRPr="001960ED" w:rsidP="001960ED" w14:paraId="29EB4726" w14:textId="77777777">
      <w:pPr>
        <w:spacing w:after="120" w:line="240" w:lineRule="auto"/>
        <w:rPr>
          <w:rFonts w:ascii="Times New Roman" w:eastAsia="Times New Roman" w:hAnsi="Times New Roman" w:cs="Times New Roman"/>
          <w:b/>
          <w:sz w:val="24"/>
          <w:szCs w:val="24"/>
        </w:rPr>
      </w:pPr>
    </w:p>
    <w:p w:rsidR="00D51337" w:rsidP="00D51337" w14:paraId="27872D1C" w14:textId="77777777">
      <w:pPr>
        <w:spacing w:after="0" w:line="240" w:lineRule="auto"/>
        <w:jc w:val="center"/>
        <w:rPr>
          <w:b/>
        </w:rPr>
      </w:pPr>
    </w:p>
    <w:p w:rsidR="001253F4" w:rsidRPr="00624DDC" w:rsidP="00624DDC" w14:paraId="71A43DA4" w14:textId="58A082C9">
      <w:pPr>
        <w:jc w:val="center"/>
        <w:rPr>
          <w:b/>
          <w:sz w:val="32"/>
          <w:szCs w:val="32"/>
        </w:rPr>
      </w:pPr>
      <w:r>
        <w:br w:type="page"/>
      </w:r>
    </w:p>
    <w:p w:rsidR="00EE38AF" w:rsidRPr="002E2E7A" w:rsidP="002E2E7A" w14:paraId="66C05F3B" w14:textId="6BFDD150">
      <w:pPr>
        <w:spacing w:after="120" w:line="240" w:lineRule="auto"/>
        <w:rPr>
          <w:rFonts w:cstheme="minorHAnsi"/>
          <w:b/>
        </w:rPr>
      </w:pPr>
      <w:r w:rsidRPr="002E2E7A">
        <w:rPr>
          <w:rFonts w:cstheme="minorHAnsi"/>
          <w:b/>
        </w:rPr>
        <w:t>Overview of Study Objectives</w:t>
      </w:r>
    </w:p>
    <w:p w:rsidR="001F3C6E" w:rsidP="00946CEF" w14:paraId="2CFB5079" w14:textId="01D9BCBF">
      <w:pPr>
        <w:spacing w:after="0" w:line="240" w:lineRule="auto"/>
      </w:pPr>
      <w:r>
        <w:t xml:space="preserve">This study will examine how </w:t>
      </w:r>
      <w:r>
        <w:t>clients who participated in Healthy Marriage (HM) and Responsible Fatherhood (RF) programs</w:t>
      </w:r>
      <w:r>
        <w:t xml:space="preserve"> perceive questions on existing client surveys </w:t>
      </w:r>
      <w:r>
        <w:t>that the Administration for Children and Families (ACF) uses to assess program performance</w:t>
      </w:r>
      <w:r>
        <w:t xml:space="preserve">. </w:t>
      </w:r>
      <w:r>
        <w:rPr>
          <w:rFonts w:cstheme="minorHAnsi"/>
        </w:rPr>
        <w:t xml:space="preserve">This information collection will use an equity lens to examine </w:t>
      </w:r>
      <w:r w:rsidRPr="00837A99">
        <w:rPr>
          <w:rFonts w:cstheme="minorHAnsi"/>
        </w:rPr>
        <w:t xml:space="preserve">the questions in the client surveys (that is, the </w:t>
      </w:r>
      <w:r>
        <w:rPr>
          <w:rFonts w:cstheme="minorHAnsi"/>
        </w:rPr>
        <w:t xml:space="preserve">applicant characteristics, </w:t>
      </w:r>
      <w:r w:rsidRPr="00837A99">
        <w:rPr>
          <w:rFonts w:cstheme="minorHAnsi"/>
        </w:rPr>
        <w:t>entrance</w:t>
      </w:r>
      <w:r>
        <w:rPr>
          <w:rFonts w:cstheme="minorHAnsi"/>
        </w:rPr>
        <w:t>,</w:t>
      </w:r>
      <w:r w:rsidRPr="00837A99">
        <w:rPr>
          <w:rFonts w:cstheme="minorHAnsi"/>
        </w:rPr>
        <w:t xml:space="preserve"> and exit surveys)</w:t>
      </w:r>
      <w:r>
        <w:rPr>
          <w:rFonts w:cstheme="minorHAnsi"/>
        </w:rPr>
        <w:t xml:space="preserve"> for three types of HMRF grant recipients: HM programs for youth, HM programs for adults, and RF programs. </w:t>
      </w:r>
      <w:r>
        <w:t xml:space="preserve">In particular, the study is exploring whether the survey questions are fair and the extent to which survey questions respectfully represent a variety of cultural values, beliefs, and judgments. </w:t>
      </w:r>
    </w:p>
    <w:p w:rsidR="001F3C6E" w:rsidP="00946CEF" w14:paraId="1716A50E" w14:textId="77777777">
      <w:pPr>
        <w:spacing w:after="0" w:line="240" w:lineRule="auto"/>
      </w:pPr>
    </w:p>
    <w:p w:rsidR="00946CEF" w:rsidP="00946CEF" w14:paraId="60F62247" w14:textId="197078BF">
      <w:pPr>
        <w:spacing w:after="0" w:line="240" w:lineRule="auto"/>
      </w:pPr>
      <w:r>
        <w:rPr>
          <w:rFonts w:cstheme="minorHAnsi"/>
        </w:rPr>
        <w:t>This work will be conducted by staff from Mathematica, the contractor to ACF for the Building Usage, Improvement, and Learning with Data in HMRF Programs (BUILD-HMRF) project. The Mathematica study team will conduct focus groups and</w:t>
      </w:r>
      <w:r w:rsidR="00BA2212">
        <w:rPr>
          <w:rFonts w:cstheme="minorHAnsi"/>
        </w:rPr>
        <w:t>, if necessary,</w:t>
      </w:r>
      <w:r>
        <w:rPr>
          <w:rFonts w:cstheme="minorHAnsi"/>
        </w:rPr>
        <w:t xml:space="preserve"> interviews with clients of different races and ethnicities who participated in ACF-funded HMRF services during the current grant recipient cohort (2020-2025). </w:t>
      </w:r>
      <w:r>
        <w:t>ACF will use findings from the focus groups and interviews to inform revision of the surveys for the potential next cohort of grant recipients.</w:t>
      </w:r>
    </w:p>
    <w:p w:rsidR="00861A1F" w:rsidRPr="002E2E7A" w:rsidP="008369BA" w14:paraId="4D889052" w14:textId="77777777">
      <w:pPr>
        <w:spacing w:after="0" w:line="240" w:lineRule="auto"/>
        <w:rPr>
          <w:rFonts w:cstheme="minorHAnsi"/>
          <w:b/>
        </w:rPr>
      </w:pPr>
    </w:p>
    <w:p w:rsidR="0072072F" w:rsidRPr="002E2E7A" w:rsidP="00BB2B33" w14:paraId="23F27413" w14:textId="588A748D">
      <w:pPr>
        <w:pStyle w:val="ListParagraph"/>
        <w:numPr>
          <w:ilvl w:val="0"/>
          <w:numId w:val="31"/>
        </w:numPr>
        <w:spacing w:after="120" w:line="240" w:lineRule="auto"/>
        <w:ind w:left="360"/>
        <w:rPr>
          <w:rFonts w:cstheme="minorHAnsi"/>
        </w:rPr>
      </w:pPr>
      <w:r w:rsidRPr="002E2E7A">
        <w:rPr>
          <w:rFonts w:cstheme="minorHAnsi"/>
          <w:b/>
        </w:rPr>
        <w:t>Respondent Universe and Sampling Methods</w:t>
      </w:r>
    </w:p>
    <w:p w:rsidR="00BB2B33" w:rsidP="002D6BDA" w14:paraId="2A14AC92" w14:textId="494EC642">
      <w:pPr>
        <w:autoSpaceDE w:val="0"/>
        <w:autoSpaceDN w:val="0"/>
        <w:adjustRightInd w:val="0"/>
        <w:spacing w:after="60" w:line="240" w:lineRule="atLeast"/>
        <w:contextualSpacing/>
        <w:rPr>
          <w:rFonts w:eastAsia="Times New Roman" w:cstheme="minorHAnsi"/>
          <w:i/>
          <w:color w:val="000000"/>
        </w:rPr>
      </w:pPr>
      <w:r w:rsidRPr="002E2E7A">
        <w:rPr>
          <w:rFonts w:eastAsia="Times New Roman" w:cstheme="minorHAnsi"/>
          <w:i/>
          <w:color w:val="000000"/>
        </w:rPr>
        <w:t>Target Population</w:t>
      </w:r>
    </w:p>
    <w:p w:rsidR="00937DDE" w:rsidP="002D6BDA" w14:paraId="4139A89C" w14:textId="250705EF">
      <w:pPr>
        <w:autoSpaceDE w:val="0"/>
        <w:autoSpaceDN w:val="0"/>
        <w:adjustRightInd w:val="0"/>
        <w:spacing w:after="0" w:line="240" w:lineRule="atLeast"/>
        <w:contextualSpacing/>
        <w:rPr>
          <w:rFonts w:eastAsia="Times New Roman" w:cstheme="minorHAnsi"/>
        </w:rPr>
      </w:pPr>
      <w:r>
        <w:rPr>
          <w:rFonts w:eastAsia="Times New Roman" w:cstheme="minorHAnsi"/>
          <w:color w:val="000000"/>
        </w:rPr>
        <w:t xml:space="preserve">The respondent universe </w:t>
      </w:r>
      <w:r w:rsidR="00CE7DF3">
        <w:rPr>
          <w:rFonts w:eastAsia="Times New Roman" w:cstheme="minorHAnsi"/>
          <w:color w:val="000000"/>
        </w:rPr>
        <w:t>is</w:t>
      </w:r>
      <w:r>
        <w:rPr>
          <w:rFonts w:eastAsia="Times New Roman" w:cstheme="minorHAnsi"/>
          <w:color w:val="000000"/>
        </w:rPr>
        <w:t xml:space="preserve"> clients who have completed HMRF programs that ACF has</w:t>
      </w:r>
      <w:r w:rsidR="001734A5">
        <w:rPr>
          <w:rFonts w:eastAsia="Times New Roman" w:cstheme="minorHAnsi"/>
          <w:color w:val="000000"/>
        </w:rPr>
        <w:t xml:space="preserve"> f</w:t>
      </w:r>
      <w:r>
        <w:rPr>
          <w:rFonts w:eastAsia="Times New Roman" w:cstheme="minorHAnsi"/>
        </w:rPr>
        <w:t xml:space="preserve">unded in the 2020 – 2025 cohort. </w:t>
      </w:r>
      <w:r w:rsidR="00CE7DF3">
        <w:rPr>
          <w:rFonts w:eastAsia="Times New Roman" w:cstheme="minorHAnsi"/>
        </w:rPr>
        <w:t>T</w:t>
      </w:r>
      <w:r w:rsidR="00AC1D8F">
        <w:rPr>
          <w:rFonts w:eastAsia="Times New Roman" w:cstheme="minorHAnsi"/>
        </w:rPr>
        <w:t>o avoid influencing the clients’ responses to the exit survey, t</w:t>
      </w:r>
      <w:r w:rsidR="00CE7DF3">
        <w:rPr>
          <w:rFonts w:eastAsia="Times New Roman" w:cstheme="minorHAnsi"/>
        </w:rPr>
        <w:t>he universe is limited to clients who have completed the workshops</w:t>
      </w:r>
      <w:r w:rsidR="00396799">
        <w:rPr>
          <w:rFonts w:eastAsia="Times New Roman" w:cstheme="minorHAnsi"/>
        </w:rPr>
        <w:t xml:space="preserve"> and either completed the exit survey or </w:t>
      </w:r>
      <w:r w:rsidR="00EC1A82">
        <w:rPr>
          <w:rFonts w:eastAsia="Times New Roman" w:cstheme="minorHAnsi"/>
        </w:rPr>
        <w:t xml:space="preserve">declined </w:t>
      </w:r>
      <w:r w:rsidR="00396799">
        <w:rPr>
          <w:rFonts w:eastAsia="Times New Roman" w:cstheme="minorHAnsi"/>
        </w:rPr>
        <w:t>to take it</w:t>
      </w:r>
      <w:r w:rsidR="001734A5">
        <w:rPr>
          <w:rFonts w:eastAsia="Times New Roman" w:cstheme="minorHAnsi"/>
        </w:rPr>
        <w:t>. C</w:t>
      </w:r>
      <w:r w:rsidR="00CE7DF3">
        <w:rPr>
          <w:rFonts w:eastAsia="Times New Roman" w:cstheme="minorHAnsi"/>
        </w:rPr>
        <w:t xml:space="preserve">lients complete their last </w:t>
      </w:r>
      <w:r w:rsidR="001734A5">
        <w:rPr>
          <w:rFonts w:eastAsia="Times New Roman" w:cstheme="minorHAnsi"/>
        </w:rPr>
        <w:t xml:space="preserve">(exit) </w:t>
      </w:r>
      <w:r w:rsidR="00CE7DF3">
        <w:rPr>
          <w:rFonts w:eastAsia="Times New Roman" w:cstheme="minorHAnsi"/>
        </w:rPr>
        <w:t xml:space="preserve">survey at </w:t>
      </w:r>
      <w:r w:rsidR="001734A5">
        <w:rPr>
          <w:rFonts w:eastAsia="Times New Roman" w:cstheme="minorHAnsi"/>
        </w:rPr>
        <w:t xml:space="preserve">the end of </w:t>
      </w:r>
      <w:r w:rsidR="00B006D9">
        <w:rPr>
          <w:rFonts w:eastAsia="Times New Roman" w:cstheme="minorHAnsi"/>
        </w:rPr>
        <w:t xml:space="preserve">the </w:t>
      </w:r>
      <w:r w:rsidR="001734A5">
        <w:rPr>
          <w:rFonts w:eastAsia="Times New Roman" w:cstheme="minorHAnsi"/>
        </w:rPr>
        <w:t>workshop</w:t>
      </w:r>
      <w:r w:rsidR="009104DD">
        <w:rPr>
          <w:rFonts w:eastAsia="Times New Roman" w:cstheme="minorHAnsi"/>
        </w:rPr>
        <w:t xml:space="preserve">, and </w:t>
      </w:r>
      <w:r w:rsidR="00CE7DF3">
        <w:rPr>
          <w:rFonts w:eastAsia="Times New Roman" w:cstheme="minorHAnsi"/>
        </w:rPr>
        <w:t xml:space="preserve">ACF and grant recipients use client </w:t>
      </w:r>
      <w:r w:rsidR="001734A5">
        <w:rPr>
          <w:rFonts w:eastAsia="Times New Roman" w:cstheme="minorHAnsi"/>
        </w:rPr>
        <w:t>entrance and exit surveys</w:t>
      </w:r>
      <w:r w:rsidR="00CE7DF3">
        <w:rPr>
          <w:rFonts w:eastAsia="Times New Roman" w:cstheme="minorHAnsi"/>
        </w:rPr>
        <w:t xml:space="preserve"> to measure change over time. </w:t>
      </w:r>
      <w:r w:rsidR="001734A5">
        <w:rPr>
          <w:rFonts w:eastAsia="Times New Roman" w:cstheme="minorHAnsi"/>
        </w:rPr>
        <w:t>Participating in a</w:t>
      </w:r>
      <w:r w:rsidR="00CE7DF3">
        <w:rPr>
          <w:rFonts w:eastAsia="Times New Roman" w:cstheme="minorHAnsi"/>
        </w:rPr>
        <w:t xml:space="preserve"> focus group or interview </w:t>
      </w:r>
      <w:r w:rsidR="001734A5">
        <w:rPr>
          <w:rFonts w:eastAsia="Times New Roman" w:cstheme="minorHAnsi"/>
        </w:rPr>
        <w:t xml:space="preserve">about the survey questions </w:t>
      </w:r>
      <w:r w:rsidR="009104DD">
        <w:rPr>
          <w:rFonts w:eastAsia="Times New Roman" w:cstheme="minorHAnsi"/>
        </w:rPr>
        <w:t xml:space="preserve">before completing the exit survey </w:t>
      </w:r>
      <w:r w:rsidR="00CE7DF3">
        <w:rPr>
          <w:rFonts w:eastAsia="Times New Roman" w:cstheme="minorHAnsi"/>
        </w:rPr>
        <w:t>could</w:t>
      </w:r>
      <w:r w:rsidR="009104DD">
        <w:rPr>
          <w:rFonts w:eastAsia="Times New Roman" w:cstheme="minorHAnsi"/>
        </w:rPr>
        <w:t xml:space="preserve"> lead to clients answering the exit survey questions differently, thereby impacting </w:t>
      </w:r>
      <w:r w:rsidR="002A75FF">
        <w:rPr>
          <w:rFonts w:eastAsia="Times New Roman" w:cstheme="minorHAnsi"/>
        </w:rPr>
        <w:t xml:space="preserve">program monitoring and </w:t>
      </w:r>
      <w:r w:rsidR="009104DD">
        <w:rPr>
          <w:rFonts w:eastAsia="Times New Roman" w:cstheme="minorHAnsi"/>
        </w:rPr>
        <w:t xml:space="preserve">the </w:t>
      </w:r>
      <w:r w:rsidR="00CE7DF3">
        <w:rPr>
          <w:rFonts w:eastAsia="Times New Roman" w:cstheme="minorHAnsi"/>
        </w:rPr>
        <w:t>pre-post analysis</w:t>
      </w:r>
      <w:r w:rsidR="009104DD">
        <w:rPr>
          <w:rFonts w:eastAsia="Times New Roman" w:cstheme="minorHAnsi"/>
        </w:rPr>
        <w:t xml:space="preserve"> conducted by ACF and grant recipients</w:t>
      </w:r>
      <w:r w:rsidR="00CE7DF3">
        <w:rPr>
          <w:rFonts w:eastAsia="Times New Roman" w:cstheme="minorHAnsi"/>
        </w:rPr>
        <w:t xml:space="preserve">. </w:t>
      </w:r>
    </w:p>
    <w:p w:rsidR="001734A5" w:rsidP="00AE2074" w14:paraId="7AC7CACA" w14:textId="77777777">
      <w:pPr>
        <w:autoSpaceDE w:val="0"/>
        <w:autoSpaceDN w:val="0"/>
        <w:adjustRightInd w:val="0"/>
        <w:spacing w:before="240" w:after="0" w:line="240" w:lineRule="atLeast"/>
        <w:contextualSpacing/>
        <w:rPr>
          <w:rFonts w:eastAsia="Times New Roman" w:cstheme="minorHAnsi"/>
        </w:rPr>
      </w:pPr>
    </w:p>
    <w:p w:rsidR="001734A5" w:rsidP="009719D4" w14:paraId="03A5D0D5" w14:textId="1EC82DF4">
      <w:pPr>
        <w:autoSpaceDE w:val="0"/>
        <w:autoSpaceDN w:val="0"/>
        <w:adjustRightInd w:val="0"/>
        <w:spacing w:after="120" w:line="240" w:lineRule="atLeast"/>
        <w:contextualSpacing/>
        <w:rPr>
          <w:rFonts w:eastAsia="Times New Roman" w:cstheme="minorHAnsi"/>
          <w:color w:val="000000"/>
        </w:rPr>
      </w:pPr>
      <w:r>
        <w:rPr>
          <w:rFonts w:eastAsia="Times New Roman" w:cstheme="minorHAnsi"/>
        </w:rPr>
        <w:t>The study will focus</w:t>
      </w:r>
      <w:r>
        <w:rPr>
          <w:rFonts w:eastAsia="Times New Roman" w:cstheme="minorHAnsi"/>
        </w:rPr>
        <w:t xml:space="preserve"> on client</w:t>
      </w:r>
      <w:r w:rsidR="00E52CBF">
        <w:rPr>
          <w:rFonts w:eastAsia="Times New Roman" w:cstheme="minorHAnsi"/>
        </w:rPr>
        <w:t>s in the following HMRF populations:</w:t>
      </w:r>
    </w:p>
    <w:p w:rsidR="00937DDE" w:rsidP="00E52CBF" w14:paraId="7AE29BD3" w14:textId="1D0B3D1C">
      <w:pPr>
        <w:pStyle w:val="ListParagraph"/>
        <w:numPr>
          <w:ilvl w:val="3"/>
          <w:numId w:val="37"/>
        </w:numPr>
        <w:autoSpaceDE w:val="0"/>
        <w:autoSpaceDN w:val="0"/>
        <w:adjustRightInd w:val="0"/>
        <w:spacing w:after="0" w:line="240" w:lineRule="atLeast"/>
        <w:ind w:left="720"/>
      </w:pPr>
      <w:r>
        <w:t xml:space="preserve">HM youth: </w:t>
      </w:r>
      <w:r w:rsidR="00E52CBF">
        <w:t>Y</w:t>
      </w:r>
      <w:r>
        <w:t xml:space="preserve">outh ages 13 to 24 </w:t>
      </w:r>
    </w:p>
    <w:p w:rsidR="00937DDE" w:rsidP="00937DDE" w14:paraId="6280F007" w14:textId="09FAA0F2">
      <w:pPr>
        <w:pStyle w:val="ListBullet"/>
        <w:numPr>
          <w:ilvl w:val="0"/>
          <w:numId w:val="37"/>
        </w:numPr>
        <w:spacing w:line="240" w:lineRule="auto"/>
      </w:pPr>
      <w:r>
        <w:t xml:space="preserve">HM adults: Adult men and women aged 18 and </w:t>
      </w:r>
      <w:r>
        <w:t>older</w:t>
      </w:r>
    </w:p>
    <w:p w:rsidR="00861A1F" w:rsidRPr="00E52CBF" w:rsidP="00E52CBF" w14:paraId="58244317" w14:textId="5F22C236">
      <w:pPr>
        <w:pStyle w:val="ListBullet"/>
        <w:numPr>
          <w:ilvl w:val="0"/>
          <w:numId w:val="37"/>
        </w:numPr>
        <w:spacing w:line="240" w:lineRule="auto"/>
      </w:pPr>
      <w:r>
        <w:t xml:space="preserve">RF </w:t>
      </w:r>
      <w:r w:rsidR="00BB2B33">
        <w:t xml:space="preserve">community </w:t>
      </w:r>
      <w:r>
        <w:t xml:space="preserve">fathers: Adult men aged 18 and older </w:t>
      </w:r>
      <w:r w:rsidR="00E52CBF">
        <w:t>who are a father or father figure</w:t>
      </w:r>
      <w:r w:rsidR="00BB2B33">
        <w:t xml:space="preserve"> and live in the community</w:t>
      </w:r>
      <w:r w:rsidR="00E52CBF">
        <w:t>.</w:t>
      </w:r>
    </w:p>
    <w:p w:rsidR="00B33621" w:rsidRPr="00BB2B33" w:rsidP="009719D4" w14:paraId="19FAA598" w14:textId="345B88F6">
      <w:pPr>
        <w:autoSpaceDE w:val="0"/>
        <w:autoSpaceDN w:val="0"/>
        <w:adjustRightInd w:val="0"/>
        <w:spacing w:after="60" w:line="240" w:lineRule="atLeast"/>
        <w:contextualSpacing/>
        <w:rPr>
          <w:rFonts w:eastAsia="Times New Roman" w:cstheme="minorHAnsi"/>
          <w:i/>
          <w:color w:val="000000"/>
        </w:rPr>
      </w:pPr>
      <w:r w:rsidRPr="002E2E7A">
        <w:rPr>
          <w:rFonts w:eastAsia="Times New Roman" w:cstheme="minorHAnsi"/>
          <w:i/>
          <w:color w:val="000000"/>
        </w:rPr>
        <w:t>Sampling and Site Selection</w:t>
      </w:r>
    </w:p>
    <w:p w:rsidR="00B13F87" w:rsidP="00B13F87" w14:paraId="27C4AFCB" w14:textId="704F8768">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The study will </w:t>
      </w:r>
      <w:r w:rsidR="00BB2B33">
        <w:rPr>
          <w:rFonts w:eastAsia="Times New Roman" w:cstheme="minorHAnsi"/>
          <w:color w:val="000000"/>
        </w:rPr>
        <w:t>use</w:t>
      </w:r>
      <w:r w:rsidR="001754C8">
        <w:rPr>
          <w:rFonts w:eastAsia="Times New Roman" w:cstheme="minorHAnsi"/>
          <w:color w:val="000000"/>
        </w:rPr>
        <w:t xml:space="preserve"> a convenience sample. </w:t>
      </w:r>
      <w:r w:rsidR="0009316C">
        <w:rPr>
          <w:rFonts w:eastAsia="Times New Roman" w:cstheme="minorHAnsi"/>
          <w:color w:val="000000"/>
        </w:rPr>
        <w:t xml:space="preserve">In the first stage, the </w:t>
      </w:r>
      <w:r w:rsidR="00D932A2">
        <w:rPr>
          <w:rFonts w:eastAsia="Times New Roman" w:cstheme="minorHAnsi"/>
          <w:color w:val="000000"/>
        </w:rPr>
        <w:t>Mathematica study team</w:t>
      </w:r>
      <w:r w:rsidR="0009316C">
        <w:rPr>
          <w:rFonts w:eastAsia="Times New Roman" w:cstheme="minorHAnsi"/>
          <w:color w:val="000000"/>
        </w:rPr>
        <w:t>, with ACF’s approval,</w:t>
      </w:r>
      <w:r w:rsidR="00D932A2">
        <w:rPr>
          <w:rFonts w:eastAsia="Times New Roman" w:cstheme="minorHAnsi"/>
          <w:color w:val="000000"/>
        </w:rPr>
        <w:t xml:space="preserve"> will reach out to selected grant recipients</w:t>
      </w:r>
      <w:r w:rsidR="00BB2B33">
        <w:rPr>
          <w:rFonts w:eastAsia="Times New Roman" w:cstheme="minorHAnsi"/>
          <w:color w:val="000000"/>
        </w:rPr>
        <w:t xml:space="preserve">. Selected </w:t>
      </w:r>
      <w:r w:rsidR="0009316C">
        <w:rPr>
          <w:rFonts w:eastAsia="Times New Roman" w:cstheme="minorHAnsi"/>
          <w:color w:val="000000"/>
        </w:rPr>
        <w:t xml:space="preserve">grant recipients will </w:t>
      </w:r>
      <w:r w:rsidR="00D932A2">
        <w:rPr>
          <w:rFonts w:eastAsia="Times New Roman" w:cstheme="minorHAnsi"/>
          <w:color w:val="000000"/>
        </w:rPr>
        <w:t>serve clients of different races and ethnicities</w:t>
      </w:r>
      <w:r w:rsidR="0009316C">
        <w:rPr>
          <w:rFonts w:eastAsia="Times New Roman" w:cstheme="minorHAnsi"/>
          <w:color w:val="000000"/>
        </w:rPr>
        <w:t xml:space="preserve"> and </w:t>
      </w:r>
      <w:r w:rsidR="00D932A2">
        <w:rPr>
          <w:rFonts w:eastAsia="Times New Roman" w:cstheme="minorHAnsi"/>
          <w:color w:val="000000"/>
        </w:rPr>
        <w:t>have</w:t>
      </w:r>
      <w:r w:rsidR="00BB2B33">
        <w:rPr>
          <w:rFonts w:eastAsia="Times New Roman" w:cstheme="minorHAnsi"/>
          <w:color w:val="000000"/>
        </w:rPr>
        <w:t xml:space="preserve"> a</w:t>
      </w:r>
      <w:r w:rsidR="00D932A2">
        <w:rPr>
          <w:rFonts w:eastAsia="Times New Roman" w:cstheme="minorHAnsi"/>
          <w:color w:val="000000"/>
        </w:rPr>
        <w:t xml:space="preserve"> workshop that will end within the data collection window. If more grant recipients are interested than are needed, ACF and Mathematica will select grant recipients to maximize the racial and ethnic diversity of the sample (based on who the grant recipients serve). </w:t>
      </w:r>
      <w:bookmarkStart w:id="1" w:name="_Hlk172554248"/>
      <w:r>
        <w:rPr>
          <w:rFonts w:cstheme="minorHAnsi"/>
        </w:rPr>
        <w:t>ACF will also consider contacting grant recipients that express interest in participating after learning about the study plans.</w:t>
      </w:r>
      <w:bookmarkEnd w:id="1"/>
    </w:p>
    <w:p w:rsidR="00F85D35" w:rsidP="009719D4" w14:paraId="33260685" w14:textId="3F98D60A">
      <w:pPr>
        <w:autoSpaceDE w:val="0"/>
        <w:autoSpaceDN w:val="0"/>
        <w:adjustRightInd w:val="0"/>
        <w:spacing w:after="0" w:line="240" w:lineRule="atLeast"/>
        <w:rPr>
          <w:rFonts w:eastAsia="Times New Roman" w:cstheme="minorHAnsi"/>
          <w:color w:val="000000"/>
        </w:rPr>
      </w:pPr>
    </w:p>
    <w:p w:rsidR="00D932A2" w:rsidP="0072072F" w14:paraId="4B094681" w14:textId="77777777">
      <w:pPr>
        <w:autoSpaceDE w:val="0"/>
        <w:autoSpaceDN w:val="0"/>
        <w:adjustRightInd w:val="0"/>
        <w:spacing w:after="0" w:line="240" w:lineRule="atLeast"/>
        <w:rPr>
          <w:rFonts w:eastAsia="Times New Roman" w:cstheme="minorHAnsi"/>
          <w:color w:val="000000"/>
        </w:rPr>
      </w:pPr>
    </w:p>
    <w:p w:rsidR="00D932A2" w:rsidRPr="002E2E7A" w:rsidP="0072072F" w14:paraId="3A858CD9" w14:textId="33CCD45D">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In the second stage, </w:t>
      </w:r>
      <w:r w:rsidR="00B10585">
        <w:rPr>
          <w:rFonts w:eastAsia="Times New Roman" w:cstheme="minorHAnsi"/>
          <w:color w:val="000000"/>
        </w:rPr>
        <w:t xml:space="preserve">the Mathematica study team will </w:t>
      </w:r>
      <w:r>
        <w:rPr>
          <w:rFonts w:eastAsia="Times New Roman" w:cstheme="minorHAnsi"/>
          <w:color w:val="000000"/>
        </w:rPr>
        <w:t xml:space="preserve">work with the grant recipients to </w:t>
      </w:r>
      <w:r w:rsidR="00B10585">
        <w:rPr>
          <w:rFonts w:eastAsia="Times New Roman" w:cstheme="minorHAnsi"/>
          <w:color w:val="000000"/>
        </w:rPr>
        <w:t xml:space="preserve">identify a workshop or workshops of interest. Staff from the grant recipient will share information about the study </w:t>
      </w:r>
      <w:r w:rsidR="00B10585">
        <w:rPr>
          <w:rFonts w:eastAsia="Times New Roman" w:cstheme="minorHAnsi"/>
          <w:color w:val="000000"/>
        </w:rPr>
        <w:t>with</w:t>
      </w:r>
      <w:r>
        <w:rPr>
          <w:rFonts w:eastAsia="Times New Roman" w:cstheme="minorHAnsi"/>
          <w:color w:val="000000"/>
        </w:rPr>
        <w:t xml:space="preserve"> the</w:t>
      </w:r>
      <w:r w:rsidR="00B10585">
        <w:rPr>
          <w:rFonts w:eastAsia="Times New Roman" w:cstheme="minorHAnsi"/>
          <w:color w:val="000000"/>
        </w:rPr>
        <w:t xml:space="preserve"> clients of th</w:t>
      </w:r>
      <w:r w:rsidR="00186FD0">
        <w:rPr>
          <w:rFonts w:eastAsia="Times New Roman" w:cstheme="minorHAnsi"/>
          <w:color w:val="000000"/>
        </w:rPr>
        <w:t>e</w:t>
      </w:r>
      <w:r w:rsidR="00B10585">
        <w:rPr>
          <w:rFonts w:eastAsia="Times New Roman" w:cstheme="minorHAnsi"/>
          <w:color w:val="000000"/>
        </w:rPr>
        <w:t xml:space="preserve"> </w:t>
      </w:r>
      <w:r>
        <w:rPr>
          <w:rFonts w:eastAsia="Times New Roman" w:cstheme="minorHAnsi"/>
          <w:color w:val="000000"/>
        </w:rPr>
        <w:t xml:space="preserve">selected </w:t>
      </w:r>
      <w:r w:rsidR="00B10585">
        <w:rPr>
          <w:rFonts w:eastAsia="Times New Roman" w:cstheme="minorHAnsi"/>
          <w:color w:val="000000"/>
        </w:rPr>
        <w:t>workshop</w:t>
      </w:r>
      <w:r>
        <w:rPr>
          <w:rFonts w:eastAsia="Times New Roman" w:cstheme="minorHAnsi"/>
          <w:color w:val="000000"/>
        </w:rPr>
        <w:t xml:space="preserve">s, assisting the Mathematica study team with recruitment of their </w:t>
      </w:r>
      <w:r w:rsidR="00B10585">
        <w:rPr>
          <w:rFonts w:eastAsia="Times New Roman" w:cstheme="minorHAnsi"/>
          <w:color w:val="000000"/>
        </w:rPr>
        <w:t>clients to the study.</w:t>
      </w:r>
    </w:p>
    <w:p w:rsidR="00BB2925" w:rsidRPr="002E2E7A" w:rsidP="0072072F" w14:paraId="39A69560" w14:textId="77777777">
      <w:pPr>
        <w:autoSpaceDE w:val="0"/>
        <w:autoSpaceDN w:val="0"/>
        <w:adjustRightInd w:val="0"/>
        <w:spacing w:after="0" w:line="240" w:lineRule="atLeast"/>
        <w:rPr>
          <w:rFonts w:eastAsia="Times New Roman" w:cstheme="minorHAnsi"/>
          <w:color w:val="000000"/>
        </w:rPr>
      </w:pPr>
    </w:p>
    <w:p w:rsidR="00186FD0" w:rsidP="009719D4" w14:paraId="164D8BC8" w14:textId="77777777">
      <w:pPr>
        <w:autoSpaceDE w:val="0"/>
        <w:autoSpaceDN w:val="0"/>
        <w:adjustRightInd w:val="0"/>
        <w:spacing w:after="60" w:line="240" w:lineRule="atLeast"/>
        <w:rPr>
          <w:rFonts w:eastAsia="Times New Roman" w:cstheme="minorHAnsi"/>
          <w:color w:val="000000"/>
        </w:rPr>
      </w:pPr>
      <w:r w:rsidRPr="002E2E7A">
        <w:rPr>
          <w:rFonts w:eastAsia="Times New Roman" w:cstheme="minorHAnsi"/>
          <w:i/>
          <w:color w:val="000000"/>
        </w:rPr>
        <w:t xml:space="preserve">Appropriateness of Study Design and Methods for Planned Uses </w:t>
      </w:r>
    </w:p>
    <w:p w:rsidR="005906D9" w:rsidP="002D6BDA" w14:paraId="08BE86AF" w14:textId="1CF24BAA">
      <w:pPr>
        <w:autoSpaceDE w:val="0"/>
        <w:autoSpaceDN w:val="0"/>
        <w:adjustRightInd w:val="0"/>
        <w:spacing w:after="0" w:line="240" w:lineRule="atLeast"/>
        <w:rPr>
          <w:rFonts w:eastAsia="Times New Roman" w:cstheme="minorHAnsi"/>
        </w:rPr>
      </w:pPr>
      <w:r>
        <w:rPr>
          <w:rFonts w:eastAsia="Times New Roman" w:cstheme="minorHAnsi"/>
        </w:rPr>
        <w:t xml:space="preserve">This information collection is for focus groups and interviews with clients who participate in ACF-funded HMRF services in the current grant recipient cohort (2020-2025). </w:t>
      </w:r>
    </w:p>
    <w:p w:rsidR="002D6BDA" w:rsidRPr="00224ED9" w:rsidP="009719D4" w14:paraId="26006AB4" w14:textId="77777777">
      <w:pPr>
        <w:autoSpaceDE w:val="0"/>
        <w:autoSpaceDN w:val="0"/>
        <w:adjustRightInd w:val="0"/>
        <w:spacing w:after="0" w:line="240" w:lineRule="atLeast"/>
        <w:rPr>
          <w:rFonts w:eastAsia="Times New Roman" w:cstheme="minorHAnsi"/>
          <w:color w:val="000000"/>
        </w:rPr>
      </w:pPr>
    </w:p>
    <w:p w:rsidR="005906D9" w:rsidRPr="00186FD0" w:rsidP="009719D4" w14:paraId="1041992E" w14:textId="192EAE8E">
      <w:pPr>
        <w:spacing w:after="0" w:line="240" w:lineRule="auto"/>
        <w:rPr>
          <w:rFonts w:cstheme="minorHAnsi"/>
          <w:bCs/>
          <w:iCs/>
        </w:rPr>
      </w:pPr>
      <w:r>
        <w:rPr>
          <w:rFonts w:eastAsia="Times New Roman" w:cstheme="minorHAnsi"/>
        </w:rPr>
        <w:t xml:space="preserve">The focus groups and interviews will incorporate cognitive interviewing techniques. </w:t>
      </w:r>
      <w:r w:rsidR="00186FD0">
        <w:rPr>
          <w:rFonts w:cstheme="minorHAnsi"/>
          <w:bCs/>
          <w:iCs/>
        </w:rPr>
        <w:t>Facilitators of t</w:t>
      </w:r>
      <w:r w:rsidRPr="000966B5" w:rsidR="00186FD0">
        <w:rPr>
          <w:rFonts w:cstheme="minorHAnsi"/>
          <w:bCs/>
          <w:iCs/>
        </w:rPr>
        <w:t xml:space="preserve">he focus groups will </w:t>
      </w:r>
      <w:r w:rsidR="00186FD0">
        <w:rPr>
          <w:rFonts w:cstheme="minorHAnsi"/>
          <w:bCs/>
          <w:iCs/>
        </w:rPr>
        <w:t xml:space="preserve">use </w:t>
      </w:r>
      <w:r w:rsidRPr="000966B5" w:rsidR="00186FD0">
        <w:rPr>
          <w:rFonts w:cstheme="minorHAnsi"/>
          <w:bCs/>
          <w:iCs/>
        </w:rPr>
        <w:t>cognitive interviewing techniques</w:t>
      </w:r>
      <w:r w:rsidR="00186FD0">
        <w:rPr>
          <w:rFonts w:cstheme="minorHAnsi"/>
          <w:bCs/>
          <w:iCs/>
        </w:rPr>
        <w:t>, a common approach for identifying issues with survey questions,</w:t>
      </w:r>
      <w:r w:rsidRPr="000966B5" w:rsidR="00186FD0">
        <w:rPr>
          <w:rFonts w:cstheme="minorHAnsi"/>
          <w:bCs/>
          <w:iCs/>
        </w:rPr>
        <w:t xml:space="preserve"> to </w:t>
      </w:r>
      <w:r w:rsidR="00A740BD">
        <w:rPr>
          <w:rFonts w:cstheme="minorHAnsi"/>
          <w:bCs/>
          <w:iCs/>
        </w:rPr>
        <w:t xml:space="preserve">prompt discussion and </w:t>
      </w:r>
      <w:r w:rsidR="00186FD0">
        <w:rPr>
          <w:rFonts w:cstheme="minorHAnsi"/>
          <w:bCs/>
          <w:iCs/>
        </w:rPr>
        <w:t xml:space="preserve">draw out </w:t>
      </w:r>
      <w:r w:rsidR="00CB344B">
        <w:rPr>
          <w:rFonts w:cstheme="minorHAnsi"/>
          <w:bCs/>
          <w:iCs/>
        </w:rPr>
        <w:t>clients</w:t>
      </w:r>
      <w:r w:rsidRPr="000966B5" w:rsidR="00CB344B">
        <w:rPr>
          <w:rFonts w:cstheme="minorHAnsi"/>
          <w:bCs/>
          <w:iCs/>
        </w:rPr>
        <w:t xml:space="preserve">’ </w:t>
      </w:r>
      <w:r w:rsidR="00A740BD">
        <w:rPr>
          <w:rFonts w:cstheme="minorHAnsi"/>
          <w:bCs/>
          <w:iCs/>
        </w:rPr>
        <w:t xml:space="preserve">nuanced </w:t>
      </w:r>
      <w:r w:rsidRPr="000966B5" w:rsidR="00186FD0">
        <w:rPr>
          <w:rFonts w:cstheme="minorHAnsi"/>
          <w:bCs/>
          <w:iCs/>
        </w:rPr>
        <w:t xml:space="preserve">reactions to the survey questions. </w:t>
      </w:r>
      <w:r w:rsidR="00186FD0">
        <w:rPr>
          <w:rFonts w:cstheme="minorHAnsi"/>
          <w:bCs/>
          <w:iCs/>
        </w:rPr>
        <w:t xml:space="preserve">The facilitators will </w:t>
      </w:r>
      <w:r w:rsidR="00A740BD">
        <w:rPr>
          <w:rFonts w:cstheme="minorHAnsi"/>
          <w:bCs/>
          <w:iCs/>
        </w:rPr>
        <w:t xml:space="preserve">use group activities, think-aloud interviewing, and verbal probing to </w:t>
      </w:r>
      <w:r w:rsidR="00186FD0">
        <w:rPr>
          <w:rFonts w:cstheme="minorHAnsi"/>
          <w:bCs/>
          <w:iCs/>
        </w:rPr>
        <w:t xml:space="preserve">encourage </w:t>
      </w:r>
      <w:r w:rsidR="00CB344B">
        <w:rPr>
          <w:rFonts w:cstheme="minorHAnsi"/>
          <w:bCs/>
          <w:iCs/>
        </w:rPr>
        <w:t xml:space="preserve">clients </w:t>
      </w:r>
      <w:r w:rsidR="00186FD0">
        <w:rPr>
          <w:rFonts w:cstheme="minorHAnsi"/>
          <w:bCs/>
          <w:iCs/>
        </w:rPr>
        <w:t>to describe their</w:t>
      </w:r>
      <w:r w:rsidRPr="000966B5" w:rsidR="00186FD0">
        <w:rPr>
          <w:rFonts w:cstheme="minorHAnsi"/>
          <w:bCs/>
          <w:iCs/>
        </w:rPr>
        <w:t xml:space="preserve"> interpretations of a question, relevance or appropriateness</w:t>
      </w:r>
      <w:r w:rsidR="00186FD0">
        <w:rPr>
          <w:rFonts w:cstheme="minorHAnsi"/>
          <w:bCs/>
          <w:iCs/>
        </w:rPr>
        <w:t xml:space="preserve"> of the questions</w:t>
      </w:r>
      <w:r w:rsidRPr="000966B5" w:rsidR="00186FD0">
        <w:rPr>
          <w:rFonts w:cstheme="minorHAnsi"/>
          <w:bCs/>
          <w:iCs/>
        </w:rPr>
        <w:t>, ease or difficulty in answering question</w:t>
      </w:r>
      <w:r w:rsidR="00186FD0">
        <w:rPr>
          <w:rFonts w:cstheme="minorHAnsi"/>
          <w:bCs/>
          <w:iCs/>
        </w:rPr>
        <w:t>s</w:t>
      </w:r>
      <w:r w:rsidRPr="000966B5" w:rsidR="00186FD0">
        <w:rPr>
          <w:rFonts w:cstheme="minorHAnsi"/>
          <w:bCs/>
          <w:iCs/>
        </w:rPr>
        <w:t xml:space="preserve">, and completeness or </w:t>
      </w:r>
      <w:r w:rsidR="00186FD0">
        <w:rPr>
          <w:rFonts w:cstheme="minorHAnsi"/>
          <w:bCs/>
          <w:iCs/>
        </w:rPr>
        <w:t>gaps</w:t>
      </w:r>
      <w:r w:rsidRPr="000966B5" w:rsidR="00186FD0">
        <w:rPr>
          <w:rFonts w:cstheme="minorHAnsi"/>
          <w:bCs/>
          <w:iCs/>
        </w:rPr>
        <w:t xml:space="preserve"> in </w:t>
      </w:r>
      <w:r w:rsidR="00186FD0">
        <w:rPr>
          <w:rFonts w:cstheme="minorHAnsi"/>
          <w:bCs/>
          <w:iCs/>
        </w:rPr>
        <w:t xml:space="preserve">the </w:t>
      </w:r>
      <w:r w:rsidRPr="000966B5" w:rsidR="00186FD0">
        <w:rPr>
          <w:rFonts w:cstheme="minorHAnsi"/>
          <w:bCs/>
          <w:iCs/>
        </w:rPr>
        <w:t>response categories</w:t>
      </w:r>
      <w:r>
        <w:rPr>
          <w:rFonts w:eastAsia="Times New Roman" w:cstheme="minorHAnsi"/>
        </w:rPr>
        <w:t>.</w:t>
      </w:r>
      <w:r>
        <w:rPr>
          <w:rStyle w:val="FootnoteReference"/>
          <w:rFonts w:eastAsia="Times New Roman" w:cstheme="minorHAnsi"/>
        </w:rPr>
        <w:footnoteReference w:id="2"/>
      </w:r>
      <w:r>
        <w:rPr>
          <w:rFonts w:eastAsia="Times New Roman" w:cstheme="minorHAnsi"/>
        </w:rPr>
        <w:t xml:space="preserve"> </w:t>
      </w:r>
      <w:bookmarkStart w:id="2" w:name="_Hlk172558296"/>
      <w:r>
        <w:rPr>
          <w:rFonts w:eastAsia="Times New Roman" w:cstheme="minorHAnsi"/>
        </w:rPr>
        <w:t>Focus groups facilitate group interactions and exchange that can uncover shared experiences and cultural patterns in responses.</w:t>
      </w:r>
      <w:bookmarkEnd w:id="2"/>
      <w:r>
        <w:rPr>
          <w:rFonts w:eastAsia="Times New Roman" w:cstheme="minorHAnsi"/>
        </w:rPr>
        <w:t xml:space="preserve"> To allow flexibility in data collection and maximize the sample size, </w:t>
      </w:r>
      <w:r w:rsidR="00E40A3C">
        <w:rPr>
          <w:rFonts w:eastAsia="Times New Roman" w:cstheme="minorHAnsi"/>
        </w:rPr>
        <w:t xml:space="preserve">without increasing burden, </w:t>
      </w:r>
      <w:r>
        <w:rPr>
          <w:rFonts w:eastAsia="Times New Roman" w:cstheme="minorHAnsi"/>
        </w:rPr>
        <w:t xml:space="preserve">the study team </w:t>
      </w:r>
      <w:r w:rsidR="00DC0383">
        <w:rPr>
          <w:rFonts w:eastAsia="Times New Roman" w:cstheme="minorHAnsi"/>
        </w:rPr>
        <w:t xml:space="preserve">may </w:t>
      </w:r>
      <w:r>
        <w:rPr>
          <w:rFonts w:eastAsia="Times New Roman" w:cstheme="minorHAnsi"/>
        </w:rPr>
        <w:t xml:space="preserve">conduct interviews when it is not feasible to hold a focus group. </w:t>
      </w:r>
    </w:p>
    <w:p w:rsidR="002D6BDA" w:rsidP="002D6BDA" w14:paraId="040F1FB6" w14:textId="77777777">
      <w:pPr>
        <w:spacing w:after="0" w:line="240" w:lineRule="auto"/>
        <w:rPr>
          <w:rFonts w:eastAsia="Times New Roman" w:cstheme="minorHAnsi"/>
        </w:rPr>
      </w:pPr>
    </w:p>
    <w:p w:rsidR="005906D9" w:rsidP="002D6BDA" w14:paraId="33A28BD1" w14:textId="2A5117E9">
      <w:pPr>
        <w:spacing w:after="0" w:line="240" w:lineRule="auto"/>
      </w:pPr>
      <w:r>
        <w:rPr>
          <w:rFonts w:eastAsia="Times New Roman" w:cstheme="minorHAnsi"/>
        </w:rPr>
        <w:t>To gather feedback on a range of questions, each focus group</w:t>
      </w:r>
      <w:r w:rsidR="00C04D68">
        <w:rPr>
          <w:rFonts w:eastAsia="Times New Roman" w:cstheme="minorHAnsi"/>
        </w:rPr>
        <w:t xml:space="preserve"> and interview</w:t>
      </w:r>
      <w:r>
        <w:rPr>
          <w:rFonts w:eastAsia="Times New Roman" w:cstheme="minorHAnsi"/>
        </w:rPr>
        <w:t xml:space="preserve"> will cover surveys developed for the relevant HMRF client population.</w:t>
      </w:r>
      <w:r w:rsidRPr="00A04E45" w:rsidR="00A04E45">
        <w:t xml:space="preserve"> </w:t>
      </w:r>
      <w:r w:rsidR="00A04E45">
        <w:t>D</w:t>
      </w:r>
      <w:r w:rsidRPr="00A04E45" w:rsidR="00A04E45">
        <w:t>uring the focus group</w:t>
      </w:r>
      <w:r w:rsidR="00A04E45">
        <w:t xml:space="preserve"> or interview</w:t>
      </w:r>
      <w:r w:rsidRPr="00A04E45" w:rsidR="00A04E45">
        <w:t>, Mathematica staff will ask for clients’ feedback on the experience of taking the surveys and their opinions on specific survey questions. The focus group</w:t>
      </w:r>
      <w:r w:rsidR="00A04E45">
        <w:t xml:space="preserve"> and interview</w:t>
      </w:r>
      <w:r w:rsidRPr="00A04E45" w:rsidR="00A04E45">
        <w:t xml:space="preserve"> will mainly emphasize questions from the exit survey that are also asked on the entrance survey, which will enable ACF and grant recipients to assess clients’ attitudes and behaviors when they begin and end the workshops. The focus group</w:t>
      </w:r>
      <w:r w:rsidR="00A04E45">
        <w:t xml:space="preserve"> and interview</w:t>
      </w:r>
      <w:r w:rsidRPr="00A04E45" w:rsidR="00A04E45">
        <w:t xml:space="preserve"> may also explore additional exit survey questions that address clients’ experiences during the program, and a few questions on the Applicant Characteristics survey (such as gender identity).</w:t>
      </w:r>
      <w:r w:rsidR="00A04E45">
        <w:t xml:space="preserve"> </w:t>
      </w:r>
      <w:r w:rsidR="00A04E45">
        <w:rPr>
          <w:rFonts w:eastAsia="Times New Roman" w:cstheme="minorHAnsi"/>
        </w:rPr>
        <w:t>All client surveys have prior OMB approval (</w:t>
      </w:r>
      <w:r w:rsidR="00A04E45">
        <w:t>OMB No.: 0970-0566, Expiration date: 03/31/2027) and are currently used by grant recipients in the 2020 – 2025 HMRF cohort.</w:t>
      </w:r>
    </w:p>
    <w:p w:rsidR="002D6BDA" w:rsidP="009719D4" w14:paraId="353F169F" w14:textId="77777777">
      <w:pPr>
        <w:spacing w:after="0" w:line="240" w:lineRule="auto"/>
      </w:pPr>
    </w:p>
    <w:p w:rsidR="00C04D68" w:rsidP="00C04D68" w14:paraId="69C59563" w14:textId="184E005A">
      <w:pPr>
        <w:spacing w:after="0" w:line="240" w:lineRule="auto"/>
        <w:rPr>
          <w:rFonts w:eastAsia="Times New Roman" w:cstheme="minorHAnsi"/>
        </w:rPr>
      </w:pPr>
      <w:r>
        <w:rPr>
          <w:rFonts w:eastAsia="Times New Roman" w:cstheme="minorHAnsi"/>
        </w:rPr>
        <w:t xml:space="preserve">This </w:t>
      </w:r>
      <w:r>
        <w:rPr>
          <w:rFonts w:eastAsia="Times New Roman" w:cstheme="minorHAnsi"/>
        </w:rPr>
        <w:t xml:space="preserve">study uses a convenience </w:t>
      </w:r>
      <w:r>
        <w:rPr>
          <w:rFonts w:eastAsia="Times New Roman" w:cstheme="minorHAnsi"/>
        </w:rPr>
        <w:t>sample</w:t>
      </w:r>
      <w:r>
        <w:rPr>
          <w:rFonts w:eastAsia="Times New Roman" w:cstheme="minorHAnsi"/>
        </w:rPr>
        <w:t xml:space="preserve"> and the findings will not be representative of all HMRF clients or grant recipients. This limitation will be noted in all verbal and written presentations of the findings. </w:t>
      </w:r>
    </w:p>
    <w:p w:rsidR="00C04D68" w:rsidP="00C04D68" w14:paraId="00183807" w14:textId="77777777">
      <w:pPr>
        <w:spacing w:after="0" w:line="240" w:lineRule="auto"/>
        <w:rPr>
          <w:rFonts w:eastAsia="Times New Roman" w:cstheme="minorHAnsi"/>
        </w:rPr>
      </w:pPr>
    </w:p>
    <w:p w:rsidR="005906D9" w:rsidP="005906D9" w14:paraId="7DDA95C8" w14:textId="0180FFB3">
      <w:pPr>
        <w:pStyle w:val="ListParagraph"/>
        <w:spacing w:after="0" w:line="240" w:lineRule="auto"/>
        <w:ind w:left="0"/>
        <w:rPr>
          <w:rFonts w:eastAsia="Times New Roman" w:cstheme="minorHAnsi"/>
        </w:rPr>
      </w:pPr>
      <w:r w:rsidRPr="005C7E12">
        <w:rPr>
          <w:rFonts w:eastAsia="Times New Roman" w:cstheme="minorHAnsi"/>
        </w:rPr>
        <w:t>As noted in Supporting Statement</w:t>
      </w:r>
      <w:r w:rsidR="00BA2212">
        <w:rPr>
          <w:rFonts w:eastAsia="Times New Roman" w:cstheme="minorHAnsi"/>
        </w:rPr>
        <w:t xml:space="preserve"> Part</w:t>
      </w:r>
      <w:r w:rsidRPr="005C7E12">
        <w:rPr>
          <w:rFonts w:eastAsia="Times New Roman" w:cstheme="minorHAnsi"/>
        </w:rPr>
        <w:t xml:space="preserve"> A, this information is not intended to be used as the principal basis for public policy decisions and is not expected to meet the threshold of influential or highly influential scientific information. </w:t>
      </w:r>
      <w:r>
        <w:rPr>
          <w:rFonts w:eastAsia="Times New Roman" w:cstheme="minorHAnsi"/>
        </w:rPr>
        <w:t>The Mathematica study team will recommend revisions to survey items based on multiple analyses (</w:t>
      </w:r>
      <w:r w:rsidR="00BA2212">
        <w:rPr>
          <w:rFonts w:eastAsia="Times New Roman" w:cstheme="minorHAnsi"/>
        </w:rPr>
        <w:t>see Supporting Statement Part A, section A.2</w:t>
      </w:r>
      <w:r>
        <w:rPr>
          <w:rFonts w:eastAsia="Times New Roman" w:cstheme="minorHAnsi"/>
        </w:rPr>
        <w:t xml:space="preserve">). </w:t>
      </w:r>
    </w:p>
    <w:p w:rsidR="00BB2925" w:rsidRPr="002E2E7A" w:rsidP="008369BA" w14:paraId="0C4F0DEF" w14:textId="77777777">
      <w:pPr>
        <w:pStyle w:val="ListParagraph"/>
        <w:spacing w:after="0" w:line="240" w:lineRule="auto"/>
        <w:ind w:left="0"/>
        <w:rPr>
          <w:rFonts w:cstheme="minorHAnsi"/>
        </w:rPr>
      </w:pPr>
    </w:p>
    <w:p w:rsidR="005F2951" w:rsidRPr="002E2E7A" w:rsidP="00B33621" w14:paraId="2E3CD75A" w14:textId="27EE8D77">
      <w:pPr>
        <w:pStyle w:val="ListParagraph"/>
        <w:numPr>
          <w:ilvl w:val="0"/>
          <w:numId w:val="31"/>
        </w:numPr>
        <w:spacing w:after="120"/>
        <w:ind w:left="360"/>
        <w:rPr>
          <w:rFonts w:eastAsia="Times New Roman" w:cstheme="minorHAnsi"/>
          <w:color w:val="000000"/>
        </w:rPr>
      </w:pPr>
      <w:r w:rsidRPr="002E2E7A">
        <w:rPr>
          <w:rFonts w:eastAsia="Times New Roman" w:cstheme="minorHAnsi"/>
          <w:b/>
          <w:bCs/>
          <w:color w:val="000000"/>
        </w:rPr>
        <w:t>Procedures for Collection of Information</w:t>
      </w:r>
    </w:p>
    <w:p w:rsidR="00861A1F" w:rsidRPr="002E2E7A" w:rsidP="009719D4" w14:paraId="05AEF0A2" w14:textId="77777777">
      <w:pPr>
        <w:autoSpaceDE w:val="0"/>
        <w:autoSpaceDN w:val="0"/>
        <w:adjustRightInd w:val="0"/>
        <w:spacing w:after="60" w:line="240" w:lineRule="atLeast"/>
        <w:rPr>
          <w:rFonts w:eastAsia="Times New Roman" w:cstheme="minorHAnsi"/>
          <w:bCs/>
          <w:i/>
          <w:color w:val="000000"/>
        </w:rPr>
      </w:pPr>
      <w:r w:rsidRPr="002E2E7A">
        <w:rPr>
          <w:rFonts w:eastAsia="Times New Roman" w:cstheme="minorHAnsi"/>
          <w:bCs/>
          <w:i/>
          <w:color w:val="000000"/>
        </w:rPr>
        <w:t>Data Collection Processes</w:t>
      </w:r>
    </w:p>
    <w:p w:rsidR="00EC37A1" w:rsidP="00EC37A1" w14:paraId="2D56D0A0" w14:textId="44789C29">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Mathematica study team members will review project-specific procedures for obtaining parental consent, such as those required by Mathematica’s Institutional Review Board</w:t>
      </w:r>
      <w:r w:rsidR="005B0F27">
        <w:rPr>
          <w:rFonts w:eastAsia="Times New Roman" w:cstheme="minorHAnsi"/>
          <w:bCs/>
          <w:color w:val="000000"/>
        </w:rPr>
        <w:t>, with the grant recipient staff who will be collecting consent</w:t>
      </w:r>
      <w:r>
        <w:rPr>
          <w:rFonts w:eastAsia="Times New Roman" w:cstheme="minorHAnsi"/>
          <w:bCs/>
          <w:color w:val="000000"/>
        </w:rPr>
        <w:t xml:space="preserve">. While recruitment and data collection are ongoing, Mathematica study team members will </w:t>
      </w:r>
      <w:r w:rsidR="00FF4855">
        <w:rPr>
          <w:rFonts w:eastAsia="Times New Roman" w:cstheme="minorHAnsi"/>
          <w:bCs/>
          <w:color w:val="000000"/>
        </w:rPr>
        <w:t>be available to answer questions about the consent or study from grant recipient staff and HMRF clients</w:t>
      </w:r>
      <w:r>
        <w:rPr>
          <w:rFonts w:eastAsia="Times New Roman" w:cstheme="minorHAnsi"/>
          <w:bCs/>
          <w:color w:val="000000"/>
        </w:rPr>
        <w:t xml:space="preserve">. </w:t>
      </w:r>
    </w:p>
    <w:p w:rsidR="00EC37A1" w:rsidP="00EC37A1" w14:paraId="768E4398" w14:textId="77777777">
      <w:pPr>
        <w:autoSpaceDE w:val="0"/>
        <w:autoSpaceDN w:val="0"/>
        <w:adjustRightInd w:val="0"/>
        <w:spacing w:after="0" w:line="240" w:lineRule="atLeast"/>
        <w:rPr>
          <w:rFonts w:eastAsia="Times New Roman" w:cstheme="minorHAnsi"/>
          <w:bCs/>
          <w:color w:val="000000"/>
        </w:rPr>
      </w:pPr>
    </w:p>
    <w:p w:rsidR="00EC37A1" w:rsidP="00EC37A1" w14:paraId="4AC40445" w14:textId="07ACCC65">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Mathematica staff will facilitate the focus groups</w:t>
      </w:r>
      <w:r w:rsidR="0085154F">
        <w:rPr>
          <w:rFonts w:eastAsia="Times New Roman" w:cstheme="minorHAnsi"/>
          <w:bCs/>
          <w:color w:val="000000"/>
        </w:rPr>
        <w:t xml:space="preserve"> and interviews</w:t>
      </w:r>
      <w:r w:rsidR="00FF4855">
        <w:rPr>
          <w:rFonts w:eastAsia="Times New Roman" w:cstheme="minorHAnsi"/>
          <w:bCs/>
          <w:color w:val="000000"/>
        </w:rPr>
        <w:t xml:space="preserve"> and collect data</w:t>
      </w:r>
      <w:r>
        <w:rPr>
          <w:rFonts w:eastAsia="Times New Roman" w:cstheme="minorHAnsi"/>
          <w:bCs/>
          <w:color w:val="000000"/>
        </w:rPr>
        <w:t xml:space="preserve">. All staff will have experience collecting qualitative data and familiarity with HMRF program components and goals. </w:t>
      </w:r>
      <w:r w:rsidR="00965DD0">
        <w:rPr>
          <w:rFonts w:eastAsia="Times New Roman" w:cstheme="minorHAnsi"/>
          <w:bCs/>
          <w:color w:val="000000"/>
        </w:rPr>
        <w:t xml:space="preserve">Mathematica facilitators </w:t>
      </w:r>
      <w:r>
        <w:rPr>
          <w:rFonts w:eastAsia="Times New Roman" w:cstheme="minorHAnsi"/>
          <w:bCs/>
          <w:color w:val="000000"/>
        </w:rPr>
        <w:t xml:space="preserve">will receive training on the goals of the study and the protocols before the start of the </w:t>
      </w:r>
      <w:r w:rsidR="0085154F">
        <w:rPr>
          <w:rFonts w:eastAsia="Times New Roman" w:cstheme="minorHAnsi"/>
          <w:bCs/>
          <w:color w:val="000000"/>
        </w:rPr>
        <w:t>data collection</w:t>
      </w:r>
      <w:r>
        <w:rPr>
          <w:rFonts w:eastAsia="Times New Roman" w:cstheme="minorHAnsi"/>
          <w:bCs/>
          <w:color w:val="000000"/>
        </w:rPr>
        <w:t>.</w:t>
      </w:r>
    </w:p>
    <w:p w:rsidR="00EC37A1" w:rsidP="00EC37A1" w14:paraId="5CE4B430" w14:textId="77777777">
      <w:pPr>
        <w:autoSpaceDE w:val="0"/>
        <w:autoSpaceDN w:val="0"/>
        <w:adjustRightInd w:val="0"/>
        <w:spacing w:after="0" w:line="240" w:lineRule="atLeast"/>
        <w:rPr>
          <w:rFonts w:eastAsia="Times New Roman" w:cstheme="minorHAnsi"/>
          <w:bCs/>
          <w:color w:val="000000"/>
        </w:rPr>
      </w:pPr>
    </w:p>
    <w:p w:rsidR="001960ED" w:rsidP="00850377" w14:paraId="37E5C8F9" w14:textId="5F360E45">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During the data collection, Mathematica study team members will review focus group</w:t>
      </w:r>
      <w:r w:rsidR="0085154F">
        <w:rPr>
          <w:rFonts w:eastAsia="Times New Roman" w:cstheme="minorHAnsi"/>
          <w:bCs/>
          <w:color w:val="000000"/>
        </w:rPr>
        <w:t xml:space="preserve"> and interview</w:t>
      </w:r>
      <w:r>
        <w:rPr>
          <w:rFonts w:eastAsia="Times New Roman" w:cstheme="minorHAnsi"/>
          <w:bCs/>
          <w:color w:val="000000"/>
        </w:rPr>
        <w:t xml:space="preserve"> notes to monitor adherence to the protocols and appropriateness of probes. The Mathematica study team will meet regularly as a group during data collection to discuss challenges and remediate </w:t>
      </w:r>
      <w:r w:rsidR="00965DD0">
        <w:rPr>
          <w:rFonts w:eastAsia="Times New Roman" w:cstheme="minorHAnsi"/>
          <w:bCs/>
          <w:color w:val="000000"/>
        </w:rPr>
        <w:t xml:space="preserve">any </w:t>
      </w:r>
      <w:r>
        <w:rPr>
          <w:rFonts w:eastAsia="Times New Roman" w:cstheme="minorHAnsi"/>
          <w:bCs/>
          <w:color w:val="000000"/>
        </w:rPr>
        <w:t>issues with data collection.</w:t>
      </w:r>
    </w:p>
    <w:p w:rsidR="00850377" w:rsidRPr="00B33621" w:rsidP="009719D4" w14:paraId="3CA7AB4F" w14:textId="77777777">
      <w:pPr>
        <w:autoSpaceDE w:val="0"/>
        <w:autoSpaceDN w:val="0"/>
        <w:adjustRightInd w:val="0"/>
        <w:spacing w:after="0" w:line="240" w:lineRule="atLeast"/>
        <w:rPr>
          <w:rFonts w:eastAsia="Times New Roman" w:cstheme="minorHAnsi"/>
          <w:bCs/>
          <w:color w:val="000000"/>
        </w:rPr>
      </w:pPr>
    </w:p>
    <w:p w:rsidR="00861A1F" w:rsidRPr="003C566B" w:rsidP="009719D4" w14:paraId="68656726" w14:textId="23523CFD">
      <w:pPr>
        <w:autoSpaceDE w:val="0"/>
        <w:autoSpaceDN w:val="0"/>
        <w:adjustRightInd w:val="0"/>
        <w:spacing w:after="60" w:line="240" w:lineRule="atLeast"/>
        <w:rPr>
          <w:rFonts w:eastAsia="Times New Roman" w:cstheme="minorHAnsi"/>
          <w:bCs/>
          <w:i/>
          <w:iCs/>
          <w:color w:val="000000"/>
        </w:rPr>
      </w:pPr>
      <w:r w:rsidRPr="003C566B">
        <w:rPr>
          <w:rFonts w:eastAsia="Times New Roman" w:cstheme="minorHAnsi"/>
          <w:bCs/>
          <w:i/>
          <w:iCs/>
          <w:color w:val="000000"/>
        </w:rPr>
        <w:t>Data Handling</w:t>
      </w:r>
    </w:p>
    <w:p w:rsidR="003C566B" w:rsidP="009719D4" w14:paraId="2703A3BE" w14:textId="76D0F42D">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 xml:space="preserve">The Mathematica study team will use the detailed notes and transcriptions for data analysis. Reliance on detailed notes rather than summaries will allow the Mathematica study team to include respondents’ voices and </w:t>
      </w:r>
      <w:r>
        <w:rPr>
          <w:rFonts w:eastAsia="Times New Roman" w:cstheme="minorHAnsi"/>
          <w:bCs/>
          <w:color w:val="000000"/>
        </w:rPr>
        <w:t xml:space="preserve">direct quotes </w:t>
      </w:r>
      <w:r>
        <w:rPr>
          <w:rFonts w:eastAsia="Times New Roman" w:cstheme="minorHAnsi"/>
          <w:bCs/>
          <w:color w:val="000000"/>
        </w:rPr>
        <w:t>in the final memo</w:t>
      </w:r>
      <w:r w:rsidR="00965DD0">
        <w:rPr>
          <w:rFonts w:eastAsia="Times New Roman" w:cstheme="minorHAnsi"/>
          <w:bCs/>
          <w:color w:val="000000"/>
        </w:rPr>
        <w:t>. H</w:t>
      </w:r>
      <w:r>
        <w:rPr>
          <w:rFonts w:eastAsia="Times New Roman" w:cstheme="minorHAnsi"/>
          <w:bCs/>
          <w:color w:val="000000"/>
        </w:rPr>
        <w:t xml:space="preserve">owever, </w:t>
      </w:r>
      <w:r w:rsidR="00965DD0">
        <w:rPr>
          <w:rFonts w:eastAsia="Times New Roman" w:cstheme="minorHAnsi"/>
          <w:bCs/>
          <w:color w:val="000000"/>
        </w:rPr>
        <w:t xml:space="preserve">the study team </w:t>
      </w:r>
      <w:r>
        <w:rPr>
          <w:rFonts w:eastAsia="Times New Roman" w:cstheme="minorHAnsi"/>
          <w:bCs/>
          <w:color w:val="000000"/>
        </w:rPr>
        <w:t xml:space="preserve">will not attribute any responses to individuals by name in the notes, transcriptions, or report. For completeness and accuracy of the notes, the data collectors will review the </w:t>
      </w:r>
      <w:r>
        <w:rPr>
          <w:rFonts w:eastAsia="Times New Roman" w:cstheme="minorHAnsi"/>
          <w:bCs/>
          <w:color w:val="000000"/>
        </w:rPr>
        <w:t xml:space="preserve">video or </w:t>
      </w:r>
      <w:r>
        <w:rPr>
          <w:rFonts w:eastAsia="Times New Roman" w:cstheme="minorHAnsi"/>
          <w:bCs/>
          <w:color w:val="000000"/>
        </w:rPr>
        <w:t xml:space="preserve">audio recordings to fill in any words, phrases, or portions of text that are unclear in the notes. After using the recording to verify the notes, the Mathematica study team will destroy it to protect </w:t>
      </w:r>
      <w:r w:rsidR="00CB344B">
        <w:rPr>
          <w:rFonts w:eastAsia="Times New Roman" w:cstheme="minorHAnsi"/>
          <w:bCs/>
          <w:color w:val="000000"/>
        </w:rPr>
        <w:t xml:space="preserve">client </w:t>
      </w:r>
      <w:r w:rsidR="00554F2C">
        <w:rPr>
          <w:rFonts w:eastAsia="Times New Roman" w:cstheme="minorHAnsi"/>
          <w:bCs/>
          <w:color w:val="000000"/>
        </w:rPr>
        <w:t>privacy</w:t>
      </w:r>
      <w:r>
        <w:rPr>
          <w:rFonts w:eastAsia="Times New Roman" w:cstheme="minorHAnsi"/>
          <w:bCs/>
          <w:color w:val="000000"/>
        </w:rPr>
        <w:t xml:space="preserve">. </w:t>
      </w:r>
      <w:r w:rsidR="006851FB">
        <w:rPr>
          <w:rFonts w:eastAsia="Times New Roman" w:cstheme="minorHAnsi"/>
          <w:bCs/>
          <w:color w:val="000000"/>
        </w:rPr>
        <w:t>For more information about protecting the privacy of</w:t>
      </w:r>
      <w:r w:rsidR="0022735F">
        <w:rPr>
          <w:rFonts w:eastAsia="Times New Roman" w:cstheme="minorHAnsi"/>
          <w:bCs/>
          <w:color w:val="000000"/>
        </w:rPr>
        <w:t xml:space="preserve"> </w:t>
      </w:r>
      <w:r w:rsidR="00CB344B">
        <w:rPr>
          <w:rFonts w:eastAsia="Times New Roman" w:cstheme="minorHAnsi"/>
          <w:bCs/>
          <w:color w:val="000000"/>
        </w:rPr>
        <w:t xml:space="preserve">clients who participate in the </w:t>
      </w:r>
      <w:r w:rsidR="0022735F">
        <w:rPr>
          <w:rFonts w:eastAsia="Times New Roman" w:cstheme="minorHAnsi"/>
          <w:bCs/>
          <w:color w:val="000000"/>
        </w:rPr>
        <w:t>study</w:t>
      </w:r>
      <w:r w:rsidR="006851FB">
        <w:rPr>
          <w:rFonts w:eastAsia="Times New Roman" w:cstheme="minorHAnsi"/>
          <w:bCs/>
          <w:color w:val="000000"/>
        </w:rPr>
        <w:t>, see</w:t>
      </w:r>
      <w:r>
        <w:rPr>
          <w:rFonts w:eastAsia="Times New Roman" w:cstheme="minorHAnsi"/>
          <w:bCs/>
          <w:color w:val="000000"/>
        </w:rPr>
        <w:t xml:space="preserve"> A10 in </w:t>
      </w:r>
      <w:r w:rsidR="006851FB">
        <w:rPr>
          <w:rFonts w:eastAsia="Times New Roman" w:cstheme="minorHAnsi"/>
          <w:bCs/>
          <w:color w:val="000000"/>
        </w:rPr>
        <w:t xml:space="preserve">Supporting Statement </w:t>
      </w:r>
      <w:r w:rsidR="00BA2212">
        <w:rPr>
          <w:rFonts w:eastAsia="Times New Roman" w:cstheme="minorHAnsi"/>
          <w:bCs/>
          <w:color w:val="000000"/>
        </w:rPr>
        <w:t xml:space="preserve">Part </w:t>
      </w:r>
      <w:r w:rsidR="006851FB">
        <w:rPr>
          <w:rFonts w:eastAsia="Times New Roman" w:cstheme="minorHAnsi"/>
          <w:bCs/>
          <w:color w:val="000000"/>
        </w:rPr>
        <w:t>A of this package</w:t>
      </w:r>
      <w:r w:rsidR="0026624E">
        <w:rPr>
          <w:rFonts w:eastAsia="Times New Roman" w:cstheme="minorHAnsi"/>
          <w:bCs/>
          <w:color w:val="000000"/>
        </w:rPr>
        <w:t>.</w:t>
      </w:r>
    </w:p>
    <w:p w:rsidR="00520EFF" w:rsidRPr="00B33621" w:rsidP="009719D4" w14:paraId="02117B29" w14:textId="77777777">
      <w:pPr>
        <w:autoSpaceDE w:val="0"/>
        <w:autoSpaceDN w:val="0"/>
        <w:adjustRightInd w:val="0"/>
        <w:spacing w:after="0" w:line="240" w:lineRule="atLeast"/>
        <w:rPr>
          <w:rFonts w:eastAsia="Times New Roman" w:cstheme="minorHAnsi"/>
          <w:bCs/>
          <w:color w:val="000000"/>
        </w:rPr>
      </w:pPr>
    </w:p>
    <w:p w:rsidR="00861A1F" w:rsidRPr="003C566B" w:rsidP="00BB2B33" w14:paraId="4768592B" w14:textId="77777777">
      <w:pPr>
        <w:autoSpaceDE w:val="0"/>
        <w:autoSpaceDN w:val="0"/>
        <w:adjustRightInd w:val="0"/>
        <w:spacing w:after="60" w:line="240" w:lineRule="atLeast"/>
        <w:rPr>
          <w:rFonts w:eastAsia="Times New Roman" w:cstheme="minorHAnsi"/>
          <w:bCs/>
          <w:i/>
          <w:color w:val="000000"/>
        </w:rPr>
      </w:pPr>
      <w:r w:rsidRPr="003C566B">
        <w:rPr>
          <w:rFonts w:eastAsia="Times New Roman" w:cstheme="minorHAnsi"/>
          <w:bCs/>
          <w:i/>
          <w:color w:val="000000"/>
        </w:rPr>
        <w:t>Data Analysis</w:t>
      </w:r>
    </w:p>
    <w:p w:rsidR="00861A1F" w:rsidP="00554F2C" w14:paraId="67180AB2" w14:textId="351DFDCC">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For each focus group and interview, the Mathematica study team will record the notes in a spreadsheet organized by question. After each focus group and interview, the facilitator and note taker will review the notes and discuss any discrepancies in their interpretations or omissions. If needed, they will refer to the recordings to address the issue. The Mathematica study team will use these finalized notes to identify issues with the existing questions across the range of feedback and</w:t>
      </w:r>
      <w:r w:rsidR="00B006D9">
        <w:rPr>
          <w:rFonts w:eastAsia="Times New Roman" w:cstheme="minorHAnsi"/>
          <w:bCs/>
          <w:color w:val="000000"/>
        </w:rPr>
        <w:t xml:space="preserve"> to propose</w:t>
      </w:r>
      <w:r>
        <w:rPr>
          <w:rFonts w:eastAsia="Times New Roman" w:cstheme="minorHAnsi"/>
          <w:bCs/>
          <w:color w:val="000000"/>
        </w:rPr>
        <w:t xml:space="preserve"> possible solutions for them. </w:t>
      </w:r>
    </w:p>
    <w:p w:rsidR="00554F2C" w:rsidRPr="00E340E8" w:rsidP="009719D4" w14:paraId="3E3BBAD3" w14:textId="77777777">
      <w:pPr>
        <w:autoSpaceDE w:val="0"/>
        <w:autoSpaceDN w:val="0"/>
        <w:adjustRightInd w:val="0"/>
        <w:spacing w:after="0" w:line="240" w:lineRule="atLeast"/>
        <w:rPr>
          <w:rFonts w:eastAsia="Times New Roman" w:cstheme="minorHAnsi"/>
          <w:bCs/>
          <w:color w:val="000000"/>
        </w:rPr>
      </w:pPr>
    </w:p>
    <w:p w:rsidR="00861A1F" w:rsidRPr="002E2E7A" w:rsidP="00BB2B33" w14:paraId="205F3F6F" w14:textId="128BF731">
      <w:pPr>
        <w:autoSpaceDE w:val="0"/>
        <w:autoSpaceDN w:val="0"/>
        <w:adjustRightInd w:val="0"/>
        <w:spacing w:after="60" w:line="240" w:lineRule="atLeast"/>
        <w:rPr>
          <w:rFonts w:eastAsia="Times New Roman" w:cstheme="minorHAnsi"/>
          <w:i/>
          <w:color w:val="000000"/>
        </w:rPr>
      </w:pPr>
      <w:r w:rsidRPr="002E2E7A">
        <w:rPr>
          <w:rFonts w:eastAsia="Times New Roman" w:cstheme="minorHAnsi"/>
          <w:bCs/>
          <w:i/>
          <w:color w:val="000000"/>
        </w:rPr>
        <w:t>Use</w:t>
      </w:r>
      <w:r w:rsidR="00EC1A82">
        <w:rPr>
          <w:rFonts w:eastAsia="Times New Roman" w:cstheme="minorHAnsi"/>
          <w:bCs/>
          <w:i/>
          <w:color w:val="000000"/>
        </w:rPr>
        <w:t xml:space="preserve"> of</w:t>
      </w:r>
      <w:r w:rsidRPr="002E2E7A" w:rsidR="00AB76BB">
        <w:rPr>
          <w:rFonts w:eastAsia="Times New Roman" w:cstheme="minorHAnsi"/>
          <w:bCs/>
          <w:i/>
          <w:color w:val="000000"/>
        </w:rPr>
        <w:t xml:space="preserve"> Information Collected</w:t>
      </w:r>
    </w:p>
    <w:p w:rsidR="001960ED" w:rsidRPr="00F40090" w:rsidP="00F40090" w14:paraId="7C457283" w14:textId="58F3EB45">
      <w:pPr>
        <w:spacing w:after="0" w:line="240" w:lineRule="auto"/>
        <w:rPr>
          <w:rFonts w:eastAsia="Times New Roman" w:cstheme="minorHAnsi"/>
        </w:rPr>
      </w:pPr>
      <w:r>
        <w:rPr>
          <w:rFonts w:eastAsia="Times New Roman" w:cstheme="minorHAnsi"/>
        </w:rPr>
        <w:t xml:space="preserve">The Mathematica study team will summarize findings in an internal ACF memo and briefing to ACF, which will also note any limitations of the data. </w:t>
      </w:r>
      <w:r w:rsidR="00553C3E">
        <w:rPr>
          <w:rFonts w:cstheme="minorHAnsi"/>
        </w:rPr>
        <w:t xml:space="preserve">High-level feedback might be incorporated into a public report summarizing ACF’s proposed revisions to the surveys and data collection guidance. </w:t>
      </w:r>
      <w:r>
        <w:rPr>
          <w:rFonts w:eastAsia="Times New Roman" w:cstheme="minorHAnsi"/>
        </w:rPr>
        <w:t>The</w:t>
      </w:r>
      <w:r w:rsidR="00EC1A82">
        <w:rPr>
          <w:rFonts w:eastAsia="Times New Roman" w:cstheme="minorHAnsi"/>
        </w:rPr>
        <w:t xml:space="preserve"> primary</w:t>
      </w:r>
      <w:r>
        <w:rPr>
          <w:rFonts w:eastAsia="Times New Roman" w:cstheme="minorHAnsi"/>
        </w:rPr>
        <w:t xml:space="preserve"> purpose of the data collection is to inform revisions to performance measures for the HMRF grant program.</w:t>
      </w:r>
    </w:p>
    <w:p w:rsidR="00BB2925" w:rsidRPr="002E2E7A" w:rsidP="008369BA" w14:paraId="0FA0D997" w14:textId="77777777">
      <w:pPr>
        <w:pStyle w:val="ListParagraph"/>
        <w:spacing w:after="0" w:line="240" w:lineRule="auto"/>
        <w:ind w:left="0"/>
        <w:rPr>
          <w:rFonts w:cstheme="minorHAnsi"/>
        </w:rPr>
      </w:pPr>
    </w:p>
    <w:p w:rsidR="00E75D57" w:rsidRPr="002E2E7A" w:rsidP="00E340E8" w14:paraId="37839294" w14:textId="283454A8">
      <w:pPr>
        <w:pStyle w:val="ListParagraph"/>
        <w:numPr>
          <w:ilvl w:val="0"/>
          <w:numId w:val="31"/>
        </w:numPr>
        <w:autoSpaceDE w:val="0"/>
        <w:autoSpaceDN w:val="0"/>
        <w:adjustRightInd w:val="0"/>
        <w:spacing w:after="120" w:line="240" w:lineRule="atLeast"/>
        <w:ind w:left="360"/>
        <w:rPr>
          <w:rFonts w:eastAsia="Times New Roman" w:cstheme="minorHAnsi"/>
          <w:bCs/>
          <w:color w:val="000000"/>
        </w:rPr>
      </w:pPr>
      <w:r w:rsidRPr="002E2E7A">
        <w:rPr>
          <w:rFonts w:eastAsia="Times New Roman" w:cstheme="minorHAnsi"/>
          <w:b/>
          <w:bCs/>
          <w:color w:val="000000"/>
        </w:rPr>
        <w:t>Methods to Maximize Response Rates and Deal with Nonresponse</w:t>
      </w:r>
    </w:p>
    <w:p w:rsidR="00861A1F" w:rsidRPr="002E2E7A" w:rsidP="00BB2B33" w14:paraId="30DCE58E" w14:textId="77777777">
      <w:pPr>
        <w:autoSpaceDE w:val="0"/>
        <w:autoSpaceDN w:val="0"/>
        <w:adjustRightInd w:val="0"/>
        <w:spacing w:after="60" w:line="240" w:lineRule="atLeast"/>
        <w:rPr>
          <w:rFonts w:eastAsia="Times New Roman" w:cstheme="minorHAnsi"/>
          <w:i/>
          <w:color w:val="000000"/>
        </w:rPr>
      </w:pPr>
      <w:r w:rsidRPr="002E2E7A">
        <w:rPr>
          <w:rFonts w:eastAsia="Times New Roman" w:cstheme="minorHAnsi"/>
          <w:i/>
          <w:color w:val="000000"/>
        </w:rPr>
        <w:t>Response Rates</w:t>
      </w:r>
    </w:p>
    <w:p w:rsidR="002E2E7A" w:rsidP="00861A1F" w14:paraId="1AEE49C7" w14:textId="6E18AD76">
      <w:pPr>
        <w:autoSpaceDE w:val="0"/>
        <w:autoSpaceDN w:val="0"/>
        <w:adjustRightInd w:val="0"/>
        <w:spacing w:after="0" w:line="240" w:lineRule="atLeast"/>
        <w:rPr>
          <w:rFonts w:eastAsia="Times New Roman" w:cstheme="minorHAnsi"/>
          <w:color w:val="000000"/>
        </w:rPr>
      </w:pPr>
      <w:r w:rsidRPr="00C32C8A">
        <w:rPr>
          <w:rFonts w:eastAsia="Times New Roman" w:cstheme="minorHAnsi"/>
          <w:color w:val="000000"/>
        </w:rPr>
        <w:t>The focus groups</w:t>
      </w:r>
      <w:r w:rsidR="0022735F">
        <w:rPr>
          <w:rFonts w:eastAsia="Times New Roman" w:cstheme="minorHAnsi"/>
          <w:color w:val="000000"/>
        </w:rPr>
        <w:t xml:space="preserve"> and interviews</w:t>
      </w:r>
      <w:r>
        <w:rPr>
          <w:rFonts w:eastAsia="Times New Roman" w:cstheme="minorHAnsi"/>
          <w:color w:val="000000"/>
        </w:rPr>
        <w:t xml:space="preserve"> </w:t>
      </w:r>
      <w:r w:rsidRPr="00C32C8A">
        <w:rPr>
          <w:rFonts w:eastAsia="Times New Roman" w:cstheme="minorHAnsi"/>
          <w:color w:val="000000"/>
        </w:rPr>
        <w:t>are not designed to produce statistically generalizable findings and participation is wholly at the respondent’s discretion. Response rates will not be calculated or reported.</w:t>
      </w:r>
    </w:p>
    <w:p w:rsidR="00DB6311" w:rsidRPr="002E2E7A" w:rsidP="00861A1F" w14:paraId="65BAB4E5" w14:textId="77777777">
      <w:pPr>
        <w:autoSpaceDE w:val="0"/>
        <w:autoSpaceDN w:val="0"/>
        <w:adjustRightInd w:val="0"/>
        <w:spacing w:after="0" w:line="240" w:lineRule="atLeast"/>
        <w:rPr>
          <w:rFonts w:eastAsia="Times New Roman" w:cstheme="minorHAnsi"/>
          <w:i/>
          <w:color w:val="000000"/>
        </w:rPr>
      </w:pPr>
    </w:p>
    <w:p w:rsidR="00861A1F" w:rsidRPr="002E2E7A" w:rsidP="00BB2B33" w14:paraId="33398FA8" w14:textId="77777777">
      <w:pPr>
        <w:autoSpaceDE w:val="0"/>
        <w:autoSpaceDN w:val="0"/>
        <w:adjustRightInd w:val="0"/>
        <w:spacing w:after="60" w:line="240" w:lineRule="atLeast"/>
        <w:rPr>
          <w:rFonts w:eastAsia="Times New Roman" w:cstheme="minorHAnsi"/>
          <w:i/>
          <w:color w:val="000000"/>
        </w:rPr>
      </w:pPr>
      <w:r w:rsidRPr="002E2E7A">
        <w:rPr>
          <w:rFonts w:eastAsia="Times New Roman" w:cstheme="minorHAnsi"/>
          <w:i/>
          <w:color w:val="000000"/>
        </w:rPr>
        <w:t>NonResponse</w:t>
      </w:r>
    </w:p>
    <w:p w:rsidR="00F40090" w:rsidP="00F40090" w14:paraId="1BB472C0" w14:textId="4C097C13">
      <w:pPr>
        <w:autoSpaceDE w:val="0"/>
        <w:autoSpaceDN w:val="0"/>
        <w:adjustRightInd w:val="0"/>
        <w:spacing w:after="0" w:line="240" w:lineRule="atLeast"/>
        <w:rPr>
          <w:rFonts w:eastAsia="Times New Roman" w:cstheme="minorHAnsi"/>
          <w:color w:val="000000"/>
        </w:rPr>
      </w:pPr>
      <w:r>
        <w:rPr>
          <w:rFonts w:eastAsia="Times New Roman" w:cstheme="minorHAnsi"/>
          <w:color w:val="000000"/>
        </w:rPr>
        <w:t>Because focus group and interview</w:t>
      </w:r>
      <w:r w:rsidRPr="00C32C8A">
        <w:rPr>
          <w:rFonts w:eastAsia="Times New Roman" w:cstheme="minorHAnsi"/>
          <w:color w:val="000000"/>
        </w:rPr>
        <w:t xml:space="preserve"> </w:t>
      </w:r>
      <w:r>
        <w:rPr>
          <w:rFonts w:eastAsia="Times New Roman" w:cstheme="minorHAnsi"/>
          <w:color w:val="000000"/>
        </w:rPr>
        <w:t xml:space="preserve">respondents </w:t>
      </w:r>
      <w:r w:rsidRPr="00C32C8A">
        <w:rPr>
          <w:rFonts w:eastAsia="Times New Roman" w:cstheme="minorHAnsi"/>
          <w:color w:val="000000"/>
        </w:rPr>
        <w:t xml:space="preserve">will not be randomly </w:t>
      </w:r>
      <w:r w:rsidRPr="00C32C8A">
        <w:rPr>
          <w:rFonts w:eastAsia="Times New Roman" w:cstheme="minorHAnsi"/>
          <w:color w:val="000000"/>
        </w:rPr>
        <w:t>sampled</w:t>
      </w:r>
      <w:r w:rsidRPr="00C32C8A">
        <w:rPr>
          <w:rFonts w:eastAsia="Times New Roman" w:cstheme="minorHAnsi"/>
          <w:color w:val="000000"/>
        </w:rPr>
        <w:t xml:space="preserve"> and findings are not intended to be representative, non-response bias will not be calculated. Respondent demographics will be documented and reported in written materials associated with the data collection.</w:t>
      </w:r>
    </w:p>
    <w:p w:rsidR="00487654" w:rsidP="00FF6339" w14:paraId="6A3764F2" w14:textId="63307868">
      <w:pPr>
        <w:pStyle w:val="ListParagraph"/>
        <w:spacing w:after="0" w:line="240" w:lineRule="auto"/>
        <w:ind w:left="0"/>
        <w:rPr>
          <w:rFonts w:cstheme="minorHAnsi"/>
        </w:rPr>
      </w:pPr>
    </w:p>
    <w:p w:rsidR="007A5C1B" w:rsidP="00FF6339" w14:paraId="6DDE5D1A" w14:textId="77777777">
      <w:pPr>
        <w:pStyle w:val="ListParagraph"/>
        <w:spacing w:after="0" w:line="240" w:lineRule="auto"/>
        <w:ind w:left="0"/>
        <w:rPr>
          <w:rFonts w:cstheme="minorHAnsi"/>
        </w:rPr>
      </w:pPr>
    </w:p>
    <w:p w:rsidR="007A5C1B" w:rsidP="00FF6339" w14:paraId="20FCFC08" w14:textId="77777777">
      <w:pPr>
        <w:pStyle w:val="ListParagraph"/>
        <w:spacing w:after="0" w:line="240" w:lineRule="auto"/>
        <w:ind w:left="0"/>
        <w:rPr>
          <w:rFonts w:cstheme="minorHAnsi"/>
        </w:rPr>
      </w:pPr>
    </w:p>
    <w:p w:rsidR="007A5C1B" w:rsidRPr="00FF6339" w:rsidP="00FF6339" w14:paraId="477ABDD2" w14:textId="77777777">
      <w:pPr>
        <w:pStyle w:val="ListParagraph"/>
        <w:spacing w:after="0" w:line="240" w:lineRule="auto"/>
        <w:ind w:left="0"/>
        <w:rPr>
          <w:rFonts w:cstheme="minorHAnsi"/>
        </w:rPr>
      </w:pPr>
    </w:p>
    <w:p w:rsidR="00861A1F" w:rsidRPr="002E2E7A" w:rsidP="00E340E8" w14:paraId="5D4B14EA" w14:textId="55B98EC1">
      <w:pPr>
        <w:pStyle w:val="ListParagraph"/>
        <w:numPr>
          <w:ilvl w:val="0"/>
          <w:numId w:val="31"/>
        </w:numPr>
        <w:autoSpaceDE w:val="0"/>
        <w:autoSpaceDN w:val="0"/>
        <w:adjustRightInd w:val="0"/>
        <w:spacing w:after="120" w:line="240" w:lineRule="atLeast"/>
        <w:ind w:left="360"/>
        <w:rPr>
          <w:rFonts w:eastAsia="Times New Roman" w:cstheme="minorHAnsi"/>
          <w:b/>
          <w:bCs/>
          <w:color w:val="000000"/>
        </w:rPr>
      </w:pPr>
      <w:r w:rsidRPr="002E2E7A">
        <w:rPr>
          <w:rFonts w:eastAsia="Times New Roman" w:cstheme="minorHAnsi"/>
          <w:b/>
          <w:bCs/>
          <w:color w:val="000000"/>
        </w:rPr>
        <w:t>Test of Procedures or Methods to be Taken</w:t>
      </w:r>
    </w:p>
    <w:p w:rsidR="00861A1F" w:rsidRPr="002E2E7A" w:rsidP="00BB2B33" w14:paraId="0F81D62F" w14:textId="44FAB451">
      <w:pPr>
        <w:autoSpaceDE w:val="0"/>
        <w:autoSpaceDN w:val="0"/>
        <w:adjustRightInd w:val="0"/>
        <w:spacing w:after="60" w:line="240" w:lineRule="atLeast"/>
        <w:rPr>
          <w:rFonts w:eastAsia="Times New Roman" w:cstheme="minorHAnsi"/>
          <w:i/>
          <w:color w:val="000000"/>
        </w:rPr>
      </w:pPr>
      <w:r w:rsidRPr="002E2E7A">
        <w:rPr>
          <w:rFonts w:eastAsia="Times New Roman" w:cstheme="minorHAnsi"/>
          <w:i/>
          <w:color w:val="000000"/>
        </w:rPr>
        <w:t>Development of Data Collection Instruments</w:t>
      </w:r>
    </w:p>
    <w:p w:rsidR="00F40090" w:rsidP="00CB0C9D" w14:paraId="56FA5EC7" w14:textId="1E5BD18B">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The study team developed </w:t>
      </w:r>
      <w:r w:rsidR="003C566B">
        <w:rPr>
          <w:rFonts w:eastAsia="Times New Roman" w:cstheme="minorHAnsi"/>
          <w:color w:val="000000"/>
        </w:rPr>
        <w:t>f</w:t>
      </w:r>
      <w:r w:rsidR="004D73C9">
        <w:rPr>
          <w:rFonts w:eastAsia="Times New Roman" w:cstheme="minorHAnsi"/>
          <w:color w:val="000000"/>
        </w:rPr>
        <w:t>ive</w:t>
      </w:r>
      <w:r w:rsidR="003C566B">
        <w:rPr>
          <w:rFonts w:eastAsia="Times New Roman" w:cstheme="minorHAnsi"/>
          <w:color w:val="000000"/>
        </w:rPr>
        <w:t xml:space="preserve"> </w:t>
      </w:r>
      <w:r>
        <w:rPr>
          <w:rFonts w:eastAsia="Times New Roman" w:cstheme="minorHAnsi"/>
          <w:color w:val="000000"/>
        </w:rPr>
        <w:t xml:space="preserve">data collection </w:t>
      </w:r>
      <w:r w:rsidR="003C566B">
        <w:rPr>
          <w:rFonts w:eastAsia="Times New Roman" w:cstheme="minorHAnsi"/>
          <w:color w:val="000000"/>
        </w:rPr>
        <w:t xml:space="preserve">instruments </w:t>
      </w:r>
      <w:r>
        <w:rPr>
          <w:rFonts w:eastAsia="Times New Roman" w:cstheme="minorHAnsi"/>
          <w:color w:val="000000"/>
        </w:rPr>
        <w:t>for this study. The</w:t>
      </w:r>
      <w:r w:rsidR="003C566B">
        <w:rPr>
          <w:rFonts w:eastAsia="Times New Roman" w:cstheme="minorHAnsi"/>
          <w:color w:val="000000"/>
        </w:rPr>
        <w:t>se</w:t>
      </w:r>
      <w:r>
        <w:rPr>
          <w:rFonts w:eastAsia="Times New Roman" w:cstheme="minorHAnsi"/>
          <w:color w:val="000000"/>
        </w:rPr>
        <w:t xml:space="preserve"> include </w:t>
      </w:r>
      <w:r w:rsidR="00373ED8">
        <w:rPr>
          <w:rFonts w:eastAsia="Times New Roman" w:cstheme="minorHAnsi"/>
          <w:color w:val="000000"/>
        </w:rPr>
        <w:t xml:space="preserve">a </w:t>
      </w:r>
      <w:r w:rsidR="005B59C7">
        <w:rPr>
          <w:rFonts w:eastAsia="Times New Roman" w:cstheme="minorHAnsi"/>
          <w:color w:val="000000"/>
        </w:rPr>
        <w:t xml:space="preserve">grant recipient recruitment protocol that </w:t>
      </w:r>
      <w:r w:rsidRPr="004D73C9" w:rsidR="004D73C9">
        <w:rPr>
          <w:rFonts w:eastAsia="Times New Roman" w:cstheme="minorHAnsi"/>
          <w:color w:val="000000"/>
        </w:rPr>
        <w:t>Mathematica staff will</w:t>
      </w:r>
      <w:r w:rsidR="005B59C7">
        <w:rPr>
          <w:rFonts w:eastAsia="Times New Roman" w:cstheme="minorHAnsi"/>
          <w:color w:val="000000"/>
        </w:rPr>
        <w:t xml:space="preserve"> use during a phone call with grant recipients to</w:t>
      </w:r>
      <w:r w:rsidRPr="004D73C9" w:rsidR="004D73C9">
        <w:rPr>
          <w:rFonts w:eastAsia="Times New Roman" w:cstheme="minorHAnsi"/>
          <w:color w:val="000000"/>
        </w:rPr>
        <w:t xml:space="preserve"> describe the data collection and answer any questions the grant recipient staff have (Instrument 1)</w:t>
      </w:r>
      <w:r w:rsidR="00353C19">
        <w:rPr>
          <w:rFonts w:eastAsia="Times New Roman" w:cstheme="minorHAnsi"/>
          <w:color w:val="000000"/>
        </w:rPr>
        <w:t xml:space="preserve">, a </w:t>
      </w:r>
      <w:r w:rsidR="0022735F">
        <w:rPr>
          <w:rFonts w:eastAsia="Times New Roman" w:cstheme="minorHAnsi"/>
          <w:color w:val="000000"/>
        </w:rPr>
        <w:t>demographic survey</w:t>
      </w:r>
      <w:r>
        <w:rPr>
          <w:rFonts w:eastAsia="Times New Roman" w:cstheme="minorHAnsi"/>
          <w:color w:val="000000"/>
        </w:rPr>
        <w:t xml:space="preserve"> </w:t>
      </w:r>
      <w:r w:rsidR="0022735F">
        <w:rPr>
          <w:rFonts w:eastAsia="Times New Roman" w:cstheme="minorHAnsi"/>
          <w:color w:val="000000"/>
        </w:rPr>
        <w:t>to collect information from the clients participating in</w:t>
      </w:r>
      <w:r>
        <w:rPr>
          <w:rFonts w:eastAsia="Times New Roman" w:cstheme="minorHAnsi"/>
          <w:color w:val="000000"/>
        </w:rPr>
        <w:t xml:space="preserve"> focus groups</w:t>
      </w:r>
      <w:r w:rsidR="0022735F">
        <w:rPr>
          <w:rFonts w:eastAsia="Times New Roman" w:cstheme="minorHAnsi"/>
          <w:color w:val="000000"/>
        </w:rPr>
        <w:t xml:space="preserve"> and interviews</w:t>
      </w:r>
      <w:r>
        <w:rPr>
          <w:rFonts w:eastAsia="Times New Roman" w:cstheme="minorHAnsi"/>
          <w:color w:val="000000"/>
        </w:rPr>
        <w:t xml:space="preserve"> (Instrument </w:t>
      </w:r>
      <w:r w:rsidR="004D73C9">
        <w:rPr>
          <w:rFonts w:eastAsia="Times New Roman" w:cstheme="minorHAnsi"/>
          <w:color w:val="000000"/>
        </w:rPr>
        <w:t>2</w:t>
      </w:r>
      <w:r>
        <w:rPr>
          <w:rFonts w:eastAsia="Times New Roman" w:cstheme="minorHAnsi"/>
          <w:color w:val="000000"/>
        </w:rPr>
        <w:t>)</w:t>
      </w:r>
      <w:r w:rsidR="00373ED8">
        <w:rPr>
          <w:rFonts w:eastAsia="Times New Roman" w:cstheme="minorHAnsi"/>
          <w:color w:val="000000"/>
        </w:rPr>
        <w:t xml:space="preserve"> and </w:t>
      </w:r>
      <w:r>
        <w:rPr>
          <w:rFonts w:eastAsia="Times New Roman" w:cstheme="minorHAnsi"/>
          <w:color w:val="000000"/>
        </w:rPr>
        <w:t xml:space="preserve">three protocols that correspond to the different </w:t>
      </w:r>
      <w:r w:rsidR="00373ED8">
        <w:rPr>
          <w:rFonts w:eastAsia="Times New Roman" w:cstheme="minorHAnsi"/>
          <w:color w:val="000000"/>
        </w:rPr>
        <w:t>HMRF client types that will participate in the focus group or interview</w:t>
      </w:r>
      <w:r w:rsidR="0022735F">
        <w:rPr>
          <w:rFonts w:eastAsia="Times New Roman" w:cstheme="minorHAnsi"/>
          <w:color w:val="000000"/>
        </w:rPr>
        <w:t xml:space="preserve"> (</w:t>
      </w:r>
      <w:r w:rsidR="00E340E8">
        <w:rPr>
          <w:rFonts w:eastAsia="Times New Roman" w:cstheme="minorHAnsi"/>
          <w:color w:val="000000"/>
        </w:rPr>
        <w:t xml:space="preserve">Instrument </w:t>
      </w:r>
      <w:r w:rsidR="004D73C9">
        <w:rPr>
          <w:rFonts w:eastAsia="Times New Roman" w:cstheme="minorHAnsi"/>
          <w:color w:val="000000"/>
        </w:rPr>
        <w:t>3</w:t>
      </w:r>
      <w:r w:rsidR="00E340E8">
        <w:rPr>
          <w:rFonts w:eastAsia="Times New Roman" w:cstheme="minorHAnsi"/>
          <w:color w:val="000000"/>
        </w:rPr>
        <w:t xml:space="preserve">: </w:t>
      </w:r>
      <w:r>
        <w:rPr>
          <w:rFonts w:eastAsia="Times New Roman" w:cstheme="minorHAnsi"/>
          <w:color w:val="000000"/>
        </w:rPr>
        <w:t>HM youth focus group</w:t>
      </w:r>
      <w:r w:rsidR="00373ED8">
        <w:rPr>
          <w:rFonts w:eastAsia="Times New Roman" w:cstheme="minorHAnsi"/>
          <w:color w:val="000000"/>
        </w:rPr>
        <w:t xml:space="preserve"> </w:t>
      </w:r>
      <w:r w:rsidR="00E340E8">
        <w:rPr>
          <w:rFonts w:eastAsia="Times New Roman" w:cstheme="minorHAnsi"/>
          <w:color w:val="000000"/>
        </w:rPr>
        <w:t xml:space="preserve">and </w:t>
      </w:r>
      <w:r w:rsidR="00373ED8">
        <w:rPr>
          <w:rFonts w:eastAsia="Times New Roman" w:cstheme="minorHAnsi"/>
          <w:color w:val="000000"/>
        </w:rPr>
        <w:t>interview protocol</w:t>
      </w:r>
      <w:r w:rsidR="0022735F">
        <w:rPr>
          <w:rFonts w:eastAsia="Times New Roman" w:cstheme="minorHAnsi"/>
          <w:color w:val="000000"/>
        </w:rPr>
        <w:t>;</w:t>
      </w:r>
      <w:r>
        <w:rPr>
          <w:rFonts w:eastAsia="Times New Roman" w:cstheme="minorHAnsi"/>
          <w:color w:val="000000"/>
        </w:rPr>
        <w:t xml:space="preserve"> </w:t>
      </w:r>
      <w:r w:rsidR="00E340E8">
        <w:rPr>
          <w:rFonts w:eastAsia="Times New Roman" w:cstheme="minorHAnsi"/>
          <w:color w:val="000000"/>
        </w:rPr>
        <w:t xml:space="preserve">Instrument </w:t>
      </w:r>
      <w:r w:rsidR="004D73C9">
        <w:rPr>
          <w:rFonts w:eastAsia="Times New Roman" w:cstheme="minorHAnsi"/>
          <w:color w:val="000000"/>
        </w:rPr>
        <w:t>4</w:t>
      </w:r>
      <w:r w:rsidR="00E340E8">
        <w:rPr>
          <w:rFonts w:eastAsia="Times New Roman" w:cstheme="minorHAnsi"/>
          <w:color w:val="000000"/>
        </w:rPr>
        <w:t xml:space="preserve">: </w:t>
      </w:r>
      <w:r>
        <w:rPr>
          <w:rFonts w:eastAsia="Times New Roman" w:cstheme="minorHAnsi"/>
          <w:color w:val="000000"/>
        </w:rPr>
        <w:t>HM adult focus group</w:t>
      </w:r>
      <w:r w:rsidR="00373ED8">
        <w:rPr>
          <w:rFonts w:eastAsia="Times New Roman" w:cstheme="minorHAnsi"/>
          <w:color w:val="000000"/>
        </w:rPr>
        <w:t xml:space="preserve"> </w:t>
      </w:r>
      <w:r w:rsidR="00E340E8">
        <w:rPr>
          <w:rFonts w:eastAsia="Times New Roman" w:cstheme="minorHAnsi"/>
          <w:color w:val="000000"/>
        </w:rPr>
        <w:t>and</w:t>
      </w:r>
      <w:r w:rsidR="00373ED8">
        <w:rPr>
          <w:rFonts w:eastAsia="Times New Roman" w:cstheme="minorHAnsi"/>
          <w:color w:val="000000"/>
        </w:rPr>
        <w:t xml:space="preserve"> interview protocol</w:t>
      </w:r>
      <w:r w:rsidR="0022735F">
        <w:rPr>
          <w:rFonts w:eastAsia="Times New Roman" w:cstheme="minorHAnsi"/>
          <w:color w:val="000000"/>
        </w:rPr>
        <w:t>;</w:t>
      </w:r>
      <w:r>
        <w:rPr>
          <w:rFonts w:eastAsia="Times New Roman" w:cstheme="minorHAnsi"/>
          <w:color w:val="000000"/>
        </w:rPr>
        <w:t xml:space="preserve"> and </w:t>
      </w:r>
      <w:r w:rsidR="00E340E8">
        <w:rPr>
          <w:rFonts w:eastAsia="Times New Roman" w:cstheme="minorHAnsi"/>
          <w:color w:val="000000"/>
        </w:rPr>
        <w:t xml:space="preserve">Instrument </w:t>
      </w:r>
      <w:r w:rsidR="004D73C9">
        <w:rPr>
          <w:rFonts w:eastAsia="Times New Roman" w:cstheme="minorHAnsi"/>
          <w:color w:val="000000"/>
        </w:rPr>
        <w:t>5</w:t>
      </w:r>
      <w:r w:rsidR="00E340E8">
        <w:rPr>
          <w:rFonts w:eastAsia="Times New Roman" w:cstheme="minorHAnsi"/>
          <w:color w:val="000000"/>
        </w:rPr>
        <w:t xml:space="preserve">: </w:t>
      </w:r>
      <w:r>
        <w:rPr>
          <w:rFonts w:eastAsia="Times New Roman" w:cstheme="minorHAnsi"/>
          <w:color w:val="000000"/>
        </w:rPr>
        <w:t xml:space="preserve">RF </w:t>
      </w:r>
      <w:r w:rsidR="00E340E8">
        <w:rPr>
          <w:rFonts w:eastAsia="Times New Roman" w:cstheme="minorHAnsi"/>
          <w:color w:val="000000"/>
        </w:rPr>
        <w:t xml:space="preserve">community </w:t>
      </w:r>
      <w:r>
        <w:rPr>
          <w:rFonts w:eastAsia="Times New Roman" w:cstheme="minorHAnsi"/>
          <w:color w:val="000000"/>
        </w:rPr>
        <w:t>fathers focus group</w:t>
      </w:r>
      <w:r w:rsidR="00373ED8">
        <w:rPr>
          <w:rFonts w:eastAsia="Times New Roman" w:cstheme="minorHAnsi"/>
          <w:color w:val="000000"/>
        </w:rPr>
        <w:t xml:space="preserve"> </w:t>
      </w:r>
      <w:r w:rsidR="00E340E8">
        <w:rPr>
          <w:rFonts w:eastAsia="Times New Roman" w:cstheme="minorHAnsi"/>
          <w:color w:val="000000"/>
        </w:rPr>
        <w:t>and</w:t>
      </w:r>
      <w:r w:rsidR="00373ED8">
        <w:rPr>
          <w:rFonts w:eastAsia="Times New Roman" w:cstheme="minorHAnsi"/>
          <w:color w:val="000000"/>
        </w:rPr>
        <w:t xml:space="preserve"> interview protocol</w:t>
      </w:r>
      <w:r>
        <w:rPr>
          <w:rFonts w:eastAsia="Times New Roman" w:cstheme="minorHAnsi"/>
          <w:color w:val="000000"/>
        </w:rPr>
        <w:t>)</w:t>
      </w:r>
      <w:r w:rsidR="00FF6339">
        <w:rPr>
          <w:rFonts w:eastAsia="Times New Roman" w:cstheme="minorHAnsi"/>
          <w:color w:val="000000"/>
        </w:rPr>
        <w:t xml:space="preserve">. </w:t>
      </w:r>
      <w:r w:rsidR="00A95310">
        <w:rPr>
          <w:rFonts w:eastAsia="Times New Roman" w:cstheme="minorHAnsi"/>
          <w:color w:val="000000"/>
        </w:rPr>
        <w:t>Each protocol ca</w:t>
      </w:r>
      <w:r w:rsidR="00E340E8">
        <w:rPr>
          <w:rFonts w:eastAsia="Times New Roman" w:cstheme="minorHAnsi"/>
          <w:color w:val="000000"/>
        </w:rPr>
        <w:t>n</w:t>
      </w:r>
      <w:r w:rsidR="00A95310">
        <w:rPr>
          <w:rFonts w:eastAsia="Times New Roman" w:cstheme="minorHAnsi"/>
          <w:color w:val="000000"/>
        </w:rPr>
        <w:t xml:space="preserve"> be used for either a focus group or an individual interview. </w:t>
      </w:r>
    </w:p>
    <w:p w:rsidR="00F40090" w:rsidP="00CB0C9D" w14:paraId="5E12D6A0" w14:textId="77777777">
      <w:pPr>
        <w:autoSpaceDE w:val="0"/>
        <w:autoSpaceDN w:val="0"/>
        <w:adjustRightInd w:val="0"/>
        <w:spacing w:after="0" w:line="240" w:lineRule="atLeast"/>
        <w:rPr>
          <w:rFonts w:eastAsia="Times New Roman" w:cstheme="minorHAnsi"/>
          <w:color w:val="000000"/>
        </w:rPr>
      </w:pPr>
    </w:p>
    <w:p w:rsidR="00F40090" w:rsidP="00CB0C9D" w14:paraId="13C0AC44" w14:textId="1D80FC14">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Questions in the </w:t>
      </w:r>
      <w:r w:rsidR="00C91C7B">
        <w:rPr>
          <w:rFonts w:eastAsia="Times New Roman" w:cstheme="minorHAnsi"/>
          <w:color w:val="000000"/>
        </w:rPr>
        <w:t>demographic survey</w:t>
      </w:r>
      <w:r>
        <w:rPr>
          <w:rFonts w:eastAsia="Times New Roman" w:cstheme="minorHAnsi"/>
          <w:color w:val="000000"/>
        </w:rPr>
        <w:t xml:space="preserve"> (Instrument </w:t>
      </w:r>
      <w:r w:rsidR="004D73C9">
        <w:rPr>
          <w:rFonts w:eastAsia="Times New Roman" w:cstheme="minorHAnsi"/>
          <w:color w:val="000000"/>
        </w:rPr>
        <w:t>2</w:t>
      </w:r>
      <w:r>
        <w:rPr>
          <w:rFonts w:eastAsia="Times New Roman" w:cstheme="minorHAnsi"/>
          <w:color w:val="000000"/>
        </w:rPr>
        <w:t xml:space="preserve">) are based on the demographic items asked on the existing </w:t>
      </w:r>
      <w:r w:rsidR="00FF6339">
        <w:rPr>
          <w:rFonts w:eastAsia="Times New Roman" w:cstheme="minorHAnsi"/>
          <w:color w:val="000000"/>
        </w:rPr>
        <w:t xml:space="preserve">HMRF program client </w:t>
      </w:r>
      <w:r>
        <w:rPr>
          <w:rFonts w:eastAsia="Times New Roman" w:cstheme="minorHAnsi"/>
          <w:color w:val="000000"/>
        </w:rPr>
        <w:t xml:space="preserve">surveys (OMB No.: 0970-0566, Exp. </w:t>
      </w:r>
      <w:r w:rsidR="002E5CE3">
        <w:rPr>
          <w:rFonts w:eastAsia="Times New Roman" w:cstheme="minorHAnsi"/>
          <w:color w:val="000000"/>
        </w:rPr>
        <w:t>03</w:t>
      </w:r>
      <w:r>
        <w:rPr>
          <w:rFonts w:eastAsia="Times New Roman" w:cstheme="minorHAnsi"/>
          <w:color w:val="000000"/>
        </w:rPr>
        <w:t>/3</w:t>
      </w:r>
      <w:r w:rsidR="002E5CE3">
        <w:rPr>
          <w:rFonts w:eastAsia="Times New Roman" w:cstheme="minorHAnsi"/>
          <w:color w:val="000000"/>
        </w:rPr>
        <w:t>1</w:t>
      </w:r>
      <w:r>
        <w:rPr>
          <w:rFonts w:eastAsia="Times New Roman" w:cstheme="minorHAnsi"/>
          <w:color w:val="000000"/>
        </w:rPr>
        <w:t>/2</w:t>
      </w:r>
      <w:r w:rsidR="002E5CE3">
        <w:rPr>
          <w:rFonts w:eastAsia="Times New Roman" w:cstheme="minorHAnsi"/>
          <w:color w:val="000000"/>
        </w:rPr>
        <w:t>027</w:t>
      </w:r>
      <w:r>
        <w:rPr>
          <w:rFonts w:eastAsia="Times New Roman" w:cstheme="minorHAnsi"/>
          <w:color w:val="000000"/>
        </w:rPr>
        <w:t xml:space="preserve">), with </w:t>
      </w:r>
      <w:r w:rsidR="00E0024C">
        <w:rPr>
          <w:rFonts w:eastAsia="Times New Roman" w:cstheme="minorHAnsi"/>
          <w:color w:val="000000"/>
        </w:rPr>
        <w:t xml:space="preserve">a new question </w:t>
      </w:r>
      <w:r>
        <w:rPr>
          <w:rFonts w:eastAsia="Times New Roman" w:cstheme="minorHAnsi"/>
          <w:color w:val="000000"/>
        </w:rPr>
        <w:t>on race</w:t>
      </w:r>
      <w:r w:rsidR="00E0024C">
        <w:rPr>
          <w:rFonts w:eastAsia="Times New Roman" w:cstheme="minorHAnsi"/>
          <w:color w:val="000000"/>
        </w:rPr>
        <w:t xml:space="preserve"> and </w:t>
      </w:r>
      <w:r>
        <w:rPr>
          <w:rFonts w:eastAsia="Times New Roman" w:cstheme="minorHAnsi"/>
          <w:color w:val="000000"/>
        </w:rPr>
        <w:t>ethnic identity</w:t>
      </w:r>
      <w:r w:rsidR="00C91C7B">
        <w:rPr>
          <w:rFonts w:eastAsia="Times New Roman" w:cstheme="minorHAnsi"/>
          <w:color w:val="000000"/>
        </w:rPr>
        <w:t xml:space="preserve">, consistent with OMB’s new guidance </w:t>
      </w:r>
      <w:r w:rsidR="00E0024C">
        <w:rPr>
          <w:rFonts w:eastAsia="Times New Roman" w:cstheme="minorHAnsi"/>
          <w:color w:val="000000"/>
        </w:rPr>
        <w:t>for</w:t>
      </w:r>
      <w:r w:rsidR="00C91C7B">
        <w:rPr>
          <w:rFonts w:eastAsia="Times New Roman" w:cstheme="minorHAnsi"/>
          <w:color w:val="000000"/>
        </w:rPr>
        <w:t xml:space="preserve"> collecting this information</w:t>
      </w:r>
      <w:r>
        <w:rPr>
          <w:rFonts w:eastAsia="Times New Roman" w:cstheme="minorHAnsi"/>
          <w:color w:val="000000"/>
        </w:rPr>
        <w:t>.</w:t>
      </w:r>
      <w:r>
        <w:rPr>
          <w:rStyle w:val="FootnoteReference"/>
          <w:rFonts w:eastAsia="Times New Roman" w:cstheme="minorHAnsi"/>
          <w:color w:val="000000"/>
        </w:rPr>
        <w:footnoteReference w:id="3"/>
      </w:r>
      <w:r>
        <w:rPr>
          <w:rFonts w:eastAsia="Times New Roman" w:cstheme="minorHAnsi"/>
          <w:color w:val="000000"/>
        </w:rPr>
        <w:t xml:space="preserve"> </w:t>
      </w:r>
    </w:p>
    <w:p w:rsidR="00F40090" w:rsidP="00CB0C9D" w14:paraId="619D7502" w14:textId="77777777">
      <w:pPr>
        <w:autoSpaceDE w:val="0"/>
        <w:autoSpaceDN w:val="0"/>
        <w:adjustRightInd w:val="0"/>
        <w:spacing w:after="0" w:line="240" w:lineRule="atLeast"/>
        <w:rPr>
          <w:rFonts w:eastAsia="Times New Roman" w:cstheme="minorHAnsi"/>
          <w:color w:val="000000"/>
        </w:rPr>
      </w:pPr>
    </w:p>
    <w:p w:rsidR="00F40090" w:rsidP="00CB0C9D" w14:paraId="709EB26D" w14:textId="2D20AB62">
      <w:pPr>
        <w:autoSpaceDE w:val="0"/>
        <w:autoSpaceDN w:val="0"/>
        <w:adjustRightInd w:val="0"/>
        <w:spacing w:after="0" w:line="240" w:lineRule="atLeast"/>
      </w:pPr>
      <w:r>
        <w:rPr>
          <w:rFonts w:eastAsia="Times New Roman" w:cstheme="minorHAnsi"/>
          <w:color w:val="000000"/>
        </w:rPr>
        <w:t>The focus group</w:t>
      </w:r>
      <w:r w:rsidR="00FF6339">
        <w:rPr>
          <w:rFonts w:eastAsia="Times New Roman" w:cstheme="minorHAnsi"/>
          <w:color w:val="000000"/>
        </w:rPr>
        <w:t xml:space="preserve"> and interview</w:t>
      </w:r>
      <w:r>
        <w:rPr>
          <w:rFonts w:eastAsia="Times New Roman" w:cstheme="minorHAnsi"/>
          <w:color w:val="000000"/>
        </w:rPr>
        <w:t xml:space="preserve"> protocols (Instruments </w:t>
      </w:r>
      <w:r w:rsidR="004D73C9">
        <w:rPr>
          <w:rFonts w:eastAsia="Times New Roman" w:cstheme="minorHAnsi"/>
          <w:color w:val="000000"/>
        </w:rPr>
        <w:t>3</w:t>
      </w:r>
      <w:r>
        <w:rPr>
          <w:rFonts w:eastAsia="Times New Roman" w:cstheme="minorHAnsi"/>
          <w:color w:val="000000"/>
        </w:rPr>
        <w:t xml:space="preserve"> – </w:t>
      </w:r>
      <w:r w:rsidR="004D73C9">
        <w:rPr>
          <w:rFonts w:eastAsia="Times New Roman" w:cstheme="minorHAnsi"/>
          <w:color w:val="000000"/>
        </w:rPr>
        <w:t>5</w:t>
      </w:r>
      <w:r>
        <w:rPr>
          <w:rFonts w:eastAsia="Times New Roman" w:cstheme="minorHAnsi"/>
          <w:color w:val="000000"/>
        </w:rPr>
        <w:t>)</w:t>
      </w:r>
      <w:r w:rsidR="00E25225">
        <w:rPr>
          <w:rFonts w:eastAsia="Times New Roman" w:cstheme="minorHAnsi"/>
          <w:color w:val="000000"/>
        </w:rPr>
        <w:t xml:space="preserve"> </w:t>
      </w:r>
      <w:r>
        <w:rPr>
          <w:rFonts w:eastAsia="Times New Roman" w:cstheme="minorHAnsi"/>
          <w:color w:val="000000"/>
        </w:rPr>
        <w:t xml:space="preserve">are structured around </w:t>
      </w:r>
      <w:r w:rsidR="00FF6339">
        <w:rPr>
          <w:rFonts w:eastAsia="Times New Roman" w:cstheme="minorHAnsi"/>
          <w:color w:val="000000"/>
        </w:rPr>
        <w:t xml:space="preserve">the questions asked on the </w:t>
      </w:r>
      <w:r>
        <w:rPr>
          <w:rFonts w:eastAsia="Times New Roman" w:cstheme="minorHAnsi"/>
          <w:color w:val="000000"/>
        </w:rPr>
        <w:t xml:space="preserve">existing </w:t>
      </w:r>
      <w:r w:rsidR="00FF6339">
        <w:rPr>
          <w:rFonts w:eastAsia="Times New Roman" w:cstheme="minorHAnsi"/>
          <w:color w:val="000000"/>
        </w:rPr>
        <w:t xml:space="preserve">HMRF program client </w:t>
      </w:r>
      <w:r>
        <w:rPr>
          <w:rFonts w:eastAsia="Times New Roman" w:cstheme="minorHAnsi"/>
          <w:color w:val="000000"/>
        </w:rPr>
        <w:t>surveys (</w:t>
      </w:r>
      <w:r>
        <w:t>OMB No.: 0970-0566, Exp.: 0</w:t>
      </w:r>
      <w:r w:rsidR="002E5CE3">
        <w:t>3</w:t>
      </w:r>
      <w:r>
        <w:t>/3</w:t>
      </w:r>
      <w:r w:rsidR="002E5CE3">
        <w:t>1</w:t>
      </w:r>
      <w:r>
        <w:t>/202</w:t>
      </w:r>
      <w:r w:rsidR="002E5CE3">
        <w:t>7</w:t>
      </w:r>
      <w:r>
        <w:t xml:space="preserve">). </w:t>
      </w:r>
      <w:r w:rsidR="00E25225">
        <w:t>Before</w:t>
      </w:r>
      <w:r>
        <w:t xml:space="preserve"> the focus group</w:t>
      </w:r>
      <w:r w:rsidR="00FF6339">
        <w:t xml:space="preserve"> or interview begins</w:t>
      </w:r>
      <w:r>
        <w:t xml:space="preserve">, </w:t>
      </w:r>
      <w:r w:rsidR="00CB344B">
        <w:t>client</w:t>
      </w:r>
      <w:r>
        <w:t xml:space="preserve">s will </w:t>
      </w:r>
      <w:r w:rsidR="00E25225">
        <w:t>complete</w:t>
      </w:r>
      <w:r>
        <w:t xml:space="preserve"> the</w:t>
      </w:r>
      <w:r w:rsidR="008F51FB">
        <w:t xml:space="preserve"> program client </w:t>
      </w:r>
      <w:r w:rsidR="009A47EE">
        <w:t xml:space="preserve">exit </w:t>
      </w:r>
      <w:r>
        <w:t xml:space="preserve">survey </w:t>
      </w:r>
      <w:r w:rsidR="00CB344B">
        <w:t xml:space="preserve">(or </w:t>
      </w:r>
      <w:r w:rsidR="00EC1A82">
        <w:t xml:space="preserve">decline </w:t>
      </w:r>
      <w:r w:rsidR="00CB344B">
        <w:t xml:space="preserve">to complete it) </w:t>
      </w:r>
      <w:r w:rsidR="00E25225">
        <w:t>as part of standard data collection for grant recipients. For the focus group</w:t>
      </w:r>
      <w:r w:rsidR="00FF6339">
        <w:t>s or interviews</w:t>
      </w:r>
      <w:r w:rsidR="00E25225">
        <w:t xml:space="preserve">, the study team will provide a packet with the survey questions for reference. </w:t>
      </w:r>
      <w:r w:rsidR="00CB344B">
        <w:t>Participating clients</w:t>
      </w:r>
      <w:r w:rsidR="00FF6339">
        <w:t xml:space="preserve"> </w:t>
      </w:r>
      <w:r w:rsidR="00E25225">
        <w:t xml:space="preserve">will be asked to </w:t>
      </w:r>
      <w:r>
        <w:t xml:space="preserve">discuss their feedback </w:t>
      </w:r>
      <w:r w:rsidR="00E25225">
        <w:t>on the surveys, either as a group (focus group) or individually (interview)</w:t>
      </w:r>
      <w:r>
        <w:t xml:space="preserve">. The questions and probes the facilitators will use to gather feedback are based on the </w:t>
      </w:r>
      <w:r w:rsidR="00FF6339">
        <w:t xml:space="preserve">study </w:t>
      </w:r>
      <w:r>
        <w:t>team’s experience conducting other focus groups</w:t>
      </w:r>
      <w:r w:rsidR="00E25225">
        <w:t xml:space="preserve"> and interviews</w:t>
      </w:r>
      <w:r>
        <w:t xml:space="preserve"> about survey measures. </w:t>
      </w:r>
    </w:p>
    <w:p w:rsidR="00CB0C9D" w:rsidP="00CB0C9D" w14:paraId="2160146C" w14:textId="77777777">
      <w:pPr>
        <w:autoSpaceDE w:val="0"/>
        <w:autoSpaceDN w:val="0"/>
        <w:adjustRightInd w:val="0"/>
        <w:spacing w:after="0" w:line="240" w:lineRule="auto"/>
        <w:rPr>
          <w:rFonts w:eastAsia="Times New Roman" w:cstheme="minorHAnsi"/>
          <w:color w:val="000000"/>
        </w:rPr>
      </w:pPr>
    </w:p>
    <w:p w:rsidR="001960ED" w:rsidRPr="00BC7CF0" w:rsidP="009719D4" w14:paraId="0F68BCC7" w14:textId="090F0C86">
      <w:pPr>
        <w:autoSpaceDE w:val="0"/>
        <w:autoSpaceDN w:val="0"/>
        <w:adjustRightInd w:val="0"/>
        <w:spacing w:after="0" w:line="240" w:lineRule="auto"/>
        <w:rPr>
          <w:rFonts w:eastAsia="Times New Roman" w:cstheme="minorHAnsi"/>
          <w:color w:val="000000"/>
        </w:rPr>
      </w:pPr>
      <w:r>
        <w:rPr>
          <w:rFonts w:eastAsia="Times New Roman" w:cstheme="minorHAnsi"/>
          <w:color w:val="000000"/>
        </w:rPr>
        <w:t>The focus group</w:t>
      </w:r>
      <w:r w:rsidR="00E25225">
        <w:rPr>
          <w:rFonts w:eastAsia="Times New Roman" w:cstheme="minorHAnsi"/>
          <w:color w:val="000000"/>
        </w:rPr>
        <w:t xml:space="preserve"> and interview</w:t>
      </w:r>
      <w:r>
        <w:rPr>
          <w:rFonts w:eastAsia="Times New Roman" w:cstheme="minorHAnsi"/>
          <w:color w:val="000000"/>
        </w:rPr>
        <w:t xml:space="preserve"> </w:t>
      </w:r>
      <w:r w:rsidR="00E25225">
        <w:rPr>
          <w:rFonts w:eastAsia="Times New Roman" w:cstheme="minorHAnsi"/>
          <w:color w:val="000000"/>
        </w:rPr>
        <w:t>protocols</w:t>
      </w:r>
      <w:r>
        <w:rPr>
          <w:rFonts w:eastAsia="Times New Roman" w:cstheme="minorHAnsi"/>
          <w:color w:val="000000"/>
        </w:rPr>
        <w:t xml:space="preserve"> were developed by content experts at </w:t>
      </w:r>
      <w:r w:rsidR="00FF6339">
        <w:rPr>
          <w:rFonts w:eastAsia="Times New Roman" w:cstheme="minorHAnsi"/>
          <w:color w:val="000000"/>
        </w:rPr>
        <w:t>Mathematica and</w:t>
      </w:r>
      <w:r>
        <w:rPr>
          <w:rFonts w:eastAsia="Times New Roman" w:cstheme="minorHAnsi"/>
          <w:color w:val="000000"/>
        </w:rPr>
        <w:t xml:space="preserve"> informed by reviewing instruments used in similar data collection efforts</w:t>
      </w:r>
      <w:r w:rsidRPr="00EE7C10">
        <w:rPr>
          <w:rFonts w:eastAsia="Times New Roman" w:cstheme="minorHAnsi"/>
          <w:color w:val="000000"/>
        </w:rPr>
        <w:t xml:space="preserve">, including from the Youth Empowerment Information, Data Collection, and Exploration of Avoidance of Sex (IDEAS) Pretest (OMB </w:t>
      </w:r>
      <w:r>
        <w:rPr>
          <w:rFonts w:eastAsia="Times New Roman" w:cstheme="minorHAnsi"/>
          <w:color w:val="000000"/>
        </w:rPr>
        <w:t>N</w:t>
      </w:r>
      <w:r w:rsidRPr="00EE7C10">
        <w:rPr>
          <w:rFonts w:eastAsia="Times New Roman" w:cstheme="minorHAnsi"/>
          <w:color w:val="000000"/>
        </w:rPr>
        <w:t>o. 0970-0355), and research on best practices for cognitive interviewing</w:t>
      </w:r>
      <w:r>
        <w:rPr>
          <w:rStyle w:val="FootnoteReference"/>
          <w:rFonts w:eastAsia="Times New Roman" w:cstheme="minorHAnsi"/>
          <w:color w:val="000000"/>
        </w:rPr>
        <w:footnoteReference w:id="4"/>
      </w:r>
      <w:r w:rsidRPr="00EE7C10">
        <w:rPr>
          <w:rFonts w:eastAsia="Times New Roman" w:cstheme="minorHAnsi"/>
          <w:color w:val="000000"/>
        </w:rPr>
        <w:t xml:space="preserve"> and cross-cultural survey guidelines</w:t>
      </w:r>
      <w:r>
        <w:rPr>
          <w:rFonts w:eastAsia="Times New Roman" w:cstheme="minorHAnsi"/>
          <w:color w:val="000000"/>
        </w:rPr>
        <w:t>.</w:t>
      </w:r>
      <w:r>
        <w:rPr>
          <w:rStyle w:val="FootnoteReference"/>
          <w:rFonts w:eastAsia="Times New Roman" w:cstheme="minorHAnsi"/>
          <w:color w:val="000000"/>
        </w:rPr>
        <w:footnoteReference w:id="5"/>
      </w:r>
    </w:p>
    <w:p w:rsidR="00FF6339" w:rsidRPr="00FF6339" w:rsidP="00FF6339" w14:paraId="436910AD" w14:textId="77777777">
      <w:pPr>
        <w:pStyle w:val="ListParagraph"/>
        <w:spacing w:after="0" w:line="240" w:lineRule="auto"/>
        <w:ind w:left="0"/>
        <w:rPr>
          <w:rFonts w:cstheme="minorHAnsi"/>
        </w:rPr>
      </w:pPr>
    </w:p>
    <w:p w:rsidR="00BB2925" w:rsidRPr="00BB2B33" w:rsidP="00BB2B33" w14:paraId="52428E38" w14:textId="6381209E">
      <w:pPr>
        <w:pStyle w:val="ListParagraph"/>
        <w:numPr>
          <w:ilvl w:val="0"/>
          <w:numId w:val="31"/>
        </w:numPr>
        <w:spacing w:after="120" w:line="240" w:lineRule="auto"/>
        <w:ind w:left="360"/>
        <w:rPr>
          <w:rFonts w:cstheme="minorHAnsi"/>
          <w:b/>
        </w:rPr>
      </w:pPr>
      <w:r w:rsidRPr="002E2E7A">
        <w:rPr>
          <w:rFonts w:cstheme="minorHAnsi"/>
          <w:b/>
        </w:rPr>
        <w:t>Individuals Consulted on Statistical Aspects and Individuals Collecting and/or Analyzing Data</w:t>
      </w:r>
    </w:p>
    <w:p w:rsidR="00373ED8" w:rsidRPr="00134EF0" w:rsidP="006E0B8F" w14:paraId="1F3A82BA" w14:textId="175F3F76">
      <w:pPr>
        <w:autoSpaceDE w:val="0"/>
        <w:autoSpaceDN w:val="0"/>
        <w:adjustRightInd w:val="0"/>
        <w:spacing w:before="120" w:line="240" w:lineRule="atLeast"/>
        <w:rPr>
          <w:rFonts w:cstheme="minorHAnsi"/>
          <w:bCs/>
        </w:rPr>
      </w:pPr>
      <w:r>
        <w:rPr>
          <w:rFonts w:cstheme="minorHAnsi"/>
          <w:bCs/>
        </w:rPr>
        <w:t xml:space="preserve">The following </w:t>
      </w:r>
      <w:r w:rsidRPr="00CB36E5">
        <w:rPr>
          <w:rFonts w:eastAsia="Times New Roman" w:cstheme="minorHAnsi"/>
          <w:bCs/>
          <w:color w:val="000000"/>
        </w:rPr>
        <w:t>individuals</w:t>
      </w:r>
      <w:r>
        <w:rPr>
          <w:rFonts w:cstheme="minorHAnsi"/>
          <w:bCs/>
        </w:rPr>
        <w:t xml:space="preserve"> at ACF and Mathematica are leading the study team:</w:t>
      </w:r>
    </w:p>
    <w:p w:rsidR="006E0B8F" w:rsidP="006E0B8F" w14:paraId="434C879B" w14:textId="77777777">
      <w:pPr>
        <w:pStyle w:val="ListParagraph"/>
        <w:spacing w:after="0" w:line="240" w:lineRule="auto"/>
        <w:ind w:left="0"/>
        <w:rPr>
          <w:rFonts w:cstheme="minorHAnsi"/>
          <w:bCs/>
        </w:rPr>
      </w:pPr>
      <w:r>
        <w:rPr>
          <w:rFonts w:cstheme="minorHAnsi"/>
          <w:bCs/>
        </w:rPr>
        <w:t>Rebecca Hjelm</w:t>
      </w:r>
    </w:p>
    <w:p w:rsidR="006E0B8F" w:rsidP="006E0B8F" w14:paraId="69FB0AD8" w14:textId="77777777">
      <w:pPr>
        <w:pStyle w:val="ListParagraph"/>
        <w:spacing w:after="0" w:line="240" w:lineRule="auto"/>
        <w:ind w:left="0"/>
        <w:rPr>
          <w:rFonts w:cstheme="minorHAnsi"/>
          <w:bCs/>
        </w:rPr>
      </w:pPr>
      <w:r w:rsidRPr="00094142">
        <w:rPr>
          <w:rFonts w:cstheme="minorHAnsi"/>
          <w:bCs/>
        </w:rPr>
        <w:t>Social Science Research Analyst</w:t>
      </w:r>
    </w:p>
    <w:p w:rsidR="006E0B8F" w:rsidP="006E0B8F" w14:paraId="5EDBE086" w14:textId="77777777">
      <w:pPr>
        <w:pStyle w:val="ListParagraph"/>
        <w:spacing w:after="0" w:line="240" w:lineRule="auto"/>
        <w:ind w:left="0"/>
        <w:rPr>
          <w:rFonts w:cstheme="minorHAnsi"/>
          <w:bCs/>
        </w:rPr>
      </w:pPr>
      <w:r>
        <w:rPr>
          <w:rFonts w:cstheme="minorHAnsi"/>
          <w:bCs/>
        </w:rPr>
        <w:t>Office of Planning, Research, and Evaluation</w:t>
      </w:r>
    </w:p>
    <w:p w:rsidR="006E0B8F" w:rsidP="006E0B8F" w14:paraId="34416FA3" w14:textId="77777777">
      <w:pPr>
        <w:pStyle w:val="ListParagraph"/>
        <w:spacing w:after="0" w:line="240" w:lineRule="auto"/>
        <w:ind w:left="0"/>
        <w:rPr>
          <w:rFonts w:cstheme="minorHAnsi"/>
          <w:bCs/>
        </w:rPr>
      </w:pPr>
      <w:hyperlink r:id="rId9" w:history="1">
        <w:r w:rsidRPr="00DC1928">
          <w:rPr>
            <w:rStyle w:val="Hyperlink"/>
            <w:rFonts w:cstheme="minorHAnsi"/>
            <w:bCs/>
          </w:rPr>
          <w:t>rebecca.hjelm@acf.hhs.gov</w:t>
        </w:r>
      </w:hyperlink>
      <w:r>
        <w:rPr>
          <w:rFonts w:cstheme="minorHAnsi"/>
          <w:bCs/>
        </w:rPr>
        <w:t xml:space="preserve"> </w:t>
      </w:r>
    </w:p>
    <w:p w:rsidR="006E0B8F" w:rsidP="006E0B8F" w14:paraId="4D649CD3" w14:textId="77777777">
      <w:pPr>
        <w:pStyle w:val="ListParagraph"/>
        <w:spacing w:after="0" w:line="240" w:lineRule="auto"/>
        <w:ind w:left="0"/>
        <w:rPr>
          <w:rFonts w:cstheme="minorHAnsi"/>
          <w:bCs/>
        </w:rPr>
      </w:pPr>
    </w:p>
    <w:p w:rsidR="006E0B8F" w:rsidRPr="0008020F" w:rsidP="006E0B8F" w14:paraId="27E137F9" w14:textId="77777777">
      <w:pPr>
        <w:pStyle w:val="ListParagraph"/>
        <w:spacing w:after="0" w:line="240" w:lineRule="auto"/>
        <w:ind w:left="0"/>
        <w:rPr>
          <w:rFonts w:cstheme="minorHAnsi"/>
          <w:bCs/>
        </w:rPr>
      </w:pPr>
      <w:r>
        <w:rPr>
          <w:rFonts w:cstheme="minorHAnsi"/>
          <w:bCs/>
        </w:rPr>
        <w:t>Harmanpreet Bhatti</w:t>
      </w:r>
    </w:p>
    <w:p w:rsidR="006E0B8F" w:rsidP="006E0B8F" w14:paraId="062D25D3" w14:textId="77777777">
      <w:pPr>
        <w:pStyle w:val="ListParagraph"/>
        <w:spacing w:after="0" w:line="240" w:lineRule="auto"/>
        <w:ind w:left="0"/>
        <w:rPr>
          <w:rFonts w:cstheme="minorHAnsi"/>
          <w:bCs/>
        </w:rPr>
      </w:pPr>
      <w:r>
        <w:rPr>
          <w:rFonts w:cstheme="minorHAnsi"/>
          <w:bCs/>
        </w:rPr>
        <w:t>Social Science Research Analyst</w:t>
      </w:r>
    </w:p>
    <w:p w:rsidR="006E0B8F" w:rsidP="006E0B8F" w14:paraId="0D10C561" w14:textId="77777777">
      <w:pPr>
        <w:pStyle w:val="ListParagraph"/>
        <w:spacing w:after="0" w:line="240" w:lineRule="auto"/>
        <w:ind w:left="0"/>
        <w:rPr>
          <w:rFonts w:cstheme="minorHAnsi"/>
          <w:bCs/>
        </w:rPr>
      </w:pPr>
      <w:r>
        <w:rPr>
          <w:rFonts w:cstheme="minorHAnsi"/>
          <w:bCs/>
        </w:rPr>
        <w:t>Office of Planning, Research, and Evaluation</w:t>
      </w:r>
    </w:p>
    <w:p w:rsidR="006E0B8F" w:rsidP="006E0B8F" w14:paraId="5770D6C7" w14:textId="77777777">
      <w:pPr>
        <w:pStyle w:val="ListParagraph"/>
        <w:spacing w:after="0" w:line="240" w:lineRule="auto"/>
        <w:ind w:left="0"/>
        <w:contextualSpacing w:val="0"/>
      </w:pPr>
      <w:hyperlink r:id="rId10" w:history="1">
        <w:r w:rsidRPr="00DC1928">
          <w:rPr>
            <w:rStyle w:val="Hyperlink"/>
          </w:rPr>
          <w:t>harmanpreet.bhatti@acf.hhs.gov</w:t>
        </w:r>
      </w:hyperlink>
      <w:r>
        <w:t xml:space="preserve"> </w:t>
      </w:r>
    </w:p>
    <w:p w:rsidR="006E0B8F" w:rsidP="006E0B8F" w14:paraId="1EEC8782" w14:textId="77777777">
      <w:pPr>
        <w:pStyle w:val="ListParagraph"/>
        <w:spacing w:after="0" w:line="240" w:lineRule="auto"/>
        <w:ind w:left="0"/>
        <w:contextualSpacing w:val="0"/>
        <w:rPr>
          <w:rFonts w:cstheme="minorHAnsi"/>
          <w:bCs/>
          <w:lang w:val="fr-FR"/>
        </w:rPr>
      </w:pPr>
    </w:p>
    <w:p w:rsidR="00627B87" w:rsidP="006E0B8F" w14:paraId="3EC13F3D" w14:textId="415AC07B">
      <w:pPr>
        <w:pStyle w:val="ListParagraph"/>
        <w:spacing w:after="0" w:line="240" w:lineRule="auto"/>
        <w:ind w:left="0"/>
        <w:contextualSpacing w:val="0"/>
        <w:rPr>
          <w:rFonts w:cstheme="minorHAnsi"/>
          <w:bCs/>
          <w:lang w:val="fr-FR"/>
        </w:rPr>
      </w:pPr>
      <w:r>
        <w:rPr>
          <w:rFonts w:cstheme="minorHAnsi"/>
          <w:bCs/>
          <w:lang w:val="fr-FR"/>
        </w:rPr>
        <w:t>Pooja G</w:t>
      </w:r>
      <w:r>
        <w:rPr>
          <w:rFonts w:cstheme="minorHAnsi"/>
          <w:bCs/>
          <w:lang w:val="fr-FR"/>
        </w:rPr>
        <w:t>u</w:t>
      </w:r>
      <w:r>
        <w:rPr>
          <w:rFonts w:cstheme="minorHAnsi"/>
          <w:bCs/>
          <w:lang w:val="fr-FR"/>
        </w:rPr>
        <w:t>pta Curtin</w:t>
      </w:r>
    </w:p>
    <w:p w:rsidR="00627B87" w:rsidP="006E0B8F" w14:paraId="3D894C16" w14:textId="77777777">
      <w:pPr>
        <w:pStyle w:val="ListParagraph"/>
        <w:spacing w:after="0" w:line="240" w:lineRule="auto"/>
        <w:ind w:left="0"/>
        <w:contextualSpacing w:val="0"/>
        <w:rPr>
          <w:rFonts w:cstheme="minorHAnsi"/>
          <w:bCs/>
          <w:lang w:val="fr-FR"/>
        </w:rPr>
      </w:pPr>
      <w:r>
        <w:rPr>
          <w:rFonts w:cstheme="minorHAnsi"/>
          <w:bCs/>
          <w:lang w:val="fr-FR"/>
        </w:rPr>
        <w:t xml:space="preserve">Social Science </w:t>
      </w:r>
      <w:r>
        <w:rPr>
          <w:rFonts w:cstheme="minorHAnsi"/>
          <w:bCs/>
          <w:lang w:val="fr-FR"/>
        </w:rPr>
        <w:t>Research</w:t>
      </w:r>
      <w:r>
        <w:rPr>
          <w:rFonts w:cstheme="minorHAnsi"/>
          <w:bCs/>
          <w:lang w:val="fr-FR"/>
        </w:rPr>
        <w:t xml:space="preserve"> </w:t>
      </w:r>
      <w:r>
        <w:rPr>
          <w:rFonts w:cstheme="minorHAnsi"/>
          <w:bCs/>
          <w:lang w:val="fr-FR"/>
        </w:rPr>
        <w:t>Analyst</w:t>
      </w:r>
    </w:p>
    <w:p w:rsidR="00627B87" w:rsidP="006E0B8F" w14:paraId="445B91CB" w14:textId="77777777">
      <w:pPr>
        <w:pStyle w:val="ListParagraph"/>
        <w:spacing w:after="0" w:line="240" w:lineRule="auto"/>
        <w:ind w:left="0"/>
        <w:contextualSpacing w:val="0"/>
        <w:rPr>
          <w:rFonts w:cstheme="minorHAnsi"/>
          <w:bCs/>
          <w:lang w:val="fr-FR"/>
        </w:rPr>
      </w:pPr>
      <w:r>
        <w:rPr>
          <w:rFonts w:cstheme="minorHAnsi"/>
          <w:bCs/>
          <w:lang w:val="fr-FR"/>
        </w:rPr>
        <w:t>Office of Planning, Research, and Evaluation</w:t>
      </w:r>
    </w:p>
    <w:p w:rsidR="003961CF" w:rsidP="006E0B8F" w14:paraId="22C14590" w14:textId="344F1057">
      <w:pPr>
        <w:pStyle w:val="ListParagraph"/>
        <w:spacing w:after="0" w:line="240" w:lineRule="auto"/>
        <w:ind w:left="0"/>
        <w:contextualSpacing w:val="0"/>
        <w:rPr>
          <w:rFonts w:cstheme="minorHAnsi"/>
          <w:bCs/>
          <w:lang w:val="fr-FR"/>
        </w:rPr>
      </w:pPr>
      <w:r>
        <w:rPr>
          <w:rFonts w:cstheme="minorHAnsi"/>
          <w:bCs/>
          <w:lang w:val="fr-FR"/>
        </w:rPr>
        <w:t>Pooja.Curtin@acf.hhs.gov</w:t>
      </w:r>
      <w:r>
        <w:rPr>
          <w:rFonts w:cstheme="minorHAnsi"/>
          <w:bCs/>
          <w:lang w:val="fr-FR"/>
        </w:rPr>
        <w:t xml:space="preserve"> </w:t>
      </w:r>
    </w:p>
    <w:p w:rsidR="003961CF" w:rsidP="006E0B8F" w14:paraId="37AE1194" w14:textId="77777777">
      <w:pPr>
        <w:pStyle w:val="ListParagraph"/>
        <w:spacing w:after="0" w:line="240" w:lineRule="auto"/>
        <w:ind w:left="0"/>
        <w:contextualSpacing w:val="0"/>
        <w:rPr>
          <w:rFonts w:cstheme="minorHAnsi"/>
          <w:bCs/>
          <w:lang w:val="fr-FR"/>
        </w:rPr>
      </w:pPr>
    </w:p>
    <w:p w:rsidR="006E0B8F" w:rsidP="006E0B8F" w14:paraId="73173953" w14:textId="3E24BF07">
      <w:pPr>
        <w:pStyle w:val="ListParagraph"/>
        <w:spacing w:after="0" w:line="240" w:lineRule="auto"/>
        <w:ind w:left="0"/>
        <w:contextualSpacing w:val="0"/>
        <w:rPr>
          <w:rFonts w:cstheme="minorHAnsi"/>
          <w:bCs/>
          <w:lang w:val="fr-FR"/>
        </w:rPr>
      </w:pPr>
      <w:r w:rsidRPr="00597366">
        <w:rPr>
          <w:rFonts w:cstheme="minorHAnsi"/>
          <w:bCs/>
          <w:lang w:val="fr-FR"/>
        </w:rPr>
        <w:t>Sarah Avellar</w:t>
      </w:r>
    </w:p>
    <w:p w:rsidR="006E0B8F" w:rsidRPr="00597366" w:rsidP="006E0B8F" w14:paraId="5CFF20B5" w14:textId="77777777">
      <w:pPr>
        <w:pStyle w:val="ListParagraph"/>
        <w:spacing w:after="0" w:line="240" w:lineRule="auto"/>
        <w:ind w:left="0"/>
        <w:contextualSpacing w:val="0"/>
        <w:rPr>
          <w:rFonts w:cstheme="minorHAnsi"/>
          <w:bCs/>
          <w:lang w:val="fr-FR"/>
        </w:rPr>
      </w:pPr>
      <w:r>
        <w:rPr>
          <w:rFonts w:cstheme="minorHAnsi"/>
          <w:bCs/>
          <w:lang w:val="fr-FR"/>
        </w:rPr>
        <w:t xml:space="preserve">Principal </w:t>
      </w:r>
      <w:r>
        <w:rPr>
          <w:rFonts w:cstheme="minorHAnsi"/>
          <w:bCs/>
          <w:lang w:val="fr-FR"/>
        </w:rPr>
        <w:t>Researcher</w:t>
      </w:r>
    </w:p>
    <w:p w:rsidR="006E0B8F" w:rsidP="006E0B8F" w14:paraId="4296ADD3" w14:textId="77777777">
      <w:pPr>
        <w:pStyle w:val="ListParagraph"/>
        <w:spacing w:after="0" w:line="240" w:lineRule="auto"/>
        <w:ind w:left="0"/>
        <w:rPr>
          <w:rFonts w:cstheme="minorHAnsi"/>
          <w:bCs/>
        </w:rPr>
      </w:pPr>
      <w:r>
        <w:rPr>
          <w:rFonts w:cstheme="minorHAnsi"/>
          <w:bCs/>
        </w:rPr>
        <w:t>Mathematica</w:t>
      </w:r>
    </w:p>
    <w:p w:rsidR="006E0B8F" w:rsidP="006E0B8F" w14:paraId="29974AF9" w14:textId="77777777">
      <w:pPr>
        <w:pStyle w:val="ListParagraph"/>
        <w:spacing w:after="0" w:line="240" w:lineRule="auto"/>
        <w:ind w:left="0"/>
        <w:rPr>
          <w:rFonts w:cstheme="minorHAnsi"/>
          <w:bCs/>
        </w:rPr>
      </w:pPr>
      <w:hyperlink r:id="rId11" w:history="1">
        <w:r w:rsidRPr="00D6597D">
          <w:rPr>
            <w:rStyle w:val="Hyperlink"/>
            <w:rFonts w:cstheme="minorHAnsi"/>
            <w:bCs/>
          </w:rPr>
          <w:t>savellar@mathematica-mpr.com</w:t>
        </w:r>
      </w:hyperlink>
      <w:r>
        <w:rPr>
          <w:rFonts w:cstheme="minorHAnsi"/>
          <w:bCs/>
        </w:rPr>
        <w:t xml:space="preserve"> </w:t>
      </w:r>
    </w:p>
    <w:p w:rsidR="006E0B8F" w:rsidP="006E0B8F" w14:paraId="2C240BB3" w14:textId="77777777">
      <w:pPr>
        <w:pStyle w:val="ListParagraph"/>
        <w:spacing w:after="0" w:line="240" w:lineRule="auto"/>
        <w:ind w:left="0"/>
        <w:rPr>
          <w:rFonts w:cstheme="minorHAnsi"/>
          <w:bCs/>
        </w:rPr>
      </w:pPr>
    </w:p>
    <w:p w:rsidR="006E0B8F" w:rsidRPr="002E2E7A" w:rsidP="00901040" w14:paraId="1FBBCCD0" w14:textId="77777777">
      <w:pPr>
        <w:autoSpaceDE w:val="0"/>
        <w:autoSpaceDN w:val="0"/>
        <w:adjustRightInd w:val="0"/>
        <w:spacing w:after="0" w:line="240" w:lineRule="atLeast"/>
        <w:rPr>
          <w:rFonts w:eastAsia="Times New Roman" w:cstheme="minorHAnsi"/>
          <w:b/>
          <w:bCs/>
          <w:color w:val="000000"/>
        </w:rPr>
      </w:pPr>
    </w:p>
    <w:p w:rsidR="00BB2925" w:rsidRPr="002E2E7A" w:rsidP="00901040" w14:paraId="7604B2A4" w14:textId="2C8F47E2">
      <w:pPr>
        <w:autoSpaceDE w:val="0"/>
        <w:autoSpaceDN w:val="0"/>
        <w:adjustRightInd w:val="0"/>
        <w:spacing w:after="0" w:line="240" w:lineRule="atLeast"/>
        <w:rPr>
          <w:rFonts w:eastAsia="Times New Roman" w:cstheme="minorHAnsi"/>
          <w:b/>
          <w:bCs/>
          <w:color w:val="000000"/>
        </w:rPr>
      </w:pPr>
    </w:p>
    <w:p w:rsidR="00BB2925" w:rsidRPr="002E2E7A" w:rsidP="00901040" w14:paraId="0FC57B4D" w14:textId="77777777">
      <w:pPr>
        <w:autoSpaceDE w:val="0"/>
        <w:autoSpaceDN w:val="0"/>
        <w:adjustRightInd w:val="0"/>
        <w:spacing w:after="0" w:line="240" w:lineRule="atLeast"/>
        <w:rPr>
          <w:rFonts w:eastAsia="Times New Roman" w:cstheme="minorHAnsi"/>
          <w:b/>
          <w:bCs/>
          <w:color w:val="000000"/>
        </w:rPr>
      </w:pPr>
    </w:p>
    <w:p w:rsidR="00083227" w:rsidP="00F85D35" w14:paraId="1E574BF6" w14:textId="24463D9C">
      <w:pPr>
        <w:spacing w:after="120" w:line="240" w:lineRule="auto"/>
        <w:rPr>
          <w:rFonts w:cstheme="minorHAnsi"/>
          <w:b/>
        </w:rPr>
      </w:pPr>
      <w:bookmarkStart w:id="3" w:name="_Hlk162930009"/>
      <w:r w:rsidRPr="002E2E7A">
        <w:rPr>
          <w:rFonts w:cstheme="minorHAnsi"/>
          <w:b/>
        </w:rPr>
        <w:t>Attachments</w:t>
      </w:r>
      <w:bookmarkEnd w:id="3"/>
    </w:p>
    <w:p w:rsidR="00075AE9" w:rsidRPr="00075AE9" w:rsidP="00075AE9" w14:paraId="0031E81B" w14:textId="77777777">
      <w:pPr>
        <w:spacing w:after="0" w:line="240" w:lineRule="auto"/>
        <w:rPr>
          <w:rFonts w:ascii="Calibri" w:eastAsia="Times New Roman" w:hAnsi="Calibri" w:cs="Calibri"/>
          <w:i/>
          <w:iCs/>
        </w:rPr>
      </w:pPr>
      <w:r w:rsidRPr="00075AE9">
        <w:rPr>
          <w:rFonts w:ascii="Calibri" w:eastAsia="Times New Roman" w:hAnsi="Calibri" w:cs="Calibri"/>
          <w:i/>
          <w:iCs/>
        </w:rPr>
        <w:t>Instruments</w:t>
      </w:r>
    </w:p>
    <w:p w:rsidR="00277E03" w:rsidP="00075AE9" w14:paraId="23967694" w14:textId="2498BB38">
      <w:pPr>
        <w:spacing w:after="0" w:line="240" w:lineRule="auto"/>
        <w:rPr>
          <w:rFonts w:ascii="Calibri" w:eastAsia="Times New Roman" w:hAnsi="Calibri" w:cs="Calibri"/>
        </w:rPr>
      </w:pPr>
      <w:r>
        <w:rPr>
          <w:rFonts w:ascii="Calibri" w:eastAsia="Times New Roman" w:hAnsi="Calibri" w:cs="Calibri"/>
        </w:rPr>
        <w:t>Instrument 1: Grant recipient recruitment protocol</w:t>
      </w:r>
    </w:p>
    <w:p w:rsidR="00075AE9" w:rsidRPr="00075AE9" w:rsidP="00075AE9" w14:paraId="15A1FA53" w14:textId="5C2EF4C5">
      <w:pPr>
        <w:spacing w:after="0" w:line="240" w:lineRule="auto"/>
        <w:rPr>
          <w:rFonts w:ascii="Calibri" w:eastAsia="Times New Roman" w:hAnsi="Calibri" w:cs="Calibri"/>
        </w:rPr>
      </w:pPr>
      <w:r w:rsidRPr="00075AE9">
        <w:rPr>
          <w:rFonts w:ascii="Calibri" w:eastAsia="Times New Roman" w:hAnsi="Calibri" w:cs="Calibri"/>
        </w:rPr>
        <w:t>Instrument</w:t>
      </w:r>
      <w:r w:rsidR="00AC1D8F">
        <w:rPr>
          <w:rFonts w:ascii="Calibri" w:eastAsia="Times New Roman" w:hAnsi="Calibri" w:cs="Calibri"/>
        </w:rPr>
        <w:t xml:space="preserve"> 2</w:t>
      </w:r>
      <w:r w:rsidRPr="00075AE9">
        <w:rPr>
          <w:rFonts w:ascii="Calibri" w:eastAsia="Times New Roman" w:hAnsi="Calibri" w:cs="Calibri"/>
        </w:rPr>
        <w:t xml:space="preserve">: </w:t>
      </w:r>
      <w:r w:rsidR="00CB344B">
        <w:rPr>
          <w:rFonts w:ascii="Calibri" w:eastAsia="Times New Roman" w:hAnsi="Calibri" w:cs="Calibri"/>
        </w:rPr>
        <w:t xml:space="preserve">Client </w:t>
      </w:r>
      <w:r w:rsidRPr="00075AE9">
        <w:rPr>
          <w:rFonts w:ascii="Calibri" w:eastAsia="Times New Roman" w:hAnsi="Calibri" w:cs="Calibri"/>
        </w:rPr>
        <w:t>demographic survey</w:t>
      </w:r>
    </w:p>
    <w:p w:rsidR="00075AE9" w:rsidRPr="00075AE9" w:rsidP="00075AE9" w14:paraId="020D0392" w14:textId="63BB509E">
      <w:pPr>
        <w:spacing w:after="0" w:line="240" w:lineRule="auto"/>
        <w:rPr>
          <w:rFonts w:ascii="Calibri" w:eastAsia="Times New Roman" w:hAnsi="Calibri" w:cs="Calibri"/>
        </w:rPr>
      </w:pPr>
      <w:r w:rsidRPr="00075AE9">
        <w:rPr>
          <w:rFonts w:ascii="Calibri" w:eastAsia="Times New Roman" w:hAnsi="Calibri" w:cs="Calibri"/>
        </w:rPr>
        <w:t xml:space="preserve">Instrument </w:t>
      </w:r>
      <w:r w:rsidR="00AC1D8F">
        <w:rPr>
          <w:rFonts w:ascii="Calibri" w:eastAsia="Times New Roman" w:hAnsi="Calibri" w:cs="Calibri"/>
        </w:rPr>
        <w:t>3</w:t>
      </w:r>
      <w:r w:rsidRPr="00075AE9">
        <w:rPr>
          <w:rFonts w:ascii="Calibri" w:eastAsia="Times New Roman" w:hAnsi="Calibri" w:cs="Calibri"/>
        </w:rPr>
        <w:t>: HM youth focus group and interview protocol</w:t>
      </w:r>
    </w:p>
    <w:p w:rsidR="00075AE9" w:rsidRPr="00075AE9" w:rsidP="00075AE9" w14:paraId="484EA979" w14:textId="00198338">
      <w:pPr>
        <w:spacing w:after="0" w:line="240" w:lineRule="auto"/>
        <w:rPr>
          <w:rFonts w:ascii="Calibri" w:eastAsia="Times New Roman" w:hAnsi="Calibri" w:cs="Calibri"/>
        </w:rPr>
      </w:pPr>
      <w:r w:rsidRPr="00075AE9">
        <w:rPr>
          <w:rFonts w:ascii="Calibri" w:eastAsia="Times New Roman" w:hAnsi="Calibri" w:cs="Calibri"/>
        </w:rPr>
        <w:t xml:space="preserve">Instrument </w:t>
      </w:r>
      <w:r w:rsidR="00AC1D8F">
        <w:rPr>
          <w:rFonts w:ascii="Calibri" w:eastAsia="Times New Roman" w:hAnsi="Calibri" w:cs="Calibri"/>
        </w:rPr>
        <w:t>4</w:t>
      </w:r>
      <w:r w:rsidRPr="00075AE9">
        <w:rPr>
          <w:rFonts w:ascii="Calibri" w:eastAsia="Times New Roman" w:hAnsi="Calibri" w:cs="Calibri"/>
        </w:rPr>
        <w:t>: HM adult focus group and interview protocol</w:t>
      </w:r>
    </w:p>
    <w:p w:rsidR="00075AE9" w:rsidRPr="00075AE9" w:rsidP="00075AE9" w14:paraId="0CC86428" w14:textId="6E1CBAA7">
      <w:pPr>
        <w:spacing w:after="0" w:line="240" w:lineRule="auto"/>
        <w:rPr>
          <w:rFonts w:ascii="Calibri" w:eastAsia="Times New Roman" w:hAnsi="Calibri" w:cs="Calibri"/>
        </w:rPr>
      </w:pPr>
      <w:r w:rsidRPr="00075AE9">
        <w:rPr>
          <w:rFonts w:ascii="Calibri" w:eastAsia="Times New Roman" w:hAnsi="Calibri" w:cs="Calibri"/>
        </w:rPr>
        <w:t xml:space="preserve">Instrument </w:t>
      </w:r>
      <w:r w:rsidR="00AC1D8F">
        <w:rPr>
          <w:rFonts w:ascii="Calibri" w:eastAsia="Times New Roman" w:hAnsi="Calibri" w:cs="Calibri"/>
        </w:rPr>
        <w:t>5</w:t>
      </w:r>
      <w:r w:rsidRPr="00075AE9">
        <w:rPr>
          <w:rFonts w:ascii="Calibri" w:eastAsia="Times New Roman" w:hAnsi="Calibri" w:cs="Calibri"/>
        </w:rPr>
        <w:t xml:space="preserve">: RF community fathers focus group and interview </w:t>
      </w:r>
      <w:r w:rsidRPr="00075AE9">
        <w:rPr>
          <w:rFonts w:ascii="Calibri" w:eastAsia="Times New Roman" w:hAnsi="Calibri" w:cs="Calibri"/>
        </w:rPr>
        <w:t>protocol</w:t>
      </w:r>
    </w:p>
    <w:p w:rsidR="00075AE9" w:rsidRPr="00075AE9" w:rsidP="00075AE9" w14:paraId="7EB6FD03" w14:textId="77777777">
      <w:pPr>
        <w:spacing w:after="0" w:line="240" w:lineRule="auto"/>
        <w:rPr>
          <w:rFonts w:ascii="Calibri" w:eastAsia="Times New Roman" w:hAnsi="Calibri" w:cs="Calibri"/>
        </w:rPr>
      </w:pPr>
    </w:p>
    <w:p w:rsidR="00075AE9" w:rsidRPr="00075AE9" w:rsidP="00075AE9" w14:paraId="4D155BEB" w14:textId="77777777">
      <w:pPr>
        <w:spacing w:after="0" w:line="240" w:lineRule="auto"/>
        <w:rPr>
          <w:rFonts w:ascii="Calibri" w:eastAsia="Times New Roman" w:hAnsi="Calibri" w:cs="Calibri"/>
          <w:i/>
          <w:iCs/>
        </w:rPr>
      </w:pPr>
      <w:r w:rsidRPr="00075AE9">
        <w:rPr>
          <w:rFonts w:ascii="Calibri" w:eastAsia="Times New Roman" w:hAnsi="Calibri" w:cs="Calibri"/>
          <w:i/>
          <w:iCs/>
        </w:rPr>
        <w:t>Appendices</w:t>
      </w:r>
    </w:p>
    <w:p w:rsidR="00075AE9" w:rsidRPr="00075AE9" w:rsidP="00075AE9" w14:paraId="47741BB7" w14:textId="77777777">
      <w:pPr>
        <w:spacing w:after="0" w:line="240" w:lineRule="auto"/>
        <w:rPr>
          <w:rFonts w:ascii="Calibri" w:eastAsia="Times New Roman" w:hAnsi="Calibri" w:cs="Calibri"/>
        </w:rPr>
      </w:pPr>
      <w:r w:rsidRPr="00075AE9">
        <w:rPr>
          <w:rFonts w:ascii="Calibri" w:eastAsia="Times New Roman" w:hAnsi="Calibri" w:cs="Calibri"/>
        </w:rPr>
        <w:t xml:space="preserve">Appendix A: Outreach to grant </w:t>
      </w:r>
      <w:r w:rsidRPr="00075AE9">
        <w:rPr>
          <w:rFonts w:ascii="Calibri" w:eastAsia="Times New Roman" w:hAnsi="Calibri" w:cs="Calibri"/>
        </w:rPr>
        <w:t>recipients</w:t>
      </w:r>
      <w:r w:rsidRPr="00075AE9">
        <w:rPr>
          <w:rFonts w:ascii="Calibri" w:eastAsia="Times New Roman" w:hAnsi="Calibri" w:cs="Calibri"/>
        </w:rPr>
        <w:t xml:space="preserve"> </w:t>
      </w:r>
    </w:p>
    <w:p w:rsidR="00075AE9" w:rsidRPr="00075AE9" w:rsidP="00075AE9" w14:paraId="4C58110C" w14:textId="4205F51E">
      <w:pPr>
        <w:spacing w:after="0" w:line="240" w:lineRule="auto"/>
        <w:rPr>
          <w:rFonts w:ascii="Calibri" w:eastAsia="Times New Roman" w:hAnsi="Calibri" w:cs="Calibri"/>
        </w:rPr>
      </w:pPr>
      <w:r w:rsidRPr="00075AE9">
        <w:rPr>
          <w:rFonts w:ascii="Calibri" w:eastAsia="Times New Roman" w:hAnsi="Calibri" w:cs="Calibri"/>
        </w:rPr>
        <w:t xml:space="preserve">Appendix B: </w:t>
      </w:r>
      <w:r w:rsidR="00CB344B">
        <w:rPr>
          <w:rFonts w:ascii="Calibri" w:eastAsia="Times New Roman" w:hAnsi="Calibri" w:cs="Calibri"/>
        </w:rPr>
        <w:t>Client</w:t>
      </w:r>
      <w:r w:rsidRPr="00075AE9" w:rsidR="00CB344B">
        <w:rPr>
          <w:rFonts w:ascii="Calibri" w:eastAsia="Times New Roman" w:hAnsi="Calibri" w:cs="Calibri"/>
        </w:rPr>
        <w:t xml:space="preserve"> </w:t>
      </w:r>
      <w:r w:rsidRPr="00075AE9">
        <w:rPr>
          <w:rFonts w:ascii="Calibri" w:eastAsia="Times New Roman" w:hAnsi="Calibri" w:cs="Calibri"/>
        </w:rPr>
        <w:t>consent</w:t>
      </w:r>
    </w:p>
    <w:p w:rsidR="00F40090" w:rsidRPr="002E2E7A" w:rsidP="00373ED8" w14:paraId="7F67EE59" w14:textId="14AA7B3A">
      <w:pPr>
        <w:spacing w:after="120" w:line="240" w:lineRule="auto"/>
        <w:rPr>
          <w:rFonts w:cstheme="minorHAnsi"/>
          <w:b/>
        </w:rPr>
      </w:pPr>
    </w:p>
    <w:sectPr w:rsidSect="00C91C7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862E6" w:rsidP="0004063C" w14:paraId="4E085815" w14:textId="77777777">
      <w:pPr>
        <w:spacing w:after="0" w:line="240" w:lineRule="auto"/>
      </w:pPr>
      <w:r>
        <w:separator/>
      </w:r>
    </w:p>
  </w:footnote>
  <w:footnote w:type="continuationSeparator" w:id="1">
    <w:p w:rsidR="00F862E6" w:rsidP="0004063C" w14:paraId="63C979B9" w14:textId="77777777">
      <w:pPr>
        <w:spacing w:after="0" w:line="240" w:lineRule="auto"/>
      </w:pPr>
      <w:r>
        <w:continuationSeparator/>
      </w:r>
    </w:p>
  </w:footnote>
  <w:footnote w:id="2">
    <w:p w:rsidR="005906D9" w:rsidP="005906D9" w14:paraId="35CF8388" w14:textId="77777777">
      <w:pPr>
        <w:pStyle w:val="FootnoteText"/>
      </w:pPr>
      <w:r>
        <w:rPr>
          <w:rStyle w:val="FootnoteReference"/>
        </w:rPr>
        <w:footnoteRef/>
      </w:r>
      <w:r>
        <w:t xml:space="preserve"> </w:t>
      </w:r>
      <w:r w:rsidRPr="0012582F">
        <w:t>Beatty,</w:t>
      </w:r>
      <w:r>
        <w:t xml:space="preserve"> P.C. and G.B. </w:t>
      </w:r>
      <w:r w:rsidRPr="0012582F">
        <w:t>Willis</w:t>
      </w:r>
      <w:r>
        <w:t>. “</w:t>
      </w:r>
      <w:r w:rsidRPr="0012582F">
        <w:t>Research Synthesis: The Practice of Cognitive Interviewing</w:t>
      </w:r>
      <w:r>
        <w:t>.”</w:t>
      </w:r>
      <w:r w:rsidRPr="0012582F">
        <w:t xml:space="preserve"> </w:t>
      </w:r>
      <w:r w:rsidRPr="00AF10C4">
        <w:rPr>
          <w:i/>
          <w:iCs/>
        </w:rPr>
        <w:t>Public Opinion Quarterly</w:t>
      </w:r>
      <w:r w:rsidRPr="0012582F">
        <w:t xml:space="preserve">, </w:t>
      </w:r>
      <w:r>
        <w:t>vol.</w:t>
      </w:r>
      <w:r w:rsidRPr="0012582F">
        <w:t xml:space="preserve"> 71,</w:t>
      </w:r>
      <w:r>
        <w:t xml:space="preserve"> no. </w:t>
      </w:r>
      <w:r w:rsidRPr="0012582F">
        <w:t xml:space="preserve"> 2, Summer 2007, </w:t>
      </w:r>
      <w:r>
        <w:t xml:space="preserve">pp. </w:t>
      </w:r>
      <w:r w:rsidRPr="0012582F">
        <w:t>287–311</w:t>
      </w:r>
      <w:r>
        <w:t>.</w:t>
      </w:r>
    </w:p>
  </w:footnote>
  <w:footnote w:id="3">
    <w:p w:rsidR="00C91C7B" w14:paraId="1DAA5A24" w14:textId="2AB15583">
      <w:pPr>
        <w:pStyle w:val="FootnoteText"/>
      </w:pPr>
      <w:r>
        <w:rPr>
          <w:rStyle w:val="FootnoteReference"/>
        </w:rPr>
        <w:footnoteRef/>
      </w:r>
      <w:r>
        <w:t xml:space="preserve"> Office of Management and Budget. “Revisions to OMB’s Statistical Policy Directive No. 15: Standards for Maintaining, Collecting, and Presenting Federal Data on Race and Ethnicity.” 2024. Accessed at </w:t>
      </w:r>
      <w:hyperlink r:id="rId1" w:history="1">
        <w:r>
          <w:rPr>
            <w:rStyle w:val="Hyperlink"/>
          </w:rPr>
          <w:t>2024-06469.pdf (federalregister.gov)</w:t>
        </w:r>
      </w:hyperlink>
      <w:r>
        <w:t>.</w:t>
      </w:r>
    </w:p>
  </w:footnote>
  <w:footnote w:id="4">
    <w:p w:rsidR="00F40090" w:rsidP="00F40090" w14:paraId="42EF16B4" w14:textId="77777777">
      <w:pPr>
        <w:pStyle w:val="FootnoteText"/>
      </w:pPr>
      <w:r>
        <w:rPr>
          <w:rStyle w:val="FootnoteReference"/>
        </w:rPr>
        <w:footnoteRef/>
      </w:r>
      <w:r>
        <w:t xml:space="preserve"> </w:t>
      </w:r>
      <w:r w:rsidRPr="0012582F">
        <w:t>Beatty,</w:t>
      </w:r>
      <w:r>
        <w:t xml:space="preserve"> P.C. and G.B. </w:t>
      </w:r>
      <w:r w:rsidRPr="0012582F">
        <w:t>Willis</w:t>
      </w:r>
      <w:r>
        <w:t>. “</w:t>
      </w:r>
      <w:r w:rsidRPr="0012582F">
        <w:t>Research Synthesis: The Practice of Cognitive Interviewing</w:t>
      </w:r>
      <w:r>
        <w:t>.”</w:t>
      </w:r>
      <w:r w:rsidRPr="0012582F">
        <w:t xml:space="preserve"> </w:t>
      </w:r>
      <w:r w:rsidRPr="00AF10C4">
        <w:rPr>
          <w:i/>
          <w:iCs/>
        </w:rPr>
        <w:t>Public Opinion Quarterly</w:t>
      </w:r>
      <w:r w:rsidRPr="0012582F">
        <w:t xml:space="preserve">, </w:t>
      </w:r>
      <w:r>
        <w:t>vol.</w:t>
      </w:r>
      <w:r w:rsidRPr="0012582F">
        <w:t xml:space="preserve"> 71,</w:t>
      </w:r>
      <w:r>
        <w:t xml:space="preserve"> no. </w:t>
      </w:r>
      <w:r w:rsidRPr="0012582F">
        <w:t xml:space="preserve"> 2, Summer 2007, </w:t>
      </w:r>
      <w:r>
        <w:t xml:space="preserve">pp. </w:t>
      </w:r>
      <w:r w:rsidRPr="0012582F">
        <w:t>287–311</w:t>
      </w:r>
      <w:r>
        <w:t>.</w:t>
      </w:r>
    </w:p>
  </w:footnote>
  <w:footnote w:id="5">
    <w:p w:rsidR="00F40090" w:rsidP="00F40090" w14:paraId="6946D978" w14:textId="77777777">
      <w:pPr>
        <w:pStyle w:val="FootnoteText"/>
      </w:pPr>
      <w:r>
        <w:rPr>
          <w:rStyle w:val="FootnoteReference"/>
        </w:rPr>
        <w:footnoteRef/>
      </w:r>
      <w:r>
        <w:t xml:space="preserve"> </w:t>
      </w:r>
      <w:r w:rsidRPr="00AF10C4">
        <w:t>Cibelli Hibben</w:t>
      </w:r>
      <w:r>
        <w:t xml:space="preserve">, K. </w:t>
      </w:r>
      <w:r w:rsidRPr="00AF10C4">
        <w:t xml:space="preserve">and J. de Jong. </w:t>
      </w:r>
      <w:r w:rsidRPr="007910E5">
        <w:t xml:space="preserve">“Cognitive Interviewing.” </w:t>
      </w:r>
      <w:r w:rsidRPr="00FD5FA9">
        <w:t>In</w:t>
      </w:r>
      <w:r>
        <w:rPr>
          <w:i/>
          <w:iCs/>
        </w:rPr>
        <w:t xml:space="preserve"> </w:t>
      </w:r>
      <w:r w:rsidRPr="00FD5FA9">
        <w:rPr>
          <w:i/>
          <w:iCs/>
        </w:rPr>
        <w:t>Guidelines for Best Practice in Cross-Cultural Surveys</w:t>
      </w:r>
      <w:r w:rsidRPr="00AF10C4">
        <w:t xml:space="preserve">. Ann Arbor, MI:  Survey Research Center, Institute for Social Research, University of Michigan. </w:t>
      </w:r>
      <w:hyperlink r:id="rId2" w:tgtFrame="_blank" w:history="1">
        <w:r w:rsidRPr="00AF10C4">
          <w:t>http://ccsg.isr.umich.edu/</w:t>
        </w:r>
      </w:hyperlink>
      <w:r w:rsidRPr="00AF10C4">
        <w:t>.</w:t>
      </w:r>
      <w:hyperlink r:id="rId3" w:history="1">
        <w:r w:rsidRPr="00AF10C4">
          <w:t>https://ccsg.isr.umich.edu/chapters/pretesting/cognitive-interviewing/</w:t>
        </w:r>
      </w:hyperlink>
      <w:r>
        <w:t xml:space="preserve">, 2016.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D2628F5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C5A3FA1"/>
    <w:multiLevelType w:val="hybridMultilevel"/>
    <w:tmpl w:val="7D0E2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166B28"/>
    <w:multiLevelType w:val="hybridMultilevel"/>
    <w:tmpl w:val="659698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8">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5CF67EB"/>
    <w:multiLevelType w:val="hybridMultilevel"/>
    <w:tmpl w:val="471EBB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0602A07"/>
    <w:multiLevelType w:val="hybridMultilevel"/>
    <w:tmpl w:val="F1667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52A54DE1"/>
    <w:multiLevelType w:val="hybridMultilevel"/>
    <w:tmpl w:val="CFAA512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79A46788"/>
    <w:multiLevelType w:val="hybridMultilevel"/>
    <w:tmpl w:val="39829E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04901297">
    <w:abstractNumId w:val="6"/>
  </w:num>
  <w:num w:numId="2" w16cid:durableId="319038432">
    <w:abstractNumId w:val="21"/>
  </w:num>
  <w:num w:numId="3" w16cid:durableId="1604872407">
    <w:abstractNumId w:val="5"/>
  </w:num>
  <w:num w:numId="4" w16cid:durableId="1527325370">
    <w:abstractNumId w:val="28"/>
  </w:num>
  <w:num w:numId="5" w16cid:durableId="959185452">
    <w:abstractNumId w:val="17"/>
  </w:num>
  <w:num w:numId="6" w16cid:durableId="1293907087">
    <w:abstractNumId w:val="34"/>
  </w:num>
  <w:num w:numId="7" w16cid:durableId="615988064">
    <w:abstractNumId w:val="4"/>
  </w:num>
  <w:num w:numId="8" w16cid:durableId="1931428200">
    <w:abstractNumId w:val="9"/>
  </w:num>
  <w:num w:numId="9" w16cid:durableId="434639453">
    <w:abstractNumId w:val="16"/>
  </w:num>
  <w:num w:numId="10" w16cid:durableId="360281860">
    <w:abstractNumId w:val="32"/>
  </w:num>
  <w:num w:numId="11" w16cid:durableId="1095981811">
    <w:abstractNumId w:val="36"/>
  </w:num>
  <w:num w:numId="12" w16cid:durableId="1890338446">
    <w:abstractNumId w:val="30"/>
  </w:num>
  <w:num w:numId="13" w16cid:durableId="1775517567">
    <w:abstractNumId w:val="27"/>
  </w:num>
  <w:num w:numId="14" w16cid:durableId="478574455">
    <w:abstractNumId w:val="31"/>
  </w:num>
  <w:num w:numId="15" w16cid:durableId="1351832588">
    <w:abstractNumId w:val="18"/>
  </w:num>
  <w:num w:numId="16" w16cid:durableId="37753540">
    <w:abstractNumId w:val="26"/>
  </w:num>
  <w:num w:numId="17" w16cid:durableId="1518735812">
    <w:abstractNumId w:val="14"/>
  </w:num>
  <w:num w:numId="18" w16cid:durableId="1284651199">
    <w:abstractNumId w:val="8"/>
  </w:num>
  <w:num w:numId="19" w16cid:durableId="341470593">
    <w:abstractNumId w:val="7"/>
  </w:num>
  <w:num w:numId="20" w16cid:durableId="713651884">
    <w:abstractNumId w:val="24"/>
  </w:num>
  <w:num w:numId="21" w16cid:durableId="1360005047">
    <w:abstractNumId w:val="1"/>
  </w:num>
  <w:num w:numId="22" w16cid:durableId="1450080675">
    <w:abstractNumId w:val="2"/>
  </w:num>
  <w:num w:numId="23" w16cid:durableId="1703701882">
    <w:abstractNumId w:val="19"/>
  </w:num>
  <w:num w:numId="24" w16cid:durableId="657534782">
    <w:abstractNumId w:val="3"/>
  </w:num>
  <w:num w:numId="25" w16cid:durableId="1696149667">
    <w:abstractNumId w:val="10"/>
  </w:num>
  <w:num w:numId="26" w16cid:durableId="773869579">
    <w:abstractNumId w:val="22"/>
  </w:num>
  <w:num w:numId="27" w16cid:durableId="1817338402">
    <w:abstractNumId w:val="15"/>
  </w:num>
  <w:num w:numId="28" w16cid:durableId="34812060">
    <w:abstractNumId w:val="35"/>
  </w:num>
  <w:num w:numId="29" w16cid:durableId="1941646083">
    <w:abstractNumId w:val="29"/>
  </w:num>
  <w:num w:numId="30" w16cid:durableId="1073742400">
    <w:abstractNumId w:val="12"/>
  </w:num>
  <w:num w:numId="31" w16cid:durableId="1964847376">
    <w:abstractNumId w:val="25"/>
  </w:num>
  <w:num w:numId="32" w16cid:durableId="762992834">
    <w:abstractNumId w:val="11"/>
  </w:num>
  <w:num w:numId="33" w16cid:durableId="1981112550">
    <w:abstractNumId w:val="13"/>
  </w:num>
  <w:num w:numId="34" w16cid:durableId="63842582">
    <w:abstractNumId w:val="33"/>
  </w:num>
  <w:num w:numId="35" w16cid:durableId="1085609383">
    <w:abstractNumId w:val="23"/>
  </w:num>
  <w:num w:numId="36" w16cid:durableId="1828859596">
    <w:abstractNumId w:val="0"/>
  </w:num>
  <w:num w:numId="37" w16cid:durableId="1993022121">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5BFB"/>
    <w:rsid w:val="00027E79"/>
    <w:rsid w:val="0004063C"/>
    <w:rsid w:val="0004247F"/>
    <w:rsid w:val="000609EF"/>
    <w:rsid w:val="00060C59"/>
    <w:rsid w:val="00062AFB"/>
    <w:rsid w:val="000655DD"/>
    <w:rsid w:val="00071F79"/>
    <w:rsid w:val="0007251B"/>
    <w:rsid w:val="000733A5"/>
    <w:rsid w:val="00075AE9"/>
    <w:rsid w:val="0008020F"/>
    <w:rsid w:val="00082C5B"/>
    <w:rsid w:val="00083227"/>
    <w:rsid w:val="00086CBE"/>
    <w:rsid w:val="00090812"/>
    <w:rsid w:val="000921F0"/>
    <w:rsid w:val="0009316C"/>
    <w:rsid w:val="00094142"/>
    <w:rsid w:val="000966B5"/>
    <w:rsid w:val="000A012A"/>
    <w:rsid w:val="000D4E9A"/>
    <w:rsid w:val="000D61D4"/>
    <w:rsid w:val="000D7942"/>
    <w:rsid w:val="000D7D44"/>
    <w:rsid w:val="000F1E4A"/>
    <w:rsid w:val="00100D34"/>
    <w:rsid w:val="00103EFD"/>
    <w:rsid w:val="00107D87"/>
    <w:rsid w:val="001253F4"/>
    <w:rsid w:val="0012582F"/>
    <w:rsid w:val="00134EF0"/>
    <w:rsid w:val="00157482"/>
    <w:rsid w:val="00165818"/>
    <w:rsid w:val="001707D8"/>
    <w:rsid w:val="001734A5"/>
    <w:rsid w:val="001754C8"/>
    <w:rsid w:val="00186FD0"/>
    <w:rsid w:val="0019342A"/>
    <w:rsid w:val="001960ED"/>
    <w:rsid w:val="001B0A76"/>
    <w:rsid w:val="001B6E1A"/>
    <w:rsid w:val="001D1AD0"/>
    <w:rsid w:val="001F3C6E"/>
    <w:rsid w:val="001F57F5"/>
    <w:rsid w:val="0020401C"/>
    <w:rsid w:val="0020629A"/>
    <w:rsid w:val="00206E11"/>
    <w:rsid w:val="00206FE3"/>
    <w:rsid w:val="00207554"/>
    <w:rsid w:val="00211261"/>
    <w:rsid w:val="00224ED9"/>
    <w:rsid w:val="0022735F"/>
    <w:rsid w:val="0023386D"/>
    <w:rsid w:val="00246716"/>
    <w:rsid w:val="002517BB"/>
    <w:rsid w:val="00256E24"/>
    <w:rsid w:val="00265491"/>
    <w:rsid w:val="0026624E"/>
    <w:rsid w:val="00276CE2"/>
    <w:rsid w:val="00277E03"/>
    <w:rsid w:val="00287AF1"/>
    <w:rsid w:val="002A41C6"/>
    <w:rsid w:val="002A75FF"/>
    <w:rsid w:val="002B785B"/>
    <w:rsid w:val="002C4F75"/>
    <w:rsid w:val="002D6BDA"/>
    <w:rsid w:val="002E2E7A"/>
    <w:rsid w:val="002E5CE3"/>
    <w:rsid w:val="002E6CCF"/>
    <w:rsid w:val="002F33D0"/>
    <w:rsid w:val="00300722"/>
    <w:rsid w:val="0030316D"/>
    <w:rsid w:val="003264F5"/>
    <w:rsid w:val="00353C19"/>
    <w:rsid w:val="00373D2F"/>
    <w:rsid w:val="00373ED8"/>
    <w:rsid w:val="00382109"/>
    <w:rsid w:val="003961CF"/>
    <w:rsid w:val="00396799"/>
    <w:rsid w:val="003A7774"/>
    <w:rsid w:val="003B0287"/>
    <w:rsid w:val="003C566B"/>
    <w:rsid w:val="003C7358"/>
    <w:rsid w:val="003E61F6"/>
    <w:rsid w:val="003F0D93"/>
    <w:rsid w:val="003F298B"/>
    <w:rsid w:val="00407537"/>
    <w:rsid w:val="004165BD"/>
    <w:rsid w:val="0042220D"/>
    <w:rsid w:val="0043377A"/>
    <w:rsid w:val="004379B6"/>
    <w:rsid w:val="0044428E"/>
    <w:rsid w:val="00444292"/>
    <w:rsid w:val="00446465"/>
    <w:rsid w:val="0046009A"/>
    <w:rsid w:val="00460D54"/>
    <w:rsid w:val="00461D3E"/>
    <w:rsid w:val="004706CC"/>
    <w:rsid w:val="00487654"/>
    <w:rsid w:val="00494D94"/>
    <w:rsid w:val="004B75AC"/>
    <w:rsid w:val="004C3644"/>
    <w:rsid w:val="004C7E15"/>
    <w:rsid w:val="004D0294"/>
    <w:rsid w:val="004D12DD"/>
    <w:rsid w:val="004D73C9"/>
    <w:rsid w:val="004E0F2F"/>
    <w:rsid w:val="004E5778"/>
    <w:rsid w:val="004E7ED8"/>
    <w:rsid w:val="0050376D"/>
    <w:rsid w:val="00512525"/>
    <w:rsid w:val="00512C25"/>
    <w:rsid w:val="00520EFF"/>
    <w:rsid w:val="005302CB"/>
    <w:rsid w:val="00544D2B"/>
    <w:rsid w:val="00553C3E"/>
    <w:rsid w:val="0055434C"/>
    <w:rsid w:val="00554F2C"/>
    <w:rsid w:val="005906D9"/>
    <w:rsid w:val="00591283"/>
    <w:rsid w:val="00597366"/>
    <w:rsid w:val="005A61CE"/>
    <w:rsid w:val="005A7E5A"/>
    <w:rsid w:val="005B0F27"/>
    <w:rsid w:val="005B1285"/>
    <w:rsid w:val="005B1410"/>
    <w:rsid w:val="005B431B"/>
    <w:rsid w:val="005B59C7"/>
    <w:rsid w:val="005C7E12"/>
    <w:rsid w:val="005D4A40"/>
    <w:rsid w:val="005E493B"/>
    <w:rsid w:val="005F2951"/>
    <w:rsid w:val="00620CC3"/>
    <w:rsid w:val="00624DDC"/>
    <w:rsid w:val="006253B6"/>
    <w:rsid w:val="006257ED"/>
    <w:rsid w:val="0062686E"/>
    <w:rsid w:val="00627B87"/>
    <w:rsid w:val="00630B30"/>
    <w:rsid w:val="006345D7"/>
    <w:rsid w:val="00640E40"/>
    <w:rsid w:val="00651FF6"/>
    <w:rsid w:val="00662016"/>
    <w:rsid w:val="0067532A"/>
    <w:rsid w:val="0068303E"/>
    <w:rsid w:val="0068383E"/>
    <w:rsid w:val="006851FB"/>
    <w:rsid w:val="006A4D02"/>
    <w:rsid w:val="006B1BF9"/>
    <w:rsid w:val="006B31DA"/>
    <w:rsid w:val="006B53F1"/>
    <w:rsid w:val="006B6037"/>
    <w:rsid w:val="006C0E56"/>
    <w:rsid w:val="006D3C83"/>
    <w:rsid w:val="006D55CB"/>
    <w:rsid w:val="006E0B8F"/>
    <w:rsid w:val="006E4F82"/>
    <w:rsid w:val="00717BDC"/>
    <w:rsid w:val="0072072F"/>
    <w:rsid w:val="00723A28"/>
    <w:rsid w:val="00736B62"/>
    <w:rsid w:val="00764C85"/>
    <w:rsid w:val="007910E5"/>
    <w:rsid w:val="00793E3E"/>
    <w:rsid w:val="007A29C5"/>
    <w:rsid w:val="007A5C1B"/>
    <w:rsid w:val="007B5968"/>
    <w:rsid w:val="007B6CA2"/>
    <w:rsid w:val="007B6FFF"/>
    <w:rsid w:val="007C2E40"/>
    <w:rsid w:val="007C2EE0"/>
    <w:rsid w:val="007C7B4B"/>
    <w:rsid w:val="007F3F0F"/>
    <w:rsid w:val="00823428"/>
    <w:rsid w:val="008369BA"/>
    <w:rsid w:val="00837A99"/>
    <w:rsid w:val="00840D32"/>
    <w:rsid w:val="00843933"/>
    <w:rsid w:val="00850377"/>
    <w:rsid w:val="00850F4C"/>
    <w:rsid w:val="0085154F"/>
    <w:rsid w:val="00851D43"/>
    <w:rsid w:val="00861A1F"/>
    <w:rsid w:val="00864C1F"/>
    <w:rsid w:val="00870FA1"/>
    <w:rsid w:val="00875220"/>
    <w:rsid w:val="00891CD9"/>
    <w:rsid w:val="008B390E"/>
    <w:rsid w:val="008D3E97"/>
    <w:rsid w:val="008D4796"/>
    <w:rsid w:val="008D78DD"/>
    <w:rsid w:val="008E0239"/>
    <w:rsid w:val="008E2A87"/>
    <w:rsid w:val="008E4718"/>
    <w:rsid w:val="008F2446"/>
    <w:rsid w:val="008F51FB"/>
    <w:rsid w:val="008F570D"/>
    <w:rsid w:val="00901040"/>
    <w:rsid w:val="009104DD"/>
    <w:rsid w:val="00923F25"/>
    <w:rsid w:val="00937DDE"/>
    <w:rsid w:val="00943165"/>
    <w:rsid w:val="00946CEF"/>
    <w:rsid w:val="00963503"/>
    <w:rsid w:val="00963BE5"/>
    <w:rsid w:val="00965DBD"/>
    <w:rsid w:val="00965DD0"/>
    <w:rsid w:val="00971944"/>
    <w:rsid w:val="009719D4"/>
    <w:rsid w:val="009815C6"/>
    <w:rsid w:val="0098209C"/>
    <w:rsid w:val="0099466E"/>
    <w:rsid w:val="00996201"/>
    <w:rsid w:val="009A39E1"/>
    <w:rsid w:val="009A3AD8"/>
    <w:rsid w:val="009A47EE"/>
    <w:rsid w:val="009A6EE8"/>
    <w:rsid w:val="009B0F58"/>
    <w:rsid w:val="009B3DFB"/>
    <w:rsid w:val="009C3380"/>
    <w:rsid w:val="009D0299"/>
    <w:rsid w:val="009E7E38"/>
    <w:rsid w:val="009F265B"/>
    <w:rsid w:val="009F482C"/>
    <w:rsid w:val="009F68DB"/>
    <w:rsid w:val="00A03E3F"/>
    <w:rsid w:val="00A04E45"/>
    <w:rsid w:val="00A1108E"/>
    <w:rsid w:val="00A27CD0"/>
    <w:rsid w:val="00A362B6"/>
    <w:rsid w:val="00A464DD"/>
    <w:rsid w:val="00A67DFF"/>
    <w:rsid w:val="00A71475"/>
    <w:rsid w:val="00A714DC"/>
    <w:rsid w:val="00A7179C"/>
    <w:rsid w:val="00A740BD"/>
    <w:rsid w:val="00A761CB"/>
    <w:rsid w:val="00A85701"/>
    <w:rsid w:val="00A95310"/>
    <w:rsid w:val="00A9615D"/>
    <w:rsid w:val="00AB76BB"/>
    <w:rsid w:val="00AC1D8F"/>
    <w:rsid w:val="00AD0344"/>
    <w:rsid w:val="00AD3261"/>
    <w:rsid w:val="00AD4355"/>
    <w:rsid w:val="00AE2074"/>
    <w:rsid w:val="00AE3F5F"/>
    <w:rsid w:val="00AF04E2"/>
    <w:rsid w:val="00AF10C4"/>
    <w:rsid w:val="00AF491E"/>
    <w:rsid w:val="00B006D9"/>
    <w:rsid w:val="00B076EE"/>
    <w:rsid w:val="00B10585"/>
    <w:rsid w:val="00B13297"/>
    <w:rsid w:val="00B13DC4"/>
    <w:rsid w:val="00B13F87"/>
    <w:rsid w:val="00B17B7C"/>
    <w:rsid w:val="00B20DD1"/>
    <w:rsid w:val="00B23277"/>
    <w:rsid w:val="00B245AD"/>
    <w:rsid w:val="00B33621"/>
    <w:rsid w:val="00B373DD"/>
    <w:rsid w:val="00B4182B"/>
    <w:rsid w:val="00B44863"/>
    <w:rsid w:val="00B55E54"/>
    <w:rsid w:val="00B56589"/>
    <w:rsid w:val="00B64D05"/>
    <w:rsid w:val="00B70460"/>
    <w:rsid w:val="00B73EA6"/>
    <w:rsid w:val="00B9441B"/>
    <w:rsid w:val="00B96942"/>
    <w:rsid w:val="00B96EE7"/>
    <w:rsid w:val="00BA2212"/>
    <w:rsid w:val="00BB2925"/>
    <w:rsid w:val="00BB2B33"/>
    <w:rsid w:val="00BB4BF8"/>
    <w:rsid w:val="00BC7CF0"/>
    <w:rsid w:val="00BD1334"/>
    <w:rsid w:val="00BD702B"/>
    <w:rsid w:val="00BD7B78"/>
    <w:rsid w:val="00BE371B"/>
    <w:rsid w:val="00BE5491"/>
    <w:rsid w:val="00BE773B"/>
    <w:rsid w:val="00C01F30"/>
    <w:rsid w:val="00C04D68"/>
    <w:rsid w:val="00C05352"/>
    <w:rsid w:val="00C32404"/>
    <w:rsid w:val="00C32C8A"/>
    <w:rsid w:val="00C355D9"/>
    <w:rsid w:val="00C73360"/>
    <w:rsid w:val="00C83801"/>
    <w:rsid w:val="00C86CB2"/>
    <w:rsid w:val="00C91C71"/>
    <w:rsid w:val="00C91C7B"/>
    <w:rsid w:val="00C95126"/>
    <w:rsid w:val="00CA72A5"/>
    <w:rsid w:val="00CB0C9D"/>
    <w:rsid w:val="00CB344B"/>
    <w:rsid w:val="00CB36E5"/>
    <w:rsid w:val="00CC07BF"/>
    <w:rsid w:val="00CC4651"/>
    <w:rsid w:val="00CE018E"/>
    <w:rsid w:val="00CE7A4A"/>
    <w:rsid w:val="00CE7DF3"/>
    <w:rsid w:val="00CF315D"/>
    <w:rsid w:val="00D1343F"/>
    <w:rsid w:val="00D13AA8"/>
    <w:rsid w:val="00D13EB6"/>
    <w:rsid w:val="00D239B5"/>
    <w:rsid w:val="00D32B72"/>
    <w:rsid w:val="00D4033C"/>
    <w:rsid w:val="00D45504"/>
    <w:rsid w:val="00D51337"/>
    <w:rsid w:val="00D5346A"/>
    <w:rsid w:val="00D55767"/>
    <w:rsid w:val="00D57BBF"/>
    <w:rsid w:val="00D6597D"/>
    <w:rsid w:val="00D71BA0"/>
    <w:rsid w:val="00D749DF"/>
    <w:rsid w:val="00D82755"/>
    <w:rsid w:val="00D82E67"/>
    <w:rsid w:val="00D831AC"/>
    <w:rsid w:val="00D932A2"/>
    <w:rsid w:val="00D9457F"/>
    <w:rsid w:val="00D97926"/>
    <w:rsid w:val="00DA3557"/>
    <w:rsid w:val="00DA4701"/>
    <w:rsid w:val="00DB6311"/>
    <w:rsid w:val="00DC0383"/>
    <w:rsid w:val="00DC1928"/>
    <w:rsid w:val="00DC3C44"/>
    <w:rsid w:val="00DC65F2"/>
    <w:rsid w:val="00DC7876"/>
    <w:rsid w:val="00DC7DD5"/>
    <w:rsid w:val="00DE3ED7"/>
    <w:rsid w:val="00DF0651"/>
    <w:rsid w:val="00DF1291"/>
    <w:rsid w:val="00DF15DA"/>
    <w:rsid w:val="00E000EC"/>
    <w:rsid w:val="00E0024C"/>
    <w:rsid w:val="00E1392C"/>
    <w:rsid w:val="00E22AC6"/>
    <w:rsid w:val="00E24830"/>
    <w:rsid w:val="00E25225"/>
    <w:rsid w:val="00E318A6"/>
    <w:rsid w:val="00E340E8"/>
    <w:rsid w:val="00E40A3C"/>
    <w:rsid w:val="00E41C62"/>
    <w:rsid w:val="00E41EE9"/>
    <w:rsid w:val="00E461D4"/>
    <w:rsid w:val="00E52CBF"/>
    <w:rsid w:val="00E53FFD"/>
    <w:rsid w:val="00E62285"/>
    <w:rsid w:val="00E62819"/>
    <w:rsid w:val="00E71E25"/>
    <w:rsid w:val="00E75D57"/>
    <w:rsid w:val="00E80588"/>
    <w:rsid w:val="00E9045F"/>
    <w:rsid w:val="00E91320"/>
    <w:rsid w:val="00EA0D4F"/>
    <w:rsid w:val="00EA405B"/>
    <w:rsid w:val="00EB4C26"/>
    <w:rsid w:val="00EB6134"/>
    <w:rsid w:val="00EC1A6C"/>
    <w:rsid w:val="00EC1A82"/>
    <w:rsid w:val="00EC37A1"/>
    <w:rsid w:val="00ED7509"/>
    <w:rsid w:val="00EE38AF"/>
    <w:rsid w:val="00EE7C10"/>
    <w:rsid w:val="00EF254B"/>
    <w:rsid w:val="00EF4FF2"/>
    <w:rsid w:val="00F071DE"/>
    <w:rsid w:val="00F114B9"/>
    <w:rsid w:val="00F40090"/>
    <w:rsid w:val="00F42246"/>
    <w:rsid w:val="00F522E6"/>
    <w:rsid w:val="00F6559B"/>
    <w:rsid w:val="00F74630"/>
    <w:rsid w:val="00F85D35"/>
    <w:rsid w:val="00F862E6"/>
    <w:rsid w:val="00F9122A"/>
    <w:rsid w:val="00F917E5"/>
    <w:rsid w:val="00FA6D2C"/>
    <w:rsid w:val="00FB15C8"/>
    <w:rsid w:val="00FB5BF6"/>
    <w:rsid w:val="00FC779A"/>
    <w:rsid w:val="00FD5FA9"/>
    <w:rsid w:val="00FF4855"/>
    <w:rsid w:val="00FF5C51"/>
    <w:rsid w:val="00FF63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286953BD-3F04-4F86-B7C9-81F9A16F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styleId="ListBullet">
    <w:name w:val="List Bullet"/>
    <w:basedOn w:val="Normal"/>
    <w:uiPriority w:val="99"/>
    <w:unhideWhenUsed/>
    <w:rsid w:val="00937DDE"/>
    <w:pPr>
      <w:numPr>
        <w:numId w:val="36"/>
      </w:numPr>
      <w:contextualSpacing/>
    </w:pPr>
  </w:style>
  <w:style w:type="character" w:styleId="UnresolvedMention">
    <w:name w:val="Unresolved Mention"/>
    <w:basedOn w:val="DefaultParagraphFont"/>
    <w:uiPriority w:val="99"/>
    <w:semiHidden/>
    <w:unhideWhenUsed/>
    <w:rsid w:val="00396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harmanpreet.bhatti@acf.hhs.gov" TargetMode="External" /><Relationship Id="rId11" Type="http://schemas.openxmlformats.org/officeDocument/2006/relationships/hyperlink" Target="mailto:savellar@mathematica-mpr.com"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rebecca.hjelm@acf.hh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public-inspection.federalregister.gov/2024-06469.pdf" TargetMode="External" /><Relationship Id="rId2" Type="http://schemas.openxmlformats.org/officeDocument/2006/relationships/hyperlink" Target="http://www.ccsg.isr.umich.edu/" TargetMode="External" /><Relationship Id="rId3" Type="http://schemas.openxmlformats.org/officeDocument/2006/relationships/hyperlink" Target="https://ccsg.isr.umich.edu/chapters/pretesting/cognitive-interview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95F67-6CB8-466D-AB52-5F8C165C2C09}">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e8cda0f4-338c-4f0b-be7e-6f35462aa326"/>
    <ds:schemaRef ds:uri="f9e9dff2-c88e-4ce8-9990-6e354ce9cf6d"/>
    <ds:schemaRef ds:uri="http://www.w3.org/XML/1998/namespace"/>
    <ds:schemaRef ds:uri="http://purl.org/dc/elements/1.1/"/>
  </ds:schemaRefs>
</ds:datastoreItem>
</file>

<file path=customXml/itemProps2.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3.xml><?xml version="1.0" encoding="utf-8"?>
<ds:datastoreItem xmlns:ds="http://schemas.openxmlformats.org/officeDocument/2006/customXml" ds:itemID="{B0F42BF6-4156-4A71-9783-A41167024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5CA81-56EA-452B-BE32-8326F75F2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dc:creator>
  <cp:lastModifiedBy>ACF PRA</cp:lastModifiedBy>
  <cp:revision>5</cp:revision>
  <dcterms:created xsi:type="dcterms:W3CDTF">2024-08-02T20:02:00Z</dcterms:created>
  <dcterms:modified xsi:type="dcterms:W3CDTF">2024-08-07T20:01:00Z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