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383805" w:rsidP="008F570D" w14:paraId="2D2824CA" w14:textId="047C7219">
      <w:pPr>
        <w:pStyle w:val="ReportCover-Title"/>
        <w:jc w:val="center"/>
        <w:rPr>
          <w:rFonts w:ascii="Arial" w:hAnsi="Arial" w:cs="Arial"/>
          <w:color w:val="auto"/>
        </w:rPr>
      </w:pPr>
      <w:r w:rsidRPr="00383805">
        <w:rPr>
          <w:rFonts w:ascii="Arial" w:eastAsia="Arial Unicode MS" w:hAnsi="Arial" w:cs="Arial"/>
          <w:noProof/>
          <w:color w:val="auto"/>
        </w:rPr>
        <w:t>O</w:t>
      </w:r>
      <w:r w:rsidR="002C6A93">
        <w:rPr>
          <w:rFonts w:ascii="Arial" w:eastAsia="Arial Unicode MS" w:hAnsi="Arial" w:cs="Arial"/>
          <w:noProof/>
          <w:color w:val="auto"/>
        </w:rPr>
        <w:t xml:space="preserve">ffice of </w:t>
      </w:r>
      <w:r w:rsidRPr="00383805">
        <w:rPr>
          <w:rFonts w:ascii="Arial" w:eastAsia="Arial Unicode MS" w:hAnsi="Arial" w:cs="Arial"/>
          <w:noProof/>
          <w:color w:val="auto"/>
        </w:rPr>
        <w:t>P</w:t>
      </w:r>
      <w:r w:rsidR="002C6A93">
        <w:rPr>
          <w:rFonts w:ascii="Arial" w:eastAsia="Arial Unicode MS" w:hAnsi="Arial" w:cs="Arial"/>
          <w:noProof/>
          <w:color w:val="auto"/>
        </w:rPr>
        <w:t xml:space="preserve">lanning, </w:t>
      </w:r>
      <w:r w:rsidRPr="00383805">
        <w:rPr>
          <w:rFonts w:ascii="Arial" w:eastAsia="Arial Unicode MS" w:hAnsi="Arial" w:cs="Arial"/>
          <w:noProof/>
          <w:color w:val="auto"/>
        </w:rPr>
        <w:t>R</w:t>
      </w:r>
      <w:r w:rsidR="002C6A93">
        <w:rPr>
          <w:rFonts w:ascii="Arial" w:eastAsia="Arial Unicode MS" w:hAnsi="Arial" w:cs="Arial"/>
          <w:noProof/>
          <w:color w:val="auto"/>
        </w:rPr>
        <w:t xml:space="preserve">esearch, and </w:t>
      </w:r>
      <w:r w:rsidRPr="00383805">
        <w:rPr>
          <w:rFonts w:ascii="Arial" w:eastAsia="Arial Unicode MS" w:hAnsi="Arial" w:cs="Arial"/>
          <w:noProof/>
          <w:color w:val="auto"/>
        </w:rPr>
        <w:t>E</w:t>
      </w:r>
      <w:r w:rsidR="002C6A93">
        <w:rPr>
          <w:rFonts w:ascii="Arial" w:eastAsia="Arial Unicode MS" w:hAnsi="Arial" w:cs="Arial"/>
          <w:noProof/>
          <w:color w:val="auto"/>
        </w:rPr>
        <w:t>valuation</w:t>
      </w:r>
      <w:r w:rsidR="00AC5DFD">
        <w:rPr>
          <w:rFonts w:ascii="Arial" w:eastAsia="Arial Unicode MS" w:hAnsi="Arial" w:cs="Arial"/>
          <w:noProof/>
          <w:color w:val="auto"/>
        </w:rPr>
        <w:t xml:space="preserve"> (OPRE)</w:t>
      </w:r>
      <w:r w:rsidR="002C6A93">
        <w:rPr>
          <w:rFonts w:ascii="Arial" w:eastAsia="Arial Unicode MS" w:hAnsi="Arial" w:cs="Arial"/>
          <w:noProof/>
          <w:color w:val="auto"/>
        </w:rPr>
        <w:t xml:space="preserve"> Discussions with</w:t>
      </w:r>
      <w:r w:rsidRPr="00383805">
        <w:rPr>
          <w:rFonts w:ascii="Arial" w:eastAsia="Arial Unicode MS" w:hAnsi="Arial" w:cs="Arial"/>
          <w:noProof/>
          <w:color w:val="auto"/>
        </w:rPr>
        <w:t xml:space="preserve"> </w:t>
      </w:r>
      <w:r w:rsidRPr="00383805">
        <w:rPr>
          <w:rFonts w:ascii="Arial" w:hAnsi="Arial" w:cs="Arial"/>
          <w:color w:val="131619"/>
          <w:shd w:val="clear" w:color="auto" w:fill="FFFFFF"/>
        </w:rPr>
        <w:t xml:space="preserve">Asian American, Native Hawaiian, and Pacific Islander </w:t>
      </w:r>
      <w:r>
        <w:rPr>
          <w:rFonts w:ascii="Arial" w:hAnsi="Arial" w:cs="Arial"/>
          <w:color w:val="131619"/>
          <w:shd w:val="clear" w:color="auto" w:fill="FFFFFF"/>
        </w:rPr>
        <w:t>(</w:t>
      </w:r>
      <w:r w:rsidRPr="00383805">
        <w:rPr>
          <w:rFonts w:ascii="Arial" w:eastAsia="Arial Unicode MS" w:hAnsi="Arial" w:cs="Arial"/>
          <w:noProof/>
          <w:color w:val="auto"/>
        </w:rPr>
        <w:t>AANHPI</w:t>
      </w:r>
      <w:r>
        <w:rPr>
          <w:rFonts w:ascii="Arial" w:eastAsia="Arial Unicode MS" w:hAnsi="Arial" w:cs="Arial"/>
          <w:noProof/>
          <w:color w:val="auto"/>
        </w:rPr>
        <w:t>)</w:t>
      </w:r>
      <w:r w:rsidRPr="00383805">
        <w:rPr>
          <w:rFonts w:ascii="Arial" w:eastAsia="Arial Unicode MS" w:hAnsi="Arial" w:cs="Arial"/>
          <w:noProof/>
          <w:color w:val="auto"/>
        </w:rPr>
        <w:t xml:space="preserve"> </w:t>
      </w:r>
      <w:r w:rsidRPr="00383805">
        <w:rPr>
          <w:rFonts w:ascii="Arial" w:hAnsi="Arial" w:cs="Arial"/>
          <w:color w:val="131619"/>
          <w:shd w:val="clear" w:color="auto" w:fill="FFFFFF"/>
        </w:rPr>
        <w:t>Expert</w:t>
      </w:r>
      <w:r w:rsidR="002C6A93">
        <w:rPr>
          <w:rFonts w:ascii="Arial" w:hAnsi="Arial" w:cs="Arial"/>
          <w:color w:val="131619"/>
          <w:shd w:val="clear" w:color="auto" w:fill="FFFFFF"/>
        </w:rPr>
        <w:t>s</w:t>
      </w:r>
      <w:r w:rsidRPr="00383805">
        <w:rPr>
          <w:rFonts w:ascii="Arial" w:hAnsi="Arial" w:cs="Arial"/>
          <w:color w:val="131619"/>
          <w:shd w:val="clear" w:color="auto" w:fill="FFFFFF"/>
        </w:rPr>
        <w:t xml:space="preserve"> </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1A2935E9">
      <w:pPr>
        <w:pStyle w:val="ReportCover-Date"/>
        <w:jc w:val="center"/>
        <w:rPr>
          <w:rFonts w:ascii="Arial" w:hAnsi="Arial" w:cs="Arial"/>
          <w:color w:val="auto"/>
        </w:rPr>
      </w:pPr>
      <w:r>
        <w:rPr>
          <w:rFonts w:ascii="Arial" w:hAnsi="Arial" w:cs="Arial"/>
          <w:color w:val="auto"/>
        </w:rPr>
        <w:t>October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6E4531FC">
      <w:pPr>
        <w:jc w:val="center"/>
        <w:rPr>
          <w:rFonts w:ascii="Arial" w:hAnsi="Arial" w:cs="Arial"/>
        </w:rPr>
      </w:pPr>
      <w:r>
        <w:rPr>
          <w:rFonts w:ascii="Arial" w:hAnsi="Arial" w:cs="Arial"/>
        </w:rPr>
        <w:t>Office of Planning, Research, and Evaluation</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EE2C43D" w14:paraId="5B392B3F" w14:textId="5E70AF4F">
      <w:pPr>
        <w:spacing w:after="120"/>
        <w:rPr>
          <w:b/>
          <w:bCs/>
        </w:rPr>
      </w:pPr>
    </w:p>
    <w:p w:rsidR="00945CD6" w:rsidRPr="001C1E43" w:rsidP="008F570D" w14:paraId="63932BF7" w14:textId="3B3CEA54">
      <w:pPr>
        <w:spacing w:after="120"/>
        <w:rPr>
          <w:b/>
        </w:rPr>
      </w:pPr>
      <w:r w:rsidRPr="001C1E43">
        <w:rPr>
          <w:b/>
        </w:rPr>
        <w:t xml:space="preserve">A1. </w:t>
      </w:r>
      <w:r w:rsidRPr="001C1E43">
        <w:rPr>
          <w:b/>
        </w:rPr>
        <w:t>Necessity for the Data Collection</w:t>
      </w:r>
    </w:p>
    <w:p w:rsidR="00872EA6" w:rsidRPr="001C1E43" w:rsidP="00033A1A" w14:paraId="51A76E87" w14:textId="5C2ADCDC">
      <w:r w:rsidRPr="001C1E43">
        <w:t xml:space="preserve">The </w:t>
      </w:r>
      <w:r w:rsidR="00A05FA2">
        <w:t xml:space="preserve">Office of Planning, Research, and Evaluation (OPRE) within the </w:t>
      </w:r>
      <w:r w:rsidRPr="001C1E43">
        <w:t xml:space="preserve">Administration for Children and Families (ACF) at the U.S. Department of Health and Human Services (HHS) seeks approval to </w:t>
      </w:r>
      <w:r w:rsidR="00CC1F99">
        <w:t xml:space="preserve">gather input from </w:t>
      </w:r>
      <w:r w:rsidRPr="500A0E57">
        <w:t xml:space="preserve">individuals with expertise in Asian American, Native </w:t>
      </w:r>
      <w:r w:rsidRPr="001C1E43">
        <w:rPr>
          <w:color w:val="131619"/>
          <w:shd w:val="clear" w:color="auto" w:fill="FFFFFF"/>
        </w:rPr>
        <w:t>Hawaiian, and Pacific Islander</w:t>
      </w:r>
      <w:r w:rsidRPr="001C1E43">
        <w:t xml:space="preserve"> (AANHPI) populations. </w:t>
      </w:r>
      <w:r w:rsidR="00CC1F99">
        <w:t>Th</w:t>
      </w:r>
      <w:r w:rsidR="00957950">
        <w:t>is feedback would be gathered</w:t>
      </w:r>
      <w:r w:rsidR="00CC1F99">
        <w:t xml:space="preserve"> during an expert convening that is planned</w:t>
      </w:r>
      <w:r w:rsidRPr="001C1E43">
        <w:t xml:space="preserve"> to gain understanding on AANHPI population characteristics, experiences, and needs related to ACF mission and identify gaps in knowledge and actionable opportunities to better inform ACF’s service delivery for AANHPI populations. </w:t>
      </w:r>
      <w:r w:rsidRPr="001C1E43" w:rsidR="00C81968">
        <w:t xml:space="preserve">The learnings from this expert convening will ultimately </w:t>
      </w:r>
      <w:r w:rsidR="00676F08">
        <w:t>inform an OPRE research agenda</w:t>
      </w:r>
      <w:r w:rsidRPr="001C1E43" w:rsidR="00C81968">
        <w:t xml:space="preserve"> focused on promoting the well-being of AANHPI populations</w:t>
      </w:r>
      <w:r w:rsidRPr="001C1E43" w:rsidR="001E5A02">
        <w:t xml:space="preserve"> served by ACF</w:t>
      </w:r>
      <w:r w:rsidRPr="001C1E43" w:rsidR="00C81968">
        <w:t xml:space="preserve">. Experts </w:t>
      </w:r>
      <w:r w:rsidRPr="001C1E43">
        <w:t xml:space="preserve">to actively engage include individuals from programmatic, research, policy, and advocacy areas </w:t>
      </w:r>
      <w:r w:rsidRPr="001C1E43" w:rsidR="00C81968">
        <w:t xml:space="preserve">that are embedded </w:t>
      </w:r>
      <w:r w:rsidRPr="001C1E43">
        <w:t xml:space="preserve">in AANHPI </w:t>
      </w:r>
      <w:r w:rsidRPr="001C1E43" w:rsidR="00C81968">
        <w:t>communities</w:t>
      </w:r>
      <w:r w:rsidRPr="001C1E43">
        <w:t>.</w:t>
      </w:r>
    </w:p>
    <w:p w:rsidR="00B01A61" w:rsidRPr="001C1E43" w:rsidP="008F570D" w14:paraId="0F843E64" w14:textId="77777777">
      <w:pPr>
        <w:rPr>
          <w:highlight w:val="yellow"/>
        </w:rPr>
      </w:pPr>
    </w:p>
    <w:p w:rsidR="00984CA2" w:rsidRPr="001C1E43"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C1E43">
        <w:rPr>
          <w:rFonts w:ascii="Times New Roman" w:hAnsi="Times New Roman"/>
          <w:i/>
          <w:sz w:val="24"/>
          <w:szCs w:val="24"/>
        </w:rPr>
        <w:t xml:space="preserve">Background </w:t>
      </w:r>
    </w:p>
    <w:p w:rsidR="00512B70" w:rsidRPr="001C1E43" w:rsidP="00512B70" w14:paraId="4CB317C9" w14:textId="7A207817">
      <w:pPr>
        <w:rPr>
          <w:rStyle w:val="cf01"/>
          <w:rFonts w:ascii="Times New Roman" w:hAnsi="Times New Roman" w:cs="Times New Roman"/>
          <w:sz w:val="24"/>
          <w:szCs w:val="24"/>
        </w:rPr>
      </w:pPr>
      <w:r w:rsidRPr="001C1E43">
        <w:t xml:space="preserve">Executive Order (EO), </w:t>
      </w:r>
      <w:r w:rsidRPr="001C1E43">
        <w:rPr>
          <w:rStyle w:val="cf11"/>
          <w:rFonts w:ascii="Times New Roman" w:hAnsi="Times New Roman" w:cs="Times New Roman"/>
          <w:sz w:val="24"/>
          <w:szCs w:val="24"/>
        </w:rPr>
        <w:t>Advancing Racial Equity and Support for Underserved Communities Through the Federal Government (EO 13985)</w:t>
      </w:r>
      <w:r w:rsidRPr="001C1E43">
        <w:rPr>
          <w:rStyle w:val="cf01"/>
          <w:rFonts w:ascii="Times New Roman" w:hAnsi="Times New Roman" w:cs="Times New Roman"/>
          <w:sz w:val="24"/>
          <w:szCs w:val="24"/>
        </w:rPr>
        <w:t xml:space="preserve"> emphasizes the need to </w:t>
      </w:r>
      <w:r w:rsidRPr="001C1E43">
        <w:rPr>
          <w:shd w:val="clear" w:color="auto" w:fill="FFFFFF"/>
        </w:rPr>
        <w:t>pursue a comprehensive approach to advancing equity for all, including people of color and others who have been historically underserved, marginalized, and adversely affected by persistent poverty and inequality</w:t>
      </w:r>
      <w:r w:rsidRPr="001C1E43">
        <w:t xml:space="preserve">. </w:t>
      </w:r>
      <w:r w:rsidRPr="001C1E43">
        <w:rPr>
          <w:rStyle w:val="cf01"/>
          <w:rFonts w:ascii="Times New Roman" w:hAnsi="Times New Roman" w:cs="Times New Roman"/>
          <w:sz w:val="24"/>
          <w:szCs w:val="24"/>
        </w:rPr>
        <w:t xml:space="preserve">The EO on </w:t>
      </w:r>
      <w:r w:rsidRPr="001C1E43">
        <w:rPr>
          <w:rStyle w:val="cf11"/>
          <w:rFonts w:ascii="Times New Roman" w:hAnsi="Times New Roman" w:cs="Times New Roman"/>
          <w:sz w:val="24"/>
          <w:szCs w:val="24"/>
        </w:rPr>
        <w:t>Further Advancing Racial Equity and Support for Underserved</w:t>
      </w:r>
      <w:r w:rsidR="00A310D2">
        <w:rPr>
          <w:rStyle w:val="cf11"/>
          <w:rFonts w:ascii="Times New Roman" w:hAnsi="Times New Roman" w:cs="Times New Roman"/>
          <w:sz w:val="24"/>
          <w:szCs w:val="24"/>
        </w:rPr>
        <w:t xml:space="preserve"> </w:t>
      </w:r>
      <w:r w:rsidRPr="001C1E43">
        <w:rPr>
          <w:rStyle w:val="cf11"/>
          <w:rFonts w:ascii="Times New Roman" w:hAnsi="Times New Roman" w:cs="Times New Roman"/>
          <w:sz w:val="24"/>
          <w:szCs w:val="24"/>
        </w:rPr>
        <w:t xml:space="preserve">Communities Through the Federal Government </w:t>
      </w:r>
      <w:r w:rsidRPr="001C1E43">
        <w:rPr>
          <w:rStyle w:val="cf01"/>
          <w:rFonts w:ascii="Times New Roman" w:hAnsi="Times New Roman" w:cs="Times New Roman"/>
          <w:sz w:val="24"/>
          <w:szCs w:val="24"/>
        </w:rPr>
        <w:t xml:space="preserve">followed in 2023 and built on EO 13985, calling upon agencies to increase engagement with underserved communities and to “collaborate with OMB, as appropriate, to identify and develop tools and methods” to meet this goal. </w:t>
      </w:r>
    </w:p>
    <w:p w:rsidR="00512B70" w:rsidRPr="001C1E43" w:rsidP="00512B70" w14:paraId="4560714C" w14:textId="77777777">
      <w:pPr>
        <w:rPr>
          <w:rStyle w:val="cf01"/>
          <w:rFonts w:ascii="Times New Roman" w:hAnsi="Times New Roman" w:cs="Times New Roman"/>
          <w:sz w:val="24"/>
          <w:szCs w:val="24"/>
        </w:rPr>
      </w:pPr>
    </w:p>
    <w:p w:rsidR="00512B70" w:rsidRPr="001C1E43" w:rsidP="00512B70" w14:paraId="3D94B3C1" w14:textId="7E95CB23">
      <w:pPr>
        <w:rPr>
          <w:color w:val="000000"/>
        </w:rPr>
      </w:pPr>
      <w:r w:rsidRPr="001C1E43">
        <w:t xml:space="preserve">In </w:t>
      </w:r>
      <w:r w:rsidRPr="001C1E43">
        <w:rPr>
          <w:rStyle w:val="cf01"/>
          <w:rFonts w:ascii="Times New Roman" w:hAnsi="Times New Roman" w:cs="Times New Roman"/>
          <w:sz w:val="24"/>
          <w:szCs w:val="24"/>
        </w:rPr>
        <w:t xml:space="preserve">accordance with the goals and priorities outlined in </w:t>
      </w:r>
      <w:r w:rsidRPr="001C1E43">
        <w:rPr>
          <w:i/>
          <w:iCs/>
          <w:color w:val="000000"/>
        </w:rPr>
        <w:t xml:space="preserve">EO 13985, </w:t>
      </w:r>
      <w:r w:rsidRPr="001C1E43">
        <w:rPr>
          <w:color w:val="000000"/>
        </w:rPr>
        <w:t>ACF is interested in developing a</w:t>
      </w:r>
      <w:r w:rsidR="00C30155">
        <w:rPr>
          <w:color w:val="000000"/>
        </w:rPr>
        <w:t xml:space="preserve"> </w:t>
      </w:r>
      <w:r w:rsidR="00291B43">
        <w:rPr>
          <w:color w:val="000000"/>
        </w:rPr>
        <w:t>research agenda</w:t>
      </w:r>
      <w:r w:rsidRPr="001C1E43">
        <w:rPr>
          <w:color w:val="000000"/>
        </w:rPr>
        <w:t xml:space="preserve"> to lead and support</w:t>
      </w:r>
      <w:r w:rsidR="007107F5">
        <w:rPr>
          <w:color w:val="000000"/>
        </w:rPr>
        <w:t xml:space="preserve"> the</w:t>
      </w:r>
      <w:r w:rsidRPr="001C1E43">
        <w:rPr>
          <w:color w:val="000000"/>
        </w:rPr>
        <w:t xml:space="preserve"> investigation </w:t>
      </w:r>
      <w:r w:rsidRPr="001C1E43">
        <w:t xml:space="preserve">of the needs of AANHPI populations served by ACF and </w:t>
      </w:r>
      <w:r w:rsidR="00447B09">
        <w:t xml:space="preserve">identification of </w:t>
      </w:r>
      <w:r w:rsidRPr="001C1E43">
        <w:t>promising approaches to promote social and economic well-being among AANHPI children and families. Th</w:t>
      </w:r>
      <w:r w:rsidR="00291B43">
        <w:t>is research agenda</w:t>
      </w:r>
      <w:r w:rsidR="00BE21E4">
        <w:t xml:space="preserve"> </w:t>
      </w:r>
      <w:r w:rsidRPr="001C1E43">
        <w:t xml:space="preserve">is intended to inform ACF efforts to assess </w:t>
      </w:r>
      <w:r w:rsidRPr="00F44F88">
        <w:rPr>
          <w:color w:val="000000"/>
        </w:rPr>
        <w:t>policies, program implementation, and practices that may (1) contribute to disparities in access to services, enrollment in services, or in service delivery outcomes, or (2) reduce disparities.</w:t>
      </w:r>
    </w:p>
    <w:p w:rsidR="00512B70" w:rsidRPr="001C1E43" w:rsidP="00512B70" w14:paraId="0CC0C16B" w14:textId="77777777">
      <w:pPr>
        <w:rPr>
          <w:color w:val="000000"/>
        </w:rPr>
      </w:pPr>
    </w:p>
    <w:p w:rsidR="008F570D" w:rsidRPr="001C1E43" w:rsidP="00512B70" w14:paraId="10A288D7" w14:textId="6EA969DF">
      <w:r w:rsidRPr="001C1E43">
        <w:t xml:space="preserve">To help inform the specific activities and priorities of the </w:t>
      </w:r>
      <w:r w:rsidR="00291B43">
        <w:t>research agenda</w:t>
      </w:r>
      <w:r w:rsidRPr="001C1E43">
        <w:t xml:space="preserve">, it is important to gather input and learn from experts that are embedded in AANHPI communities. </w:t>
      </w:r>
      <w:r w:rsidR="00957950">
        <w:t xml:space="preserve">This </w:t>
      </w:r>
      <w:r w:rsidR="007752D4">
        <w:t>proposed information collection</w:t>
      </w:r>
      <w:r w:rsidRPr="001C1E43">
        <w:t xml:space="preserve"> </w:t>
      </w:r>
      <w:r w:rsidR="00957950">
        <w:t>will allow ACF</w:t>
      </w:r>
      <w:r w:rsidRPr="001C1E43">
        <w:t xml:space="preserve"> to </w:t>
      </w:r>
      <w:r w:rsidR="007752D4">
        <w:t xml:space="preserve">learn from </w:t>
      </w:r>
      <w:r w:rsidR="00402A9B">
        <w:t xml:space="preserve">subject matter </w:t>
      </w:r>
      <w:r w:rsidR="007752D4">
        <w:t>experts</w:t>
      </w:r>
      <w:r w:rsidR="00402A9B">
        <w:t xml:space="preserve">, </w:t>
      </w:r>
      <w:r w:rsidR="00AD75B9">
        <w:t xml:space="preserve">thought </w:t>
      </w:r>
      <w:r w:rsidR="00402A9B">
        <w:t xml:space="preserve">leaders, and </w:t>
      </w:r>
      <w:r w:rsidR="00AD75B9">
        <w:t>community advocates</w:t>
      </w:r>
      <w:r w:rsidR="007752D4">
        <w:t xml:space="preserve"> to </w:t>
      </w:r>
      <w:r w:rsidRPr="001C1E43">
        <w:t>gain a better understanding of the AANHPI population and identify current gaps in knowledge to inform the needs of ACF’s service delivery for AANHPI populations.</w:t>
      </w:r>
    </w:p>
    <w:p w:rsidR="00512B70" w:rsidRPr="001C1E43" w:rsidP="00512B70" w14:paraId="17EE20E6" w14:textId="77777777"/>
    <w:p w:rsidR="00984CA2" w:rsidRPr="001C1E43"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C1E43">
        <w:rPr>
          <w:rFonts w:ascii="Times New Roman" w:hAnsi="Times New Roman"/>
          <w:i/>
          <w:sz w:val="24"/>
          <w:szCs w:val="24"/>
        </w:rPr>
        <w:t xml:space="preserve">Legal or Administrative Requirements that Necessitate the Collection </w:t>
      </w:r>
    </w:p>
    <w:p w:rsidR="00EA12DE" w:rsidRPr="001C1E43" w:rsidP="008F570D" w14:paraId="3BDF35B0" w14:textId="77777777">
      <w:r w:rsidRPr="001C1E43">
        <w:t>There are no legal or administrative requirements that necessitate the collection. ACF is undertaking the collection at the discretion of the agency.</w:t>
      </w:r>
    </w:p>
    <w:p w:rsidR="0020382F" w:rsidRPr="001C1E43" w:rsidP="008F570D" w14:paraId="7D1B72AE" w14:textId="77777777"/>
    <w:p w:rsidR="00D90EF6" w:rsidRPr="001C1E43" w:rsidP="008F570D" w14:paraId="210B83EF" w14:textId="77777777"/>
    <w:p w:rsidR="00945CD6" w:rsidRPr="001C1E43" w:rsidP="008F570D" w14:paraId="617B0354" w14:textId="77777777">
      <w:pPr>
        <w:spacing w:after="120"/>
        <w:rPr>
          <w:b/>
        </w:rPr>
      </w:pPr>
      <w:r w:rsidRPr="001C1E43">
        <w:rPr>
          <w:b/>
        </w:rPr>
        <w:t xml:space="preserve">A2. </w:t>
      </w:r>
      <w:r w:rsidRPr="001C1E43">
        <w:rPr>
          <w:b/>
        </w:rPr>
        <w:t>Purpose of Survey and Data Collection Procedures</w:t>
      </w:r>
    </w:p>
    <w:p w:rsidR="008F570D" w:rsidRPr="001C1E43" w:rsidP="008F570D" w14:paraId="24636DF8" w14:textId="77777777">
      <w:pPr>
        <w:spacing w:after="60"/>
        <w:rPr>
          <w:b/>
          <w:i/>
        </w:rPr>
      </w:pPr>
      <w:r w:rsidRPr="001C1E43">
        <w:rPr>
          <w:b/>
          <w:i/>
        </w:rPr>
        <w:t xml:space="preserve">Overview of Purpose and </w:t>
      </w:r>
      <w:r w:rsidRPr="001C1E43">
        <w:rPr>
          <w:b/>
          <w:i/>
        </w:rPr>
        <w:t>Use</w:t>
      </w:r>
    </w:p>
    <w:p w:rsidR="00477391" w:rsidRPr="001C1E43" w:rsidP="00647FB6" w14:paraId="10B8D698" w14:textId="744F9442">
      <w:r w:rsidRPr="001C1E43">
        <w:rPr>
          <w:bCs/>
          <w:iCs/>
        </w:rPr>
        <w:t>The primary purpose of this information collection is</w:t>
      </w:r>
      <w:r w:rsidRPr="001C1E43">
        <w:rPr>
          <w:bCs/>
          <w:iCs/>
        </w:rPr>
        <w:t xml:space="preserve"> to engage subject matter experts, thought leaders, and community advocates that are embedded in AANHPI communities. </w:t>
      </w:r>
      <w:r w:rsidRPr="001C1E43">
        <w:t xml:space="preserve">Specifically, the goal is to learn from a range of perspectives to gain understanding of the lived experiences of AANHPI populations, learn of existing or ongoing research, resources, and services available for AANHPI children and families that align with ACF’s mission, explore possible barriers and facilitators to the economic and social well-being of AANHPI children and families, and discuss opportunities for further inquiry that are relevant for ACF programs (e.g., potential research questions, best practices, methodological approaches). </w:t>
      </w:r>
    </w:p>
    <w:p w:rsidR="00477391" w:rsidP="00647FB6" w14:paraId="7C2DD75E" w14:textId="77777777"/>
    <w:p w:rsidR="003C0934" w:rsidRPr="001C1E43" w:rsidP="00647FB6" w14:paraId="6F767FEC" w14:textId="2A042BE3">
      <w:r>
        <w:t>The</w:t>
      </w:r>
      <w:r w:rsidR="00A9696A">
        <w:t xml:space="preserve"> feedback </w:t>
      </w:r>
      <w:r w:rsidR="00DB36AD">
        <w:t>f</w:t>
      </w:r>
      <w:r>
        <w:t xml:space="preserve">rom </w:t>
      </w:r>
      <w:r w:rsidR="008B6132">
        <w:t xml:space="preserve">this information collection will </w:t>
      </w:r>
      <w:r w:rsidR="004D76F1">
        <w:t xml:space="preserve">help OPRE staff </w:t>
      </w:r>
      <w:r w:rsidR="00F8182D">
        <w:t xml:space="preserve">engaged in </w:t>
      </w:r>
      <w:r w:rsidR="00264539">
        <w:t xml:space="preserve">AANHPI work </w:t>
      </w:r>
      <w:r w:rsidR="00BF68D5">
        <w:t xml:space="preserve">to develop </w:t>
      </w:r>
      <w:r>
        <w:t>specific activities and priorities of the proposed research agenda focused on AANHPI children and families</w:t>
      </w:r>
      <w:r w:rsidR="00CC31FC">
        <w:t xml:space="preserve"> and </w:t>
      </w:r>
      <w:r w:rsidR="00AE11D3">
        <w:t>inform the development of resources and public materials related to</w:t>
      </w:r>
      <w:r w:rsidR="00934C0D">
        <w:t xml:space="preserve"> this research agenda</w:t>
      </w:r>
      <w:r w:rsidR="00AC5DFD">
        <w:t>.</w:t>
      </w:r>
    </w:p>
    <w:p w:rsidR="0012338C" w:rsidRPr="001C1E43" w:rsidP="00647FB6" w14:paraId="01DB7976" w14:textId="77777777">
      <w:pPr>
        <w:pStyle w:val="Heading4"/>
        <w:numPr>
          <w:ilvl w:val="3"/>
          <w:numId w:val="0"/>
        </w:numPr>
        <w:tabs>
          <w:tab w:val="num" w:pos="180"/>
        </w:tabs>
        <w:spacing w:before="0" w:after="0" w:line="264" w:lineRule="auto"/>
        <w:rPr>
          <w:rFonts w:ascii="Times New Roman" w:hAnsi="Times New Roman"/>
          <w:b w:val="0"/>
          <w:sz w:val="24"/>
          <w:szCs w:val="24"/>
        </w:rPr>
      </w:pPr>
    </w:p>
    <w:p w:rsidR="00D964BC" w:rsidRPr="001C1E43" w:rsidP="00647FB6" w14:paraId="6F5CF4FF" w14:textId="661E5ECF">
      <w:pPr>
        <w:pStyle w:val="Heading4"/>
        <w:numPr>
          <w:ilvl w:val="3"/>
          <w:numId w:val="0"/>
        </w:numPr>
        <w:tabs>
          <w:tab w:val="num" w:pos="180"/>
        </w:tabs>
        <w:spacing w:before="0" w:line="264" w:lineRule="auto"/>
        <w:rPr>
          <w:rFonts w:ascii="Times New Roman" w:hAnsi="Times New Roman"/>
          <w:b w:val="0"/>
          <w:sz w:val="24"/>
          <w:szCs w:val="24"/>
        </w:rPr>
      </w:pPr>
      <w:r w:rsidRPr="001C1E43">
        <w:rPr>
          <w:rFonts w:ascii="Times New Roman" w:hAnsi="Times New Roman"/>
          <w:b w:val="0"/>
          <w:sz w:val="24"/>
          <w:szCs w:val="24"/>
        </w:rPr>
        <w:t xml:space="preserve">This proposed information collection meets the goals </w:t>
      </w:r>
      <w:r w:rsidRPr="001C1E43" w:rsidR="0012338C">
        <w:rPr>
          <w:rFonts w:ascii="Times New Roman" w:hAnsi="Times New Roman"/>
          <w:b w:val="0"/>
          <w:sz w:val="24"/>
          <w:szCs w:val="24"/>
        </w:rPr>
        <w:t xml:space="preserve">and uses </w:t>
      </w:r>
      <w:r w:rsidRPr="001C1E43">
        <w:rPr>
          <w:rFonts w:ascii="Times New Roman" w:hAnsi="Times New Roman"/>
          <w:b w:val="0"/>
          <w:sz w:val="24"/>
          <w:szCs w:val="24"/>
        </w:rPr>
        <w:t xml:space="preserve">of </w:t>
      </w:r>
      <w:r w:rsidRPr="001C1E43" w:rsidR="0012338C">
        <w:rPr>
          <w:rFonts w:ascii="Times New Roman" w:hAnsi="Times New Roman"/>
          <w:b w:val="0"/>
          <w:sz w:val="24"/>
          <w:szCs w:val="24"/>
        </w:rPr>
        <w:t xml:space="preserve">the </w:t>
      </w:r>
      <w:r w:rsidRPr="001C1E43">
        <w:rPr>
          <w:rFonts w:ascii="Times New Roman" w:hAnsi="Times New Roman"/>
          <w:b w:val="0"/>
          <w:sz w:val="24"/>
          <w:szCs w:val="24"/>
        </w:rPr>
        <w:t xml:space="preserve">ACF generic clearance for </w:t>
      </w:r>
      <w:r w:rsidRPr="001C1E43" w:rsidR="0012338C">
        <w:rPr>
          <w:rFonts w:ascii="Times New Roman" w:hAnsi="Times New Roman"/>
          <w:b w:val="0"/>
          <w:sz w:val="24"/>
          <w:szCs w:val="24"/>
        </w:rPr>
        <w:t>engagement efforts</w:t>
      </w:r>
      <w:r w:rsidRPr="001C1E43">
        <w:rPr>
          <w:rFonts w:ascii="Times New Roman" w:hAnsi="Times New Roman"/>
          <w:b w:val="0"/>
          <w:sz w:val="24"/>
          <w:szCs w:val="24"/>
        </w:rPr>
        <w:t xml:space="preserve"> (0970-0</w:t>
      </w:r>
      <w:r w:rsidRPr="001C1E43" w:rsidR="0012338C">
        <w:rPr>
          <w:rFonts w:ascii="Times New Roman" w:hAnsi="Times New Roman"/>
          <w:b w:val="0"/>
          <w:sz w:val="24"/>
          <w:szCs w:val="24"/>
        </w:rPr>
        <w:t>63</w:t>
      </w:r>
      <w:r w:rsidRPr="001C1E43" w:rsidR="00F9048F">
        <w:rPr>
          <w:rFonts w:ascii="Times New Roman" w:hAnsi="Times New Roman"/>
          <w:b w:val="0"/>
          <w:sz w:val="24"/>
          <w:szCs w:val="24"/>
        </w:rPr>
        <w:t>0</w:t>
      </w:r>
      <w:r w:rsidRPr="001C1E43">
        <w:rPr>
          <w:rFonts w:ascii="Times New Roman" w:hAnsi="Times New Roman"/>
          <w:b w:val="0"/>
          <w:sz w:val="24"/>
          <w:szCs w:val="24"/>
        </w:rPr>
        <w:t xml:space="preserve">): </w:t>
      </w:r>
    </w:p>
    <w:p w:rsidR="0012338C" w:rsidRPr="001C1E43" w:rsidP="0012338C" w14:paraId="65A53731" w14:textId="213D64C7">
      <w:pPr>
        <w:pStyle w:val="ListParagraph"/>
        <w:numPr>
          <w:ilvl w:val="0"/>
          <w:numId w:val="24"/>
        </w:numPr>
        <w:rPr>
          <w:sz w:val="24"/>
          <w:szCs w:val="24"/>
        </w:rPr>
      </w:pPr>
      <w:r w:rsidRPr="001C1E43">
        <w:rPr>
          <w:sz w:val="24"/>
          <w:szCs w:val="24"/>
        </w:rPr>
        <w:t xml:space="preserve">Gathering information from individuals with diverse experiences and perspectives to inform ACF policies and programs.  </w:t>
      </w:r>
    </w:p>
    <w:p w:rsidR="00330EBD" w:rsidRPr="001C1E43" w:rsidP="0012338C" w14:paraId="536E3309" w14:textId="7247A8CB">
      <w:pPr>
        <w:pStyle w:val="ListParagraph"/>
        <w:numPr>
          <w:ilvl w:val="0"/>
          <w:numId w:val="24"/>
        </w:numPr>
        <w:rPr>
          <w:sz w:val="24"/>
          <w:szCs w:val="24"/>
        </w:rPr>
      </w:pPr>
      <w:r w:rsidRPr="001C1E43">
        <w:rPr>
          <w:sz w:val="24"/>
          <w:szCs w:val="24"/>
        </w:rPr>
        <w:t>Informing planning for new funding</w:t>
      </w:r>
    </w:p>
    <w:p w:rsidR="008F570D" w:rsidRPr="001C1E43" w:rsidP="008F570D" w14:paraId="75C799A6" w14:textId="77777777">
      <w:pPr>
        <w:spacing w:after="60"/>
        <w:rPr>
          <w:b/>
          <w:i/>
        </w:rPr>
      </w:pPr>
    </w:p>
    <w:p w:rsidR="00330EBD" w:rsidRPr="001C1E43" w:rsidP="008F570D" w14:paraId="16DFC566" w14:textId="77777777">
      <w:pPr>
        <w:spacing w:after="60"/>
        <w:rPr>
          <w:b/>
          <w:i/>
        </w:rPr>
      </w:pPr>
      <w:r w:rsidRPr="001C1E43">
        <w:rPr>
          <w:b/>
          <w:i/>
        </w:rPr>
        <w:t>Overview of Information Collections</w:t>
      </w:r>
    </w:p>
    <w:tbl>
      <w:tblPr>
        <w:tblStyle w:val="TableGrid"/>
        <w:tblW w:w="0" w:type="auto"/>
        <w:tblLook w:val="04A0"/>
      </w:tblPr>
      <w:tblGrid>
        <w:gridCol w:w="2515"/>
        <w:gridCol w:w="3718"/>
        <w:gridCol w:w="3117"/>
      </w:tblGrid>
      <w:tr w14:paraId="7677DC5D" w14:textId="77777777" w:rsidTr="0EE2C43D">
        <w:tblPrEx>
          <w:tblW w:w="0" w:type="auto"/>
          <w:tblLook w:val="04A0"/>
        </w:tblPrEx>
        <w:tc>
          <w:tcPr>
            <w:tcW w:w="2515" w:type="dxa"/>
            <w:shd w:val="clear" w:color="auto" w:fill="D9D9D9" w:themeFill="background1" w:themeFillShade="D9"/>
          </w:tcPr>
          <w:p w:rsidR="00330EBD" w:rsidRPr="00A310D2" w:rsidP="006C2EBC" w14:paraId="6AC9D5BC" w14:textId="472A9C46">
            <w:pPr>
              <w:jc w:val="center"/>
              <w:rPr>
                <w:b/>
                <w:bCs/>
                <w:i/>
                <w:iCs/>
                <w:sz w:val="20"/>
                <w:szCs w:val="20"/>
              </w:rPr>
            </w:pPr>
            <w:r w:rsidRPr="00A310D2">
              <w:rPr>
                <w:b/>
                <w:bCs/>
                <w:i/>
                <w:iCs/>
                <w:sz w:val="20"/>
                <w:szCs w:val="20"/>
              </w:rPr>
              <w:t>In</w:t>
            </w:r>
            <w:r w:rsidRPr="00A310D2" w:rsidR="006C2EBC">
              <w:rPr>
                <w:b/>
                <w:bCs/>
                <w:i/>
                <w:iCs/>
                <w:sz w:val="20"/>
                <w:szCs w:val="20"/>
              </w:rPr>
              <w:t>formation Collection Title</w:t>
            </w:r>
          </w:p>
        </w:tc>
        <w:tc>
          <w:tcPr>
            <w:tcW w:w="3718" w:type="dxa"/>
            <w:shd w:val="clear" w:color="auto" w:fill="D9D9D9" w:themeFill="background1" w:themeFillShade="D9"/>
          </w:tcPr>
          <w:p w:rsidR="00330EBD" w:rsidRPr="00A310D2" w:rsidP="006C2EBC" w14:paraId="5C19894D" w14:textId="56344E62">
            <w:pPr>
              <w:jc w:val="center"/>
              <w:rPr>
                <w:b/>
                <w:bCs/>
                <w:i/>
                <w:iCs/>
                <w:sz w:val="20"/>
                <w:szCs w:val="20"/>
              </w:rPr>
            </w:pPr>
            <w:r w:rsidRPr="00A310D2">
              <w:rPr>
                <w:b/>
                <w:bCs/>
                <w:i/>
                <w:iCs/>
                <w:sz w:val="20"/>
                <w:szCs w:val="20"/>
              </w:rPr>
              <w:t>Respondent, Content, Purpose of Collection</w:t>
            </w:r>
          </w:p>
        </w:tc>
        <w:tc>
          <w:tcPr>
            <w:tcW w:w="3117" w:type="dxa"/>
            <w:shd w:val="clear" w:color="auto" w:fill="D9D9D9" w:themeFill="background1" w:themeFillShade="D9"/>
          </w:tcPr>
          <w:p w:rsidR="00330EBD" w:rsidRPr="00A310D2" w:rsidP="006C2EBC" w14:paraId="5AB5407D" w14:textId="6D44F401">
            <w:pPr>
              <w:jc w:val="center"/>
              <w:rPr>
                <w:b/>
                <w:bCs/>
                <w:i/>
                <w:iCs/>
                <w:sz w:val="20"/>
                <w:szCs w:val="20"/>
              </w:rPr>
            </w:pPr>
            <w:r w:rsidRPr="00A310D2">
              <w:rPr>
                <w:b/>
                <w:bCs/>
                <w:i/>
                <w:iCs/>
                <w:sz w:val="20"/>
                <w:szCs w:val="20"/>
              </w:rPr>
              <w:t>Mode and Duration</w:t>
            </w:r>
          </w:p>
        </w:tc>
      </w:tr>
      <w:tr w14:paraId="3AEF5DC4" w14:textId="77777777" w:rsidTr="0EE2C43D">
        <w:tblPrEx>
          <w:tblW w:w="0" w:type="auto"/>
          <w:tblLook w:val="04A0"/>
        </w:tblPrEx>
        <w:tc>
          <w:tcPr>
            <w:tcW w:w="2515" w:type="dxa"/>
          </w:tcPr>
          <w:p w:rsidR="006C2EBC" w:rsidRPr="00A310D2" w:rsidP="006C2EBC" w14:paraId="6F4DDDA2" w14:textId="1B0EA4CC">
            <w:pPr>
              <w:rPr>
                <w:sz w:val="20"/>
                <w:szCs w:val="20"/>
              </w:rPr>
            </w:pPr>
            <w:r>
              <w:t>AANHPI</w:t>
            </w:r>
            <w:r>
              <w:rPr>
                <w:sz w:val="20"/>
                <w:szCs w:val="20"/>
              </w:rPr>
              <w:t xml:space="preserve"> Convening Discussion Prompts</w:t>
            </w:r>
          </w:p>
        </w:tc>
        <w:tc>
          <w:tcPr>
            <w:tcW w:w="3718" w:type="dxa"/>
          </w:tcPr>
          <w:p w:rsidR="006C2EBC" w:rsidRPr="00A310D2" w:rsidP="006C2EBC" w14:paraId="7F1568AB" w14:textId="4B1DD243">
            <w:pPr>
              <w:rPr>
                <w:b/>
                <w:bCs/>
                <w:sz w:val="20"/>
                <w:szCs w:val="20"/>
              </w:rPr>
            </w:pPr>
            <w:r w:rsidRPr="00A310D2">
              <w:rPr>
                <w:b/>
                <w:bCs/>
                <w:sz w:val="20"/>
                <w:szCs w:val="20"/>
              </w:rPr>
              <w:t xml:space="preserve">Respondents: </w:t>
            </w:r>
            <w:r w:rsidRPr="00A310D2" w:rsidR="00512B70">
              <w:rPr>
                <w:sz w:val="20"/>
                <w:szCs w:val="20"/>
              </w:rPr>
              <w:t>subject matter experts from programmatic, research, policy, and advocacy areas</w:t>
            </w:r>
          </w:p>
          <w:p w:rsidR="006C2EBC" w:rsidRPr="00A310D2" w:rsidP="006C2EBC" w14:paraId="5E674D47" w14:textId="77777777">
            <w:pPr>
              <w:rPr>
                <w:sz w:val="20"/>
                <w:szCs w:val="20"/>
              </w:rPr>
            </w:pPr>
          </w:p>
          <w:p w:rsidR="006C2EBC" w:rsidRPr="00A310D2" w:rsidP="006C2EBC" w14:paraId="49184985" w14:textId="44FF1C00">
            <w:pPr>
              <w:rPr>
                <w:b/>
                <w:bCs/>
                <w:sz w:val="20"/>
                <w:szCs w:val="20"/>
              </w:rPr>
            </w:pPr>
            <w:r w:rsidRPr="00A310D2">
              <w:rPr>
                <w:b/>
                <w:bCs/>
                <w:sz w:val="20"/>
                <w:szCs w:val="20"/>
              </w:rPr>
              <w:t xml:space="preserve">Content: </w:t>
            </w:r>
            <w:r w:rsidRPr="00A310D2" w:rsidR="00512B70">
              <w:rPr>
                <w:sz w:val="20"/>
                <w:szCs w:val="20"/>
              </w:rPr>
              <w:t>discussion questions, interactive activities</w:t>
            </w:r>
          </w:p>
          <w:p w:rsidR="006C2EBC" w:rsidRPr="00A310D2" w:rsidP="006C2EBC" w14:paraId="1A5D2354" w14:textId="77777777">
            <w:pPr>
              <w:rPr>
                <w:sz w:val="20"/>
                <w:szCs w:val="20"/>
              </w:rPr>
            </w:pPr>
          </w:p>
          <w:p w:rsidR="006C2EBC" w:rsidRPr="00A310D2" w:rsidP="006C2EBC" w14:paraId="193C87D1" w14:textId="6B319C25">
            <w:pPr>
              <w:rPr>
                <w:b/>
                <w:bCs/>
                <w:sz w:val="20"/>
                <w:szCs w:val="20"/>
              </w:rPr>
            </w:pPr>
            <w:r w:rsidRPr="0EE2C43D">
              <w:rPr>
                <w:b/>
                <w:bCs/>
                <w:sz w:val="20"/>
                <w:szCs w:val="20"/>
              </w:rPr>
              <w:t xml:space="preserve">Purpose: </w:t>
            </w:r>
            <w:r w:rsidRPr="0EE2C43D" w:rsidR="00512B70">
              <w:rPr>
                <w:sz w:val="20"/>
                <w:szCs w:val="20"/>
              </w:rPr>
              <w:t>To learn more about the AANHPI population and discuss opportunities that are relevant for ACF programs.</w:t>
            </w:r>
          </w:p>
        </w:tc>
        <w:tc>
          <w:tcPr>
            <w:tcW w:w="3117" w:type="dxa"/>
          </w:tcPr>
          <w:p w:rsidR="006C2EBC" w:rsidRPr="00A310D2" w:rsidP="006C2EBC" w14:paraId="6BE10EEF" w14:textId="692D4BE6">
            <w:pPr>
              <w:rPr>
                <w:b/>
                <w:bCs/>
                <w:sz w:val="20"/>
                <w:szCs w:val="20"/>
              </w:rPr>
            </w:pPr>
            <w:r w:rsidRPr="00A310D2">
              <w:rPr>
                <w:b/>
                <w:bCs/>
                <w:sz w:val="20"/>
                <w:szCs w:val="20"/>
              </w:rPr>
              <w:t xml:space="preserve">Mode: </w:t>
            </w:r>
            <w:r w:rsidRPr="00A310D2" w:rsidR="00A310D2">
              <w:rPr>
                <w:sz w:val="20"/>
                <w:szCs w:val="20"/>
              </w:rPr>
              <w:t>Web</w:t>
            </w:r>
          </w:p>
          <w:p w:rsidR="006C2EBC" w:rsidRPr="00A310D2" w:rsidP="006C2EBC" w14:paraId="085563CF" w14:textId="77777777">
            <w:pPr>
              <w:rPr>
                <w:sz w:val="20"/>
                <w:szCs w:val="20"/>
              </w:rPr>
            </w:pPr>
          </w:p>
          <w:p w:rsidR="006C2EBC" w:rsidRPr="00A310D2" w:rsidP="006C2EBC" w14:paraId="4233090F" w14:textId="0EC72E48">
            <w:pPr>
              <w:rPr>
                <w:b/>
                <w:bCs/>
                <w:sz w:val="20"/>
                <w:szCs w:val="20"/>
              </w:rPr>
            </w:pPr>
            <w:r w:rsidRPr="00A310D2">
              <w:rPr>
                <w:b/>
                <w:bCs/>
                <w:sz w:val="20"/>
                <w:szCs w:val="20"/>
              </w:rPr>
              <w:t>Duration:</w:t>
            </w:r>
            <w:r w:rsidRPr="00A310D2" w:rsidR="00512B70">
              <w:rPr>
                <w:b/>
                <w:bCs/>
                <w:sz w:val="20"/>
                <w:szCs w:val="20"/>
              </w:rPr>
              <w:t xml:space="preserve"> </w:t>
            </w:r>
            <w:r w:rsidR="00581101">
              <w:rPr>
                <w:sz w:val="20"/>
                <w:szCs w:val="20"/>
              </w:rPr>
              <w:t xml:space="preserve"> 2 hours</w:t>
            </w:r>
          </w:p>
        </w:tc>
      </w:tr>
    </w:tbl>
    <w:p w:rsidR="0081677C" w:rsidRPr="001C1E43" w:rsidP="008F570D" w14:paraId="7B673A7E" w14:textId="77777777">
      <w:pPr>
        <w:spacing w:after="60"/>
        <w:rPr>
          <w:b/>
          <w:i/>
        </w:rPr>
      </w:pPr>
    </w:p>
    <w:p w:rsidR="00BE7952" w:rsidRPr="001C1E43" w:rsidP="0081677C" w14:paraId="53AD29BF" w14:textId="58E0620A">
      <w:pPr>
        <w:spacing w:after="60"/>
      </w:pPr>
      <w:r w:rsidRPr="001C1E43">
        <w:rPr>
          <w:b/>
          <w:i/>
        </w:rPr>
        <w:t>Process</w:t>
      </w:r>
      <w:r w:rsidRPr="001C1E43" w:rsidR="003277CF">
        <w:rPr>
          <w:b/>
          <w:i/>
        </w:rPr>
        <w:t>es</w:t>
      </w:r>
      <w:r w:rsidRPr="001C1E43">
        <w:rPr>
          <w:b/>
          <w:i/>
        </w:rPr>
        <w:t xml:space="preserve"> for Information Collection </w:t>
      </w:r>
    </w:p>
    <w:p w:rsidR="00205551" w:rsidRPr="001C1E43" w:rsidP="00205551" w14:paraId="4EAF32D1" w14:textId="7D145D88">
      <w:r w:rsidRPr="00A310D2">
        <w:t>Invitations will be made to a select number of experts from programmatic, research, policy, and advocacy areas for AANHPI populations.</w:t>
      </w:r>
      <w:r>
        <w:t xml:space="preserve"> The participants will be engaged by facilitators during the invite-only virtual convening </w:t>
      </w:r>
      <w:r w:rsidRPr="001C1E43">
        <w:t xml:space="preserve">using </w:t>
      </w:r>
      <w:r>
        <w:t>discussion prompts and questions</w:t>
      </w:r>
      <w:r w:rsidR="00AA5112">
        <w:t xml:space="preserve">. Specifically, information will be collected through </w:t>
      </w:r>
      <w:r w:rsidRPr="001C1E43" w:rsidR="002D4769">
        <w:t xml:space="preserve">small group discussions in breakout sessions and a series of activities using </w:t>
      </w:r>
      <w:r w:rsidRPr="001C1E43">
        <w:t xml:space="preserve">technological applications such as </w:t>
      </w:r>
      <w:r w:rsidRPr="001C1E43" w:rsidR="002D4769">
        <w:t xml:space="preserve">Mural, </w:t>
      </w:r>
      <w:r w:rsidRPr="001C1E43" w:rsidR="002D4769">
        <w:t>Menti</w:t>
      </w:r>
      <w:r w:rsidRPr="001C1E43" w:rsidR="002D4769">
        <w:t xml:space="preserve">, and/or other applications to </w:t>
      </w:r>
      <w:r w:rsidRPr="001C1E43" w:rsidR="002D4769">
        <w:t>gather</w:t>
      </w:r>
      <w:r w:rsidRPr="001C1E43">
        <w:t xml:space="preserve"> </w:t>
      </w:r>
      <w:r w:rsidRPr="001C1E43" w:rsidR="002D4769">
        <w:t>and</w:t>
      </w:r>
      <w:r w:rsidRPr="001C1E43">
        <w:t xml:space="preserve"> discuss responses to a set of questions posed to participants. </w:t>
      </w:r>
      <w:r w:rsidR="0096168C">
        <w:t xml:space="preserve">Notetakers will </w:t>
      </w:r>
      <w:r w:rsidR="00F27569">
        <w:t xml:space="preserve">record the participant responses in writing during the information collection. In addition, </w:t>
      </w:r>
      <w:r w:rsidR="00312CA2">
        <w:t xml:space="preserve">the virtual convening will be recorded with participant consent and </w:t>
      </w:r>
      <w:r w:rsidR="001E3D43">
        <w:t>the recording will be summarized for</w:t>
      </w:r>
      <w:r w:rsidR="00312CA2">
        <w:t xml:space="preserve"> </w:t>
      </w:r>
      <w:r w:rsidR="0046434A">
        <w:t>data analysis purposes.</w:t>
      </w:r>
    </w:p>
    <w:p w:rsidR="0096168C" w:rsidRPr="001C1E43" w:rsidP="008F570D" w14:paraId="2E9F3E4E" w14:textId="77777777"/>
    <w:p w:rsidR="002338AC" w:rsidRPr="00A310D2" w:rsidP="008F570D" w14:paraId="40C43AD9" w14:textId="77777777">
      <w:pPr>
        <w:ind w:left="180"/>
        <w:rPr>
          <w:b/>
          <w:i/>
        </w:rPr>
      </w:pPr>
    </w:p>
    <w:p w:rsidR="00945CD6" w:rsidRPr="00A310D2" w:rsidP="008F570D" w14:paraId="49EEF137" w14:textId="77777777">
      <w:pPr>
        <w:spacing w:after="120"/>
        <w:rPr>
          <w:b/>
        </w:rPr>
      </w:pPr>
      <w:r w:rsidRPr="00A310D2">
        <w:rPr>
          <w:b/>
        </w:rPr>
        <w:t xml:space="preserve">A3. </w:t>
      </w:r>
      <w:r w:rsidRPr="00A310D2">
        <w:rPr>
          <w:b/>
        </w:rPr>
        <w:t>Improved Information Technology to Reduce Burden</w:t>
      </w:r>
    </w:p>
    <w:p w:rsidR="00D90EF6" w:rsidRPr="00A310D2" w:rsidP="00AC5DFD" w14:paraId="6EA8B500" w14:textId="236B0D73">
      <w:pPr>
        <w:rPr>
          <w:b/>
          <w:bCs/>
        </w:rPr>
      </w:pPr>
      <w:r w:rsidRPr="00A310D2">
        <w:t xml:space="preserve">All information will be gathered electronically and, pending participant consent, will be recorded. Virtual technology will be utilized to gather input through polling, virtual sticky note exercises, or other approaches. </w:t>
      </w:r>
    </w:p>
    <w:p w:rsidR="00D90EF6" w:rsidRPr="00A310D2" w:rsidP="008F570D" w14:paraId="5934C206" w14:textId="77777777"/>
    <w:p w:rsidR="005046F0" w:rsidRPr="00A310D2" w:rsidP="008F570D" w14:paraId="5804584A" w14:textId="77777777">
      <w:pPr>
        <w:ind w:left="360"/>
      </w:pPr>
    </w:p>
    <w:p w:rsidR="00945CD6" w:rsidRPr="00A310D2" w:rsidP="008F570D" w14:paraId="39BBEF3E" w14:textId="77777777">
      <w:pPr>
        <w:spacing w:after="120"/>
        <w:rPr>
          <w:b/>
        </w:rPr>
      </w:pPr>
      <w:r w:rsidRPr="00A310D2">
        <w:rPr>
          <w:b/>
        </w:rPr>
        <w:t xml:space="preserve">A4. </w:t>
      </w:r>
      <w:r w:rsidRPr="00A310D2">
        <w:rPr>
          <w:b/>
        </w:rPr>
        <w:t>Efforts to Identify Duplication</w:t>
      </w:r>
    </w:p>
    <w:p w:rsidR="00DC0C51" w:rsidRPr="00A310D2" w:rsidP="008B00FB" w14:paraId="4D4637DC" w14:textId="78857F6C">
      <w:pPr>
        <w:spacing w:line="259" w:lineRule="auto"/>
      </w:pPr>
      <w:r w:rsidRPr="00A310D2">
        <w:t xml:space="preserve">No similar data are gathered or maintained by the agency or available from other sources known to the agency. To the maximum extent possible, we will make use of existing data sources before we attempt to utilize the additional fieldwork sought under this clearance.  </w:t>
      </w:r>
    </w:p>
    <w:p w:rsidR="005046F0" w:rsidRPr="00A310D2" w:rsidP="008B00FB" w14:paraId="601390DA" w14:textId="77777777"/>
    <w:p w:rsidR="00436F5E" w:rsidRPr="00A310D2" w:rsidP="00AC5DFD" w14:paraId="69A8EDD5" w14:textId="77777777">
      <w:pPr>
        <w:rPr>
          <w:b/>
        </w:rPr>
      </w:pPr>
    </w:p>
    <w:p w:rsidR="00945CD6" w:rsidRPr="00A310D2" w:rsidP="008F570D" w14:paraId="10B90123" w14:textId="77777777">
      <w:pPr>
        <w:spacing w:after="120"/>
        <w:rPr>
          <w:b/>
        </w:rPr>
      </w:pPr>
      <w:r w:rsidRPr="00A310D2">
        <w:rPr>
          <w:b/>
        </w:rPr>
        <w:t xml:space="preserve">A5. </w:t>
      </w:r>
      <w:r w:rsidRPr="00A310D2">
        <w:rPr>
          <w:b/>
        </w:rPr>
        <w:t>Involvement of Small Organizations</w:t>
      </w:r>
    </w:p>
    <w:p w:rsidR="00D90EF6" w:rsidRPr="00A310D2" w:rsidP="008F570D" w14:paraId="246D5FC0" w14:textId="7338A342">
      <w:r>
        <w:t>P</w:t>
      </w:r>
      <w:r w:rsidRPr="00A310D2" w:rsidR="00852401">
        <w:t xml:space="preserve">articipants may include </w:t>
      </w:r>
      <w:r>
        <w:t xml:space="preserve">individuals from </w:t>
      </w:r>
      <w:r w:rsidRPr="00A310D2" w:rsidR="00852401">
        <w:t>small organizations or businesses</w:t>
      </w:r>
      <w:r>
        <w:t>.</w:t>
      </w:r>
      <w:r w:rsidRPr="00A310D2" w:rsidR="00852401">
        <w:t xml:space="preserve"> </w:t>
      </w:r>
      <w:r>
        <w:t>ACF will minimize burden on participants</w:t>
      </w:r>
      <w:r w:rsidRPr="00A310D2" w:rsidR="00852401">
        <w:t xml:space="preserve"> based on needs. For example, </w:t>
      </w:r>
      <w:r w:rsidR="006C3485">
        <w:t xml:space="preserve">because participants are located across a wide range of </w:t>
      </w:r>
      <w:r w:rsidR="00D74CE7">
        <w:t xml:space="preserve">physical locations and </w:t>
      </w:r>
      <w:r w:rsidR="006C3485">
        <w:t>time zones</w:t>
      </w:r>
      <w:r w:rsidRPr="00A310D2" w:rsidR="00852401">
        <w:t xml:space="preserve">, the </w:t>
      </w:r>
      <w:r w:rsidR="00EF67F4">
        <w:t>information collection</w:t>
      </w:r>
      <w:r w:rsidRPr="00A310D2" w:rsidR="00EF67F4">
        <w:t xml:space="preserve"> </w:t>
      </w:r>
      <w:r w:rsidRPr="00A310D2" w:rsidR="00852401">
        <w:t xml:space="preserve">will </w:t>
      </w:r>
      <w:r w:rsidR="00EF67F4">
        <w:t>take place</w:t>
      </w:r>
      <w:r w:rsidRPr="00A310D2" w:rsidR="00852401">
        <w:t xml:space="preserve"> virtually at a time during business hours for the largest group of individuals to minimize scheduling burden and avoid travel time. Participants will be informed on multiple occasions that their participation is voluntary.</w:t>
      </w:r>
    </w:p>
    <w:p w:rsidR="00D90EF6" w:rsidRPr="00A310D2" w:rsidP="008F570D" w14:paraId="12FF1FE5" w14:textId="77777777"/>
    <w:p w:rsidR="008C78B4" w:rsidRPr="00A310D2" w:rsidP="008F570D" w14:paraId="6077512E" w14:textId="77777777">
      <w:pPr>
        <w:rPr>
          <w:b/>
        </w:rPr>
      </w:pPr>
    </w:p>
    <w:p w:rsidR="00945CD6" w:rsidRPr="00A310D2" w:rsidP="008F570D" w14:paraId="5C724C5E" w14:textId="77777777">
      <w:pPr>
        <w:spacing w:after="120"/>
        <w:rPr>
          <w:b/>
        </w:rPr>
      </w:pPr>
      <w:r w:rsidRPr="00A310D2">
        <w:rPr>
          <w:b/>
        </w:rPr>
        <w:t xml:space="preserve">A6. </w:t>
      </w:r>
      <w:r w:rsidRPr="00A310D2">
        <w:rPr>
          <w:b/>
        </w:rPr>
        <w:t>Consequences of Less Frequent Data Collection</w:t>
      </w:r>
    </w:p>
    <w:p w:rsidR="00D90EF6" w:rsidRPr="00A310D2" w:rsidP="008F570D" w14:paraId="27E89940" w14:textId="3C8C2BFA">
      <w:r w:rsidRPr="00A310D2">
        <w:t>This is a one-time data collection.</w:t>
      </w:r>
    </w:p>
    <w:p w:rsidR="00D90EF6" w:rsidRPr="00A310D2" w:rsidP="008F570D" w14:paraId="214C03B2" w14:textId="77777777"/>
    <w:p w:rsidR="005046F0" w:rsidRPr="00A310D2" w:rsidP="008F570D" w14:paraId="7C36762A" w14:textId="77777777">
      <w:pPr>
        <w:ind w:left="360"/>
      </w:pPr>
    </w:p>
    <w:p w:rsidR="00945CD6" w:rsidRPr="00A310D2" w:rsidP="008F570D" w14:paraId="5060136E" w14:textId="77777777">
      <w:pPr>
        <w:spacing w:after="120"/>
        <w:rPr>
          <w:b/>
        </w:rPr>
      </w:pPr>
      <w:r w:rsidRPr="00A310D2">
        <w:rPr>
          <w:b/>
        </w:rPr>
        <w:t xml:space="preserve">A7. </w:t>
      </w:r>
      <w:r w:rsidRPr="00A310D2">
        <w:rPr>
          <w:b/>
        </w:rPr>
        <w:t>Special Circumstances</w:t>
      </w:r>
    </w:p>
    <w:p w:rsidR="0020382F" w:rsidRPr="00A310D2" w:rsidP="008F570D" w14:paraId="10D64BA4" w14:textId="77777777">
      <w:r w:rsidRPr="00A310D2">
        <w:t>There are no special circumstances for the proposed data collection efforts.</w:t>
      </w:r>
    </w:p>
    <w:p w:rsidR="00BE7952" w:rsidRPr="00A310D2" w:rsidP="008F570D" w14:paraId="08207C8B" w14:textId="77777777"/>
    <w:p w:rsidR="00D90EF6" w:rsidRPr="00A310D2" w:rsidP="008F570D" w14:paraId="6156892E" w14:textId="77777777">
      <w:pPr>
        <w:rPr>
          <w:b/>
        </w:rPr>
      </w:pPr>
    </w:p>
    <w:p w:rsidR="00D90EF6" w:rsidRPr="00A310D2" w:rsidP="008F570D" w14:paraId="4FD99BC0" w14:textId="77777777">
      <w:pPr>
        <w:spacing w:after="120"/>
        <w:rPr>
          <w:b/>
        </w:rPr>
      </w:pPr>
      <w:r w:rsidRPr="00A310D2">
        <w:rPr>
          <w:b/>
        </w:rPr>
        <w:t xml:space="preserve">A8. </w:t>
      </w:r>
      <w:r w:rsidRPr="00A310D2" w:rsidR="00945CD6">
        <w:rPr>
          <w:b/>
        </w:rPr>
        <w:t>Federal Register Notice and Consultation</w:t>
      </w:r>
    </w:p>
    <w:p w:rsidR="00B91D97" w:rsidRPr="00A310D2" w:rsidP="008F570D" w14:paraId="6A39001F" w14:textId="77777777">
      <w:pPr>
        <w:spacing w:after="60"/>
        <w:rPr>
          <w:b/>
          <w:i/>
        </w:rPr>
      </w:pPr>
      <w:r w:rsidRPr="00A310D2">
        <w:rPr>
          <w:b/>
          <w:i/>
        </w:rPr>
        <w:t>Federal Register Notice and Comments</w:t>
      </w:r>
    </w:p>
    <w:p w:rsidR="006C2EBC" w:rsidRPr="00A310D2" w:rsidP="006C2EBC" w14:paraId="4A6F541A" w14:textId="3CEFCB62">
      <w:r w:rsidRPr="00A310D2">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w:t>
      </w:r>
      <w:r w:rsidRPr="00A310D2">
        <w:t>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A310D2" w:rsidP="006C2EBC" w14:paraId="565A3C00" w14:textId="77777777"/>
    <w:p w:rsidR="00B91D97" w:rsidRPr="00A310D2" w:rsidP="006C2EBC" w14:paraId="21E62C00" w14:textId="72CBF5B8">
      <w:pPr>
        <w:pStyle w:val="Heading4"/>
        <w:spacing w:before="0"/>
        <w:rPr>
          <w:rFonts w:ascii="Times New Roman" w:hAnsi="Times New Roman"/>
          <w:i/>
          <w:sz w:val="24"/>
          <w:szCs w:val="24"/>
        </w:rPr>
      </w:pPr>
      <w:r w:rsidRPr="00A310D2">
        <w:rPr>
          <w:rFonts w:ascii="Times New Roman" w:hAnsi="Times New Roman"/>
          <w:i/>
          <w:sz w:val="24"/>
          <w:szCs w:val="24"/>
        </w:rPr>
        <w:t xml:space="preserve">Consultation with </w:t>
      </w:r>
      <w:r w:rsidRPr="00A310D2" w:rsidR="008F570D">
        <w:rPr>
          <w:rFonts w:ascii="Times New Roman" w:hAnsi="Times New Roman"/>
          <w:i/>
          <w:sz w:val="24"/>
          <w:szCs w:val="24"/>
        </w:rPr>
        <w:t xml:space="preserve">Outside </w:t>
      </w:r>
      <w:r w:rsidRPr="00A310D2">
        <w:rPr>
          <w:rFonts w:ascii="Times New Roman" w:hAnsi="Times New Roman"/>
          <w:i/>
          <w:sz w:val="24"/>
          <w:szCs w:val="24"/>
        </w:rPr>
        <w:t>Experts</w:t>
      </w:r>
    </w:p>
    <w:p w:rsidR="008F10A2" w:rsidRPr="00A310D2" w:rsidP="008F570D" w14:paraId="1632B553" w14:textId="2ABAC2E4">
      <w:pPr>
        <w:rPr>
          <w:color w:val="000000" w:themeColor="text1"/>
        </w:rPr>
      </w:pPr>
      <w:r w:rsidRPr="00A310D2">
        <w:rPr>
          <w:color w:val="000000" w:themeColor="text1"/>
        </w:rPr>
        <w:t xml:space="preserve">The team has consulted with a few groups to discuss the </w:t>
      </w:r>
      <w:r w:rsidR="007A2D50">
        <w:rPr>
          <w:color w:val="000000" w:themeColor="text1"/>
        </w:rPr>
        <w:t>information collection</w:t>
      </w:r>
      <w:r w:rsidRPr="00A310D2" w:rsidR="007A2D50">
        <w:rPr>
          <w:color w:val="000000" w:themeColor="text1"/>
        </w:rPr>
        <w:t xml:space="preserve"> </w:t>
      </w:r>
      <w:r w:rsidRPr="00A310D2">
        <w:rPr>
          <w:color w:val="000000" w:themeColor="text1"/>
        </w:rPr>
        <w:t xml:space="preserve">plan. These include the contractor for the OPRE </w:t>
      </w:r>
      <w:r w:rsidR="00225634">
        <w:rPr>
          <w:color w:val="000000" w:themeColor="text1"/>
        </w:rPr>
        <w:t xml:space="preserve">AANHPI </w:t>
      </w:r>
      <w:r w:rsidRPr="00A310D2">
        <w:rPr>
          <w:color w:val="000000" w:themeColor="text1"/>
        </w:rPr>
        <w:t xml:space="preserve">Work Group, as well as three expert planning partners from a </w:t>
      </w:r>
      <w:r w:rsidRPr="00A310D2" w:rsidR="007B21DD">
        <w:rPr>
          <w:color w:val="000000" w:themeColor="text1"/>
        </w:rPr>
        <w:t>university</w:t>
      </w:r>
      <w:r w:rsidRPr="00A310D2">
        <w:rPr>
          <w:color w:val="000000" w:themeColor="text1"/>
        </w:rPr>
        <w:t xml:space="preserve">, an advocacy organization, and a TA center. These groups were always fewer than nine individuals, and the conversations focused on getting input on how best to engage in this information-gathering process. </w:t>
      </w:r>
    </w:p>
    <w:p w:rsidR="00436F5E" w:rsidRPr="00A310D2" w:rsidP="008F570D" w14:paraId="3262E2E8" w14:textId="77777777">
      <w:pPr>
        <w:rPr>
          <w:highlight w:val="yellow"/>
        </w:rPr>
      </w:pPr>
    </w:p>
    <w:p w:rsidR="00D90EF6" w:rsidRPr="00A310D2" w:rsidP="008F570D" w14:paraId="16A7A923" w14:textId="77777777">
      <w:pPr>
        <w:rPr>
          <w:b/>
        </w:rPr>
      </w:pPr>
    </w:p>
    <w:p w:rsidR="00945CD6" w:rsidRPr="00A310D2" w:rsidP="008F570D" w14:paraId="391068CD" w14:textId="6ECE22DD">
      <w:pPr>
        <w:spacing w:after="120"/>
        <w:rPr>
          <w:b/>
        </w:rPr>
      </w:pPr>
      <w:r w:rsidRPr="00A310D2">
        <w:rPr>
          <w:b/>
        </w:rPr>
        <w:t xml:space="preserve">A9. </w:t>
      </w:r>
      <w:r w:rsidRPr="00A310D2" w:rsidR="00542413">
        <w:rPr>
          <w:b/>
        </w:rPr>
        <w:t xml:space="preserve">Tokens of Appreciation </w:t>
      </w:r>
      <w:r w:rsidRPr="00A310D2" w:rsidR="00B66874">
        <w:rPr>
          <w:b/>
        </w:rPr>
        <w:t>for</w:t>
      </w:r>
      <w:r w:rsidRPr="00A310D2">
        <w:rPr>
          <w:b/>
        </w:rPr>
        <w:t xml:space="preserve"> Respondents</w:t>
      </w:r>
    </w:p>
    <w:p w:rsidR="00355BA7" w:rsidRPr="00355BA7" w:rsidP="00355BA7" w14:paraId="660AB5E7" w14:textId="1BF47702">
      <w:r w:rsidRPr="00355BA7">
        <w:t>It is extremely important to provide those with lived experience with equitable compensation or tokens of appreciation for participation. As noted in a 2022 report by the HHS Office of the Assistant Secretary for Planning and Evaluation, this “helps ensure a diverse population with varied views can participate.”</w:t>
      </w:r>
      <w:r>
        <w:rPr>
          <w:rStyle w:val="FootnoteReference"/>
        </w:rPr>
        <w:footnoteReference w:id="3"/>
      </w:r>
      <w:r w:rsidRPr="00355BA7">
        <w:t xml:space="preserve"> While n</w:t>
      </w:r>
      <w:r w:rsidRPr="00355BA7" w:rsidR="0020721C">
        <w:t>o tokens of appreciation for respondents are proposed for this information collection</w:t>
      </w:r>
      <w:r w:rsidRPr="00355BA7">
        <w:t xml:space="preserve">, we do plan to provide honoraria to members of tripartite boards, as described in section A13.   </w:t>
      </w:r>
    </w:p>
    <w:p w:rsidR="00D90EF6" w:rsidRPr="00355BA7" w:rsidP="00355BA7" w14:paraId="680DD735" w14:textId="77777777"/>
    <w:p w:rsidR="004222F8" w:rsidRPr="00355BA7" w:rsidP="00355BA7" w14:paraId="7605E87D" w14:textId="77777777">
      <w:pPr>
        <w:rPr>
          <w:b/>
        </w:rPr>
      </w:pPr>
    </w:p>
    <w:p w:rsidR="004222F8" w:rsidRPr="00A310D2" w:rsidP="008F570D" w14:paraId="5BB4F440" w14:textId="77777777">
      <w:pPr>
        <w:spacing w:after="120"/>
        <w:rPr>
          <w:b/>
        </w:rPr>
      </w:pPr>
      <w:r w:rsidRPr="00A310D2">
        <w:rPr>
          <w:b/>
        </w:rPr>
        <w:t>A10. Privacy of Respondents</w:t>
      </w:r>
    </w:p>
    <w:p w:rsidR="00033A1A" w:rsidRPr="00A310D2" w:rsidP="00033A1A" w14:paraId="30B4E20D" w14:textId="2150F9F6">
      <w:pPr>
        <w:widowControl w:val="0"/>
        <w:autoSpaceDE w:val="0"/>
        <w:autoSpaceDN w:val="0"/>
        <w:adjustRightInd w:val="0"/>
      </w:pPr>
      <w:r>
        <w:t>Participants will be recruited by email invitation using contact information</w:t>
      </w:r>
      <w:r w:rsidR="003D0212">
        <w:t xml:space="preserve"> found through publicly available sources.</w:t>
      </w:r>
      <w:r>
        <w:t xml:space="preserve"> The discussion questions do not include a request for personally identifiable information.\</w:t>
      </w:r>
      <w:r w:rsidRPr="00A310D2">
        <w:t>. Information will not be maintained in a paper or electronic system from which data are actually or directly retrieved by an individuals’ personal identifier.</w:t>
      </w:r>
    </w:p>
    <w:p w:rsidR="00033A1A" w:rsidRPr="00A310D2" w:rsidP="00033A1A" w14:paraId="2650D2B5" w14:textId="77777777">
      <w:pPr>
        <w:widowControl w:val="0"/>
        <w:autoSpaceDE w:val="0"/>
        <w:autoSpaceDN w:val="0"/>
        <w:adjustRightInd w:val="0"/>
      </w:pPr>
    </w:p>
    <w:p w:rsidR="007B21DD" w:rsidRPr="00A310D2" w:rsidP="00033A1A" w14:paraId="11117837" w14:textId="001C3BA0">
      <w:pPr>
        <w:widowControl w:val="0"/>
        <w:autoSpaceDE w:val="0"/>
        <w:autoSpaceDN w:val="0"/>
        <w:adjustRightInd w:val="0"/>
      </w:pPr>
      <w:r>
        <w:t xml:space="preserve">Participants </w:t>
      </w:r>
      <w:r w:rsidRPr="00A310D2" w:rsidR="00033A1A">
        <w:t xml:space="preserve">will be asked if they agree to being recorded. Once recorded, </w:t>
      </w:r>
      <w:r w:rsidR="00BE0F9E">
        <w:t>the responses of the participants</w:t>
      </w:r>
      <w:r w:rsidRPr="00A310D2" w:rsidR="00033A1A">
        <w:t xml:space="preserve"> will be </w:t>
      </w:r>
      <w:r w:rsidRPr="00A310D2">
        <w:t xml:space="preserve">summarized. At no point will any reporting of findings identify individuals and their responses or provide information in which respondents could be identified such as through identification of a title or role that few hold. </w:t>
      </w:r>
    </w:p>
    <w:p w:rsidR="00033A1A" w:rsidRPr="00A310D2" w:rsidP="00033A1A" w14:paraId="541E46E9" w14:textId="77777777">
      <w:pPr>
        <w:widowControl w:val="0"/>
        <w:autoSpaceDE w:val="0"/>
        <w:autoSpaceDN w:val="0"/>
        <w:adjustRightInd w:val="0"/>
      </w:pPr>
    </w:p>
    <w:p w:rsidR="00033A1A" w:rsidRPr="00A310D2" w:rsidP="00033A1A" w14:paraId="289336AE" w14:textId="77777777">
      <w:pPr>
        <w:widowControl w:val="0"/>
        <w:autoSpaceDE w:val="0"/>
        <w:autoSpaceDN w:val="0"/>
        <w:adjustRightInd w:val="0"/>
      </w:pPr>
      <w:r w:rsidRPr="00A310D2">
        <w:t xml:space="preserve">Information collected will be kept private to the extent permitted by law. Respondents will be informed of all planned uses of data, that their participation is voluntary, and that their information will be kept private to the extent permitted by law. ACF complies with all Federal </w:t>
      </w:r>
      <w:r w:rsidRPr="00A310D2">
        <w:t>and Departmental regulations for private information. Any data stored electronically will be secured in accordance with the most current National Institute of Standards and Technology (NIST) requirements and other applicable Federal and Departmental regulations.</w:t>
      </w:r>
    </w:p>
    <w:p w:rsidR="00436F5E" w:rsidRPr="00A310D2" w:rsidP="008F570D" w14:paraId="34DFAED3" w14:textId="77777777">
      <w:pPr>
        <w:widowControl w:val="0"/>
        <w:autoSpaceDE w:val="0"/>
        <w:autoSpaceDN w:val="0"/>
        <w:adjustRightInd w:val="0"/>
      </w:pPr>
    </w:p>
    <w:p w:rsidR="00436F5E" w:rsidRPr="00A310D2" w:rsidP="008F570D" w14:paraId="0442A162" w14:textId="77777777"/>
    <w:p w:rsidR="00945CD6" w:rsidRPr="00A310D2" w:rsidP="008F570D" w14:paraId="0B35E015" w14:textId="77777777">
      <w:pPr>
        <w:spacing w:after="120"/>
        <w:rPr>
          <w:b/>
        </w:rPr>
      </w:pPr>
      <w:r w:rsidRPr="00A310D2">
        <w:rPr>
          <w:b/>
        </w:rPr>
        <w:t xml:space="preserve">A11. </w:t>
      </w:r>
      <w:r w:rsidRPr="00A310D2">
        <w:rPr>
          <w:b/>
        </w:rPr>
        <w:t>Sensitive Questions</w:t>
      </w:r>
    </w:p>
    <w:p w:rsidR="007B21DD" w:rsidRPr="00A310D2" w:rsidP="007B21DD" w14:paraId="6C771BC2" w14:textId="77777777">
      <w:r w:rsidRPr="00A310D2">
        <w:t>There are no sensitive questions in this data collection.</w:t>
      </w:r>
    </w:p>
    <w:p w:rsidR="00D90EF6" w:rsidRPr="00A310D2" w:rsidP="008F570D" w14:paraId="7C7C4093" w14:textId="77777777"/>
    <w:p w:rsidR="005046F0" w:rsidRPr="00A310D2" w:rsidP="008F570D" w14:paraId="45C63BFE" w14:textId="77777777">
      <w:pPr>
        <w:ind w:left="360"/>
      </w:pPr>
    </w:p>
    <w:p w:rsidR="00542413" w:rsidRPr="00A310D2" w:rsidP="00542413" w14:paraId="3ABF848D" w14:textId="604CE552">
      <w:pPr>
        <w:spacing w:after="120"/>
        <w:rPr>
          <w:b/>
        </w:rPr>
      </w:pPr>
      <w:r w:rsidRPr="00A310D2">
        <w:rPr>
          <w:b/>
        </w:rPr>
        <w:t xml:space="preserve">A12. </w:t>
      </w:r>
      <w:r w:rsidRPr="00A310D2" w:rsidR="00945CD6">
        <w:rPr>
          <w:b/>
        </w:rPr>
        <w:t>Estimation of Information Collection Burden</w:t>
      </w:r>
    </w:p>
    <w:p w:rsidR="00542413" w:rsidRPr="00A310D2" w:rsidP="00542413" w14:paraId="3786490C" w14:textId="2AA637D8">
      <w:pPr>
        <w:spacing w:after="60"/>
        <w:rPr>
          <w:b/>
          <w:bCs/>
          <w:i/>
          <w:iCs/>
        </w:rPr>
      </w:pPr>
      <w:r w:rsidRPr="00A310D2">
        <w:rPr>
          <w:b/>
          <w:bCs/>
          <w:i/>
          <w:iCs/>
        </w:rPr>
        <w:t>Burden Estimates</w:t>
      </w:r>
    </w:p>
    <w:p w:rsidR="00006CE6" w:rsidRPr="00A310D2" w:rsidP="00006CE6" w14:paraId="1E4851F3" w14:textId="21CE9999">
      <w:r>
        <w:t xml:space="preserve">OPRE will invite </w:t>
      </w:r>
      <w:r w:rsidRPr="00A310D2">
        <w:t>experts from programmatic, research, policy, and advocacy areas for AANHPI populations</w:t>
      </w:r>
      <w:r>
        <w:t xml:space="preserve"> with the goal of having about 20 experts </w:t>
      </w:r>
      <w:r w:rsidRPr="00A310D2">
        <w:t>in attendance.</w:t>
      </w:r>
    </w:p>
    <w:p w:rsidR="00006CE6" w:rsidRPr="00A310D2" w:rsidP="00006CE6" w14:paraId="509C4337" w14:textId="77777777"/>
    <w:p w:rsidR="00006CE6" w:rsidRPr="00A310D2" w:rsidP="00006CE6" w14:paraId="0D74F378" w14:textId="2DECDDD5">
      <w:r w:rsidRPr="00A310D2">
        <w:t>We estimated burden for all activities based on commonly accepted practices, including considering the number and types of questions asked, time allocated for effective discussion, and size of group that allows for effective discussion.</w:t>
      </w:r>
      <w:r w:rsidRPr="00A310D2" w:rsidR="00B84049">
        <w:t xml:space="preserve"> The </w:t>
      </w:r>
      <w:r w:rsidR="00056EC4">
        <w:t>information collection</w:t>
      </w:r>
      <w:r w:rsidRPr="00A310D2" w:rsidR="00056EC4">
        <w:t xml:space="preserve"> </w:t>
      </w:r>
      <w:r w:rsidRPr="00A310D2" w:rsidR="00B84049">
        <w:t>will be</w:t>
      </w:r>
      <w:r w:rsidR="00B42B30">
        <w:t xml:space="preserve"> no longer than 2 hours.</w:t>
      </w:r>
      <w:r w:rsidR="0092020E">
        <w:t xml:space="preserve"> </w:t>
      </w:r>
      <w:r w:rsidRPr="00A310D2">
        <w:t>Estimated burden for participants is reported in Table A12.</w:t>
      </w:r>
    </w:p>
    <w:p w:rsidR="00542413" w:rsidRPr="00A310D2" w:rsidP="008F570D" w14:paraId="45B923F3" w14:textId="6AA4E9E1">
      <w:pPr>
        <w:rPr>
          <w:b/>
          <w:bCs/>
          <w:i/>
          <w:iCs/>
        </w:rPr>
      </w:pPr>
    </w:p>
    <w:p w:rsidR="00542413" w:rsidRPr="00A310D2" w:rsidP="00542413" w14:paraId="6CBE253C" w14:textId="16147A58">
      <w:pPr>
        <w:spacing w:after="60"/>
        <w:rPr>
          <w:b/>
          <w:i/>
        </w:rPr>
      </w:pPr>
      <w:r w:rsidRPr="00A310D2">
        <w:rPr>
          <w:b/>
          <w:i/>
        </w:rPr>
        <w:t>Cost Estimates</w:t>
      </w:r>
    </w:p>
    <w:p w:rsidR="00B41619" w:rsidRPr="00A310D2" w:rsidP="00B41619" w14:paraId="4D1F3FDA" w14:textId="1B4C16EB">
      <w:r w:rsidRPr="00A310D2">
        <w:t xml:space="preserve">The basis for the hourly wage was determined by the average salary of individuals in locales around the country who fit into the potential respondents described above. Therefore, an estimated hourly wage of $43.64 per hour is used, based on May 2023 BLS data for the following occupation labor categories: Social Scientists and Related Workers, All Other (19-3099; $49.14) and Social and Community Service Managers (11-9151; $38.13). </w:t>
      </w:r>
      <w:hyperlink r:id="rId9" w:history="1">
        <w:r w:rsidRPr="00A310D2">
          <w:rPr>
            <w:rStyle w:val="Hyperlink"/>
          </w:rPr>
          <w:t>https://www.bls.gov/oes/current/oes_stru.htm</w:t>
        </w:r>
      </w:hyperlink>
      <w:r w:rsidRPr="00A310D2">
        <w:t xml:space="preserve">. To account for fringe benefits and overhead, the wage rate is multiplied by two, which is $87.28. </w:t>
      </w:r>
    </w:p>
    <w:p w:rsidR="00B41619" w:rsidRPr="00F9048F" w:rsidP="008F570D" w14:paraId="00BD9FF7" w14:textId="77777777">
      <w:pPr>
        <w:rPr>
          <w:i/>
          <w:iCs/>
        </w:rPr>
      </w:pP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8"/>
        <w:gridCol w:w="1429"/>
        <w:gridCol w:w="1342"/>
        <w:gridCol w:w="1120"/>
        <w:gridCol w:w="1519"/>
        <w:gridCol w:w="990"/>
        <w:gridCol w:w="1378"/>
      </w:tblGrid>
      <w:tr w14:paraId="3DDE53E5" w14:textId="77777777" w:rsidTr="00B41619">
        <w:tblPrEx>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267"/>
          <w:jc w:val="center"/>
        </w:trPr>
        <w:tc>
          <w:tcPr>
            <w:tcW w:w="2058" w:type="dxa"/>
            <w:shd w:val="clear" w:color="auto" w:fill="BFBFBF"/>
            <w:vAlign w:val="center"/>
          </w:tcPr>
          <w:p w:rsidR="00542413" w:rsidRPr="00A310D2" w:rsidP="008F570D" w14:paraId="2381BB0C" w14:textId="77777777">
            <w:pPr>
              <w:jc w:val="center"/>
              <w:rPr>
                <w:sz w:val="20"/>
                <w:szCs w:val="20"/>
              </w:rPr>
            </w:pPr>
            <w:r w:rsidRPr="00A310D2">
              <w:rPr>
                <w:sz w:val="20"/>
                <w:szCs w:val="20"/>
              </w:rPr>
              <w:t>Instrument</w:t>
            </w:r>
          </w:p>
        </w:tc>
        <w:tc>
          <w:tcPr>
            <w:tcW w:w="1429" w:type="dxa"/>
            <w:shd w:val="clear" w:color="auto" w:fill="BFBFBF"/>
            <w:vAlign w:val="center"/>
          </w:tcPr>
          <w:p w:rsidR="00542413" w:rsidRPr="00A310D2" w:rsidP="008F570D" w14:paraId="42F19101" w14:textId="77777777">
            <w:pPr>
              <w:jc w:val="center"/>
              <w:rPr>
                <w:sz w:val="20"/>
                <w:szCs w:val="20"/>
              </w:rPr>
            </w:pPr>
            <w:r w:rsidRPr="00A310D2">
              <w:rPr>
                <w:sz w:val="20"/>
                <w:szCs w:val="20"/>
              </w:rPr>
              <w:t>Total Number of Respondents</w:t>
            </w:r>
          </w:p>
        </w:tc>
        <w:tc>
          <w:tcPr>
            <w:tcW w:w="1342" w:type="dxa"/>
            <w:shd w:val="clear" w:color="auto" w:fill="BFBFBF"/>
            <w:vAlign w:val="center"/>
          </w:tcPr>
          <w:p w:rsidR="00542413" w:rsidRPr="00A310D2" w:rsidP="008F570D" w14:paraId="714F2F09" w14:textId="4691739D">
            <w:pPr>
              <w:jc w:val="center"/>
              <w:rPr>
                <w:sz w:val="20"/>
                <w:szCs w:val="20"/>
              </w:rPr>
            </w:pPr>
            <w:r w:rsidRPr="00A310D2">
              <w:rPr>
                <w:sz w:val="20"/>
                <w:szCs w:val="20"/>
              </w:rPr>
              <w:t>Total Number of Responses Per Respondent</w:t>
            </w:r>
          </w:p>
        </w:tc>
        <w:tc>
          <w:tcPr>
            <w:tcW w:w="1120" w:type="dxa"/>
            <w:shd w:val="clear" w:color="auto" w:fill="BFBFBF"/>
            <w:vAlign w:val="center"/>
          </w:tcPr>
          <w:p w:rsidR="00542413" w:rsidRPr="00A310D2" w:rsidP="008F570D" w14:paraId="05CC723F" w14:textId="77777777">
            <w:pPr>
              <w:jc w:val="center"/>
              <w:rPr>
                <w:sz w:val="20"/>
                <w:szCs w:val="20"/>
              </w:rPr>
            </w:pPr>
            <w:r w:rsidRPr="00A310D2">
              <w:rPr>
                <w:sz w:val="20"/>
                <w:szCs w:val="20"/>
              </w:rPr>
              <w:t>Average Burden Hours Per Response</w:t>
            </w:r>
          </w:p>
        </w:tc>
        <w:tc>
          <w:tcPr>
            <w:tcW w:w="1519" w:type="dxa"/>
            <w:shd w:val="clear" w:color="auto" w:fill="BFBFBF"/>
            <w:vAlign w:val="center"/>
          </w:tcPr>
          <w:p w:rsidR="00542413" w:rsidRPr="00A310D2" w:rsidP="00542413" w14:paraId="110C4AE5" w14:textId="77777777">
            <w:pPr>
              <w:jc w:val="center"/>
              <w:rPr>
                <w:bCs/>
                <w:sz w:val="20"/>
                <w:szCs w:val="20"/>
              </w:rPr>
            </w:pPr>
            <w:r w:rsidRPr="00A310D2">
              <w:rPr>
                <w:bCs/>
                <w:sz w:val="20"/>
                <w:szCs w:val="20"/>
              </w:rPr>
              <w:t>Total</w:t>
            </w:r>
          </w:p>
          <w:p w:rsidR="00542413" w:rsidRPr="00A310D2" w:rsidP="00542413" w14:paraId="1F591B58" w14:textId="47332B2D">
            <w:pPr>
              <w:jc w:val="center"/>
              <w:rPr>
                <w:bCs/>
                <w:sz w:val="20"/>
                <w:szCs w:val="20"/>
              </w:rPr>
            </w:pPr>
            <w:r w:rsidRPr="00A310D2">
              <w:rPr>
                <w:bCs/>
                <w:sz w:val="20"/>
                <w:szCs w:val="20"/>
              </w:rPr>
              <w:t>Burden Hours</w:t>
            </w:r>
          </w:p>
        </w:tc>
        <w:tc>
          <w:tcPr>
            <w:tcW w:w="990" w:type="dxa"/>
            <w:shd w:val="clear" w:color="auto" w:fill="BFBFBF"/>
            <w:vAlign w:val="center"/>
          </w:tcPr>
          <w:p w:rsidR="00542413" w:rsidRPr="00A310D2" w:rsidP="008F570D" w14:paraId="45DFE675" w14:textId="77777777">
            <w:pPr>
              <w:jc w:val="center"/>
              <w:rPr>
                <w:sz w:val="20"/>
                <w:szCs w:val="20"/>
              </w:rPr>
            </w:pPr>
            <w:r w:rsidRPr="00A310D2">
              <w:rPr>
                <w:bCs/>
                <w:sz w:val="20"/>
                <w:szCs w:val="20"/>
              </w:rPr>
              <w:t>Average Hourly Wage</w:t>
            </w:r>
          </w:p>
        </w:tc>
        <w:tc>
          <w:tcPr>
            <w:tcW w:w="1378" w:type="dxa"/>
            <w:shd w:val="clear" w:color="auto" w:fill="BFBFBF"/>
            <w:vAlign w:val="center"/>
          </w:tcPr>
          <w:p w:rsidR="00542413" w:rsidRPr="00A310D2" w:rsidP="008F570D" w14:paraId="39990194" w14:textId="77777777">
            <w:pPr>
              <w:jc w:val="center"/>
              <w:rPr>
                <w:sz w:val="20"/>
                <w:szCs w:val="20"/>
              </w:rPr>
            </w:pPr>
            <w:r w:rsidRPr="00A310D2">
              <w:rPr>
                <w:bCs/>
                <w:sz w:val="20"/>
                <w:szCs w:val="20"/>
              </w:rPr>
              <w:t>Total Annual Cost</w:t>
            </w:r>
          </w:p>
        </w:tc>
      </w:tr>
      <w:tr w14:paraId="7CE63E36" w14:textId="77777777" w:rsidTr="00A310D2">
        <w:tblPrEx>
          <w:tblW w:w="9836" w:type="dxa"/>
          <w:jc w:val="center"/>
          <w:tblLook w:val="00A0"/>
        </w:tblPrEx>
        <w:trPr>
          <w:trHeight w:val="447"/>
          <w:jc w:val="center"/>
        </w:trPr>
        <w:tc>
          <w:tcPr>
            <w:tcW w:w="2058" w:type="dxa"/>
            <w:vAlign w:val="center"/>
          </w:tcPr>
          <w:p w:rsidR="00542413" w:rsidRPr="00A310D2" w:rsidP="008F570D" w14:paraId="15455CD3" w14:textId="172B330C">
            <w:pPr>
              <w:tabs>
                <w:tab w:val="center" w:pos="4320"/>
                <w:tab w:val="right" w:pos="8640"/>
              </w:tabs>
              <w:rPr>
                <w:sz w:val="20"/>
                <w:szCs w:val="20"/>
              </w:rPr>
            </w:pPr>
            <w:r w:rsidRPr="00A310D2">
              <w:rPr>
                <w:sz w:val="20"/>
                <w:szCs w:val="20"/>
              </w:rPr>
              <w:t>Semi-Structured Discussion</w:t>
            </w:r>
          </w:p>
        </w:tc>
        <w:tc>
          <w:tcPr>
            <w:tcW w:w="1429" w:type="dxa"/>
            <w:vAlign w:val="center"/>
          </w:tcPr>
          <w:p w:rsidR="00542413" w:rsidRPr="00A310D2" w:rsidP="008F570D" w14:paraId="2106BBF5" w14:textId="3BABB115">
            <w:pPr>
              <w:tabs>
                <w:tab w:val="center" w:pos="4320"/>
                <w:tab w:val="right" w:pos="8640"/>
              </w:tabs>
              <w:jc w:val="center"/>
              <w:rPr>
                <w:sz w:val="20"/>
                <w:szCs w:val="20"/>
              </w:rPr>
            </w:pPr>
            <w:r w:rsidRPr="00A310D2">
              <w:rPr>
                <w:sz w:val="20"/>
                <w:szCs w:val="20"/>
              </w:rPr>
              <w:t>20</w:t>
            </w:r>
          </w:p>
        </w:tc>
        <w:tc>
          <w:tcPr>
            <w:tcW w:w="1342" w:type="dxa"/>
            <w:vAlign w:val="center"/>
          </w:tcPr>
          <w:p w:rsidR="00542413" w:rsidRPr="00A310D2" w:rsidP="008F570D" w14:paraId="402332F4" w14:textId="44B55190">
            <w:pPr>
              <w:tabs>
                <w:tab w:val="center" w:pos="4320"/>
                <w:tab w:val="right" w:pos="8640"/>
              </w:tabs>
              <w:jc w:val="center"/>
              <w:rPr>
                <w:sz w:val="20"/>
                <w:szCs w:val="20"/>
              </w:rPr>
            </w:pPr>
            <w:r w:rsidRPr="00A310D2">
              <w:rPr>
                <w:sz w:val="20"/>
                <w:szCs w:val="20"/>
              </w:rPr>
              <w:t>1</w:t>
            </w:r>
          </w:p>
        </w:tc>
        <w:tc>
          <w:tcPr>
            <w:tcW w:w="1120" w:type="dxa"/>
            <w:vAlign w:val="center"/>
          </w:tcPr>
          <w:p w:rsidR="00542413" w:rsidRPr="00A310D2" w:rsidP="008F570D" w14:paraId="2166A45E" w14:textId="7306F5A3">
            <w:pPr>
              <w:tabs>
                <w:tab w:val="center" w:pos="4320"/>
                <w:tab w:val="right" w:pos="8640"/>
              </w:tabs>
              <w:jc w:val="center"/>
              <w:rPr>
                <w:sz w:val="20"/>
                <w:szCs w:val="20"/>
              </w:rPr>
            </w:pPr>
            <w:r>
              <w:rPr>
                <w:sz w:val="20"/>
                <w:szCs w:val="20"/>
              </w:rPr>
              <w:t>2</w:t>
            </w:r>
          </w:p>
        </w:tc>
        <w:tc>
          <w:tcPr>
            <w:tcW w:w="1519" w:type="dxa"/>
            <w:vAlign w:val="center"/>
          </w:tcPr>
          <w:p w:rsidR="00542413" w:rsidRPr="00A310D2" w:rsidP="008F570D" w14:paraId="5A6C5F6C" w14:textId="6D0A766F">
            <w:pPr>
              <w:tabs>
                <w:tab w:val="center" w:pos="4320"/>
                <w:tab w:val="right" w:pos="8640"/>
              </w:tabs>
              <w:jc w:val="center"/>
              <w:rPr>
                <w:sz w:val="20"/>
                <w:szCs w:val="20"/>
              </w:rPr>
            </w:pPr>
            <w:r>
              <w:rPr>
                <w:sz w:val="20"/>
                <w:szCs w:val="20"/>
              </w:rPr>
              <w:t>40</w:t>
            </w:r>
          </w:p>
        </w:tc>
        <w:tc>
          <w:tcPr>
            <w:tcW w:w="990" w:type="dxa"/>
            <w:vAlign w:val="center"/>
          </w:tcPr>
          <w:p w:rsidR="00542413" w:rsidRPr="00A310D2" w:rsidP="008F570D" w14:paraId="4C12A145" w14:textId="0B60EF72">
            <w:pPr>
              <w:tabs>
                <w:tab w:val="center" w:pos="4320"/>
                <w:tab w:val="right" w:pos="8640"/>
              </w:tabs>
              <w:jc w:val="center"/>
              <w:rPr>
                <w:sz w:val="20"/>
                <w:szCs w:val="20"/>
              </w:rPr>
            </w:pPr>
            <w:r w:rsidRPr="00A310D2">
              <w:rPr>
                <w:sz w:val="20"/>
                <w:szCs w:val="20"/>
              </w:rPr>
              <w:t>$87.28</w:t>
            </w:r>
          </w:p>
        </w:tc>
        <w:tc>
          <w:tcPr>
            <w:tcW w:w="1378" w:type="dxa"/>
            <w:vAlign w:val="center"/>
          </w:tcPr>
          <w:p w:rsidR="00542413" w:rsidRPr="00A310D2" w:rsidP="008F570D" w14:paraId="01C1A511" w14:textId="456E62DB">
            <w:pPr>
              <w:tabs>
                <w:tab w:val="center" w:pos="4320"/>
                <w:tab w:val="right" w:pos="8640"/>
              </w:tabs>
              <w:jc w:val="center"/>
              <w:rPr>
                <w:sz w:val="20"/>
                <w:szCs w:val="20"/>
              </w:rPr>
            </w:pPr>
            <w:r w:rsidRPr="00A310D2">
              <w:rPr>
                <w:sz w:val="20"/>
                <w:szCs w:val="20"/>
              </w:rPr>
              <w:t>$</w:t>
            </w:r>
            <w:r w:rsidR="00712648">
              <w:rPr>
                <w:sz w:val="20"/>
                <w:szCs w:val="20"/>
              </w:rPr>
              <w:t>3,491</w:t>
            </w:r>
          </w:p>
        </w:tc>
      </w:tr>
    </w:tbl>
    <w:p w:rsidR="00436F5E" w:rsidRPr="00A310D2" w:rsidP="008F570D" w14:paraId="4FC5BEDE" w14:textId="77777777"/>
    <w:p w:rsidR="002338AC" w:rsidRPr="00A310D2" w:rsidP="008F570D" w14:paraId="3C895703" w14:textId="77777777">
      <w:pPr>
        <w:ind w:left="360"/>
      </w:pPr>
    </w:p>
    <w:p w:rsidR="00945CD6" w:rsidRPr="00A310D2" w:rsidP="00542413" w14:paraId="7BDBE261" w14:textId="77777777">
      <w:pPr>
        <w:spacing w:after="120"/>
        <w:rPr>
          <w:b/>
        </w:rPr>
      </w:pPr>
      <w:r w:rsidRPr="00A310D2">
        <w:rPr>
          <w:b/>
        </w:rPr>
        <w:t xml:space="preserve">A13. </w:t>
      </w:r>
      <w:r w:rsidRPr="00A310D2">
        <w:rPr>
          <w:b/>
        </w:rPr>
        <w:t>Cost Burden to Respondents or Record Keepers</w:t>
      </w:r>
    </w:p>
    <w:p w:rsidR="00983065" w:rsidRPr="00A310D2" w:rsidP="00647FB6" w14:paraId="2E279A1C" w14:textId="77777777">
      <w:pPr>
        <w:pStyle w:val="pf0"/>
        <w:spacing w:before="0" w:beforeAutospacing="0" w:after="60" w:afterAutospacing="0"/>
      </w:pPr>
      <w:r w:rsidRPr="00A310D2">
        <w:rPr>
          <w:rStyle w:val="cf01"/>
          <w:rFonts w:ascii="Times New Roman" w:hAnsi="Times New Roman" w:cs="Times New Roman"/>
          <w:sz w:val="24"/>
          <w:szCs w:val="24"/>
        </w:rPr>
        <w:t>Directly engaging the communities ACF serves and including these individuals in ACF research is in line with the following priorities of the current Administration and HHS:</w:t>
      </w:r>
    </w:p>
    <w:p w:rsidR="00983065" w:rsidRPr="00A310D2" w:rsidP="00647FB6" w14:paraId="404FED27" w14:textId="77777777">
      <w:pPr>
        <w:pStyle w:val="pf1"/>
        <w:numPr>
          <w:ilvl w:val="0"/>
          <w:numId w:val="27"/>
        </w:numPr>
        <w:spacing w:before="0" w:beforeAutospacing="0"/>
        <w:ind w:left="1080"/>
      </w:pPr>
      <w:r w:rsidRPr="00A310D2">
        <w:rPr>
          <w:rStyle w:val="cf11"/>
          <w:rFonts w:ascii="Times New Roman" w:hAnsi="Times New Roman" w:cs="Times New Roman"/>
          <w:sz w:val="24"/>
          <w:szCs w:val="24"/>
        </w:rPr>
        <w:t>Advancing Racial Equity and Support for Underserved Communities Through the Federal Government (EO 13985)</w:t>
      </w:r>
      <w:r w:rsidRPr="00A310D2">
        <w:rPr>
          <w:rStyle w:val="cf01"/>
          <w:rFonts w:ascii="Times New Roman" w:hAnsi="Times New Roman" w:cs="Times New Roman"/>
          <w:sz w:val="24"/>
          <w:szCs w:val="24"/>
        </w:rPr>
        <w:t xml:space="preserve"> </w:t>
      </w:r>
    </w:p>
    <w:p w:rsidR="00983065" w:rsidRPr="00A310D2" w:rsidP="00983065" w14:paraId="5549C7DC" w14:textId="18A3B859">
      <w:pPr>
        <w:pStyle w:val="pf1"/>
        <w:numPr>
          <w:ilvl w:val="0"/>
          <w:numId w:val="27"/>
        </w:numPr>
        <w:ind w:left="1080"/>
      </w:pPr>
      <w:r w:rsidRPr="00A310D2">
        <w:rPr>
          <w:rStyle w:val="cf11"/>
          <w:rFonts w:ascii="Times New Roman" w:hAnsi="Times New Roman" w:cs="Times New Roman"/>
          <w:sz w:val="24"/>
          <w:szCs w:val="24"/>
        </w:rPr>
        <w:t>Further Advancing Racial Equity and Support for Underserved Communities Through the Federal Government</w:t>
      </w:r>
    </w:p>
    <w:p w:rsidR="00983065" w:rsidRPr="00A310D2" w:rsidP="00983065" w14:paraId="0A8522D5" w14:textId="77777777">
      <w:pPr>
        <w:pStyle w:val="pf1"/>
        <w:numPr>
          <w:ilvl w:val="0"/>
          <w:numId w:val="27"/>
        </w:numPr>
        <w:ind w:left="1080"/>
      </w:pPr>
      <w:r w:rsidRPr="00A310D2">
        <w:rPr>
          <w:rStyle w:val="cf01"/>
          <w:rFonts w:ascii="Times New Roman" w:hAnsi="Times New Roman" w:cs="Times New Roman"/>
          <w:sz w:val="24"/>
          <w:szCs w:val="24"/>
        </w:rPr>
        <w:t>Presidential Memorandum on</w:t>
      </w:r>
      <w:r w:rsidRPr="00A310D2">
        <w:rPr>
          <w:rStyle w:val="cf11"/>
          <w:rFonts w:ascii="Times New Roman" w:hAnsi="Times New Roman" w:cs="Times New Roman"/>
          <w:sz w:val="24"/>
          <w:szCs w:val="24"/>
        </w:rPr>
        <w:t xml:space="preserve"> Restoring Trust in Government through Scientific Integrity and Evidence-Based Policy Making</w:t>
      </w:r>
    </w:p>
    <w:p w:rsidR="00983065" w:rsidRPr="00A310D2" w:rsidP="00983065" w14:paraId="30960C0A" w14:textId="77777777">
      <w:pPr>
        <w:pStyle w:val="pf1"/>
        <w:numPr>
          <w:ilvl w:val="0"/>
          <w:numId w:val="27"/>
        </w:numPr>
        <w:ind w:left="1080"/>
      </w:pPr>
      <w:r w:rsidRPr="00A310D2">
        <w:rPr>
          <w:rStyle w:val="cf11"/>
          <w:rFonts w:ascii="Times New Roman" w:hAnsi="Times New Roman" w:cs="Times New Roman"/>
          <w:sz w:val="24"/>
          <w:szCs w:val="24"/>
        </w:rPr>
        <w:t>ACF Evaluation Policy</w:t>
      </w:r>
      <w:r w:rsidRPr="00A310D2">
        <w:rPr>
          <w:rStyle w:val="cf01"/>
          <w:rFonts w:ascii="Times New Roman" w:hAnsi="Times New Roman" w:cs="Times New Roman"/>
          <w:sz w:val="24"/>
          <w:szCs w:val="24"/>
        </w:rPr>
        <w:t xml:space="preserve"> </w:t>
      </w:r>
    </w:p>
    <w:p w:rsidR="00983065" w:rsidRPr="00A310D2" w:rsidP="00983065" w14:paraId="07589A20" w14:textId="77777777">
      <w:pPr>
        <w:pStyle w:val="pf1"/>
        <w:numPr>
          <w:ilvl w:val="0"/>
          <w:numId w:val="27"/>
        </w:numPr>
        <w:ind w:left="1080"/>
      </w:pPr>
      <w:r w:rsidRPr="00A310D2">
        <w:rPr>
          <w:rStyle w:val="cf11"/>
          <w:rFonts w:ascii="Times New Roman" w:hAnsi="Times New Roman" w:cs="Times New Roman"/>
          <w:sz w:val="24"/>
          <w:szCs w:val="24"/>
        </w:rPr>
        <w:t>HHS Strategic Plan FY 2022-2026</w:t>
      </w:r>
      <w:r w:rsidRPr="00A310D2">
        <w:rPr>
          <w:rStyle w:val="cf01"/>
          <w:rFonts w:ascii="Times New Roman" w:hAnsi="Times New Roman" w:cs="Times New Roman"/>
          <w:sz w:val="24"/>
          <w:szCs w:val="24"/>
        </w:rPr>
        <w:t>,</w:t>
      </w:r>
    </w:p>
    <w:p w:rsidR="00983065" w:rsidRPr="00A310D2" w:rsidP="00983065" w14:paraId="6D1D83D5" w14:textId="77777777">
      <w:pPr>
        <w:pStyle w:val="pf1"/>
        <w:numPr>
          <w:ilvl w:val="0"/>
          <w:numId w:val="27"/>
        </w:numPr>
        <w:ind w:left="1080"/>
      </w:pPr>
      <w:r w:rsidRPr="00A310D2">
        <w:rPr>
          <w:rStyle w:val="cf01"/>
          <w:rFonts w:ascii="Times New Roman" w:hAnsi="Times New Roman" w:cs="Times New Roman"/>
          <w:sz w:val="24"/>
          <w:szCs w:val="24"/>
        </w:rPr>
        <w:t xml:space="preserve">ASPE’s </w:t>
      </w:r>
      <w:r w:rsidRPr="00A310D2">
        <w:rPr>
          <w:rStyle w:val="cf11"/>
          <w:rFonts w:ascii="Times New Roman" w:hAnsi="Times New Roman" w:cs="Times New Roman"/>
          <w:sz w:val="24"/>
          <w:szCs w:val="24"/>
        </w:rPr>
        <w:t>Methods and Emerging Strategies to Engage People with Lived Experience (2021)</w:t>
      </w:r>
      <w:r w:rsidRPr="00A310D2">
        <w:rPr>
          <w:rStyle w:val="cf01"/>
          <w:rFonts w:ascii="Times New Roman" w:hAnsi="Times New Roman" w:cs="Times New Roman"/>
          <w:sz w:val="24"/>
          <w:szCs w:val="24"/>
        </w:rPr>
        <w:t xml:space="preserve"> </w:t>
      </w:r>
    </w:p>
    <w:p w:rsidR="00983065" w:rsidRPr="00A310D2" w:rsidP="00647FB6" w14:paraId="205763CA" w14:textId="77777777">
      <w:pPr>
        <w:pStyle w:val="pf1"/>
        <w:numPr>
          <w:ilvl w:val="0"/>
          <w:numId w:val="27"/>
        </w:numPr>
        <w:spacing w:after="0" w:afterAutospacing="0"/>
        <w:ind w:left="1080"/>
      </w:pPr>
      <w:r w:rsidRPr="00A310D2">
        <w:rPr>
          <w:rStyle w:val="cf01"/>
          <w:rFonts w:ascii="Times New Roman" w:hAnsi="Times New Roman" w:cs="Times New Roman"/>
          <w:sz w:val="24"/>
          <w:szCs w:val="24"/>
        </w:rPr>
        <w:t xml:space="preserve">ASPE’s </w:t>
      </w:r>
      <w:r w:rsidRPr="00A310D2">
        <w:rPr>
          <w:rStyle w:val="cf11"/>
          <w:rFonts w:ascii="Times New Roman" w:hAnsi="Times New Roman" w:cs="Times New Roman"/>
          <w:sz w:val="24"/>
          <w:szCs w:val="24"/>
        </w:rPr>
        <w:t>Recruiting Individuals with Lived Experience (</w:t>
      </w:r>
      <w:r w:rsidRPr="00A310D2">
        <w:rPr>
          <w:rStyle w:val="cf01"/>
          <w:rFonts w:ascii="Times New Roman" w:hAnsi="Times New Roman" w:cs="Times New Roman"/>
          <w:sz w:val="24"/>
          <w:szCs w:val="24"/>
        </w:rPr>
        <w:t>2022)</w:t>
      </w:r>
    </w:p>
    <w:p w:rsidR="00647FB6" w:rsidP="00647FB6" w14:paraId="500DDCC4" w14:textId="77777777">
      <w:pPr>
        <w:pStyle w:val="pf0"/>
        <w:spacing w:before="0" w:beforeAutospacing="0" w:after="0" w:afterAutospacing="0"/>
        <w:rPr>
          <w:rStyle w:val="cf01"/>
          <w:rFonts w:ascii="Times New Roman" w:hAnsi="Times New Roman" w:cs="Times New Roman"/>
          <w:sz w:val="24"/>
          <w:szCs w:val="24"/>
        </w:rPr>
      </w:pPr>
    </w:p>
    <w:p w:rsidR="00983065" w:rsidRPr="00A310D2" w:rsidP="00647FB6" w14:paraId="539BF4F4" w14:textId="1BD4DC23">
      <w:pPr>
        <w:pStyle w:val="pf0"/>
        <w:spacing w:before="0" w:beforeAutospacing="0" w:after="0" w:afterAutospacing="0"/>
      </w:pPr>
      <w:r w:rsidRPr="00A310D2">
        <w:rPr>
          <w:rStyle w:val="cf01"/>
          <w:rFonts w:ascii="Times New Roman" w:hAnsi="Times New Roman" w:cs="Times New Roman"/>
          <w:sz w:val="24"/>
          <w:szCs w:val="24"/>
        </w:rPr>
        <w:t xml:space="preserve">Consistent with the guidance documents referenced, and to ensure involvement with a variety of people with diverse experiences and perspectives in relevant fields, we propose to offer participants an honorarium for their time spent providing their expertise and experience. Specifically, </w:t>
      </w:r>
      <w:r w:rsidR="00AB39C3">
        <w:rPr>
          <w:rStyle w:val="cf01"/>
          <w:rFonts w:ascii="Times New Roman" w:hAnsi="Times New Roman" w:cs="Times New Roman"/>
          <w:sz w:val="24"/>
          <w:szCs w:val="24"/>
        </w:rPr>
        <w:t xml:space="preserve">experts will be offered honoraria for their time spent providing their expertise and experience. The time specific to these feedback activities is $200. </w:t>
      </w:r>
    </w:p>
    <w:p w:rsidR="00647FB6" w:rsidP="00647FB6" w14:paraId="7A17526C" w14:textId="77777777">
      <w:pPr>
        <w:pStyle w:val="pf0"/>
        <w:spacing w:before="0" w:beforeAutospacing="0" w:after="0" w:afterAutospacing="0"/>
        <w:rPr>
          <w:rStyle w:val="cf01"/>
          <w:rFonts w:ascii="Times New Roman" w:hAnsi="Times New Roman" w:cs="Times New Roman"/>
          <w:sz w:val="24"/>
          <w:szCs w:val="24"/>
        </w:rPr>
      </w:pPr>
    </w:p>
    <w:p w:rsidR="00983065" w:rsidRPr="00A310D2" w:rsidP="00647FB6" w14:paraId="211113CD" w14:textId="3EDB31EE">
      <w:pPr>
        <w:pStyle w:val="pf0"/>
        <w:spacing w:before="0" w:beforeAutospacing="0" w:after="0" w:afterAutospacing="0"/>
      </w:pPr>
      <w:r w:rsidRPr="00A310D2">
        <w:rPr>
          <w:rStyle w:val="cf01"/>
          <w:rFonts w:ascii="Times New Roman" w:hAnsi="Times New Roman" w:cs="Times New Roman"/>
          <w:sz w:val="24"/>
          <w:szCs w:val="24"/>
        </w:rPr>
        <w:t>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p>
    <w:p w:rsidR="00647FB6" w:rsidP="00647FB6" w14:paraId="08BC6FC5" w14:textId="77777777">
      <w:pPr>
        <w:pStyle w:val="pf0"/>
        <w:spacing w:before="0" w:beforeAutospacing="0" w:after="0" w:afterAutospacing="0"/>
        <w:rPr>
          <w:rStyle w:val="cf01"/>
          <w:rFonts w:ascii="Times New Roman" w:hAnsi="Times New Roman" w:cs="Times New Roman"/>
          <w:sz w:val="24"/>
          <w:szCs w:val="24"/>
        </w:rPr>
      </w:pPr>
    </w:p>
    <w:p w:rsidR="00BE7952" w:rsidRPr="00A310D2" w:rsidP="00647FB6" w14:paraId="6BC5843E" w14:textId="6BC1E6B4">
      <w:pPr>
        <w:pStyle w:val="pf0"/>
        <w:spacing w:before="0" w:beforeAutospacing="0" w:after="0" w:afterAutospacing="0"/>
      </w:pPr>
      <w:r w:rsidRPr="00A310D2">
        <w:rPr>
          <w:rStyle w:val="cf01"/>
          <w:rFonts w:ascii="Times New Roman" w:hAnsi="Times New Roman" w:cs="Times New Roman"/>
          <w:sz w:val="24"/>
          <w:szCs w:val="24"/>
        </w:rPr>
        <w:t>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t>
      </w:r>
      <w:r w:rsidRPr="00A310D2">
        <w:rPr>
          <w:rStyle w:val="cf01"/>
          <w:rFonts w:ascii="Times New Roman" w:hAnsi="Times New Roman" w:cs="Times New Roman"/>
          <w:sz w:val="24"/>
          <w:szCs w:val="24"/>
        </w:rPr>
        <w:t>….when</w:t>
      </w:r>
      <w:r w:rsidRPr="00A310D2">
        <w:rPr>
          <w:rStyle w:val="cf01"/>
          <w:rFonts w:ascii="Times New Roman" w:hAnsi="Times New Roman" w:cs="Times New Roman"/>
          <w:sz w:val="24"/>
          <w:szCs w:val="24"/>
        </w:rPr>
        <w:t xml:space="preserve"> lived experience engagements have scarce resources and experts are undercompensated, which can undermine, disregard, and/or marginalize people with lived experience.”</w:t>
      </w:r>
    </w:p>
    <w:p w:rsidR="002338AC" w:rsidP="008F570D" w14:paraId="136F28B3" w14:textId="77777777"/>
    <w:p w:rsidR="00647FB6" w:rsidRPr="00A310D2" w:rsidP="008F570D" w14:paraId="08E991DC" w14:textId="77777777"/>
    <w:p w:rsidR="00945CD6" w:rsidRPr="00A310D2" w:rsidP="008F570D" w14:paraId="2A791D57" w14:textId="77777777">
      <w:pPr>
        <w:spacing w:after="60"/>
        <w:rPr>
          <w:b/>
        </w:rPr>
      </w:pPr>
      <w:r w:rsidRPr="00A310D2">
        <w:rPr>
          <w:b/>
        </w:rPr>
        <w:t xml:space="preserve">A14. </w:t>
      </w:r>
      <w:r w:rsidRPr="00A310D2">
        <w:rPr>
          <w:b/>
        </w:rPr>
        <w:t>Estimate of Cost to the Federal Government</w:t>
      </w:r>
    </w:p>
    <w:p w:rsidR="002338AC" w:rsidRPr="00A310D2" w:rsidP="008F570D" w14:paraId="036762EF" w14:textId="20695F37">
      <w:r w:rsidRPr="00A310D2">
        <w:t xml:space="preserve">The total cost for the data collection activities under this current request </w:t>
      </w:r>
      <w:r w:rsidR="009718E3">
        <w:t>is estimated to be around $</w:t>
      </w:r>
      <w:r w:rsidR="00FE74F5">
        <w:t>9,160</w:t>
      </w:r>
      <w:r w:rsidR="009718E3">
        <w:t xml:space="preserve">. </w:t>
      </w:r>
      <w:r w:rsidRPr="00A310D2">
        <w:t xml:space="preserve"> </w:t>
      </w:r>
    </w:p>
    <w:p w:rsidR="00436F5E" w:rsidRPr="00A310D2" w:rsidP="008F570D" w14:paraId="304B1383" w14:textId="748441F1"/>
    <w:p w:rsidR="0033072C" w:rsidRPr="00A310D2" w:rsidP="008F570D" w14:paraId="10E2AD7E" w14:textId="77777777"/>
    <w:p w:rsidR="00945CD6" w:rsidRPr="00A310D2" w:rsidP="008F570D" w14:paraId="4B385444" w14:textId="77777777">
      <w:pPr>
        <w:spacing w:after="120"/>
        <w:rPr>
          <w:b/>
        </w:rPr>
      </w:pPr>
      <w:r w:rsidRPr="00A310D2">
        <w:rPr>
          <w:b/>
        </w:rPr>
        <w:t xml:space="preserve">A15. </w:t>
      </w:r>
      <w:r w:rsidRPr="00A310D2">
        <w:rPr>
          <w:b/>
        </w:rPr>
        <w:t>Change in Burden</w:t>
      </w:r>
    </w:p>
    <w:p w:rsidR="00CB2ED6" w:rsidRPr="00A310D2" w:rsidP="008F570D" w14:paraId="4B05A013" w14:textId="07427872">
      <w:r w:rsidRPr="00A310D2">
        <w:t xml:space="preserve">This is for an individual information collection under the umbrella </w:t>
      </w:r>
      <w:r w:rsidRPr="00A310D2" w:rsidR="001140AB">
        <w:t xml:space="preserve">generic clearance for </w:t>
      </w:r>
      <w:r w:rsidRPr="00A310D2" w:rsidR="00F9048F">
        <w:t>ACF engagement activities</w:t>
      </w:r>
      <w:r w:rsidRPr="00A310D2" w:rsidR="001140AB">
        <w:t xml:space="preserve"> (0970-0</w:t>
      </w:r>
      <w:r w:rsidRPr="00A310D2" w:rsidR="00F9048F">
        <w:t>630</w:t>
      </w:r>
      <w:r w:rsidRPr="00A310D2" w:rsidR="00542413">
        <w:t>).</w:t>
      </w:r>
    </w:p>
    <w:p w:rsidR="002338AC" w:rsidRPr="00A310D2" w:rsidP="008F570D" w14:paraId="31DADDE8" w14:textId="632686D3">
      <w:pPr>
        <w:ind w:left="360"/>
      </w:pPr>
    </w:p>
    <w:p w:rsidR="0033072C" w:rsidRPr="00A310D2" w:rsidP="008F570D" w14:paraId="580F3480" w14:textId="77777777">
      <w:pPr>
        <w:ind w:left="360"/>
      </w:pPr>
    </w:p>
    <w:p w:rsidR="00983065" w:rsidRPr="00A310D2" w:rsidP="00983065" w14:paraId="0C3E6E49" w14:textId="6CC3320D">
      <w:pPr>
        <w:spacing w:after="60"/>
        <w:rPr>
          <w:b/>
        </w:rPr>
      </w:pPr>
      <w:r w:rsidRPr="00A310D2">
        <w:rPr>
          <w:b/>
        </w:rPr>
        <w:t xml:space="preserve">A16. </w:t>
      </w:r>
      <w:r w:rsidRPr="00A310D2" w:rsidR="00945CD6">
        <w:rPr>
          <w:b/>
        </w:rPr>
        <w:t>Plan and Time Schedule for Information Collection, Tabulation and Publication</w:t>
      </w:r>
    </w:p>
    <w:p w:rsidR="00697D51" w:rsidRPr="00A310D2" w:rsidP="008F570D" w14:paraId="5ECCC16F" w14:textId="145D32D3">
      <w:r>
        <w:rPr>
          <w:bCs/>
        </w:rPr>
        <w:t>Information collection</w:t>
      </w:r>
      <w:r w:rsidRPr="00A310D2" w:rsidR="00983065">
        <w:rPr>
          <w:bCs/>
        </w:rPr>
        <w:t xml:space="preserve"> is scheduled to take place on October 29 and October 30. </w:t>
      </w:r>
      <w:r w:rsidR="00474487">
        <w:rPr>
          <w:bCs/>
        </w:rPr>
        <w:t xml:space="preserve">Information collected </w:t>
      </w:r>
      <w:r w:rsidR="00C01AB1">
        <w:rPr>
          <w:bCs/>
        </w:rPr>
        <w:t>through this generic request</w:t>
      </w:r>
      <w:r w:rsidR="00474487">
        <w:rPr>
          <w:bCs/>
        </w:rPr>
        <w:t xml:space="preserve"> will be used to inform </w:t>
      </w:r>
      <w:r w:rsidR="00C01AB1">
        <w:rPr>
          <w:bCs/>
        </w:rPr>
        <w:t>OPRE</w:t>
      </w:r>
      <w:r w:rsidR="00474487">
        <w:rPr>
          <w:bCs/>
        </w:rPr>
        <w:t xml:space="preserve">’s activities related </w:t>
      </w:r>
      <w:r>
        <w:rPr>
          <w:bCs/>
        </w:rPr>
        <w:t xml:space="preserve">to </w:t>
      </w:r>
      <w:r w:rsidR="004E4DFB">
        <w:t>a</w:t>
      </w:r>
      <w:r w:rsidR="00C01AB1">
        <w:t xml:space="preserve"> research agenda focused on AANHPI children and families</w:t>
      </w:r>
      <w:r w:rsidR="004E4DFB">
        <w:t>.</w:t>
      </w:r>
      <w:r>
        <w:t xml:space="preserve"> A summary of the meeting and key takeaways </w:t>
      </w:r>
      <w:r w:rsidR="00007BCF">
        <w:t>may</w:t>
      </w:r>
      <w:r w:rsidR="00EE4F57">
        <w:t xml:space="preserve"> be shared </w:t>
      </w:r>
      <w:r w:rsidR="00007BCF">
        <w:t>to the public</w:t>
      </w:r>
      <w:r w:rsidR="00995998">
        <w:t xml:space="preserve">. </w:t>
      </w:r>
    </w:p>
    <w:p w:rsidR="00983065" w:rsidRPr="00A310D2" w:rsidP="008F570D" w14:paraId="5854FBCB" w14:textId="77777777">
      <w:pPr>
        <w:rPr>
          <w:b/>
        </w:rPr>
      </w:pPr>
    </w:p>
    <w:p w:rsidR="002338AC" w:rsidRPr="00A310D2" w:rsidP="008F570D" w14:paraId="5D35D3D0" w14:textId="77777777">
      <w:pPr>
        <w:rPr>
          <w:b/>
        </w:rPr>
      </w:pPr>
    </w:p>
    <w:p w:rsidR="00945CD6" w:rsidRPr="00A310D2" w:rsidP="008F570D" w14:paraId="750BBE88" w14:textId="77777777">
      <w:pPr>
        <w:spacing w:after="120"/>
        <w:rPr>
          <w:b/>
        </w:rPr>
      </w:pPr>
      <w:r w:rsidRPr="00A310D2">
        <w:rPr>
          <w:b/>
        </w:rPr>
        <w:t xml:space="preserve">A17. </w:t>
      </w:r>
      <w:r w:rsidRPr="00A310D2">
        <w:rPr>
          <w:b/>
        </w:rPr>
        <w:t>Reasons Not to Display OMB Expiration Date</w:t>
      </w:r>
    </w:p>
    <w:p w:rsidR="00D90EF6" w:rsidRPr="00A310D2" w:rsidP="008F570D" w14:paraId="5E995DCB" w14:textId="33F120A8">
      <w:r w:rsidRPr="00A310D2">
        <w:t>Not applicable.</w:t>
      </w:r>
    </w:p>
    <w:p w:rsidR="005046F0" w:rsidRPr="00A310D2" w:rsidP="008F570D" w14:paraId="3CB00E49" w14:textId="77777777">
      <w:pPr>
        <w:ind w:left="360"/>
      </w:pPr>
    </w:p>
    <w:p w:rsidR="002338AC" w:rsidRPr="00A310D2" w:rsidP="008F570D" w14:paraId="4920E2AE" w14:textId="77777777">
      <w:pPr>
        <w:ind w:left="360"/>
      </w:pPr>
    </w:p>
    <w:p w:rsidR="00945CD6" w:rsidRPr="00A310D2" w:rsidP="008F570D" w14:paraId="0DA51717" w14:textId="77777777">
      <w:pPr>
        <w:spacing w:after="120"/>
        <w:rPr>
          <w:b/>
        </w:rPr>
      </w:pPr>
      <w:r w:rsidRPr="00A310D2">
        <w:rPr>
          <w:b/>
        </w:rPr>
        <w:t>A18.</w:t>
      </w:r>
      <w:r w:rsidRPr="00A310D2" w:rsidR="000B5EA8">
        <w:rPr>
          <w:b/>
        </w:rPr>
        <w:t xml:space="preserve"> Exceptions to Certification for Paperwork Reduction Act Submissions</w:t>
      </w:r>
    </w:p>
    <w:p w:rsidR="00D90EF6" w:rsidRPr="00A310D2" w:rsidP="008F570D" w14:paraId="117373B9" w14:textId="77777777">
      <w:r w:rsidRPr="00A310D2">
        <w:t>No exceptions are necessary for this information collection.</w:t>
      </w:r>
      <w:r w:rsidRPr="00A310D2" w:rsidR="000B5EA8">
        <w:tab/>
      </w:r>
    </w:p>
    <w:p w:rsidR="002F65C2" w:rsidRPr="00A310D2" w:rsidP="008F570D" w14:paraId="0D87CF93" w14:textId="0FF7E05C"/>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6256" w14:paraId="52E317F0" w14:textId="77777777">
      <w:r>
        <w:separator/>
      </w:r>
    </w:p>
  </w:footnote>
  <w:footnote w:type="continuationSeparator" w:id="1">
    <w:p w:rsidR="00936256" w14:paraId="23EC0E1E" w14:textId="77777777">
      <w:r>
        <w:continuationSeparator/>
      </w:r>
    </w:p>
  </w:footnote>
  <w:footnote w:type="continuationNotice" w:id="2">
    <w:p w:rsidR="00936256" w14:paraId="6C8444C0" w14:textId="77777777"/>
  </w:footnote>
  <w:footnote w:id="3">
    <w:p w:rsidR="00355BA7" w:rsidP="00355BA7" w14:paraId="538A05C8" w14:textId="77777777">
      <w:pPr>
        <w:pStyle w:val="FootnoteText"/>
      </w:pPr>
      <w:r>
        <w:rPr>
          <w:rStyle w:val="FootnoteReference"/>
        </w:rPr>
        <w:footnoteRef/>
      </w:r>
      <w:r>
        <w:t xml:space="preserve"> U.S. Department of Health and Human Services, Office of the Assistant Secretary for Planning and Evaluation. “Recruiting Individuals with Lived Experience,” by Jasmine Forde, Sonia Alves, Lauren Amos, Ryan Ruggiero, Annalisa </w:t>
      </w:r>
      <w:r>
        <w:t>Mastri</w:t>
      </w:r>
      <w:r>
        <w:t xml:space="preserve">, Kate Bradley, </w:t>
      </w:r>
      <w:r>
        <w:t>Nkemdiri</w:t>
      </w:r>
      <w:r>
        <w:t xml:space="preserve"> Wheatley, </w:t>
      </w:r>
      <w:r>
        <w:t>Tonyka</w:t>
      </w:r>
      <w:r>
        <w:t xml:space="preserve"> McKinney, Dana Jean-Baptiste, Jeremiah </w:t>
      </w:r>
      <w:r>
        <w:t>Donier</w:t>
      </w:r>
      <w:r>
        <w:t xml:space="preserve">, Madison Sandoval-Lunn, </w:t>
      </w:r>
      <w:r>
        <w:t>Wilnisha</w:t>
      </w:r>
      <w:r>
        <w:t xml:space="preserve"> Sutton, Roger De Leon, </w:t>
      </w:r>
      <w:r>
        <w:t>Kataney</w:t>
      </w:r>
      <w:r>
        <w:t xml:space="preserve"> Prior, Laura Erickson, Amanda Benton, and the HHS staff peer learning community on equitably engaging people with lived experience. Washington, District of Columbia: 2022. https://aspe.hhs.gov/reports/recruiting-individuals-lived-experience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C13D0C8"/>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7498CE"/>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E34C9E"/>
    <w:multiLevelType w:val="multilevel"/>
    <w:tmpl w:val="35C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007E75"/>
    <w:multiLevelType w:val="multilevel"/>
    <w:tmpl w:val="4978F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F03DEE"/>
    <w:multiLevelType w:val="hybridMultilevel"/>
    <w:tmpl w:val="F796D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7">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7"/>
  </w:num>
  <w:num w:numId="2" w16cid:durableId="1567910421">
    <w:abstractNumId w:val="3"/>
  </w:num>
  <w:num w:numId="3" w16cid:durableId="712534353">
    <w:abstractNumId w:val="20"/>
  </w:num>
  <w:num w:numId="4" w16cid:durableId="269044996">
    <w:abstractNumId w:val="12"/>
  </w:num>
  <w:num w:numId="5" w16cid:durableId="1200581488">
    <w:abstractNumId w:val="14"/>
  </w:num>
  <w:num w:numId="6" w16cid:durableId="388260440">
    <w:abstractNumId w:val="23"/>
  </w:num>
  <w:num w:numId="7" w16cid:durableId="1104567867">
    <w:abstractNumId w:val="21"/>
  </w:num>
  <w:num w:numId="8" w16cid:durableId="1887570798">
    <w:abstractNumId w:val="15"/>
  </w:num>
  <w:num w:numId="9" w16cid:durableId="55131320">
    <w:abstractNumId w:val="17"/>
  </w:num>
  <w:num w:numId="10" w16cid:durableId="277875963">
    <w:abstractNumId w:val="4"/>
  </w:num>
  <w:num w:numId="11" w16cid:durableId="49308932">
    <w:abstractNumId w:val="2"/>
  </w:num>
  <w:num w:numId="12" w16cid:durableId="996569973">
    <w:abstractNumId w:val="6"/>
  </w:num>
  <w:num w:numId="13" w16cid:durableId="377781517">
    <w:abstractNumId w:val="24"/>
  </w:num>
  <w:num w:numId="14" w16cid:durableId="1999259422">
    <w:abstractNumId w:val="9"/>
  </w:num>
  <w:num w:numId="15" w16cid:durableId="2123186585">
    <w:abstractNumId w:val="10"/>
  </w:num>
  <w:num w:numId="16" w16cid:durableId="1885554102">
    <w:abstractNumId w:val="29"/>
  </w:num>
  <w:num w:numId="17" w16cid:durableId="1259868116">
    <w:abstractNumId w:val="30"/>
  </w:num>
  <w:num w:numId="18" w16cid:durableId="767820125">
    <w:abstractNumId w:val="26"/>
  </w:num>
  <w:num w:numId="19" w16cid:durableId="805853713">
    <w:abstractNumId w:val="25"/>
  </w:num>
  <w:num w:numId="20" w16cid:durableId="706681998">
    <w:abstractNumId w:val="18"/>
  </w:num>
  <w:num w:numId="21" w16cid:durableId="1822193019">
    <w:abstractNumId w:val="27"/>
  </w:num>
  <w:num w:numId="22" w16cid:durableId="579605451">
    <w:abstractNumId w:val="1"/>
  </w:num>
  <w:num w:numId="23" w16cid:durableId="1497695521">
    <w:abstractNumId w:val="28"/>
  </w:num>
  <w:num w:numId="24" w16cid:durableId="229005983">
    <w:abstractNumId w:val="22"/>
  </w:num>
  <w:num w:numId="25" w16cid:durableId="1697996643">
    <w:abstractNumId w:val="11"/>
  </w:num>
  <w:num w:numId="26" w16cid:durableId="1611739545">
    <w:abstractNumId w:val="16"/>
  </w:num>
  <w:num w:numId="27" w16cid:durableId="1266423997">
    <w:abstractNumId w:val="8"/>
  </w:num>
  <w:num w:numId="28" w16cid:durableId="47343800">
    <w:abstractNumId w:val="0"/>
  </w:num>
  <w:num w:numId="29" w16cid:durableId="2091347587">
    <w:abstractNumId w:val="5"/>
  </w:num>
  <w:num w:numId="30" w16cid:durableId="348145895">
    <w:abstractNumId w:val="13"/>
  </w:num>
  <w:num w:numId="31" w16cid:durableId="19414469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6CE6"/>
    <w:rsid w:val="00007BCF"/>
    <w:rsid w:val="00033A1A"/>
    <w:rsid w:val="000431B8"/>
    <w:rsid w:val="00053CE8"/>
    <w:rsid w:val="00056EC4"/>
    <w:rsid w:val="00073287"/>
    <w:rsid w:val="00085D3F"/>
    <w:rsid w:val="0008643E"/>
    <w:rsid w:val="00091C59"/>
    <w:rsid w:val="000964A6"/>
    <w:rsid w:val="000B5EA8"/>
    <w:rsid w:val="000C5F09"/>
    <w:rsid w:val="000D2A5C"/>
    <w:rsid w:val="000D53DF"/>
    <w:rsid w:val="00102EA1"/>
    <w:rsid w:val="001140AB"/>
    <w:rsid w:val="0012338C"/>
    <w:rsid w:val="00124EBF"/>
    <w:rsid w:val="00130457"/>
    <w:rsid w:val="0016012E"/>
    <w:rsid w:val="001703DA"/>
    <w:rsid w:val="00171FF1"/>
    <w:rsid w:val="00183C0F"/>
    <w:rsid w:val="001A25CE"/>
    <w:rsid w:val="001A5AF9"/>
    <w:rsid w:val="001B35B8"/>
    <w:rsid w:val="001C1E43"/>
    <w:rsid w:val="001C4D60"/>
    <w:rsid w:val="001D3577"/>
    <w:rsid w:val="001D749C"/>
    <w:rsid w:val="001E1647"/>
    <w:rsid w:val="001E3D43"/>
    <w:rsid w:val="001E5A02"/>
    <w:rsid w:val="001E6E21"/>
    <w:rsid w:val="0020382F"/>
    <w:rsid w:val="00205551"/>
    <w:rsid w:val="00206FF7"/>
    <w:rsid w:val="0020721C"/>
    <w:rsid w:val="002231FA"/>
    <w:rsid w:val="00224E13"/>
    <w:rsid w:val="00225634"/>
    <w:rsid w:val="0023386D"/>
    <w:rsid w:val="002338AC"/>
    <w:rsid w:val="00234E8D"/>
    <w:rsid w:val="00235A6D"/>
    <w:rsid w:val="002408DE"/>
    <w:rsid w:val="0025173C"/>
    <w:rsid w:val="00253148"/>
    <w:rsid w:val="00264539"/>
    <w:rsid w:val="00283FD7"/>
    <w:rsid w:val="00291B43"/>
    <w:rsid w:val="00291DF4"/>
    <w:rsid w:val="00292B70"/>
    <w:rsid w:val="002A1000"/>
    <w:rsid w:val="002A1F68"/>
    <w:rsid w:val="002A319B"/>
    <w:rsid w:val="002B4DBE"/>
    <w:rsid w:val="002C4F75"/>
    <w:rsid w:val="002C6A93"/>
    <w:rsid w:val="002D1F88"/>
    <w:rsid w:val="002D4769"/>
    <w:rsid w:val="002D4AFE"/>
    <w:rsid w:val="002D4B0A"/>
    <w:rsid w:val="002E5AFF"/>
    <w:rsid w:val="002F65C2"/>
    <w:rsid w:val="00302F63"/>
    <w:rsid w:val="00312CA2"/>
    <w:rsid w:val="003277CF"/>
    <w:rsid w:val="00327B2E"/>
    <w:rsid w:val="0033072C"/>
    <w:rsid w:val="00330EBD"/>
    <w:rsid w:val="00355BA7"/>
    <w:rsid w:val="00360CB5"/>
    <w:rsid w:val="003745AB"/>
    <w:rsid w:val="00374DAB"/>
    <w:rsid w:val="0038291A"/>
    <w:rsid w:val="00383805"/>
    <w:rsid w:val="003A0E9E"/>
    <w:rsid w:val="003C0934"/>
    <w:rsid w:val="003D0212"/>
    <w:rsid w:val="003D5231"/>
    <w:rsid w:val="003E56A6"/>
    <w:rsid w:val="003E6B7D"/>
    <w:rsid w:val="00402A9B"/>
    <w:rsid w:val="00411C5F"/>
    <w:rsid w:val="004222F8"/>
    <w:rsid w:val="00422C1B"/>
    <w:rsid w:val="00435CF9"/>
    <w:rsid w:val="00436F5E"/>
    <w:rsid w:val="00447B09"/>
    <w:rsid w:val="004522FF"/>
    <w:rsid w:val="004554B1"/>
    <w:rsid w:val="00456E2F"/>
    <w:rsid w:val="0046434A"/>
    <w:rsid w:val="00464518"/>
    <w:rsid w:val="0047423F"/>
    <w:rsid w:val="00474487"/>
    <w:rsid w:val="00477391"/>
    <w:rsid w:val="00482DDE"/>
    <w:rsid w:val="00483AEB"/>
    <w:rsid w:val="00485D21"/>
    <w:rsid w:val="00486280"/>
    <w:rsid w:val="004A230B"/>
    <w:rsid w:val="004A44DD"/>
    <w:rsid w:val="004B587E"/>
    <w:rsid w:val="004C2ADD"/>
    <w:rsid w:val="004D6CA9"/>
    <w:rsid w:val="004D76F1"/>
    <w:rsid w:val="004D76FA"/>
    <w:rsid w:val="004E4DFB"/>
    <w:rsid w:val="004F4E1D"/>
    <w:rsid w:val="005046F0"/>
    <w:rsid w:val="00512B70"/>
    <w:rsid w:val="00520737"/>
    <w:rsid w:val="00525C59"/>
    <w:rsid w:val="005353B7"/>
    <w:rsid w:val="00537EFA"/>
    <w:rsid w:val="00541024"/>
    <w:rsid w:val="00542413"/>
    <w:rsid w:val="005453D6"/>
    <w:rsid w:val="005468BA"/>
    <w:rsid w:val="0055257C"/>
    <w:rsid w:val="005562B9"/>
    <w:rsid w:val="00576C36"/>
    <w:rsid w:val="00581101"/>
    <w:rsid w:val="00583FDD"/>
    <w:rsid w:val="00591502"/>
    <w:rsid w:val="005A0510"/>
    <w:rsid w:val="005A64C5"/>
    <w:rsid w:val="005B0B9A"/>
    <w:rsid w:val="005C0089"/>
    <w:rsid w:val="005D40FC"/>
    <w:rsid w:val="005F2061"/>
    <w:rsid w:val="006010CA"/>
    <w:rsid w:val="00607351"/>
    <w:rsid w:val="006228E1"/>
    <w:rsid w:val="00634BEB"/>
    <w:rsid w:val="00643505"/>
    <w:rsid w:val="006437B5"/>
    <w:rsid w:val="00647FB6"/>
    <w:rsid w:val="00651DBA"/>
    <w:rsid w:val="00657424"/>
    <w:rsid w:val="00676F08"/>
    <w:rsid w:val="00680FFE"/>
    <w:rsid w:val="00697D51"/>
    <w:rsid w:val="006A5D67"/>
    <w:rsid w:val="006A7EFA"/>
    <w:rsid w:val="006B6845"/>
    <w:rsid w:val="006C0DE9"/>
    <w:rsid w:val="006C2EBC"/>
    <w:rsid w:val="006C3485"/>
    <w:rsid w:val="006D2637"/>
    <w:rsid w:val="006D2C3A"/>
    <w:rsid w:val="00701045"/>
    <w:rsid w:val="00701B2F"/>
    <w:rsid w:val="007107F5"/>
    <w:rsid w:val="00711BC5"/>
    <w:rsid w:val="00712648"/>
    <w:rsid w:val="0072204D"/>
    <w:rsid w:val="0072294E"/>
    <w:rsid w:val="007250A3"/>
    <w:rsid w:val="00725B10"/>
    <w:rsid w:val="00736F1D"/>
    <w:rsid w:val="0075460B"/>
    <w:rsid w:val="0076365F"/>
    <w:rsid w:val="007669F3"/>
    <w:rsid w:val="00772457"/>
    <w:rsid w:val="0077320B"/>
    <w:rsid w:val="0077465C"/>
    <w:rsid w:val="007752D4"/>
    <w:rsid w:val="00784137"/>
    <w:rsid w:val="00790346"/>
    <w:rsid w:val="007A075B"/>
    <w:rsid w:val="007A2D50"/>
    <w:rsid w:val="007A4A72"/>
    <w:rsid w:val="007B21DD"/>
    <w:rsid w:val="007B7D01"/>
    <w:rsid w:val="007D295D"/>
    <w:rsid w:val="00801BC3"/>
    <w:rsid w:val="00806712"/>
    <w:rsid w:val="0081677C"/>
    <w:rsid w:val="00852401"/>
    <w:rsid w:val="008672AF"/>
    <w:rsid w:val="0087234E"/>
    <w:rsid w:val="00872EA6"/>
    <w:rsid w:val="00877346"/>
    <w:rsid w:val="00880430"/>
    <w:rsid w:val="008B00FB"/>
    <w:rsid w:val="008B6132"/>
    <w:rsid w:val="008B7F2C"/>
    <w:rsid w:val="008C6A6B"/>
    <w:rsid w:val="008C78B4"/>
    <w:rsid w:val="008D5600"/>
    <w:rsid w:val="008E57A0"/>
    <w:rsid w:val="008F10A2"/>
    <w:rsid w:val="008F570D"/>
    <w:rsid w:val="008F5FBC"/>
    <w:rsid w:val="009109A0"/>
    <w:rsid w:val="0092020E"/>
    <w:rsid w:val="00930380"/>
    <w:rsid w:val="00932A5E"/>
    <w:rsid w:val="00932D71"/>
    <w:rsid w:val="00934C0D"/>
    <w:rsid w:val="00934EAE"/>
    <w:rsid w:val="00936256"/>
    <w:rsid w:val="00945CD6"/>
    <w:rsid w:val="0095345B"/>
    <w:rsid w:val="00957950"/>
    <w:rsid w:val="00957AE3"/>
    <w:rsid w:val="0096168C"/>
    <w:rsid w:val="009648CE"/>
    <w:rsid w:val="009718E3"/>
    <w:rsid w:val="00983065"/>
    <w:rsid w:val="00984BBF"/>
    <w:rsid w:val="00984CA2"/>
    <w:rsid w:val="00995998"/>
    <w:rsid w:val="009A7C1C"/>
    <w:rsid w:val="009B1638"/>
    <w:rsid w:val="009D0FF6"/>
    <w:rsid w:val="009D47D2"/>
    <w:rsid w:val="009E28C8"/>
    <w:rsid w:val="009F7B16"/>
    <w:rsid w:val="00A020E8"/>
    <w:rsid w:val="00A05FA2"/>
    <w:rsid w:val="00A26FB0"/>
    <w:rsid w:val="00A310D2"/>
    <w:rsid w:val="00A35B0D"/>
    <w:rsid w:val="00A35E23"/>
    <w:rsid w:val="00A412C5"/>
    <w:rsid w:val="00A44209"/>
    <w:rsid w:val="00A9696A"/>
    <w:rsid w:val="00AA29C0"/>
    <w:rsid w:val="00AA5112"/>
    <w:rsid w:val="00AA6E9B"/>
    <w:rsid w:val="00AB39C3"/>
    <w:rsid w:val="00AC5DFD"/>
    <w:rsid w:val="00AD75B9"/>
    <w:rsid w:val="00AE11D3"/>
    <w:rsid w:val="00B01A61"/>
    <w:rsid w:val="00B11097"/>
    <w:rsid w:val="00B13694"/>
    <w:rsid w:val="00B14396"/>
    <w:rsid w:val="00B41619"/>
    <w:rsid w:val="00B42B30"/>
    <w:rsid w:val="00B53FA6"/>
    <w:rsid w:val="00B55CD0"/>
    <w:rsid w:val="00B63AA8"/>
    <w:rsid w:val="00B66874"/>
    <w:rsid w:val="00B73ACF"/>
    <w:rsid w:val="00B75D09"/>
    <w:rsid w:val="00B829F7"/>
    <w:rsid w:val="00B84049"/>
    <w:rsid w:val="00B84547"/>
    <w:rsid w:val="00B91D97"/>
    <w:rsid w:val="00BA5C0C"/>
    <w:rsid w:val="00BB13A6"/>
    <w:rsid w:val="00BC6CF1"/>
    <w:rsid w:val="00BD4CFB"/>
    <w:rsid w:val="00BE0F9E"/>
    <w:rsid w:val="00BE21E4"/>
    <w:rsid w:val="00BE7952"/>
    <w:rsid w:val="00BF68D5"/>
    <w:rsid w:val="00C01AB1"/>
    <w:rsid w:val="00C12B95"/>
    <w:rsid w:val="00C1674B"/>
    <w:rsid w:val="00C30155"/>
    <w:rsid w:val="00C311F1"/>
    <w:rsid w:val="00C313AE"/>
    <w:rsid w:val="00C56EA9"/>
    <w:rsid w:val="00C6752D"/>
    <w:rsid w:val="00C72E34"/>
    <w:rsid w:val="00C774CD"/>
    <w:rsid w:val="00C81968"/>
    <w:rsid w:val="00CA32B7"/>
    <w:rsid w:val="00CB2ED6"/>
    <w:rsid w:val="00CC1F99"/>
    <w:rsid w:val="00CC2CD1"/>
    <w:rsid w:val="00CC31FC"/>
    <w:rsid w:val="00CE6EFF"/>
    <w:rsid w:val="00D012A6"/>
    <w:rsid w:val="00D0149D"/>
    <w:rsid w:val="00D06D5F"/>
    <w:rsid w:val="00D277B1"/>
    <w:rsid w:val="00D44EA5"/>
    <w:rsid w:val="00D519D9"/>
    <w:rsid w:val="00D74CE7"/>
    <w:rsid w:val="00D90EF6"/>
    <w:rsid w:val="00D9490E"/>
    <w:rsid w:val="00D951E5"/>
    <w:rsid w:val="00D964BC"/>
    <w:rsid w:val="00DA151C"/>
    <w:rsid w:val="00DB36AD"/>
    <w:rsid w:val="00DB63DD"/>
    <w:rsid w:val="00DC0C51"/>
    <w:rsid w:val="00E00860"/>
    <w:rsid w:val="00E05A0A"/>
    <w:rsid w:val="00E41D46"/>
    <w:rsid w:val="00E51E80"/>
    <w:rsid w:val="00E662C6"/>
    <w:rsid w:val="00E72E9A"/>
    <w:rsid w:val="00E851AA"/>
    <w:rsid w:val="00E86960"/>
    <w:rsid w:val="00E86DB9"/>
    <w:rsid w:val="00E96159"/>
    <w:rsid w:val="00EA12DE"/>
    <w:rsid w:val="00EB2743"/>
    <w:rsid w:val="00EB5B54"/>
    <w:rsid w:val="00EB7FF1"/>
    <w:rsid w:val="00EC329F"/>
    <w:rsid w:val="00EE4F57"/>
    <w:rsid w:val="00EF67F4"/>
    <w:rsid w:val="00F07EBD"/>
    <w:rsid w:val="00F26CB5"/>
    <w:rsid w:val="00F27569"/>
    <w:rsid w:val="00F44F88"/>
    <w:rsid w:val="00F514D1"/>
    <w:rsid w:val="00F61252"/>
    <w:rsid w:val="00F61B45"/>
    <w:rsid w:val="00F651E0"/>
    <w:rsid w:val="00F73374"/>
    <w:rsid w:val="00F80D4C"/>
    <w:rsid w:val="00F8182D"/>
    <w:rsid w:val="00F9048F"/>
    <w:rsid w:val="00FA05FE"/>
    <w:rsid w:val="00FC04C5"/>
    <w:rsid w:val="00FC196A"/>
    <w:rsid w:val="00FD1B70"/>
    <w:rsid w:val="00FD7600"/>
    <w:rsid w:val="00FE74F5"/>
    <w:rsid w:val="00FF3048"/>
    <w:rsid w:val="0EE2C43D"/>
    <w:rsid w:val="500A0E5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4E9BF28B-EF59-422C-92F9-FB097610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3D6"/>
    <w:rPr>
      <w:sz w:val="24"/>
      <w:szCs w:val="24"/>
    </w:rPr>
  </w:style>
  <w:style w:type="paragraph" w:customStyle="1" w:styleId="pf1">
    <w:name w:val="pf1"/>
    <w:basedOn w:val="Normal"/>
    <w:rsid w:val="00983065"/>
    <w:pPr>
      <w:spacing w:before="100" w:beforeAutospacing="1" w:after="100" w:afterAutospacing="1"/>
      <w:ind w:left="360"/>
    </w:pPr>
    <w:rPr>
      <w:lang w:eastAsia="ko-KR"/>
    </w:rPr>
  </w:style>
  <w:style w:type="paragraph" w:customStyle="1" w:styleId="pf0">
    <w:name w:val="pf0"/>
    <w:basedOn w:val="Normal"/>
    <w:rsid w:val="00983065"/>
    <w:pPr>
      <w:spacing w:before="100" w:beforeAutospacing="1" w:after="100" w:afterAutospacing="1"/>
    </w:pPr>
    <w:rPr>
      <w:lang w:eastAsia="ko-KR"/>
    </w:rPr>
  </w:style>
  <w:style w:type="character" w:customStyle="1" w:styleId="cf01">
    <w:name w:val="cf01"/>
    <w:basedOn w:val="DefaultParagraphFont"/>
    <w:rsid w:val="00983065"/>
    <w:rPr>
      <w:rFonts w:ascii="Segoe UI" w:hAnsi="Segoe UI" w:cs="Segoe UI" w:hint="default"/>
      <w:sz w:val="18"/>
      <w:szCs w:val="18"/>
    </w:rPr>
  </w:style>
  <w:style w:type="character" w:customStyle="1" w:styleId="cf11">
    <w:name w:val="cf11"/>
    <w:basedOn w:val="DefaultParagraphFont"/>
    <w:rsid w:val="00983065"/>
    <w:rPr>
      <w:rFonts w:ascii="Segoe UI" w:hAnsi="Segoe UI" w:cs="Segoe UI" w:hint="default"/>
      <w:i/>
      <w:iCs/>
      <w:sz w:val="18"/>
      <w:szCs w:val="18"/>
    </w:rPr>
  </w:style>
  <w:style w:type="character" w:customStyle="1" w:styleId="cf21">
    <w:name w:val="cf21"/>
    <w:basedOn w:val="DefaultParagraphFont"/>
    <w:rsid w:val="00983065"/>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015B758B6F04198FFE51E3CF9CA7E" ma:contentTypeVersion="6" ma:contentTypeDescription="Create a new document." ma:contentTypeScope="" ma:versionID="6440bda3033795b8e454e25f76255d95">
  <xsd:schema xmlns:xsd="http://www.w3.org/2001/XMLSchema" xmlns:xs="http://www.w3.org/2001/XMLSchema" xmlns:p="http://schemas.microsoft.com/office/2006/metadata/properties" xmlns:ns2="89fe2885-bb79-42fc-8b2b-9fab2044b70b" xmlns:ns3="4dc3fc27-3383-4474-b734-4bed17af6cfb" targetNamespace="http://schemas.microsoft.com/office/2006/metadata/properties" ma:root="true" ma:fieldsID="eab230b1def1674259da49dafed5bffe" ns2:_="" ns3:_="">
    <xsd:import namespace="89fe2885-bb79-42fc-8b2b-9fab2044b70b"/>
    <xsd:import namespace="4dc3fc27-3383-4474-b734-4bed17af6c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e2885-bb79-42fc-8b2b-9fab2044b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3fc27-3383-4474-b734-4bed17af6c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132EB-1993-46A4-AEC8-A2C6D6A10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e2885-bb79-42fc-8b2b-9fab2044b70b"/>
    <ds:schemaRef ds:uri="4dc3fc27-3383-4474-b734-4bed17af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2240</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2009-01-26T19:35:00Z</cp:lastPrinted>
  <dcterms:created xsi:type="dcterms:W3CDTF">2024-10-04T18:23:00Z</dcterms:created>
  <dcterms:modified xsi:type="dcterms:W3CDTF">2024-10-04T18:23:00Z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0x010100EB7015B758B6F04198FFE51E3CF9CA7E</vt:lpwstr>
  </property>
</Properties>
</file>