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C3103DC" w14:paraId="18028DD1" w14:textId="77777777">
      <w:pPr>
        <w:rPr>
          <w:b/>
          <w:bCs/>
        </w:rPr>
      </w:pPr>
    </w:p>
    <w:p w:rsidR="001960ED" w:rsidP="00D51337" w14:paraId="27456841" w14:textId="77777777">
      <w:pPr>
        <w:pStyle w:val="ReportCover-Title"/>
        <w:jc w:val="center"/>
        <w:rPr>
          <w:rFonts w:ascii="Arial" w:eastAsia="Arial Unicode MS" w:hAnsi="Arial" w:cs="Arial"/>
          <w:noProof/>
          <w:color w:val="auto"/>
        </w:rPr>
      </w:pPr>
    </w:p>
    <w:p w:rsidR="00B813DF" w:rsidP="00B813DF" w14:paraId="7E7989D7" w14:textId="77777777">
      <w:pPr>
        <w:pStyle w:val="ReportCover-Title"/>
        <w:jc w:val="center"/>
        <w:rPr>
          <w:rFonts w:ascii="Arial" w:eastAsia="Arial Unicode MS" w:hAnsi="Arial" w:cs="Arial"/>
          <w:noProof/>
          <w:color w:val="auto"/>
        </w:rPr>
      </w:pPr>
      <w:r w:rsidRPr="2527795C">
        <w:rPr>
          <w:rFonts w:ascii="Arial" w:eastAsia="Arial Unicode MS" w:hAnsi="Arial" w:cs="Arial"/>
          <w:noProof/>
          <w:color w:val="auto"/>
        </w:rPr>
        <w:t>Constituent Engagement Related to Use of AI</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1960ED" w:rsidRPr="0023386D" w:rsidP="001960ED" w14:paraId="262DF74D" w14:textId="77777777">
      <w:pPr>
        <w:pStyle w:val="ReportCover-Title"/>
        <w:jc w:val="center"/>
        <w:rPr>
          <w:rFonts w:ascii="Arial" w:hAnsi="Arial" w:cs="Arial"/>
          <w:color w:val="auto"/>
          <w:sz w:val="44"/>
          <w:szCs w:val="44"/>
        </w:rPr>
      </w:pPr>
      <w:r w:rsidRPr="0023386D">
        <w:rPr>
          <w:rFonts w:ascii="Arial" w:hAnsi="Arial" w:cs="Arial"/>
          <w:color w:val="auto"/>
          <w:sz w:val="44"/>
          <w:szCs w:val="44"/>
        </w:rPr>
        <w:t>Administration for Children and Families Generic for Engagement Efforts</w:t>
      </w:r>
    </w:p>
    <w:p w:rsidR="001960ED" w:rsidRPr="008F570D" w:rsidP="001960ED" w14:paraId="4C7517EB" w14:textId="77777777">
      <w:pPr>
        <w:pStyle w:val="ReportCover-Title"/>
        <w:jc w:val="center"/>
        <w:rPr>
          <w:rFonts w:ascii="Arial" w:hAnsi="Arial" w:cs="Arial"/>
          <w:color w:val="auto"/>
          <w:sz w:val="32"/>
          <w:szCs w:val="32"/>
        </w:rPr>
      </w:pPr>
    </w:p>
    <w:p w:rsidR="001960ED" w:rsidRPr="0023386D" w:rsidP="001960ED" w14:paraId="43236F22" w14:textId="77777777">
      <w:pPr>
        <w:pStyle w:val="ReportCover-Title"/>
        <w:jc w:val="center"/>
        <w:rPr>
          <w:rFonts w:ascii="Arial" w:hAnsi="Arial" w:cs="Arial"/>
          <w:color w:val="auto"/>
          <w:sz w:val="36"/>
          <w:szCs w:val="36"/>
        </w:rPr>
      </w:pPr>
      <w:r w:rsidRPr="0023386D">
        <w:rPr>
          <w:rFonts w:ascii="Arial" w:hAnsi="Arial" w:cs="Arial"/>
          <w:color w:val="auto"/>
          <w:sz w:val="36"/>
          <w:szCs w:val="36"/>
        </w:rPr>
        <w:t>0970 – 0630</w:t>
      </w:r>
    </w:p>
    <w:p w:rsidR="001960ED" w:rsidRPr="002C4F75" w:rsidP="001960ED" w14:paraId="416B403F" w14:textId="77777777">
      <w:pPr>
        <w:rPr>
          <w:rFonts w:ascii="Arial" w:hAnsi="Arial" w:cs="Arial"/>
        </w:rPr>
      </w:pPr>
    </w:p>
    <w:p w:rsidR="001960ED" w:rsidRPr="002C4F75" w:rsidP="001960ED" w14:paraId="4A8C8302" w14:textId="77777777">
      <w:pPr>
        <w:pStyle w:val="ReportCover-Date"/>
        <w:jc w:val="center"/>
        <w:rPr>
          <w:rFonts w:ascii="Arial" w:hAnsi="Arial" w:cs="Arial"/>
          <w:color w:val="auto"/>
        </w:rPr>
      </w:pPr>
    </w:p>
    <w:p w:rsidR="00D51337" w:rsidRPr="001960ED" w:rsidP="001960ED" w14:paraId="329074F6" w14:textId="44C272E6">
      <w:pPr>
        <w:jc w:val="center"/>
        <w:rPr>
          <w:rFonts w:ascii="Arial" w:hAnsi="Arial" w:cs="Arial"/>
          <w:b/>
          <w:bCs/>
          <w:sz w:val="40"/>
          <w:szCs w:val="40"/>
        </w:rPr>
      </w:pPr>
      <w:r w:rsidRPr="001960ED">
        <w:rPr>
          <w:rFonts w:ascii="Arial" w:hAnsi="Arial" w:cs="Arial"/>
          <w:b/>
          <w:bCs/>
          <w:sz w:val="40"/>
          <w:szCs w:val="40"/>
        </w:rPr>
        <w:t>Supporting Statement Part</w:t>
      </w:r>
      <w:r w:rsidRPr="001960ED">
        <w:rPr>
          <w:rFonts w:ascii="Arial" w:hAnsi="Arial" w:cs="Arial"/>
          <w:b/>
          <w:bCs/>
          <w:sz w:val="40"/>
          <w:szCs w:val="40"/>
        </w:rPr>
        <w:t xml:space="preserve"> </w:t>
      </w:r>
      <w:r w:rsidRPr="001960ED" w:rsidR="00E80588">
        <w:rPr>
          <w:rFonts w:ascii="Arial" w:hAnsi="Arial" w:cs="Arial"/>
          <w:b/>
          <w:bCs/>
          <w:sz w:val="40"/>
          <w:szCs w:val="40"/>
        </w:rPr>
        <w:t>B</w:t>
      </w:r>
    </w:p>
    <w:p w:rsidR="001960ED" w:rsidRPr="001960ED" w:rsidP="001960ED" w14:paraId="5C3517CB" w14:textId="0F8DC4CA">
      <w:pPr>
        <w:spacing w:after="840" w:line="260" w:lineRule="exact"/>
        <w:jc w:val="center"/>
        <w:rPr>
          <w:rFonts w:ascii="Arial" w:eastAsia="Times New Roman" w:hAnsi="Arial" w:cs="Arial"/>
          <w:b/>
          <w:sz w:val="24"/>
          <w:szCs w:val="20"/>
        </w:rPr>
      </w:pPr>
      <w:r>
        <w:rPr>
          <w:rFonts w:ascii="Arial" w:eastAsia="Times New Roman" w:hAnsi="Arial" w:cs="Arial"/>
          <w:b/>
          <w:sz w:val="24"/>
          <w:szCs w:val="20"/>
        </w:rPr>
        <w:t>Ju</w:t>
      </w:r>
      <w:r w:rsidR="00D24EC7">
        <w:rPr>
          <w:rFonts w:ascii="Arial" w:eastAsia="Times New Roman" w:hAnsi="Arial" w:cs="Arial"/>
          <w:b/>
          <w:sz w:val="24"/>
          <w:szCs w:val="20"/>
        </w:rPr>
        <w:t>ly</w:t>
      </w:r>
      <w:r>
        <w:rPr>
          <w:rFonts w:ascii="Arial" w:eastAsia="Times New Roman" w:hAnsi="Arial" w:cs="Arial"/>
          <w:b/>
          <w:sz w:val="24"/>
          <w:szCs w:val="20"/>
        </w:rPr>
        <w:t xml:space="preserve"> 2024</w:t>
      </w:r>
    </w:p>
    <w:p w:rsidR="001960ED" w:rsidRPr="001960ED" w:rsidP="001960ED" w14:paraId="7BDEB988" w14:textId="77777777">
      <w:pPr>
        <w:spacing w:after="0" w:line="240" w:lineRule="auto"/>
        <w:jc w:val="center"/>
        <w:rPr>
          <w:rFonts w:ascii="Arial" w:eastAsia="Times New Roman" w:hAnsi="Arial" w:cs="Arial"/>
          <w:sz w:val="24"/>
          <w:szCs w:val="24"/>
        </w:rPr>
      </w:pPr>
    </w:p>
    <w:p w:rsidR="001960ED" w:rsidRPr="001960ED" w:rsidP="001960ED" w14:paraId="2A80A11A" w14:textId="77777777">
      <w:pPr>
        <w:spacing w:after="0" w:line="240" w:lineRule="auto"/>
        <w:jc w:val="center"/>
        <w:rPr>
          <w:rFonts w:ascii="Arial" w:eastAsia="Times New Roman" w:hAnsi="Arial" w:cs="Arial"/>
          <w:sz w:val="24"/>
          <w:szCs w:val="24"/>
        </w:rPr>
      </w:pPr>
      <w:r w:rsidRPr="001960ED">
        <w:rPr>
          <w:rFonts w:ascii="Arial" w:eastAsia="Times New Roman" w:hAnsi="Arial" w:cs="Arial"/>
          <w:sz w:val="24"/>
          <w:szCs w:val="24"/>
        </w:rPr>
        <w:t>Submitted By:</w:t>
      </w:r>
    </w:p>
    <w:p w:rsidR="00B813DF" w:rsidP="00B813DF" w14:paraId="008CD6F4" w14:textId="77777777">
      <w:pPr>
        <w:spacing w:after="100" w:afterAutospacing="1" w:line="259" w:lineRule="auto"/>
        <w:contextualSpacing/>
        <w:jc w:val="center"/>
        <w:rPr>
          <w:rFonts w:ascii="Arial" w:hAnsi="Arial" w:cs="Arial"/>
        </w:rPr>
      </w:pPr>
      <w:r w:rsidRPr="2527795C">
        <w:rPr>
          <w:rFonts w:ascii="Arial" w:hAnsi="Arial" w:cs="Arial"/>
        </w:rPr>
        <w:t>Office of Planning, Research, and Evaluation</w:t>
      </w:r>
    </w:p>
    <w:p w:rsidR="001960ED" w:rsidRPr="00B813DF" w:rsidP="00B813DF" w14:paraId="5CE4C1EC" w14:textId="1E09FF1E">
      <w:pPr>
        <w:spacing w:after="100" w:afterAutospacing="1" w:line="259" w:lineRule="auto"/>
        <w:contextualSpacing/>
        <w:jc w:val="center"/>
        <w:rPr>
          <w:rFonts w:ascii="Arial" w:hAnsi="Arial" w:cs="Arial"/>
        </w:rPr>
      </w:pPr>
      <w:r w:rsidRPr="001960ED">
        <w:rPr>
          <w:rFonts w:ascii="Arial" w:eastAsia="Times New Roman" w:hAnsi="Arial" w:cs="Arial"/>
          <w:sz w:val="24"/>
          <w:szCs w:val="24"/>
        </w:rPr>
        <w:t xml:space="preserve">Administration for Children and Families </w:t>
      </w:r>
    </w:p>
    <w:p w:rsidR="001960ED" w:rsidRPr="001960ED" w:rsidP="00B813DF" w14:paraId="4EF052ED" w14:textId="77777777">
      <w:pPr>
        <w:spacing w:after="100" w:afterAutospacing="1" w:line="240" w:lineRule="auto"/>
        <w:contextualSpacing/>
        <w:jc w:val="center"/>
        <w:rPr>
          <w:rFonts w:ascii="Arial" w:eastAsia="Times New Roman" w:hAnsi="Arial" w:cs="Arial"/>
          <w:sz w:val="24"/>
          <w:szCs w:val="24"/>
        </w:rPr>
      </w:pPr>
      <w:r w:rsidRPr="001960ED">
        <w:rPr>
          <w:rFonts w:ascii="Arial" w:eastAsia="Times New Roman" w:hAnsi="Arial" w:cs="Arial"/>
          <w:sz w:val="24"/>
          <w:szCs w:val="24"/>
        </w:rPr>
        <w:t>U.S. Department of Health and Human Services</w:t>
      </w:r>
    </w:p>
    <w:p w:rsidR="001960ED" w:rsidRPr="001960ED" w:rsidP="001960ED" w14:paraId="74AA1FEB" w14:textId="77777777">
      <w:pPr>
        <w:spacing w:after="0" w:line="240" w:lineRule="auto"/>
        <w:jc w:val="center"/>
        <w:rPr>
          <w:rFonts w:ascii="Arial" w:eastAsia="Times New Roman" w:hAnsi="Arial" w:cs="Arial"/>
          <w:sz w:val="24"/>
          <w:szCs w:val="24"/>
        </w:rPr>
      </w:pPr>
    </w:p>
    <w:p w:rsidR="001960ED" w:rsidRPr="001960ED" w:rsidP="001960ED" w14:paraId="3D9761B3" w14:textId="77777777">
      <w:pPr>
        <w:spacing w:after="0" w:line="240" w:lineRule="auto"/>
        <w:jc w:val="center"/>
        <w:rPr>
          <w:rFonts w:ascii="Arial" w:eastAsia="Times New Roman" w:hAnsi="Arial" w:cs="Arial"/>
          <w:sz w:val="24"/>
          <w:szCs w:val="24"/>
        </w:rPr>
      </w:pPr>
      <w:r w:rsidRPr="001960ED">
        <w:rPr>
          <w:rFonts w:ascii="Arial" w:eastAsia="Times New Roman" w:hAnsi="Arial" w:cs="Arial"/>
          <w:sz w:val="24"/>
          <w:szCs w:val="24"/>
        </w:rPr>
        <w:t>4</w:t>
      </w:r>
      <w:r w:rsidRPr="001960ED">
        <w:rPr>
          <w:rFonts w:ascii="Arial" w:eastAsia="Times New Roman" w:hAnsi="Arial" w:cs="Arial"/>
          <w:sz w:val="24"/>
          <w:szCs w:val="24"/>
          <w:vertAlign w:val="superscript"/>
        </w:rPr>
        <w:t>th</w:t>
      </w:r>
      <w:r w:rsidRPr="001960ED">
        <w:rPr>
          <w:rFonts w:ascii="Arial" w:eastAsia="Times New Roman" w:hAnsi="Arial" w:cs="Arial"/>
          <w:sz w:val="24"/>
          <w:szCs w:val="24"/>
        </w:rPr>
        <w:t xml:space="preserve"> Floor, Mary E. Switzer Building</w:t>
      </w:r>
    </w:p>
    <w:p w:rsidR="001960ED" w:rsidRPr="001960ED" w:rsidP="001960ED" w14:paraId="738BD615" w14:textId="77777777">
      <w:pPr>
        <w:spacing w:after="0" w:line="240" w:lineRule="auto"/>
        <w:jc w:val="center"/>
        <w:rPr>
          <w:rFonts w:ascii="Arial" w:eastAsia="Times New Roman" w:hAnsi="Arial" w:cs="Arial"/>
          <w:sz w:val="24"/>
          <w:szCs w:val="24"/>
        </w:rPr>
      </w:pPr>
      <w:r w:rsidRPr="001960ED">
        <w:rPr>
          <w:rFonts w:ascii="Arial" w:eastAsia="Times New Roman" w:hAnsi="Arial" w:cs="Arial"/>
          <w:sz w:val="24"/>
          <w:szCs w:val="24"/>
        </w:rPr>
        <w:t>330 C Street, SW</w:t>
      </w:r>
    </w:p>
    <w:p w:rsidR="001960ED" w:rsidRPr="001960ED" w:rsidP="001960ED" w14:paraId="56A0DD76" w14:textId="77777777">
      <w:pPr>
        <w:spacing w:after="0" w:line="240" w:lineRule="auto"/>
        <w:jc w:val="center"/>
        <w:rPr>
          <w:rFonts w:ascii="Arial" w:eastAsia="Times New Roman" w:hAnsi="Arial" w:cs="Arial"/>
          <w:sz w:val="24"/>
          <w:szCs w:val="24"/>
        </w:rPr>
      </w:pPr>
      <w:r w:rsidRPr="001960ED">
        <w:rPr>
          <w:rFonts w:ascii="Arial" w:eastAsia="Times New Roman" w:hAnsi="Arial" w:cs="Arial"/>
          <w:sz w:val="24"/>
          <w:szCs w:val="24"/>
        </w:rPr>
        <w:t>Washington, D.C. 20201</w:t>
      </w:r>
    </w:p>
    <w:p w:rsidR="001960ED" w:rsidRPr="001960ED" w:rsidP="001960ED" w14:paraId="745CDF31" w14:textId="77777777">
      <w:pPr>
        <w:spacing w:after="0" w:line="240" w:lineRule="auto"/>
        <w:jc w:val="center"/>
        <w:rPr>
          <w:rFonts w:ascii="Arial" w:eastAsia="Times New Roman" w:hAnsi="Arial" w:cs="Arial"/>
          <w:sz w:val="24"/>
          <w:szCs w:val="24"/>
        </w:rPr>
      </w:pPr>
    </w:p>
    <w:p w:rsidR="001960ED" w:rsidRPr="001960ED" w:rsidP="001960ED" w14:paraId="29EB4726" w14:textId="77777777">
      <w:pPr>
        <w:spacing w:after="120" w:line="240" w:lineRule="auto"/>
        <w:rPr>
          <w:rFonts w:ascii="Times New Roman" w:eastAsia="Times New Roman" w:hAnsi="Times New Roman" w:cs="Times New Roman"/>
          <w:b/>
          <w:sz w:val="24"/>
          <w:szCs w:val="24"/>
        </w:rPr>
      </w:pPr>
    </w:p>
    <w:p w:rsidR="00D51337" w:rsidP="00D51337" w14:paraId="27872D1C" w14:textId="77777777">
      <w:pPr>
        <w:spacing w:after="0" w:line="240" w:lineRule="auto"/>
        <w:jc w:val="center"/>
        <w:rPr>
          <w:b/>
        </w:rPr>
      </w:pPr>
    </w:p>
    <w:p w:rsidR="001253F4" w:rsidRPr="00624DDC" w:rsidP="00624DDC" w14:paraId="71A43DA4" w14:textId="58A082C9">
      <w:pPr>
        <w:jc w:val="center"/>
        <w:rPr>
          <w:b/>
          <w:sz w:val="32"/>
          <w:szCs w:val="32"/>
        </w:rPr>
      </w:pPr>
      <w:r>
        <w:br w:type="page"/>
      </w:r>
    </w:p>
    <w:p w:rsidR="00EE38AF" w:rsidRPr="002E2E7A" w:rsidP="0C3103DC" w14:paraId="66C05F3B" w14:textId="6BFDD150">
      <w:pPr>
        <w:spacing w:after="120" w:line="240" w:lineRule="auto"/>
        <w:rPr>
          <w:b/>
          <w:bCs/>
        </w:rPr>
      </w:pPr>
      <w:r w:rsidRPr="0C3103DC">
        <w:rPr>
          <w:b/>
          <w:bCs/>
        </w:rPr>
        <w:t>Overview of Study Objectives</w:t>
      </w:r>
    </w:p>
    <w:p w:rsidR="00B813DF" w:rsidP="00B813DF" w14:paraId="41FB5E2B" w14:textId="79B91184">
      <w:r w:rsidRPr="00E74454">
        <w:t xml:space="preserve">The Administration for Children and Families (ACF) Office of Planning, Research, and Evaluation proposes to collect information to better understand human services field constituents’ wants and needs related to </w:t>
      </w:r>
      <w:r w:rsidR="003029B4">
        <w:t xml:space="preserve">the </w:t>
      </w:r>
      <w:r w:rsidRPr="00E74454">
        <w:t>use of artificial intelligence (AI), particularly relating to the administration of public benefits and services.</w:t>
      </w:r>
    </w:p>
    <w:p w:rsidR="00B813DF" w:rsidRPr="00E74454" w:rsidP="00B813DF" w14:paraId="377FBA55" w14:textId="77777777">
      <w:pPr>
        <w:spacing w:after="60"/>
      </w:pPr>
      <w:r w:rsidRPr="00E74454">
        <w:t xml:space="preserve">The primary purpose of this information collection is to obtain rapid ACF constituent input and feedback on prioritization efforts related to: </w:t>
      </w:r>
    </w:p>
    <w:p w:rsidR="00B813DF" w:rsidRPr="00E74454" w:rsidP="00B813DF" w14:paraId="3A1C19CF" w14:textId="77777777">
      <w:pPr>
        <w:pStyle w:val="ListParagraph"/>
        <w:numPr>
          <w:ilvl w:val="0"/>
          <w:numId w:val="36"/>
        </w:numPr>
        <w:spacing w:after="60" w:line="240" w:lineRule="auto"/>
        <w:contextualSpacing w:val="0"/>
      </w:pPr>
      <w:r w:rsidRPr="00E74454">
        <w:t xml:space="preserve">ACF’s position and response to HHS-level mandates on AI, including the following requirements from EO 14110: </w:t>
      </w:r>
    </w:p>
    <w:p w:rsidR="00B813DF" w:rsidRPr="00E74454" w:rsidP="00B813DF" w14:paraId="6316E640" w14:textId="77777777">
      <w:pPr>
        <w:pStyle w:val="ListParagraph"/>
        <w:numPr>
          <w:ilvl w:val="1"/>
          <w:numId w:val="36"/>
        </w:numPr>
        <w:spacing w:after="60" w:line="240" w:lineRule="auto"/>
        <w:contextualSpacing w:val="0"/>
      </w:pPr>
      <w:r w:rsidRPr="00E74454">
        <w:t>Identifying and prioritizing what guidance and support the human services field wants and needs related to use of AI, particularly relating to administration of public benefits and services per E.O 14110 Section 7.2(b)(</w:t>
      </w:r>
      <w:r w:rsidRPr="00E74454">
        <w:t>i</w:t>
      </w:r>
      <w:r w:rsidRPr="00E74454">
        <w:t>);</w:t>
      </w:r>
    </w:p>
    <w:p w:rsidR="00B813DF" w:rsidRPr="00E74454" w:rsidP="00B813DF" w14:paraId="008C0D1B" w14:textId="68081E4E">
      <w:pPr>
        <w:pStyle w:val="ListParagraph"/>
        <w:numPr>
          <w:ilvl w:val="1"/>
          <w:numId w:val="36"/>
        </w:numPr>
        <w:spacing w:after="60" w:line="240" w:lineRule="auto"/>
        <w:contextualSpacing w:val="0"/>
      </w:pPr>
      <w:r w:rsidRPr="00E74454">
        <w:t>Provid</w:t>
      </w:r>
      <w:r w:rsidR="00763CC7">
        <w:t>ing</w:t>
      </w:r>
      <w:r w:rsidRPr="00E74454">
        <w:t xml:space="preserve"> human service perspectives to an HHS strategic plan on AI, per E.O 14110 Section 8 (b)(</w:t>
      </w:r>
      <w:r w:rsidRPr="00E74454">
        <w:t>i</w:t>
      </w:r>
      <w:r w:rsidRPr="00E74454">
        <w:t>);</w:t>
      </w:r>
    </w:p>
    <w:p w:rsidR="00B813DF" w:rsidRPr="00E74454" w:rsidP="45D290A7" w14:paraId="17DF6ED9" w14:textId="5E36042F">
      <w:pPr>
        <w:pStyle w:val="ListParagraph"/>
        <w:numPr>
          <w:ilvl w:val="0"/>
          <w:numId w:val="36"/>
        </w:numPr>
        <w:spacing w:after="60" w:line="240" w:lineRule="auto"/>
      </w:pPr>
      <w:r>
        <w:t xml:space="preserve">Informing ACF's AI strategy and ongoing constituent engagement channels. </w:t>
      </w:r>
    </w:p>
    <w:p w:rsidR="00B813DF" w:rsidRPr="002F65C2" w:rsidP="003A617B" w14:paraId="71AC2A7C" w14:textId="77777777">
      <w:pPr>
        <w:spacing w:after="0"/>
      </w:pPr>
    </w:p>
    <w:p w:rsidR="00B813DF" w:rsidRPr="00E74454" w:rsidP="00B813DF" w14:paraId="31BCEA92" w14:textId="74E6D077">
      <w:r w:rsidRPr="00E74454">
        <w:t>The gathered information will be used to develop an internal memo synthesizing findings from constituent engagement. This memo will be used to inform ACF’s AI strategy and determine on which topics to issue guidance on the use of AI to ACF grantees.</w:t>
      </w:r>
    </w:p>
    <w:p w:rsidR="00861A1F" w:rsidP="44C0C9D1" w14:paraId="6B92DE60" w14:textId="39B44D0C">
      <w:pPr>
        <w:spacing w:after="0" w:line="240" w:lineRule="auto"/>
      </w:pPr>
      <w:r>
        <w:t xml:space="preserve">The </w:t>
      </w:r>
      <w:r w:rsidR="00883ECD">
        <w:t xml:space="preserve">three </w:t>
      </w:r>
      <w:r w:rsidR="00C8133E">
        <w:t xml:space="preserve">proposed instruments that will include minimal statistical analyses include the following: </w:t>
      </w:r>
      <w:r>
        <w:t xml:space="preserve"> </w:t>
      </w:r>
    </w:p>
    <w:p w:rsidR="00B813DF" w:rsidP="0C3103DC" w14:paraId="13716172" w14:textId="65C50A00">
      <w:pPr>
        <w:pStyle w:val="ListParagraph"/>
        <w:numPr>
          <w:ilvl w:val="0"/>
          <w:numId w:val="37"/>
        </w:numPr>
        <w:spacing w:after="0" w:line="240" w:lineRule="auto"/>
      </w:pPr>
      <w:r w:rsidRPr="0C3103DC">
        <w:t>Instrument 3: Survey of AI opinions</w:t>
      </w:r>
      <w:r w:rsidRPr="0C3103DC" w:rsidR="00117246">
        <w:t>—participants</w:t>
      </w:r>
    </w:p>
    <w:p w:rsidR="00117246" w:rsidP="0C3103DC" w14:paraId="5600798F" w14:textId="29353BB8">
      <w:pPr>
        <w:pStyle w:val="ListParagraph"/>
        <w:numPr>
          <w:ilvl w:val="0"/>
          <w:numId w:val="37"/>
        </w:numPr>
        <w:spacing w:after="0" w:line="240" w:lineRule="auto"/>
      </w:pPr>
      <w:r w:rsidRPr="0C3103DC">
        <w:t xml:space="preserve">Instrument 4: Survey of AI opinions—nonparticipants </w:t>
      </w:r>
    </w:p>
    <w:p w:rsidR="000C45F1" w:rsidRPr="00B813DF" w:rsidP="0C3103DC" w14:paraId="58713D67" w14:textId="08342EA3">
      <w:pPr>
        <w:pStyle w:val="ListParagraph"/>
        <w:numPr>
          <w:ilvl w:val="0"/>
          <w:numId w:val="37"/>
        </w:numPr>
        <w:spacing w:after="0" w:line="240" w:lineRule="auto"/>
      </w:pPr>
      <w:r w:rsidRPr="0C3103DC">
        <w:t xml:space="preserve">Instrument </w:t>
      </w:r>
      <w:r w:rsidRPr="0C3103DC" w:rsidR="00117246">
        <w:t>5</w:t>
      </w:r>
      <w:r w:rsidRPr="0C3103DC">
        <w:t>: Screener for participants</w:t>
      </w:r>
    </w:p>
    <w:p w:rsidR="00861A1F" w:rsidP="0C3103DC" w14:paraId="4D889052" w14:textId="77777777">
      <w:pPr>
        <w:spacing w:after="0" w:line="240" w:lineRule="auto"/>
        <w:rPr>
          <w:b/>
          <w:bCs/>
        </w:rPr>
      </w:pPr>
    </w:p>
    <w:p w:rsidR="00C8133E" w:rsidP="0C3103DC" w14:paraId="1C5FC15B" w14:textId="63528B7B">
      <w:pPr>
        <w:spacing w:after="0" w:line="240" w:lineRule="auto"/>
      </w:pPr>
      <w:r w:rsidRPr="0C3103DC">
        <w:t xml:space="preserve">As such, this document primarily focuses on these </w:t>
      </w:r>
      <w:r w:rsidRPr="0C3103DC" w:rsidR="00D31070">
        <w:t>three</w:t>
      </w:r>
      <w:r w:rsidRPr="0C3103DC">
        <w:t xml:space="preserve"> instruments with general descriptive information provided for the other two instruments</w:t>
      </w:r>
      <w:r w:rsidRPr="0C3103DC" w:rsidR="00D31070">
        <w:t>, which are protocols to support focus groups</w:t>
      </w:r>
      <w:r w:rsidRPr="0C3103DC">
        <w:t xml:space="preserve">. </w:t>
      </w:r>
    </w:p>
    <w:p w:rsidR="00C8133E" w:rsidRPr="003A617B" w:rsidP="008369BA" w14:paraId="36B39E3D" w14:textId="77777777">
      <w:pPr>
        <w:spacing w:after="0" w:line="240" w:lineRule="auto"/>
        <w:rPr>
          <w:rFonts w:cstheme="minorHAnsi"/>
          <w:bCs/>
        </w:rPr>
      </w:pPr>
    </w:p>
    <w:p w:rsidR="0072072F" w:rsidRPr="002E2E7A" w:rsidP="00861A1F" w14:paraId="23F27413" w14:textId="588A748D">
      <w:pPr>
        <w:pStyle w:val="ListParagraph"/>
        <w:numPr>
          <w:ilvl w:val="0"/>
          <w:numId w:val="31"/>
        </w:numPr>
        <w:spacing w:after="120" w:line="240" w:lineRule="auto"/>
        <w:rPr>
          <w:rFonts w:cstheme="minorHAnsi"/>
        </w:rPr>
      </w:pPr>
      <w:r w:rsidRPr="002E2E7A">
        <w:rPr>
          <w:rFonts w:cstheme="minorHAnsi"/>
          <w:b/>
        </w:rPr>
        <w:t>Respondent Universe and Sampling Methods</w:t>
      </w:r>
    </w:p>
    <w:p w:rsidR="00861A1F" w:rsidRPr="002E2E7A" w:rsidP="0C3103DC" w14:paraId="525FE6E3" w14:textId="77777777">
      <w:pPr>
        <w:autoSpaceDE w:val="0"/>
        <w:autoSpaceDN w:val="0"/>
        <w:adjustRightInd w:val="0"/>
        <w:spacing w:after="60" w:line="240" w:lineRule="atLeast"/>
        <w:ind w:firstLine="720"/>
        <w:contextualSpacing/>
        <w:rPr>
          <w:rFonts w:eastAsia="Times New Roman"/>
          <w:color w:val="000000"/>
        </w:rPr>
      </w:pPr>
      <w:r w:rsidRPr="0C3103DC">
        <w:rPr>
          <w:rFonts w:eastAsia="Times New Roman"/>
          <w:i/>
          <w:iCs/>
          <w:color w:val="000000" w:themeColor="text1"/>
        </w:rPr>
        <w:t xml:space="preserve">Target Population </w:t>
      </w:r>
      <w:r w:rsidRPr="0C3103DC">
        <w:rPr>
          <w:rFonts w:eastAsia="Times New Roman"/>
          <w:color w:val="000000" w:themeColor="text1"/>
        </w:rPr>
        <w:t xml:space="preserve"> </w:t>
      </w:r>
    </w:p>
    <w:p w:rsidR="00861A1F" w:rsidP="44C0C9D1" w14:paraId="6346AD50" w14:textId="7B99713B">
      <w:pPr>
        <w:pStyle w:val="ListParagraph"/>
        <w:numPr>
          <w:ilvl w:val="0"/>
          <w:numId w:val="38"/>
        </w:numPr>
        <w:autoSpaceDE w:val="0"/>
        <w:autoSpaceDN w:val="0"/>
        <w:adjustRightInd w:val="0"/>
        <w:spacing w:after="0" w:line="240" w:lineRule="atLeast"/>
        <w:rPr>
          <w:rFonts w:eastAsia="Times New Roman"/>
          <w:color w:val="000000"/>
        </w:rPr>
      </w:pPr>
      <w:r w:rsidRPr="44C0C9D1">
        <w:rPr>
          <w:rFonts w:eastAsia="Times New Roman"/>
          <w:color w:val="000000" w:themeColor="text1"/>
        </w:rPr>
        <w:t xml:space="preserve">For focus groups using Instrument 1, the target population is state leaders, local leaders, and frontline service providers from a range of human services </w:t>
      </w:r>
      <w:r w:rsidRPr="44C0C9D1">
        <w:rPr>
          <w:rFonts w:eastAsia="Times New Roman"/>
          <w:color w:val="000000" w:themeColor="text1"/>
        </w:rPr>
        <w:t>programs</w:t>
      </w:r>
    </w:p>
    <w:p w:rsidR="008673A7" w:rsidP="44C0C9D1" w14:paraId="4042DB7C" w14:textId="0E0F7D5D">
      <w:pPr>
        <w:pStyle w:val="ListParagraph"/>
        <w:numPr>
          <w:ilvl w:val="0"/>
          <w:numId w:val="38"/>
        </w:numPr>
        <w:autoSpaceDE w:val="0"/>
        <w:autoSpaceDN w:val="0"/>
        <w:adjustRightInd w:val="0"/>
        <w:spacing w:after="0" w:line="240" w:lineRule="atLeast"/>
        <w:rPr>
          <w:rFonts w:eastAsia="Times New Roman"/>
          <w:color w:val="000000"/>
        </w:rPr>
      </w:pPr>
      <w:r w:rsidRPr="44C0C9D1">
        <w:rPr>
          <w:rFonts w:eastAsia="Times New Roman"/>
          <w:color w:val="000000" w:themeColor="text1"/>
        </w:rPr>
        <w:t xml:space="preserve">For focus groups using Instrument 2, the target population is participants in a diverse set of public benefit </w:t>
      </w:r>
      <w:r w:rsidRPr="44C0C9D1">
        <w:rPr>
          <w:rFonts w:eastAsia="Times New Roman"/>
          <w:color w:val="000000" w:themeColor="text1"/>
        </w:rPr>
        <w:t>programs</w:t>
      </w:r>
    </w:p>
    <w:p w:rsidR="008673A7" w:rsidP="0C3103DC" w14:paraId="7E0E1E9D" w14:textId="031023E0">
      <w:pPr>
        <w:pStyle w:val="ListParagraph"/>
        <w:numPr>
          <w:ilvl w:val="0"/>
          <w:numId w:val="38"/>
        </w:numPr>
        <w:autoSpaceDE w:val="0"/>
        <w:autoSpaceDN w:val="0"/>
        <w:adjustRightInd w:val="0"/>
        <w:spacing w:after="0" w:line="240" w:lineRule="atLeast"/>
        <w:rPr>
          <w:rFonts w:eastAsia="Times New Roman"/>
          <w:color w:val="000000"/>
        </w:rPr>
      </w:pPr>
      <w:r w:rsidRPr="0C3103DC">
        <w:rPr>
          <w:rFonts w:eastAsia="Times New Roman"/>
          <w:color w:val="000000" w:themeColor="text1"/>
        </w:rPr>
        <w:t xml:space="preserve">For the </w:t>
      </w:r>
      <w:r w:rsidRPr="0C3103DC" w:rsidR="000C45F1">
        <w:rPr>
          <w:rFonts w:eastAsia="Times New Roman"/>
          <w:color w:val="000000" w:themeColor="text1"/>
        </w:rPr>
        <w:t>S</w:t>
      </w:r>
      <w:r w:rsidRPr="0C3103DC">
        <w:rPr>
          <w:rFonts w:eastAsia="Times New Roman"/>
          <w:color w:val="000000" w:themeColor="text1"/>
        </w:rPr>
        <w:t>urvey of AI opinions</w:t>
      </w:r>
      <w:r w:rsidRPr="0C3103DC" w:rsidR="00D31070">
        <w:rPr>
          <w:rFonts w:eastAsia="Times New Roman"/>
          <w:color w:val="000000" w:themeColor="text1"/>
        </w:rPr>
        <w:t xml:space="preserve">—participants </w:t>
      </w:r>
      <w:r w:rsidRPr="0C3103DC">
        <w:rPr>
          <w:rFonts w:eastAsia="Times New Roman"/>
          <w:color w:val="000000" w:themeColor="text1"/>
        </w:rPr>
        <w:t>(</w:t>
      </w:r>
      <w:r w:rsidRPr="0C3103DC" w:rsidR="000C45F1">
        <w:rPr>
          <w:rFonts w:eastAsia="Times New Roman"/>
          <w:color w:val="000000" w:themeColor="text1"/>
        </w:rPr>
        <w:t>I</w:t>
      </w:r>
      <w:r w:rsidRPr="0C3103DC">
        <w:rPr>
          <w:rFonts w:eastAsia="Times New Roman"/>
          <w:color w:val="000000" w:themeColor="text1"/>
        </w:rPr>
        <w:t xml:space="preserve">nstrument 3) the target population is </w:t>
      </w:r>
      <w:r w:rsidRPr="0C3103DC" w:rsidR="002E784D">
        <w:rPr>
          <w:rFonts w:eastAsia="Times New Roman"/>
          <w:color w:val="000000" w:themeColor="text1"/>
        </w:rPr>
        <w:t>participants</w:t>
      </w:r>
      <w:r w:rsidRPr="0C3103DC">
        <w:rPr>
          <w:rFonts w:eastAsia="Times New Roman"/>
          <w:color w:val="000000" w:themeColor="text1"/>
        </w:rPr>
        <w:t xml:space="preserve"> in a diverse set of public benefit programs</w:t>
      </w:r>
      <w:r w:rsidRPr="0C3103DC" w:rsidR="000C45F1">
        <w:rPr>
          <w:rFonts w:eastAsia="Times New Roman"/>
          <w:color w:val="000000" w:themeColor="text1"/>
        </w:rPr>
        <w:t xml:space="preserve">. </w:t>
      </w:r>
    </w:p>
    <w:p w:rsidR="00D31070" w:rsidP="0C3103DC" w14:paraId="2F03B8B5" w14:textId="7422070F">
      <w:pPr>
        <w:pStyle w:val="ListParagraph"/>
        <w:numPr>
          <w:ilvl w:val="0"/>
          <w:numId w:val="38"/>
        </w:numPr>
        <w:autoSpaceDE w:val="0"/>
        <w:autoSpaceDN w:val="0"/>
        <w:adjustRightInd w:val="0"/>
        <w:spacing w:after="0" w:line="240" w:lineRule="atLeast"/>
        <w:rPr>
          <w:rFonts w:eastAsia="Times New Roman"/>
          <w:color w:val="000000"/>
        </w:rPr>
      </w:pPr>
      <w:r w:rsidRPr="0C3103DC">
        <w:rPr>
          <w:rFonts w:eastAsia="Times New Roman"/>
          <w:color w:val="000000" w:themeColor="text1"/>
        </w:rPr>
        <w:t xml:space="preserve">For the Survey of AI opinions—nonparticipants (Instrument 4) the target population is state leaders, local leaders, and frontline service providers from a range of human services programs. </w:t>
      </w:r>
    </w:p>
    <w:p w:rsidR="000C45F1" w:rsidRPr="00B813DF" w:rsidP="05456549" w14:paraId="18788C9D" w14:textId="53EC15B4">
      <w:pPr>
        <w:pStyle w:val="ListParagraph"/>
        <w:numPr>
          <w:ilvl w:val="0"/>
          <w:numId w:val="38"/>
        </w:numPr>
        <w:autoSpaceDE w:val="0"/>
        <w:autoSpaceDN w:val="0"/>
        <w:adjustRightInd w:val="0"/>
        <w:spacing w:after="0" w:line="240" w:lineRule="atLeast"/>
        <w:rPr>
          <w:rFonts w:eastAsia="Times New Roman"/>
          <w:color w:val="000000"/>
        </w:rPr>
      </w:pPr>
      <w:r w:rsidRPr="0C3103DC">
        <w:rPr>
          <w:rFonts w:eastAsia="Times New Roman"/>
          <w:color w:val="000000" w:themeColor="text1"/>
        </w:rPr>
        <w:t xml:space="preserve">The Screener for participants (Instrument </w:t>
      </w:r>
      <w:r w:rsidRPr="0C3103DC" w:rsidR="00D31070">
        <w:rPr>
          <w:rFonts w:eastAsia="Times New Roman"/>
          <w:color w:val="000000" w:themeColor="text1"/>
        </w:rPr>
        <w:t>5</w:t>
      </w:r>
      <w:r w:rsidRPr="0C3103DC">
        <w:rPr>
          <w:rFonts w:eastAsia="Times New Roman"/>
          <w:color w:val="000000" w:themeColor="text1"/>
        </w:rPr>
        <w:t xml:space="preserve">) is for potential public benefit program </w:t>
      </w:r>
      <w:r w:rsidRPr="0C3103DC" w:rsidR="002E784D">
        <w:rPr>
          <w:rFonts w:eastAsia="Times New Roman"/>
          <w:color w:val="000000" w:themeColor="text1"/>
        </w:rPr>
        <w:t>participants</w:t>
      </w:r>
      <w:r w:rsidRPr="0C3103DC">
        <w:rPr>
          <w:rFonts w:eastAsia="Times New Roman"/>
          <w:color w:val="000000" w:themeColor="text1"/>
        </w:rPr>
        <w:t xml:space="preserve"> who might meet the eligibility criteria to participate in focus groups using instrument 2 or the Survey of AI opinions</w:t>
      </w:r>
      <w:r w:rsidRPr="0C3103DC" w:rsidR="00D31070">
        <w:rPr>
          <w:rFonts w:eastAsia="Times New Roman"/>
          <w:color w:val="000000" w:themeColor="text1"/>
        </w:rPr>
        <w:t>—participants (Instrument 3)</w:t>
      </w:r>
      <w:r w:rsidRPr="0C3103DC">
        <w:rPr>
          <w:rFonts w:eastAsia="Times New Roman"/>
          <w:color w:val="000000" w:themeColor="text1"/>
        </w:rPr>
        <w:t xml:space="preserve">. </w:t>
      </w:r>
      <w:r w:rsidRPr="0C3103DC" w:rsidR="002E784D">
        <w:rPr>
          <w:rFonts w:eastAsia="Times New Roman"/>
          <w:color w:val="000000" w:themeColor="text1"/>
        </w:rPr>
        <w:t xml:space="preserve">A recruiting </w:t>
      </w:r>
      <w:r w:rsidRPr="0C3103DC" w:rsidR="002E784D">
        <w:rPr>
          <w:rFonts w:eastAsia="Times New Roman"/>
          <w:color w:val="000000" w:themeColor="text1"/>
        </w:rPr>
        <w:t>panel will use this screener to identify eligible program participants, who will then be invited to participate in the focus group and/or take the survey.</w:t>
      </w:r>
    </w:p>
    <w:p w:rsidR="00861A1F" w:rsidRPr="002E2E7A" w:rsidP="0C3103DC" w14:paraId="58244317" w14:textId="320E9D3D">
      <w:pPr>
        <w:autoSpaceDE w:val="0"/>
        <w:autoSpaceDN w:val="0"/>
        <w:adjustRightInd w:val="0"/>
        <w:spacing w:after="0" w:line="240" w:lineRule="atLeast"/>
        <w:contextualSpacing/>
        <w:rPr>
          <w:rFonts w:eastAsia="Times New Roman"/>
          <w:color w:val="000000"/>
        </w:rPr>
      </w:pPr>
    </w:p>
    <w:p w:rsidR="00861A1F" w:rsidRPr="00C8133E" w:rsidP="00C8133E" w14:paraId="022EA585" w14:textId="77777777">
      <w:pPr>
        <w:spacing w:after="60"/>
        <w:ind w:firstLine="720"/>
      </w:pPr>
      <w:r w:rsidRPr="0C3103DC">
        <w:rPr>
          <w:rFonts w:eastAsia="Times New Roman"/>
          <w:i/>
          <w:iCs/>
          <w:color w:val="000000" w:themeColor="text1"/>
        </w:rPr>
        <w:t>Sampling and Site Selection</w:t>
      </w:r>
    </w:p>
    <w:p w:rsidR="00F85D35" w:rsidRPr="008673A7" w:rsidP="0C3103DC" w14:paraId="33260685" w14:textId="1B5884D2">
      <w:pPr>
        <w:autoSpaceDE w:val="0"/>
        <w:autoSpaceDN w:val="0"/>
        <w:adjustRightInd w:val="0"/>
        <w:spacing w:after="0" w:line="240" w:lineRule="atLeast"/>
        <w:rPr>
          <w:rFonts w:eastAsia="Times New Roman"/>
          <w:color w:val="000000"/>
        </w:rPr>
      </w:pPr>
      <w:r w:rsidRPr="0C3103DC">
        <w:rPr>
          <w:rFonts w:eastAsia="Times New Roman"/>
          <w:color w:val="000000" w:themeColor="text1"/>
        </w:rPr>
        <w:t>The contractor</w:t>
      </w:r>
      <w:r w:rsidRPr="0C3103DC" w:rsidR="008673A7">
        <w:rPr>
          <w:rFonts w:eastAsia="Times New Roman"/>
          <w:color w:val="000000" w:themeColor="text1"/>
        </w:rPr>
        <w:t xml:space="preserve"> will conduct </w:t>
      </w:r>
      <w:r w:rsidRPr="0C3103DC">
        <w:rPr>
          <w:rFonts w:eastAsia="Times New Roman"/>
          <w:color w:val="000000" w:themeColor="text1"/>
        </w:rPr>
        <w:t>focus groups (Instruments 1 and 2),</w:t>
      </w:r>
      <w:r w:rsidRPr="0C3103DC" w:rsidR="008673A7">
        <w:rPr>
          <w:rFonts w:eastAsia="Times New Roman"/>
          <w:color w:val="000000" w:themeColor="text1"/>
        </w:rPr>
        <w:t xml:space="preserve"> surveys (</w:t>
      </w:r>
      <w:r w:rsidRPr="0C3103DC">
        <w:rPr>
          <w:rFonts w:eastAsia="Times New Roman"/>
          <w:color w:val="000000" w:themeColor="text1"/>
        </w:rPr>
        <w:t>I</w:t>
      </w:r>
      <w:r w:rsidRPr="0C3103DC" w:rsidR="008673A7">
        <w:rPr>
          <w:rFonts w:eastAsia="Times New Roman"/>
          <w:color w:val="000000" w:themeColor="text1"/>
        </w:rPr>
        <w:t>nstrument</w:t>
      </w:r>
      <w:r w:rsidRPr="0C3103DC" w:rsidR="00D31070">
        <w:rPr>
          <w:rFonts w:eastAsia="Times New Roman"/>
          <w:color w:val="000000" w:themeColor="text1"/>
        </w:rPr>
        <w:t>s</w:t>
      </w:r>
      <w:r w:rsidRPr="0C3103DC" w:rsidR="008673A7">
        <w:rPr>
          <w:rFonts w:eastAsia="Times New Roman"/>
          <w:color w:val="000000" w:themeColor="text1"/>
        </w:rPr>
        <w:t xml:space="preserve"> 3</w:t>
      </w:r>
      <w:r w:rsidRPr="0C3103DC" w:rsidR="00D31070">
        <w:rPr>
          <w:rFonts w:eastAsia="Times New Roman"/>
          <w:color w:val="000000" w:themeColor="text1"/>
        </w:rPr>
        <w:t xml:space="preserve"> and 4</w:t>
      </w:r>
      <w:r w:rsidRPr="0C3103DC" w:rsidR="008673A7">
        <w:rPr>
          <w:rFonts w:eastAsia="Times New Roman"/>
          <w:color w:val="000000" w:themeColor="text1"/>
        </w:rPr>
        <w:t>)</w:t>
      </w:r>
      <w:r w:rsidRPr="0C3103DC">
        <w:rPr>
          <w:rFonts w:eastAsia="Times New Roman"/>
          <w:color w:val="000000" w:themeColor="text1"/>
        </w:rPr>
        <w:t>, and screening</w:t>
      </w:r>
      <w:r w:rsidRPr="0C3103DC" w:rsidR="008673A7">
        <w:rPr>
          <w:rFonts w:eastAsia="Times New Roman"/>
          <w:color w:val="000000" w:themeColor="text1"/>
        </w:rPr>
        <w:t xml:space="preserve"> </w:t>
      </w:r>
      <w:r w:rsidRPr="0C3103DC">
        <w:rPr>
          <w:rFonts w:eastAsia="Times New Roman"/>
          <w:color w:val="000000" w:themeColor="text1"/>
        </w:rPr>
        <w:t xml:space="preserve">(Instrument </w:t>
      </w:r>
      <w:r w:rsidRPr="0C3103DC" w:rsidR="00D31070">
        <w:rPr>
          <w:rFonts w:eastAsia="Times New Roman"/>
          <w:color w:val="000000" w:themeColor="text1"/>
        </w:rPr>
        <w:t>5</w:t>
      </w:r>
      <w:r w:rsidRPr="0C3103DC">
        <w:rPr>
          <w:rFonts w:eastAsia="Times New Roman"/>
          <w:color w:val="000000" w:themeColor="text1"/>
        </w:rPr>
        <w:t xml:space="preserve">) </w:t>
      </w:r>
      <w:r w:rsidRPr="0C3103DC" w:rsidR="008673A7">
        <w:rPr>
          <w:rFonts w:eastAsia="Times New Roman"/>
          <w:color w:val="000000" w:themeColor="text1"/>
        </w:rPr>
        <w:t xml:space="preserve">with purposive samples of the target population. </w:t>
      </w:r>
      <w:r w:rsidRPr="0C3103DC" w:rsidR="002E784D">
        <w:rPr>
          <w:rFonts w:eastAsia="Times New Roman"/>
          <w:color w:val="000000" w:themeColor="text1"/>
        </w:rPr>
        <w:t>T</w:t>
      </w:r>
      <w:r w:rsidRPr="0C3103DC">
        <w:rPr>
          <w:rFonts w:eastAsia="Times New Roman"/>
          <w:color w:val="000000" w:themeColor="text1"/>
        </w:rPr>
        <w:t>he Contractor</w:t>
      </w:r>
      <w:r w:rsidRPr="0C3103DC" w:rsidR="008673A7">
        <w:rPr>
          <w:rFonts w:eastAsia="Times New Roman"/>
          <w:color w:val="000000" w:themeColor="text1"/>
        </w:rPr>
        <w:t xml:space="preserve"> will attempt to recruit a respondent group that has a diversity of racial/ethnic backgrounds, geographic locations (primarily rural/urban), and roles within public benefits programs. However</w:t>
      </w:r>
      <w:r w:rsidRPr="0C3103DC">
        <w:rPr>
          <w:rFonts w:eastAsia="Times New Roman"/>
          <w:color w:val="000000" w:themeColor="text1"/>
        </w:rPr>
        <w:t>,</w:t>
      </w:r>
      <w:r w:rsidRPr="0C3103DC" w:rsidR="008673A7">
        <w:rPr>
          <w:rFonts w:eastAsia="Times New Roman"/>
          <w:color w:val="000000" w:themeColor="text1"/>
        </w:rPr>
        <w:t xml:space="preserve"> </w:t>
      </w:r>
      <w:r w:rsidRPr="0C3103DC">
        <w:rPr>
          <w:rFonts w:eastAsia="Times New Roman"/>
          <w:color w:val="000000" w:themeColor="text1"/>
        </w:rPr>
        <w:t>ACF and its contractor</w:t>
      </w:r>
      <w:r w:rsidRPr="0C3103DC" w:rsidR="008673A7">
        <w:rPr>
          <w:rFonts w:eastAsia="Times New Roman"/>
          <w:color w:val="000000" w:themeColor="text1"/>
        </w:rPr>
        <w:t xml:space="preserve"> do not intend to use a formal sampling method to achieve this. </w:t>
      </w:r>
    </w:p>
    <w:p w:rsidR="00BB2925" w:rsidRPr="002E2E7A" w:rsidP="0072072F" w14:paraId="5B7D8E80" w14:textId="77777777">
      <w:pPr>
        <w:autoSpaceDE w:val="0"/>
        <w:autoSpaceDN w:val="0"/>
        <w:adjustRightInd w:val="0"/>
        <w:spacing w:after="0" w:line="240" w:lineRule="atLeast"/>
        <w:rPr>
          <w:rFonts w:eastAsia="Times New Roman" w:cstheme="minorHAnsi"/>
          <w:color w:val="000000"/>
        </w:rPr>
      </w:pPr>
    </w:p>
    <w:p w:rsidR="00E41EE9" w:rsidRPr="002E2E7A" w:rsidP="0C3103DC" w14:paraId="210DC9F0" w14:textId="75EE517E">
      <w:pPr>
        <w:autoSpaceDE w:val="0"/>
        <w:autoSpaceDN w:val="0"/>
        <w:adjustRightInd w:val="0"/>
        <w:spacing w:after="0" w:line="240" w:lineRule="atLeast"/>
        <w:rPr>
          <w:rFonts w:eastAsia="Times New Roman"/>
          <w:color w:val="000000"/>
        </w:rPr>
      </w:pPr>
      <w:r w:rsidRPr="0C3103DC">
        <w:rPr>
          <w:rFonts w:eastAsia="Times New Roman"/>
          <w:i/>
          <w:iCs/>
          <w:color w:val="000000" w:themeColor="text1"/>
        </w:rPr>
        <w:t xml:space="preserve">Appropriateness of Study Design and Methods for Planned Uses </w:t>
      </w:r>
    </w:p>
    <w:p w:rsidR="008673A7" w:rsidP="003A617B" w14:paraId="3B0A12A5" w14:textId="36695451">
      <w:pPr>
        <w:spacing w:after="0" w:line="240" w:lineRule="auto"/>
        <w:ind w:left="720"/>
        <w:rPr>
          <w:rFonts w:eastAsia="Times New Roman"/>
          <w:highlight w:val="yellow"/>
        </w:rPr>
      </w:pPr>
      <w:r w:rsidRPr="44C0C9D1">
        <w:rPr>
          <w:rFonts w:eastAsia="Times New Roman"/>
        </w:rPr>
        <w:t xml:space="preserve">The data collected will be used to inform </w:t>
      </w:r>
      <w:r w:rsidR="009D01CB">
        <w:t>ACF’s AI strategy and determine on which topics to issue guidance on the use of AI to ACF grantees. The information is purely descriptive in nature; the data are not intended to be representative of the opinions of all public benefits programs or their enrollees. These limitations will be included in</w:t>
      </w:r>
      <w:r w:rsidR="003A617B">
        <w:t xml:space="preserve"> </w:t>
      </w:r>
      <w:r w:rsidR="5344074B">
        <w:t>any written products</w:t>
      </w:r>
      <w:r w:rsidR="009D01CB">
        <w:t xml:space="preserve"> resulting from this data collection.</w:t>
      </w:r>
    </w:p>
    <w:p w:rsidR="009D01CB" w:rsidP="009D01CB" w14:paraId="30D6B73E" w14:textId="77777777">
      <w:pPr>
        <w:spacing w:after="0" w:line="240" w:lineRule="auto"/>
        <w:rPr>
          <w:rFonts w:eastAsia="Times New Roman" w:cstheme="minorHAnsi"/>
          <w:highlight w:val="yellow"/>
        </w:rPr>
      </w:pPr>
    </w:p>
    <w:p w:rsidR="005C7E12" w:rsidRPr="002E2E7A" w:rsidP="0C3103DC" w14:paraId="611E1659" w14:textId="346F6732">
      <w:pPr>
        <w:spacing w:after="0" w:line="240" w:lineRule="auto"/>
        <w:ind w:left="720"/>
        <w:rPr>
          <w:rFonts w:eastAsia="Times New Roman"/>
        </w:rPr>
      </w:pPr>
      <w:r w:rsidRPr="0C3103DC">
        <w:rPr>
          <w:rFonts w:eastAsia="Times New Roman"/>
        </w:rPr>
        <w:t>T</w:t>
      </w:r>
      <w:r w:rsidRPr="0C3103DC">
        <w:rPr>
          <w:rFonts w:eastAsia="Times New Roman"/>
        </w:rPr>
        <w:t xml:space="preserve">his information is not intended to be used as the principal basis for public policy decisions and is not expected to meet the threshold of influential or highly influential scientific information.   </w:t>
      </w:r>
    </w:p>
    <w:p w:rsidR="00BB2925" w:rsidP="00C8133E" w14:paraId="0C4F0DEF" w14:textId="77777777">
      <w:pPr>
        <w:pStyle w:val="ListParagraph"/>
        <w:spacing w:after="120" w:line="240" w:lineRule="auto"/>
        <w:ind w:left="0"/>
        <w:rPr>
          <w:rFonts w:cstheme="minorHAnsi"/>
        </w:rPr>
      </w:pPr>
    </w:p>
    <w:p w:rsidR="00C8133E" w:rsidRPr="002E2E7A" w:rsidP="003A617B" w14:paraId="14C61DA9" w14:textId="77777777">
      <w:pPr>
        <w:pStyle w:val="ListParagraph"/>
        <w:spacing w:after="120" w:line="240" w:lineRule="auto"/>
        <w:ind w:left="0"/>
        <w:rPr>
          <w:rFonts w:cstheme="minorHAnsi"/>
        </w:rPr>
      </w:pPr>
    </w:p>
    <w:p w:rsidR="005F2951" w:rsidRPr="002E2E7A" w:rsidP="00861A1F" w14:paraId="2E3CD75A" w14:textId="27EE8D77">
      <w:pPr>
        <w:pStyle w:val="ListParagraph"/>
        <w:numPr>
          <w:ilvl w:val="0"/>
          <w:numId w:val="31"/>
        </w:numPr>
        <w:spacing w:after="120"/>
        <w:rPr>
          <w:rFonts w:eastAsia="Times New Roman" w:cstheme="minorHAnsi"/>
          <w:color w:val="000000"/>
        </w:rPr>
      </w:pPr>
      <w:r w:rsidRPr="002E2E7A">
        <w:rPr>
          <w:rFonts w:eastAsia="Times New Roman" w:cstheme="minorHAnsi"/>
          <w:b/>
          <w:bCs/>
          <w:color w:val="000000"/>
        </w:rPr>
        <w:t>Procedures for Collection of Information</w:t>
      </w:r>
    </w:p>
    <w:p w:rsidR="00861A1F" w:rsidRPr="002E2E7A" w:rsidP="0C3103DC" w14:paraId="05AEF0A2" w14:textId="77777777">
      <w:pPr>
        <w:autoSpaceDE w:val="0"/>
        <w:autoSpaceDN w:val="0"/>
        <w:adjustRightInd w:val="0"/>
        <w:spacing w:after="60" w:line="240" w:lineRule="atLeast"/>
        <w:ind w:firstLine="720"/>
        <w:rPr>
          <w:rFonts w:eastAsia="Times New Roman"/>
          <w:i/>
          <w:iCs/>
          <w:color w:val="000000"/>
        </w:rPr>
      </w:pPr>
      <w:r w:rsidRPr="0C3103DC">
        <w:rPr>
          <w:rFonts w:eastAsia="Times New Roman"/>
          <w:i/>
          <w:iCs/>
          <w:color w:val="000000" w:themeColor="text1"/>
        </w:rPr>
        <w:t>Data Collection Processes</w:t>
      </w:r>
    </w:p>
    <w:p w:rsidR="0057765A" w:rsidP="0C3103DC" w14:paraId="78649737" w14:textId="61571432">
      <w:pPr>
        <w:pStyle w:val="ListParagraph"/>
        <w:numPr>
          <w:ilvl w:val="0"/>
          <w:numId w:val="39"/>
        </w:numPr>
        <w:autoSpaceDE w:val="0"/>
        <w:autoSpaceDN w:val="0"/>
        <w:adjustRightInd w:val="0"/>
        <w:spacing w:after="0" w:line="240" w:lineRule="atLeast"/>
        <w:rPr>
          <w:rFonts w:eastAsia="Times New Roman"/>
          <w:color w:val="000000"/>
        </w:rPr>
      </w:pPr>
      <w:r w:rsidRPr="0C3103DC">
        <w:rPr>
          <w:rFonts w:eastAsia="Times New Roman"/>
          <w:color w:val="000000" w:themeColor="text1"/>
        </w:rPr>
        <w:t>ACF</w:t>
      </w:r>
      <w:r w:rsidRPr="0C3103DC" w:rsidR="002246D5">
        <w:rPr>
          <w:rFonts w:eastAsia="Times New Roman"/>
          <w:color w:val="000000" w:themeColor="text1"/>
        </w:rPr>
        <w:t xml:space="preserve"> and its contractor</w:t>
      </w:r>
      <w:r w:rsidRPr="0C3103DC">
        <w:rPr>
          <w:rFonts w:eastAsia="Times New Roman"/>
          <w:color w:val="000000" w:themeColor="text1"/>
        </w:rPr>
        <w:t xml:space="preserve"> will field on</w:t>
      </w:r>
      <w:r w:rsidRPr="0C3103DC" w:rsidR="000C45F1">
        <w:rPr>
          <w:rFonts w:eastAsia="Times New Roman"/>
          <w:color w:val="000000" w:themeColor="text1"/>
        </w:rPr>
        <w:t>e</w:t>
      </w:r>
      <w:r w:rsidRPr="0C3103DC">
        <w:rPr>
          <w:rFonts w:eastAsia="Times New Roman"/>
          <w:color w:val="000000" w:themeColor="text1"/>
        </w:rPr>
        <w:t xml:space="preserve"> online survey of AI opinions</w:t>
      </w:r>
      <w:r w:rsidRPr="0C3103DC" w:rsidR="003A617B">
        <w:rPr>
          <w:rFonts w:eastAsia="Times New Roman"/>
          <w:color w:val="000000" w:themeColor="text1"/>
        </w:rPr>
        <w:t xml:space="preserve"> for participants</w:t>
      </w:r>
      <w:r w:rsidRPr="0C3103DC">
        <w:rPr>
          <w:rFonts w:eastAsia="Times New Roman"/>
          <w:color w:val="000000" w:themeColor="text1"/>
        </w:rPr>
        <w:t xml:space="preserve"> </w:t>
      </w:r>
      <w:r w:rsidRPr="0C3103DC" w:rsidR="000C45F1">
        <w:rPr>
          <w:rFonts w:eastAsia="Times New Roman"/>
          <w:color w:val="000000" w:themeColor="text1"/>
        </w:rPr>
        <w:t>(Instrument 3)</w:t>
      </w:r>
      <w:r w:rsidRPr="0C3103DC" w:rsidR="003A617B">
        <w:rPr>
          <w:rFonts w:eastAsia="Times New Roman"/>
          <w:color w:val="000000" w:themeColor="text1"/>
        </w:rPr>
        <w:t xml:space="preserve"> and one for nonparticipants (Instrument 4)</w:t>
      </w:r>
      <w:r w:rsidRPr="0C3103DC" w:rsidR="002E784D">
        <w:rPr>
          <w:rFonts w:eastAsia="Times New Roman"/>
          <w:color w:val="000000" w:themeColor="text1"/>
        </w:rPr>
        <w:t xml:space="preserve"> </w:t>
      </w:r>
      <w:r w:rsidRPr="0C3103DC">
        <w:rPr>
          <w:rFonts w:eastAsia="Times New Roman"/>
          <w:color w:val="000000" w:themeColor="text1"/>
        </w:rPr>
        <w:t>using Qualtrics. ACF hopes to receive approximately 400 complete surveys</w:t>
      </w:r>
      <w:r w:rsidRPr="0C3103DC" w:rsidR="002246D5">
        <w:rPr>
          <w:rFonts w:eastAsia="Times New Roman"/>
          <w:color w:val="000000" w:themeColor="text1"/>
        </w:rPr>
        <w:t xml:space="preserve"> consisting of approximately 300 from state leaders and other program non-participants</w:t>
      </w:r>
      <w:r w:rsidRPr="0C3103DC" w:rsidR="002E784D">
        <w:rPr>
          <w:rFonts w:eastAsia="Times New Roman"/>
          <w:color w:val="000000" w:themeColor="text1"/>
        </w:rPr>
        <w:t>,</w:t>
      </w:r>
      <w:r w:rsidRPr="0C3103DC" w:rsidR="002246D5">
        <w:rPr>
          <w:rFonts w:eastAsia="Times New Roman"/>
          <w:color w:val="000000" w:themeColor="text1"/>
        </w:rPr>
        <w:t xml:space="preserve"> and 100 from program participants.</w:t>
      </w:r>
    </w:p>
    <w:p w:rsidR="002246D5" w:rsidRPr="009D01CB" w:rsidP="44C0C9D1" w14:paraId="3ED8CB76" w14:textId="18D3B73D">
      <w:pPr>
        <w:pStyle w:val="ListParagraph"/>
        <w:numPr>
          <w:ilvl w:val="0"/>
          <w:numId w:val="39"/>
        </w:numPr>
        <w:autoSpaceDE w:val="0"/>
        <w:autoSpaceDN w:val="0"/>
        <w:adjustRightInd w:val="0"/>
        <w:spacing w:after="0" w:line="240" w:lineRule="atLeast"/>
        <w:rPr>
          <w:rFonts w:eastAsia="Times New Roman"/>
          <w:color w:val="000000"/>
        </w:rPr>
      </w:pPr>
      <w:r w:rsidRPr="44C0C9D1">
        <w:rPr>
          <w:rFonts w:eastAsia="Times New Roman"/>
          <w:color w:val="000000" w:themeColor="text1"/>
        </w:rPr>
        <w:t>ACF’s contractor will administer one online screener to potential public benefit program participants to determine whether they are eligible to participate in a focus group (Instrument 2) and/or</w:t>
      </w:r>
      <w:r w:rsidRPr="44C0C9D1" w:rsidR="002E784D">
        <w:rPr>
          <w:rFonts w:eastAsia="Times New Roman"/>
          <w:color w:val="000000" w:themeColor="text1"/>
        </w:rPr>
        <w:t xml:space="preserve"> </w:t>
      </w:r>
      <w:r w:rsidRPr="44C0C9D1">
        <w:rPr>
          <w:rFonts w:eastAsia="Times New Roman"/>
          <w:color w:val="000000" w:themeColor="text1"/>
        </w:rPr>
        <w:t xml:space="preserve">complete a Survey of AI opinions (Instrument 3). </w:t>
      </w:r>
      <w:r w:rsidRPr="44C0C9D1" w:rsidR="002E784D">
        <w:rPr>
          <w:rFonts w:eastAsia="Times New Roman"/>
          <w:color w:val="000000" w:themeColor="text1"/>
        </w:rPr>
        <w:t>T</w:t>
      </w:r>
      <w:r w:rsidRPr="44C0C9D1">
        <w:rPr>
          <w:rFonts w:eastAsia="Times New Roman"/>
          <w:color w:val="000000" w:themeColor="text1"/>
        </w:rPr>
        <w:t>he contractor anticipates administering the screener to 2</w:t>
      </w:r>
      <w:r w:rsidRPr="44C0C9D1" w:rsidR="002E784D">
        <w:rPr>
          <w:rFonts w:eastAsia="Times New Roman"/>
          <w:color w:val="000000" w:themeColor="text1"/>
        </w:rPr>
        <w:t>8</w:t>
      </w:r>
      <w:r w:rsidRPr="44C0C9D1">
        <w:rPr>
          <w:rFonts w:eastAsia="Times New Roman"/>
          <w:color w:val="000000" w:themeColor="text1"/>
        </w:rPr>
        <w:t>0 people.</w:t>
      </w:r>
    </w:p>
    <w:p w:rsidR="001960ED" w:rsidRPr="002E2E7A" w:rsidP="001960ED" w14:paraId="37E5C8F9" w14:textId="77777777">
      <w:pPr>
        <w:autoSpaceDE w:val="0"/>
        <w:autoSpaceDN w:val="0"/>
        <w:adjustRightInd w:val="0"/>
        <w:spacing w:after="0" w:line="240" w:lineRule="atLeast"/>
        <w:ind w:firstLine="720"/>
        <w:rPr>
          <w:rFonts w:eastAsia="Times New Roman" w:cstheme="minorHAnsi"/>
          <w:bCs/>
          <w:i/>
          <w:color w:val="000000"/>
        </w:rPr>
      </w:pPr>
    </w:p>
    <w:p w:rsidR="00861A1F" w:rsidRPr="002E2E7A" w:rsidP="0C3103DC" w14:paraId="68656726" w14:textId="23523CFD">
      <w:pPr>
        <w:autoSpaceDE w:val="0"/>
        <w:autoSpaceDN w:val="0"/>
        <w:adjustRightInd w:val="0"/>
        <w:spacing w:after="60" w:line="240" w:lineRule="atLeast"/>
        <w:ind w:firstLine="720"/>
        <w:rPr>
          <w:rFonts w:eastAsia="Times New Roman"/>
          <w:i/>
          <w:iCs/>
          <w:color w:val="000000"/>
        </w:rPr>
      </w:pPr>
      <w:bookmarkStart w:id="0" w:name="_Hlk170315730"/>
      <w:r w:rsidRPr="0C3103DC">
        <w:rPr>
          <w:rFonts w:eastAsia="Times New Roman"/>
          <w:i/>
          <w:iCs/>
          <w:color w:val="000000" w:themeColor="text1"/>
        </w:rPr>
        <w:t>Data Handling</w:t>
      </w:r>
    </w:p>
    <w:p w:rsidR="000F5559" w:rsidP="00D24EC7" w14:paraId="78FE0871" w14:textId="52634526">
      <w:pPr>
        <w:autoSpaceDE w:val="0"/>
        <w:autoSpaceDN w:val="0"/>
        <w:adjustRightInd w:val="0"/>
        <w:spacing w:after="0" w:line="240" w:lineRule="atLeast"/>
        <w:ind w:left="720"/>
        <w:rPr>
          <w:rFonts w:eastAsia="Times New Roman"/>
          <w:color w:val="000000" w:themeColor="text1"/>
        </w:rPr>
      </w:pPr>
      <w:r>
        <w:rPr>
          <w:rFonts w:eastAsia="Times New Roman"/>
          <w:color w:val="000000" w:themeColor="text1"/>
        </w:rPr>
        <w:t xml:space="preserve">Focus group data (instruments 1 and 2) will be collected </w:t>
      </w:r>
      <w:r w:rsidR="00034707">
        <w:rPr>
          <w:rFonts w:eastAsia="Times New Roman"/>
          <w:color w:val="000000" w:themeColor="text1"/>
        </w:rPr>
        <w:t xml:space="preserve">using the </w:t>
      </w:r>
      <w:r>
        <w:rPr>
          <w:rFonts w:eastAsia="Times New Roman"/>
          <w:color w:val="000000" w:themeColor="text1"/>
        </w:rPr>
        <w:t xml:space="preserve">Zoom </w:t>
      </w:r>
      <w:r w:rsidR="00034707">
        <w:rPr>
          <w:rFonts w:eastAsia="Times New Roman"/>
          <w:color w:val="000000" w:themeColor="text1"/>
        </w:rPr>
        <w:t xml:space="preserve">meeting platform </w:t>
      </w:r>
      <w:r>
        <w:rPr>
          <w:rFonts w:eastAsia="Times New Roman"/>
          <w:color w:val="000000" w:themeColor="text1"/>
        </w:rPr>
        <w:t xml:space="preserve">(instrument 1) and </w:t>
      </w:r>
      <w:r w:rsidR="00034707">
        <w:rPr>
          <w:rFonts w:eastAsia="Times New Roman"/>
          <w:color w:val="000000" w:themeColor="text1"/>
        </w:rPr>
        <w:t>meeting technology provided by SAGO (instrument 2). Recording</w:t>
      </w:r>
      <w:r w:rsidR="004C4A8D">
        <w:rPr>
          <w:rFonts w:eastAsia="Times New Roman"/>
          <w:color w:val="000000" w:themeColor="text1"/>
        </w:rPr>
        <w:t>s</w:t>
      </w:r>
      <w:r w:rsidR="00034707">
        <w:rPr>
          <w:rFonts w:eastAsia="Times New Roman"/>
          <w:color w:val="000000" w:themeColor="text1"/>
        </w:rPr>
        <w:t xml:space="preserve"> from focus group meetings will be stored securely on the contractor’s website server, using federally approved data encryption. Transcripts developed from recordings will remove any names or other personally identifying information to protect the privacy of respondents.</w:t>
      </w:r>
      <w:r w:rsidR="004C4A8D">
        <w:rPr>
          <w:rFonts w:eastAsia="Times New Roman"/>
          <w:color w:val="000000" w:themeColor="text1"/>
        </w:rPr>
        <w:t xml:space="preserve"> Access to recordings and transcripts from focus group meetings will be restricted to authorized Contractor study team members. Transcripts will be shared with ACF using secure platforms for data transfer.</w:t>
      </w:r>
    </w:p>
    <w:p w:rsidR="00034707" w:rsidP="00D24EC7" w14:paraId="028B2A08" w14:textId="77777777">
      <w:pPr>
        <w:autoSpaceDE w:val="0"/>
        <w:autoSpaceDN w:val="0"/>
        <w:adjustRightInd w:val="0"/>
        <w:spacing w:after="0" w:line="240" w:lineRule="atLeast"/>
        <w:ind w:left="720"/>
        <w:rPr>
          <w:rFonts w:eastAsia="Times New Roman"/>
          <w:color w:val="000000" w:themeColor="text1"/>
        </w:rPr>
      </w:pPr>
    </w:p>
    <w:p w:rsidR="002246D5" w:rsidP="006F1AAA" w14:paraId="564F32B3" w14:textId="74A50000">
      <w:pPr>
        <w:autoSpaceDE w:val="0"/>
        <w:autoSpaceDN w:val="0"/>
        <w:adjustRightInd w:val="0"/>
        <w:spacing w:after="0" w:line="240" w:lineRule="atLeast"/>
        <w:ind w:left="720"/>
        <w:rPr>
          <w:rFonts w:eastAsia="Times New Roman"/>
          <w:color w:val="000000" w:themeColor="text1"/>
        </w:rPr>
      </w:pPr>
      <w:r w:rsidRPr="0C3103DC">
        <w:rPr>
          <w:rFonts w:eastAsia="Times New Roman"/>
          <w:color w:val="000000" w:themeColor="text1"/>
        </w:rPr>
        <w:t xml:space="preserve">Survey data </w:t>
      </w:r>
      <w:r w:rsidR="00D24EC7">
        <w:rPr>
          <w:rFonts w:eastAsia="Times New Roman"/>
          <w:color w:val="000000" w:themeColor="text1"/>
        </w:rPr>
        <w:t xml:space="preserve">(instruments 3 and 4) </w:t>
      </w:r>
      <w:r w:rsidRPr="0C3103DC">
        <w:rPr>
          <w:rFonts w:eastAsia="Times New Roman"/>
          <w:color w:val="000000" w:themeColor="text1"/>
        </w:rPr>
        <w:t xml:space="preserve">will be collected </w:t>
      </w:r>
      <w:r w:rsidRPr="0C3103DC" w:rsidR="00CE1DAE">
        <w:rPr>
          <w:rFonts w:eastAsia="Times New Roman"/>
          <w:color w:val="000000" w:themeColor="text1"/>
        </w:rPr>
        <w:t xml:space="preserve">using the Qualtrics platform, which will be hosted on the ACF website. Survey </w:t>
      </w:r>
      <w:r w:rsidRPr="0C3103DC" w:rsidR="002E784D">
        <w:rPr>
          <w:rFonts w:eastAsia="Times New Roman"/>
          <w:color w:val="000000" w:themeColor="text1"/>
        </w:rPr>
        <w:t>respondents</w:t>
      </w:r>
      <w:r w:rsidRPr="0C3103DC" w:rsidR="00CE1DAE">
        <w:rPr>
          <w:rFonts w:eastAsia="Times New Roman"/>
          <w:color w:val="000000" w:themeColor="text1"/>
        </w:rPr>
        <w:t xml:space="preserve"> will complete the survey online and all data will be securely stored on ACF’s website server</w:t>
      </w:r>
      <w:r w:rsidRPr="0C3103DC" w:rsidR="00FD6BD9">
        <w:rPr>
          <w:rFonts w:eastAsia="Times New Roman"/>
          <w:color w:val="000000" w:themeColor="text1"/>
        </w:rPr>
        <w:t>, using federally</w:t>
      </w:r>
      <w:r w:rsidRPr="0C3103DC" w:rsidR="4D1BDF74">
        <w:rPr>
          <w:rFonts w:eastAsia="Times New Roman"/>
          <w:color w:val="000000" w:themeColor="text1"/>
        </w:rPr>
        <w:t xml:space="preserve"> </w:t>
      </w:r>
      <w:r w:rsidRPr="0C3103DC" w:rsidR="00FD6BD9">
        <w:rPr>
          <w:rFonts w:eastAsia="Times New Roman"/>
          <w:color w:val="000000" w:themeColor="text1"/>
        </w:rPr>
        <w:t>approved data encryption.</w:t>
      </w:r>
      <w:r w:rsidRPr="0C3103DC" w:rsidR="00CE1DAE">
        <w:rPr>
          <w:rFonts w:eastAsia="Times New Roman"/>
          <w:color w:val="000000" w:themeColor="text1"/>
        </w:rPr>
        <w:t xml:space="preserve"> Access to the </w:t>
      </w:r>
      <w:r w:rsidRPr="0C3103DC" w:rsidR="00FD6BD9">
        <w:rPr>
          <w:rFonts w:eastAsia="Times New Roman"/>
          <w:color w:val="000000" w:themeColor="text1"/>
        </w:rPr>
        <w:t xml:space="preserve">survey </w:t>
      </w:r>
      <w:r w:rsidRPr="0C3103DC" w:rsidR="00CE1DAE">
        <w:rPr>
          <w:rFonts w:eastAsia="Times New Roman"/>
          <w:color w:val="000000" w:themeColor="text1"/>
        </w:rPr>
        <w:t xml:space="preserve">data will be restricted to approved staff at ACF and authorized </w:t>
      </w:r>
      <w:r w:rsidRPr="0C3103DC">
        <w:rPr>
          <w:rFonts w:eastAsia="Times New Roman"/>
          <w:color w:val="000000" w:themeColor="text1"/>
        </w:rPr>
        <w:t>Contractor</w:t>
      </w:r>
      <w:r w:rsidRPr="0C3103DC" w:rsidR="00CE1DAE">
        <w:rPr>
          <w:rFonts w:eastAsia="Times New Roman"/>
          <w:color w:val="000000" w:themeColor="text1"/>
        </w:rPr>
        <w:t xml:space="preserve"> study team </w:t>
      </w:r>
      <w:r w:rsidRPr="0C3103DC" w:rsidR="00CE1DAE">
        <w:rPr>
          <w:rFonts w:eastAsia="Times New Roman"/>
          <w:color w:val="000000" w:themeColor="text1"/>
        </w:rPr>
        <w:t>members who will monitor data collection</w:t>
      </w:r>
      <w:r w:rsidRPr="0C3103DC" w:rsidR="0055467D">
        <w:rPr>
          <w:rFonts w:eastAsia="Times New Roman"/>
          <w:color w:val="000000" w:themeColor="text1"/>
        </w:rPr>
        <w:t>. No personally identifiable information will be collected on the survey.</w:t>
      </w:r>
      <w:bookmarkEnd w:id="0"/>
    </w:p>
    <w:p w:rsidR="00D60E8D" w:rsidP="003A617B" w14:paraId="1092DD06" w14:textId="77777777">
      <w:pPr>
        <w:autoSpaceDE w:val="0"/>
        <w:autoSpaceDN w:val="0"/>
        <w:adjustRightInd w:val="0"/>
        <w:spacing w:after="0" w:line="240" w:lineRule="atLeast"/>
        <w:ind w:left="720"/>
        <w:rPr>
          <w:rFonts w:eastAsia="Times New Roman"/>
          <w:color w:val="000000" w:themeColor="text1"/>
        </w:rPr>
      </w:pPr>
    </w:p>
    <w:p w:rsidR="00D60E8D" w:rsidRPr="00D60E8D" w:rsidP="00D60E8D" w14:paraId="6104DC15" w14:textId="2F5E1B1F">
      <w:pPr>
        <w:autoSpaceDE w:val="0"/>
        <w:autoSpaceDN w:val="0"/>
        <w:adjustRightInd w:val="0"/>
        <w:spacing w:after="0" w:line="240" w:lineRule="atLeast"/>
        <w:ind w:left="720"/>
        <w:rPr>
          <w:rFonts w:eastAsia="Times New Roman"/>
          <w:color w:val="000000"/>
        </w:rPr>
      </w:pPr>
      <w:r w:rsidRPr="0C3103DC">
        <w:rPr>
          <w:rFonts w:eastAsia="Times New Roman"/>
          <w:color w:val="000000" w:themeColor="text1"/>
        </w:rPr>
        <w:t xml:space="preserve">The screener </w:t>
      </w:r>
      <w:r w:rsidR="00D24EC7">
        <w:rPr>
          <w:rFonts w:eastAsia="Times New Roman"/>
          <w:color w:val="000000" w:themeColor="text1"/>
        </w:rPr>
        <w:t xml:space="preserve">(instrument 5) </w:t>
      </w:r>
      <w:r w:rsidRPr="0C3103DC">
        <w:rPr>
          <w:rFonts w:eastAsia="Times New Roman"/>
          <w:color w:val="000000" w:themeColor="text1"/>
        </w:rPr>
        <w:t xml:space="preserve">will be conducted via a web survey hosted on the recruiting panel SAGO’s secure HTTP site </w:t>
      </w:r>
      <w:r w:rsidRPr="0C3103DC">
        <w:rPr>
          <w:rFonts w:eastAsia="Times New Roman"/>
          <w:color w:val="000000" w:themeColor="text1"/>
        </w:rPr>
        <w:t>Methodify</w:t>
      </w:r>
      <w:r w:rsidRPr="0C3103DC">
        <w:rPr>
          <w:rFonts w:eastAsia="Times New Roman"/>
          <w:color w:val="000000" w:themeColor="text1"/>
        </w:rPr>
        <w:t xml:space="preserve">.  Sago is ISO 27001 certified, and as such, their operating systems and applications comply with high international and industry standards and best practices for data security and protection. Their systems are regularly updated with the latest stable releases and security patches, service packs, and hot fixes as they are made available by the vendors. </w:t>
      </w:r>
      <w:r w:rsidRPr="0C3103DC" w:rsidR="00D24EC7">
        <w:rPr>
          <w:rFonts w:eastAsia="Times New Roman"/>
          <w:color w:val="000000" w:themeColor="text1"/>
        </w:rPr>
        <w:t xml:space="preserve">No personally identifiable information will be collected </w:t>
      </w:r>
      <w:r w:rsidR="00D24EC7">
        <w:rPr>
          <w:rFonts w:eastAsia="Times New Roman"/>
          <w:color w:val="000000" w:themeColor="text1"/>
        </w:rPr>
        <w:t>for the screener</w:t>
      </w:r>
      <w:r w:rsidRPr="0C3103DC" w:rsidR="00D24EC7">
        <w:rPr>
          <w:rFonts w:eastAsia="Times New Roman"/>
          <w:color w:val="000000" w:themeColor="text1"/>
        </w:rPr>
        <w:t>.</w:t>
      </w:r>
    </w:p>
    <w:p w:rsidR="00D60E8D" w:rsidRPr="00D60E8D" w:rsidP="00D60E8D" w14:paraId="127BF61C" w14:textId="77777777">
      <w:pPr>
        <w:autoSpaceDE w:val="0"/>
        <w:autoSpaceDN w:val="0"/>
        <w:adjustRightInd w:val="0"/>
        <w:spacing w:after="0" w:line="240" w:lineRule="atLeast"/>
        <w:ind w:left="720"/>
        <w:rPr>
          <w:rFonts w:eastAsia="Times New Roman"/>
          <w:color w:val="000000"/>
        </w:rPr>
      </w:pPr>
    </w:p>
    <w:p w:rsidR="00D60E8D" w:rsidP="00D60E8D" w14:paraId="1C216F04" w14:textId="4A35C848">
      <w:pPr>
        <w:autoSpaceDE w:val="0"/>
        <w:autoSpaceDN w:val="0"/>
        <w:adjustRightInd w:val="0"/>
        <w:spacing w:after="0" w:line="240" w:lineRule="atLeast"/>
        <w:ind w:left="720"/>
        <w:rPr>
          <w:rFonts w:eastAsia="Times New Roman"/>
          <w:color w:val="000000"/>
        </w:rPr>
      </w:pPr>
      <w:r w:rsidRPr="0C3103DC">
        <w:rPr>
          <w:rFonts w:eastAsia="Times New Roman"/>
          <w:color w:val="000000" w:themeColor="text1"/>
        </w:rPr>
        <w:t>SAGO complies with the EU-U.S. Data Privacy Framework (EU-U.S. DPF) and the UK Extension to the EU-U.S. DPF as set forth by the U.S. Department of Commerce. In the United States, SAGO adheres to all relevant federal and state privacy laws, including the California Consumer Privacy Act (CCPA) and the amended California Privacy Rights Act (CPRA). SAGO uses physical, electronic, and procedural safeguards when collecting and storing data, encrypting transmissions using secure socket layer (SSL) technology.</w:t>
      </w:r>
    </w:p>
    <w:p w:rsidR="00861A1F" w:rsidRPr="002E2E7A" w:rsidP="0C3103DC" w14:paraId="6C45A8C4" w14:textId="5B2B316C">
      <w:pPr>
        <w:autoSpaceDE w:val="0"/>
        <w:autoSpaceDN w:val="0"/>
        <w:adjustRightInd w:val="0"/>
        <w:spacing w:after="0" w:line="240" w:lineRule="atLeast"/>
        <w:rPr>
          <w:rFonts w:eastAsia="Times New Roman"/>
          <w:color w:val="000000"/>
        </w:rPr>
      </w:pPr>
    </w:p>
    <w:p w:rsidR="00861A1F" w:rsidRPr="002E2E7A" w:rsidP="0C3103DC" w14:paraId="4768592B" w14:textId="77777777">
      <w:pPr>
        <w:autoSpaceDE w:val="0"/>
        <w:autoSpaceDN w:val="0"/>
        <w:adjustRightInd w:val="0"/>
        <w:spacing w:after="60" w:line="240" w:lineRule="atLeast"/>
        <w:ind w:firstLine="720"/>
        <w:rPr>
          <w:rFonts w:eastAsia="Times New Roman"/>
          <w:i/>
          <w:iCs/>
          <w:color w:val="000000"/>
        </w:rPr>
      </w:pPr>
      <w:r w:rsidRPr="0C3103DC">
        <w:rPr>
          <w:rFonts w:eastAsia="Times New Roman"/>
          <w:i/>
          <w:iCs/>
          <w:color w:val="000000" w:themeColor="text1"/>
        </w:rPr>
        <w:t>Data Analysis</w:t>
      </w:r>
    </w:p>
    <w:p w:rsidR="00E67BC8" w:rsidRPr="00E67BC8" w:rsidP="003A617B" w14:paraId="45C9B960" w14:textId="65DC5988">
      <w:pPr>
        <w:autoSpaceDE w:val="0"/>
        <w:autoSpaceDN w:val="0"/>
        <w:adjustRightInd w:val="0"/>
        <w:spacing w:after="0" w:line="240" w:lineRule="atLeast"/>
        <w:ind w:left="720"/>
        <w:rPr>
          <w:rFonts w:eastAsia="Times New Roman" w:cstheme="minorHAnsi"/>
          <w:bCs/>
          <w:iCs/>
          <w:color w:val="000000"/>
        </w:rPr>
      </w:pPr>
      <w:r>
        <w:rPr>
          <w:rFonts w:eastAsia="Times New Roman" w:cstheme="minorHAnsi"/>
          <w:bCs/>
          <w:iCs/>
          <w:color w:val="000000"/>
        </w:rPr>
        <w:t>The contractor team</w:t>
      </w:r>
      <w:r w:rsidRPr="00E67BC8">
        <w:rPr>
          <w:rFonts w:eastAsia="Times New Roman" w:cstheme="minorHAnsi"/>
          <w:bCs/>
          <w:iCs/>
          <w:color w:val="000000"/>
        </w:rPr>
        <w:t xml:space="preserve"> will </w:t>
      </w:r>
      <w:r w:rsidR="0018735D">
        <w:rPr>
          <w:rFonts w:eastAsia="Times New Roman" w:cstheme="minorHAnsi"/>
          <w:bCs/>
          <w:iCs/>
          <w:color w:val="000000"/>
        </w:rPr>
        <w:t xml:space="preserve">use </w:t>
      </w:r>
      <w:r w:rsidR="00070ACE">
        <w:rPr>
          <w:rFonts w:eastAsia="Times New Roman" w:cstheme="minorHAnsi"/>
          <w:bCs/>
          <w:iCs/>
          <w:color w:val="000000"/>
        </w:rPr>
        <w:t xml:space="preserve">thematic analysis for qualitative data and </w:t>
      </w:r>
      <w:r w:rsidR="0018735D">
        <w:rPr>
          <w:rFonts w:eastAsia="Times New Roman" w:cstheme="minorHAnsi"/>
          <w:bCs/>
          <w:iCs/>
          <w:color w:val="000000"/>
        </w:rPr>
        <w:t xml:space="preserve">descriptive statistics to </w:t>
      </w:r>
      <w:r w:rsidRPr="00E67BC8">
        <w:rPr>
          <w:rFonts w:eastAsia="Times New Roman" w:cstheme="minorHAnsi"/>
          <w:bCs/>
          <w:iCs/>
          <w:color w:val="000000"/>
        </w:rPr>
        <w:t>tabulate survey responses.</w:t>
      </w:r>
      <w:r>
        <w:rPr>
          <w:rFonts w:eastAsia="Times New Roman" w:cstheme="minorHAnsi"/>
          <w:bCs/>
          <w:iCs/>
          <w:color w:val="000000"/>
        </w:rPr>
        <w:t xml:space="preserve"> No statistical tests are planned.</w:t>
      </w:r>
    </w:p>
    <w:p w:rsidR="00861A1F" w:rsidRPr="002E2E7A" w:rsidP="00861A1F" w14:paraId="67180AB2" w14:textId="77777777">
      <w:pPr>
        <w:autoSpaceDE w:val="0"/>
        <w:autoSpaceDN w:val="0"/>
        <w:adjustRightInd w:val="0"/>
        <w:spacing w:after="0" w:line="240" w:lineRule="atLeast"/>
        <w:rPr>
          <w:rFonts w:eastAsia="Times New Roman" w:cstheme="minorHAnsi"/>
          <w:bCs/>
          <w:i/>
          <w:color w:val="000000"/>
        </w:rPr>
      </w:pPr>
    </w:p>
    <w:p w:rsidR="00861A1F" w:rsidRPr="002E2E7A" w:rsidP="0C3103DC" w14:paraId="205F3F6F" w14:textId="262C4084">
      <w:pPr>
        <w:autoSpaceDE w:val="0"/>
        <w:autoSpaceDN w:val="0"/>
        <w:adjustRightInd w:val="0"/>
        <w:spacing w:after="60" w:line="240" w:lineRule="atLeast"/>
        <w:ind w:firstLine="720"/>
        <w:rPr>
          <w:rFonts w:eastAsia="Times New Roman"/>
          <w:i/>
          <w:iCs/>
          <w:color w:val="000000"/>
        </w:rPr>
      </w:pPr>
      <w:r w:rsidRPr="0C3103DC">
        <w:rPr>
          <w:rFonts w:eastAsia="Times New Roman"/>
          <w:i/>
          <w:iCs/>
          <w:color w:val="000000" w:themeColor="text1"/>
        </w:rPr>
        <w:t>Use</w:t>
      </w:r>
      <w:r w:rsidRPr="0C3103DC" w:rsidR="00AB76BB">
        <w:rPr>
          <w:rFonts w:eastAsia="Times New Roman"/>
          <w:i/>
          <w:iCs/>
          <w:color w:val="000000" w:themeColor="text1"/>
        </w:rPr>
        <w:t xml:space="preserve"> </w:t>
      </w:r>
      <w:r w:rsidRPr="0C3103DC" w:rsidR="00C8133E">
        <w:rPr>
          <w:rFonts w:eastAsia="Times New Roman"/>
          <w:i/>
          <w:iCs/>
          <w:color w:val="000000" w:themeColor="text1"/>
        </w:rPr>
        <w:t xml:space="preserve">of </w:t>
      </w:r>
      <w:r w:rsidRPr="0C3103DC" w:rsidR="00AB76BB">
        <w:rPr>
          <w:rFonts w:eastAsia="Times New Roman"/>
          <w:i/>
          <w:iCs/>
          <w:color w:val="000000" w:themeColor="text1"/>
        </w:rPr>
        <w:t>Information Collected</w:t>
      </w:r>
    </w:p>
    <w:p w:rsidR="001960ED" w:rsidRPr="002E2E7A" w:rsidP="003A617B" w14:paraId="7C457283" w14:textId="4F6B2C6C">
      <w:pPr>
        <w:pStyle w:val="ListParagraph"/>
        <w:spacing w:after="0" w:line="240" w:lineRule="auto"/>
      </w:pPr>
      <w:r w:rsidRPr="44C0C9D1">
        <w:rPr>
          <w:rFonts w:eastAsia="Times New Roman"/>
          <w:color w:val="000000" w:themeColor="text1"/>
        </w:rPr>
        <w:t xml:space="preserve">ACF’s contractor will synthesize the information from the virtual focus groups it conducts and the survey responses into a memo for internal ACF use. </w:t>
      </w:r>
      <w:r w:rsidRPr="44C0C9D1">
        <w:rPr>
          <w:rFonts w:eastAsia="Times New Roman"/>
          <w:color w:val="000000" w:themeColor="text1"/>
        </w:rPr>
        <w:t>At a later time</w:t>
      </w:r>
      <w:r w:rsidRPr="44C0C9D1">
        <w:rPr>
          <w:rFonts w:eastAsia="Times New Roman"/>
          <w:color w:val="000000" w:themeColor="text1"/>
        </w:rPr>
        <w:t xml:space="preserve">, ACF may </w:t>
      </w:r>
      <w:r w:rsidRPr="44C0C9D1" w:rsidR="0018735D">
        <w:rPr>
          <w:rFonts w:eastAsia="Times New Roman"/>
          <w:color w:val="000000" w:themeColor="text1"/>
        </w:rPr>
        <w:t xml:space="preserve">use information from the </w:t>
      </w:r>
      <w:r w:rsidRPr="44C0C9D1">
        <w:rPr>
          <w:rFonts w:eastAsia="Times New Roman"/>
          <w:color w:val="000000" w:themeColor="text1"/>
        </w:rPr>
        <w:t xml:space="preserve">focus groups and </w:t>
      </w:r>
      <w:r w:rsidRPr="44C0C9D1" w:rsidR="0018735D">
        <w:rPr>
          <w:rFonts w:eastAsia="Times New Roman"/>
          <w:color w:val="000000" w:themeColor="text1"/>
        </w:rPr>
        <w:t>survey to develop publicly available guidance for grantees</w:t>
      </w:r>
      <w:r w:rsidRPr="44C0C9D1">
        <w:rPr>
          <w:rFonts w:eastAsia="Times New Roman"/>
          <w:color w:val="000000" w:themeColor="text1"/>
        </w:rPr>
        <w:t>.</w:t>
      </w:r>
    </w:p>
    <w:p w:rsidR="002E2E7A" w:rsidRPr="002E2E7A" w:rsidP="008369BA" w14:paraId="2F0CB112" w14:textId="77777777">
      <w:pPr>
        <w:pStyle w:val="ListParagraph"/>
        <w:spacing w:after="0" w:line="240" w:lineRule="auto"/>
        <w:ind w:left="0"/>
        <w:rPr>
          <w:rFonts w:cstheme="minorHAnsi"/>
        </w:rPr>
      </w:pPr>
    </w:p>
    <w:p w:rsidR="00BB2925" w:rsidRPr="002E2E7A" w:rsidP="008369BA" w14:paraId="0FA0D997" w14:textId="77777777">
      <w:pPr>
        <w:pStyle w:val="ListParagraph"/>
        <w:spacing w:after="0" w:line="240" w:lineRule="auto"/>
        <w:ind w:left="0"/>
        <w:rPr>
          <w:rFonts w:cstheme="minorHAnsi"/>
        </w:rPr>
      </w:pPr>
    </w:p>
    <w:p w:rsidR="00E75D57" w:rsidRPr="002E2E7A" w:rsidP="00861A1F" w14:paraId="37839294" w14:textId="283454A8">
      <w:pPr>
        <w:pStyle w:val="ListParagraph"/>
        <w:numPr>
          <w:ilvl w:val="0"/>
          <w:numId w:val="31"/>
        </w:numPr>
        <w:autoSpaceDE w:val="0"/>
        <w:autoSpaceDN w:val="0"/>
        <w:adjustRightInd w:val="0"/>
        <w:spacing w:after="120" w:line="240" w:lineRule="atLeast"/>
        <w:rPr>
          <w:rFonts w:eastAsia="Times New Roman" w:cstheme="minorHAnsi"/>
          <w:bCs/>
          <w:color w:val="000000"/>
        </w:rPr>
      </w:pPr>
      <w:r w:rsidRPr="002E2E7A">
        <w:rPr>
          <w:rFonts w:eastAsia="Times New Roman" w:cstheme="minorHAnsi"/>
          <w:b/>
          <w:bCs/>
          <w:color w:val="000000"/>
        </w:rPr>
        <w:t>Methods to Maximize Response Rates and Deal with Nonresponse</w:t>
      </w:r>
    </w:p>
    <w:p w:rsidR="00861A1F" w:rsidRPr="002E2E7A" w:rsidP="0C3103DC" w14:paraId="30DCE58E" w14:textId="77777777">
      <w:pPr>
        <w:autoSpaceDE w:val="0"/>
        <w:autoSpaceDN w:val="0"/>
        <w:adjustRightInd w:val="0"/>
        <w:spacing w:after="60" w:line="240" w:lineRule="atLeast"/>
        <w:ind w:firstLine="720"/>
        <w:rPr>
          <w:rFonts w:eastAsia="Times New Roman"/>
          <w:i/>
          <w:iCs/>
          <w:color w:val="000000"/>
        </w:rPr>
      </w:pPr>
      <w:r w:rsidRPr="0C3103DC">
        <w:rPr>
          <w:rFonts w:eastAsia="Times New Roman"/>
          <w:i/>
          <w:iCs/>
          <w:color w:val="000000" w:themeColor="text1"/>
        </w:rPr>
        <w:t>Response Rates</w:t>
      </w:r>
    </w:p>
    <w:p w:rsidR="00861A1F" w:rsidRPr="00E67BC8" w:rsidP="003A617B" w14:paraId="07BB3053" w14:textId="6C9CF3F3">
      <w:pPr>
        <w:autoSpaceDE w:val="0"/>
        <w:autoSpaceDN w:val="0"/>
        <w:adjustRightInd w:val="0"/>
        <w:spacing w:after="0" w:line="240" w:lineRule="atLeast"/>
        <w:ind w:left="720"/>
        <w:rPr>
          <w:rFonts w:eastAsia="Times New Roman"/>
          <w:color w:val="000000"/>
        </w:rPr>
      </w:pPr>
      <w:r w:rsidRPr="44C0C9D1">
        <w:rPr>
          <w:rFonts w:eastAsia="Times New Roman"/>
          <w:color w:val="000000" w:themeColor="text1"/>
        </w:rPr>
        <w:t xml:space="preserve">The survey </w:t>
      </w:r>
      <w:r w:rsidRPr="44C0C9D1" w:rsidR="4EDF17F4">
        <w:rPr>
          <w:rFonts w:eastAsia="Times New Roman"/>
          <w:color w:val="000000" w:themeColor="text1"/>
        </w:rPr>
        <w:t xml:space="preserve">is </w:t>
      </w:r>
      <w:r w:rsidRPr="44C0C9D1">
        <w:rPr>
          <w:rFonts w:eastAsia="Times New Roman"/>
          <w:color w:val="000000" w:themeColor="text1"/>
        </w:rPr>
        <w:t>not designed to produce statistically generalizable findings and participation is wholly at the respondent’s discretion. Response rates will not be calculated or reported.</w:t>
      </w:r>
    </w:p>
    <w:p w:rsidR="002E2E7A" w:rsidRPr="002E2E7A" w:rsidP="00861A1F" w14:paraId="1AEE49C7" w14:textId="77777777">
      <w:pPr>
        <w:autoSpaceDE w:val="0"/>
        <w:autoSpaceDN w:val="0"/>
        <w:adjustRightInd w:val="0"/>
        <w:spacing w:after="0" w:line="240" w:lineRule="atLeast"/>
        <w:rPr>
          <w:rFonts w:eastAsia="Times New Roman" w:cstheme="minorHAnsi"/>
          <w:i/>
          <w:color w:val="000000"/>
        </w:rPr>
      </w:pPr>
    </w:p>
    <w:p w:rsidR="00861A1F" w:rsidRPr="002E2E7A" w:rsidP="0C3103DC" w14:paraId="33398FA8" w14:textId="77777777">
      <w:pPr>
        <w:autoSpaceDE w:val="0"/>
        <w:autoSpaceDN w:val="0"/>
        <w:adjustRightInd w:val="0"/>
        <w:spacing w:after="60" w:line="240" w:lineRule="atLeast"/>
        <w:ind w:firstLine="720"/>
        <w:rPr>
          <w:rFonts w:eastAsia="Times New Roman"/>
          <w:i/>
          <w:iCs/>
          <w:color w:val="000000"/>
        </w:rPr>
      </w:pPr>
      <w:r w:rsidRPr="0C3103DC">
        <w:rPr>
          <w:rFonts w:eastAsia="Times New Roman"/>
          <w:i/>
          <w:iCs/>
          <w:color w:val="000000" w:themeColor="text1"/>
        </w:rPr>
        <w:t>NonResponse</w:t>
      </w:r>
    </w:p>
    <w:p w:rsidR="00487654" w:rsidP="003A617B" w14:paraId="6A3764F2" w14:textId="64D8C85F">
      <w:pPr>
        <w:autoSpaceDE w:val="0"/>
        <w:autoSpaceDN w:val="0"/>
        <w:adjustRightInd w:val="0"/>
        <w:spacing w:after="0" w:line="240" w:lineRule="atLeast"/>
        <w:ind w:left="720"/>
        <w:rPr>
          <w:rFonts w:eastAsia="Times New Roman" w:cstheme="minorHAnsi"/>
          <w:color w:val="000000"/>
        </w:rPr>
      </w:pPr>
      <w:r w:rsidRPr="00E67BC8">
        <w:rPr>
          <w:rFonts w:eastAsia="Times New Roman" w:cstheme="minorHAnsi"/>
          <w:color w:val="000000"/>
        </w:rPr>
        <w:t>As participants will not be randomly sampled and findings are not intended to be representative, non-response bias will not be calculated. Respondent demographics will be documented</w:t>
      </w:r>
      <w:r>
        <w:rPr>
          <w:rFonts w:eastAsia="Times New Roman" w:cstheme="minorHAnsi"/>
          <w:color w:val="000000"/>
        </w:rPr>
        <w:t xml:space="preserve"> to the extent feasible</w:t>
      </w:r>
      <w:r w:rsidRPr="00E67BC8">
        <w:rPr>
          <w:rFonts w:eastAsia="Times New Roman" w:cstheme="minorHAnsi"/>
          <w:color w:val="000000"/>
        </w:rPr>
        <w:t xml:space="preserve"> and reported in written materials associated with the data collection.</w:t>
      </w:r>
    </w:p>
    <w:p w:rsidR="00E67BC8" w:rsidP="00901040" w14:paraId="3138D11D" w14:textId="77777777">
      <w:pPr>
        <w:autoSpaceDE w:val="0"/>
        <w:autoSpaceDN w:val="0"/>
        <w:adjustRightInd w:val="0"/>
        <w:spacing w:after="0" w:line="240" w:lineRule="atLeast"/>
        <w:rPr>
          <w:rFonts w:eastAsia="Times New Roman" w:cstheme="minorHAnsi"/>
          <w:color w:val="000000"/>
        </w:rPr>
      </w:pPr>
    </w:p>
    <w:p w:rsidR="00C8133E" w:rsidRPr="002E2E7A" w:rsidP="00901040" w14:paraId="108BB905" w14:textId="77777777">
      <w:pPr>
        <w:autoSpaceDE w:val="0"/>
        <w:autoSpaceDN w:val="0"/>
        <w:adjustRightInd w:val="0"/>
        <w:spacing w:after="0" w:line="240" w:lineRule="atLeast"/>
        <w:rPr>
          <w:rFonts w:eastAsia="Times New Roman" w:cstheme="minorHAnsi"/>
          <w:color w:val="000000"/>
        </w:rPr>
      </w:pPr>
    </w:p>
    <w:p w:rsidR="00861A1F" w:rsidRPr="002E2E7A" w:rsidP="00861A1F" w14:paraId="5D4B14EA" w14:textId="55B98EC1">
      <w:pPr>
        <w:pStyle w:val="ListParagraph"/>
        <w:numPr>
          <w:ilvl w:val="0"/>
          <w:numId w:val="31"/>
        </w:numPr>
        <w:autoSpaceDE w:val="0"/>
        <w:autoSpaceDN w:val="0"/>
        <w:adjustRightInd w:val="0"/>
        <w:spacing w:after="120" w:line="240" w:lineRule="atLeast"/>
        <w:rPr>
          <w:rFonts w:eastAsia="Times New Roman" w:cstheme="minorHAnsi"/>
          <w:b/>
          <w:bCs/>
          <w:color w:val="000000"/>
        </w:rPr>
      </w:pPr>
      <w:r w:rsidRPr="002E2E7A">
        <w:rPr>
          <w:rFonts w:eastAsia="Times New Roman" w:cstheme="minorHAnsi"/>
          <w:b/>
          <w:bCs/>
          <w:color w:val="000000"/>
        </w:rPr>
        <w:t>Test of Procedures or Methods to be Taken</w:t>
      </w:r>
    </w:p>
    <w:p w:rsidR="00861A1F" w:rsidRPr="002E2E7A" w:rsidP="0C3103DC" w14:paraId="0F81D62F" w14:textId="44FAB451">
      <w:pPr>
        <w:autoSpaceDE w:val="0"/>
        <w:autoSpaceDN w:val="0"/>
        <w:adjustRightInd w:val="0"/>
        <w:spacing w:after="60" w:line="240" w:lineRule="atLeast"/>
        <w:ind w:firstLine="720"/>
        <w:rPr>
          <w:rFonts w:eastAsia="Times New Roman"/>
          <w:i/>
          <w:iCs/>
          <w:color w:val="000000"/>
        </w:rPr>
      </w:pPr>
      <w:r w:rsidRPr="0C3103DC">
        <w:rPr>
          <w:rFonts w:eastAsia="Times New Roman"/>
          <w:i/>
          <w:iCs/>
          <w:color w:val="000000" w:themeColor="text1"/>
        </w:rPr>
        <w:t>Development of Data Collection Instruments</w:t>
      </w:r>
    </w:p>
    <w:p w:rsidR="001960ED" w:rsidRPr="00E061D0" w:rsidP="003A617B" w14:paraId="22E298A2" w14:textId="7F6995EC">
      <w:pPr>
        <w:autoSpaceDE w:val="0"/>
        <w:autoSpaceDN w:val="0"/>
        <w:adjustRightInd w:val="0"/>
        <w:spacing w:after="0" w:line="240" w:lineRule="atLeast"/>
        <w:ind w:left="720"/>
        <w:rPr>
          <w:rFonts w:eastAsia="Times New Roman"/>
          <w:color w:val="000000"/>
        </w:rPr>
      </w:pPr>
      <w:r w:rsidRPr="44C0C9D1">
        <w:rPr>
          <w:rFonts w:eastAsia="Times New Roman"/>
          <w:color w:val="000000" w:themeColor="text1"/>
        </w:rPr>
        <w:t>Because</w:t>
      </w:r>
      <w:r w:rsidRPr="44C0C9D1" w:rsidR="00E67BC8">
        <w:rPr>
          <w:rFonts w:eastAsia="Times New Roman"/>
          <w:color w:val="000000" w:themeColor="text1"/>
        </w:rPr>
        <w:t xml:space="preserve"> the use of AI in human services programs is an area of nascent study, ACF developed the data collection instruments in consultation with its contractor. </w:t>
      </w:r>
      <w:r w:rsidRPr="44C0C9D1">
        <w:rPr>
          <w:rFonts w:eastAsia="Times New Roman"/>
          <w:color w:val="000000" w:themeColor="text1"/>
        </w:rPr>
        <w:t>Efforts were made to reduce respondent burden by limiting focus groups to only 60 minutes and limiting the survey to 5 minutes.</w:t>
      </w:r>
      <w:r w:rsidRPr="44C0C9D1" w:rsidR="00E67BC8">
        <w:rPr>
          <w:rFonts w:eastAsia="Times New Roman"/>
          <w:color w:val="000000" w:themeColor="text1"/>
        </w:rPr>
        <w:t xml:space="preserve"> </w:t>
      </w:r>
    </w:p>
    <w:p w:rsidR="001960ED" w:rsidP="00DF1291" w14:paraId="0F68BCC7" w14:textId="77777777">
      <w:pPr>
        <w:autoSpaceDE w:val="0"/>
        <w:autoSpaceDN w:val="0"/>
        <w:adjustRightInd w:val="0"/>
        <w:spacing w:after="0" w:line="240" w:lineRule="atLeast"/>
        <w:rPr>
          <w:rFonts w:eastAsia="Times New Roman" w:cstheme="minorHAnsi"/>
          <w:b/>
          <w:color w:val="000000"/>
        </w:rPr>
      </w:pPr>
    </w:p>
    <w:p w:rsidR="00C8133E" w:rsidRPr="002E2E7A" w:rsidP="00DF1291" w14:paraId="269BC694" w14:textId="77777777">
      <w:pPr>
        <w:autoSpaceDE w:val="0"/>
        <w:autoSpaceDN w:val="0"/>
        <w:adjustRightInd w:val="0"/>
        <w:spacing w:after="0" w:line="240" w:lineRule="atLeast"/>
        <w:rPr>
          <w:rFonts w:eastAsia="Times New Roman" w:cstheme="minorHAnsi"/>
          <w:b/>
          <w:color w:val="000000"/>
        </w:rPr>
      </w:pPr>
    </w:p>
    <w:p w:rsidR="00861A1F" w:rsidRPr="002E2E7A" w:rsidP="0C3103DC" w14:paraId="41C5F105" w14:textId="3003DD6E">
      <w:pPr>
        <w:pStyle w:val="ListParagraph"/>
        <w:numPr>
          <w:ilvl w:val="0"/>
          <w:numId w:val="31"/>
        </w:numPr>
        <w:spacing w:after="120" w:line="240" w:lineRule="auto"/>
        <w:rPr>
          <w:b/>
          <w:bCs/>
        </w:rPr>
      </w:pPr>
      <w:r w:rsidRPr="0C3103DC">
        <w:rPr>
          <w:b/>
          <w:bCs/>
        </w:rPr>
        <w:t>Individuals Consulted on Statistical Aspects and Individuals Collecting and/or Analyzing Data</w:t>
      </w:r>
    </w:p>
    <w:p w:rsidR="00F85D35" w:rsidP="003A617B" w14:paraId="63881DD6" w14:textId="2A1325DA">
      <w:pPr>
        <w:autoSpaceDE w:val="0"/>
        <w:autoSpaceDN w:val="0"/>
        <w:adjustRightInd w:val="0"/>
        <w:spacing w:after="0" w:line="240" w:lineRule="atLeast"/>
        <w:ind w:left="720"/>
        <w:rPr>
          <w:rFonts w:eastAsia="Times New Roman" w:cstheme="minorHAnsi"/>
          <w:color w:val="000000"/>
        </w:rPr>
      </w:pPr>
      <w:r w:rsidRPr="00E061D0">
        <w:rPr>
          <w:rFonts w:eastAsia="Times New Roman" w:cstheme="minorHAnsi"/>
          <w:color w:val="000000"/>
        </w:rPr>
        <w:t xml:space="preserve">Annalisa </w:t>
      </w:r>
      <w:r w:rsidRPr="00E061D0">
        <w:rPr>
          <w:rFonts w:eastAsia="Times New Roman" w:cstheme="minorHAnsi"/>
          <w:color w:val="000000"/>
        </w:rPr>
        <w:t>Mastri</w:t>
      </w:r>
      <w:r w:rsidRPr="00E061D0">
        <w:rPr>
          <w:rFonts w:eastAsia="Times New Roman" w:cstheme="minorHAnsi"/>
          <w:color w:val="000000"/>
        </w:rPr>
        <w:t xml:space="preserve"> (</w:t>
      </w:r>
      <w:hyperlink r:id="rId8" w:history="1">
        <w:r w:rsidRPr="00E061D0">
          <w:rPr>
            <w:rStyle w:val="Hyperlink"/>
            <w:rFonts w:eastAsia="Times New Roman" w:cstheme="minorHAnsi"/>
          </w:rPr>
          <w:t>amastri@mathematica-mpr.com</w:t>
        </w:r>
      </w:hyperlink>
      <w:r w:rsidRPr="00E061D0">
        <w:rPr>
          <w:rFonts w:eastAsia="Times New Roman" w:cstheme="minorHAnsi"/>
          <w:color w:val="000000"/>
        </w:rPr>
        <w:t xml:space="preserve">) can answer questions about the statistical aspects of the information collection. </w:t>
      </w:r>
      <w:r>
        <w:rPr>
          <w:rFonts w:eastAsia="Times New Roman" w:cstheme="minorHAnsi"/>
          <w:color w:val="000000"/>
        </w:rPr>
        <w:t>In addition, the following people will collect, process, and/or analyze the resulting information:</w:t>
      </w:r>
    </w:p>
    <w:p w:rsidR="00E061D0" w:rsidP="00E061D0" w14:paraId="7EF713BF" w14:textId="11A1FEEA">
      <w:pPr>
        <w:pStyle w:val="ListParagraph"/>
        <w:numPr>
          <w:ilvl w:val="0"/>
          <w:numId w:val="40"/>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Caitlin Lowery (ACF, OPRE)</w:t>
      </w:r>
    </w:p>
    <w:p w:rsidR="00E061D0" w:rsidP="44C0C9D1" w14:paraId="089AE271" w14:textId="7393E62A">
      <w:pPr>
        <w:pStyle w:val="ListParagraph"/>
        <w:numPr>
          <w:ilvl w:val="0"/>
          <w:numId w:val="40"/>
        </w:numPr>
        <w:autoSpaceDE w:val="0"/>
        <w:autoSpaceDN w:val="0"/>
        <w:adjustRightInd w:val="0"/>
        <w:spacing w:after="0" w:line="240" w:lineRule="atLeast"/>
        <w:rPr>
          <w:rFonts w:eastAsia="Times New Roman"/>
          <w:color w:val="000000"/>
        </w:rPr>
      </w:pPr>
      <w:r w:rsidRPr="44C0C9D1">
        <w:rPr>
          <w:rFonts w:eastAsia="Times New Roman"/>
          <w:color w:val="000000" w:themeColor="text1"/>
        </w:rPr>
        <w:t>Lauren Griff</w:t>
      </w:r>
      <w:r w:rsidRPr="44C0C9D1" w:rsidR="2C7D6E04">
        <w:rPr>
          <w:rFonts w:eastAsia="Times New Roman"/>
          <w:color w:val="000000" w:themeColor="text1"/>
        </w:rPr>
        <w:t>i</w:t>
      </w:r>
      <w:r w:rsidRPr="44C0C9D1">
        <w:rPr>
          <w:rFonts w:eastAsia="Times New Roman"/>
          <w:color w:val="000000" w:themeColor="text1"/>
        </w:rPr>
        <w:t>n (ACF, OPRE)</w:t>
      </w:r>
    </w:p>
    <w:p w:rsidR="00E061D0" w:rsidP="00E061D0" w14:paraId="226CFA04" w14:textId="3322BBD3">
      <w:pPr>
        <w:pStyle w:val="ListParagraph"/>
        <w:numPr>
          <w:ilvl w:val="0"/>
          <w:numId w:val="40"/>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Nicole Deterding (ACF, OPRE)</w:t>
      </w:r>
    </w:p>
    <w:p w:rsidR="00E061D0" w:rsidP="00E061D0" w14:paraId="61DB906B" w14:textId="74039020">
      <w:pPr>
        <w:pStyle w:val="ListParagraph"/>
        <w:numPr>
          <w:ilvl w:val="0"/>
          <w:numId w:val="40"/>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Joshua Williams (ACF, OPRE)</w:t>
      </w:r>
    </w:p>
    <w:p w:rsidR="00E061D0" w:rsidP="00E061D0" w14:paraId="3A57C2FE" w14:textId="405D7C89">
      <w:pPr>
        <w:pStyle w:val="ListParagraph"/>
        <w:numPr>
          <w:ilvl w:val="0"/>
          <w:numId w:val="40"/>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Jane Yang (ACF, OCIO)</w:t>
      </w:r>
    </w:p>
    <w:p w:rsidR="00E061D0" w:rsidP="00E061D0" w14:paraId="7DADDF0E" w14:textId="01E1E8EF">
      <w:pPr>
        <w:pStyle w:val="ListParagraph"/>
        <w:numPr>
          <w:ilvl w:val="0"/>
          <w:numId w:val="40"/>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Heather Zaveri (contractor, Mathematica)</w:t>
      </w:r>
    </w:p>
    <w:p w:rsidR="00E061D0" w:rsidP="00E061D0" w14:paraId="0A9B5047" w14:textId="3D687D94">
      <w:pPr>
        <w:pStyle w:val="ListParagraph"/>
        <w:numPr>
          <w:ilvl w:val="0"/>
          <w:numId w:val="40"/>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Megan Shoji (contractor, Mathematica)</w:t>
      </w:r>
    </w:p>
    <w:p w:rsidR="00E061D0" w:rsidP="00E061D0" w14:paraId="44B70476" w14:textId="0509C2FD">
      <w:pPr>
        <w:pStyle w:val="ListParagraph"/>
        <w:numPr>
          <w:ilvl w:val="0"/>
          <w:numId w:val="40"/>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Samantha Vance (contractor, Mathematica)</w:t>
      </w:r>
    </w:p>
    <w:p w:rsidR="00E061D0" w:rsidP="00E061D0" w14:paraId="684B1024" w14:textId="6949B5A4">
      <w:pPr>
        <w:pStyle w:val="ListParagraph"/>
        <w:numPr>
          <w:ilvl w:val="0"/>
          <w:numId w:val="40"/>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Katie Hunter (contractor, Mathematica)</w:t>
      </w:r>
    </w:p>
    <w:p w:rsidR="00E061D0" w:rsidRPr="00E061D0" w:rsidP="00E061D0" w14:paraId="28A8366C" w14:textId="57B6A8FD">
      <w:pPr>
        <w:pStyle w:val="ListParagraph"/>
        <w:numPr>
          <w:ilvl w:val="0"/>
          <w:numId w:val="40"/>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Tiffany Waits (contractor, Mathematica)</w:t>
      </w:r>
    </w:p>
    <w:p w:rsidR="00F85D35" w:rsidRPr="002E2E7A" w:rsidP="00901040" w14:paraId="13BC283F" w14:textId="3BF3BBC1">
      <w:pPr>
        <w:autoSpaceDE w:val="0"/>
        <w:autoSpaceDN w:val="0"/>
        <w:adjustRightInd w:val="0"/>
        <w:spacing w:after="0" w:line="240" w:lineRule="atLeast"/>
        <w:rPr>
          <w:rFonts w:eastAsia="Times New Roman" w:cstheme="minorHAnsi"/>
          <w:b/>
          <w:bCs/>
          <w:color w:val="000000"/>
        </w:rPr>
      </w:pPr>
    </w:p>
    <w:p w:rsidR="00F85D35" w:rsidRPr="002E2E7A" w:rsidP="00901040" w14:paraId="1076A033" w14:textId="77777777">
      <w:pPr>
        <w:autoSpaceDE w:val="0"/>
        <w:autoSpaceDN w:val="0"/>
        <w:adjustRightInd w:val="0"/>
        <w:spacing w:after="0" w:line="240" w:lineRule="atLeast"/>
        <w:rPr>
          <w:rFonts w:eastAsia="Times New Roman" w:cstheme="minorHAnsi"/>
          <w:b/>
          <w:bCs/>
          <w:color w:val="000000"/>
        </w:rPr>
      </w:pPr>
    </w:p>
    <w:p w:rsidR="00BB2925" w:rsidRPr="002E2E7A" w:rsidP="00901040" w14:paraId="7604B2A4" w14:textId="2C8F47E2">
      <w:pPr>
        <w:autoSpaceDE w:val="0"/>
        <w:autoSpaceDN w:val="0"/>
        <w:adjustRightInd w:val="0"/>
        <w:spacing w:after="0" w:line="240" w:lineRule="atLeast"/>
        <w:rPr>
          <w:rFonts w:eastAsia="Times New Roman" w:cstheme="minorHAnsi"/>
          <w:b/>
          <w:bCs/>
          <w:color w:val="000000"/>
        </w:rPr>
      </w:pPr>
    </w:p>
    <w:p w:rsidR="007B6FFF" w:rsidRPr="002E2E7A" w:rsidP="008369BA" w14:paraId="5D97D27E" w14:textId="77777777">
      <w:pPr>
        <w:spacing w:after="0" w:line="240" w:lineRule="auto"/>
        <w:rPr>
          <w:rFonts w:cstheme="minorHAnsi"/>
          <w:b/>
        </w:rPr>
      </w:pPr>
    </w:p>
    <w:p w:rsidR="00083227" w:rsidP="0C3103DC" w14:paraId="1E574BF6" w14:textId="24463D9C">
      <w:pPr>
        <w:spacing w:after="120" w:line="240" w:lineRule="auto"/>
        <w:rPr>
          <w:b/>
          <w:bCs/>
        </w:rPr>
      </w:pPr>
      <w:bookmarkStart w:id="1" w:name="_Hlk162930009"/>
      <w:r w:rsidRPr="0C3103DC">
        <w:rPr>
          <w:b/>
          <w:bCs/>
        </w:rPr>
        <w:t>Attachments</w:t>
      </w:r>
      <w:bookmarkEnd w:id="1"/>
    </w:p>
    <w:p w:rsidR="00E061D0" w:rsidRPr="00E74454" w:rsidP="44C0C9D1" w14:paraId="6886C741" w14:textId="43490DAE">
      <w:pPr>
        <w:pStyle w:val="ListParagraph"/>
        <w:numPr>
          <w:ilvl w:val="0"/>
          <w:numId w:val="41"/>
        </w:numPr>
        <w:spacing w:after="0" w:line="240" w:lineRule="auto"/>
      </w:pPr>
      <w:r>
        <w:t>Instrument 1: Focus groups with state leaders and others</w:t>
      </w:r>
    </w:p>
    <w:p w:rsidR="00E061D0" w:rsidRPr="00E74454" w:rsidP="44C0C9D1" w14:paraId="1596F3C3" w14:textId="647B5AC1">
      <w:pPr>
        <w:pStyle w:val="ListParagraph"/>
        <w:numPr>
          <w:ilvl w:val="0"/>
          <w:numId w:val="41"/>
        </w:numPr>
        <w:spacing w:after="0" w:line="240" w:lineRule="auto"/>
      </w:pPr>
      <w:r>
        <w:t>Instrument 2: Focus groups with public benefit participants</w:t>
      </w:r>
    </w:p>
    <w:p w:rsidR="003A617B" w:rsidP="0C3103DC" w14:paraId="35B07207" w14:textId="77777777">
      <w:pPr>
        <w:pStyle w:val="ListParagraph"/>
        <w:numPr>
          <w:ilvl w:val="0"/>
          <w:numId w:val="41"/>
        </w:numPr>
        <w:spacing w:after="0" w:line="240" w:lineRule="auto"/>
        <w:rPr>
          <w:rFonts w:eastAsiaTheme="minorEastAsia"/>
        </w:rPr>
      </w:pPr>
      <w:r w:rsidRPr="0C3103DC">
        <w:rPr>
          <w:rFonts w:eastAsiaTheme="minorEastAsia"/>
        </w:rPr>
        <w:t>Instrument 3: Survey of AI opinions—participants</w:t>
      </w:r>
    </w:p>
    <w:p w:rsidR="003A617B" w:rsidP="0C3103DC" w14:paraId="4D13551A" w14:textId="77777777">
      <w:pPr>
        <w:pStyle w:val="ListParagraph"/>
        <w:numPr>
          <w:ilvl w:val="0"/>
          <w:numId w:val="41"/>
        </w:numPr>
        <w:spacing w:after="0" w:line="240" w:lineRule="auto"/>
        <w:rPr>
          <w:rFonts w:eastAsiaTheme="minorEastAsia"/>
        </w:rPr>
      </w:pPr>
      <w:r w:rsidRPr="0C3103DC">
        <w:rPr>
          <w:rFonts w:eastAsiaTheme="minorEastAsia"/>
        </w:rPr>
        <w:t xml:space="preserve">Instrument 4: Survey of AI opinions—nonparticipants </w:t>
      </w:r>
    </w:p>
    <w:p w:rsidR="003A617B" w:rsidP="0C3103DC" w14:paraId="79B4A91F" w14:textId="77777777">
      <w:pPr>
        <w:pStyle w:val="ListParagraph"/>
        <w:numPr>
          <w:ilvl w:val="0"/>
          <w:numId w:val="41"/>
        </w:numPr>
        <w:spacing w:after="0" w:line="240" w:lineRule="auto"/>
        <w:rPr>
          <w:rFonts w:eastAsiaTheme="minorEastAsia"/>
        </w:rPr>
      </w:pPr>
      <w:r w:rsidRPr="0C3103DC">
        <w:rPr>
          <w:rFonts w:eastAsiaTheme="minorEastAsia"/>
        </w:rPr>
        <w:t>Instrument 5: Screener for participants</w:t>
      </w:r>
    </w:p>
    <w:p w:rsidR="0092489B" w:rsidRPr="00E061D0" w:rsidP="0C3103DC" w14:paraId="5EBD76BA" w14:textId="76ED7CF2">
      <w:pPr>
        <w:pStyle w:val="ListParagraph"/>
        <w:numPr>
          <w:ilvl w:val="0"/>
          <w:numId w:val="41"/>
        </w:numPr>
        <w:spacing w:after="120" w:line="240" w:lineRule="auto"/>
      </w:pPr>
      <w:r w:rsidRPr="0C3103DC">
        <w:rPr>
          <w:rFonts w:eastAsiaTheme="minorEastAsia"/>
        </w:rPr>
        <w:t>Appendix 1: Outreach materials</w:t>
      </w:r>
    </w:p>
    <w:sectPr w:rsidSect="00C91C71">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690005A"/>
    <w:multiLevelType w:val="hybridMultilevel"/>
    <w:tmpl w:val="616AA2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0D520C"/>
    <w:multiLevelType w:val="hybridMultilevel"/>
    <w:tmpl w:val="75105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0166B28"/>
    <w:multiLevelType w:val="hybridMultilevel"/>
    <w:tmpl w:val="65969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7F01FA7"/>
    <w:multiLevelType w:val="hybridMultilevel"/>
    <w:tmpl w:val="E886E4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4753646"/>
    <w:multiLevelType w:val="hybridMultilevel"/>
    <w:tmpl w:val="56F0A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5017271"/>
    <w:multiLevelType w:val="hybridMultilevel"/>
    <w:tmpl w:val="47E69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713977"/>
    <w:multiLevelType w:val="hybridMultilevel"/>
    <w:tmpl w:val="EB1C12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602A07"/>
    <w:multiLevelType w:val="hybridMultilevel"/>
    <w:tmpl w:val="F1667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2A54DE1"/>
    <w:multiLevelType w:val="hybridMultilevel"/>
    <w:tmpl w:val="CFAA512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9A46788"/>
    <w:multiLevelType w:val="hybridMultilevel"/>
    <w:tmpl w:val="39829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4901297">
    <w:abstractNumId w:val="6"/>
  </w:num>
  <w:num w:numId="2" w16cid:durableId="319038432">
    <w:abstractNumId w:val="25"/>
  </w:num>
  <w:num w:numId="3" w16cid:durableId="1604872407">
    <w:abstractNumId w:val="5"/>
  </w:num>
  <w:num w:numId="4" w16cid:durableId="1527325370">
    <w:abstractNumId w:val="32"/>
  </w:num>
  <w:num w:numId="5" w16cid:durableId="959185452">
    <w:abstractNumId w:val="19"/>
  </w:num>
  <w:num w:numId="6" w16cid:durableId="1293907087">
    <w:abstractNumId w:val="38"/>
  </w:num>
  <w:num w:numId="7" w16cid:durableId="615988064">
    <w:abstractNumId w:val="4"/>
  </w:num>
  <w:num w:numId="8" w16cid:durableId="1931428200">
    <w:abstractNumId w:val="9"/>
  </w:num>
  <w:num w:numId="9" w16cid:durableId="434639453">
    <w:abstractNumId w:val="18"/>
  </w:num>
  <w:num w:numId="10" w16cid:durableId="360281860">
    <w:abstractNumId w:val="36"/>
  </w:num>
  <w:num w:numId="11" w16cid:durableId="1095981811">
    <w:abstractNumId w:val="40"/>
  </w:num>
  <w:num w:numId="12" w16cid:durableId="1890338446">
    <w:abstractNumId w:val="34"/>
  </w:num>
  <w:num w:numId="13" w16cid:durableId="1775517567">
    <w:abstractNumId w:val="31"/>
  </w:num>
  <w:num w:numId="14" w16cid:durableId="478574455">
    <w:abstractNumId w:val="35"/>
  </w:num>
  <w:num w:numId="15" w16cid:durableId="1351832588">
    <w:abstractNumId w:val="20"/>
  </w:num>
  <w:num w:numId="16" w16cid:durableId="37753540">
    <w:abstractNumId w:val="30"/>
  </w:num>
  <w:num w:numId="17" w16cid:durableId="1518735812">
    <w:abstractNumId w:val="15"/>
  </w:num>
  <w:num w:numId="18" w16cid:durableId="1284651199">
    <w:abstractNumId w:val="8"/>
  </w:num>
  <w:num w:numId="19" w16cid:durableId="341470593">
    <w:abstractNumId w:val="7"/>
  </w:num>
  <w:num w:numId="20" w16cid:durableId="713651884">
    <w:abstractNumId w:val="28"/>
  </w:num>
  <w:num w:numId="21" w16cid:durableId="1360005047">
    <w:abstractNumId w:val="0"/>
  </w:num>
  <w:num w:numId="22" w16cid:durableId="1450080675">
    <w:abstractNumId w:val="2"/>
  </w:num>
  <w:num w:numId="23" w16cid:durableId="1703701882">
    <w:abstractNumId w:val="21"/>
  </w:num>
  <w:num w:numId="24" w16cid:durableId="657534782">
    <w:abstractNumId w:val="3"/>
  </w:num>
  <w:num w:numId="25" w16cid:durableId="1696149667">
    <w:abstractNumId w:val="10"/>
  </w:num>
  <w:num w:numId="26" w16cid:durableId="773869579">
    <w:abstractNumId w:val="26"/>
  </w:num>
  <w:num w:numId="27" w16cid:durableId="1817338402">
    <w:abstractNumId w:val="16"/>
  </w:num>
  <w:num w:numId="28" w16cid:durableId="34812060">
    <w:abstractNumId w:val="39"/>
  </w:num>
  <w:num w:numId="29" w16cid:durableId="1941646083">
    <w:abstractNumId w:val="33"/>
  </w:num>
  <w:num w:numId="30" w16cid:durableId="1073742400">
    <w:abstractNumId w:val="12"/>
  </w:num>
  <w:num w:numId="31" w16cid:durableId="1964847376">
    <w:abstractNumId w:val="29"/>
  </w:num>
  <w:num w:numId="32" w16cid:durableId="762992834">
    <w:abstractNumId w:val="11"/>
  </w:num>
  <w:num w:numId="33" w16cid:durableId="1981112550">
    <w:abstractNumId w:val="14"/>
  </w:num>
  <w:num w:numId="34" w16cid:durableId="63842582">
    <w:abstractNumId w:val="37"/>
  </w:num>
  <w:num w:numId="35" w16cid:durableId="1085609383">
    <w:abstractNumId w:val="27"/>
  </w:num>
  <w:num w:numId="36" w16cid:durableId="858548448">
    <w:abstractNumId w:val="13"/>
  </w:num>
  <w:num w:numId="37" w16cid:durableId="1410926770">
    <w:abstractNumId w:val="23"/>
  </w:num>
  <w:num w:numId="38" w16cid:durableId="61368868">
    <w:abstractNumId w:val="24"/>
  </w:num>
  <w:num w:numId="39" w16cid:durableId="858812207">
    <w:abstractNumId w:val="17"/>
  </w:num>
  <w:num w:numId="40" w16cid:durableId="260992610">
    <w:abstractNumId w:val="1"/>
  </w:num>
  <w:num w:numId="41" w16cid:durableId="65569228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34707"/>
    <w:rsid w:val="0004063C"/>
    <w:rsid w:val="0004247F"/>
    <w:rsid w:val="00060C59"/>
    <w:rsid w:val="00062AFB"/>
    <w:rsid w:val="000655DD"/>
    <w:rsid w:val="00070ACE"/>
    <w:rsid w:val="00071F79"/>
    <w:rsid w:val="0007251B"/>
    <w:rsid w:val="000733A5"/>
    <w:rsid w:val="00082C5B"/>
    <w:rsid w:val="00083227"/>
    <w:rsid w:val="00086CBE"/>
    <w:rsid w:val="00090812"/>
    <w:rsid w:val="000921F0"/>
    <w:rsid w:val="000A012A"/>
    <w:rsid w:val="000C45F1"/>
    <w:rsid w:val="000D4E9A"/>
    <w:rsid w:val="000D61D4"/>
    <w:rsid w:val="000D7942"/>
    <w:rsid w:val="000D7D44"/>
    <w:rsid w:val="000F1E4A"/>
    <w:rsid w:val="000F5559"/>
    <w:rsid w:val="00100D34"/>
    <w:rsid w:val="00103EFD"/>
    <w:rsid w:val="00107D87"/>
    <w:rsid w:val="00117246"/>
    <w:rsid w:val="001253F4"/>
    <w:rsid w:val="00157482"/>
    <w:rsid w:val="00165818"/>
    <w:rsid w:val="001707D8"/>
    <w:rsid w:val="0018735D"/>
    <w:rsid w:val="001960ED"/>
    <w:rsid w:val="001B0A76"/>
    <w:rsid w:val="001B6E1A"/>
    <w:rsid w:val="001F57F5"/>
    <w:rsid w:val="0020401C"/>
    <w:rsid w:val="0020629A"/>
    <w:rsid w:val="00206E11"/>
    <w:rsid w:val="00206FE3"/>
    <w:rsid w:val="00207554"/>
    <w:rsid w:val="00211261"/>
    <w:rsid w:val="00221E32"/>
    <w:rsid w:val="002246D5"/>
    <w:rsid w:val="0023386D"/>
    <w:rsid w:val="002517BB"/>
    <w:rsid w:val="00256E24"/>
    <w:rsid w:val="00265491"/>
    <w:rsid w:val="00276CE2"/>
    <w:rsid w:val="00287AF1"/>
    <w:rsid w:val="002A41C6"/>
    <w:rsid w:val="002B785B"/>
    <w:rsid w:val="002C4F75"/>
    <w:rsid w:val="002E2E7A"/>
    <w:rsid w:val="002E6CCF"/>
    <w:rsid w:val="002E784D"/>
    <w:rsid w:val="002F33D0"/>
    <w:rsid w:val="002F65C2"/>
    <w:rsid w:val="00300722"/>
    <w:rsid w:val="003029B4"/>
    <w:rsid w:val="0030316D"/>
    <w:rsid w:val="003454A5"/>
    <w:rsid w:val="00370324"/>
    <w:rsid w:val="00373D2F"/>
    <w:rsid w:val="00382109"/>
    <w:rsid w:val="003A617B"/>
    <w:rsid w:val="003A7774"/>
    <w:rsid w:val="003B0287"/>
    <w:rsid w:val="003C7358"/>
    <w:rsid w:val="003E61F6"/>
    <w:rsid w:val="003F0D93"/>
    <w:rsid w:val="00407537"/>
    <w:rsid w:val="004165BD"/>
    <w:rsid w:val="0042220D"/>
    <w:rsid w:val="0043377A"/>
    <w:rsid w:val="004379B6"/>
    <w:rsid w:val="0044428E"/>
    <w:rsid w:val="00444292"/>
    <w:rsid w:val="00446465"/>
    <w:rsid w:val="00460D54"/>
    <w:rsid w:val="00461D3E"/>
    <w:rsid w:val="004706CC"/>
    <w:rsid w:val="00487654"/>
    <w:rsid w:val="004B75AC"/>
    <w:rsid w:val="004C3644"/>
    <w:rsid w:val="004C4A8D"/>
    <w:rsid w:val="004D12DD"/>
    <w:rsid w:val="004E5778"/>
    <w:rsid w:val="004E7ED8"/>
    <w:rsid w:val="0050376D"/>
    <w:rsid w:val="00512C25"/>
    <w:rsid w:val="005234BC"/>
    <w:rsid w:val="005302CB"/>
    <w:rsid w:val="0055434C"/>
    <w:rsid w:val="0055467D"/>
    <w:rsid w:val="0057765A"/>
    <w:rsid w:val="00591283"/>
    <w:rsid w:val="005A61CE"/>
    <w:rsid w:val="005A7E5A"/>
    <w:rsid w:val="005B1285"/>
    <w:rsid w:val="005B1410"/>
    <w:rsid w:val="005B431B"/>
    <w:rsid w:val="005C7E12"/>
    <w:rsid w:val="005D4A40"/>
    <w:rsid w:val="005E493B"/>
    <w:rsid w:val="005F2951"/>
    <w:rsid w:val="00624DDC"/>
    <w:rsid w:val="006253B6"/>
    <w:rsid w:val="006257ED"/>
    <w:rsid w:val="0062686E"/>
    <w:rsid w:val="00630B30"/>
    <w:rsid w:val="00633407"/>
    <w:rsid w:val="006345D7"/>
    <w:rsid w:val="00651FF6"/>
    <w:rsid w:val="0067532A"/>
    <w:rsid w:val="0068303E"/>
    <w:rsid w:val="0068383E"/>
    <w:rsid w:val="006A4D02"/>
    <w:rsid w:val="006A5E1F"/>
    <w:rsid w:val="006B1BF9"/>
    <w:rsid w:val="006B2672"/>
    <w:rsid w:val="006B31DA"/>
    <w:rsid w:val="006B53F1"/>
    <w:rsid w:val="006B6037"/>
    <w:rsid w:val="006C0E56"/>
    <w:rsid w:val="006D3C83"/>
    <w:rsid w:val="006E4F82"/>
    <w:rsid w:val="006F1AAA"/>
    <w:rsid w:val="006F6832"/>
    <w:rsid w:val="00717BDC"/>
    <w:rsid w:val="0072072F"/>
    <w:rsid w:val="00723A28"/>
    <w:rsid w:val="00736B62"/>
    <w:rsid w:val="00763CC7"/>
    <w:rsid w:val="00764C85"/>
    <w:rsid w:val="00793E3E"/>
    <w:rsid w:val="007A29C5"/>
    <w:rsid w:val="007B6CA2"/>
    <w:rsid w:val="007B6FFF"/>
    <w:rsid w:val="007C2EE0"/>
    <w:rsid w:val="007C7B4B"/>
    <w:rsid w:val="00823428"/>
    <w:rsid w:val="008369BA"/>
    <w:rsid w:val="00840D32"/>
    <w:rsid w:val="00843933"/>
    <w:rsid w:val="00850F4C"/>
    <w:rsid w:val="00853C63"/>
    <w:rsid w:val="00861A1F"/>
    <w:rsid w:val="00864C1F"/>
    <w:rsid w:val="008673A7"/>
    <w:rsid w:val="00870FA1"/>
    <w:rsid w:val="00875220"/>
    <w:rsid w:val="00883ECD"/>
    <w:rsid w:val="00891CD9"/>
    <w:rsid w:val="008B0557"/>
    <w:rsid w:val="008B390E"/>
    <w:rsid w:val="008D3B4A"/>
    <w:rsid w:val="008D3E97"/>
    <w:rsid w:val="008E0239"/>
    <w:rsid w:val="008E2A87"/>
    <w:rsid w:val="008E4718"/>
    <w:rsid w:val="008F2446"/>
    <w:rsid w:val="008F570D"/>
    <w:rsid w:val="00901040"/>
    <w:rsid w:val="00923F25"/>
    <w:rsid w:val="0092489B"/>
    <w:rsid w:val="00944858"/>
    <w:rsid w:val="00963503"/>
    <w:rsid w:val="00963BE5"/>
    <w:rsid w:val="00965DBD"/>
    <w:rsid w:val="00970F05"/>
    <w:rsid w:val="00971944"/>
    <w:rsid w:val="009815C6"/>
    <w:rsid w:val="00996201"/>
    <w:rsid w:val="00997DB2"/>
    <w:rsid w:val="009A39E1"/>
    <w:rsid w:val="009A3AD8"/>
    <w:rsid w:val="009A6EE8"/>
    <w:rsid w:val="009B0F58"/>
    <w:rsid w:val="009B3DFB"/>
    <w:rsid w:val="009C3380"/>
    <w:rsid w:val="009D01CB"/>
    <w:rsid w:val="009E7E38"/>
    <w:rsid w:val="009F265B"/>
    <w:rsid w:val="009F482C"/>
    <w:rsid w:val="009F68DB"/>
    <w:rsid w:val="00A03E3F"/>
    <w:rsid w:val="00A1108E"/>
    <w:rsid w:val="00A27CD0"/>
    <w:rsid w:val="00A31F69"/>
    <w:rsid w:val="00A362B6"/>
    <w:rsid w:val="00A464DD"/>
    <w:rsid w:val="00A67DFF"/>
    <w:rsid w:val="00A71475"/>
    <w:rsid w:val="00A714DC"/>
    <w:rsid w:val="00A7179C"/>
    <w:rsid w:val="00A761CB"/>
    <w:rsid w:val="00A85701"/>
    <w:rsid w:val="00AB76BB"/>
    <w:rsid w:val="00AC54D4"/>
    <w:rsid w:val="00AD0344"/>
    <w:rsid w:val="00AD3261"/>
    <w:rsid w:val="00AD4355"/>
    <w:rsid w:val="00AE3F5F"/>
    <w:rsid w:val="00AF04E2"/>
    <w:rsid w:val="00AF7172"/>
    <w:rsid w:val="00B05FD8"/>
    <w:rsid w:val="00B076EE"/>
    <w:rsid w:val="00B13297"/>
    <w:rsid w:val="00B13DC4"/>
    <w:rsid w:val="00B17B7C"/>
    <w:rsid w:val="00B20DD1"/>
    <w:rsid w:val="00B23277"/>
    <w:rsid w:val="00B245AD"/>
    <w:rsid w:val="00B4182B"/>
    <w:rsid w:val="00B55E54"/>
    <w:rsid w:val="00B56589"/>
    <w:rsid w:val="00B64D05"/>
    <w:rsid w:val="00B70460"/>
    <w:rsid w:val="00B73EA6"/>
    <w:rsid w:val="00B813DF"/>
    <w:rsid w:val="00B9441B"/>
    <w:rsid w:val="00B96EE7"/>
    <w:rsid w:val="00BB2925"/>
    <w:rsid w:val="00BB4BF8"/>
    <w:rsid w:val="00BD702B"/>
    <w:rsid w:val="00BD7B78"/>
    <w:rsid w:val="00BE371B"/>
    <w:rsid w:val="00BE773B"/>
    <w:rsid w:val="00C05352"/>
    <w:rsid w:val="00C2505B"/>
    <w:rsid w:val="00C32404"/>
    <w:rsid w:val="00C73360"/>
    <w:rsid w:val="00C8133E"/>
    <w:rsid w:val="00C86CB2"/>
    <w:rsid w:val="00C91C71"/>
    <w:rsid w:val="00C95126"/>
    <w:rsid w:val="00CA72A5"/>
    <w:rsid w:val="00CC07BF"/>
    <w:rsid w:val="00CC4651"/>
    <w:rsid w:val="00CE018E"/>
    <w:rsid w:val="00CE1DAE"/>
    <w:rsid w:val="00CE7A4A"/>
    <w:rsid w:val="00CF315D"/>
    <w:rsid w:val="00D1343F"/>
    <w:rsid w:val="00D13AA8"/>
    <w:rsid w:val="00D13EB6"/>
    <w:rsid w:val="00D14C4B"/>
    <w:rsid w:val="00D239B5"/>
    <w:rsid w:val="00D24EC7"/>
    <w:rsid w:val="00D31070"/>
    <w:rsid w:val="00D32B72"/>
    <w:rsid w:val="00D4033C"/>
    <w:rsid w:val="00D45504"/>
    <w:rsid w:val="00D51337"/>
    <w:rsid w:val="00D5346A"/>
    <w:rsid w:val="00D55767"/>
    <w:rsid w:val="00D60E8D"/>
    <w:rsid w:val="00D71BA0"/>
    <w:rsid w:val="00D749DF"/>
    <w:rsid w:val="00D76E06"/>
    <w:rsid w:val="00D82755"/>
    <w:rsid w:val="00D82E67"/>
    <w:rsid w:val="00D831AC"/>
    <w:rsid w:val="00D83231"/>
    <w:rsid w:val="00D97926"/>
    <w:rsid w:val="00DA3557"/>
    <w:rsid w:val="00DA4701"/>
    <w:rsid w:val="00DC3C44"/>
    <w:rsid w:val="00DC65F2"/>
    <w:rsid w:val="00DC7876"/>
    <w:rsid w:val="00DC7DD5"/>
    <w:rsid w:val="00DE3ED7"/>
    <w:rsid w:val="00DF0651"/>
    <w:rsid w:val="00DF1291"/>
    <w:rsid w:val="00DF15DA"/>
    <w:rsid w:val="00E000EC"/>
    <w:rsid w:val="00E061D0"/>
    <w:rsid w:val="00E1392C"/>
    <w:rsid w:val="00E22AC6"/>
    <w:rsid w:val="00E24830"/>
    <w:rsid w:val="00E318A6"/>
    <w:rsid w:val="00E41C62"/>
    <w:rsid w:val="00E41EE9"/>
    <w:rsid w:val="00E461D4"/>
    <w:rsid w:val="00E53FFD"/>
    <w:rsid w:val="00E62285"/>
    <w:rsid w:val="00E62819"/>
    <w:rsid w:val="00E67BC8"/>
    <w:rsid w:val="00E71E25"/>
    <w:rsid w:val="00E74454"/>
    <w:rsid w:val="00E75D57"/>
    <w:rsid w:val="00E80588"/>
    <w:rsid w:val="00E9045F"/>
    <w:rsid w:val="00EA0D4F"/>
    <w:rsid w:val="00EA405B"/>
    <w:rsid w:val="00EB4C26"/>
    <w:rsid w:val="00EB6134"/>
    <w:rsid w:val="00EB6457"/>
    <w:rsid w:val="00EC1A6C"/>
    <w:rsid w:val="00ED7509"/>
    <w:rsid w:val="00EE38AF"/>
    <w:rsid w:val="00EF254B"/>
    <w:rsid w:val="00EF4FF2"/>
    <w:rsid w:val="00F071DE"/>
    <w:rsid w:val="00F42246"/>
    <w:rsid w:val="00F74630"/>
    <w:rsid w:val="00F85D35"/>
    <w:rsid w:val="00F862E6"/>
    <w:rsid w:val="00F9122A"/>
    <w:rsid w:val="00F917E5"/>
    <w:rsid w:val="00FA6D2C"/>
    <w:rsid w:val="00FB1D9D"/>
    <w:rsid w:val="00FB5BF6"/>
    <w:rsid w:val="00FC779A"/>
    <w:rsid w:val="00FD6BD9"/>
    <w:rsid w:val="00FE2356"/>
    <w:rsid w:val="00FF5C51"/>
    <w:rsid w:val="01666EC1"/>
    <w:rsid w:val="02AC0959"/>
    <w:rsid w:val="05456549"/>
    <w:rsid w:val="0C3103DC"/>
    <w:rsid w:val="11486274"/>
    <w:rsid w:val="1B30137F"/>
    <w:rsid w:val="1D90189E"/>
    <w:rsid w:val="1EB2389C"/>
    <w:rsid w:val="24BF338A"/>
    <w:rsid w:val="2527795C"/>
    <w:rsid w:val="2C7D6E04"/>
    <w:rsid w:val="2CF940B9"/>
    <w:rsid w:val="2D241DA5"/>
    <w:rsid w:val="2D2ECB71"/>
    <w:rsid w:val="2DFF00E9"/>
    <w:rsid w:val="2EFDEFAA"/>
    <w:rsid w:val="3275E479"/>
    <w:rsid w:val="33057D44"/>
    <w:rsid w:val="3BE964AE"/>
    <w:rsid w:val="44C0C9D1"/>
    <w:rsid w:val="45D290A7"/>
    <w:rsid w:val="4B6C28F8"/>
    <w:rsid w:val="4D192D50"/>
    <w:rsid w:val="4D1BDF74"/>
    <w:rsid w:val="4EDF17F4"/>
    <w:rsid w:val="4F406878"/>
    <w:rsid w:val="5344074B"/>
    <w:rsid w:val="53B00529"/>
    <w:rsid w:val="59725BDA"/>
    <w:rsid w:val="5D1599B2"/>
    <w:rsid w:val="660D668C"/>
    <w:rsid w:val="729F1555"/>
    <w:rsid w:val="755158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286953BD-3F04-4F86-B7C9-81F9A16F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E06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mastri@mathematica-mpr.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a3ebf6400a7783bab1a183f04f1301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7ae69fd2f92f587f8edc26e42fa42c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ccess xmlns="fce774b4-c9d4-4a8f-80fc-e2982472d72a" xsi:nil="true"/>
    <Notes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non_x002d_OPREaccess xmlns="fce774b4-c9d4-4a8f-80fc-e2982472d72a" xsi:nil="true"/>
    <Access0 xmlns="fce774b4-c9d4-4a8f-80fc-e2982472d7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2645A-63DD-49CC-B251-5BAF4E905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Mastri</dc:creator>
  <cp:lastModifiedBy>Griffin, Lauren (ACF) (CTR)</cp:lastModifiedBy>
  <cp:revision>3</cp:revision>
  <dcterms:created xsi:type="dcterms:W3CDTF">2024-07-05T21:01:00Z</dcterms:created>
  <dcterms:modified xsi:type="dcterms:W3CDTF">2024-07-05T21:02:00Z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