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5C2A84" w:rsidP="005C2A84" w14:paraId="6656DB4E" w14:textId="625D7F23">
      <w:pPr>
        <w:jc w:val="center"/>
        <w:rPr>
          <w:rFonts w:ascii="Arial" w:hAnsi="Arial" w:cs="Arial"/>
          <w:b/>
        </w:rPr>
      </w:pPr>
    </w:p>
    <w:p w:rsidR="3FCA4FA6" w:rsidP="2527795C" w14:paraId="181167B0" w14:textId="1BA592B6">
      <w:pPr>
        <w:pStyle w:val="ReportCover-Title"/>
        <w:jc w:val="center"/>
        <w:rPr>
          <w:rFonts w:ascii="Arial" w:eastAsia="Arial Unicode MS" w:hAnsi="Arial" w:cs="Arial"/>
          <w:noProof/>
          <w:color w:val="auto"/>
        </w:rPr>
      </w:pPr>
      <w:r>
        <w:rPr>
          <w:rFonts w:ascii="Arial" w:eastAsia="Arial Unicode MS" w:hAnsi="Arial" w:cs="Arial"/>
          <w:noProof/>
          <w:color w:val="auto"/>
        </w:rPr>
        <w:t xml:space="preserve">Network </w:t>
      </w:r>
      <w:r w:rsidR="00FC4CC8">
        <w:rPr>
          <w:rFonts w:ascii="Arial" w:eastAsia="Arial Unicode MS" w:hAnsi="Arial" w:cs="Arial"/>
          <w:noProof/>
          <w:color w:val="auto"/>
        </w:rPr>
        <w:t xml:space="preserve">Partner </w:t>
      </w:r>
      <w:r>
        <w:rPr>
          <w:rFonts w:ascii="Arial" w:eastAsia="Arial Unicode MS" w:hAnsi="Arial" w:cs="Arial"/>
          <w:noProof/>
          <w:color w:val="auto"/>
        </w:rPr>
        <w:t xml:space="preserve">Engagement to </w:t>
      </w:r>
      <w:r w:rsidR="0006463B">
        <w:rPr>
          <w:rFonts w:ascii="Arial" w:eastAsia="Arial Unicode MS" w:hAnsi="Arial" w:cs="Arial"/>
          <w:noProof/>
          <w:color w:val="auto"/>
        </w:rPr>
        <w:t>Inform a</w:t>
      </w:r>
      <w:r>
        <w:rPr>
          <w:rFonts w:ascii="Arial" w:eastAsia="Arial Unicode MS" w:hAnsi="Arial" w:cs="Arial"/>
          <w:noProof/>
          <w:color w:val="auto"/>
        </w:rPr>
        <w:t xml:space="preserve"> Learning Agenda for </w:t>
      </w:r>
      <w:r w:rsidR="008A4118">
        <w:rPr>
          <w:rFonts w:ascii="Arial" w:eastAsia="Arial Unicode MS" w:hAnsi="Arial" w:cs="Arial"/>
          <w:noProof/>
          <w:color w:val="auto"/>
        </w:rPr>
        <w:t xml:space="preserve">the </w:t>
      </w:r>
      <w:r>
        <w:rPr>
          <w:rFonts w:ascii="Arial" w:eastAsia="Arial Unicode MS" w:hAnsi="Arial" w:cs="Arial"/>
          <w:noProof/>
          <w:color w:val="auto"/>
        </w:rPr>
        <w:t xml:space="preserve">Community Services Block Grant (CSBG) </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RPr="002C4F75" w:rsidP="008F570D" w14:paraId="153EDE13" w14:textId="2D364F0F">
      <w:pPr>
        <w:pStyle w:val="ReportCover-Date"/>
        <w:jc w:val="center"/>
        <w:rPr>
          <w:rFonts w:ascii="Arial" w:hAnsi="Arial" w:cs="Arial"/>
          <w:color w:val="auto"/>
        </w:rPr>
      </w:pPr>
      <w:r>
        <w:rPr>
          <w:rFonts w:ascii="Arial" w:hAnsi="Arial" w:cs="Arial"/>
          <w:color w:val="auto"/>
        </w:rPr>
        <w:t>September</w:t>
      </w:r>
      <w:r w:rsidRPr="2527795C">
        <w:rPr>
          <w:rFonts w:ascii="Arial" w:hAnsi="Arial" w:cs="Arial"/>
          <w:color w:val="auto"/>
        </w:rPr>
        <w:t xml:space="preserve"> </w:t>
      </w:r>
      <w:r w:rsidRPr="2527795C" w:rsidR="213F2A73">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2527795C">
        <w:rPr>
          <w:rFonts w:ascii="Arial" w:hAnsi="Arial" w:cs="Arial"/>
        </w:rPr>
        <w:t>Submitted By:</w:t>
      </w:r>
    </w:p>
    <w:p w:rsidR="78D5C3BC" w:rsidP="2527795C" w14:paraId="266B4D90" w14:textId="61FCD0D6">
      <w:pPr>
        <w:spacing w:line="259" w:lineRule="auto"/>
        <w:jc w:val="center"/>
        <w:rPr>
          <w:rFonts w:ascii="Arial" w:hAnsi="Arial" w:cs="Arial"/>
        </w:rPr>
      </w:pPr>
      <w:r w:rsidRPr="2527795C">
        <w:rPr>
          <w:rFonts w:ascii="Arial" w:hAnsi="Arial" w:cs="Arial"/>
        </w:rPr>
        <w:t>Office of Planning, Research, and Evaluation</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5C2A84" w:rsidP="008F570D" w14:paraId="7BA21621" w14:textId="77777777">
      <w:pPr>
        <w:spacing w:after="120"/>
        <w:rPr>
          <w:b/>
        </w:rPr>
      </w:pPr>
    </w:p>
    <w:p w:rsidR="005C2A84" w:rsidP="008F570D" w14:paraId="07267D7C" w14:textId="77777777">
      <w:pPr>
        <w:spacing w:after="120"/>
        <w:rPr>
          <w:b/>
        </w:rPr>
      </w:pPr>
    </w:p>
    <w:p w:rsidR="00945CD6" w:rsidRPr="002F65C2" w:rsidP="0E76D161" w14:paraId="63932BF7" w14:textId="3B3CEA54">
      <w:pPr>
        <w:spacing w:after="120"/>
        <w:rPr>
          <w:rFonts w:asciiTheme="minorHAnsi" w:hAnsiTheme="minorHAnsi" w:cstheme="minorBidi"/>
          <w:b/>
          <w:bCs/>
          <w:sz w:val="22"/>
          <w:szCs w:val="22"/>
        </w:rPr>
      </w:pPr>
      <w:r w:rsidRPr="0E76D161">
        <w:rPr>
          <w:rFonts w:asciiTheme="minorHAnsi" w:hAnsiTheme="minorHAnsi" w:cstheme="minorBidi"/>
          <w:b/>
          <w:bCs/>
          <w:sz w:val="22"/>
          <w:szCs w:val="22"/>
        </w:rPr>
        <w:t xml:space="preserve">A1. </w:t>
      </w:r>
      <w:r w:rsidRPr="0E76D161">
        <w:rPr>
          <w:rFonts w:asciiTheme="minorHAnsi" w:hAnsiTheme="minorHAnsi" w:cstheme="minorBidi"/>
          <w:b/>
          <w:bCs/>
          <w:sz w:val="22"/>
          <w:szCs w:val="22"/>
        </w:rPr>
        <w:t>Necessity for the Data Collection</w:t>
      </w:r>
    </w:p>
    <w:p w:rsidR="00984BBF" w:rsidRPr="002F65C2" w:rsidP="008F570D" w14:paraId="32F118BE" w14:textId="39DFB7A6">
      <w:pPr>
        <w:rPr>
          <w:rFonts w:asciiTheme="minorHAnsi" w:hAnsiTheme="minorHAnsi" w:cstheme="minorHAnsi"/>
          <w:sz w:val="22"/>
          <w:szCs w:val="22"/>
          <w:highlight w:val="yellow"/>
        </w:rPr>
      </w:pPr>
      <w:r w:rsidRPr="002B137D">
        <w:rPr>
          <w:rFonts w:asciiTheme="minorHAnsi" w:hAnsiTheme="minorHAnsi" w:cstheme="minorBidi"/>
          <w:sz w:val="22"/>
          <w:szCs w:val="22"/>
        </w:rPr>
        <w:t xml:space="preserve">The </w:t>
      </w:r>
      <w:r w:rsidRPr="002B137D" w:rsidR="006A2974">
        <w:rPr>
          <w:rFonts w:asciiTheme="minorHAnsi" w:hAnsiTheme="minorHAnsi" w:cstheme="minorBidi"/>
          <w:sz w:val="22"/>
          <w:szCs w:val="22"/>
        </w:rPr>
        <w:t>Office of Community Services</w:t>
      </w:r>
      <w:r w:rsidR="000C032D">
        <w:rPr>
          <w:rFonts w:asciiTheme="minorHAnsi" w:hAnsiTheme="minorHAnsi" w:cstheme="minorBidi"/>
          <w:sz w:val="22"/>
          <w:szCs w:val="22"/>
        </w:rPr>
        <w:t>’</w:t>
      </w:r>
      <w:r w:rsidRPr="002B137D" w:rsidR="006A2974">
        <w:rPr>
          <w:rFonts w:asciiTheme="minorHAnsi" w:hAnsiTheme="minorHAnsi" w:cstheme="minorBidi"/>
          <w:sz w:val="22"/>
          <w:szCs w:val="22"/>
        </w:rPr>
        <w:t xml:space="preserve"> (OCS) </w:t>
      </w:r>
      <w:r w:rsidRPr="002B137D">
        <w:rPr>
          <w:rFonts w:asciiTheme="minorHAnsi" w:hAnsiTheme="minorHAnsi" w:cstheme="minorBidi"/>
          <w:sz w:val="22"/>
          <w:szCs w:val="22"/>
        </w:rPr>
        <w:t>Community Services Block Grant (CSBG)</w:t>
      </w:r>
      <w:r w:rsidRPr="002B137D" w:rsidR="006A2974">
        <w:rPr>
          <w:rFonts w:asciiTheme="minorHAnsi" w:hAnsiTheme="minorHAnsi" w:cstheme="minorBidi"/>
          <w:sz w:val="22"/>
          <w:szCs w:val="22"/>
        </w:rPr>
        <w:t xml:space="preserve"> which is administered by the Division of Community Assistance (DCA),</w:t>
      </w:r>
      <w:r w:rsidRPr="002B137D">
        <w:rPr>
          <w:rFonts w:asciiTheme="minorHAnsi" w:hAnsiTheme="minorHAnsi" w:cstheme="minorBidi"/>
          <w:sz w:val="22"/>
          <w:szCs w:val="22"/>
        </w:rPr>
        <w:t xml:space="preserve"> is working to develop a CSBG learning agenda to drive program improvement. As part of the Administration for Children and Families (ACF) Evidence Capacity Support project, the Office of Planning, Research, and Evaluation (OPRE)</w:t>
      </w:r>
      <w:r w:rsidRPr="002B137D" w:rsidR="00FC67DE">
        <w:rPr>
          <w:rFonts w:asciiTheme="minorHAnsi" w:hAnsiTheme="minorHAnsi" w:cstheme="minorBidi"/>
          <w:sz w:val="22"/>
          <w:szCs w:val="22"/>
        </w:rPr>
        <w:t xml:space="preserve">, </w:t>
      </w:r>
      <w:r w:rsidRPr="002B137D">
        <w:rPr>
          <w:rFonts w:asciiTheme="minorHAnsi" w:hAnsiTheme="minorHAnsi" w:cstheme="minorBidi"/>
          <w:sz w:val="22"/>
          <w:szCs w:val="22"/>
        </w:rPr>
        <w:t>and its contractor</w:t>
      </w:r>
      <w:r w:rsidR="00950FF4">
        <w:rPr>
          <w:rFonts w:asciiTheme="minorHAnsi" w:hAnsiTheme="minorHAnsi" w:cstheme="minorBidi"/>
          <w:sz w:val="22"/>
          <w:szCs w:val="22"/>
        </w:rPr>
        <w:t xml:space="preserve">, </w:t>
      </w:r>
      <w:r w:rsidRPr="002B137D">
        <w:rPr>
          <w:rFonts w:asciiTheme="minorHAnsi" w:hAnsiTheme="minorHAnsi" w:cstheme="minorBidi"/>
          <w:sz w:val="22"/>
          <w:szCs w:val="22"/>
        </w:rPr>
        <w:t>Mathematica</w:t>
      </w:r>
      <w:r w:rsidR="00950FF4">
        <w:rPr>
          <w:rFonts w:asciiTheme="minorHAnsi" w:hAnsiTheme="minorHAnsi" w:cstheme="minorBidi"/>
          <w:sz w:val="22"/>
          <w:szCs w:val="22"/>
        </w:rPr>
        <w:t>,</w:t>
      </w:r>
      <w:r w:rsidRPr="002B137D">
        <w:rPr>
          <w:rFonts w:asciiTheme="minorHAnsi" w:hAnsiTheme="minorHAnsi" w:cstheme="minorBidi"/>
          <w:sz w:val="22"/>
          <w:szCs w:val="22"/>
        </w:rPr>
        <w:t xml:space="preserve"> seek to support </w:t>
      </w:r>
      <w:r w:rsidRPr="002B137D" w:rsidR="00FC67DE">
        <w:rPr>
          <w:rFonts w:asciiTheme="minorHAnsi" w:hAnsiTheme="minorHAnsi" w:cstheme="minorBidi"/>
          <w:sz w:val="22"/>
          <w:szCs w:val="22"/>
        </w:rPr>
        <w:t>DCA</w:t>
      </w:r>
      <w:r w:rsidR="00F858C9">
        <w:rPr>
          <w:rFonts w:asciiTheme="minorHAnsi" w:hAnsiTheme="minorHAnsi" w:cstheme="minorBidi"/>
          <w:sz w:val="22"/>
          <w:szCs w:val="22"/>
        </w:rPr>
        <w:t xml:space="preserve"> in</w:t>
      </w:r>
      <w:r w:rsidRPr="002B137D">
        <w:rPr>
          <w:rFonts w:asciiTheme="minorHAnsi" w:hAnsiTheme="minorHAnsi" w:cstheme="minorBidi"/>
          <w:sz w:val="22"/>
          <w:szCs w:val="22"/>
        </w:rPr>
        <w:t xml:space="preserve"> develop</w:t>
      </w:r>
      <w:r w:rsidR="00F858C9">
        <w:rPr>
          <w:rFonts w:asciiTheme="minorHAnsi" w:hAnsiTheme="minorHAnsi" w:cstheme="minorBidi"/>
          <w:sz w:val="22"/>
          <w:szCs w:val="22"/>
        </w:rPr>
        <w:t>ing</w:t>
      </w:r>
      <w:r w:rsidRPr="002B137D">
        <w:rPr>
          <w:rFonts w:asciiTheme="minorHAnsi" w:hAnsiTheme="minorHAnsi" w:cstheme="minorBidi"/>
          <w:sz w:val="22"/>
          <w:szCs w:val="22"/>
        </w:rPr>
        <w:t xml:space="preserve"> a learning agenda by engaging </w:t>
      </w:r>
      <w:r w:rsidR="00774228">
        <w:rPr>
          <w:rFonts w:asciiTheme="minorHAnsi" w:hAnsiTheme="minorHAnsi" w:cstheme="minorBidi"/>
          <w:sz w:val="22"/>
          <w:szCs w:val="22"/>
        </w:rPr>
        <w:t xml:space="preserve">representatives of organizations involved in implementing the </w:t>
      </w:r>
      <w:r w:rsidRPr="002B137D">
        <w:rPr>
          <w:rFonts w:asciiTheme="minorHAnsi" w:hAnsiTheme="minorHAnsi" w:cstheme="minorBidi"/>
          <w:sz w:val="22"/>
          <w:szCs w:val="22"/>
        </w:rPr>
        <w:t>CSBG</w:t>
      </w:r>
      <w:r w:rsidR="002B7FE4">
        <w:rPr>
          <w:rFonts w:asciiTheme="minorHAnsi" w:hAnsiTheme="minorHAnsi" w:cstheme="minorBidi"/>
          <w:sz w:val="22"/>
          <w:szCs w:val="22"/>
        </w:rPr>
        <w:t xml:space="preserve"> (the “CSBG</w:t>
      </w:r>
      <w:r w:rsidRPr="002B137D">
        <w:rPr>
          <w:rFonts w:asciiTheme="minorHAnsi" w:hAnsiTheme="minorHAnsi" w:cstheme="minorBidi"/>
          <w:sz w:val="22"/>
          <w:szCs w:val="22"/>
        </w:rPr>
        <w:t xml:space="preserve"> network</w:t>
      </w:r>
      <w:r w:rsidR="002B7FE4">
        <w:rPr>
          <w:rFonts w:asciiTheme="minorHAnsi" w:hAnsiTheme="minorHAnsi" w:cstheme="minorBidi"/>
          <w:sz w:val="22"/>
          <w:szCs w:val="22"/>
        </w:rPr>
        <w:t>”)</w:t>
      </w:r>
      <w:r w:rsidRPr="002B137D">
        <w:rPr>
          <w:rFonts w:asciiTheme="minorHAnsi" w:hAnsiTheme="minorHAnsi" w:cstheme="minorBidi"/>
          <w:sz w:val="22"/>
          <w:szCs w:val="22"/>
        </w:rPr>
        <w:t xml:space="preserve"> to gather input on</w:t>
      </w:r>
      <w:r w:rsidRPr="002B137D" w:rsidR="00561467">
        <w:rPr>
          <w:rFonts w:asciiTheme="minorHAnsi" w:hAnsiTheme="minorHAnsi" w:cstheme="minorBidi"/>
          <w:sz w:val="22"/>
          <w:szCs w:val="22"/>
        </w:rPr>
        <w:t xml:space="preserve"> priority needs for the network</w:t>
      </w:r>
      <w:r w:rsidRPr="002B137D">
        <w:rPr>
          <w:rFonts w:asciiTheme="minorHAnsi" w:hAnsiTheme="minorHAnsi" w:cstheme="minorBidi"/>
          <w:sz w:val="22"/>
          <w:szCs w:val="22"/>
        </w:rPr>
        <w:t xml:space="preserve">. </w:t>
      </w:r>
      <w:r w:rsidR="003F3B37">
        <w:rPr>
          <w:rFonts w:asciiTheme="minorHAnsi" w:hAnsiTheme="minorHAnsi" w:cstheme="minorBidi"/>
          <w:sz w:val="22"/>
          <w:szCs w:val="22"/>
        </w:rPr>
        <w:br/>
      </w:r>
    </w:p>
    <w:p w:rsidR="00984CA2" w:rsidRPr="002F65C2" w:rsidP="00DB4BA5" w14:paraId="34493FD2" w14:textId="12B76B19">
      <w:pPr>
        <w:pStyle w:val="Heading4"/>
        <w:tabs>
          <w:tab w:val="num" w:pos="180"/>
        </w:tabs>
        <w:spacing w:before="0" w:line="264" w:lineRule="auto"/>
        <w:rPr>
          <w:rFonts w:asciiTheme="minorHAnsi" w:hAnsiTheme="minorHAnsi" w:cstheme="minorHAnsi"/>
          <w:i/>
          <w:sz w:val="22"/>
          <w:szCs w:val="22"/>
        </w:rPr>
      </w:pPr>
      <w:r w:rsidRPr="0E76D161">
        <w:rPr>
          <w:rFonts w:asciiTheme="minorHAnsi" w:hAnsiTheme="minorHAnsi" w:cstheme="minorBidi"/>
          <w:i/>
          <w:iCs/>
          <w:sz w:val="22"/>
          <w:szCs w:val="22"/>
        </w:rPr>
        <w:t xml:space="preserve">Background </w:t>
      </w:r>
    </w:p>
    <w:p w:rsidR="00020834" w:rsidP="000C032D" w14:paraId="3ABF7395" w14:textId="2FACAEBF">
      <w:pPr>
        <w:pStyle w:val="pf0"/>
        <w:spacing w:before="0" w:beforeAutospacing="0" w:after="0" w:afterAutospacing="0"/>
        <w:rPr>
          <w:rFonts w:asciiTheme="minorHAnsi" w:hAnsiTheme="minorHAnsi" w:cstheme="minorBidi"/>
          <w:sz w:val="22"/>
          <w:szCs w:val="22"/>
        </w:rPr>
      </w:pPr>
      <w:r w:rsidRPr="5D0E524A">
        <w:rPr>
          <w:rFonts w:asciiTheme="minorHAnsi" w:hAnsiTheme="minorHAnsi" w:cstheme="minorBidi"/>
          <w:sz w:val="22"/>
          <w:szCs w:val="22"/>
        </w:rPr>
        <w:t>The Presidential Memorandum on</w:t>
      </w:r>
      <w:r w:rsidRPr="5D0E524A">
        <w:rPr>
          <w:rFonts w:asciiTheme="minorHAnsi" w:hAnsiTheme="minorHAnsi" w:cstheme="minorBidi"/>
          <w:i/>
          <w:iCs/>
          <w:sz w:val="22"/>
          <w:szCs w:val="22"/>
        </w:rPr>
        <w:t xml:space="preserve"> Restoring Trust in Government through Scientific Integrity and Evidence-Based Policy Making, </w:t>
      </w:r>
      <w:r w:rsidRPr="5D0E524A">
        <w:rPr>
          <w:rFonts w:asciiTheme="minorHAnsi" w:hAnsiTheme="minorHAnsi" w:cstheme="minorBidi"/>
          <w:sz w:val="22"/>
          <w:szCs w:val="22"/>
        </w:rPr>
        <w:t xml:space="preserve">the </w:t>
      </w:r>
      <w:r w:rsidRPr="5D0E524A">
        <w:rPr>
          <w:rFonts w:asciiTheme="minorHAnsi" w:hAnsiTheme="minorHAnsi" w:cstheme="minorBidi"/>
          <w:i/>
          <w:iCs/>
          <w:sz w:val="22"/>
          <w:szCs w:val="22"/>
        </w:rPr>
        <w:t>Department of Health and Human Services (HHS) Strategic Plan FY 2022-2026</w:t>
      </w:r>
      <w:r w:rsidRPr="5D0E524A">
        <w:rPr>
          <w:rFonts w:asciiTheme="minorHAnsi" w:hAnsiTheme="minorHAnsi" w:cstheme="minorBidi"/>
          <w:sz w:val="22"/>
          <w:szCs w:val="22"/>
        </w:rPr>
        <w:t>, as well as the</w:t>
      </w:r>
      <w:r w:rsidRPr="5D0E524A">
        <w:rPr>
          <w:rFonts w:asciiTheme="minorHAnsi" w:hAnsiTheme="minorHAnsi" w:cstheme="minorBidi"/>
          <w:i/>
          <w:iCs/>
          <w:sz w:val="22"/>
          <w:szCs w:val="22"/>
        </w:rPr>
        <w:t xml:space="preserve"> ACF Evaluation Policy</w:t>
      </w:r>
      <w:r w:rsidRPr="5D0E524A" w:rsidR="7609D4FE">
        <w:rPr>
          <w:rFonts w:asciiTheme="minorHAnsi" w:hAnsiTheme="minorHAnsi" w:cstheme="minorBidi"/>
          <w:i/>
          <w:iCs/>
          <w:sz w:val="22"/>
          <w:szCs w:val="22"/>
        </w:rPr>
        <w:t>,</w:t>
      </w:r>
      <w:r w:rsidRPr="5D0E524A">
        <w:rPr>
          <w:rFonts w:asciiTheme="minorHAnsi" w:hAnsiTheme="minorHAnsi" w:cstheme="minorBidi"/>
          <w:sz w:val="22"/>
          <w:szCs w:val="22"/>
        </w:rPr>
        <w:t xml:space="preserve"> discuss community engagement and inclusion in research. Consistent with these guidance documents, and to ensure meaningful involvement with a variety of individuals with diverse experiences and perspectives, ACF conducts </w:t>
      </w:r>
      <w:hyperlink r:id="rId9">
        <w:r w:rsidRPr="5D0E524A">
          <w:rPr>
            <w:rFonts w:asciiTheme="minorHAnsi" w:hAnsiTheme="minorHAnsi" w:cstheme="minorBidi"/>
            <w:sz w:val="22"/>
            <w:szCs w:val="22"/>
          </w:rPr>
          <w:t>engagement</w:t>
        </w:r>
      </w:hyperlink>
      <w:r w:rsidRPr="5D0E524A">
        <w:rPr>
          <w:rFonts w:asciiTheme="minorHAnsi" w:hAnsiTheme="minorHAnsi" w:cstheme="minorBidi"/>
          <w:sz w:val="22"/>
          <w:szCs w:val="22"/>
        </w:rPr>
        <w:t xml:space="preserve"> activities </w:t>
      </w:r>
      <w:r w:rsidRPr="5D0E524A" w:rsidR="00F05259">
        <w:rPr>
          <w:rFonts w:asciiTheme="minorHAnsi" w:hAnsiTheme="minorHAnsi" w:cstheme="minorBidi"/>
          <w:sz w:val="22"/>
          <w:szCs w:val="22"/>
        </w:rPr>
        <w:t xml:space="preserve">with constituent groups </w:t>
      </w:r>
      <w:r w:rsidRPr="5D0E524A">
        <w:rPr>
          <w:rFonts w:asciiTheme="minorHAnsi" w:hAnsiTheme="minorHAnsi" w:cstheme="minorBidi"/>
          <w:sz w:val="22"/>
          <w:szCs w:val="22"/>
        </w:rPr>
        <w:t>to inform various efforts, including research and evaluation.</w:t>
      </w:r>
    </w:p>
    <w:p w:rsidR="000C032D" w:rsidP="00DB4BA5" w14:paraId="2BACCA03" w14:textId="77777777">
      <w:pPr>
        <w:pStyle w:val="pf0"/>
        <w:spacing w:before="0" w:beforeAutospacing="0" w:after="0" w:afterAutospacing="0"/>
        <w:rPr>
          <w:rFonts w:asciiTheme="minorHAnsi" w:hAnsiTheme="minorHAnsi" w:cstheme="minorBidi"/>
          <w:sz w:val="22"/>
          <w:szCs w:val="22"/>
        </w:rPr>
      </w:pPr>
    </w:p>
    <w:p w:rsidR="0E76D161" w:rsidP="000C032D" w14:paraId="37C94686" w14:textId="0923AB9D">
      <w:pPr>
        <w:pStyle w:val="NormalWeb"/>
        <w:spacing w:before="0" w:beforeAutospacing="0" w:after="0" w:afterAutospacing="0"/>
        <w:rPr>
          <w:rFonts w:asciiTheme="minorHAnsi" w:hAnsiTheme="minorHAnsi" w:cstheme="minorBidi"/>
          <w:sz w:val="22"/>
          <w:szCs w:val="22"/>
        </w:rPr>
      </w:pPr>
      <w:r w:rsidRPr="5D0E524A">
        <w:rPr>
          <w:rFonts w:asciiTheme="minorHAnsi" w:hAnsiTheme="minorHAnsi" w:cstheme="minorBidi"/>
          <w:sz w:val="22"/>
          <w:szCs w:val="22"/>
        </w:rPr>
        <w:t xml:space="preserve">Hearing the perspective of </w:t>
      </w:r>
      <w:r w:rsidR="00D81E31">
        <w:rPr>
          <w:rFonts w:asciiTheme="minorHAnsi" w:hAnsiTheme="minorHAnsi" w:cstheme="minorBidi"/>
          <w:sz w:val="22"/>
          <w:szCs w:val="22"/>
        </w:rPr>
        <w:t>members of the CSBG network who administer CSBG funds</w:t>
      </w:r>
      <w:r w:rsidR="000B7F22">
        <w:rPr>
          <w:rFonts w:asciiTheme="minorHAnsi" w:hAnsiTheme="minorHAnsi" w:cstheme="minorBidi"/>
          <w:sz w:val="22"/>
          <w:szCs w:val="22"/>
        </w:rPr>
        <w:t xml:space="preserve"> and </w:t>
      </w:r>
      <w:r w:rsidR="00D81E31">
        <w:rPr>
          <w:rFonts w:asciiTheme="minorHAnsi" w:hAnsiTheme="minorHAnsi" w:cstheme="minorBidi"/>
          <w:sz w:val="22"/>
          <w:szCs w:val="22"/>
        </w:rPr>
        <w:t>operate CSBG-funded programs</w:t>
      </w:r>
      <w:r w:rsidR="000B7F22">
        <w:rPr>
          <w:rFonts w:asciiTheme="minorHAnsi" w:hAnsiTheme="minorHAnsi" w:cstheme="minorBidi"/>
          <w:sz w:val="22"/>
          <w:szCs w:val="22"/>
        </w:rPr>
        <w:t xml:space="preserve"> </w:t>
      </w:r>
      <w:r w:rsidRPr="5D0E524A" w:rsidR="00F97F27">
        <w:rPr>
          <w:rFonts w:asciiTheme="minorHAnsi" w:hAnsiTheme="minorHAnsi" w:cstheme="minorBidi"/>
          <w:sz w:val="22"/>
          <w:szCs w:val="22"/>
        </w:rPr>
        <w:t xml:space="preserve">is vital to ensure </w:t>
      </w:r>
      <w:r w:rsidR="00D81E31">
        <w:rPr>
          <w:rFonts w:asciiTheme="minorHAnsi" w:hAnsiTheme="minorHAnsi" w:cstheme="minorBidi"/>
          <w:sz w:val="22"/>
          <w:szCs w:val="22"/>
        </w:rPr>
        <w:t>that OCS</w:t>
      </w:r>
      <w:r w:rsidRPr="5D0E524A" w:rsidR="00D81E31">
        <w:rPr>
          <w:rFonts w:asciiTheme="minorHAnsi" w:hAnsiTheme="minorHAnsi" w:cstheme="minorBidi"/>
          <w:sz w:val="22"/>
          <w:szCs w:val="22"/>
        </w:rPr>
        <w:t xml:space="preserve"> </w:t>
      </w:r>
      <w:r w:rsidRPr="5D0E524A" w:rsidR="00F97F27">
        <w:rPr>
          <w:rFonts w:asciiTheme="minorHAnsi" w:hAnsiTheme="minorHAnsi" w:cstheme="minorBidi"/>
          <w:sz w:val="22"/>
          <w:szCs w:val="22"/>
        </w:rPr>
        <w:t>is responsive to the</w:t>
      </w:r>
      <w:r w:rsidR="000B7F22">
        <w:rPr>
          <w:rFonts w:asciiTheme="minorHAnsi" w:hAnsiTheme="minorHAnsi" w:cstheme="minorBidi"/>
          <w:sz w:val="22"/>
          <w:szCs w:val="22"/>
        </w:rPr>
        <w:t xml:space="preserve"> network’s</w:t>
      </w:r>
      <w:r w:rsidRPr="5D0E524A" w:rsidR="00F97F27">
        <w:rPr>
          <w:rFonts w:asciiTheme="minorHAnsi" w:hAnsiTheme="minorHAnsi" w:cstheme="minorBidi"/>
          <w:sz w:val="22"/>
          <w:szCs w:val="22"/>
        </w:rPr>
        <w:t xml:space="preserve"> needs and that resources and programming are appropriate, useful, and relevant for audiences. </w:t>
      </w:r>
    </w:p>
    <w:p w:rsidR="000C032D" w:rsidRPr="001D3614" w:rsidP="00DB4BA5" w14:paraId="47C7BBF5" w14:textId="77777777">
      <w:pPr>
        <w:pStyle w:val="NormalWeb"/>
        <w:spacing w:before="0" w:beforeAutospacing="0" w:after="0" w:afterAutospacing="0"/>
        <w:rPr>
          <w:rFonts w:asciiTheme="minorHAnsi" w:hAnsiTheme="minorHAnsi" w:cstheme="minorBidi"/>
          <w:sz w:val="22"/>
          <w:szCs w:val="22"/>
        </w:rPr>
      </w:pPr>
    </w:p>
    <w:p w:rsidR="00984CA2" w:rsidRPr="002F65C2" w:rsidP="00DB4BA5" w14:paraId="742B4ABD" w14:textId="0A44E8C5">
      <w:pPr>
        <w:pStyle w:val="Heading4"/>
        <w:numPr>
          <w:ilvl w:val="3"/>
          <w:numId w:val="0"/>
        </w:numPr>
        <w:tabs>
          <w:tab w:val="num" w:pos="180"/>
        </w:tabs>
        <w:spacing w:before="0" w:line="264" w:lineRule="auto"/>
        <w:rPr>
          <w:rFonts w:asciiTheme="minorHAnsi" w:hAnsiTheme="minorHAnsi" w:cstheme="minorHAnsi"/>
          <w:i/>
          <w:sz w:val="22"/>
          <w:szCs w:val="22"/>
        </w:rPr>
      </w:pPr>
      <w:r w:rsidRPr="002F65C2">
        <w:rPr>
          <w:rFonts w:asciiTheme="minorHAnsi" w:hAnsiTheme="minorHAnsi" w:cstheme="minorHAnsi"/>
          <w:i/>
          <w:sz w:val="22"/>
          <w:szCs w:val="22"/>
        </w:rPr>
        <w:t xml:space="preserve">Legal or Administrative Requirements that Necessitate the Collection </w:t>
      </w:r>
    </w:p>
    <w:p w:rsidR="0020382F" w:rsidRPr="002B137D" w:rsidP="008F570D" w14:paraId="7D1B72AE" w14:textId="41C92123">
      <w:pPr>
        <w:rPr>
          <w:rFonts w:asciiTheme="minorHAnsi" w:hAnsiTheme="minorHAnsi" w:cstheme="minorBidi"/>
          <w:sz w:val="22"/>
          <w:szCs w:val="22"/>
        </w:rPr>
      </w:pPr>
      <w:r w:rsidRPr="002511EF">
        <w:rPr>
          <w:rFonts w:asciiTheme="minorHAnsi" w:hAnsiTheme="minorHAnsi" w:cstheme="minorBidi"/>
          <w:sz w:val="22"/>
          <w:szCs w:val="22"/>
        </w:rPr>
        <w:t>There are no legal or administrative requirements that necessitate the collection. ACF is undertaking the collection at the discretion of the agency.</w:t>
      </w:r>
    </w:p>
    <w:p w:rsidR="00D90EF6" w:rsidRPr="002F65C2" w:rsidP="008F570D" w14:paraId="210B83EF" w14:textId="77777777">
      <w:pPr>
        <w:rPr>
          <w:rFonts w:asciiTheme="minorHAnsi" w:hAnsiTheme="minorHAnsi" w:cstheme="minorHAnsi"/>
          <w:sz w:val="22"/>
          <w:szCs w:val="22"/>
        </w:rPr>
      </w:pPr>
    </w:p>
    <w:p w:rsidR="00945CD6" w:rsidRPr="002F65C2" w:rsidP="008F570D" w14:paraId="617B0354" w14:textId="7ACC5CD1">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A2. </w:t>
      </w:r>
      <w:r w:rsidRPr="002F65C2">
        <w:rPr>
          <w:rFonts w:asciiTheme="minorHAnsi" w:hAnsiTheme="minorHAnsi" w:cstheme="minorHAnsi"/>
          <w:b/>
          <w:sz w:val="22"/>
          <w:szCs w:val="22"/>
        </w:rPr>
        <w:t xml:space="preserve">Purpose of </w:t>
      </w:r>
      <w:r w:rsidR="009F2A9E">
        <w:rPr>
          <w:rFonts w:asciiTheme="minorHAnsi" w:hAnsiTheme="minorHAnsi" w:cstheme="minorHAnsi"/>
          <w:b/>
          <w:sz w:val="22"/>
          <w:szCs w:val="22"/>
        </w:rPr>
        <w:t>Information Collection</w:t>
      </w:r>
      <w:r w:rsidRPr="002F65C2" w:rsidR="00592FAD">
        <w:rPr>
          <w:rFonts w:asciiTheme="minorHAnsi" w:hAnsiTheme="minorHAnsi" w:cstheme="minorHAnsi"/>
          <w:b/>
          <w:sz w:val="22"/>
          <w:szCs w:val="22"/>
        </w:rPr>
        <w:t xml:space="preserve"> </w:t>
      </w:r>
      <w:r w:rsidRPr="002F65C2">
        <w:rPr>
          <w:rFonts w:asciiTheme="minorHAnsi" w:hAnsiTheme="minorHAnsi" w:cstheme="minorHAnsi"/>
          <w:b/>
          <w:sz w:val="22"/>
          <w:szCs w:val="22"/>
        </w:rPr>
        <w:t>and Data Collection Procedures</w:t>
      </w:r>
    </w:p>
    <w:p w:rsidR="00A05CD7" w:rsidP="0E76D161" w14:paraId="1443C5DF"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 xml:space="preserve">Overview of Purpose and </w:t>
      </w:r>
      <w:r w:rsidRPr="002F65C2" w:rsidR="008F570D">
        <w:rPr>
          <w:rFonts w:asciiTheme="minorHAnsi" w:hAnsiTheme="minorHAnsi" w:cstheme="minorHAnsi"/>
          <w:b/>
          <w:i/>
          <w:sz w:val="22"/>
          <w:szCs w:val="22"/>
        </w:rPr>
        <w:t>Use</w:t>
      </w:r>
    </w:p>
    <w:p w:rsidR="000F4420" w:rsidRPr="002B069C" w:rsidP="000F4420" w14:paraId="3DE92D3D" w14:textId="0E4D99EE">
      <w:pPr>
        <w:spacing w:after="60"/>
        <w:rPr>
          <w:rFonts w:asciiTheme="minorHAnsi" w:hAnsiTheme="minorHAnsi" w:cstheme="minorBidi"/>
          <w:sz w:val="22"/>
          <w:szCs w:val="22"/>
        </w:rPr>
      </w:pPr>
      <w:r w:rsidRPr="002B069C">
        <w:rPr>
          <w:rFonts w:asciiTheme="minorHAnsi" w:hAnsiTheme="minorHAnsi" w:cstheme="minorBidi"/>
          <w:sz w:val="22"/>
          <w:szCs w:val="22"/>
        </w:rPr>
        <w:t xml:space="preserve">The primary purpose of this information collection is to </w:t>
      </w:r>
      <w:r w:rsidR="003C58C5">
        <w:rPr>
          <w:rFonts w:asciiTheme="minorHAnsi" w:hAnsiTheme="minorHAnsi" w:cstheme="minorBidi"/>
          <w:sz w:val="22"/>
          <w:szCs w:val="22"/>
        </w:rPr>
        <w:t>support DCA’s efforts to develop a learning agenda by engaging CSBG network members to gather input and feedback on priority needs for the network</w:t>
      </w:r>
      <w:r w:rsidRPr="002B069C">
        <w:rPr>
          <w:rFonts w:asciiTheme="minorHAnsi" w:hAnsiTheme="minorHAnsi" w:cstheme="minorBidi"/>
          <w:sz w:val="22"/>
          <w:szCs w:val="22"/>
        </w:rPr>
        <w:t xml:space="preserve">. </w:t>
      </w:r>
      <w:r w:rsidRPr="002B069C" w:rsidR="009651F3">
        <w:rPr>
          <w:rFonts w:asciiTheme="minorHAnsi" w:hAnsiTheme="minorHAnsi" w:cstheme="minorBidi"/>
          <w:sz w:val="22"/>
          <w:szCs w:val="22"/>
        </w:rPr>
        <w:t xml:space="preserve">ACF </w:t>
      </w:r>
      <w:r w:rsidRPr="002B069C">
        <w:rPr>
          <w:rFonts w:asciiTheme="minorHAnsi" w:hAnsiTheme="minorHAnsi" w:cstheme="minorBidi"/>
          <w:sz w:val="22"/>
          <w:szCs w:val="22"/>
        </w:rPr>
        <w:t xml:space="preserve">will use this information to </w:t>
      </w:r>
      <w:r w:rsidR="00DA75FA">
        <w:rPr>
          <w:rFonts w:asciiTheme="minorHAnsi" w:hAnsiTheme="minorHAnsi" w:cstheme="minorBidi"/>
          <w:sz w:val="22"/>
          <w:szCs w:val="22"/>
        </w:rPr>
        <w:t xml:space="preserve">develop </w:t>
      </w:r>
      <w:r w:rsidRPr="002B069C">
        <w:rPr>
          <w:rFonts w:asciiTheme="minorHAnsi" w:hAnsiTheme="minorHAnsi" w:cstheme="minorBidi"/>
          <w:sz w:val="22"/>
          <w:szCs w:val="22"/>
        </w:rPr>
        <w:t>and refine</w:t>
      </w:r>
      <w:r w:rsidRPr="002B069C">
        <w:rPr>
          <w:rFonts w:asciiTheme="minorHAnsi" w:hAnsiTheme="minorHAnsi" w:cstheme="minorBidi"/>
          <w:sz w:val="22"/>
          <w:szCs w:val="22"/>
        </w:rPr>
        <w:t xml:space="preserve"> a learning agenda that will </w:t>
      </w:r>
      <w:r w:rsidRPr="002B069C">
        <w:rPr>
          <w:rFonts w:asciiTheme="minorHAnsi" w:hAnsiTheme="minorHAnsi" w:cstheme="minorBidi"/>
          <w:sz w:val="22"/>
          <w:szCs w:val="22"/>
        </w:rPr>
        <w:t xml:space="preserve">ultimately </w:t>
      </w:r>
      <w:r w:rsidRPr="002B069C">
        <w:rPr>
          <w:rFonts w:asciiTheme="minorHAnsi" w:hAnsiTheme="minorHAnsi" w:cstheme="minorBidi"/>
          <w:sz w:val="22"/>
          <w:szCs w:val="22"/>
        </w:rPr>
        <w:t xml:space="preserve">drive program improvement. </w:t>
      </w:r>
      <w:r w:rsidRPr="002B069C" w:rsidR="0012338C">
        <w:rPr>
          <w:rFonts w:asciiTheme="minorHAnsi" w:hAnsiTheme="minorHAnsi" w:cstheme="minorBidi"/>
          <w:sz w:val="22"/>
          <w:szCs w:val="22"/>
        </w:rPr>
        <w:t>The intended uses of the information include</w:t>
      </w:r>
      <w:r w:rsidRPr="002B069C">
        <w:rPr>
          <w:rFonts w:asciiTheme="minorHAnsi" w:hAnsiTheme="minorHAnsi" w:cstheme="minorBidi"/>
          <w:sz w:val="22"/>
          <w:szCs w:val="22"/>
        </w:rPr>
        <w:t>:</w:t>
      </w:r>
    </w:p>
    <w:p w:rsidR="000F4420" w:rsidRPr="002B069C" w:rsidP="5D0E524A" w14:paraId="35794D69" w14:textId="40943676">
      <w:pPr>
        <w:pStyle w:val="ListParagraph"/>
        <w:numPr>
          <w:ilvl w:val="0"/>
          <w:numId w:val="2"/>
        </w:numPr>
        <w:spacing w:after="60"/>
        <w:rPr>
          <w:rFonts w:asciiTheme="minorHAnsi" w:hAnsiTheme="minorHAnsi" w:cstheme="minorBidi"/>
          <w:sz w:val="22"/>
          <w:szCs w:val="22"/>
        </w:rPr>
      </w:pPr>
      <w:r w:rsidRPr="5D0E524A">
        <w:rPr>
          <w:rFonts w:asciiTheme="minorHAnsi" w:hAnsiTheme="minorHAnsi" w:cstheme="minorBidi"/>
          <w:sz w:val="22"/>
          <w:szCs w:val="22"/>
        </w:rPr>
        <w:t>Build</w:t>
      </w:r>
      <w:r w:rsidRPr="5D0E524A" w:rsidR="002B069C">
        <w:rPr>
          <w:rFonts w:asciiTheme="minorHAnsi" w:hAnsiTheme="minorHAnsi" w:cstheme="minorBidi"/>
          <w:sz w:val="22"/>
          <w:szCs w:val="22"/>
        </w:rPr>
        <w:t>ing</w:t>
      </w:r>
      <w:r w:rsidRPr="5D0E524A">
        <w:rPr>
          <w:rFonts w:asciiTheme="minorHAnsi" w:hAnsiTheme="minorHAnsi" w:cstheme="minorBidi"/>
          <w:sz w:val="22"/>
          <w:szCs w:val="22"/>
        </w:rPr>
        <w:t xml:space="preserve"> a shared understanding of how CSBG activities support </w:t>
      </w:r>
      <w:r w:rsidR="003C647E">
        <w:rPr>
          <w:rFonts w:asciiTheme="minorHAnsi" w:hAnsiTheme="minorHAnsi" w:cstheme="minorBidi"/>
          <w:sz w:val="22"/>
          <w:szCs w:val="22"/>
        </w:rPr>
        <w:t>OCS/DCA’s</w:t>
      </w:r>
      <w:r w:rsidRPr="5D0E524A" w:rsidR="003C647E">
        <w:rPr>
          <w:rFonts w:asciiTheme="minorHAnsi" w:hAnsiTheme="minorHAnsi" w:cstheme="minorBidi"/>
          <w:sz w:val="22"/>
          <w:szCs w:val="22"/>
        </w:rPr>
        <w:t xml:space="preserve"> </w:t>
      </w:r>
      <w:r w:rsidRPr="5D0E524A">
        <w:rPr>
          <w:rFonts w:asciiTheme="minorHAnsi" w:hAnsiTheme="minorHAnsi" w:cstheme="minorBidi"/>
          <w:sz w:val="22"/>
          <w:szCs w:val="22"/>
        </w:rPr>
        <w:t>learning goals.</w:t>
      </w:r>
    </w:p>
    <w:p w:rsidR="002B069C" w:rsidP="5D0E524A" w14:paraId="17E15C73" w14:textId="65DD0541">
      <w:pPr>
        <w:pStyle w:val="ListParagraph"/>
        <w:numPr>
          <w:ilvl w:val="0"/>
          <w:numId w:val="2"/>
        </w:numPr>
        <w:spacing w:after="60"/>
        <w:rPr>
          <w:rFonts w:asciiTheme="minorHAnsi" w:hAnsiTheme="minorHAnsi" w:cstheme="minorBidi"/>
          <w:sz w:val="22"/>
          <w:szCs w:val="22"/>
        </w:rPr>
      </w:pPr>
      <w:r>
        <w:rPr>
          <w:rFonts w:asciiTheme="minorHAnsi" w:hAnsiTheme="minorHAnsi" w:cstheme="minorBidi"/>
          <w:sz w:val="22"/>
          <w:szCs w:val="22"/>
        </w:rPr>
        <w:t>Creating a conceptual model to document</w:t>
      </w:r>
      <w:r w:rsidRPr="5D0E524A">
        <w:rPr>
          <w:rFonts w:asciiTheme="minorHAnsi" w:hAnsiTheme="minorHAnsi" w:cstheme="minorBidi"/>
          <w:sz w:val="22"/>
          <w:szCs w:val="22"/>
        </w:rPr>
        <w:t xml:space="preserve"> </w:t>
      </w:r>
      <w:r w:rsidRPr="5D0E524A" w:rsidR="000F4420">
        <w:rPr>
          <w:rFonts w:asciiTheme="minorHAnsi" w:hAnsiTheme="minorHAnsi" w:cstheme="minorBidi"/>
          <w:sz w:val="22"/>
          <w:szCs w:val="22"/>
        </w:rPr>
        <w:t xml:space="preserve">the activities of the CSBG network that </w:t>
      </w:r>
      <w:r w:rsidRPr="5D0E524A" w:rsidR="000F4420">
        <w:rPr>
          <w:rFonts w:asciiTheme="minorHAnsi" w:hAnsiTheme="minorHAnsi" w:cstheme="minorBidi"/>
          <w:sz w:val="22"/>
          <w:szCs w:val="22"/>
        </w:rPr>
        <w:t>lead</w:t>
      </w:r>
      <w:r w:rsidRPr="5D0E524A" w:rsidR="000F4420">
        <w:rPr>
          <w:rFonts w:asciiTheme="minorHAnsi" w:hAnsiTheme="minorHAnsi" w:cstheme="minorBidi"/>
          <w:sz w:val="22"/>
          <w:szCs w:val="22"/>
        </w:rPr>
        <w:t xml:space="preserve"> to the fulfillment of </w:t>
      </w:r>
      <w:r w:rsidR="00C8738D">
        <w:rPr>
          <w:rFonts w:asciiTheme="minorHAnsi" w:hAnsiTheme="minorHAnsi" w:cstheme="minorBidi"/>
          <w:sz w:val="22"/>
          <w:szCs w:val="22"/>
        </w:rPr>
        <w:t>DCA’s</w:t>
      </w:r>
      <w:r w:rsidRPr="5D0E524A" w:rsidR="00C8738D">
        <w:rPr>
          <w:rFonts w:asciiTheme="minorHAnsi" w:hAnsiTheme="minorHAnsi" w:cstheme="minorBidi"/>
          <w:sz w:val="22"/>
          <w:szCs w:val="22"/>
        </w:rPr>
        <w:t xml:space="preserve"> </w:t>
      </w:r>
      <w:r w:rsidRPr="5D0E524A" w:rsidR="00A05CD7">
        <w:rPr>
          <w:rFonts w:asciiTheme="minorHAnsi" w:hAnsiTheme="minorHAnsi" w:cstheme="minorBidi"/>
          <w:sz w:val="22"/>
          <w:szCs w:val="22"/>
        </w:rPr>
        <w:t>vision</w:t>
      </w:r>
      <w:r w:rsidR="00C8738D">
        <w:rPr>
          <w:rFonts w:asciiTheme="minorHAnsi" w:hAnsiTheme="minorHAnsi" w:cstheme="minorBidi"/>
          <w:sz w:val="22"/>
          <w:szCs w:val="22"/>
        </w:rPr>
        <w:t xml:space="preserve"> for CSBG</w:t>
      </w:r>
      <w:r w:rsidRPr="5D0E524A" w:rsidR="000F4420">
        <w:rPr>
          <w:rFonts w:asciiTheme="minorHAnsi" w:hAnsiTheme="minorHAnsi" w:cstheme="minorBidi"/>
          <w:sz w:val="22"/>
          <w:szCs w:val="22"/>
        </w:rPr>
        <w:t>.</w:t>
      </w:r>
    </w:p>
    <w:p w:rsidR="0012338C" w:rsidRPr="002B069C" w:rsidP="00DB4BA5" w14:paraId="01DB7976" w14:textId="7DD93B4D">
      <w:pPr>
        <w:pStyle w:val="ListParagraph"/>
        <w:numPr>
          <w:ilvl w:val="0"/>
          <w:numId w:val="2"/>
        </w:numPr>
        <w:rPr>
          <w:rFonts w:asciiTheme="minorHAnsi" w:hAnsiTheme="minorHAnsi" w:cstheme="minorBidi"/>
          <w:sz w:val="22"/>
          <w:szCs w:val="22"/>
        </w:rPr>
      </w:pPr>
      <w:r w:rsidRPr="5D0E524A">
        <w:rPr>
          <w:rFonts w:asciiTheme="minorHAnsi" w:hAnsiTheme="minorHAnsi" w:cstheme="minorBidi"/>
          <w:sz w:val="22"/>
          <w:szCs w:val="22"/>
        </w:rPr>
        <w:t>Understand</w:t>
      </w:r>
      <w:r w:rsidRPr="5D0E524A" w:rsidR="002B069C">
        <w:rPr>
          <w:rFonts w:asciiTheme="minorHAnsi" w:hAnsiTheme="minorHAnsi" w:cstheme="minorBidi"/>
          <w:sz w:val="22"/>
          <w:szCs w:val="22"/>
        </w:rPr>
        <w:t>ing</w:t>
      </w:r>
      <w:r w:rsidRPr="5D0E524A">
        <w:rPr>
          <w:rFonts w:asciiTheme="minorHAnsi" w:hAnsiTheme="minorHAnsi" w:cstheme="minorBidi"/>
          <w:sz w:val="22"/>
          <w:szCs w:val="22"/>
        </w:rPr>
        <w:t xml:space="preserve"> the </w:t>
      </w:r>
      <w:r w:rsidR="007512C5">
        <w:rPr>
          <w:rFonts w:asciiTheme="minorHAnsi" w:hAnsiTheme="minorHAnsi" w:cstheme="minorBidi"/>
          <w:sz w:val="22"/>
          <w:szCs w:val="22"/>
        </w:rPr>
        <w:t xml:space="preserve">interactions and collaboration between DCA and </w:t>
      </w:r>
      <w:r w:rsidR="006427CA">
        <w:rPr>
          <w:rFonts w:asciiTheme="minorHAnsi" w:hAnsiTheme="minorHAnsi" w:cstheme="minorBidi"/>
          <w:sz w:val="22"/>
          <w:szCs w:val="22"/>
        </w:rPr>
        <w:t xml:space="preserve">other organizations in the </w:t>
      </w:r>
      <w:r w:rsidR="007512C5">
        <w:rPr>
          <w:rFonts w:asciiTheme="minorHAnsi" w:hAnsiTheme="minorHAnsi" w:cstheme="minorBidi"/>
          <w:sz w:val="22"/>
          <w:szCs w:val="22"/>
        </w:rPr>
        <w:t>CSBG network.</w:t>
      </w:r>
      <w:r w:rsidRPr="5D0E524A" w:rsidR="007512C5">
        <w:rPr>
          <w:rFonts w:asciiTheme="minorHAnsi" w:hAnsiTheme="minorHAnsi" w:cstheme="minorBidi"/>
          <w:sz w:val="22"/>
          <w:szCs w:val="22"/>
        </w:rPr>
        <w:t xml:space="preserve"> </w:t>
      </w:r>
      <w:r>
        <w:br/>
      </w:r>
    </w:p>
    <w:p w:rsidR="00D964BC" w:rsidRPr="002F65C2" w:rsidP="00DB4BA5" w14:paraId="6F5CF4FF" w14:textId="661E5ECF">
      <w:pPr>
        <w:pStyle w:val="Heading4"/>
        <w:numPr>
          <w:ilvl w:val="3"/>
          <w:numId w:val="0"/>
        </w:numPr>
        <w:tabs>
          <w:tab w:val="num" w:pos="180"/>
        </w:tabs>
        <w:spacing w:before="0" w:line="264" w:lineRule="auto"/>
        <w:rPr>
          <w:rFonts w:asciiTheme="minorHAnsi" w:hAnsiTheme="minorHAnsi" w:cstheme="minorHAnsi"/>
          <w:b w:val="0"/>
          <w:sz w:val="22"/>
          <w:szCs w:val="22"/>
        </w:rPr>
      </w:pPr>
      <w:r w:rsidRPr="002F65C2">
        <w:rPr>
          <w:rFonts w:asciiTheme="minorHAnsi" w:hAnsiTheme="minorHAnsi" w:cstheme="minorHAnsi"/>
          <w:b w:val="0"/>
          <w:sz w:val="22"/>
          <w:szCs w:val="22"/>
        </w:rPr>
        <w:t xml:space="preserve">This proposed information collection meets the goals </w:t>
      </w:r>
      <w:r w:rsidRPr="002F65C2" w:rsidR="0012338C">
        <w:rPr>
          <w:rFonts w:asciiTheme="minorHAnsi" w:hAnsiTheme="minorHAnsi" w:cstheme="minorHAnsi"/>
          <w:b w:val="0"/>
          <w:sz w:val="22"/>
          <w:szCs w:val="22"/>
        </w:rPr>
        <w:t xml:space="preserve">and uses </w:t>
      </w:r>
      <w:r w:rsidRPr="002F65C2">
        <w:rPr>
          <w:rFonts w:asciiTheme="minorHAnsi" w:hAnsiTheme="minorHAnsi" w:cstheme="minorHAnsi"/>
          <w:b w:val="0"/>
          <w:sz w:val="22"/>
          <w:szCs w:val="22"/>
        </w:rPr>
        <w:t xml:space="preserve">of </w:t>
      </w:r>
      <w:r w:rsidRPr="002F65C2" w:rsidR="0012338C">
        <w:rPr>
          <w:rFonts w:asciiTheme="minorHAnsi" w:hAnsiTheme="minorHAnsi" w:cstheme="minorHAnsi"/>
          <w:b w:val="0"/>
          <w:sz w:val="22"/>
          <w:szCs w:val="22"/>
        </w:rPr>
        <w:t xml:space="preserve">the </w:t>
      </w:r>
      <w:r w:rsidRPr="002F65C2">
        <w:rPr>
          <w:rFonts w:asciiTheme="minorHAnsi" w:hAnsiTheme="minorHAnsi" w:cstheme="minorHAnsi"/>
          <w:b w:val="0"/>
          <w:sz w:val="22"/>
          <w:szCs w:val="22"/>
        </w:rPr>
        <w:t xml:space="preserve">ACF generic clearance for </w:t>
      </w:r>
      <w:r w:rsidRPr="002F65C2" w:rsidR="0012338C">
        <w:rPr>
          <w:rFonts w:asciiTheme="minorHAnsi" w:hAnsiTheme="minorHAnsi" w:cstheme="minorHAnsi"/>
          <w:b w:val="0"/>
          <w:sz w:val="22"/>
          <w:szCs w:val="22"/>
        </w:rPr>
        <w:t>engagement efforts</w:t>
      </w:r>
      <w:r w:rsidRPr="002F65C2">
        <w:rPr>
          <w:rFonts w:asciiTheme="minorHAnsi" w:hAnsiTheme="minorHAnsi" w:cstheme="minorHAnsi"/>
          <w:b w:val="0"/>
          <w:sz w:val="22"/>
          <w:szCs w:val="22"/>
        </w:rPr>
        <w:t xml:space="preserve"> (0970-0</w:t>
      </w:r>
      <w:r w:rsidRPr="002F65C2" w:rsidR="0012338C">
        <w:rPr>
          <w:rFonts w:asciiTheme="minorHAnsi" w:hAnsiTheme="minorHAnsi" w:cstheme="minorHAnsi"/>
          <w:b w:val="0"/>
          <w:sz w:val="22"/>
          <w:szCs w:val="22"/>
        </w:rPr>
        <w:t>63</w:t>
      </w:r>
      <w:r w:rsidRPr="002F65C2" w:rsidR="00F9048F">
        <w:rPr>
          <w:rFonts w:asciiTheme="minorHAnsi" w:hAnsiTheme="minorHAnsi" w:cstheme="minorHAnsi"/>
          <w:b w:val="0"/>
          <w:sz w:val="22"/>
          <w:szCs w:val="22"/>
        </w:rPr>
        <w:t>0</w:t>
      </w:r>
      <w:r w:rsidRPr="002F65C2">
        <w:rPr>
          <w:rFonts w:asciiTheme="minorHAnsi" w:hAnsiTheme="minorHAnsi" w:cstheme="minorHAnsi"/>
          <w:b w:val="0"/>
          <w:sz w:val="22"/>
          <w:szCs w:val="22"/>
        </w:rPr>
        <w:t xml:space="preserve">): </w:t>
      </w:r>
    </w:p>
    <w:p w:rsidR="0012338C" w:rsidRPr="002F65C2" w:rsidP="0E76D161" w14:paraId="65A53731" w14:textId="213D64C7">
      <w:pPr>
        <w:pStyle w:val="ListParagraph"/>
        <w:numPr>
          <w:ilvl w:val="0"/>
          <w:numId w:val="27"/>
        </w:numPr>
        <w:rPr>
          <w:rFonts w:asciiTheme="minorHAnsi" w:hAnsiTheme="minorHAnsi" w:cstheme="minorBidi"/>
          <w:sz w:val="22"/>
          <w:szCs w:val="22"/>
        </w:rPr>
      </w:pPr>
      <w:r w:rsidRPr="0E76D161">
        <w:rPr>
          <w:rFonts w:asciiTheme="minorHAnsi" w:hAnsiTheme="minorHAnsi" w:cstheme="minorBidi"/>
          <w:sz w:val="22"/>
          <w:szCs w:val="22"/>
        </w:rPr>
        <w:t xml:space="preserve">Gathering information from individuals with diverse experiences and perspectives to inform ACF policies and programs.  </w:t>
      </w:r>
    </w:p>
    <w:p w:rsidR="0012338C" w:rsidRPr="002F65C2" w:rsidP="0012338C" w14:paraId="4544A473" w14:textId="2AD256A1">
      <w:pPr>
        <w:pStyle w:val="ListParagraph"/>
        <w:numPr>
          <w:ilvl w:val="0"/>
          <w:numId w:val="27"/>
        </w:numPr>
        <w:rPr>
          <w:rFonts w:asciiTheme="minorHAnsi" w:hAnsiTheme="minorHAnsi" w:cstheme="minorHAnsi"/>
          <w:sz w:val="22"/>
          <w:szCs w:val="22"/>
        </w:rPr>
      </w:pPr>
      <w:r w:rsidRPr="002F65C2">
        <w:rPr>
          <w:rFonts w:asciiTheme="minorHAnsi" w:hAnsiTheme="minorHAnsi" w:cstheme="minorHAnsi"/>
          <w:sz w:val="22"/>
          <w:szCs w:val="22"/>
        </w:rPr>
        <w:t xml:space="preserve">Making opportunities for ongoing, two-way collaborative and actionable communications between ACF and its state, local and/or Tribal partners, program participants, communities served or affected by ACF programs, and or others experienced with or interested in ACF programs or similar programs.  </w:t>
      </w:r>
    </w:p>
    <w:p w:rsidR="0012338C" w:rsidRPr="002F65C2" w:rsidP="0012338C" w14:paraId="14C9AA9F" w14:textId="7974273B">
      <w:pPr>
        <w:pStyle w:val="ListParagraph"/>
        <w:numPr>
          <w:ilvl w:val="0"/>
          <w:numId w:val="27"/>
        </w:numPr>
        <w:rPr>
          <w:rFonts w:asciiTheme="minorHAnsi" w:hAnsiTheme="minorHAnsi" w:cstheme="minorHAnsi"/>
          <w:sz w:val="22"/>
          <w:szCs w:val="22"/>
        </w:rPr>
      </w:pPr>
      <w:r w:rsidRPr="002F65C2">
        <w:rPr>
          <w:rFonts w:asciiTheme="minorHAnsi" w:hAnsiTheme="minorHAnsi" w:cstheme="minorHAnsi"/>
          <w:sz w:val="22"/>
          <w:szCs w:val="22"/>
        </w:rPr>
        <w:t>Informing program improvements</w:t>
      </w:r>
      <w:r w:rsidR="003F1EAC">
        <w:rPr>
          <w:rFonts w:asciiTheme="minorHAnsi" w:hAnsiTheme="minorHAnsi" w:cstheme="minorHAnsi"/>
          <w:sz w:val="22"/>
          <w:szCs w:val="22"/>
        </w:rPr>
        <w:t>.</w:t>
      </w:r>
    </w:p>
    <w:p w:rsidR="0012338C" w:rsidRPr="002F65C2" w:rsidP="0012338C" w14:paraId="60DFF4F2" w14:textId="6006D9FA">
      <w:pPr>
        <w:pStyle w:val="ListParagraph"/>
        <w:numPr>
          <w:ilvl w:val="0"/>
          <w:numId w:val="27"/>
        </w:numPr>
        <w:rPr>
          <w:rFonts w:asciiTheme="minorHAnsi" w:hAnsiTheme="minorHAnsi" w:cstheme="minorHAnsi"/>
          <w:sz w:val="22"/>
          <w:szCs w:val="22"/>
        </w:rPr>
      </w:pPr>
      <w:r w:rsidRPr="002F65C2">
        <w:rPr>
          <w:rFonts w:asciiTheme="minorHAnsi" w:hAnsiTheme="minorHAnsi" w:cstheme="minorHAnsi"/>
          <w:sz w:val="22"/>
          <w:szCs w:val="22"/>
        </w:rPr>
        <w:t>Informing program planning</w:t>
      </w:r>
      <w:r w:rsidR="003F1EAC">
        <w:rPr>
          <w:rFonts w:asciiTheme="minorHAnsi" w:hAnsiTheme="minorHAnsi" w:cstheme="minorHAnsi"/>
          <w:sz w:val="22"/>
          <w:szCs w:val="22"/>
        </w:rPr>
        <w:t>.</w:t>
      </w:r>
      <w:r w:rsidR="003F3B37">
        <w:rPr>
          <w:rFonts w:asciiTheme="minorHAnsi" w:hAnsiTheme="minorHAnsi" w:cstheme="minorHAnsi"/>
          <w:sz w:val="22"/>
          <w:szCs w:val="22"/>
        </w:rPr>
        <w:br/>
      </w:r>
    </w:p>
    <w:p w:rsidR="00330EBD" w:rsidRPr="003F3B37" w:rsidP="00DB4BA5" w14:paraId="16DFC566" w14:textId="290DE7CB">
      <w:pPr>
        <w:spacing w:after="60"/>
        <w:rPr>
          <w:rFonts w:asciiTheme="minorHAnsi" w:hAnsiTheme="minorHAnsi" w:cstheme="minorBidi"/>
          <w:b/>
          <w:bCs/>
          <w:i/>
          <w:iCs/>
          <w:sz w:val="22"/>
          <w:szCs w:val="22"/>
        </w:rPr>
      </w:pPr>
      <w:r w:rsidRPr="00DB4BA5">
        <w:rPr>
          <w:rFonts w:asciiTheme="minorHAnsi" w:hAnsiTheme="minorHAnsi" w:cstheme="minorBidi"/>
          <w:b/>
          <w:bCs/>
          <w:i/>
          <w:iCs/>
          <w:sz w:val="22"/>
          <w:szCs w:val="22"/>
        </w:rPr>
        <w:t>Overview of Information Collections</w:t>
      </w:r>
    </w:p>
    <w:tbl>
      <w:tblPr>
        <w:tblStyle w:val="TableGrid"/>
        <w:tblW w:w="0" w:type="auto"/>
        <w:tblLook w:val="04A0"/>
      </w:tblPr>
      <w:tblGrid>
        <w:gridCol w:w="2515"/>
        <w:gridCol w:w="4590"/>
        <w:gridCol w:w="2245"/>
      </w:tblGrid>
      <w:tr w14:paraId="7677DC5D" w14:textId="77777777" w:rsidTr="00DB4BA5">
        <w:tblPrEx>
          <w:tblW w:w="0" w:type="auto"/>
          <w:tblLook w:val="04A0"/>
        </w:tblPrEx>
        <w:tc>
          <w:tcPr>
            <w:tcW w:w="2515" w:type="dxa"/>
            <w:shd w:val="clear" w:color="auto" w:fill="D9D9D9" w:themeFill="background1" w:themeFillShade="D9"/>
          </w:tcPr>
          <w:p w:rsidR="00330EBD" w:rsidRPr="002F65C2" w:rsidP="006C2EBC" w14:paraId="6AC9D5BC" w14:textId="472A9C46">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In</w:t>
            </w:r>
            <w:r w:rsidRPr="002F65C2" w:rsidR="006C2EBC">
              <w:rPr>
                <w:rFonts w:asciiTheme="minorHAnsi" w:hAnsiTheme="minorHAnsi" w:cstheme="minorHAnsi"/>
                <w:b/>
                <w:bCs/>
                <w:i/>
                <w:iCs/>
                <w:sz w:val="20"/>
                <w:szCs w:val="20"/>
              </w:rPr>
              <w:t>formation Collection Title</w:t>
            </w:r>
          </w:p>
        </w:tc>
        <w:tc>
          <w:tcPr>
            <w:tcW w:w="4590" w:type="dxa"/>
            <w:shd w:val="clear" w:color="auto" w:fill="D9D9D9" w:themeFill="background1" w:themeFillShade="D9"/>
          </w:tcPr>
          <w:p w:rsidR="00330EBD" w:rsidRPr="002F65C2" w:rsidP="006C2EBC" w14:paraId="5C19894D" w14:textId="56344E62">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Respondent, Content, Purpose of Collection</w:t>
            </w:r>
          </w:p>
        </w:tc>
        <w:tc>
          <w:tcPr>
            <w:tcW w:w="2245" w:type="dxa"/>
            <w:shd w:val="clear" w:color="auto" w:fill="D9D9D9" w:themeFill="background1" w:themeFillShade="D9"/>
          </w:tcPr>
          <w:p w:rsidR="00330EBD" w:rsidRPr="002F65C2" w:rsidP="006C2EBC" w14:paraId="5AB5407D" w14:textId="6D44F401">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Mode and Duration</w:t>
            </w:r>
          </w:p>
        </w:tc>
      </w:tr>
      <w:tr w14:paraId="3AEF5DC4" w14:textId="77777777" w:rsidTr="00DB4BA5">
        <w:tblPrEx>
          <w:tblW w:w="0" w:type="auto"/>
          <w:tblLook w:val="04A0"/>
        </w:tblPrEx>
        <w:tc>
          <w:tcPr>
            <w:tcW w:w="2515" w:type="dxa"/>
            <w:shd w:val="clear" w:color="auto" w:fill="auto"/>
          </w:tcPr>
          <w:p w:rsidR="006C2EBC" w:rsidRPr="002F65C2" w:rsidP="0E76D161" w14:paraId="6F4DDDA2" w14:textId="0D11B464">
            <w:pPr>
              <w:rPr>
                <w:rFonts w:asciiTheme="minorHAnsi" w:hAnsiTheme="minorHAnsi" w:cstheme="minorBidi"/>
                <w:sz w:val="20"/>
                <w:szCs w:val="20"/>
                <w:highlight w:val="yellow"/>
              </w:rPr>
            </w:pPr>
            <w:r>
              <w:rPr>
                <w:rFonts w:asciiTheme="minorHAnsi" w:hAnsiTheme="minorHAnsi" w:cstheme="minorBidi"/>
                <w:sz w:val="20"/>
                <w:szCs w:val="20"/>
              </w:rPr>
              <w:t xml:space="preserve">CSBG Network Partner </w:t>
            </w:r>
            <w:r w:rsidR="00142171">
              <w:rPr>
                <w:rFonts w:asciiTheme="minorHAnsi" w:hAnsiTheme="minorHAnsi" w:cstheme="minorBidi"/>
                <w:sz w:val="20"/>
                <w:szCs w:val="20"/>
              </w:rPr>
              <w:t>Discussion</w:t>
            </w:r>
            <w:r>
              <w:rPr>
                <w:rFonts w:asciiTheme="minorHAnsi" w:hAnsiTheme="minorHAnsi" w:cstheme="minorBidi"/>
                <w:sz w:val="20"/>
                <w:szCs w:val="20"/>
              </w:rPr>
              <w:t xml:space="preserve"> Protocol</w:t>
            </w:r>
          </w:p>
        </w:tc>
        <w:tc>
          <w:tcPr>
            <w:tcW w:w="4590" w:type="dxa"/>
          </w:tcPr>
          <w:p w:rsidR="001D6262" w:rsidRPr="00DB4BA5" w:rsidP="001D6262" w14:paraId="2A947C99" w14:textId="65A2BDDA">
            <w:pPr>
              <w:rPr>
                <w:rFonts w:asciiTheme="minorHAnsi" w:hAnsiTheme="minorHAnsi" w:cstheme="minorHAnsi"/>
                <w:sz w:val="20"/>
                <w:szCs w:val="20"/>
              </w:rPr>
            </w:pPr>
            <w:r w:rsidRPr="002F65C2">
              <w:rPr>
                <w:rFonts w:asciiTheme="minorHAnsi" w:hAnsiTheme="minorHAnsi" w:cstheme="minorHAnsi"/>
                <w:b/>
                <w:bCs/>
                <w:sz w:val="20"/>
                <w:szCs w:val="20"/>
              </w:rPr>
              <w:t>Respondents</w:t>
            </w:r>
            <w:r w:rsidRPr="004009CC">
              <w:rPr>
                <w:rFonts w:asciiTheme="minorHAnsi" w:hAnsiTheme="minorHAnsi" w:cstheme="minorHAnsi"/>
                <w:sz w:val="20"/>
                <w:szCs w:val="20"/>
              </w:rPr>
              <w:t>:</w:t>
            </w:r>
            <w:r w:rsidR="00036A6A">
              <w:rPr>
                <w:rFonts w:asciiTheme="minorHAnsi" w:hAnsiTheme="minorHAnsi" w:cstheme="minorHAnsi"/>
                <w:sz w:val="20"/>
                <w:szCs w:val="20"/>
              </w:rPr>
              <w:t xml:space="preserve"> </w:t>
            </w:r>
            <w:r w:rsidR="00A83957">
              <w:rPr>
                <w:rFonts w:asciiTheme="minorHAnsi" w:hAnsiTheme="minorHAnsi" w:cstheme="minorHAnsi"/>
                <w:sz w:val="20"/>
                <w:szCs w:val="20"/>
              </w:rPr>
              <w:t xml:space="preserve">Staff </w:t>
            </w:r>
            <w:r w:rsidRPr="001D6262" w:rsidR="00A83957">
              <w:rPr>
                <w:rFonts w:asciiTheme="minorHAnsi" w:hAnsiTheme="minorHAnsi" w:cstheme="minorHAnsi"/>
                <w:sz w:val="20"/>
                <w:szCs w:val="20"/>
              </w:rPr>
              <w:t>r</w:t>
            </w:r>
            <w:r w:rsidRPr="001D6262" w:rsidR="0055705E">
              <w:rPr>
                <w:rFonts w:asciiTheme="minorHAnsi" w:hAnsiTheme="minorHAnsi" w:cstheme="minorHAnsi"/>
                <w:sz w:val="20"/>
                <w:szCs w:val="20"/>
              </w:rPr>
              <w:t xml:space="preserve">epresentatives </w:t>
            </w:r>
            <w:r w:rsidRPr="001D6262" w:rsidR="00DD6A35">
              <w:rPr>
                <w:rFonts w:asciiTheme="minorHAnsi" w:hAnsiTheme="minorHAnsi" w:cstheme="minorHAnsi"/>
                <w:sz w:val="20"/>
                <w:szCs w:val="20"/>
              </w:rPr>
              <w:t xml:space="preserve">from </w:t>
            </w:r>
            <w:r w:rsidRPr="00FC23A2" w:rsidR="003E7FA4">
              <w:rPr>
                <w:rFonts w:asciiTheme="minorHAnsi" w:hAnsiTheme="minorHAnsi" w:cstheme="minorHAnsi"/>
                <w:sz w:val="20"/>
                <w:szCs w:val="20"/>
              </w:rPr>
              <w:t xml:space="preserve">organizations in </w:t>
            </w:r>
            <w:r w:rsidRPr="00FC23A2" w:rsidR="00DD6A35">
              <w:rPr>
                <w:rFonts w:asciiTheme="minorHAnsi" w:hAnsiTheme="minorHAnsi" w:cstheme="minorHAnsi"/>
                <w:sz w:val="20"/>
                <w:szCs w:val="20"/>
              </w:rPr>
              <w:t>the CSBG network</w:t>
            </w:r>
            <w:r w:rsidRPr="00FC23A2" w:rsidR="00FC23A2">
              <w:rPr>
                <w:rFonts w:asciiTheme="minorHAnsi" w:hAnsiTheme="minorHAnsi" w:cstheme="minorHAnsi"/>
                <w:sz w:val="20"/>
                <w:szCs w:val="20"/>
              </w:rPr>
              <w:t xml:space="preserve"> such as </w:t>
            </w:r>
            <w:r w:rsidRPr="00DB4BA5" w:rsidR="00FC23A2">
              <w:rPr>
                <w:rFonts w:asciiTheme="minorHAnsi" w:hAnsiTheme="minorHAnsi" w:cstheme="minorHAnsi"/>
                <w:sz w:val="20"/>
                <w:szCs w:val="20"/>
              </w:rPr>
              <w:t xml:space="preserve">staff from state or tribal administrators, state and regional technical assistance providers, eligible entity representatives (such as staff and tripartite board members), and national organizations. </w:t>
            </w:r>
            <w:r w:rsidRPr="00DB4BA5">
              <w:rPr>
                <w:rFonts w:asciiTheme="minorHAnsi" w:hAnsiTheme="minorHAnsi" w:cstheme="minorHAnsi"/>
                <w:sz w:val="20"/>
                <w:szCs w:val="20"/>
              </w:rPr>
              <w:t xml:space="preserve"> </w:t>
            </w:r>
          </w:p>
          <w:p w:rsidR="006C2EBC" w:rsidRPr="002F65C2" w:rsidP="006C2EBC" w14:paraId="5E674D47" w14:textId="77777777">
            <w:pPr>
              <w:rPr>
                <w:rFonts w:asciiTheme="minorHAnsi" w:hAnsiTheme="minorHAnsi" w:cstheme="minorHAnsi"/>
                <w:sz w:val="20"/>
                <w:szCs w:val="20"/>
              </w:rPr>
            </w:pPr>
          </w:p>
          <w:p w:rsidR="006C2EBC" w:rsidRPr="004009CC" w:rsidP="006C2EBC" w14:paraId="49184985" w14:textId="24D5E585">
            <w:pPr>
              <w:rPr>
                <w:rFonts w:asciiTheme="minorHAnsi" w:hAnsiTheme="minorHAnsi" w:cstheme="minorHAnsi"/>
                <w:sz w:val="20"/>
                <w:szCs w:val="20"/>
              </w:rPr>
            </w:pPr>
            <w:r w:rsidRPr="002F65C2">
              <w:rPr>
                <w:rFonts w:asciiTheme="minorHAnsi" w:hAnsiTheme="minorHAnsi" w:cstheme="minorHAnsi"/>
                <w:b/>
                <w:bCs/>
                <w:sz w:val="20"/>
                <w:szCs w:val="20"/>
              </w:rPr>
              <w:t>Content</w:t>
            </w:r>
            <w:r w:rsidRPr="0040466B">
              <w:rPr>
                <w:rFonts w:asciiTheme="minorHAnsi" w:hAnsiTheme="minorHAnsi" w:cstheme="minorHAnsi"/>
                <w:b/>
                <w:bCs/>
                <w:sz w:val="20"/>
                <w:szCs w:val="20"/>
              </w:rPr>
              <w:t xml:space="preserve">: </w:t>
            </w:r>
            <w:r w:rsidRPr="0040466B" w:rsidR="004009CC">
              <w:rPr>
                <w:rFonts w:asciiTheme="minorHAnsi" w:hAnsiTheme="minorHAnsi" w:cstheme="minorHAnsi"/>
                <w:sz w:val="20"/>
                <w:szCs w:val="20"/>
              </w:rPr>
              <w:t xml:space="preserve">Questions related to </w:t>
            </w:r>
            <w:r w:rsidRPr="0040466B" w:rsidR="0040466B">
              <w:rPr>
                <w:rFonts w:asciiTheme="minorHAnsi" w:hAnsiTheme="minorHAnsi" w:cstheme="minorHAnsi"/>
                <w:sz w:val="20"/>
                <w:szCs w:val="20"/>
              </w:rPr>
              <w:t>feedback on</w:t>
            </w:r>
            <w:r w:rsidR="00083FDC">
              <w:rPr>
                <w:rFonts w:asciiTheme="minorHAnsi" w:hAnsiTheme="minorHAnsi" w:cstheme="minorHAnsi"/>
                <w:sz w:val="20"/>
                <w:szCs w:val="20"/>
              </w:rPr>
              <w:t xml:space="preserve"> a vision for</w:t>
            </w:r>
            <w:r w:rsidRPr="0040466B" w:rsidR="0040466B">
              <w:rPr>
                <w:rFonts w:asciiTheme="minorHAnsi" w:hAnsiTheme="minorHAnsi" w:cstheme="minorHAnsi"/>
                <w:sz w:val="20"/>
                <w:szCs w:val="20"/>
              </w:rPr>
              <w:t xml:space="preserve"> </w:t>
            </w:r>
            <w:r w:rsidR="00083FDC">
              <w:rPr>
                <w:rFonts w:asciiTheme="minorHAnsi" w:hAnsiTheme="minorHAnsi" w:cstheme="minorHAnsi"/>
                <w:sz w:val="20"/>
                <w:szCs w:val="20"/>
              </w:rPr>
              <w:t xml:space="preserve">how </w:t>
            </w:r>
            <w:r w:rsidRPr="0040466B" w:rsidR="0040466B">
              <w:rPr>
                <w:rFonts w:asciiTheme="minorHAnsi" w:hAnsiTheme="minorHAnsi" w:cstheme="minorHAnsi"/>
                <w:sz w:val="20"/>
                <w:szCs w:val="20"/>
              </w:rPr>
              <w:t>CSBG</w:t>
            </w:r>
            <w:r w:rsidR="00D832CF">
              <w:rPr>
                <w:rFonts w:asciiTheme="minorHAnsi" w:hAnsiTheme="minorHAnsi" w:cstheme="minorHAnsi"/>
                <w:sz w:val="20"/>
                <w:szCs w:val="20"/>
              </w:rPr>
              <w:t xml:space="preserve"> network partners should work together </w:t>
            </w:r>
            <w:r w:rsidR="00D70C08">
              <w:rPr>
                <w:rFonts w:asciiTheme="minorHAnsi" w:hAnsiTheme="minorHAnsi" w:cstheme="minorHAnsi"/>
                <w:sz w:val="20"/>
                <w:szCs w:val="20"/>
              </w:rPr>
              <w:t>to achieve positive outcomes related to legislative goals</w:t>
            </w:r>
            <w:r w:rsidRPr="0040466B" w:rsidR="0040466B">
              <w:rPr>
                <w:rFonts w:asciiTheme="minorHAnsi" w:hAnsiTheme="minorHAnsi" w:cstheme="minorHAnsi"/>
                <w:sz w:val="20"/>
                <w:szCs w:val="20"/>
              </w:rPr>
              <w:t xml:space="preserve">; </w:t>
            </w:r>
            <w:r w:rsidR="0060592E">
              <w:rPr>
                <w:rFonts w:asciiTheme="minorHAnsi" w:hAnsiTheme="minorHAnsi" w:cstheme="minorHAnsi"/>
                <w:sz w:val="20"/>
                <w:szCs w:val="20"/>
              </w:rPr>
              <w:t>how</w:t>
            </w:r>
            <w:r w:rsidRPr="0040466B" w:rsidR="0040466B">
              <w:rPr>
                <w:rFonts w:asciiTheme="minorHAnsi" w:hAnsiTheme="minorHAnsi" w:cstheme="minorHAnsi"/>
                <w:sz w:val="20"/>
                <w:szCs w:val="20"/>
              </w:rPr>
              <w:t xml:space="preserve"> network members’ </w:t>
            </w:r>
            <w:r w:rsidR="009B5D86">
              <w:rPr>
                <w:rFonts w:asciiTheme="minorHAnsi" w:hAnsiTheme="minorHAnsi" w:cstheme="minorHAnsi"/>
                <w:sz w:val="20"/>
                <w:szCs w:val="20"/>
              </w:rPr>
              <w:t xml:space="preserve">work together to </w:t>
            </w:r>
            <w:r w:rsidRPr="0040466B" w:rsidR="0040466B">
              <w:rPr>
                <w:rFonts w:asciiTheme="minorHAnsi" w:hAnsiTheme="minorHAnsi" w:cstheme="minorHAnsi"/>
                <w:sz w:val="20"/>
                <w:szCs w:val="20"/>
              </w:rPr>
              <w:t>achiev</w:t>
            </w:r>
            <w:r w:rsidR="009B5D86">
              <w:rPr>
                <w:rFonts w:asciiTheme="minorHAnsi" w:hAnsiTheme="minorHAnsi" w:cstheme="minorHAnsi"/>
                <w:sz w:val="20"/>
                <w:szCs w:val="20"/>
              </w:rPr>
              <w:t>e</w:t>
            </w:r>
            <w:r w:rsidRPr="0040466B" w:rsidR="0040466B">
              <w:rPr>
                <w:rFonts w:asciiTheme="minorHAnsi" w:hAnsiTheme="minorHAnsi" w:cstheme="minorHAnsi"/>
                <w:sz w:val="20"/>
                <w:szCs w:val="20"/>
              </w:rPr>
              <w:t xml:space="preserve"> </w:t>
            </w:r>
            <w:r w:rsidR="00083FDC">
              <w:rPr>
                <w:rFonts w:asciiTheme="minorHAnsi" w:hAnsiTheme="minorHAnsi" w:cstheme="minorHAnsi"/>
                <w:sz w:val="20"/>
                <w:szCs w:val="20"/>
              </w:rPr>
              <w:t xml:space="preserve">the </w:t>
            </w:r>
            <w:r w:rsidRPr="0040466B" w:rsidR="0040466B">
              <w:rPr>
                <w:rFonts w:asciiTheme="minorHAnsi" w:hAnsiTheme="minorHAnsi" w:cstheme="minorHAnsi"/>
                <w:sz w:val="20"/>
                <w:szCs w:val="20"/>
              </w:rPr>
              <w:t xml:space="preserve">CSBG vision; </w:t>
            </w:r>
            <w:r w:rsidR="00391D72">
              <w:rPr>
                <w:rFonts w:asciiTheme="minorHAnsi" w:hAnsiTheme="minorHAnsi" w:cstheme="minorHAnsi"/>
                <w:sz w:val="20"/>
                <w:szCs w:val="20"/>
              </w:rPr>
              <w:t xml:space="preserve">what makes it easy or difficult to </w:t>
            </w:r>
            <w:r w:rsidR="001730CF">
              <w:rPr>
                <w:rFonts w:asciiTheme="minorHAnsi" w:hAnsiTheme="minorHAnsi" w:cstheme="minorHAnsi"/>
                <w:sz w:val="20"/>
                <w:szCs w:val="20"/>
              </w:rPr>
              <w:t>achieve CSBG’s vision</w:t>
            </w:r>
            <w:r w:rsidR="00FB609C">
              <w:rPr>
                <w:rFonts w:asciiTheme="minorHAnsi" w:hAnsiTheme="minorHAnsi" w:cstheme="minorHAnsi"/>
                <w:sz w:val="20"/>
                <w:szCs w:val="20"/>
              </w:rPr>
              <w:t xml:space="preserve">; </w:t>
            </w:r>
            <w:r w:rsidR="001730CF">
              <w:rPr>
                <w:rFonts w:asciiTheme="minorHAnsi" w:hAnsiTheme="minorHAnsi" w:cstheme="minorHAnsi"/>
                <w:sz w:val="20"/>
                <w:szCs w:val="20"/>
              </w:rPr>
              <w:t xml:space="preserve">and </w:t>
            </w:r>
            <w:r w:rsidR="00A96F30">
              <w:rPr>
                <w:rFonts w:asciiTheme="minorHAnsi" w:hAnsiTheme="minorHAnsi" w:cstheme="minorHAnsi"/>
                <w:sz w:val="20"/>
                <w:szCs w:val="20"/>
              </w:rPr>
              <w:t xml:space="preserve">supports that CSBG network members would like to receive to </w:t>
            </w:r>
            <w:r w:rsidR="00083FDC">
              <w:rPr>
                <w:rFonts w:asciiTheme="minorHAnsi" w:hAnsiTheme="minorHAnsi" w:cstheme="minorHAnsi"/>
                <w:sz w:val="20"/>
                <w:szCs w:val="20"/>
              </w:rPr>
              <w:t>help them achieve the CSBG vision</w:t>
            </w:r>
            <w:r w:rsidRPr="0040466B" w:rsidR="0040466B">
              <w:rPr>
                <w:rFonts w:asciiTheme="minorHAnsi" w:hAnsiTheme="minorHAnsi" w:cstheme="minorHAnsi"/>
                <w:sz w:val="20"/>
                <w:szCs w:val="20"/>
              </w:rPr>
              <w:t>.</w:t>
            </w:r>
          </w:p>
          <w:p w:rsidR="006C2EBC" w:rsidRPr="002F65C2" w:rsidP="006C2EBC" w14:paraId="1A5D2354" w14:textId="77777777">
            <w:pPr>
              <w:rPr>
                <w:rFonts w:asciiTheme="minorHAnsi" w:hAnsiTheme="minorHAnsi" w:cstheme="minorHAnsi"/>
                <w:sz w:val="20"/>
                <w:szCs w:val="20"/>
              </w:rPr>
            </w:pPr>
          </w:p>
          <w:p w:rsidR="006C2EBC" w:rsidRPr="004009CC" w:rsidP="006C2EBC" w14:paraId="66C55401" w14:textId="78329248">
            <w:pPr>
              <w:rPr>
                <w:rFonts w:asciiTheme="minorHAnsi" w:hAnsiTheme="minorHAnsi" w:cstheme="minorHAnsi"/>
                <w:sz w:val="20"/>
                <w:szCs w:val="20"/>
              </w:rPr>
            </w:pPr>
            <w:r w:rsidRPr="00036A6A">
              <w:rPr>
                <w:rFonts w:asciiTheme="minorHAnsi" w:hAnsiTheme="minorHAnsi" w:cstheme="minorHAnsi"/>
                <w:b/>
                <w:bCs/>
                <w:sz w:val="20"/>
                <w:szCs w:val="20"/>
              </w:rPr>
              <w:t xml:space="preserve">Purpose: </w:t>
            </w:r>
            <w:r w:rsidRPr="00036A6A" w:rsidR="002B069C">
              <w:rPr>
                <w:rFonts w:asciiTheme="minorHAnsi" w:hAnsiTheme="minorHAnsi" w:cstheme="minorHAnsi"/>
                <w:sz w:val="20"/>
                <w:szCs w:val="20"/>
              </w:rPr>
              <w:t xml:space="preserve">To </w:t>
            </w:r>
            <w:r w:rsidRPr="00036A6A" w:rsidR="00F858C9">
              <w:rPr>
                <w:rFonts w:asciiTheme="minorHAnsi" w:hAnsiTheme="minorHAnsi" w:cstheme="minorHAnsi"/>
                <w:sz w:val="20"/>
                <w:szCs w:val="20"/>
              </w:rPr>
              <w:t xml:space="preserve">support DCA in developing a learning agenda by engaging </w:t>
            </w:r>
            <w:r w:rsidRPr="00036A6A" w:rsidR="00036A6A">
              <w:rPr>
                <w:rFonts w:asciiTheme="minorHAnsi" w:hAnsiTheme="minorHAnsi" w:cstheme="minorHAnsi"/>
                <w:sz w:val="20"/>
                <w:szCs w:val="20"/>
              </w:rPr>
              <w:t xml:space="preserve">CSBG </w:t>
            </w:r>
            <w:r w:rsidRPr="00036A6A" w:rsidR="00F858C9">
              <w:rPr>
                <w:rFonts w:asciiTheme="minorHAnsi" w:hAnsiTheme="minorHAnsi" w:cstheme="minorHAnsi"/>
                <w:sz w:val="20"/>
                <w:szCs w:val="20"/>
              </w:rPr>
              <w:t>network partners to gather</w:t>
            </w:r>
            <w:r w:rsidRPr="00036A6A" w:rsidR="003C58C5">
              <w:rPr>
                <w:rFonts w:asciiTheme="minorHAnsi" w:hAnsiTheme="minorHAnsi" w:cstheme="minorHAnsi"/>
                <w:sz w:val="20"/>
                <w:szCs w:val="20"/>
              </w:rPr>
              <w:t xml:space="preserve"> input </w:t>
            </w:r>
            <w:r w:rsidRPr="00036A6A" w:rsidR="00F858C9">
              <w:rPr>
                <w:rFonts w:asciiTheme="minorHAnsi" w:hAnsiTheme="minorHAnsi" w:cstheme="minorHAnsi"/>
                <w:sz w:val="20"/>
                <w:szCs w:val="20"/>
              </w:rPr>
              <w:t xml:space="preserve">on </w:t>
            </w:r>
            <w:r w:rsidRPr="00036A6A" w:rsidR="00036A6A">
              <w:rPr>
                <w:rFonts w:asciiTheme="minorHAnsi" w:hAnsiTheme="minorHAnsi" w:cstheme="minorHAnsi"/>
                <w:sz w:val="20"/>
                <w:szCs w:val="20"/>
              </w:rPr>
              <w:t>priority needs for the network</w:t>
            </w:r>
            <w:r w:rsidRPr="00036A6A" w:rsidR="003C58C5">
              <w:rPr>
                <w:rFonts w:asciiTheme="minorHAnsi" w:hAnsiTheme="minorHAnsi" w:cstheme="minorHAnsi"/>
                <w:sz w:val="20"/>
                <w:szCs w:val="20"/>
              </w:rPr>
              <w:t>.</w:t>
            </w:r>
          </w:p>
          <w:p w:rsidR="006C2EBC" w:rsidRPr="002F65C2" w:rsidP="006C2EBC" w14:paraId="193C87D1" w14:textId="73643800">
            <w:pPr>
              <w:rPr>
                <w:rFonts w:asciiTheme="minorHAnsi" w:hAnsiTheme="minorHAnsi" w:cstheme="minorHAnsi"/>
                <w:b/>
                <w:bCs/>
                <w:sz w:val="20"/>
                <w:szCs w:val="20"/>
              </w:rPr>
            </w:pPr>
          </w:p>
        </w:tc>
        <w:tc>
          <w:tcPr>
            <w:tcW w:w="2245" w:type="dxa"/>
          </w:tcPr>
          <w:p w:rsidR="006C2EBC" w:rsidRPr="002F65C2" w:rsidP="006C2EBC" w14:paraId="6BE10EEF" w14:textId="69749DFF">
            <w:pPr>
              <w:rPr>
                <w:rFonts w:asciiTheme="minorHAnsi" w:hAnsiTheme="minorHAnsi" w:cstheme="minorHAnsi"/>
                <w:b/>
                <w:bCs/>
                <w:sz w:val="20"/>
                <w:szCs w:val="20"/>
              </w:rPr>
            </w:pPr>
            <w:r w:rsidRPr="002F65C2">
              <w:rPr>
                <w:rFonts w:asciiTheme="minorHAnsi" w:hAnsiTheme="minorHAnsi" w:cstheme="minorHAnsi"/>
                <w:b/>
                <w:bCs/>
                <w:sz w:val="20"/>
                <w:szCs w:val="20"/>
              </w:rPr>
              <w:t xml:space="preserve">Mode: </w:t>
            </w:r>
            <w:r w:rsidRPr="004009CC" w:rsidR="004009CC">
              <w:rPr>
                <w:rFonts w:asciiTheme="minorHAnsi" w:hAnsiTheme="minorHAnsi" w:cstheme="minorHAnsi"/>
                <w:sz w:val="20"/>
                <w:szCs w:val="20"/>
              </w:rPr>
              <w:t>Videoconference call</w:t>
            </w:r>
          </w:p>
          <w:p w:rsidR="006C2EBC" w:rsidRPr="002F65C2" w:rsidP="006C2EBC" w14:paraId="085563CF" w14:textId="77777777">
            <w:pPr>
              <w:rPr>
                <w:rFonts w:asciiTheme="minorHAnsi" w:hAnsiTheme="minorHAnsi" w:cstheme="minorHAnsi"/>
                <w:sz w:val="20"/>
                <w:szCs w:val="20"/>
              </w:rPr>
            </w:pPr>
          </w:p>
          <w:p w:rsidR="006C2EBC" w:rsidRPr="002F65C2" w:rsidP="006C2EBC" w14:paraId="4233090F" w14:textId="018EC0E0">
            <w:pPr>
              <w:rPr>
                <w:rFonts w:asciiTheme="minorHAnsi" w:hAnsiTheme="minorHAnsi" w:cstheme="minorHAnsi"/>
                <w:b/>
                <w:bCs/>
                <w:sz w:val="20"/>
                <w:szCs w:val="20"/>
              </w:rPr>
            </w:pPr>
            <w:r w:rsidRPr="002F65C2">
              <w:rPr>
                <w:rFonts w:asciiTheme="minorHAnsi" w:hAnsiTheme="minorHAnsi" w:cstheme="minorHAnsi"/>
                <w:b/>
                <w:bCs/>
                <w:sz w:val="20"/>
                <w:szCs w:val="20"/>
              </w:rPr>
              <w:t>Duration:</w:t>
            </w:r>
            <w:r w:rsidRPr="00875642" w:rsidR="004009CC">
              <w:rPr>
                <w:rFonts w:asciiTheme="minorHAnsi" w:hAnsiTheme="minorHAnsi" w:cstheme="minorHAnsi"/>
                <w:sz w:val="20"/>
                <w:szCs w:val="20"/>
              </w:rPr>
              <w:t xml:space="preserve"> </w:t>
            </w:r>
            <w:r w:rsidRPr="00875642" w:rsidR="00875642">
              <w:rPr>
                <w:rFonts w:asciiTheme="minorHAnsi" w:hAnsiTheme="minorHAnsi" w:cstheme="minorHAnsi"/>
                <w:sz w:val="20"/>
                <w:szCs w:val="20"/>
              </w:rPr>
              <w:t>90 minutes</w:t>
            </w:r>
            <w:r w:rsidR="003F1EAC">
              <w:rPr>
                <w:rFonts w:asciiTheme="minorHAnsi" w:hAnsiTheme="minorHAnsi" w:cstheme="minorHAnsi"/>
                <w:sz w:val="20"/>
                <w:szCs w:val="20"/>
              </w:rPr>
              <w:t>/</w:t>
            </w:r>
            <w:r w:rsidR="00142171">
              <w:rPr>
                <w:rFonts w:asciiTheme="minorHAnsi" w:hAnsiTheme="minorHAnsi" w:cstheme="minorHAnsi"/>
                <w:sz w:val="20"/>
                <w:szCs w:val="20"/>
              </w:rPr>
              <w:t>discussion</w:t>
            </w:r>
            <w:r w:rsidRPr="00875642" w:rsidR="00142171">
              <w:rPr>
                <w:rFonts w:asciiTheme="minorHAnsi" w:hAnsiTheme="minorHAnsi" w:cstheme="minorHAnsi"/>
                <w:sz w:val="20"/>
                <w:szCs w:val="20"/>
              </w:rPr>
              <w:t xml:space="preserve"> </w:t>
            </w:r>
          </w:p>
        </w:tc>
      </w:tr>
    </w:tbl>
    <w:p w:rsidR="00330EBD" w:rsidRPr="00F9048F" w:rsidP="00330EBD" w14:paraId="4057F1C5" w14:textId="08E2E178">
      <w:pPr>
        <w:rPr>
          <w:b/>
          <w:i/>
        </w:rPr>
      </w:pPr>
    </w:p>
    <w:p w:rsidR="00984CA2" w:rsidRPr="00BE0253" w:rsidP="0E76D161" w14:paraId="473B9418" w14:textId="21A48A3C">
      <w:pPr>
        <w:spacing w:after="60"/>
        <w:rPr>
          <w:rFonts w:asciiTheme="minorHAnsi" w:hAnsiTheme="minorHAnsi" w:cstheme="minorBidi"/>
          <w:b/>
          <w:bCs/>
          <w:i/>
          <w:iCs/>
          <w:sz w:val="22"/>
          <w:szCs w:val="22"/>
        </w:rPr>
      </w:pPr>
      <w:r w:rsidRPr="00BE0253">
        <w:rPr>
          <w:rFonts w:asciiTheme="minorHAnsi" w:hAnsiTheme="minorHAnsi" w:cstheme="minorBidi"/>
          <w:b/>
          <w:bCs/>
          <w:i/>
          <w:iCs/>
          <w:sz w:val="22"/>
          <w:szCs w:val="22"/>
        </w:rPr>
        <w:t>Process</w:t>
      </w:r>
      <w:r w:rsidRPr="00BE0253" w:rsidR="003277CF">
        <w:rPr>
          <w:rFonts w:asciiTheme="minorHAnsi" w:hAnsiTheme="minorHAnsi" w:cstheme="minorBidi"/>
          <w:b/>
          <w:bCs/>
          <w:i/>
          <w:iCs/>
          <w:sz w:val="22"/>
          <w:szCs w:val="22"/>
        </w:rPr>
        <w:t>es</w:t>
      </w:r>
      <w:r w:rsidRPr="00BE0253">
        <w:rPr>
          <w:rFonts w:asciiTheme="minorHAnsi" w:hAnsiTheme="minorHAnsi" w:cstheme="minorBidi"/>
          <w:b/>
          <w:bCs/>
          <w:i/>
          <w:iCs/>
          <w:sz w:val="22"/>
          <w:szCs w:val="22"/>
        </w:rPr>
        <w:t xml:space="preserve"> for Information Collection</w:t>
      </w:r>
      <w:r w:rsidRPr="00A83957">
        <w:rPr>
          <w:rFonts w:asciiTheme="minorHAnsi" w:hAnsiTheme="minorHAnsi" w:cstheme="minorBidi"/>
          <w:b/>
          <w:bCs/>
          <w:i/>
          <w:iCs/>
          <w:sz w:val="22"/>
          <w:szCs w:val="22"/>
        </w:rPr>
        <w:t xml:space="preserve"> </w:t>
      </w:r>
    </w:p>
    <w:p w:rsidR="00B63D4A" w:rsidP="00BE0253" w14:paraId="44FCF2C6" w14:textId="23B9A4EF">
      <w:pPr>
        <w:spacing w:after="120"/>
        <w:rPr>
          <w:rFonts w:asciiTheme="minorHAnsi" w:hAnsiTheme="minorHAnsi" w:cstheme="minorHAnsi"/>
          <w:sz w:val="22"/>
          <w:szCs w:val="22"/>
        </w:rPr>
      </w:pPr>
      <w:r>
        <w:rPr>
          <w:rFonts w:asciiTheme="minorHAnsi" w:hAnsiTheme="minorHAnsi" w:cstheme="minorHAnsi"/>
          <w:sz w:val="22"/>
          <w:szCs w:val="22"/>
        </w:rPr>
        <w:t xml:space="preserve">The </w:t>
      </w:r>
      <w:r w:rsidR="00674975">
        <w:rPr>
          <w:rFonts w:asciiTheme="minorHAnsi" w:hAnsiTheme="minorHAnsi" w:cstheme="minorHAnsi"/>
          <w:sz w:val="22"/>
          <w:szCs w:val="22"/>
        </w:rPr>
        <w:t>study</w:t>
      </w:r>
      <w:r>
        <w:rPr>
          <w:rFonts w:asciiTheme="minorHAnsi" w:hAnsiTheme="minorHAnsi" w:cstheme="minorHAnsi"/>
          <w:sz w:val="22"/>
          <w:szCs w:val="22"/>
        </w:rPr>
        <w:t xml:space="preserve"> team</w:t>
      </w:r>
      <w:r w:rsidR="00A83957">
        <w:rPr>
          <w:rFonts w:asciiTheme="minorHAnsi" w:hAnsiTheme="minorHAnsi" w:cstheme="minorHAnsi"/>
          <w:sz w:val="22"/>
          <w:szCs w:val="22"/>
        </w:rPr>
        <w:t>, including</w:t>
      </w:r>
      <w:r>
        <w:rPr>
          <w:rFonts w:asciiTheme="minorHAnsi" w:hAnsiTheme="minorHAnsi" w:cstheme="minorHAnsi"/>
          <w:sz w:val="22"/>
          <w:szCs w:val="22"/>
        </w:rPr>
        <w:t xml:space="preserve"> </w:t>
      </w:r>
      <w:r w:rsidR="001D6262">
        <w:rPr>
          <w:rFonts w:asciiTheme="minorHAnsi" w:hAnsiTheme="minorHAnsi" w:cstheme="minorHAnsi"/>
          <w:sz w:val="22"/>
          <w:szCs w:val="22"/>
        </w:rPr>
        <w:t xml:space="preserve">Mathematica, </w:t>
      </w:r>
      <w:r w:rsidR="00666AA0">
        <w:rPr>
          <w:rFonts w:asciiTheme="minorHAnsi" w:hAnsiTheme="minorHAnsi" w:cstheme="minorHAnsi"/>
          <w:sz w:val="22"/>
          <w:szCs w:val="22"/>
        </w:rPr>
        <w:t>OPRE and DCA</w:t>
      </w:r>
      <w:r w:rsidR="00A83957">
        <w:rPr>
          <w:rFonts w:asciiTheme="minorHAnsi" w:hAnsiTheme="minorHAnsi" w:cstheme="minorHAnsi"/>
          <w:sz w:val="22"/>
          <w:szCs w:val="22"/>
        </w:rPr>
        <w:t>, will work together</w:t>
      </w:r>
      <w:r w:rsidR="00666AA0">
        <w:rPr>
          <w:rFonts w:asciiTheme="minorHAnsi" w:hAnsiTheme="minorHAnsi" w:cstheme="minorHAnsi"/>
          <w:sz w:val="22"/>
          <w:szCs w:val="22"/>
        </w:rPr>
        <w:t xml:space="preserve"> </w:t>
      </w:r>
      <w:r>
        <w:rPr>
          <w:rFonts w:asciiTheme="minorHAnsi" w:hAnsiTheme="minorHAnsi" w:cstheme="minorHAnsi"/>
          <w:sz w:val="22"/>
          <w:szCs w:val="22"/>
        </w:rPr>
        <w:t xml:space="preserve">to identify priority groups and recruitment strategies for the information collection. </w:t>
      </w:r>
      <w:r w:rsidR="00D70C08">
        <w:rPr>
          <w:rFonts w:asciiTheme="minorHAnsi" w:hAnsiTheme="minorHAnsi" w:cstheme="minorHAnsi"/>
          <w:sz w:val="22"/>
          <w:szCs w:val="22"/>
        </w:rPr>
        <w:t>The study team will conduct discussion</w:t>
      </w:r>
      <w:r w:rsidR="00AA0FFB">
        <w:rPr>
          <w:rFonts w:asciiTheme="minorHAnsi" w:hAnsiTheme="minorHAnsi" w:cstheme="minorHAnsi"/>
          <w:sz w:val="22"/>
          <w:szCs w:val="22"/>
        </w:rPr>
        <w:t>s</w:t>
      </w:r>
      <w:r w:rsidR="00D70C08">
        <w:rPr>
          <w:rFonts w:asciiTheme="minorHAnsi" w:hAnsiTheme="minorHAnsi" w:cstheme="minorHAnsi"/>
          <w:sz w:val="22"/>
          <w:szCs w:val="22"/>
        </w:rPr>
        <w:t xml:space="preserve"> with </w:t>
      </w:r>
      <w:r w:rsidR="000623B9">
        <w:rPr>
          <w:rFonts w:asciiTheme="minorHAnsi" w:hAnsiTheme="minorHAnsi" w:cstheme="minorHAnsi"/>
          <w:sz w:val="22"/>
          <w:szCs w:val="22"/>
        </w:rPr>
        <w:t xml:space="preserve">staff from </w:t>
      </w:r>
      <w:r>
        <w:rPr>
          <w:rFonts w:asciiTheme="minorHAnsi" w:hAnsiTheme="minorHAnsi" w:cstheme="minorHAnsi"/>
          <w:sz w:val="22"/>
          <w:szCs w:val="22"/>
        </w:rPr>
        <w:t xml:space="preserve">the following </w:t>
      </w:r>
      <w:r w:rsidR="004757AB">
        <w:rPr>
          <w:rFonts w:asciiTheme="minorHAnsi" w:hAnsiTheme="minorHAnsi" w:cstheme="minorHAnsi"/>
          <w:sz w:val="22"/>
          <w:szCs w:val="22"/>
        </w:rPr>
        <w:t xml:space="preserve">six </w:t>
      </w:r>
      <w:r>
        <w:rPr>
          <w:rFonts w:asciiTheme="minorHAnsi" w:hAnsiTheme="minorHAnsi" w:cstheme="minorHAnsi"/>
          <w:sz w:val="22"/>
          <w:szCs w:val="22"/>
        </w:rPr>
        <w:t>categories of CSBG network members</w:t>
      </w:r>
      <w:r w:rsidR="000623B9">
        <w:rPr>
          <w:rFonts w:asciiTheme="minorHAnsi" w:hAnsiTheme="minorHAnsi" w:cstheme="minorHAnsi"/>
          <w:sz w:val="22"/>
          <w:szCs w:val="22"/>
        </w:rPr>
        <w:t xml:space="preserve"> (</w:t>
      </w:r>
      <w:r w:rsidR="00C11A19">
        <w:rPr>
          <w:rFonts w:asciiTheme="minorHAnsi" w:hAnsiTheme="minorHAnsi" w:cstheme="minorHAnsi"/>
          <w:sz w:val="22"/>
          <w:szCs w:val="22"/>
        </w:rPr>
        <w:t xml:space="preserve">up to </w:t>
      </w:r>
      <w:r w:rsidR="004B4F15">
        <w:rPr>
          <w:rFonts w:asciiTheme="minorHAnsi" w:hAnsiTheme="minorHAnsi" w:cstheme="minorHAnsi"/>
          <w:sz w:val="22"/>
          <w:szCs w:val="22"/>
        </w:rPr>
        <w:t xml:space="preserve">6 </w:t>
      </w:r>
      <w:r w:rsidR="00AA0FFB">
        <w:rPr>
          <w:rFonts w:asciiTheme="minorHAnsi" w:hAnsiTheme="minorHAnsi" w:cstheme="minorHAnsi"/>
          <w:sz w:val="22"/>
          <w:szCs w:val="22"/>
        </w:rPr>
        <w:t xml:space="preserve">respondents from each category, or a </w:t>
      </w:r>
      <w:r w:rsidR="007A33F3">
        <w:rPr>
          <w:rFonts w:asciiTheme="minorHAnsi" w:hAnsiTheme="minorHAnsi" w:cstheme="minorHAnsi"/>
          <w:sz w:val="22"/>
          <w:szCs w:val="22"/>
        </w:rPr>
        <w:t>maximum</w:t>
      </w:r>
      <w:r w:rsidR="00AA0FFB">
        <w:rPr>
          <w:rFonts w:asciiTheme="minorHAnsi" w:hAnsiTheme="minorHAnsi" w:cstheme="minorHAnsi"/>
          <w:sz w:val="22"/>
          <w:szCs w:val="22"/>
        </w:rPr>
        <w:t xml:space="preserve"> of </w:t>
      </w:r>
      <w:r w:rsidR="007A33F3">
        <w:rPr>
          <w:rFonts w:asciiTheme="minorHAnsi" w:hAnsiTheme="minorHAnsi" w:cstheme="minorHAnsi"/>
          <w:sz w:val="22"/>
          <w:szCs w:val="22"/>
        </w:rPr>
        <w:t>36 respondents</w:t>
      </w:r>
      <w:r w:rsidR="000623B9">
        <w:rPr>
          <w:rFonts w:asciiTheme="minorHAnsi" w:hAnsiTheme="minorHAnsi" w:cstheme="minorHAnsi"/>
          <w:sz w:val="22"/>
          <w:szCs w:val="22"/>
        </w:rPr>
        <w:t>)</w:t>
      </w:r>
      <w:r>
        <w:rPr>
          <w:rFonts w:asciiTheme="minorHAnsi" w:hAnsiTheme="minorHAnsi" w:cstheme="minorHAnsi"/>
          <w:sz w:val="22"/>
          <w:szCs w:val="22"/>
        </w:rPr>
        <w:t>:</w:t>
      </w:r>
    </w:p>
    <w:p w:rsidR="006C3A42" w:rsidP="00B63D4A" w14:paraId="408E2218" w14:textId="08068B99">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State associations that have cooperative agreements with OCS</w:t>
      </w:r>
      <w:r w:rsidR="000623B9">
        <w:rPr>
          <w:rFonts w:asciiTheme="minorHAnsi" w:hAnsiTheme="minorHAnsi" w:cstheme="minorHAnsi"/>
          <w:sz w:val="22"/>
          <w:szCs w:val="22"/>
        </w:rPr>
        <w:t xml:space="preserve"> to provide technical assistance, training, and other services in their states and </w:t>
      </w:r>
      <w:r w:rsidR="000623B9">
        <w:rPr>
          <w:rFonts w:asciiTheme="minorHAnsi" w:hAnsiTheme="minorHAnsi" w:cstheme="minorHAnsi"/>
          <w:sz w:val="22"/>
          <w:szCs w:val="22"/>
        </w:rPr>
        <w:t>regions</w:t>
      </w:r>
    </w:p>
    <w:p w:rsidR="000623B9" w:rsidP="00B63D4A" w14:paraId="032C65E7" w14:textId="5894DB6D">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State CSBG lead agencies, government offices funded by the CSBG </w:t>
      </w:r>
      <w:r w:rsidR="00F34489">
        <w:rPr>
          <w:rFonts w:asciiTheme="minorHAnsi" w:hAnsiTheme="minorHAnsi" w:cstheme="minorHAnsi"/>
          <w:sz w:val="22"/>
          <w:szCs w:val="22"/>
        </w:rPr>
        <w:t xml:space="preserve">that </w:t>
      </w:r>
      <w:r>
        <w:rPr>
          <w:rFonts w:asciiTheme="minorHAnsi" w:hAnsiTheme="minorHAnsi" w:cstheme="minorHAnsi"/>
          <w:sz w:val="22"/>
          <w:szCs w:val="22"/>
        </w:rPr>
        <w:t xml:space="preserve">distribute </w:t>
      </w:r>
      <w:r w:rsidR="00F34489">
        <w:rPr>
          <w:rFonts w:asciiTheme="minorHAnsi" w:hAnsiTheme="minorHAnsi" w:cstheme="minorHAnsi"/>
          <w:sz w:val="22"/>
          <w:szCs w:val="22"/>
        </w:rPr>
        <w:t xml:space="preserve">funding </w:t>
      </w:r>
      <w:r>
        <w:rPr>
          <w:rFonts w:asciiTheme="minorHAnsi" w:hAnsiTheme="minorHAnsi" w:cstheme="minorHAnsi"/>
          <w:sz w:val="22"/>
          <w:szCs w:val="22"/>
        </w:rPr>
        <w:t>to eligible entities at the community level</w:t>
      </w:r>
      <w:r w:rsidR="00981715">
        <w:rPr>
          <w:rFonts w:asciiTheme="minorHAnsi" w:hAnsiTheme="minorHAnsi" w:cstheme="minorHAnsi"/>
          <w:sz w:val="22"/>
          <w:szCs w:val="22"/>
        </w:rPr>
        <w:t xml:space="preserve"> and monitor and support</w:t>
      </w:r>
      <w:r w:rsidR="00450284">
        <w:rPr>
          <w:rFonts w:asciiTheme="minorHAnsi" w:hAnsiTheme="minorHAnsi" w:cstheme="minorHAnsi"/>
          <w:sz w:val="22"/>
          <w:szCs w:val="22"/>
        </w:rPr>
        <w:t xml:space="preserve"> eligible entities</w:t>
      </w:r>
      <w:r>
        <w:rPr>
          <w:rFonts w:asciiTheme="minorHAnsi" w:hAnsiTheme="minorHAnsi" w:cstheme="minorHAnsi"/>
          <w:sz w:val="22"/>
          <w:szCs w:val="22"/>
        </w:rPr>
        <w:t>.</w:t>
      </w:r>
    </w:p>
    <w:p w:rsidR="000623B9" w:rsidP="00B63D4A" w14:paraId="1D09D640" w14:textId="4D1C3255">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Staff of c</w:t>
      </w:r>
      <w:r w:rsidR="006C708D">
        <w:rPr>
          <w:rFonts w:asciiTheme="minorHAnsi" w:hAnsiTheme="minorHAnsi" w:cstheme="minorHAnsi"/>
          <w:sz w:val="22"/>
          <w:szCs w:val="22"/>
        </w:rPr>
        <w:t xml:space="preserve">ommunity level agencies that deliver </w:t>
      </w:r>
      <w:r w:rsidR="000D066A">
        <w:rPr>
          <w:rFonts w:asciiTheme="minorHAnsi" w:hAnsiTheme="minorHAnsi" w:cstheme="minorHAnsi"/>
          <w:sz w:val="22"/>
          <w:szCs w:val="22"/>
        </w:rPr>
        <w:t xml:space="preserve">direct </w:t>
      </w:r>
      <w:r w:rsidR="006C708D">
        <w:rPr>
          <w:rFonts w:asciiTheme="minorHAnsi" w:hAnsiTheme="minorHAnsi" w:cstheme="minorHAnsi"/>
          <w:sz w:val="22"/>
          <w:szCs w:val="22"/>
        </w:rPr>
        <w:t>services using CSBG and other funds, known as “eligible entities.”</w:t>
      </w:r>
    </w:p>
    <w:p w:rsidR="006C708D" w:rsidP="00450284" w14:paraId="528D5F3F" w14:textId="3649A615">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Members of tripartite boards that govern eligible entities</w:t>
      </w:r>
      <w:r w:rsidR="001D37CA">
        <w:rPr>
          <w:rFonts w:asciiTheme="minorHAnsi" w:hAnsiTheme="minorHAnsi" w:cstheme="minorHAnsi"/>
          <w:sz w:val="22"/>
          <w:szCs w:val="22"/>
        </w:rPr>
        <w:t xml:space="preserve">’ use of CSBG </w:t>
      </w:r>
      <w:r w:rsidR="001D37CA">
        <w:rPr>
          <w:rFonts w:asciiTheme="minorHAnsi" w:hAnsiTheme="minorHAnsi" w:cstheme="minorHAnsi"/>
          <w:sz w:val="22"/>
          <w:szCs w:val="22"/>
        </w:rPr>
        <w:t>funds</w:t>
      </w:r>
    </w:p>
    <w:p w:rsidR="004757AB" w:rsidP="00450284" w14:paraId="07BF3104" w14:textId="624C9CD2">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Representatives from tribal CSBG lead agencies</w:t>
      </w:r>
      <w:r>
        <w:rPr>
          <w:rFonts w:asciiTheme="minorHAnsi" w:hAnsiTheme="minorHAnsi" w:cstheme="minorHAnsi"/>
          <w:sz w:val="22"/>
          <w:szCs w:val="22"/>
        </w:rPr>
        <w:t xml:space="preserve"> </w:t>
      </w:r>
      <w:r>
        <w:rPr>
          <w:rFonts w:asciiTheme="minorHAnsi" w:hAnsiTheme="minorHAnsi" w:cstheme="minorHAnsi"/>
          <w:sz w:val="22"/>
          <w:szCs w:val="22"/>
        </w:rPr>
        <w:t xml:space="preserve">and/or </w:t>
      </w:r>
      <w:r w:rsidR="00224981">
        <w:rPr>
          <w:rFonts w:asciiTheme="minorHAnsi" w:hAnsiTheme="minorHAnsi" w:cstheme="minorHAnsi"/>
          <w:sz w:val="22"/>
          <w:szCs w:val="22"/>
        </w:rPr>
        <w:t>organizations</w:t>
      </w:r>
    </w:p>
    <w:p w:rsidR="007A33F3" w:rsidP="007A33F3" w14:paraId="3355658D" w14:textId="77777777">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National organizations that have cooperative agreements with OCS (</w:t>
      </w:r>
      <w:r w:rsidRPr="000803B9">
        <w:rPr>
          <w:rFonts w:asciiTheme="minorHAnsi" w:hAnsiTheme="minorHAnsi" w:cstheme="minorHAnsi"/>
          <w:sz w:val="22"/>
          <w:szCs w:val="22"/>
        </w:rPr>
        <w:t xml:space="preserve">the National Community Action Partnership </w:t>
      </w:r>
      <w:r>
        <w:rPr>
          <w:rFonts w:asciiTheme="minorHAnsi" w:hAnsiTheme="minorHAnsi" w:cstheme="minorHAnsi"/>
          <w:sz w:val="22"/>
          <w:szCs w:val="22"/>
        </w:rPr>
        <w:t>[</w:t>
      </w:r>
      <w:r w:rsidRPr="000803B9">
        <w:rPr>
          <w:rFonts w:asciiTheme="minorHAnsi" w:hAnsiTheme="minorHAnsi" w:cstheme="minorHAnsi"/>
          <w:sz w:val="22"/>
          <w:szCs w:val="22"/>
        </w:rPr>
        <w:t>NCAP</w:t>
      </w:r>
      <w:r>
        <w:rPr>
          <w:rFonts w:asciiTheme="minorHAnsi" w:hAnsiTheme="minorHAnsi" w:cstheme="minorHAnsi"/>
          <w:sz w:val="22"/>
          <w:szCs w:val="22"/>
        </w:rPr>
        <w:t>]</w:t>
      </w:r>
      <w:r w:rsidRPr="000803B9">
        <w:rPr>
          <w:rFonts w:asciiTheme="minorHAnsi" w:hAnsiTheme="minorHAnsi" w:cstheme="minorHAnsi"/>
          <w:sz w:val="22"/>
          <w:szCs w:val="22"/>
        </w:rPr>
        <w:t xml:space="preserve">, the National Association for State Community Services Programs </w:t>
      </w:r>
      <w:r>
        <w:rPr>
          <w:rFonts w:asciiTheme="minorHAnsi" w:hAnsiTheme="minorHAnsi" w:cstheme="minorHAnsi"/>
          <w:sz w:val="22"/>
          <w:szCs w:val="22"/>
        </w:rPr>
        <w:t>[</w:t>
      </w:r>
      <w:r w:rsidRPr="000803B9">
        <w:rPr>
          <w:rFonts w:asciiTheme="minorHAnsi" w:hAnsiTheme="minorHAnsi" w:cstheme="minorHAnsi"/>
          <w:sz w:val="22"/>
          <w:szCs w:val="22"/>
        </w:rPr>
        <w:t>NASCSP</w:t>
      </w:r>
      <w:r>
        <w:rPr>
          <w:rFonts w:asciiTheme="minorHAnsi" w:hAnsiTheme="minorHAnsi" w:cstheme="minorHAnsi"/>
          <w:sz w:val="22"/>
          <w:szCs w:val="22"/>
        </w:rPr>
        <w:t>]</w:t>
      </w:r>
      <w:r w:rsidRPr="000803B9">
        <w:rPr>
          <w:rFonts w:asciiTheme="minorHAnsi" w:hAnsiTheme="minorHAnsi" w:cstheme="minorHAnsi"/>
          <w:sz w:val="22"/>
          <w:szCs w:val="22"/>
        </w:rPr>
        <w:t>, a</w:t>
      </w:r>
      <w:r>
        <w:rPr>
          <w:rFonts w:asciiTheme="minorHAnsi" w:hAnsiTheme="minorHAnsi" w:cstheme="minorHAnsi"/>
          <w:sz w:val="22"/>
          <w:szCs w:val="22"/>
        </w:rPr>
        <w:t>n</w:t>
      </w:r>
      <w:r w:rsidRPr="000803B9">
        <w:rPr>
          <w:rFonts w:asciiTheme="minorHAnsi" w:hAnsiTheme="minorHAnsi" w:cstheme="minorHAnsi"/>
          <w:sz w:val="22"/>
          <w:szCs w:val="22"/>
        </w:rPr>
        <w:t xml:space="preserve">d Community Action Program Legal Services </w:t>
      </w:r>
      <w:r>
        <w:rPr>
          <w:rFonts w:asciiTheme="minorHAnsi" w:hAnsiTheme="minorHAnsi" w:cstheme="minorHAnsi"/>
          <w:sz w:val="22"/>
          <w:szCs w:val="22"/>
        </w:rPr>
        <w:t>[</w:t>
      </w:r>
      <w:r w:rsidRPr="000803B9">
        <w:rPr>
          <w:rFonts w:asciiTheme="minorHAnsi" w:hAnsiTheme="minorHAnsi" w:cstheme="minorHAnsi"/>
          <w:sz w:val="22"/>
          <w:szCs w:val="22"/>
        </w:rPr>
        <w:t>CAPLAW</w:t>
      </w:r>
      <w:r>
        <w:rPr>
          <w:rFonts w:asciiTheme="minorHAnsi" w:hAnsiTheme="minorHAnsi" w:cstheme="minorHAnsi"/>
          <w:sz w:val="22"/>
          <w:szCs w:val="22"/>
        </w:rPr>
        <w:t>])</w:t>
      </w:r>
    </w:p>
    <w:p w:rsidR="00D70C08" w14:paraId="3363EDBC" w14:textId="61DCDB9A">
      <w:pPr>
        <w:rPr>
          <w:rFonts w:asciiTheme="minorHAnsi" w:hAnsiTheme="minorHAnsi" w:cstheme="minorHAnsi"/>
          <w:sz w:val="22"/>
          <w:szCs w:val="22"/>
        </w:rPr>
      </w:pPr>
    </w:p>
    <w:p w:rsidR="000909C0" w14:paraId="0B17C627" w14:textId="2B6F2A1C">
      <w:pPr>
        <w:rPr>
          <w:rFonts w:asciiTheme="minorHAnsi" w:hAnsiTheme="minorHAnsi" w:cstheme="minorHAnsi"/>
          <w:sz w:val="22"/>
          <w:szCs w:val="22"/>
        </w:rPr>
      </w:pPr>
      <w:r>
        <w:rPr>
          <w:rFonts w:asciiTheme="minorHAnsi" w:hAnsiTheme="minorHAnsi" w:cstheme="minorHAnsi"/>
          <w:sz w:val="22"/>
          <w:szCs w:val="22"/>
        </w:rPr>
        <w:t xml:space="preserve">While the study team would like to gather perspectives from a range of CSBG </w:t>
      </w:r>
      <w:r w:rsidR="0055705E">
        <w:rPr>
          <w:rFonts w:asciiTheme="minorHAnsi" w:hAnsiTheme="minorHAnsi" w:cstheme="minorHAnsi"/>
          <w:sz w:val="22"/>
          <w:szCs w:val="22"/>
        </w:rPr>
        <w:t xml:space="preserve">network </w:t>
      </w:r>
      <w:r>
        <w:rPr>
          <w:rFonts w:asciiTheme="minorHAnsi" w:hAnsiTheme="minorHAnsi" w:cstheme="minorHAnsi"/>
          <w:sz w:val="22"/>
          <w:szCs w:val="22"/>
        </w:rPr>
        <w:t>members, the study team is not attempting to identify a representative sample.</w:t>
      </w:r>
      <w:r w:rsidR="0040466B">
        <w:rPr>
          <w:rFonts w:asciiTheme="minorHAnsi" w:hAnsiTheme="minorHAnsi" w:cstheme="minorHAnsi"/>
          <w:sz w:val="22"/>
          <w:szCs w:val="22"/>
        </w:rPr>
        <w:t xml:space="preserve"> </w:t>
      </w:r>
      <w:r w:rsidR="00674975">
        <w:rPr>
          <w:rFonts w:asciiTheme="minorHAnsi" w:hAnsiTheme="minorHAnsi" w:cstheme="minorHAnsi"/>
          <w:sz w:val="22"/>
          <w:szCs w:val="22"/>
        </w:rPr>
        <w:t>Recruitment strategies might vary for different groups.</w:t>
      </w:r>
      <w:r>
        <w:rPr>
          <w:rFonts w:asciiTheme="minorHAnsi" w:hAnsiTheme="minorHAnsi" w:cstheme="minorHAnsi"/>
          <w:sz w:val="22"/>
          <w:szCs w:val="22"/>
        </w:rPr>
        <w:t xml:space="preserve"> </w:t>
      </w:r>
      <w:bookmarkStart w:id="0" w:name="_Hlk177471630"/>
      <w:r w:rsidR="00E86810">
        <w:rPr>
          <w:rFonts w:asciiTheme="minorHAnsi" w:hAnsiTheme="minorHAnsi" w:cstheme="minorHAnsi"/>
          <w:sz w:val="22"/>
          <w:szCs w:val="22"/>
        </w:rPr>
        <w:t>For example, to identify state- or local-level respondents (groups 1-4), the study team may work with ACF staff</w:t>
      </w:r>
      <w:r w:rsidR="00C22C6D">
        <w:rPr>
          <w:rFonts w:asciiTheme="minorHAnsi" w:hAnsiTheme="minorHAnsi" w:cstheme="minorHAnsi"/>
          <w:sz w:val="22"/>
          <w:szCs w:val="22"/>
        </w:rPr>
        <w:t xml:space="preserve"> and</w:t>
      </w:r>
      <w:r w:rsidR="00E86810">
        <w:rPr>
          <w:rFonts w:asciiTheme="minorHAnsi" w:hAnsiTheme="minorHAnsi" w:cstheme="minorHAnsi"/>
          <w:sz w:val="22"/>
          <w:szCs w:val="22"/>
        </w:rPr>
        <w:t xml:space="preserve"> existing communication channels (such as network newsletters and email lists) to purposively identify a group of respondents to participate in the </w:t>
      </w:r>
      <w:r w:rsidR="004E4EF5">
        <w:rPr>
          <w:rFonts w:asciiTheme="minorHAnsi" w:hAnsiTheme="minorHAnsi" w:cstheme="minorHAnsi"/>
          <w:sz w:val="22"/>
          <w:szCs w:val="22"/>
        </w:rPr>
        <w:t>individual or small group discussions</w:t>
      </w:r>
      <w:r w:rsidR="00E86810">
        <w:rPr>
          <w:rFonts w:asciiTheme="minorHAnsi" w:hAnsiTheme="minorHAnsi" w:cstheme="minorHAnsi"/>
          <w:sz w:val="22"/>
          <w:szCs w:val="22"/>
        </w:rPr>
        <w:t>. The</w:t>
      </w:r>
      <w:r>
        <w:rPr>
          <w:rFonts w:asciiTheme="minorHAnsi" w:hAnsiTheme="minorHAnsi" w:cstheme="minorHAnsi"/>
          <w:sz w:val="22"/>
          <w:szCs w:val="22"/>
        </w:rPr>
        <w:t xml:space="preserve"> study team might conduct direct outreach to identify </w:t>
      </w:r>
      <w:r w:rsidR="00F15AB2">
        <w:rPr>
          <w:rFonts w:asciiTheme="minorHAnsi" w:hAnsiTheme="minorHAnsi" w:cstheme="minorHAnsi"/>
          <w:sz w:val="22"/>
          <w:szCs w:val="22"/>
        </w:rPr>
        <w:t>representative</w:t>
      </w:r>
      <w:r w:rsidR="00EE49AD">
        <w:rPr>
          <w:rFonts w:asciiTheme="minorHAnsi" w:hAnsiTheme="minorHAnsi" w:cstheme="minorHAnsi"/>
          <w:sz w:val="22"/>
          <w:szCs w:val="22"/>
        </w:rPr>
        <w:t>s</w:t>
      </w:r>
      <w:r w:rsidR="00F15AB2">
        <w:rPr>
          <w:rFonts w:asciiTheme="minorHAnsi" w:hAnsiTheme="minorHAnsi" w:cstheme="minorHAnsi"/>
          <w:sz w:val="22"/>
          <w:szCs w:val="22"/>
        </w:rPr>
        <w:t xml:space="preserve"> from tribal CSBG lead agencies</w:t>
      </w:r>
      <w:r w:rsidR="00781A19">
        <w:rPr>
          <w:rFonts w:asciiTheme="minorHAnsi" w:hAnsiTheme="minorHAnsi" w:cstheme="minorHAnsi"/>
          <w:sz w:val="22"/>
          <w:szCs w:val="22"/>
        </w:rPr>
        <w:t xml:space="preserve"> or of national organizations</w:t>
      </w:r>
      <w:r w:rsidR="00F15AB2">
        <w:rPr>
          <w:rFonts w:asciiTheme="minorHAnsi" w:hAnsiTheme="minorHAnsi" w:cstheme="minorHAnsi"/>
          <w:sz w:val="22"/>
          <w:szCs w:val="22"/>
        </w:rPr>
        <w:t xml:space="preserve"> </w:t>
      </w:r>
      <w:r w:rsidR="00D93091">
        <w:rPr>
          <w:rFonts w:asciiTheme="minorHAnsi" w:hAnsiTheme="minorHAnsi" w:cstheme="minorHAnsi"/>
          <w:sz w:val="22"/>
          <w:szCs w:val="22"/>
        </w:rPr>
        <w:t>(group</w:t>
      </w:r>
      <w:r w:rsidR="00F15AB2">
        <w:rPr>
          <w:rFonts w:asciiTheme="minorHAnsi" w:hAnsiTheme="minorHAnsi" w:cstheme="minorHAnsi"/>
          <w:sz w:val="22"/>
          <w:szCs w:val="22"/>
        </w:rPr>
        <w:t>s</w:t>
      </w:r>
      <w:r w:rsidR="00D93091">
        <w:rPr>
          <w:rFonts w:asciiTheme="minorHAnsi" w:hAnsiTheme="minorHAnsi" w:cstheme="minorHAnsi"/>
          <w:sz w:val="22"/>
          <w:szCs w:val="22"/>
        </w:rPr>
        <w:t xml:space="preserve"> </w:t>
      </w:r>
      <w:r w:rsidR="00781A19">
        <w:rPr>
          <w:rFonts w:asciiTheme="minorHAnsi" w:hAnsiTheme="minorHAnsi" w:cstheme="minorHAnsi"/>
          <w:sz w:val="22"/>
          <w:szCs w:val="22"/>
        </w:rPr>
        <w:t xml:space="preserve">5 </w:t>
      </w:r>
      <w:r w:rsidR="00F15AB2">
        <w:rPr>
          <w:rFonts w:asciiTheme="minorHAnsi" w:hAnsiTheme="minorHAnsi" w:cstheme="minorHAnsi"/>
          <w:sz w:val="22"/>
          <w:szCs w:val="22"/>
        </w:rPr>
        <w:t>and 6</w:t>
      </w:r>
      <w:r w:rsidR="00D93091">
        <w:rPr>
          <w:rFonts w:asciiTheme="minorHAnsi" w:hAnsiTheme="minorHAnsi" w:cstheme="minorHAnsi"/>
          <w:sz w:val="22"/>
          <w:szCs w:val="22"/>
        </w:rPr>
        <w:t>)</w:t>
      </w:r>
      <w:r>
        <w:rPr>
          <w:rFonts w:asciiTheme="minorHAnsi" w:hAnsiTheme="minorHAnsi" w:cstheme="minorHAnsi"/>
          <w:sz w:val="22"/>
          <w:szCs w:val="22"/>
        </w:rPr>
        <w:t xml:space="preserve">. </w:t>
      </w:r>
      <w:r w:rsidR="00685CB5">
        <w:rPr>
          <w:rFonts w:asciiTheme="minorHAnsi" w:hAnsiTheme="minorHAnsi" w:cstheme="minorHAnsi"/>
          <w:sz w:val="22"/>
          <w:szCs w:val="22"/>
        </w:rPr>
        <w:t xml:space="preserve">In recruiting </w:t>
      </w:r>
      <w:r w:rsidR="004278B2">
        <w:rPr>
          <w:rFonts w:asciiTheme="minorHAnsi" w:hAnsiTheme="minorHAnsi" w:cstheme="minorHAnsi"/>
          <w:sz w:val="22"/>
          <w:szCs w:val="22"/>
        </w:rPr>
        <w:t xml:space="preserve">groups </w:t>
      </w:r>
      <w:r w:rsidR="00E86810">
        <w:rPr>
          <w:rFonts w:asciiTheme="minorHAnsi" w:hAnsiTheme="minorHAnsi" w:cstheme="minorHAnsi"/>
          <w:sz w:val="22"/>
          <w:szCs w:val="22"/>
        </w:rPr>
        <w:t>1</w:t>
      </w:r>
      <w:r w:rsidR="004278B2">
        <w:rPr>
          <w:rFonts w:asciiTheme="minorHAnsi" w:hAnsiTheme="minorHAnsi" w:cstheme="minorHAnsi"/>
          <w:sz w:val="22"/>
          <w:szCs w:val="22"/>
        </w:rPr>
        <w:t>-</w:t>
      </w:r>
      <w:r w:rsidR="00E86810">
        <w:rPr>
          <w:rFonts w:asciiTheme="minorHAnsi" w:hAnsiTheme="minorHAnsi" w:cstheme="minorHAnsi"/>
          <w:sz w:val="22"/>
          <w:szCs w:val="22"/>
        </w:rPr>
        <w:t>5</w:t>
      </w:r>
      <w:r w:rsidR="004278B2">
        <w:rPr>
          <w:rFonts w:asciiTheme="minorHAnsi" w:hAnsiTheme="minorHAnsi" w:cstheme="minorHAnsi"/>
          <w:sz w:val="22"/>
          <w:szCs w:val="22"/>
        </w:rPr>
        <w:t>, the study team will seek</w:t>
      </w:r>
      <w:r w:rsidR="007F364B">
        <w:rPr>
          <w:rFonts w:asciiTheme="minorHAnsi" w:hAnsiTheme="minorHAnsi" w:cstheme="minorHAnsi"/>
          <w:sz w:val="22"/>
          <w:szCs w:val="22"/>
        </w:rPr>
        <w:t xml:space="preserve"> </w:t>
      </w:r>
      <w:r w:rsidRPr="00592FAD" w:rsidR="008F0740">
        <w:rPr>
          <w:rFonts w:asciiTheme="minorHAnsi" w:hAnsiTheme="minorHAnsi" w:cstheme="minorHAnsi"/>
          <w:sz w:val="22"/>
          <w:szCs w:val="22"/>
        </w:rPr>
        <w:t xml:space="preserve">diversity in terms of geography </w:t>
      </w:r>
      <w:r w:rsidR="008F0740">
        <w:rPr>
          <w:rFonts w:asciiTheme="minorHAnsi" w:hAnsiTheme="minorHAnsi" w:cstheme="minorHAnsi"/>
          <w:sz w:val="22"/>
          <w:szCs w:val="22"/>
        </w:rPr>
        <w:t>and primary service population</w:t>
      </w:r>
      <w:r w:rsidRPr="00592FAD" w:rsidR="008F0740">
        <w:rPr>
          <w:rFonts w:asciiTheme="minorHAnsi" w:hAnsiTheme="minorHAnsi" w:cstheme="minorHAnsi"/>
          <w:sz w:val="22"/>
          <w:szCs w:val="22"/>
        </w:rPr>
        <w:t>.</w:t>
      </w:r>
      <w:r w:rsidR="00D06279">
        <w:rPr>
          <w:rFonts w:asciiTheme="minorHAnsi" w:hAnsiTheme="minorHAnsi" w:cstheme="minorHAnsi"/>
          <w:sz w:val="22"/>
          <w:szCs w:val="22"/>
        </w:rPr>
        <w:t xml:space="preserve"> Geographic and primary service priority diversity is not </w:t>
      </w:r>
      <w:r w:rsidR="00C566F4">
        <w:rPr>
          <w:rFonts w:asciiTheme="minorHAnsi" w:hAnsiTheme="minorHAnsi" w:cstheme="minorHAnsi"/>
          <w:sz w:val="22"/>
          <w:szCs w:val="22"/>
        </w:rPr>
        <w:t>applicable to group 6 because the organizations are national in scope and represent different constituents.</w:t>
      </w:r>
    </w:p>
    <w:bookmarkEnd w:id="0"/>
    <w:p w:rsidR="000909C0" w14:paraId="65DC82A5" w14:textId="77777777">
      <w:pPr>
        <w:rPr>
          <w:rFonts w:asciiTheme="minorHAnsi" w:hAnsiTheme="minorHAnsi" w:cstheme="minorHAnsi"/>
          <w:sz w:val="22"/>
          <w:szCs w:val="22"/>
        </w:rPr>
      </w:pPr>
    </w:p>
    <w:p w:rsidR="00666AA0" w14:paraId="18A59F8D" w14:textId="77767B9B">
      <w:pPr>
        <w:rPr>
          <w:rFonts w:asciiTheme="minorHAnsi" w:hAnsiTheme="minorHAnsi" w:cstheme="minorHAnsi"/>
          <w:sz w:val="22"/>
          <w:szCs w:val="22"/>
        </w:rPr>
      </w:pPr>
      <w:r>
        <w:rPr>
          <w:rFonts w:asciiTheme="minorHAnsi" w:hAnsiTheme="minorHAnsi" w:cstheme="minorHAnsi"/>
          <w:sz w:val="22"/>
          <w:szCs w:val="22"/>
        </w:rPr>
        <w:t xml:space="preserve">Individual and small group discussions </w:t>
      </w:r>
      <w:r w:rsidR="005943A0">
        <w:rPr>
          <w:rFonts w:asciiTheme="minorHAnsi" w:hAnsiTheme="minorHAnsi" w:cstheme="minorHAnsi"/>
          <w:sz w:val="22"/>
          <w:szCs w:val="22"/>
        </w:rPr>
        <w:t xml:space="preserve">will be conducted virtually and will be scheduled at times that are convenient to identified respondents. </w:t>
      </w:r>
      <w:r w:rsidR="00BA25A5">
        <w:rPr>
          <w:rFonts w:asciiTheme="minorHAnsi" w:hAnsiTheme="minorHAnsi" w:cstheme="minorHAnsi"/>
          <w:sz w:val="22"/>
          <w:szCs w:val="22"/>
        </w:rPr>
        <w:t xml:space="preserve">The study team will conduct separate </w:t>
      </w:r>
      <w:r>
        <w:rPr>
          <w:rFonts w:asciiTheme="minorHAnsi" w:hAnsiTheme="minorHAnsi" w:cstheme="minorHAnsi"/>
          <w:sz w:val="22"/>
          <w:szCs w:val="22"/>
        </w:rPr>
        <w:t>discussions</w:t>
      </w:r>
      <w:r w:rsidR="00BA25A5">
        <w:rPr>
          <w:rFonts w:asciiTheme="minorHAnsi" w:hAnsiTheme="minorHAnsi" w:cstheme="minorHAnsi"/>
          <w:sz w:val="22"/>
          <w:szCs w:val="22"/>
        </w:rPr>
        <w:t xml:space="preserve"> for each priority group. </w:t>
      </w:r>
    </w:p>
    <w:p w:rsidR="002338AC" w:rsidRPr="002F65C2" w:rsidP="0040466B" w14:paraId="40C43AD9" w14:textId="77777777">
      <w:pPr>
        <w:rPr>
          <w:rFonts w:asciiTheme="minorHAnsi" w:hAnsiTheme="minorHAnsi" w:cstheme="minorHAnsi"/>
          <w:b/>
          <w:i/>
          <w:sz w:val="22"/>
          <w:szCs w:val="22"/>
        </w:rPr>
      </w:pPr>
    </w:p>
    <w:p w:rsidR="00945CD6" w:rsidRPr="002F65C2" w:rsidP="008F570D" w14:paraId="49EEF137"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A3. </w:t>
      </w:r>
      <w:r w:rsidRPr="002F65C2">
        <w:rPr>
          <w:rFonts w:asciiTheme="minorHAnsi" w:hAnsiTheme="minorHAnsi" w:cstheme="minorHAnsi"/>
          <w:b/>
          <w:sz w:val="22"/>
          <w:szCs w:val="22"/>
        </w:rPr>
        <w:t>Improved Information Technology to Reduce Burden</w:t>
      </w:r>
    </w:p>
    <w:p w:rsidR="00D90EF6" w:rsidRPr="0040466B" w:rsidP="0E76D161" w14:paraId="548FAE5F" w14:textId="0E98BF83">
      <w:pPr>
        <w:rPr>
          <w:rFonts w:asciiTheme="minorHAnsi" w:hAnsiTheme="minorHAnsi" w:cstheme="minorBidi"/>
          <w:sz w:val="22"/>
          <w:szCs w:val="22"/>
        </w:rPr>
      </w:pPr>
      <w:r w:rsidRPr="0040466B">
        <w:rPr>
          <w:rFonts w:asciiTheme="minorHAnsi" w:hAnsiTheme="minorHAnsi" w:cstheme="minorBidi"/>
          <w:sz w:val="22"/>
          <w:szCs w:val="22"/>
        </w:rPr>
        <w:t xml:space="preserve">Participating in this information collection will not require any in-person activities or printing of any materials. </w:t>
      </w:r>
      <w:r w:rsidR="00AC3D4A">
        <w:rPr>
          <w:rFonts w:asciiTheme="minorHAnsi" w:hAnsiTheme="minorHAnsi" w:cstheme="minorBidi"/>
          <w:sz w:val="22"/>
          <w:szCs w:val="22"/>
        </w:rPr>
        <w:t>Individual and small group discussions</w:t>
      </w:r>
      <w:r w:rsidR="00674975">
        <w:rPr>
          <w:rFonts w:asciiTheme="minorHAnsi" w:hAnsiTheme="minorHAnsi" w:cstheme="minorBidi"/>
          <w:sz w:val="22"/>
          <w:szCs w:val="22"/>
        </w:rPr>
        <w:t xml:space="preserve"> will be conducted virtually and will be scheduled at times that are convenient for identified respondents. </w:t>
      </w:r>
      <w:r w:rsidRPr="0040466B">
        <w:rPr>
          <w:rFonts w:asciiTheme="minorHAnsi" w:hAnsiTheme="minorHAnsi" w:cstheme="minorBidi"/>
          <w:sz w:val="22"/>
          <w:szCs w:val="22"/>
        </w:rPr>
        <w:t xml:space="preserve">The study team will use information technology as appropriate to reduce the burden on respondents. Mathematica will conduct the </w:t>
      </w:r>
      <w:r w:rsidR="00AC3D4A">
        <w:rPr>
          <w:rFonts w:asciiTheme="minorHAnsi" w:hAnsiTheme="minorHAnsi" w:cstheme="minorBidi"/>
          <w:sz w:val="22"/>
          <w:szCs w:val="22"/>
        </w:rPr>
        <w:t>discussions</w:t>
      </w:r>
      <w:r w:rsidRPr="0040466B" w:rsidR="57F01208">
        <w:rPr>
          <w:rFonts w:asciiTheme="minorHAnsi" w:hAnsiTheme="minorHAnsi" w:cstheme="minorBidi"/>
          <w:sz w:val="22"/>
          <w:szCs w:val="22"/>
        </w:rPr>
        <w:t xml:space="preserve"> </w:t>
      </w:r>
      <w:r w:rsidRPr="0040466B">
        <w:rPr>
          <w:rFonts w:asciiTheme="minorHAnsi" w:hAnsiTheme="minorHAnsi" w:cstheme="minorBidi"/>
          <w:sz w:val="22"/>
          <w:szCs w:val="22"/>
        </w:rPr>
        <w:t>via a videoconferencing platform that can be accessed on a computer, phone, or tablet (</w:t>
      </w:r>
      <w:r w:rsidR="00666AA0">
        <w:rPr>
          <w:rFonts w:asciiTheme="minorHAnsi" w:hAnsiTheme="minorHAnsi" w:cstheme="minorBidi"/>
          <w:sz w:val="22"/>
          <w:szCs w:val="22"/>
        </w:rPr>
        <w:t xml:space="preserve">such as </w:t>
      </w:r>
      <w:r w:rsidR="00D050F0">
        <w:rPr>
          <w:rFonts w:asciiTheme="minorHAnsi" w:hAnsiTheme="minorHAnsi" w:cstheme="minorBidi"/>
          <w:sz w:val="22"/>
          <w:szCs w:val="22"/>
        </w:rPr>
        <w:t xml:space="preserve">Zoom or </w:t>
      </w:r>
      <w:r w:rsidR="00666AA0">
        <w:rPr>
          <w:rFonts w:asciiTheme="minorHAnsi" w:hAnsiTheme="minorHAnsi" w:cstheme="minorBidi"/>
          <w:sz w:val="22"/>
          <w:szCs w:val="22"/>
        </w:rPr>
        <w:t>WebEx</w:t>
      </w:r>
      <w:r w:rsidRPr="0040466B">
        <w:rPr>
          <w:rFonts w:asciiTheme="minorHAnsi" w:hAnsiTheme="minorHAnsi" w:cstheme="minorBidi"/>
          <w:sz w:val="22"/>
          <w:szCs w:val="22"/>
        </w:rPr>
        <w:t xml:space="preserve">). When we schedule </w:t>
      </w:r>
      <w:r w:rsidR="00AC3D4A">
        <w:rPr>
          <w:rFonts w:asciiTheme="minorHAnsi" w:hAnsiTheme="minorHAnsi" w:cstheme="minorBidi"/>
          <w:sz w:val="22"/>
          <w:szCs w:val="22"/>
        </w:rPr>
        <w:t>a discussion</w:t>
      </w:r>
      <w:r w:rsidRPr="0040466B">
        <w:rPr>
          <w:rFonts w:asciiTheme="minorHAnsi" w:hAnsiTheme="minorHAnsi" w:cstheme="minorBidi"/>
          <w:sz w:val="22"/>
          <w:szCs w:val="22"/>
        </w:rPr>
        <w:t>, we will email respondent</w:t>
      </w:r>
      <w:r w:rsidR="00AC3D4A">
        <w:rPr>
          <w:rFonts w:asciiTheme="minorHAnsi" w:hAnsiTheme="minorHAnsi" w:cstheme="minorBidi"/>
          <w:sz w:val="22"/>
          <w:szCs w:val="22"/>
        </w:rPr>
        <w:t>(</w:t>
      </w:r>
      <w:r w:rsidRPr="0040466B">
        <w:rPr>
          <w:rFonts w:asciiTheme="minorHAnsi" w:hAnsiTheme="minorHAnsi" w:cstheme="minorBidi"/>
          <w:sz w:val="22"/>
          <w:szCs w:val="22"/>
        </w:rPr>
        <w:t>s</w:t>
      </w:r>
      <w:r w:rsidR="00AC3D4A">
        <w:rPr>
          <w:rFonts w:asciiTheme="minorHAnsi" w:hAnsiTheme="minorHAnsi" w:cstheme="minorBidi"/>
          <w:sz w:val="22"/>
          <w:szCs w:val="22"/>
        </w:rPr>
        <w:t>)</w:t>
      </w:r>
      <w:r w:rsidRPr="0040466B">
        <w:rPr>
          <w:rFonts w:asciiTheme="minorHAnsi" w:hAnsiTheme="minorHAnsi" w:cstheme="minorBidi"/>
          <w:sz w:val="22"/>
          <w:szCs w:val="22"/>
        </w:rPr>
        <w:t xml:space="preserve"> an overview of the </w:t>
      </w:r>
      <w:r w:rsidRPr="0040466B" w:rsidR="38E82913">
        <w:rPr>
          <w:rFonts w:asciiTheme="minorHAnsi" w:hAnsiTheme="minorHAnsi" w:cstheme="minorBidi"/>
          <w:sz w:val="22"/>
          <w:szCs w:val="22"/>
        </w:rPr>
        <w:t>discussion</w:t>
      </w:r>
      <w:r w:rsidRPr="0040466B">
        <w:rPr>
          <w:rFonts w:asciiTheme="minorHAnsi" w:hAnsiTheme="minorHAnsi" w:cstheme="minorBidi"/>
          <w:sz w:val="22"/>
          <w:szCs w:val="22"/>
        </w:rPr>
        <w:t xml:space="preserve"> topics</w:t>
      </w:r>
      <w:r w:rsidR="00E45E13">
        <w:rPr>
          <w:rFonts w:asciiTheme="minorHAnsi" w:hAnsiTheme="minorHAnsi" w:cstheme="minorBidi"/>
          <w:sz w:val="22"/>
          <w:szCs w:val="22"/>
        </w:rPr>
        <w:t xml:space="preserve"> so they can prepare ahead of time</w:t>
      </w:r>
      <w:r w:rsidRPr="0040466B">
        <w:rPr>
          <w:rFonts w:asciiTheme="minorHAnsi" w:hAnsiTheme="minorHAnsi" w:cstheme="minorBidi"/>
          <w:sz w:val="22"/>
          <w:szCs w:val="22"/>
        </w:rPr>
        <w:t>.</w:t>
      </w:r>
    </w:p>
    <w:p w:rsidR="00D90EF6" w:rsidRPr="0040466B" w:rsidP="0E76D161" w14:paraId="36202B10" w14:textId="08B211DA">
      <w:pPr>
        <w:rPr>
          <w:rFonts w:asciiTheme="minorHAnsi" w:hAnsiTheme="minorHAnsi" w:cstheme="minorBidi"/>
          <w:sz w:val="22"/>
          <w:szCs w:val="22"/>
        </w:rPr>
      </w:pPr>
    </w:p>
    <w:p w:rsidR="00D90EF6" w:rsidRPr="0040466B" w:rsidP="003F3B37" w14:paraId="5934C206" w14:textId="3557E862">
      <w:pPr>
        <w:rPr>
          <w:rFonts w:asciiTheme="minorHAnsi" w:hAnsiTheme="minorHAnsi" w:cstheme="minorBidi"/>
          <w:sz w:val="22"/>
          <w:szCs w:val="22"/>
        </w:rPr>
      </w:pPr>
      <w:r>
        <w:rPr>
          <w:rFonts w:asciiTheme="minorHAnsi" w:hAnsiTheme="minorHAnsi" w:cstheme="minorBidi"/>
          <w:sz w:val="22"/>
          <w:szCs w:val="22"/>
        </w:rPr>
        <w:t>M</w:t>
      </w:r>
      <w:r w:rsidR="00BA25A5">
        <w:rPr>
          <w:rFonts w:asciiTheme="minorHAnsi" w:hAnsiTheme="minorHAnsi" w:cstheme="minorBidi"/>
          <w:sz w:val="22"/>
          <w:szCs w:val="22"/>
        </w:rPr>
        <w:t xml:space="preserve">oderators will take notes during each </w:t>
      </w:r>
      <w:r>
        <w:rPr>
          <w:rFonts w:asciiTheme="minorHAnsi" w:hAnsiTheme="minorHAnsi" w:cstheme="minorBidi"/>
          <w:sz w:val="22"/>
          <w:szCs w:val="22"/>
        </w:rPr>
        <w:t>individual and small group discussion</w:t>
      </w:r>
      <w:r w:rsidR="00BA25A5">
        <w:rPr>
          <w:rFonts w:asciiTheme="minorHAnsi" w:hAnsiTheme="minorHAnsi" w:cstheme="minorBidi"/>
          <w:sz w:val="22"/>
          <w:szCs w:val="22"/>
        </w:rPr>
        <w:t xml:space="preserve">. </w:t>
      </w:r>
      <w:r w:rsidR="003F3B37">
        <w:rPr>
          <w:rFonts w:asciiTheme="minorHAnsi" w:hAnsiTheme="minorHAnsi" w:cstheme="minorBidi"/>
          <w:sz w:val="22"/>
          <w:szCs w:val="22"/>
        </w:rPr>
        <w:t xml:space="preserve">We will obtain participant consent to record </w:t>
      </w:r>
      <w:r>
        <w:rPr>
          <w:rFonts w:asciiTheme="minorHAnsi" w:hAnsiTheme="minorHAnsi" w:cstheme="minorBidi"/>
          <w:sz w:val="22"/>
          <w:szCs w:val="22"/>
        </w:rPr>
        <w:t>the individual or small group discussions</w:t>
      </w:r>
      <w:r w:rsidR="003F3B37">
        <w:rPr>
          <w:rFonts w:asciiTheme="minorHAnsi" w:hAnsiTheme="minorHAnsi" w:cstheme="minorBidi"/>
          <w:sz w:val="22"/>
          <w:szCs w:val="22"/>
        </w:rPr>
        <w:t xml:space="preserve"> to ensure moderators can augment or review their notes as needed. In addition, we will obtain </w:t>
      </w:r>
      <w:r w:rsidRPr="0040466B" w:rsidR="3E165689">
        <w:rPr>
          <w:rFonts w:asciiTheme="minorHAnsi" w:hAnsiTheme="minorHAnsi" w:cstheme="minorBidi"/>
          <w:sz w:val="22"/>
          <w:szCs w:val="22"/>
        </w:rPr>
        <w:t>participant consent</w:t>
      </w:r>
      <w:r w:rsidR="003F3B37">
        <w:rPr>
          <w:rFonts w:asciiTheme="minorHAnsi" w:hAnsiTheme="minorHAnsi" w:cstheme="minorBidi"/>
          <w:sz w:val="22"/>
          <w:szCs w:val="22"/>
        </w:rPr>
        <w:t xml:space="preserve"> to revisit the information collected during the </w:t>
      </w:r>
      <w:r>
        <w:rPr>
          <w:rFonts w:asciiTheme="minorHAnsi" w:hAnsiTheme="minorHAnsi" w:cstheme="minorBidi"/>
          <w:sz w:val="22"/>
          <w:szCs w:val="22"/>
        </w:rPr>
        <w:t>individual or small group discussion</w:t>
      </w:r>
      <w:r w:rsidR="003F3B37">
        <w:rPr>
          <w:rFonts w:asciiTheme="minorHAnsi" w:hAnsiTheme="minorHAnsi" w:cstheme="minorBidi"/>
          <w:sz w:val="22"/>
          <w:szCs w:val="22"/>
        </w:rPr>
        <w:t xml:space="preserve"> for secondary analysis at a future date. This will reduce burden on </w:t>
      </w:r>
      <w:r>
        <w:rPr>
          <w:rFonts w:asciiTheme="minorHAnsi" w:hAnsiTheme="minorHAnsi" w:cstheme="minorBidi"/>
          <w:sz w:val="22"/>
          <w:szCs w:val="22"/>
        </w:rPr>
        <w:t>respondents</w:t>
      </w:r>
      <w:r w:rsidR="003F3B37">
        <w:rPr>
          <w:rFonts w:asciiTheme="minorHAnsi" w:hAnsiTheme="minorHAnsi" w:cstheme="minorBidi"/>
          <w:sz w:val="22"/>
          <w:szCs w:val="22"/>
        </w:rPr>
        <w:t xml:space="preserve"> in the future. </w:t>
      </w:r>
    </w:p>
    <w:p w:rsidR="005046F0" w:rsidRPr="002F65C2" w:rsidP="008F570D" w14:paraId="5804584A" w14:textId="77777777">
      <w:pPr>
        <w:ind w:left="360"/>
        <w:rPr>
          <w:rFonts w:asciiTheme="minorHAnsi" w:hAnsiTheme="minorHAnsi" w:cstheme="minorHAnsi"/>
          <w:sz w:val="22"/>
          <w:szCs w:val="22"/>
        </w:rPr>
      </w:pPr>
    </w:p>
    <w:p w:rsidR="00945CD6" w:rsidRPr="002F65C2" w:rsidP="008F570D" w14:paraId="39BBEF3E" w14:textId="77777777">
      <w:pPr>
        <w:spacing w:after="120"/>
        <w:rPr>
          <w:rFonts w:asciiTheme="minorHAnsi" w:hAnsiTheme="minorHAnsi" w:cstheme="minorHAnsi"/>
          <w:b/>
          <w:sz w:val="22"/>
          <w:szCs w:val="22"/>
        </w:rPr>
      </w:pPr>
      <w:r w:rsidRPr="0E76D161">
        <w:rPr>
          <w:rFonts w:asciiTheme="minorHAnsi" w:hAnsiTheme="minorHAnsi" w:cstheme="minorBidi"/>
          <w:b/>
          <w:bCs/>
          <w:sz w:val="22"/>
          <w:szCs w:val="22"/>
        </w:rPr>
        <w:t xml:space="preserve">A4. </w:t>
      </w:r>
      <w:r w:rsidRPr="0E76D161">
        <w:rPr>
          <w:rFonts w:asciiTheme="minorHAnsi" w:hAnsiTheme="minorHAnsi" w:cstheme="minorBidi"/>
          <w:b/>
          <w:bCs/>
          <w:sz w:val="22"/>
          <w:szCs w:val="22"/>
        </w:rPr>
        <w:t>Efforts to Identify Duplication</w:t>
      </w:r>
    </w:p>
    <w:p w:rsidR="7F63383D" w:rsidRPr="00E45E13" w:rsidP="0E76D161" w14:paraId="721C5BB0" w14:textId="5AA27546">
      <w:pPr>
        <w:rPr>
          <w:rFonts w:asciiTheme="minorHAnsi" w:hAnsiTheme="minorHAnsi" w:cstheme="minorBidi"/>
          <w:sz w:val="22"/>
          <w:szCs w:val="22"/>
        </w:rPr>
      </w:pPr>
      <w:r w:rsidRPr="00E45E13">
        <w:rPr>
          <w:rFonts w:asciiTheme="minorHAnsi" w:hAnsiTheme="minorHAnsi" w:cstheme="minorBidi"/>
          <w:sz w:val="22"/>
          <w:szCs w:val="22"/>
        </w:rPr>
        <w:t xml:space="preserve">The proposed </w:t>
      </w:r>
      <w:r w:rsidR="00AC3D4A">
        <w:rPr>
          <w:rFonts w:asciiTheme="minorHAnsi" w:hAnsiTheme="minorHAnsi" w:cstheme="minorBidi"/>
          <w:sz w:val="22"/>
          <w:szCs w:val="22"/>
        </w:rPr>
        <w:t>individual and small group discussions</w:t>
      </w:r>
      <w:r w:rsidRPr="00E45E13">
        <w:rPr>
          <w:rFonts w:asciiTheme="minorHAnsi" w:hAnsiTheme="minorHAnsi" w:cstheme="minorBidi"/>
          <w:sz w:val="22"/>
          <w:szCs w:val="22"/>
        </w:rPr>
        <w:t xml:space="preserve"> do not duplicate other data collection efforts. The information</w:t>
      </w:r>
      <w:r w:rsidR="00FC23A2">
        <w:rPr>
          <w:rFonts w:asciiTheme="minorHAnsi" w:hAnsiTheme="minorHAnsi" w:cstheme="minorBidi"/>
          <w:sz w:val="22"/>
          <w:szCs w:val="22"/>
        </w:rPr>
        <w:t xml:space="preserve"> requested</w:t>
      </w:r>
      <w:r w:rsidRPr="00E45E13">
        <w:rPr>
          <w:rFonts w:asciiTheme="minorHAnsi" w:hAnsiTheme="minorHAnsi" w:cstheme="minorBidi"/>
          <w:sz w:val="22"/>
          <w:szCs w:val="22"/>
        </w:rPr>
        <w:t xml:space="preserve"> through the </w:t>
      </w:r>
      <w:r w:rsidR="00AC3D4A">
        <w:rPr>
          <w:rFonts w:asciiTheme="minorHAnsi" w:hAnsiTheme="minorHAnsi" w:cstheme="minorBidi"/>
          <w:sz w:val="22"/>
          <w:szCs w:val="22"/>
        </w:rPr>
        <w:t>individual and small group discussions</w:t>
      </w:r>
      <w:r w:rsidRPr="00E45E13" w:rsidR="3EE502F7">
        <w:rPr>
          <w:rFonts w:asciiTheme="minorHAnsi" w:hAnsiTheme="minorHAnsi" w:cstheme="minorBidi"/>
          <w:sz w:val="22"/>
          <w:szCs w:val="22"/>
        </w:rPr>
        <w:t xml:space="preserve"> </w:t>
      </w:r>
      <w:r w:rsidRPr="00E45E13">
        <w:rPr>
          <w:rFonts w:asciiTheme="minorHAnsi" w:hAnsiTheme="minorHAnsi" w:cstheme="minorBidi"/>
          <w:sz w:val="22"/>
          <w:szCs w:val="22"/>
        </w:rPr>
        <w:t>is not available through other existing data sources.</w:t>
      </w:r>
    </w:p>
    <w:p w:rsidR="00436F5E" w:rsidRPr="002F65C2" w:rsidP="00BE0253" w14:paraId="69A8EDD5" w14:textId="77777777">
      <w:pPr>
        <w:rPr>
          <w:rFonts w:asciiTheme="minorHAnsi" w:hAnsiTheme="minorHAnsi" w:cstheme="minorHAnsi"/>
          <w:b/>
          <w:sz w:val="22"/>
          <w:szCs w:val="22"/>
        </w:rPr>
      </w:pPr>
    </w:p>
    <w:p w:rsidR="00945CD6" w:rsidRPr="002F65C2" w:rsidP="008F570D" w14:paraId="10B90123"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A5. </w:t>
      </w:r>
      <w:r w:rsidRPr="002F65C2">
        <w:rPr>
          <w:rFonts w:asciiTheme="minorHAnsi" w:hAnsiTheme="minorHAnsi" w:cstheme="minorHAnsi"/>
          <w:b/>
          <w:sz w:val="22"/>
          <w:szCs w:val="22"/>
        </w:rPr>
        <w:t>Involvement of Small Organizations</w:t>
      </w:r>
    </w:p>
    <w:p w:rsidR="00D90EF6" w:rsidRPr="00E45E13" w:rsidP="008F570D" w14:paraId="12FF1FE5" w14:textId="7AF26A88">
      <w:pPr>
        <w:rPr>
          <w:rFonts w:asciiTheme="minorHAnsi" w:hAnsiTheme="minorHAnsi" w:cstheme="minorBidi"/>
          <w:sz w:val="22"/>
          <w:szCs w:val="22"/>
        </w:rPr>
      </w:pPr>
      <w:r>
        <w:rPr>
          <w:rFonts w:asciiTheme="minorHAnsi" w:hAnsiTheme="minorHAnsi" w:cstheme="minorBidi"/>
          <w:sz w:val="22"/>
          <w:szCs w:val="22"/>
        </w:rPr>
        <w:t xml:space="preserve">Most eligible entities are small, private, non-profit organizations. </w:t>
      </w:r>
      <w:r w:rsidR="0023551B">
        <w:rPr>
          <w:rFonts w:asciiTheme="minorHAnsi" w:hAnsiTheme="minorHAnsi" w:cstheme="minorBidi"/>
          <w:sz w:val="22"/>
          <w:szCs w:val="22"/>
        </w:rPr>
        <w:t>T</w:t>
      </w:r>
      <w:r w:rsidRPr="00E45E13" w:rsidR="223D6185">
        <w:rPr>
          <w:rFonts w:asciiTheme="minorHAnsi" w:hAnsiTheme="minorHAnsi" w:cstheme="minorBidi"/>
          <w:sz w:val="22"/>
          <w:szCs w:val="22"/>
        </w:rPr>
        <w:t xml:space="preserve">he </w:t>
      </w:r>
      <w:r w:rsidR="00E45E13">
        <w:rPr>
          <w:rFonts w:asciiTheme="minorHAnsi" w:hAnsiTheme="minorHAnsi" w:cstheme="minorBidi"/>
          <w:sz w:val="22"/>
          <w:szCs w:val="22"/>
        </w:rPr>
        <w:t>study team</w:t>
      </w:r>
      <w:r w:rsidRPr="00E45E13" w:rsidR="223D6185">
        <w:rPr>
          <w:rFonts w:asciiTheme="minorHAnsi" w:hAnsiTheme="minorHAnsi" w:cstheme="minorBidi"/>
          <w:sz w:val="22"/>
          <w:szCs w:val="22"/>
        </w:rPr>
        <w:t xml:space="preserve"> will minimize the burden on them </w:t>
      </w:r>
      <w:r w:rsidR="00E41224">
        <w:rPr>
          <w:rFonts w:asciiTheme="minorHAnsi" w:hAnsiTheme="minorHAnsi" w:cstheme="minorBidi"/>
          <w:sz w:val="22"/>
          <w:szCs w:val="22"/>
        </w:rPr>
        <w:t>such as by scheduling</w:t>
      </w:r>
      <w:r w:rsidRPr="00E45E13" w:rsidR="00E41224">
        <w:rPr>
          <w:rFonts w:asciiTheme="minorHAnsi" w:hAnsiTheme="minorHAnsi" w:cstheme="minorBidi"/>
          <w:sz w:val="22"/>
          <w:szCs w:val="22"/>
        </w:rPr>
        <w:t xml:space="preserve"> </w:t>
      </w:r>
      <w:r w:rsidRPr="00E45E13" w:rsidR="223D6185">
        <w:rPr>
          <w:rFonts w:asciiTheme="minorHAnsi" w:hAnsiTheme="minorHAnsi" w:cstheme="minorBidi"/>
          <w:sz w:val="22"/>
          <w:szCs w:val="22"/>
        </w:rPr>
        <w:t>data collection at times convenient for respondents</w:t>
      </w:r>
      <w:r w:rsidR="00E41224">
        <w:rPr>
          <w:rFonts w:asciiTheme="minorHAnsi" w:hAnsiTheme="minorHAnsi" w:cstheme="minorBidi"/>
          <w:sz w:val="22"/>
          <w:szCs w:val="22"/>
        </w:rPr>
        <w:t xml:space="preserve"> and </w:t>
      </w:r>
      <w:r w:rsidR="00E44E62">
        <w:rPr>
          <w:rFonts w:asciiTheme="minorHAnsi" w:hAnsiTheme="minorHAnsi" w:cstheme="minorBidi"/>
          <w:sz w:val="22"/>
          <w:szCs w:val="22"/>
        </w:rPr>
        <w:t>not involving multiple staff or board members from a single eligible entit</w:t>
      </w:r>
      <w:r w:rsidR="009C37CB">
        <w:rPr>
          <w:rFonts w:asciiTheme="minorHAnsi" w:hAnsiTheme="minorHAnsi" w:cstheme="minorBidi"/>
          <w:sz w:val="22"/>
          <w:szCs w:val="22"/>
        </w:rPr>
        <w:t>y</w:t>
      </w:r>
      <w:r w:rsidRPr="00E45E13" w:rsidR="223D6185">
        <w:rPr>
          <w:rFonts w:asciiTheme="minorHAnsi" w:hAnsiTheme="minorHAnsi" w:cstheme="minorBidi"/>
          <w:sz w:val="22"/>
          <w:szCs w:val="22"/>
        </w:rPr>
        <w:t>.</w:t>
      </w:r>
      <w:r w:rsidRPr="0016525B" w:rsidR="223D6185">
        <w:rPr>
          <w:rFonts w:asciiTheme="minorHAnsi" w:hAnsiTheme="minorHAnsi" w:cstheme="minorBidi"/>
          <w:sz w:val="22"/>
          <w:szCs w:val="22"/>
        </w:rPr>
        <w:t xml:space="preserve"> </w:t>
      </w:r>
    </w:p>
    <w:p w:rsidR="008C78B4" w:rsidRPr="002F65C2" w:rsidP="008F570D" w14:paraId="6077512E" w14:textId="77777777">
      <w:pPr>
        <w:rPr>
          <w:rFonts w:asciiTheme="minorHAnsi" w:hAnsiTheme="minorHAnsi" w:cstheme="minorHAnsi"/>
          <w:b/>
          <w:sz w:val="22"/>
          <w:szCs w:val="22"/>
        </w:rPr>
      </w:pPr>
    </w:p>
    <w:p w:rsidR="00945CD6" w:rsidRPr="002F65C2" w:rsidP="008F570D" w14:paraId="5C724C5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A6. </w:t>
      </w:r>
      <w:r w:rsidRPr="002F65C2">
        <w:rPr>
          <w:rFonts w:asciiTheme="minorHAnsi" w:hAnsiTheme="minorHAnsi" w:cstheme="minorHAnsi"/>
          <w:b/>
          <w:sz w:val="22"/>
          <w:szCs w:val="22"/>
        </w:rPr>
        <w:t>Consequences of Less Frequent Data Collection</w:t>
      </w:r>
    </w:p>
    <w:p w:rsidR="00D90EF6" w:rsidRPr="002F65C2" w:rsidP="0E76D161" w14:paraId="27E89940" w14:textId="33DE3202">
      <w:pPr>
        <w:rPr>
          <w:rFonts w:asciiTheme="minorHAnsi" w:hAnsiTheme="minorHAnsi" w:cstheme="minorBidi"/>
          <w:sz w:val="22"/>
          <w:szCs w:val="22"/>
        </w:rPr>
      </w:pPr>
      <w:r w:rsidRPr="00E45E13">
        <w:rPr>
          <w:rFonts w:asciiTheme="minorHAnsi" w:hAnsiTheme="minorHAnsi" w:cstheme="minorBidi"/>
          <w:sz w:val="22"/>
          <w:szCs w:val="22"/>
        </w:rPr>
        <w:t>This is a one-time data collection.</w:t>
      </w:r>
    </w:p>
    <w:p w:rsidR="005046F0" w:rsidRPr="002F65C2" w:rsidP="008F570D" w14:paraId="7C36762A" w14:textId="77777777">
      <w:pPr>
        <w:ind w:left="360"/>
        <w:rPr>
          <w:rFonts w:asciiTheme="minorHAnsi" w:hAnsiTheme="minorHAnsi" w:cstheme="minorHAnsi"/>
          <w:sz w:val="22"/>
          <w:szCs w:val="22"/>
        </w:rPr>
      </w:pPr>
    </w:p>
    <w:p w:rsidR="00945CD6" w:rsidRPr="002F65C2" w:rsidP="008F570D" w14:paraId="5060136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A7. </w:t>
      </w:r>
      <w:r w:rsidRPr="002F65C2">
        <w:rPr>
          <w:rFonts w:asciiTheme="minorHAnsi" w:hAnsiTheme="minorHAnsi" w:cstheme="minorHAnsi"/>
          <w:b/>
          <w:sz w:val="22"/>
          <w:szCs w:val="22"/>
        </w:rPr>
        <w:t>Special Circumstances</w:t>
      </w:r>
    </w:p>
    <w:p w:rsidR="0020382F" w:rsidRPr="002F65C2" w:rsidP="008F570D" w14:paraId="10D64BA4" w14:textId="77777777">
      <w:pPr>
        <w:rPr>
          <w:rFonts w:asciiTheme="minorHAnsi" w:hAnsiTheme="minorHAnsi" w:cstheme="minorHAnsi"/>
          <w:sz w:val="22"/>
          <w:szCs w:val="22"/>
        </w:rPr>
      </w:pPr>
      <w:r w:rsidRPr="00E45E13">
        <w:rPr>
          <w:rFonts w:asciiTheme="minorHAnsi" w:hAnsiTheme="minorHAnsi" w:cstheme="minorHAnsi"/>
          <w:sz w:val="22"/>
          <w:szCs w:val="22"/>
        </w:rPr>
        <w:t>There are no special circumstances for the proposed data collection efforts.</w:t>
      </w:r>
    </w:p>
    <w:p w:rsidR="00D90EF6" w:rsidRPr="002F65C2" w:rsidP="008F570D" w14:paraId="6156892E" w14:textId="77777777">
      <w:pPr>
        <w:rPr>
          <w:rFonts w:asciiTheme="minorHAnsi" w:hAnsiTheme="minorHAnsi" w:cstheme="minorHAnsi"/>
          <w:b/>
          <w:sz w:val="22"/>
          <w:szCs w:val="22"/>
        </w:rPr>
      </w:pPr>
    </w:p>
    <w:p w:rsidR="00D90EF6" w:rsidRPr="002F65C2" w:rsidP="008F570D" w14:paraId="4FD99BC0"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A8. </w:t>
      </w:r>
      <w:r w:rsidRPr="002F65C2" w:rsidR="00945CD6">
        <w:rPr>
          <w:rFonts w:asciiTheme="minorHAnsi" w:hAnsiTheme="minorHAnsi" w:cstheme="minorHAnsi"/>
          <w:b/>
          <w:sz w:val="22"/>
          <w:szCs w:val="22"/>
        </w:rPr>
        <w:t>Federal Register Notice and Consultation</w:t>
      </w:r>
    </w:p>
    <w:p w:rsidR="00B91D97" w:rsidRPr="002F65C2" w:rsidP="008F570D" w14:paraId="6A39001F"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Federal Register Notice and Comments</w:t>
      </w:r>
    </w:p>
    <w:p w:rsidR="006C2EBC" w:rsidRPr="002F65C2" w:rsidP="006C2EBC" w14:paraId="4A6F541A" w14:textId="3CEFCB62">
      <w:pPr>
        <w:rPr>
          <w:rFonts w:asciiTheme="minorHAnsi" w:hAnsiTheme="minorHAnsi" w:cstheme="minorHAnsi"/>
          <w:sz w:val="22"/>
          <w:szCs w:val="22"/>
        </w:rPr>
      </w:pPr>
      <w:r w:rsidRPr="002F65C2">
        <w:rPr>
          <w:rFonts w:asciiTheme="minorHAnsi" w:hAnsiTheme="minorHAnsi" w:cstheme="minorHAns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2F65C2" w:rsidP="006C2EBC" w14:paraId="565A3C00" w14:textId="77777777">
      <w:pPr>
        <w:rPr>
          <w:rFonts w:asciiTheme="minorHAnsi" w:hAnsiTheme="minorHAnsi" w:cstheme="minorHAnsi"/>
          <w:sz w:val="22"/>
          <w:szCs w:val="22"/>
        </w:rPr>
      </w:pPr>
    </w:p>
    <w:p w:rsidR="00B91D97" w:rsidRPr="002F65C2" w:rsidP="006C2EBC" w14:paraId="21E62C00" w14:textId="72CBF5B8">
      <w:pPr>
        <w:pStyle w:val="Heading4"/>
        <w:spacing w:before="0"/>
        <w:rPr>
          <w:rFonts w:asciiTheme="minorHAnsi" w:hAnsiTheme="minorHAnsi" w:cstheme="minorHAnsi"/>
          <w:i/>
          <w:sz w:val="22"/>
          <w:szCs w:val="22"/>
        </w:rPr>
      </w:pPr>
      <w:r w:rsidRPr="002F65C2">
        <w:rPr>
          <w:rFonts w:asciiTheme="minorHAnsi" w:hAnsiTheme="minorHAnsi" w:cstheme="minorHAnsi"/>
          <w:i/>
          <w:sz w:val="22"/>
          <w:szCs w:val="22"/>
        </w:rPr>
        <w:t xml:space="preserve">Consultation with </w:t>
      </w:r>
      <w:r w:rsidRPr="002F65C2" w:rsidR="008F570D">
        <w:rPr>
          <w:rFonts w:asciiTheme="minorHAnsi" w:hAnsiTheme="minorHAnsi" w:cstheme="minorHAnsi"/>
          <w:i/>
          <w:sz w:val="22"/>
          <w:szCs w:val="22"/>
        </w:rPr>
        <w:t xml:space="preserve">Outside </w:t>
      </w:r>
      <w:r w:rsidRPr="002F65C2">
        <w:rPr>
          <w:rFonts w:asciiTheme="minorHAnsi" w:hAnsiTheme="minorHAnsi" w:cstheme="minorHAnsi"/>
          <w:i/>
          <w:sz w:val="22"/>
          <w:szCs w:val="22"/>
        </w:rPr>
        <w:t>Experts</w:t>
      </w:r>
    </w:p>
    <w:p w:rsidR="008F10A2" w:rsidRPr="005375A6" w:rsidP="0E76D161" w14:paraId="1632B553" w14:textId="438C238B">
      <w:pPr>
        <w:rPr>
          <w:rFonts w:asciiTheme="minorHAnsi" w:hAnsiTheme="minorHAnsi" w:cstheme="minorBidi"/>
          <w:sz w:val="22"/>
          <w:szCs w:val="22"/>
        </w:rPr>
      </w:pPr>
      <w:r w:rsidRPr="005375A6">
        <w:rPr>
          <w:rFonts w:asciiTheme="minorHAnsi" w:hAnsiTheme="minorHAnsi" w:cstheme="minorBidi"/>
          <w:sz w:val="22"/>
          <w:szCs w:val="22"/>
        </w:rPr>
        <w:t>No consultations have taken place with experts outside of the project team</w:t>
      </w:r>
      <w:r w:rsidRPr="005375A6" w:rsidR="0A015B08">
        <w:rPr>
          <w:rFonts w:asciiTheme="minorHAnsi" w:hAnsiTheme="minorHAnsi" w:cstheme="minorBidi"/>
          <w:sz w:val="22"/>
          <w:szCs w:val="22"/>
        </w:rPr>
        <w:t>.</w:t>
      </w:r>
    </w:p>
    <w:p w:rsidR="00D90EF6" w:rsidRPr="002F65C2" w:rsidP="0E76D161" w14:paraId="16A7A923" w14:textId="67A05B2C">
      <w:pPr>
        <w:rPr>
          <w:rFonts w:asciiTheme="minorHAnsi" w:hAnsiTheme="minorHAnsi" w:cstheme="minorBidi"/>
          <w:sz w:val="22"/>
          <w:szCs w:val="22"/>
          <w:highlight w:val="yellow"/>
        </w:rPr>
      </w:pPr>
    </w:p>
    <w:p w:rsidR="00945CD6" w:rsidRPr="00BE0253" w:rsidP="0E76D161" w14:paraId="391068CD" w14:textId="6ECE22DD">
      <w:pPr>
        <w:spacing w:after="120"/>
        <w:rPr>
          <w:rFonts w:asciiTheme="minorHAnsi" w:hAnsiTheme="minorHAnsi" w:cstheme="minorBidi"/>
          <w:b/>
          <w:bCs/>
          <w:sz w:val="22"/>
          <w:szCs w:val="22"/>
        </w:rPr>
      </w:pPr>
      <w:r w:rsidRPr="00BE0253">
        <w:rPr>
          <w:rFonts w:asciiTheme="minorHAnsi" w:hAnsiTheme="minorHAnsi" w:cstheme="minorBidi"/>
          <w:b/>
          <w:bCs/>
          <w:sz w:val="22"/>
          <w:szCs w:val="22"/>
        </w:rPr>
        <w:t xml:space="preserve">A9. </w:t>
      </w:r>
      <w:r w:rsidRPr="00BE0253" w:rsidR="00542413">
        <w:rPr>
          <w:rFonts w:asciiTheme="minorHAnsi" w:hAnsiTheme="minorHAnsi" w:cstheme="minorBidi"/>
          <w:b/>
          <w:bCs/>
          <w:sz w:val="22"/>
          <w:szCs w:val="22"/>
        </w:rPr>
        <w:t xml:space="preserve">Tokens of Appreciation </w:t>
      </w:r>
      <w:r w:rsidRPr="00BE0253" w:rsidR="00B66874">
        <w:rPr>
          <w:rFonts w:asciiTheme="minorHAnsi" w:hAnsiTheme="minorHAnsi" w:cstheme="minorBidi"/>
          <w:b/>
          <w:bCs/>
          <w:sz w:val="22"/>
          <w:szCs w:val="22"/>
        </w:rPr>
        <w:t>for</w:t>
      </w:r>
      <w:r w:rsidRPr="00BE0253">
        <w:rPr>
          <w:rFonts w:asciiTheme="minorHAnsi" w:hAnsiTheme="minorHAnsi" w:cstheme="minorBidi"/>
          <w:b/>
          <w:bCs/>
          <w:sz w:val="22"/>
          <w:szCs w:val="22"/>
        </w:rPr>
        <w:t xml:space="preserve"> Respondents</w:t>
      </w:r>
    </w:p>
    <w:p w:rsidR="000C5F09" w:rsidRPr="005B27A1" w:rsidP="5D0E524A" w14:paraId="7D18F6E2" w14:textId="22A4BB23">
      <w:pPr>
        <w:rPr>
          <w:rFonts w:asciiTheme="minorHAnsi" w:hAnsiTheme="minorHAnsi" w:cstheme="minorHAnsi"/>
          <w:sz w:val="22"/>
          <w:szCs w:val="22"/>
        </w:rPr>
      </w:pPr>
      <w:r w:rsidRPr="5BA93116">
        <w:rPr>
          <w:rFonts w:asciiTheme="minorHAnsi" w:hAnsiTheme="minorHAnsi" w:cstheme="minorBidi"/>
          <w:sz w:val="22"/>
          <w:szCs w:val="22"/>
        </w:rPr>
        <w:t>It is extremely important to provide those with lived experience with equitable compensation or tokens of appreciation for participation. As noted in a 2022 report by the HHS Office of the Assistant Secretary for Planning and Evaluation, this “helps ensure a diverse population with varied views can participate</w:t>
      </w:r>
      <w:r w:rsidRPr="5BA93116" w:rsidR="00260C4A">
        <w:rPr>
          <w:rFonts w:asciiTheme="minorHAnsi" w:hAnsiTheme="minorHAnsi" w:cstheme="minorBidi"/>
          <w:sz w:val="22"/>
          <w:szCs w:val="22"/>
        </w:rPr>
        <w:t>.</w:t>
      </w:r>
      <w:r w:rsidRPr="5BA93116">
        <w:rPr>
          <w:rFonts w:asciiTheme="minorHAnsi" w:hAnsiTheme="minorHAnsi" w:cstheme="minorBidi"/>
          <w:sz w:val="22"/>
          <w:szCs w:val="22"/>
        </w:rPr>
        <w:t>”</w:t>
      </w:r>
      <w:r>
        <w:rPr>
          <w:rStyle w:val="FootnoteReference"/>
          <w:rFonts w:asciiTheme="minorHAnsi" w:hAnsiTheme="minorHAnsi" w:cstheme="minorHAnsi"/>
          <w:sz w:val="22"/>
          <w:szCs w:val="22"/>
        </w:rPr>
        <w:footnoteReference w:id="3"/>
      </w:r>
      <w:r w:rsidRPr="5BA93116">
        <w:rPr>
          <w:rFonts w:asciiTheme="minorHAnsi" w:hAnsiTheme="minorHAnsi" w:cstheme="minorBidi"/>
          <w:sz w:val="22"/>
          <w:szCs w:val="22"/>
        </w:rPr>
        <w:t xml:space="preserve"> As such, we plan to provide honoraria to </w:t>
      </w:r>
      <w:r w:rsidRPr="5BA93116" w:rsidR="00DC4722">
        <w:rPr>
          <w:rFonts w:asciiTheme="minorHAnsi" w:hAnsiTheme="minorHAnsi" w:cstheme="minorBidi"/>
          <w:sz w:val="22"/>
          <w:szCs w:val="22"/>
        </w:rPr>
        <w:t>members of tripartite boards</w:t>
      </w:r>
      <w:r w:rsidRPr="5BA93116">
        <w:rPr>
          <w:rFonts w:asciiTheme="minorHAnsi" w:hAnsiTheme="minorHAnsi" w:cstheme="minorBidi"/>
          <w:sz w:val="22"/>
          <w:szCs w:val="22"/>
        </w:rPr>
        <w:t xml:space="preserve">, as described in section A13.  </w:t>
      </w:r>
      <w:r w:rsidRPr="5BA93116" w:rsidR="00F20FE9">
        <w:rPr>
          <w:rFonts w:asciiTheme="minorHAnsi" w:hAnsiTheme="minorHAnsi" w:cstheme="minorBidi"/>
          <w:sz w:val="22"/>
          <w:szCs w:val="22"/>
        </w:rPr>
        <w:t xml:space="preserve"> </w:t>
      </w:r>
    </w:p>
    <w:p w:rsidR="00D90EF6" w:rsidRPr="005B27A1" w:rsidP="008F570D" w14:paraId="713A63A6" w14:textId="77777777">
      <w:pPr>
        <w:rPr>
          <w:rFonts w:asciiTheme="minorHAnsi" w:hAnsiTheme="minorHAnsi" w:cstheme="minorHAnsi"/>
          <w:sz w:val="22"/>
          <w:szCs w:val="22"/>
        </w:rPr>
      </w:pPr>
    </w:p>
    <w:p w:rsidR="004222F8" w:rsidRPr="002F65C2" w:rsidP="008F570D" w14:paraId="5BB4F440"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A10. Privacy of Respondents</w:t>
      </w:r>
    </w:p>
    <w:p w:rsidR="00436F5E" w:rsidRPr="002F65C2" w:rsidP="008F570D" w14:paraId="0442A162" w14:textId="247E4E92">
      <w:pPr>
        <w:rPr>
          <w:rFonts w:asciiTheme="minorHAnsi" w:hAnsiTheme="minorHAnsi" w:cstheme="minorHAnsi"/>
          <w:sz w:val="22"/>
          <w:szCs w:val="22"/>
        </w:rPr>
      </w:pPr>
      <w:r w:rsidRPr="0E76D161">
        <w:rPr>
          <w:rFonts w:asciiTheme="minorHAnsi" w:hAnsiTheme="minorHAnsi" w:cstheme="minorBidi"/>
          <w:sz w:val="22"/>
          <w:szCs w:val="22"/>
        </w:rPr>
        <w:t>Information collected will be kept private to the extent permitted by law. Respondents will be informed of all planned uses of data, that their participation is voluntary, that their information will be kept private to the extent permitted by law</w:t>
      </w:r>
      <w:r w:rsidR="005375A6">
        <w:rPr>
          <w:rFonts w:asciiTheme="minorHAnsi" w:hAnsiTheme="minorHAnsi" w:cstheme="minorBidi"/>
          <w:sz w:val="22"/>
          <w:szCs w:val="22"/>
        </w:rPr>
        <w:t xml:space="preserve">, and that any feedback they provide will not </w:t>
      </w:r>
      <w:bookmarkStart w:id="1" w:name="_Hlk172727027"/>
      <w:r w:rsidR="005375A6">
        <w:rPr>
          <w:rFonts w:asciiTheme="minorHAnsi" w:hAnsiTheme="minorHAnsi" w:cstheme="minorBidi"/>
          <w:sz w:val="22"/>
          <w:szCs w:val="22"/>
        </w:rPr>
        <w:t xml:space="preserve">affect or influence the funding their organizations receive in any way. </w:t>
      </w:r>
      <w:bookmarkEnd w:id="1"/>
      <w:r w:rsidR="005375A6">
        <w:rPr>
          <w:rFonts w:asciiTheme="minorHAnsi" w:hAnsiTheme="minorHAnsi" w:cstheme="minorBidi"/>
          <w:sz w:val="22"/>
          <w:szCs w:val="22"/>
        </w:rPr>
        <w:br/>
      </w:r>
    </w:p>
    <w:p w:rsidR="00945CD6" w:rsidRPr="002F65C2" w:rsidP="008F570D" w14:paraId="0B35E015" w14:textId="77777777">
      <w:pPr>
        <w:spacing w:after="120"/>
        <w:rPr>
          <w:rFonts w:asciiTheme="minorHAnsi" w:hAnsiTheme="minorHAnsi" w:cstheme="minorHAnsi"/>
          <w:b/>
          <w:sz w:val="22"/>
          <w:szCs w:val="22"/>
        </w:rPr>
      </w:pPr>
      <w:r w:rsidRPr="0E76D161">
        <w:rPr>
          <w:rFonts w:asciiTheme="minorHAnsi" w:hAnsiTheme="minorHAnsi" w:cstheme="minorBidi"/>
          <w:b/>
          <w:bCs/>
          <w:sz w:val="22"/>
          <w:szCs w:val="22"/>
        </w:rPr>
        <w:t xml:space="preserve">A11. </w:t>
      </w:r>
      <w:r w:rsidRPr="0E76D161">
        <w:rPr>
          <w:rFonts w:asciiTheme="minorHAnsi" w:hAnsiTheme="minorHAnsi" w:cstheme="minorBidi"/>
          <w:b/>
          <w:bCs/>
          <w:sz w:val="22"/>
          <w:szCs w:val="22"/>
        </w:rPr>
        <w:t>Sensitive Questions</w:t>
      </w:r>
    </w:p>
    <w:p w:rsidR="2BDCBE87" w:rsidRPr="005943A0" w:rsidP="0E76D161" w14:paraId="4A177CFF" w14:textId="2B70601A">
      <w:pPr>
        <w:rPr>
          <w:rFonts w:asciiTheme="minorHAnsi" w:hAnsiTheme="minorHAnsi" w:cstheme="minorBidi"/>
          <w:sz w:val="22"/>
          <w:szCs w:val="22"/>
        </w:rPr>
      </w:pPr>
      <w:r w:rsidRPr="005943A0">
        <w:rPr>
          <w:rFonts w:asciiTheme="minorHAnsi" w:hAnsiTheme="minorHAnsi" w:cstheme="minorBidi"/>
          <w:sz w:val="22"/>
          <w:szCs w:val="22"/>
        </w:rPr>
        <w:t>The proposed information collection does not request any sensitive information.</w:t>
      </w:r>
      <w:r w:rsidRPr="0016525B">
        <w:rPr>
          <w:rFonts w:asciiTheme="minorHAnsi" w:hAnsiTheme="minorHAnsi" w:cstheme="minorBidi"/>
          <w:sz w:val="22"/>
          <w:szCs w:val="22"/>
        </w:rPr>
        <w:t xml:space="preserve">  </w:t>
      </w:r>
    </w:p>
    <w:p w:rsidR="005046F0" w:rsidRPr="002F65C2" w:rsidP="008F570D" w14:paraId="45C63BFE" w14:textId="77777777">
      <w:pPr>
        <w:ind w:left="360"/>
        <w:rPr>
          <w:rFonts w:asciiTheme="minorHAnsi" w:hAnsiTheme="minorHAnsi" w:cstheme="minorHAnsi"/>
          <w:sz w:val="22"/>
          <w:szCs w:val="22"/>
        </w:rPr>
      </w:pPr>
    </w:p>
    <w:p w:rsidR="001B5DC7" w:rsidP="00542413" w14:paraId="4BCEDC66" w14:textId="77777777">
      <w:pPr>
        <w:spacing w:after="120"/>
        <w:rPr>
          <w:rFonts w:asciiTheme="minorHAnsi" w:hAnsiTheme="minorHAnsi" w:cstheme="minorHAnsi"/>
          <w:b/>
          <w:sz w:val="22"/>
          <w:szCs w:val="22"/>
        </w:rPr>
      </w:pPr>
    </w:p>
    <w:p w:rsidR="001B5DC7" w:rsidP="00542413" w14:paraId="060A792F" w14:textId="77777777">
      <w:pPr>
        <w:spacing w:after="120"/>
        <w:rPr>
          <w:rFonts w:asciiTheme="minorHAnsi" w:hAnsiTheme="minorHAnsi" w:cstheme="minorHAnsi"/>
          <w:b/>
          <w:sz w:val="22"/>
          <w:szCs w:val="22"/>
        </w:rPr>
      </w:pPr>
    </w:p>
    <w:p w:rsidR="00542413" w:rsidRPr="002F65C2" w:rsidP="00542413" w14:paraId="3ABF848D" w14:textId="59EA2140">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A12. </w:t>
      </w:r>
      <w:r w:rsidRPr="002F65C2" w:rsidR="00945CD6">
        <w:rPr>
          <w:rFonts w:asciiTheme="minorHAnsi" w:hAnsiTheme="minorHAnsi" w:cstheme="minorHAnsi"/>
          <w:b/>
          <w:sz w:val="22"/>
          <w:szCs w:val="22"/>
        </w:rPr>
        <w:t>Estimation of Information Collection Burden</w:t>
      </w:r>
    </w:p>
    <w:p w:rsidR="00542413" w:rsidRPr="00BE0253" w:rsidP="0E76D161" w14:paraId="3786490C" w14:textId="2AA637D8">
      <w:pPr>
        <w:spacing w:after="60"/>
        <w:rPr>
          <w:rFonts w:asciiTheme="minorHAnsi" w:hAnsiTheme="minorHAnsi" w:cstheme="minorBidi"/>
          <w:b/>
          <w:bCs/>
          <w:i/>
          <w:iCs/>
          <w:sz w:val="22"/>
          <w:szCs w:val="22"/>
        </w:rPr>
      </w:pPr>
      <w:r w:rsidRPr="00BE0253">
        <w:rPr>
          <w:rFonts w:asciiTheme="minorHAnsi" w:hAnsiTheme="minorHAnsi" w:cstheme="minorBidi"/>
          <w:b/>
          <w:bCs/>
          <w:i/>
          <w:iCs/>
          <w:sz w:val="22"/>
          <w:szCs w:val="22"/>
        </w:rPr>
        <w:t>Burden Estimates</w:t>
      </w:r>
    </w:p>
    <w:p w:rsidR="00542413" w:rsidRPr="00184811" w:rsidP="008F570D" w14:paraId="45B923F3" w14:textId="32BA6C43">
      <w:pPr>
        <w:rPr>
          <w:rFonts w:asciiTheme="minorHAnsi" w:hAnsiTheme="minorHAnsi" w:cstheme="minorHAnsi"/>
          <w:sz w:val="22"/>
          <w:szCs w:val="22"/>
        </w:rPr>
      </w:pPr>
      <w:r>
        <w:rPr>
          <w:rFonts w:asciiTheme="minorHAnsi" w:hAnsiTheme="minorHAnsi" w:cstheme="minorHAnsi"/>
          <w:sz w:val="22"/>
          <w:szCs w:val="22"/>
        </w:rPr>
        <w:t xml:space="preserve">The study team </w:t>
      </w:r>
      <w:r w:rsidR="00FC23A2">
        <w:rPr>
          <w:rFonts w:asciiTheme="minorHAnsi" w:hAnsiTheme="minorHAnsi" w:cstheme="minorHAnsi"/>
          <w:sz w:val="22"/>
          <w:szCs w:val="22"/>
        </w:rPr>
        <w:t xml:space="preserve">plans </w:t>
      </w:r>
      <w:r>
        <w:rPr>
          <w:rFonts w:asciiTheme="minorHAnsi" w:hAnsiTheme="minorHAnsi" w:cstheme="minorHAnsi"/>
          <w:sz w:val="22"/>
          <w:szCs w:val="22"/>
        </w:rPr>
        <w:t xml:space="preserve">to conduct </w:t>
      </w:r>
      <w:r w:rsidR="00CF0132">
        <w:rPr>
          <w:rFonts w:asciiTheme="minorHAnsi" w:hAnsiTheme="minorHAnsi" w:cstheme="minorHAnsi"/>
          <w:sz w:val="22"/>
          <w:szCs w:val="22"/>
        </w:rPr>
        <w:t xml:space="preserve">individual or </w:t>
      </w:r>
      <w:r w:rsidR="007549B0">
        <w:rPr>
          <w:rFonts w:asciiTheme="minorHAnsi" w:hAnsiTheme="minorHAnsi" w:cstheme="minorHAnsi"/>
          <w:sz w:val="22"/>
          <w:szCs w:val="22"/>
        </w:rPr>
        <w:t>small group discussions</w:t>
      </w:r>
      <w:r>
        <w:rPr>
          <w:rFonts w:asciiTheme="minorHAnsi" w:hAnsiTheme="minorHAnsi" w:cstheme="minorHAnsi"/>
          <w:sz w:val="22"/>
          <w:szCs w:val="22"/>
        </w:rPr>
        <w:t xml:space="preserve"> with up to </w:t>
      </w:r>
      <w:r w:rsidR="00612597">
        <w:rPr>
          <w:rFonts w:asciiTheme="minorHAnsi" w:hAnsiTheme="minorHAnsi" w:cstheme="minorHAnsi"/>
          <w:sz w:val="22"/>
          <w:szCs w:val="22"/>
        </w:rPr>
        <w:t xml:space="preserve">36 </w:t>
      </w:r>
      <w:r>
        <w:rPr>
          <w:rFonts w:asciiTheme="minorHAnsi" w:hAnsiTheme="minorHAnsi" w:cstheme="minorHAnsi"/>
          <w:sz w:val="22"/>
          <w:szCs w:val="22"/>
        </w:rPr>
        <w:t>respondents</w:t>
      </w:r>
      <w:r w:rsidR="00FC4ABD">
        <w:rPr>
          <w:rFonts w:asciiTheme="minorHAnsi" w:hAnsiTheme="minorHAnsi" w:cstheme="minorHAnsi"/>
          <w:sz w:val="22"/>
          <w:szCs w:val="22"/>
        </w:rPr>
        <w:t>.</w:t>
      </w:r>
      <w:r w:rsidR="00612597">
        <w:rPr>
          <w:rFonts w:asciiTheme="minorHAnsi" w:hAnsiTheme="minorHAnsi" w:cstheme="minorHAnsi"/>
          <w:sz w:val="22"/>
          <w:szCs w:val="22"/>
        </w:rPr>
        <w:t xml:space="preserve"> </w:t>
      </w:r>
      <w:r>
        <w:rPr>
          <w:rFonts w:asciiTheme="minorHAnsi" w:hAnsiTheme="minorHAnsi" w:cstheme="minorHAnsi"/>
          <w:sz w:val="22"/>
          <w:szCs w:val="22"/>
        </w:rPr>
        <w:t>Respondents</w:t>
      </w:r>
      <w:r w:rsidR="008D77CC">
        <w:rPr>
          <w:rFonts w:asciiTheme="minorHAnsi" w:hAnsiTheme="minorHAnsi" w:cstheme="minorHAnsi"/>
          <w:sz w:val="22"/>
          <w:szCs w:val="22"/>
        </w:rPr>
        <w:t xml:space="preserve"> </w:t>
      </w:r>
      <w:r>
        <w:rPr>
          <w:rFonts w:asciiTheme="minorHAnsi" w:hAnsiTheme="minorHAnsi" w:cstheme="minorHAnsi"/>
          <w:sz w:val="22"/>
          <w:szCs w:val="22"/>
        </w:rPr>
        <w:t xml:space="preserve">could </w:t>
      </w:r>
      <w:r w:rsidR="008D77CC">
        <w:rPr>
          <w:rFonts w:asciiTheme="minorHAnsi" w:hAnsiTheme="minorHAnsi" w:cstheme="minorHAnsi"/>
          <w:sz w:val="22"/>
          <w:szCs w:val="22"/>
        </w:rPr>
        <w:t xml:space="preserve">include </w:t>
      </w:r>
      <w:r w:rsidR="008F0740">
        <w:rPr>
          <w:rFonts w:asciiTheme="minorHAnsi" w:hAnsiTheme="minorHAnsi" w:cstheme="minorHAnsi"/>
          <w:sz w:val="22"/>
          <w:szCs w:val="22"/>
        </w:rPr>
        <w:t xml:space="preserve">staff from </w:t>
      </w:r>
      <w:r w:rsidR="008D77CC">
        <w:rPr>
          <w:rFonts w:asciiTheme="minorHAnsi" w:hAnsiTheme="minorHAnsi" w:cstheme="minorHAnsi"/>
          <w:sz w:val="22"/>
          <w:szCs w:val="22"/>
        </w:rPr>
        <w:t xml:space="preserve">state </w:t>
      </w:r>
      <w:r w:rsidR="00227667">
        <w:rPr>
          <w:rFonts w:asciiTheme="minorHAnsi" w:hAnsiTheme="minorHAnsi" w:cstheme="minorHAnsi"/>
          <w:sz w:val="22"/>
          <w:szCs w:val="22"/>
        </w:rPr>
        <w:t xml:space="preserve">or tribal </w:t>
      </w:r>
      <w:r w:rsidR="008D77CC">
        <w:rPr>
          <w:rFonts w:asciiTheme="minorHAnsi" w:hAnsiTheme="minorHAnsi" w:cstheme="minorHAnsi"/>
          <w:sz w:val="22"/>
          <w:szCs w:val="22"/>
        </w:rPr>
        <w:t xml:space="preserve">administrators, </w:t>
      </w:r>
      <w:r w:rsidRPr="00CA3AA6" w:rsidR="00CA3AA6">
        <w:rPr>
          <w:rFonts w:asciiTheme="minorHAnsi" w:hAnsiTheme="minorHAnsi" w:cstheme="minorHAnsi"/>
          <w:sz w:val="22"/>
          <w:szCs w:val="22"/>
        </w:rPr>
        <w:t xml:space="preserve">state and regional </w:t>
      </w:r>
      <w:r w:rsidR="008F0740">
        <w:rPr>
          <w:rFonts w:asciiTheme="minorHAnsi" w:hAnsiTheme="minorHAnsi" w:cstheme="minorHAnsi"/>
          <w:sz w:val="22"/>
          <w:szCs w:val="22"/>
        </w:rPr>
        <w:t>technical assistance providers</w:t>
      </w:r>
      <w:r w:rsidR="00CA3AA6">
        <w:rPr>
          <w:rFonts w:asciiTheme="minorHAnsi" w:hAnsiTheme="minorHAnsi" w:cstheme="minorHAnsi"/>
          <w:sz w:val="22"/>
          <w:szCs w:val="22"/>
        </w:rPr>
        <w:t xml:space="preserve">, </w:t>
      </w:r>
      <w:r w:rsidR="008D77CC">
        <w:rPr>
          <w:rFonts w:asciiTheme="minorHAnsi" w:hAnsiTheme="minorHAnsi" w:cstheme="minorHAnsi"/>
          <w:sz w:val="22"/>
          <w:szCs w:val="22"/>
        </w:rPr>
        <w:t>eligible entity representatives (such as staff</w:t>
      </w:r>
      <w:r w:rsidR="00CA3AA6">
        <w:rPr>
          <w:rFonts w:asciiTheme="minorHAnsi" w:hAnsiTheme="minorHAnsi" w:cstheme="minorHAnsi"/>
          <w:sz w:val="22"/>
          <w:szCs w:val="22"/>
        </w:rPr>
        <w:t xml:space="preserve"> and </w:t>
      </w:r>
      <w:r w:rsidR="00207D92">
        <w:rPr>
          <w:rFonts w:asciiTheme="minorHAnsi" w:hAnsiTheme="minorHAnsi" w:cstheme="minorHAnsi"/>
          <w:sz w:val="22"/>
          <w:szCs w:val="22"/>
        </w:rPr>
        <w:t>tripartite board members</w:t>
      </w:r>
      <w:r w:rsidR="008D77CC">
        <w:rPr>
          <w:rFonts w:asciiTheme="minorHAnsi" w:hAnsiTheme="minorHAnsi" w:cstheme="minorHAnsi"/>
          <w:sz w:val="22"/>
          <w:szCs w:val="22"/>
        </w:rPr>
        <w:t>)</w:t>
      </w:r>
      <w:r w:rsidR="00FC4ABD">
        <w:rPr>
          <w:rFonts w:asciiTheme="minorHAnsi" w:hAnsiTheme="minorHAnsi" w:cstheme="minorHAnsi"/>
          <w:sz w:val="22"/>
          <w:szCs w:val="22"/>
        </w:rPr>
        <w:t>, and national organizations</w:t>
      </w:r>
      <w:r w:rsidR="008D77CC">
        <w:rPr>
          <w:rFonts w:asciiTheme="minorHAnsi" w:hAnsiTheme="minorHAnsi" w:cstheme="minorHAnsi"/>
          <w:sz w:val="22"/>
          <w:szCs w:val="22"/>
        </w:rPr>
        <w:t xml:space="preserve">. </w:t>
      </w:r>
      <w:r w:rsidR="00A560CD">
        <w:rPr>
          <w:rFonts w:asciiTheme="minorHAnsi" w:hAnsiTheme="minorHAnsi" w:cstheme="minorHAnsi"/>
          <w:sz w:val="22"/>
          <w:szCs w:val="22"/>
        </w:rPr>
        <w:t>The study team plans to speak to approximately 6 respondents from each group</w:t>
      </w:r>
      <w:r w:rsidR="00043DA8">
        <w:rPr>
          <w:rFonts w:asciiTheme="minorHAnsi" w:hAnsiTheme="minorHAnsi" w:cstheme="minorHAnsi"/>
          <w:sz w:val="22"/>
          <w:szCs w:val="22"/>
        </w:rPr>
        <w:t>.</w:t>
      </w:r>
      <w:r w:rsidR="008A016A">
        <w:rPr>
          <w:rFonts w:asciiTheme="minorHAnsi" w:hAnsiTheme="minorHAnsi" w:cstheme="minorHAnsi"/>
          <w:sz w:val="22"/>
          <w:szCs w:val="22"/>
        </w:rPr>
        <w:t xml:space="preserve"> </w:t>
      </w:r>
      <w:r w:rsidRPr="00592FAD" w:rsidR="00592FAD">
        <w:rPr>
          <w:rFonts w:asciiTheme="minorHAnsi" w:hAnsiTheme="minorHAnsi" w:cstheme="minorHAnsi"/>
          <w:sz w:val="22"/>
          <w:szCs w:val="22"/>
        </w:rPr>
        <w:t xml:space="preserve">To ensure a diversity of perspectives, respondents will vary in terms of geography </w:t>
      </w:r>
      <w:r w:rsidR="00592FAD">
        <w:rPr>
          <w:rFonts w:asciiTheme="minorHAnsi" w:hAnsiTheme="minorHAnsi" w:cstheme="minorHAnsi"/>
          <w:sz w:val="22"/>
          <w:szCs w:val="22"/>
        </w:rPr>
        <w:t>and primary service population</w:t>
      </w:r>
      <w:r w:rsidRPr="00592FAD" w:rsidR="00592FAD">
        <w:rPr>
          <w:rFonts w:asciiTheme="minorHAnsi" w:hAnsiTheme="minorHAnsi" w:cstheme="minorHAnsi"/>
          <w:sz w:val="22"/>
          <w:szCs w:val="22"/>
        </w:rPr>
        <w:t xml:space="preserve">. </w:t>
      </w:r>
      <w:r w:rsidR="008D77CC">
        <w:rPr>
          <w:rFonts w:asciiTheme="minorHAnsi" w:hAnsiTheme="minorHAnsi" w:cstheme="minorHAnsi"/>
          <w:sz w:val="22"/>
          <w:szCs w:val="22"/>
        </w:rPr>
        <w:t xml:space="preserve">Respondents will be asked to participate in one </w:t>
      </w:r>
      <w:r w:rsidR="00A560CD">
        <w:rPr>
          <w:rFonts w:asciiTheme="minorHAnsi" w:hAnsiTheme="minorHAnsi" w:cstheme="minorHAnsi"/>
          <w:sz w:val="22"/>
          <w:szCs w:val="22"/>
        </w:rPr>
        <w:t xml:space="preserve">individual or small </w:t>
      </w:r>
      <w:r w:rsidR="00EA5650">
        <w:rPr>
          <w:rFonts w:asciiTheme="minorHAnsi" w:hAnsiTheme="minorHAnsi" w:cstheme="minorHAnsi"/>
          <w:sz w:val="22"/>
          <w:szCs w:val="22"/>
        </w:rPr>
        <w:t xml:space="preserve">group </w:t>
      </w:r>
      <w:r w:rsidR="00A560CD">
        <w:rPr>
          <w:rFonts w:asciiTheme="minorHAnsi" w:hAnsiTheme="minorHAnsi" w:cstheme="minorHAnsi"/>
          <w:sz w:val="22"/>
          <w:szCs w:val="22"/>
        </w:rPr>
        <w:t xml:space="preserve">discussion </w:t>
      </w:r>
      <w:r w:rsidR="008D77CC">
        <w:rPr>
          <w:rFonts w:asciiTheme="minorHAnsi" w:hAnsiTheme="minorHAnsi" w:cstheme="minorHAnsi"/>
          <w:sz w:val="22"/>
          <w:szCs w:val="22"/>
        </w:rPr>
        <w:t xml:space="preserve">that is estimated to take approximately 90 minutes to complete. </w:t>
      </w:r>
    </w:p>
    <w:p w:rsidR="00542413" w:rsidRPr="002F65C2" w:rsidP="008F570D" w14:paraId="53AD5D50" w14:textId="77777777">
      <w:pPr>
        <w:rPr>
          <w:rFonts w:asciiTheme="minorHAnsi" w:hAnsiTheme="minorHAnsi" w:cstheme="minorHAnsi"/>
          <w:b/>
          <w:bCs/>
          <w:i/>
          <w:iCs/>
          <w:sz w:val="22"/>
          <w:szCs w:val="22"/>
        </w:rPr>
      </w:pPr>
    </w:p>
    <w:p w:rsidR="00542413" w:rsidRPr="002F65C2" w:rsidP="00542413" w14:paraId="6CBE253C" w14:textId="16147A58">
      <w:pPr>
        <w:spacing w:after="60"/>
        <w:rPr>
          <w:rFonts w:asciiTheme="minorHAnsi" w:hAnsiTheme="minorHAnsi" w:cstheme="minorHAnsi"/>
          <w:b/>
          <w:i/>
          <w:sz w:val="22"/>
          <w:szCs w:val="22"/>
        </w:rPr>
      </w:pPr>
      <w:r w:rsidRPr="002F65C2">
        <w:rPr>
          <w:rFonts w:asciiTheme="minorHAnsi" w:hAnsiTheme="minorHAnsi" w:cstheme="minorHAnsi"/>
          <w:b/>
          <w:i/>
          <w:sz w:val="22"/>
          <w:szCs w:val="22"/>
        </w:rPr>
        <w:t>Cost Estimates</w:t>
      </w:r>
    </w:p>
    <w:p w:rsidR="0033072C" w:rsidRPr="002F65C2" w:rsidP="0033072C" w14:paraId="59A18AED" w14:textId="472C03FC">
      <w:pPr>
        <w:rPr>
          <w:rFonts w:asciiTheme="minorHAnsi" w:hAnsiTheme="minorHAnsi" w:cstheme="minorHAnsi"/>
          <w:sz w:val="22"/>
          <w:szCs w:val="22"/>
        </w:rPr>
      </w:pPr>
      <w:r>
        <w:rPr>
          <w:rFonts w:asciiTheme="minorHAnsi" w:hAnsiTheme="minorHAnsi" w:cstheme="minorHAnsi"/>
          <w:sz w:val="22"/>
          <w:szCs w:val="22"/>
        </w:rPr>
        <w:t xml:space="preserve">The estimated annual cost for respondents is shown in the table below. </w:t>
      </w:r>
      <w:r w:rsidRPr="002F65C2">
        <w:rPr>
          <w:rFonts w:asciiTheme="minorHAnsi" w:hAnsiTheme="minorHAnsi" w:cstheme="minorHAnsi"/>
          <w:sz w:val="22"/>
          <w:szCs w:val="22"/>
        </w:rPr>
        <w:t xml:space="preserve">The cost to respondents was calculated using the Bureau of Labor Statistics (BLS) job code for </w:t>
      </w:r>
      <w:r>
        <w:rPr>
          <w:rFonts w:asciiTheme="minorHAnsi" w:hAnsiTheme="minorHAnsi" w:cstheme="minorHAnsi"/>
          <w:sz w:val="22"/>
          <w:szCs w:val="22"/>
        </w:rPr>
        <w:t>Social and Community Service Managers</w:t>
      </w:r>
      <w:r w:rsidRPr="002F65C2">
        <w:rPr>
          <w:rFonts w:asciiTheme="minorHAnsi" w:hAnsiTheme="minorHAnsi" w:cstheme="minorHAnsi"/>
          <w:sz w:val="22"/>
          <w:szCs w:val="22"/>
        </w:rPr>
        <w:t xml:space="preserve"> [</w:t>
      </w:r>
      <w:r w:rsidR="002D2E4B">
        <w:rPr>
          <w:rFonts w:asciiTheme="minorHAnsi" w:hAnsiTheme="minorHAnsi" w:cstheme="minorHAnsi"/>
          <w:sz w:val="22"/>
          <w:szCs w:val="22"/>
        </w:rPr>
        <w:t>11-9151</w:t>
      </w:r>
      <w:r w:rsidRPr="002F65C2">
        <w:rPr>
          <w:rFonts w:asciiTheme="minorHAnsi" w:hAnsiTheme="minorHAnsi" w:cstheme="minorHAnsi"/>
          <w:sz w:val="22"/>
          <w:szCs w:val="22"/>
        </w:rPr>
        <w:t xml:space="preserve">] and </w:t>
      </w:r>
      <w:hyperlink r:id="rId10" w:history="1">
        <w:r w:rsidRPr="00C519C8">
          <w:rPr>
            <w:rStyle w:val="Hyperlink"/>
            <w:rFonts w:asciiTheme="minorHAnsi" w:hAnsiTheme="minorHAnsi" w:cstheme="minorHAnsi"/>
            <w:sz w:val="22"/>
            <w:szCs w:val="22"/>
          </w:rPr>
          <w:t>wage data</w:t>
        </w:r>
      </w:hyperlink>
      <w:r w:rsidRPr="002F65C2">
        <w:rPr>
          <w:rFonts w:asciiTheme="minorHAnsi" w:hAnsiTheme="minorHAnsi" w:cstheme="minorHAnsi"/>
          <w:sz w:val="22"/>
          <w:szCs w:val="22"/>
        </w:rPr>
        <w:t xml:space="preserve"> from May 202</w:t>
      </w:r>
      <w:r w:rsidR="002D2E4B">
        <w:rPr>
          <w:rFonts w:asciiTheme="minorHAnsi" w:hAnsiTheme="minorHAnsi" w:cstheme="minorHAnsi"/>
          <w:sz w:val="22"/>
          <w:szCs w:val="22"/>
        </w:rPr>
        <w:t>3</w:t>
      </w:r>
      <w:r w:rsidRPr="002F65C2">
        <w:rPr>
          <w:rFonts w:asciiTheme="minorHAnsi" w:hAnsiTheme="minorHAnsi" w:cstheme="minorHAnsi"/>
          <w:sz w:val="22"/>
          <w:szCs w:val="22"/>
        </w:rPr>
        <w:t>, which is $</w:t>
      </w:r>
      <w:r w:rsidR="002D2E4B">
        <w:rPr>
          <w:rFonts w:asciiTheme="minorHAnsi" w:hAnsiTheme="minorHAnsi" w:cstheme="minorHAnsi"/>
          <w:sz w:val="22"/>
          <w:szCs w:val="22"/>
        </w:rPr>
        <w:t>40.10</w:t>
      </w:r>
      <w:r w:rsidRPr="002F65C2">
        <w:rPr>
          <w:rFonts w:asciiTheme="minorHAnsi" w:hAnsiTheme="minorHAnsi" w:cstheme="minorHAnsi"/>
          <w:sz w:val="22"/>
          <w:szCs w:val="22"/>
        </w:rPr>
        <w:t xml:space="preserve"> per hour. To account for fringe benefits and overhead the rate was multiplied by two which is $</w:t>
      </w:r>
      <w:r w:rsidR="006E32B1">
        <w:rPr>
          <w:rFonts w:asciiTheme="minorHAnsi" w:hAnsiTheme="minorHAnsi" w:cstheme="minorHAnsi"/>
          <w:sz w:val="22"/>
          <w:szCs w:val="22"/>
        </w:rPr>
        <w:t>80.20</w:t>
      </w:r>
      <w:r w:rsidRPr="002F65C2">
        <w:rPr>
          <w:rFonts w:asciiTheme="minorHAnsi" w:hAnsiTheme="minorHAnsi" w:cstheme="minorHAnsi"/>
          <w:sz w:val="22"/>
          <w:szCs w:val="22"/>
        </w:rPr>
        <w:t xml:space="preserve">.  </w:t>
      </w:r>
    </w:p>
    <w:p w:rsidR="0033072C" w:rsidRPr="00F9048F" w:rsidP="002D2D86" w14:paraId="255B87E2" w14:textId="34D27B2A">
      <w:hyperlink r:id="rId10" w:history="1">
        <w:r w:rsidRPr="00AB18A9" w:rsidR="002D2D86">
          <w:rPr>
            <w:rStyle w:val="Hyperlink"/>
            <w:rFonts w:asciiTheme="minorHAnsi" w:hAnsiTheme="minorHAnsi" w:cstheme="minorHAnsi"/>
            <w:sz w:val="22"/>
            <w:szCs w:val="22"/>
          </w:rPr>
          <w:t>https://www.bls.gov/oes/current/oes_stru.htm</w:t>
        </w:r>
      </w:hyperlink>
      <w:r w:rsidRPr="002F65C2">
        <w:rPr>
          <w:sz w:val="22"/>
          <w:szCs w:val="22"/>
        </w:rPr>
        <w:t xml:space="preserve"> </w:t>
      </w:r>
    </w:p>
    <w:p w:rsidR="00542413" w:rsidRPr="00F9048F"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3"/>
        <w:gridCol w:w="1273"/>
        <w:gridCol w:w="1195"/>
        <w:gridCol w:w="996"/>
        <w:gridCol w:w="1353"/>
        <w:gridCol w:w="882"/>
        <w:gridCol w:w="1227"/>
      </w:tblGrid>
      <w:tr w14:paraId="3DDE53E5" w14:textId="77777777" w:rsidTr="005375A6">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33" w:type="dxa"/>
            <w:shd w:val="clear" w:color="auto" w:fill="BFBFBF"/>
            <w:vAlign w:val="center"/>
          </w:tcPr>
          <w:p w:rsidR="00542413" w:rsidRPr="002F65C2" w:rsidP="008F570D" w14:paraId="2381BB0C" w14:textId="77777777">
            <w:pPr>
              <w:jc w:val="center"/>
              <w:rPr>
                <w:rFonts w:asciiTheme="minorHAnsi" w:hAnsiTheme="minorHAnsi" w:cstheme="minorHAnsi"/>
                <w:sz w:val="20"/>
                <w:szCs w:val="20"/>
              </w:rPr>
            </w:pPr>
            <w:r w:rsidRPr="002F65C2">
              <w:rPr>
                <w:rFonts w:asciiTheme="minorHAnsi" w:hAnsiTheme="minorHAnsi" w:cstheme="minorHAnsi"/>
                <w:sz w:val="20"/>
                <w:szCs w:val="20"/>
              </w:rPr>
              <w:t>Instrument</w:t>
            </w:r>
          </w:p>
        </w:tc>
        <w:tc>
          <w:tcPr>
            <w:tcW w:w="1273" w:type="dxa"/>
            <w:shd w:val="clear" w:color="auto" w:fill="BFBFBF"/>
            <w:vAlign w:val="center"/>
          </w:tcPr>
          <w:p w:rsidR="00542413" w:rsidRPr="002F65C2" w:rsidP="008F570D" w14:paraId="42F19101" w14:textId="77777777">
            <w:pPr>
              <w:jc w:val="center"/>
              <w:rPr>
                <w:rFonts w:asciiTheme="minorHAnsi" w:hAnsiTheme="minorHAnsi" w:cstheme="minorHAnsi"/>
                <w:sz w:val="20"/>
                <w:szCs w:val="20"/>
              </w:rPr>
            </w:pPr>
            <w:r w:rsidRPr="002F65C2">
              <w:rPr>
                <w:rFonts w:asciiTheme="minorHAnsi" w:hAnsiTheme="minorHAnsi" w:cstheme="minorHAnsi"/>
                <w:sz w:val="20"/>
                <w:szCs w:val="20"/>
              </w:rPr>
              <w:t>Total Number of Respondents</w:t>
            </w:r>
          </w:p>
        </w:tc>
        <w:tc>
          <w:tcPr>
            <w:tcW w:w="1195" w:type="dxa"/>
            <w:shd w:val="clear" w:color="auto" w:fill="BFBFBF"/>
            <w:vAlign w:val="center"/>
          </w:tcPr>
          <w:p w:rsidR="00542413" w:rsidRPr="002F65C2" w:rsidP="008F570D" w14:paraId="714F2F09" w14:textId="4691739D">
            <w:pPr>
              <w:jc w:val="center"/>
              <w:rPr>
                <w:rFonts w:asciiTheme="minorHAnsi" w:hAnsiTheme="minorHAnsi" w:cstheme="minorHAnsi"/>
                <w:sz w:val="20"/>
                <w:szCs w:val="20"/>
              </w:rPr>
            </w:pPr>
            <w:r w:rsidRPr="002F65C2">
              <w:rPr>
                <w:rFonts w:asciiTheme="minorHAnsi" w:hAnsiTheme="minorHAnsi" w:cstheme="minorHAnsi"/>
                <w:sz w:val="20"/>
                <w:szCs w:val="20"/>
              </w:rPr>
              <w:t>Total Number of Responses Per Respondent</w:t>
            </w:r>
          </w:p>
        </w:tc>
        <w:tc>
          <w:tcPr>
            <w:tcW w:w="996" w:type="dxa"/>
            <w:shd w:val="clear" w:color="auto" w:fill="BFBFBF"/>
            <w:vAlign w:val="center"/>
          </w:tcPr>
          <w:p w:rsidR="00542413" w:rsidRPr="002F65C2" w:rsidP="008F570D" w14:paraId="05CC723F" w14:textId="77777777">
            <w:pPr>
              <w:jc w:val="center"/>
              <w:rPr>
                <w:rFonts w:asciiTheme="minorHAnsi" w:hAnsiTheme="minorHAnsi" w:cstheme="minorHAnsi"/>
                <w:sz w:val="20"/>
                <w:szCs w:val="20"/>
              </w:rPr>
            </w:pPr>
            <w:r w:rsidRPr="002F65C2">
              <w:rPr>
                <w:rFonts w:asciiTheme="minorHAnsi" w:hAnsiTheme="minorHAnsi" w:cstheme="minorHAnsi"/>
                <w:sz w:val="20"/>
                <w:szCs w:val="20"/>
              </w:rPr>
              <w:t>Average Burden Hours Per Response</w:t>
            </w:r>
          </w:p>
        </w:tc>
        <w:tc>
          <w:tcPr>
            <w:tcW w:w="1353" w:type="dxa"/>
            <w:shd w:val="clear" w:color="auto" w:fill="BFBFBF"/>
            <w:vAlign w:val="center"/>
          </w:tcPr>
          <w:p w:rsidR="00542413" w:rsidRPr="002F65C2" w:rsidP="00542413" w14:paraId="110C4AE5" w14:textId="77777777">
            <w:pPr>
              <w:jc w:val="center"/>
              <w:rPr>
                <w:rFonts w:asciiTheme="minorHAnsi" w:hAnsiTheme="minorHAnsi" w:cstheme="minorHAnsi"/>
                <w:bCs/>
                <w:sz w:val="20"/>
                <w:szCs w:val="20"/>
              </w:rPr>
            </w:pPr>
            <w:r w:rsidRPr="002F65C2">
              <w:rPr>
                <w:rFonts w:asciiTheme="minorHAnsi" w:hAnsiTheme="minorHAnsi" w:cstheme="minorHAnsi"/>
                <w:bCs/>
                <w:sz w:val="20"/>
                <w:szCs w:val="20"/>
              </w:rPr>
              <w:t>Total</w:t>
            </w:r>
          </w:p>
          <w:p w:rsidR="00542413" w:rsidRPr="002F65C2" w:rsidP="00542413" w14:paraId="1F591B58" w14:textId="47332B2D">
            <w:pPr>
              <w:jc w:val="center"/>
              <w:rPr>
                <w:rFonts w:asciiTheme="minorHAnsi" w:hAnsiTheme="minorHAnsi" w:cstheme="minorHAnsi"/>
                <w:bCs/>
                <w:sz w:val="20"/>
                <w:szCs w:val="20"/>
              </w:rPr>
            </w:pPr>
            <w:r w:rsidRPr="002F65C2">
              <w:rPr>
                <w:rFonts w:asciiTheme="minorHAnsi" w:hAnsiTheme="minorHAnsi" w:cstheme="minorHAnsi"/>
                <w:bCs/>
                <w:sz w:val="20"/>
                <w:szCs w:val="20"/>
              </w:rPr>
              <w:t>Burden Hours</w:t>
            </w:r>
          </w:p>
        </w:tc>
        <w:tc>
          <w:tcPr>
            <w:tcW w:w="882" w:type="dxa"/>
            <w:shd w:val="clear" w:color="auto" w:fill="BFBFBF"/>
            <w:vAlign w:val="center"/>
          </w:tcPr>
          <w:p w:rsidR="00542413" w:rsidRPr="002F65C2" w:rsidP="008F570D" w14:paraId="45DFE675" w14:textId="77777777">
            <w:pPr>
              <w:jc w:val="center"/>
              <w:rPr>
                <w:rFonts w:asciiTheme="minorHAnsi" w:hAnsiTheme="minorHAnsi" w:cstheme="minorHAnsi"/>
                <w:sz w:val="20"/>
                <w:szCs w:val="20"/>
              </w:rPr>
            </w:pPr>
            <w:r w:rsidRPr="002F65C2">
              <w:rPr>
                <w:rFonts w:asciiTheme="minorHAnsi" w:hAnsiTheme="minorHAnsi" w:cstheme="minorHAnsi"/>
                <w:bCs/>
                <w:sz w:val="20"/>
                <w:szCs w:val="20"/>
              </w:rPr>
              <w:t>Average Hourly Wage</w:t>
            </w:r>
          </w:p>
        </w:tc>
        <w:tc>
          <w:tcPr>
            <w:tcW w:w="1227" w:type="dxa"/>
            <w:shd w:val="clear" w:color="auto" w:fill="BFBFBF"/>
            <w:vAlign w:val="center"/>
          </w:tcPr>
          <w:p w:rsidR="00542413" w:rsidRPr="002F65C2" w:rsidP="008F570D" w14:paraId="39990194" w14:textId="77777777">
            <w:pPr>
              <w:jc w:val="center"/>
              <w:rPr>
                <w:rFonts w:asciiTheme="minorHAnsi" w:hAnsiTheme="minorHAnsi" w:cstheme="minorHAnsi"/>
                <w:sz w:val="20"/>
                <w:szCs w:val="20"/>
              </w:rPr>
            </w:pPr>
            <w:r w:rsidRPr="002F65C2">
              <w:rPr>
                <w:rFonts w:asciiTheme="minorHAnsi" w:hAnsiTheme="minorHAnsi" w:cstheme="minorHAnsi"/>
                <w:bCs/>
                <w:sz w:val="20"/>
                <w:szCs w:val="20"/>
              </w:rPr>
              <w:t>Total Annual Cost</w:t>
            </w:r>
          </w:p>
        </w:tc>
      </w:tr>
      <w:tr w14:paraId="7CE63E36" w14:textId="77777777" w:rsidTr="005375A6">
        <w:tblPrEx>
          <w:tblW w:w="8759" w:type="dxa"/>
          <w:jc w:val="center"/>
          <w:tblLook w:val="00A0"/>
        </w:tblPrEx>
        <w:trPr>
          <w:trHeight w:val="432"/>
          <w:jc w:val="center"/>
        </w:trPr>
        <w:tc>
          <w:tcPr>
            <w:tcW w:w="1833" w:type="dxa"/>
            <w:vAlign w:val="center"/>
          </w:tcPr>
          <w:p w:rsidR="00542413" w:rsidRPr="002F65C2" w:rsidP="008F570D" w14:paraId="15455CD3" w14:textId="7AB02BB6">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Instrument 1: </w:t>
            </w:r>
            <w:r w:rsidR="00F8132B">
              <w:rPr>
                <w:rFonts w:asciiTheme="minorHAnsi" w:hAnsiTheme="minorHAnsi" w:cstheme="minorHAnsi"/>
                <w:sz w:val="20"/>
                <w:szCs w:val="20"/>
              </w:rPr>
              <w:t xml:space="preserve">CSBG </w:t>
            </w:r>
            <w:r>
              <w:rPr>
                <w:rFonts w:asciiTheme="minorHAnsi" w:hAnsiTheme="minorHAnsi" w:cstheme="minorHAnsi"/>
                <w:sz w:val="20"/>
                <w:szCs w:val="20"/>
              </w:rPr>
              <w:t xml:space="preserve">Network Partner </w:t>
            </w:r>
            <w:r w:rsidR="00F8634B">
              <w:rPr>
                <w:rFonts w:asciiTheme="minorHAnsi" w:hAnsiTheme="minorHAnsi" w:cstheme="minorHAnsi"/>
                <w:sz w:val="20"/>
                <w:szCs w:val="20"/>
              </w:rPr>
              <w:t>Discussion</w:t>
            </w:r>
            <w:r w:rsidR="008C3303">
              <w:rPr>
                <w:rFonts w:asciiTheme="minorHAnsi" w:hAnsiTheme="minorHAnsi" w:cstheme="minorHAnsi"/>
                <w:sz w:val="20"/>
                <w:szCs w:val="20"/>
              </w:rPr>
              <w:t xml:space="preserve"> Protocol </w:t>
            </w:r>
          </w:p>
        </w:tc>
        <w:tc>
          <w:tcPr>
            <w:tcW w:w="1273" w:type="dxa"/>
            <w:shd w:val="clear" w:color="auto" w:fill="auto"/>
            <w:vAlign w:val="center"/>
          </w:tcPr>
          <w:p w:rsidR="00542413" w:rsidRPr="002F65C2" w:rsidP="00C519C8" w14:paraId="2106BBF5" w14:textId="697D6DAA">
            <w:pPr>
              <w:tabs>
                <w:tab w:val="center" w:pos="4320"/>
                <w:tab w:val="right" w:pos="8640"/>
              </w:tabs>
              <w:jc w:val="center"/>
              <w:rPr>
                <w:rFonts w:asciiTheme="minorHAnsi" w:hAnsiTheme="minorHAnsi" w:cstheme="minorHAnsi"/>
                <w:sz w:val="20"/>
                <w:szCs w:val="20"/>
                <w:highlight w:val="yellow"/>
              </w:rPr>
            </w:pPr>
            <w:r w:rsidRPr="005375A6">
              <w:rPr>
                <w:rFonts w:asciiTheme="minorHAnsi" w:hAnsiTheme="minorHAnsi" w:cstheme="minorHAnsi"/>
                <w:sz w:val="20"/>
                <w:szCs w:val="20"/>
              </w:rPr>
              <w:t>3</w:t>
            </w:r>
            <w:r w:rsidR="0020497E">
              <w:rPr>
                <w:rFonts w:asciiTheme="minorHAnsi" w:hAnsiTheme="minorHAnsi" w:cstheme="minorHAnsi"/>
                <w:sz w:val="20"/>
                <w:szCs w:val="20"/>
              </w:rPr>
              <w:t>6</w:t>
            </w:r>
          </w:p>
        </w:tc>
        <w:tc>
          <w:tcPr>
            <w:tcW w:w="1195" w:type="dxa"/>
            <w:vAlign w:val="center"/>
          </w:tcPr>
          <w:p w:rsidR="00542413" w:rsidRPr="002F65C2" w:rsidP="00C519C8" w14:paraId="402332F4" w14:textId="5D40AEF5">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6" w:type="dxa"/>
            <w:vAlign w:val="center"/>
          </w:tcPr>
          <w:p w:rsidR="00542413" w:rsidRPr="002F65C2" w:rsidP="00C519C8" w14:paraId="2166A45E" w14:textId="7F4FC8B1">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1.5</w:t>
            </w:r>
          </w:p>
        </w:tc>
        <w:tc>
          <w:tcPr>
            <w:tcW w:w="1353" w:type="dxa"/>
            <w:vAlign w:val="center"/>
          </w:tcPr>
          <w:p w:rsidR="00542413" w:rsidRPr="002F65C2" w:rsidP="00C519C8" w14:paraId="5A6C5F6C" w14:textId="0BE50D7E">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54</w:t>
            </w:r>
          </w:p>
        </w:tc>
        <w:tc>
          <w:tcPr>
            <w:tcW w:w="882" w:type="dxa"/>
            <w:vAlign w:val="center"/>
          </w:tcPr>
          <w:p w:rsidR="00542413" w:rsidRPr="002F65C2" w:rsidP="00C519C8" w14:paraId="4C12A145" w14:textId="79B304B3">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6E32B1">
              <w:rPr>
                <w:rFonts w:asciiTheme="minorHAnsi" w:hAnsiTheme="minorHAnsi" w:cstheme="minorHAnsi"/>
                <w:sz w:val="20"/>
                <w:szCs w:val="20"/>
              </w:rPr>
              <w:t>8</w:t>
            </w:r>
            <w:r>
              <w:rPr>
                <w:rFonts w:asciiTheme="minorHAnsi" w:hAnsiTheme="minorHAnsi" w:cstheme="minorHAnsi"/>
                <w:sz w:val="20"/>
                <w:szCs w:val="20"/>
              </w:rPr>
              <w:t>0.</w:t>
            </w:r>
            <w:r w:rsidR="006E32B1">
              <w:rPr>
                <w:rFonts w:asciiTheme="minorHAnsi" w:hAnsiTheme="minorHAnsi" w:cstheme="minorHAnsi"/>
                <w:sz w:val="20"/>
                <w:szCs w:val="20"/>
              </w:rPr>
              <w:t>2</w:t>
            </w:r>
            <w:r>
              <w:rPr>
                <w:rFonts w:asciiTheme="minorHAnsi" w:hAnsiTheme="minorHAnsi" w:cstheme="minorHAnsi"/>
                <w:sz w:val="20"/>
                <w:szCs w:val="20"/>
              </w:rPr>
              <w:t>0</w:t>
            </w:r>
          </w:p>
        </w:tc>
        <w:tc>
          <w:tcPr>
            <w:tcW w:w="1227" w:type="dxa"/>
            <w:vAlign w:val="center"/>
          </w:tcPr>
          <w:p w:rsidR="00542413" w:rsidRPr="002F65C2" w:rsidP="00C519C8" w14:paraId="01C1A511" w14:textId="7E1C563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3E0823">
              <w:rPr>
                <w:rFonts w:asciiTheme="minorHAnsi" w:hAnsiTheme="minorHAnsi" w:cstheme="minorHAnsi"/>
                <w:sz w:val="20"/>
                <w:szCs w:val="20"/>
              </w:rPr>
              <w:t>4,330</w:t>
            </w:r>
            <w:r>
              <w:rPr>
                <w:rFonts w:asciiTheme="minorHAnsi" w:hAnsiTheme="minorHAnsi" w:cstheme="minorHAnsi"/>
                <w:sz w:val="20"/>
                <w:szCs w:val="20"/>
              </w:rPr>
              <w:t>.</w:t>
            </w:r>
            <w:r w:rsidR="003E0823">
              <w:rPr>
                <w:rFonts w:asciiTheme="minorHAnsi" w:hAnsiTheme="minorHAnsi" w:cstheme="minorHAnsi"/>
                <w:sz w:val="20"/>
                <w:szCs w:val="20"/>
              </w:rPr>
              <w:t xml:space="preserve"> </w:t>
            </w:r>
            <w:r w:rsidR="003E0823">
              <w:rPr>
                <w:rFonts w:asciiTheme="minorHAnsi" w:hAnsiTheme="minorHAnsi" w:cstheme="minorHAnsi"/>
                <w:sz w:val="20"/>
                <w:szCs w:val="20"/>
              </w:rPr>
              <w:t>8</w:t>
            </w:r>
            <w:r>
              <w:rPr>
                <w:rFonts w:asciiTheme="minorHAnsi" w:hAnsiTheme="minorHAnsi" w:cstheme="minorHAnsi"/>
                <w:sz w:val="20"/>
                <w:szCs w:val="20"/>
              </w:rPr>
              <w:t>0</w:t>
            </w:r>
          </w:p>
        </w:tc>
      </w:tr>
    </w:tbl>
    <w:p w:rsidR="00436F5E" w:rsidRPr="002F65C2" w:rsidP="008F570D" w14:paraId="4FC5BEDE" w14:textId="77777777">
      <w:pPr>
        <w:rPr>
          <w:rFonts w:asciiTheme="minorHAnsi" w:hAnsiTheme="minorHAnsi" w:cstheme="minorHAnsi"/>
          <w:sz w:val="22"/>
          <w:szCs w:val="22"/>
        </w:rPr>
      </w:pPr>
    </w:p>
    <w:p w:rsidR="002338AC" w:rsidRPr="002F65C2" w:rsidP="008F570D" w14:paraId="3C895703" w14:textId="77777777">
      <w:pPr>
        <w:ind w:left="360"/>
        <w:rPr>
          <w:rFonts w:asciiTheme="minorHAnsi" w:hAnsiTheme="minorHAnsi" w:cstheme="minorHAnsi"/>
          <w:sz w:val="22"/>
          <w:szCs w:val="22"/>
        </w:rPr>
      </w:pPr>
    </w:p>
    <w:p w:rsidR="00945CD6" w:rsidRPr="00BE0253" w:rsidP="0E76D161" w14:paraId="7BDBE261" w14:textId="77777777">
      <w:pPr>
        <w:spacing w:after="120"/>
        <w:rPr>
          <w:rFonts w:asciiTheme="minorHAnsi" w:hAnsiTheme="minorHAnsi" w:cstheme="minorBidi"/>
          <w:b/>
          <w:bCs/>
          <w:sz w:val="22"/>
          <w:szCs w:val="22"/>
        </w:rPr>
      </w:pPr>
      <w:r w:rsidRPr="00BE0253">
        <w:rPr>
          <w:rFonts w:asciiTheme="minorHAnsi" w:hAnsiTheme="minorHAnsi" w:cstheme="minorBidi"/>
          <w:b/>
          <w:bCs/>
          <w:sz w:val="22"/>
          <w:szCs w:val="22"/>
        </w:rPr>
        <w:t xml:space="preserve">A13. </w:t>
      </w:r>
      <w:r w:rsidRPr="00BE0253">
        <w:rPr>
          <w:rFonts w:asciiTheme="minorHAnsi" w:hAnsiTheme="minorHAnsi" w:cstheme="minorBidi"/>
          <w:b/>
          <w:bCs/>
          <w:sz w:val="22"/>
          <w:szCs w:val="22"/>
        </w:rPr>
        <w:t>Cost Burden to Respondents or Record Keepers</w:t>
      </w:r>
    </w:p>
    <w:p w:rsidR="004643B2" w:rsidP="004643B2" w14:paraId="7F53FBC5" w14:textId="77777777">
      <w:pPr>
        <w:autoSpaceDE w:val="0"/>
        <w:autoSpaceDN w:val="0"/>
        <w:adjustRightInd w:val="0"/>
        <w:spacing w:after="120"/>
        <w:rPr>
          <w:rFonts w:eastAsiaTheme="minorEastAsia"/>
        </w:rPr>
      </w:pPr>
      <w:r w:rsidRPr="4EE302D0">
        <w:rPr>
          <w:rFonts w:asciiTheme="minorHAnsi" w:eastAsiaTheme="minorEastAsia" w:hAnsiTheme="minorHAnsi" w:cstheme="minorBidi"/>
          <w:sz w:val="22"/>
          <w:szCs w:val="22"/>
        </w:rPr>
        <w:t>Directly engaging the communities ACF serves and including these individuals in ACF research is in line with the following priorities of the current Administration and HHS:</w:t>
      </w:r>
    </w:p>
    <w:p w:rsidR="004643B2" w:rsidP="004643B2" w14:paraId="53EEB43E" w14:textId="77777777">
      <w:pPr>
        <w:pStyle w:val="ListParagraph"/>
        <w:numPr>
          <w:ilvl w:val="0"/>
          <w:numId w:val="32"/>
        </w:numPr>
        <w:autoSpaceDE w:val="0"/>
        <w:autoSpaceDN w:val="0"/>
        <w:adjustRightInd w:val="0"/>
        <w:contextualSpacing/>
        <w:rPr>
          <w:rFonts w:eastAsiaTheme="minorEastAsia"/>
        </w:rPr>
      </w:pPr>
      <w:r w:rsidRPr="4EE302D0">
        <w:rPr>
          <w:rFonts w:asciiTheme="minorHAnsi" w:eastAsiaTheme="minorEastAsia" w:hAnsiTheme="minorHAnsi" w:cstheme="minorBidi"/>
          <w:sz w:val="22"/>
          <w:szCs w:val="22"/>
        </w:rPr>
        <w:t xml:space="preserve">Advancing Racial Equity and Support for Underserved Communities Through the Federal Government (EO 13985)  </w:t>
      </w:r>
    </w:p>
    <w:p w:rsidR="004643B2" w:rsidP="004643B2" w14:paraId="07859C26" w14:textId="77777777">
      <w:pPr>
        <w:pStyle w:val="ListParagraph"/>
        <w:numPr>
          <w:ilvl w:val="0"/>
          <w:numId w:val="32"/>
        </w:numPr>
        <w:autoSpaceDE w:val="0"/>
        <w:autoSpaceDN w:val="0"/>
        <w:adjustRightInd w:val="0"/>
        <w:contextualSpacing/>
        <w:rPr>
          <w:rFonts w:eastAsiaTheme="minorEastAsia"/>
        </w:rPr>
      </w:pPr>
      <w:r w:rsidRPr="4EE302D0">
        <w:rPr>
          <w:rFonts w:asciiTheme="minorHAnsi" w:eastAsiaTheme="minorEastAsia" w:hAnsiTheme="minorHAnsi" w:cstheme="minorBidi"/>
          <w:sz w:val="22"/>
          <w:szCs w:val="22"/>
        </w:rPr>
        <w:t xml:space="preserve">Further Advancing Racial Equity and Support for Underserved Communities Through the Federal Government </w:t>
      </w:r>
    </w:p>
    <w:p w:rsidR="004643B2" w:rsidP="004643B2" w14:paraId="2BC40751" w14:textId="77777777">
      <w:pPr>
        <w:pStyle w:val="ListParagraph"/>
        <w:numPr>
          <w:ilvl w:val="0"/>
          <w:numId w:val="32"/>
        </w:numPr>
        <w:autoSpaceDE w:val="0"/>
        <w:autoSpaceDN w:val="0"/>
        <w:adjustRightInd w:val="0"/>
        <w:contextualSpacing/>
        <w:rPr>
          <w:rFonts w:eastAsiaTheme="minorEastAsia"/>
        </w:rPr>
      </w:pPr>
      <w:r w:rsidRPr="4EE302D0">
        <w:rPr>
          <w:rFonts w:asciiTheme="minorHAnsi" w:eastAsiaTheme="minorEastAsia" w:hAnsiTheme="minorHAnsi" w:cstheme="minorBidi"/>
          <w:sz w:val="22"/>
          <w:szCs w:val="22"/>
        </w:rPr>
        <w:t xml:space="preserve">ASPE’s Methods and Emerging Strategies to Engage People with Lived Experience (2021)  </w:t>
      </w:r>
    </w:p>
    <w:p w:rsidR="004643B2" w:rsidP="004643B2" w14:paraId="1A597A08" w14:textId="77777777">
      <w:pPr>
        <w:pStyle w:val="ListParagraph"/>
        <w:numPr>
          <w:ilvl w:val="0"/>
          <w:numId w:val="32"/>
        </w:numPr>
        <w:autoSpaceDE w:val="0"/>
        <w:autoSpaceDN w:val="0"/>
        <w:adjustRightInd w:val="0"/>
        <w:contextualSpacing/>
        <w:rPr>
          <w:rFonts w:eastAsiaTheme="minorEastAsia"/>
        </w:rPr>
      </w:pPr>
      <w:r w:rsidRPr="4EE302D0">
        <w:rPr>
          <w:rFonts w:asciiTheme="minorHAnsi" w:eastAsiaTheme="minorEastAsia" w:hAnsiTheme="minorHAnsi" w:cstheme="minorBidi"/>
          <w:sz w:val="22"/>
          <w:szCs w:val="22"/>
        </w:rPr>
        <w:t xml:space="preserve">ASPE’s Recruiting Individuals with Lived Experience (2022) </w:t>
      </w:r>
    </w:p>
    <w:p w:rsidR="004643B2" w:rsidP="004643B2" w14:paraId="75AB42F2" w14:textId="77777777">
      <w:pPr>
        <w:autoSpaceDE w:val="0"/>
        <w:autoSpaceDN w:val="0"/>
        <w:adjustRightInd w:val="0"/>
        <w:rPr>
          <w:rFonts w:eastAsiaTheme="minorEastAsia"/>
        </w:rPr>
      </w:pPr>
      <w:r w:rsidRPr="4EE302D0">
        <w:rPr>
          <w:rFonts w:asciiTheme="minorHAnsi" w:eastAsiaTheme="minorEastAsia" w:hAnsiTheme="minorHAnsi" w:cstheme="minorBidi"/>
          <w:sz w:val="22"/>
          <w:szCs w:val="22"/>
        </w:rPr>
        <w:t xml:space="preserve"> </w:t>
      </w:r>
    </w:p>
    <w:p w:rsidR="004643B2" w:rsidP="5BA93116" w14:paraId="4634270A" w14:textId="498ABAD0">
      <w:pPr>
        <w:autoSpaceDE w:val="0"/>
        <w:autoSpaceDN w:val="0"/>
        <w:adjustRightInd w:val="0"/>
        <w:rPr>
          <w:rFonts w:eastAsiaTheme="minorEastAsia"/>
        </w:rPr>
      </w:pPr>
      <w:r w:rsidRPr="204C085A">
        <w:rPr>
          <w:rFonts w:asciiTheme="minorHAnsi" w:eastAsiaTheme="minorEastAsia" w:hAnsiTheme="minorHAnsi" w:cstheme="minorBidi"/>
          <w:sz w:val="22"/>
          <w:szCs w:val="22"/>
        </w:rPr>
        <w:t xml:space="preserve">Consistent with the guidance documents referenced, we propose to offer </w:t>
      </w:r>
      <w:r w:rsidRPr="00BE0253" w:rsidR="001D702F">
        <w:rPr>
          <w:rFonts w:asciiTheme="minorHAnsi" w:eastAsiaTheme="minorEastAsia" w:hAnsiTheme="minorHAnsi" w:cstheme="minorBidi"/>
          <w:b/>
          <w:bCs/>
          <w:sz w:val="22"/>
          <w:szCs w:val="22"/>
        </w:rPr>
        <w:t>members of tripartite boards</w:t>
      </w:r>
      <w:r w:rsidRPr="204C085A" w:rsidR="001D702F">
        <w:rPr>
          <w:rFonts w:asciiTheme="minorHAnsi" w:eastAsiaTheme="minorEastAsia" w:hAnsiTheme="minorHAnsi" w:cstheme="minorBidi"/>
          <w:sz w:val="22"/>
          <w:szCs w:val="22"/>
        </w:rPr>
        <w:t xml:space="preserve"> </w:t>
      </w:r>
      <w:r w:rsidRPr="204C085A">
        <w:rPr>
          <w:rFonts w:asciiTheme="minorHAnsi" w:eastAsiaTheme="minorEastAsia" w:hAnsiTheme="minorHAnsi" w:cstheme="minorBidi"/>
          <w:sz w:val="22"/>
          <w:szCs w:val="22"/>
        </w:rPr>
        <w:t>an honorarium for their time spent providing their expertise and experience. Specifically, we propose to offer $</w:t>
      </w:r>
      <w:r w:rsidRPr="204C085A" w:rsidR="0096240E">
        <w:rPr>
          <w:rFonts w:asciiTheme="minorHAnsi" w:eastAsiaTheme="minorEastAsia" w:hAnsiTheme="minorHAnsi" w:cstheme="minorBidi"/>
          <w:sz w:val="22"/>
          <w:szCs w:val="22"/>
        </w:rPr>
        <w:t>6</w:t>
      </w:r>
      <w:r w:rsidRPr="204C085A">
        <w:rPr>
          <w:rFonts w:asciiTheme="minorHAnsi" w:eastAsiaTheme="minorEastAsia" w:hAnsiTheme="minorHAnsi" w:cstheme="minorBidi"/>
          <w:sz w:val="22"/>
          <w:szCs w:val="22"/>
        </w:rPr>
        <w:t xml:space="preserve">0 honoraria for participation </w:t>
      </w:r>
      <w:r w:rsidRPr="204C085A" w:rsidR="00F429EF">
        <w:rPr>
          <w:rFonts w:asciiTheme="minorHAnsi" w:eastAsiaTheme="minorEastAsia" w:hAnsiTheme="minorHAnsi" w:cstheme="minorBidi"/>
          <w:sz w:val="22"/>
          <w:szCs w:val="22"/>
        </w:rPr>
        <w:t xml:space="preserve">in one </w:t>
      </w:r>
      <w:r w:rsidR="00F8634B">
        <w:rPr>
          <w:rFonts w:asciiTheme="minorHAnsi" w:eastAsiaTheme="minorEastAsia" w:hAnsiTheme="minorHAnsi" w:cstheme="minorBidi"/>
          <w:sz w:val="22"/>
          <w:szCs w:val="22"/>
        </w:rPr>
        <w:t>discussion</w:t>
      </w:r>
      <w:r w:rsidRPr="204C085A" w:rsidR="00F429EF">
        <w:rPr>
          <w:rFonts w:asciiTheme="minorHAnsi" w:eastAsiaTheme="minorEastAsia" w:hAnsiTheme="minorHAnsi" w:cstheme="minorBidi"/>
          <w:sz w:val="22"/>
          <w:szCs w:val="22"/>
        </w:rPr>
        <w:t xml:space="preserve"> </w:t>
      </w:r>
      <w:r w:rsidRPr="204C085A">
        <w:rPr>
          <w:rFonts w:asciiTheme="minorHAnsi" w:eastAsiaTheme="minorEastAsia" w:hAnsiTheme="minorHAnsi" w:cstheme="minorBidi"/>
          <w:sz w:val="22"/>
          <w:szCs w:val="22"/>
        </w:rPr>
        <w:t xml:space="preserve">to ensure a diverse representation of participants across the country. </w:t>
      </w:r>
      <w:r w:rsidRPr="204C085A" w:rsidR="00620790">
        <w:rPr>
          <w:rFonts w:asciiTheme="minorHAnsi" w:eastAsiaTheme="minorEastAsia" w:hAnsiTheme="minorHAnsi" w:cstheme="minorBidi"/>
          <w:sz w:val="22"/>
          <w:szCs w:val="22"/>
        </w:rPr>
        <w:t xml:space="preserve">This is equal to 1.5 hours of time at the </w:t>
      </w:r>
      <w:r w:rsidRPr="204C085A" w:rsidR="007A244A">
        <w:rPr>
          <w:rFonts w:asciiTheme="minorHAnsi" w:eastAsiaTheme="minorEastAsia" w:hAnsiTheme="minorHAnsi" w:cstheme="minorBidi"/>
          <w:sz w:val="22"/>
          <w:szCs w:val="22"/>
        </w:rPr>
        <w:t>average wage rate f</w:t>
      </w:r>
      <w:r w:rsidRPr="204C085A" w:rsidR="008E7FF1">
        <w:rPr>
          <w:rFonts w:asciiTheme="minorHAnsi" w:eastAsiaTheme="minorEastAsia" w:hAnsiTheme="minorHAnsi" w:cstheme="minorBidi"/>
          <w:sz w:val="22"/>
          <w:szCs w:val="22"/>
        </w:rPr>
        <w:t>or Social and Community Service Managers, as used to calculate the cost estimate for burden.</w:t>
      </w:r>
      <w:r w:rsidR="00471FF1">
        <w:rPr>
          <w:rFonts w:asciiTheme="minorHAnsi" w:eastAsiaTheme="minorEastAsia" w:hAnsiTheme="minorHAnsi" w:cstheme="minorBidi"/>
          <w:sz w:val="22"/>
          <w:szCs w:val="22"/>
        </w:rPr>
        <w:t xml:space="preserve"> Tripartite board members are </w:t>
      </w:r>
      <w:r w:rsidR="00084448">
        <w:rPr>
          <w:rFonts w:asciiTheme="minorHAnsi" w:eastAsiaTheme="minorEastAsia" w:hAnsiTheme="minorHAnsi" w:cstheme="minorBidi"/>
          <w:sz w:val="22"/>
          <w:szCs w:val="22"/>
        </w:rPr>
        <w:t xml:space="preserve">volunteers, </w:t>
      </w:r>
      <w:r w:rsidR="00471FF1">
        <w:rPr>
          <w:rFonts w:asciiTheme="minorHAnsi" w:eastAsiaTheme="minorEastAsia" w:hAnsiTheme="minorHAnsi" w:cstheme="minorBidi"/>
          <w:sz w:val="22"/>
          <w:szCs w:val="22"/>
        </w:rPr>
        <w:t xml:space="preserve">prohibited by </w:t>
      </w:r>
      <w:r w:rsidR="00C23A27">
        <w:rPr>
          <w:rFonts w:asciiTheme="minorHAnsi" w:eastAsiaTheme="minorEastAsia" w:hAnsiTheme="minorHAnsi" w:cstheme="minorBidi"/>
          <w:sz w:val="22"/>
          <w:szCs w:val="22"/>
        </w:rPr>
        <w:t>law</w:t>
      </w:r>
      <w:r w:rsidR="00471FF1">
        <w:rPr>
          <w:rFonts w:asciiTheme="minorHAnsi" w:eastAsiaTheme="minorEastAsia" w:hAnsiTheme="minorHAnsi" w:cstheme="minorBidi"/>
          <w:sz w:val="22"/>
          <w:szCs w:val="22"/>
        </w:rPr>
        <w:t xml:space="preserve"> from </w:t>
      </w:r>
      <w:r w:rsidR="0047637D">
        <w:rPr>
          <w:rFonts w:asciiTheme="minorHAnsi" w:eastAsiaTheme="minorEastAsia" w:hAnsiTheme="minorHAnsi" w:cstheme="minorBidi"/>
          <w:sz w:val="22"/>
          <w:szCs w:val="22"/>
        </w:rPr>
        <w:t>receiving a salary</w:t>
      </w:r>
      <w:r w:rsidR="00471FF1">
        <w:rPr>
          <w:rFonts w:asciiTheme="minorHAnsi" w:eastAsiaTheme="minorEastAsia" w:hAnsiTheme="minorHAnsi" w:cstheme="minorBidi"/>
          <w:sz w:val="22"/>
          <w:szCs w:val="22"/>
        </w:rPr>
        <w:t xml:space="preserve"> </w:t>
      </w:r>
      <w:r w:rsidR="00084448">
        <w:rPr>
          <w:rFonts w:asciiTheme="minorHAnsi" w:eastAsiaTheme="minorEastAsia" w:hAnsiTheme="minorHAnsi" w:cstheme="minorBidi"/>
          <w:sz w:val="22"/>
          <w:szCs w:val="22"/>
        </w:rPr>
        <w:t>or other compensation for board participation.</w:t>
      </w:r>
      <w:r>
        <w:rPr>
          <w:rStyle w:val="FootnoteReference"/>
          <w:rFonts w:asciiTheme="minorHAnsi" w:eastAsiaTheme="minorEastAsia" w:hAnsiTheme="minorHAnsi" w:cstheme="minorBidi"/>
          <w:sz w:val="22"/>
          <w:szCs w:val="22"/>
        </w:rPr>
        <w:footnoteReference w:id="4"/>
      </w:r>
      <w:r w:rsidR="00084448">
        <w:rPr>
          <w:rFonts w:asciiTheme="minorHAnsi" w:eastAsiaTheme="minorEastAsia" w:hAnsiTheme="minorHAnsi" w:cstheme="minorBidi"/>
          <w:sz w:val="22"/>
          <w:szCs w:val="22"/>
        </w:rPr>
        <w:t xml:space="preserve"> </w:t>
      </w:r>
      <w:r w:rsidR="00FC23A2">
        <w:rPr>
          <w:rFonts w:asciiTheme="minorHAnsi" w:eastAsiaTheme="minorEastAsia" w:hAnsiTheme="minorHAnsi" w:cstheme="minorBidi"/>
          <w:sz w:val="22"/>
          <w:szCs w:val="22"/>
        </w:rPr>
        <w:t>Other respondents will not receive honoraria</w:t>
      </w:r>
      <w:r w:rsidR="00304503">
        <w:rPr>
          <w:rFonts w:asciiTheme="minorHAnsi" w:eastAsiaTheme="minorEastAsia" w:hAnsiTheme="minorHAnsi" w:cstheme="minorBidi"/>
          <w:sz w:val="22"/>
          <w:szCs w:val="22"/>
        </w:rPr>
        <w:t xml:space="preserve"> due to their roles within the CSBG network</w:t>
      </w:r>
      <w:r w:rsidR="00FC23A2">
        <w:rPr>
          <w:rFonts w:asciiTheme="minorHAnsi" w:eastAsiaTheme="minorEastAsia" w:hAnsiTheme="minorHAnsi" w:cstheme="minorBidi"/>
          <w:sz w:val="22"/>
          <w:szCs w:val="22"/>
        </w:rPr>
        <w:t>.</w:t>
      </w:r>
      <w:r w:rsidR="00614501">
        <w:rPr>
          <w:rFonts w:asciiTheme="minorHAnsi" w:eastAsiaTheme="minorEastAsia" w:hAnsiTheme="minorHAnsi" w:cstheme="minorBidi"/>
          <w:sz w:val="22"/>
          <w:szCs w:val="22"/>
        </w:rPr>
        <w:t xml:space="preserve"> </w:t>
      </w:r>
      <w:r>
        <w:br/>
      </w:r>
    </w:p>
    <w:p w:rsidR="004643B2" w:rsidP="004643B2" w14:paraId="59CA7E7A" w14:textId="77777777">
      <w:pPr>
        <w:autoSpaceDE w:val="0"/>
        <w:autoSpaceDN w:val="0"/>
        <w:adjustRightInd w:val="0"/>
        <w:rPr>
          <w:rFonts w:eastAsiaTheme="minorEastAsia"/>
        </w:rPr>
      </w:pPr>
      <w:r w:rsidRPr="4EE302D0">
        <w:rPr>
          <w:rFonts w:asciiTheme="minorHAnsi" w:eastAsiaTheme="minorEastAsia" w:hAnsiTheme="minorHAnsi" w:cstheme="minorBidi"/>
          <w:sz w:val="22"/>
          <w:szCs w:val="22"/>
        </w:rPr>
        <w:t>Equitable compensation is in line with leading practices for ethical engagement of those with lived expertise and advancing equity for populations who have been historically underserved. Providing equitable compensation recognizes the value of the time provided by participants, helps to remove barriers to participation, and affirms that the contributions from those with lived experience are as valuable as those from other experts.</w:t>
      </w:r>
      <w:r>
        <w:br/>
      </w:r>
    </w:p>
    <w:p w:rsidR="004643B2" w:rsidP="00FC23A2" w14:paraId="19DCE808" w14:textId="1128FF59">
      <w:pPr>
        <w:rPr>
          <w:rFonts w:asciiTheme="minorHAnsi" w:eastAsiaTheme="minorEastAsia" w:hAnsiTheme="minorHAnsi" w:cstheme="minorBidi"/>
          <w:sz w:val="22"/>
          <w:szCs w:val="22"/>
        </w:rPr>
      </w:pPr>
      <w:r w:rsidRPr="4EE302D0">
        <w:rPr>
          <w:rFonts w:asciiTheme="minorHAnsi" w:eastAsiaTheme="minorEastAsia" w:hAnsiTheme="minorHAnsi" w:cstheme="minorBidi"/>
          <w:sz w:val="22"/>
          <w:szCs w:val="22"/>
        </w:rPr>
        <w:t>As noted in the 2022 report by ASPE this “helps ensure a diverse population with varied views can participate</w:t>
      </w:r>
      <w:r w:rsidR="007E2E84">
        <w:rPr>
          <w:rFonts w:asciiTheme="minorHAnsi" w:eastAsiaTheme="minorEastAsia" w:hAnsiTheme="minorHAnsi" w:cstheme="minorBidi"/>
          <w:sz w:val="22"/>
          <w:szCs w:val="22"/>
        </w:rPr>
        <w:t>.”</w:t>
      </w:r>
      <w:r>
        <w:rPr>
          <w:rStyle w:val="FootnoteReference"/>
          <w:rFonts w:asciiTheme="minorHAnsi" w:eastAsiaTheme="minorEastAsia" w:hAnsiTheme="minorHAnsi" w:cstheme="minorBidi"/>
          <w:sz w:val="22"/>
          <w:szCs w:val="22"/>
        </w:rPr>
        <w:footnoteReference w:id="5"/>
      </w:r>
      <w:r w:rsidRPr="4EE302D0">
        <w:rPr>
          <w:rFonts w:asciiTheme="minorHAnsi" w:eastAsiaTheme="minorEastAsia" w:hAnsiTheme="minorHAnsi" w:cstheme="minorBidi"/>
          <w:sz w:val="22"/>
          <w:szCs w:val="22"/>
        </w:rPr>
        <w:t xml:space="preserve"> Additionally, a 2021 brief by ASPE says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consequences…when lived experience engagements have scarce resources and experts are undercompensated, which can undermine, disregard, and/or marginalize people with lived experience</w:t>
      </w:r>
      <w:r w:rsidR="007E2E84">
        <w:rPr>
          <w:rFonts w:asciiTheme="minorHAnsi" w:eastAsiaTheme="minorEastAsia" w:hAnsiTheme="minorHAnsi" w:cstheme="minorBidi"/>
          <w:sz w:val="22"/>
          <w:szCs w:val="22"/>
        </w:rPr>
        <w:t>.”</w:t>
      </w:r>
      <w:r>
        <w:rPr>
          <w:rStyle w:val="FootnoteReference"/>
          <w:rFonts w:asciiTheme="minorHAnsi" w:eastAsiaTheme="minorEastAsia" w:hAnsiTheme="minorHAnsi" w:cstheme="minorBidi"/>
          <w:sz w:val="22"/>
          <w:szCs w:val="22"/>
        </w:rPr>
        <w:footnoteReference w:id="6"/>
      </w:r>
    </w:p>
    <w:p w:rsidR="00FC23A2" w:rsidRPr="00DA5835" w:rsidP="00E07C2F" w14:paraId="0FE37A11" w14:textId="77777777">
      <w:pPr>
        <w:rPr>
          <w:rFonts w:asciiTheme="minorHAnsi" w:hAnsiTheme="minorHAnsi" w:cstheme="minorBidi"/>
          <w:sz w:val="22"/>
          <w:szCs w:val="22"/>
        </w:rPr>
      </w:pPr>
    </w:p>
    <w:p w:rsidR="00945CD6" w:rsidRPr="002F65C2" w:rsidP="008F570D" w14:paraId="2A791D57" w14:textId="77777777">
      <w:pPr>
        <w:spacing w:after="60"/>
        <w:rPr>
          <w:rFonts w:asciiTheme="minorHAnsi" w:hAnsiTheme="minorHAnsi" w:cstheme="minorHAnsi"/>
          <w:b/>
          <w:sz w:val="22"/>
          <w:szCs w:val="22"/>
        </w:rPr>
      </w:pPr>
      <w:r w:rsidRPr="002F65C2">
        <w:rPr>
          <w:rFonts w:asciiTheme="minorHAnsi" w:hAnsiTheme="minorHAnsi" w:cstheme="minorHAnsi"/>
          <w:b/>
          <w:sz w:val="22"/>
          <w:szCs w:val="22"/>
        </w:rPr>
        <w:t xml:space="preserve">A14. </w:t>
      </w:r>
      <w:r w:rsidRPr="002F65C2">
        <w:rPr>
          <w:rFonts w:asciiTheme="minorHAnsi" w:hAnsiTheme="minorHAnsi" w:cstheme="minorHAnsi"/>
          <w:b/>
          <w:sz w:val="22"/>
          <w:szCs w:val="22"/>
        </w:rPr>
        <w:t>Estimate of Cost to the Federal Government</w:t>
      </w:r>
    </w:p>
    <w:p w:rsidR="002338AC" w:rsidRPr="002F65C2" w:rsidP="008F570D" w14:paraId="036762EF" w14:textId="75B019ED">
      <w:pPr>
        <w:rPr>
          <w:rFonts w:asciiTheme="minorHAnsi" w:hAnsiTheme="minorHAnsi" w:cstheme="minorHAnsi"/>
          <w:sz w:val="22"/>
          <w:szCs w:val="22"/>
        </w:rPr>
      </w:pPr>
      <w:r w:rsidRPr="002F65C2">
        <w:rPr>
          <w:rFonts w:asciiTheme="minorHAnsi" w:hAnsiTheme="minorHAnsi" w:cstheme="minorHAnsi"/>
          <w:sz w:val="22"/>
          <w:szCs w:val="22"/>
        </w:rPr>
        <w:t>The total cost for the data collection activities</w:t>
      </w:r>
      <w:r w:rsidRPr="000A5069" w:rsidR="000A5069">
        <w:rPr>
          <w:rFonts w:asciiTheme="minorHAnsi" w:hAnsiTheme="minorHAnsi" w:cstheme="minorHAnsi"/>
          <w:sz w:val="22"/>
          <w:szCs w:val="22"/>
        </w:rPr>
        <w:t xml:space="preserve"> </w:t>
      </w:r>
      <w:r w:rsidRPr="002F65C2" w:rsidR="000A5069">
        <w:rPr>
          <w:rFonts w:asciiTheme="minorHAnsi" w:hAnsiTheme="minorHAnsi" w:cstheme="minorHAnsi"/>
          <w:sz w:val="22"/>
          <w:szCs w:val="22"/>
        </w:rPr>
        <w:t>under this current request</w:t>
      </w:r>
      <w:r w:rsidR="005C3BCB">
        <w:rPr>
          <w:rFonts w:asciiTheme="minorHAnsi" w:hAnsiTheme="minorHAnsi" w:cstheme="minorHAnsi"/>
          <w:sz w:val="22"/>
          <w:szCs w:val="22"/>
        </w:rPr>
        <w:t xml:space="preserve">, including </w:t>
      </w:r>
      <w:r w:rsidR="00266AFF">
        <w:rPr>
          <w:rFonts w:asciiTheme="minorHAnsi" w:hAnsiTheme="minorHAnsi" w:cstheme="minorHAnsi"/>
          <w:sz w:val="22"/>
          <w:szCs w:val="22"/>
        </w:rPr>
        <w:t>a</w:t>
      </w:r>
      <w:r w:rsidR="005C7DF2">
        <w:rPr>
          <w:rFonts w:asciiTheme="minorHAnsi" w:hAnsiTheme="minorHAnsi" w:cstheme="minorHAnsi"/>
          <w:sz w:val="22"/>
          <w:szCs w:val="22"/>
        </w:rPr>
        <w:t xml:space="preserve">ll related </w:t>
      </w:r>
      <w:r w:rsidR="00667481">
        <w:rPr>
          <w:rFonts w:asciiTheme="minorHAnsi" w:hAnsiTheme="minorHAnsi" w:cstheme="minorHAnsi"/>
          <w:sz w:val="22"/>
          <w:szCs w:val="22"/>
        </w:rPr>
        <w:t xml:space="preserve">qualitative </w:t>
      </w:r>
      <w:r w:rsidR="005C7DF2">
        <w:rPr>
          <w:rFonts w:asciiTheme="minorHAnsi" w:hAnsiTheme="minorHAnsi" w:cstheme="minorHAnsi"/>
          <w:sz w:val="22"/>
          <w:szCs w:val="22"/>
        </w:rPr>
        <w:t>analysis</w:t>
      </w:r>
      <w:r w:rsidR="00581AF6">
        <w:rPr>
          <w:rFonts w:asciiTheme="minorHAnsi" w:hAnsiTheme="minorHAnsi" w:cstheme="minorHAnsi"/>
          <w:sz w:val="22"/>
          <w:szCs w:val="22"/>
        </w:rPr>
        <w:t xml:space="preserve"> and dissemination</w:t>
      </w:r>
      <w:r w:rsidR="005C7DF2">
        <w:rPr>
          <w:rFonts w:asciiTheme="minorHAnsi" w:hAnsiTheme="minorHAnsi" w:cstheme="minorHAnsi"/>
          <w:sz w:val="22"/>
          <w:szCs w:val="22"/>
        </w:rPr>
        <w:t>,</w:t>
      </w:r>
      <w:r w:rsidRPr="002F65C2">
        <w:rPr>
          <w:rFonts w:asciiTheme="minorHAnsi" w:hAnsiTheme="minorHAnsi" w:cstheme="minorHAnsi"/>
          <w:sz w:val="22"/>
          <w:szCs w:val="22"/>
        </w:rPr>
        <w:t xml:space="preserve"> will be $</w:t>
      </w:r>
      <w:r w:rsidR="003F3B37">
        <w:rPr>
          <w:rFonts w:asciiTheme="minorHAnsi" w:hAnsiTheme="minorHAnsi" w:cstheme="minorHAnsi"/>
          <w:sz w:val="22"/>
          <w:szCs w:val="22"/>
        </w:rPr>
        <w:t>45,726.00</w:t>
      </w:r>
      <w:r w:rsidRPr="002F65C2">
        <w:rPr>
          <w:rFonts w:asciiTheme="minorHAnsi" w:hAnsiTheme="minorHAnsi" w:cstheme="minorHAnsi"/>
          <w:sz w:val="22"/>
          <w:szCs w:val="22"/>
        </w:rPr>
        <w:t xml:space="preserve">. </w:t>
      </w:r>
    </w:p>
    <w:p w:rsidR="0033072C" w:rsidRPr="002F65C2" w:rsidP="008F570D" w14:paraId="10E2AD7E" w14:textId="77777777">
      <w:pPr>
        <w:rPr>
          <w:rFonts w:asciiTheme="minorHAnsi" w:hAnsiTheme="minorHAnsi" w:cstheme="minorHAnsi"/>
          <w:sz w:val="22"/>
          <w:szCs w:val="22"/>
        </w:rPr>
      </w:pPr>
    </w:p>
    <w:p w:rsidR="00945CD6" w:rsidRPr="002F65C2" w:rsidP="008F570D" w14:paraId="4B385444"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A15. </w:t>
      </w:r>
      <w:r w:rsidRPr="002F65C2">
        <w:rPr>
          <w:rFonts w:asciiTheme="minorHAnsi" w:hAnsiTheme="minorHAnsi" w:cstheme="minorHAnsi"/>
          <w:b/>
          <w:sz w:val="22"/>
          <w:szCs w:val="22"/>
        </w:rPr>
        <w:t>Change in Burden</w:t>
      </w:r>
    </w:p>
    <w:p w:rsidR="00CB2ED6" w:rsidRPr="002F65C2" w:rsidP="008F570D" w14:paraId="4B05A013" w14:textId="07427872">
      <w:pPr>
        <w:rPr>
          <w:rFonts w:asciiTheme="minorHAnsi" w:hAnsiTheme="minorHAnsi" w:cstheme="minorHAnsi"/>
          <w:sz w:val="22"/>
          <w:szCs w:val="22"/>
        </w:rPr>
      </w:pPr>
      <w:r w:rsidRPr="002F65C2">
        <w:rPr>
          <w:rFonts w:asciiTheme="minorHAnsi" w:hAnsiTheme="minorHAnsi" w:cstheme="minorHAnsi"/>
          <w:sz w:val="22"/>
          <w:szCs w:val="22"/>
        </w:rPr>
        <w:t xml:space="preserve">This is for an individual information collection under the umbrella </w:t>
      </w:r>
      <w:r w:rsidRPr="002F65C2" w:rsidR="001140AB">
        <w:rPr>
          <w:rFonts w:asciiTheme="minorHAnsi" w:hAnsiTheme="minorHAnsi" w:cstheme="minorHAnsi"/>
          <w:sz w:val="22"/>
          <w:szCs w:val="22"/>
        </w:rPr>
        <w:t xml:space="preserve">generic clearance for </w:t>
      </w:r>
      <w:r w:rsidRPr="002F65C2" w:rsidR="00F9048F">
        <w:rPr>
          <w:rFonts w:asciiTheme="minorHAnsi" w:hAnsiTheme="minorHAnsi" w:cstheme="minorHAnsi"/>
          <w:sz w:val="22"/>
          <w:szCs w:val="22"/>
        </w:rPr>
        <w:t>ACF engagement activities</w:t>
      </w:r>
      <w:r w:rsidRPr="002F65C2" w:rsidR="001140AB">
        <w:rPr>
          <w:rFonts w:asciiTheme="minorHAnsi" w:hAnsiTheme="minorHAnsi" w:cstheme="minorHAnsi"/>
          <w:sz w:val="22"/>
          <w:szCs w:val="22"/>
        </w:rPr>
        <w:t xml:space="preserve"> (0970-0</w:t>
      </w:r>
      <w:r w:rsidRPr="002F65C2" w:rsidR="00F9048F">
        <w:rPr>
          <w:rFonts w:asciiTheme="minorHAnsi" w:hAnsiTheme="minorHAnsi" w:cstheme="minorHAnsi"/>
          <w:sz w:val="22"/>
          <w:szCs w:val="22"/>
        </w:rPr>
        <w:t>630</w:t>
      </w:r>
      <w:r w:rsidRPr="002F65C2" w:rsidR="00542413">
        <w:rPr>
          <w:rFonts w:asciiTheme="minorHAnsi" w:hAnsiTheme="minorHAnsi" w:cstheme="minorHAnsi"/>
          <w:sz w:val="22"/>
          <w:szCs w:val="22"/>
        </w:rPr>
        <w:t>).</w:t>
      </w:r>
    </w:p>
    <w:p w:rsidR="0033072C" w:rsidRPr="002F65C2" w:rsidP="00290F6F" w14:paraId="580F3480" w14:textId="77777777">
      <w:pPr>
        <w:rPr>
          <w:rFonts w:asciiTheme="minorHAnsi" w:hAnsiTheme="minorHAnsi" w:cstheme="minorHAnsi"/>
          <w:sz w:val="22"/>
          <w:szCs w:val="22"/>
        </w:rPr>
      </w:pPr>
    </w:p>
    <w:p w:rsidR="00945CD6" w:rsidRPr="00E07C2F" w:rsidP="0E76D161" w14:paraId="347FE16D" w14:textId="77777777">
      <w:pPr>
        <w:spacing w:after="60"/>
        <w:rPr>
          <w:rFonts w:asciiTheme="minorHAnsi" w:hAnsiTheme="minorHAnsi" w:cstheme="minorBidi"/>
          <w:b/>
          <w:bCs/>
          <w:sz w:val="22"/>
          <w:szCs w:val="22"/>
        </w:rPr>
      </w:pPr>
      <w:r w:rsidRPr="00E07C2F">
        <w:rPr>
          <w:rFonts w:asciiTheme="minorHAnsi" w:hAnsiTheme="minorHAnsi" w:cstheme="minorBidi"/>
          <w:b/>
          <w:bCs/>
          <w:sz w:val="22"/>
          <w:szCs w:val="22"/>
        </w:rPr>
        <w:t xml:space="preserve">A16. </w:t>
      </w:r>
      <w:r w:rsidRPr="00E07C2F">
        <w:rPr>
          <w:rFonts w:asciiTheme="minorHAnsi" w:hAnsiTheme="minorHAnsi" w:cstheme="minorBidi"/>
          <w:b/>
          <w:bCs/>
          <w:sz w:val="22"/>
          <w:szCs w:val="22"/>
        </w:rPr>
        <w:t>Plan and Time Schedule for Information Collection, Tabulation and Publication</w:t>
      </w:r>
    </w:p>
    <w:p w:rsidR="00DA5835" w:rsidRPr="00DA5835" w:rsidP="0E76D161" w14:paraId="50B2260D" w14:textId="70BD639C">
      <w:pPr>
        <w:spacing w:after="60"/>
        <w:rPr>
          <w:rFonts w:asciiTheme="minorHAnsi" w:hAnsiTheme="minorHAnsi" w:cstheme="minorBidi"/>
          <w:sz w:val="22"/>
          <w:szCs w:val="22"/>
        </w:rPr>
      </w:pPr>
      <w:r>
        <w:rPr>
          <w:rFonts w:asciiTheme="minorHAnsi" w:hAnsiTheme="minorHAnsi" w:cstheme="minorBidi"/>
          <w:sz w:val="22"/>
          <w:szCs w:val="22"/>
        </w:rPr>
        <w:t>Once the information collection and its accompanying analysis is complete, t</w:t>
      </w:r>
      <w:r w:rsidRPr="00DA5835">
        <w:rPr>
          <w:rFonts w:asciiTheme="minorHAnsi" w:hAnsiTheme="minorHAnsi" w:cstheme="minorBidi"/>
          <w:sz w:val="22"/>
          <w:szCs w:val="22"/>
        </w:rPr>
        <w:t xml:space="preserve">he study team </w:t>
      </w:r>
      <w:r>
        <w:rPr>
          <w:rFonts w:asciiTheme="minorHAnsi" w:hAnsiTheme="minorHAnsi" w:cstheme="minorBidi"/>
          <w:sz w:val="22"/>
          <w:szCs w:val="22"/>
        </w:rPr>
        <w:t>will</w:t>
      </w:r>
      <w:r w:rsidRPr="00DA5835">
        <w:rPr>
          <w:rFonts w:asciiTheme="minorHAnsi" w:hAnsiTheme="minorHAnsi" w:cstheme="minorBidi"/>
          <w:sz w:val="22"/>
          <w:szCs w:val="22"/>
        </w:rPr>
        <w:t xml:space="preserve"> develop a</w:t>
      </w:r>
      <w:r w:rsidR="009E10B8">
        <w:rPr>
          <w:rFonts w:asciiTheme="minorHAnsi" w:hAnsiTheme="minorHAnsi" w:cstheme="minorBidi"/>
          <w:sz w:val="22"/>
          <w:szCs w:val="22"/>
        </w:rPr>
        <w:t>n internal memo summarizing the discussions and a</w:t>
      </w:r>
      <w:r w:rsidRPr="00DA5835">
        <w:rPr>
          <w:rFonts w:asciiTheme="minorHAnsi" w:hAnsiTheme="minorHAnsi" w:cstheme="minorBidi"/>
          <w:sz w:val="22"/>
          <w:szCs w:val="22"/>
        </w:rPr>
        <w:t xml:space="preserve"> public-facing brief</w:t>
      </w:r>
      <w:r>
        <w:rPr>
          <w:rFonts w:asciiTheme="minorHAnsi" w:hAnsiTheme="minorHAnsi" w:cstheme="minorBidi"/>
          <w:sz w:val="22"/>
          <w:szCs w:val="22"/>
        </w:rPr>
        <w:t xml:space="preserve"> for the OPRE website</w:t>
      </w:r>
      <w:r w:rsidRPr="00DA5835">
        <w:rPr>
          <w:rFonts w:asciiTheme="minorHAnsi" w:hAnsiTheme="minorHAnsi" w:cstheme="minorBidi"/>
          <w:sz w:val="22"/>
          <w:szCs w:val="22"/>
        </w:rPr>
        <w:t xml:space="preserve"> that describes the CSBG learning agenda. This information collection effort will inform the findings and takeaways included in the </w:t>
      </w:r>
      <w:r w:rsidR="009E10B8">
        <w:rPr>
          <w:rFonts w:asciiTheme="minorHAnsi" w:hAnsiTheme="minorHAnsi" w:cstheme="minorBidi"/>
          <w:sz w:val="22"/>
          <w:szCs w:val="22"/>
        </w:rPr>
        <w:t xml:space="preserve">public </w:t>
      </w:r>
      <w:r w:rsidRPr="00DA5835">
        <w:rPr>
          <w:rFonts w:asciiTheme="minorHAnsi" w:hAnsiTheme="minorHAnsi" w:cstheme="minorBidi"/>
          <w:sz w:val="22"/>
          <w:szCs w:val="22"/>
        </w:rPr>
        <w:t xml:space="preserve">brief. </w:t>
      </w:r>
      <w:r w:rsidR="003839ED">
        <w:rPr>
          <w:rFonts w:asciiTheme="minorHAnsi" w:hAnsiTheme="minorHAnsi" w:cstheme="minorBidi"/>
          <w:sz w:val="22"/>
          <w:szCs w:val="22"/>
        </w:rPr>
        <w:t xml:space="preserve">The primary audience for the brief will be members of the CSBG </w:t>
      </w:r>
      <w:r w:rsidR="003839ED">
        <w:rPr>
          <w:rFonts w:asciiTheme="minorHAnsi" w:hAnsiTheme="minorHAnsi" w:cstheme="minorBidi"/>
          <w:sz w:val="22"/>
          <w:szCs w:val="22"/>
        </w:rPr>
        <w:t xml:space="preserve">network, including practitioners and eligible entities. </w:t>
      </w:r>
      <w:r w:rsidRPr="00DA5835">
        <w:rPr>
          <w:rFonts w:asciiTheme="minorHAnsi" w:hAnsiTheme="minorHAnsi" w:cstheme="minorBidi"/>
          <w:sz w:val="22"/>
          <w:szCs w:val="22"/>
        </w:rPr>
        <w:t xml:space="preserve">The table below provides </w:t>
      </w:r>
      <w:r>
        <w:rPr>
          <w:rFonts w:asciiTheme="minorHAnsi" w:hAnsiTheme="minorHAnsi" w:cstheme="minorBidi"/>
          <w:sz w:val="22"/>
          <w:szCs w:val="22"/>
        </w:rPr>
        <w:t>outlines</w:t>
      </w:r>
      <w:r w:rsidRPr="00DA5835">
        <w:rPr>
          <w:rFonts w:asciiTheme="minorHAnsi" w:hAnsiTheme="minorHAnsi" w:cstheme="minorBidi"/>
          <w:sz w:val="22"/>
          <w:szCs w:val="22"/>
        </w:rPr>
        <w:t xml:space="preserve"> the plan and time schedule for information collection, analysis, and dissemination.</w:t>
      </w:r>
    </w:p>
    <w:tbl>
      <w:tblPr>
        <w:tblStyle w:val="BaseTable"/>
        <w:tblW w:w="5000" w:type="pct"/>
        <w:tblLook w:val="04A0"/>
      </w:tblPr>
      <w:tblGrid>
        <w:gridCol w:w="3947"/>
        <w:gridCol w:w="399"/>
        <w:gridCol w:w="343"/>
        <w:gridCol w:w="290"/>
        <w:gridCol w:w="391"/>
        <w:gridCol w:w="365"/>
        <w:gridCol w:w="354"/>
        <w:gridCol w:w="393"/>
        <w:gridCol w:w="376"/>
        <w:gridCol w:w="333"/>
        <w:gridCol w:w="361"/>
        <w:gridCol w:w="386"/>
        <w:gridCol w:w="358"/>
        <w:gridCol w:w="406"/>
        <w:gridCol w:w="344"/>
        <w:gridCol w:w="314"/>
      </w:tblGrid>
      <w:tr w14:paraId="536DD09F" w14:textId="77777777" w:rsidTr="004C1BCE">
        <w:tblPrEx>
          <w:tblW w:w="5000" w:type="pct"/>
          <w:tblLook w:val="04A0"/>
        </w:tblPrEx>
        <w:trPr>
          <w:trHeight w:val="120"/>
          <w:tblHeader/>
        </w:trPr>
        <w:tc>
          <w:tcPr>
            <w:tcW w:w="2108" w:type="pct"/>
          </w:tcPr>
          <w:p w:rsidR="004C1BCE" w:rsidRPr="00B21B11" w:rsidP="004B7FDD" w14:paraId="016D0F56" w14:textId="77777777">
            <w:pPr>
              <w:pStyle w:val="TableHeaderLeft"/>
              <w:rPr>
                <w:sz w:val="16"/>
                <w:szCs w:val="16"/>
              </w:rPr>
            </w:pPr>
          </w:p>
        </w:tc>
        <w:tc>
          <w:tcPr>
            <w:tcW w:w="1555" w:type="pct"/>
            <w:gridSpan w:val="8"/>
          </w:tcPr>
          <w:p w:rsidR="004C1BCE" w:rsidRPr="00B21B11" w:rsidP="004B7FDD" w14:paraId="4FF21003" w14:textId="77777777">
            <w:pPr>
              <w:pStyle w:val="TableHeaderCenter"/>
              <w:rPr>
                <w:sz w:val="16"/>
                <w:szCs w:val="16"/>
              </w:rPr>
            </w:pPr>
            <w:r w:rsidRPr="00B21B11">
              <w:rPr>
                <w:sz w:val="16"/>
                <w:szCs w:val="16"/>
              </w:rPr>
              <w:t>2024</w:t>
            </w:r>
          </w:p>
        </w:tc>
        <w:tc>
          <w:tcPr>
            <w:tcW w:w="1337" w:type="pct"/>
            <w:gridSpan w:val="7"/>
          </w:tcPr>
          <w:p w:rsidR="004C1BCE" w:rsidRPr="00B21B11" w:rsidP="004B7FDD" w14:paraId="145D1EA8" w14:textId="77777777">
            <w:pPr>
              <w:pStyle w:val="TableHeaderCenter"/>
              <w:rPr>
                <w:sz w:val="16"/>
                <w:szCs w:val="16"/>
              </w:rPr>
            </w:pPr>
            <w:r w:rsidRPr="00B21B11">
              <w:rPr>
                <w:sz w:val="16"/>
                <w:szCs w:val="16"/>
              </w:rPr>
              <w:t>2025</w:t>
            </w:r>
          </w:p>
        </w:tc>
      </w:tr>
      <w:tr w14:paraId="1FC17AE4" w14:textId="77777777" w:rsidTr="004C1BCE">
        <w:tblPrEx>
          <w:tblW w:w="5000" w:type="pct"/>
          <w:tblLook w:val="04A0"/>
        </w:tblPrEx>
        <w:trPr>
          <w:trHeight w:val="120"/>
          <w:tblHeader/>
        </w:trPr>
        <w:tc>
          <w:tcPr>
            <w:tcW w:w="2108" w:type="pct"/>
          </w:tcPr>
          <w:p w:rsidR="004C1BCE" w:rsidRPr="00B21B11" w:rsidP="004B7FDD" w14:paraId="36E94971" w14:textId="77777777">
            <w:pPr>
              <w:pStyle w:val="TableHeaderLeft"/>
              <w:rPr>
                <w:sz w:val="16"/>
                <w:szCs w:val="16"/>
              </w:rPr>
            </w:pPr>
          </w:p>
        </w:tc>
        <w:tc>
          <w:tcPr>
            <w:tcW w:w="396" w:type="pct"/>
            <w:gridSpan w:val="2"/>
          </w:tcPr>
          <w:p w:rsidR="004C1BCE" w:rsidRPr="00B21B11" w:rsidP="004B7FDD" w14:paraId="2EB33A2F" w14:textId="77777777">
            <w:pPr>
              <w:pStyle w:val="TableHeaderCenter"/>
              <w:rPr>
                <w:sz w:val="16"/>
                <w:szCs w:val="16"/>
              </w:rPr>
            </w:pPr>
            <w:r w:rsidRPr="00B21B11">
              <w:rPr>
                <w:sz w:val="16"/>
                <w:szCs w:val="16"/>
              </w:rPr>
              <w:t>Q2</w:t>
            </w:r>
          </w:p>
        </w:tc>
        <w:tc>
          <w:tcPr>
            <w:tcW w:w="559" w:type="pct"/>
            <w:gridSpan w:val="3"/>
          </w:tcPr>
          <w:p w:rsidR="004C1BCE" w:rsidRPr="00B21B11" w:rsidP="004B7FDD" w14:paraId="2CCBF784" w14:textId="77777777">
            <w:pPr>
              <w:pStyle w:val="TableHeaderCenter"/>
              <w:rPr>
                <w:sz w:val="16"/>
                <w:szCs w:val="16"/>
              </w:rPr>
            </w:pPr>
            <w:r w:rsidRPr="00B21B11">
              <w:rPr>
                <w:sz w:val="16"/>
                <w:szCs w:val="16"/>
              </w:rPr>
              <w:t>Q3</w:t>
            </w:r>
          </w:p>
        </w:tc>
        <w:tc>
          <w:tcPr>
            <w:tcW w:w="600" w:type="pct"/>
            <w:gridSpan w:val="3"/>
          </w:tcPr>
          <w:p w:rsidR="004C1BCE" w:rsidRPr="00B21B11" w:rsidP="004B7FDD" w14:paraId="27E33FA6" w14:textId="77777777">
            <w:pPr>
              <w:pStyle w:val="TableHeaderCenter"/>
              <w:rPr>
                <w:sz w:val="16"/>
                <w:szCs w:val="16"/>
              </w:rPr>
            </w:pPr>
            <w:r w:rsidRPr="00B21B11">
              <w:rPr>
                <w:sz w:val="16"/>
                <w:szCs w:val="16"/>
              </w:rPr>
              <w:t>Q4</w:t>
            </w:r>
          </w:p>
        </w:tc>
        <w:tc>
          <w:tcPr>
            <w:tcW w:w="577" w:type="pct"/>
            <w:gridSpan w:val="3"/>
          </w:tcPr>
          <w:p w:rsidR="004C1BCE" w:rsidRPr="00B21B11" w:rsidP="004B7FDD" w14:paraId="540D7BBA" w14:textId="77777777">
            <w:pPr>
              <w:pStyle w:val="TableHeaderCenter"/>
              <w:rPr>
                <w:sz w:val="16"/>
                <w:szCs w:val="16"/>
              </w:rPr>
            </w:pPr>
            <w:r w:rsidRPr="00B21B11">
              <w:rPr>
                <w:sz w:val="16"/>
                <w:szCs w:val="16"/>
              </w:rPr>
              <w:t>Q1</w:t>
            </w:r>
          </w:p>
        </w:tc>
        <w:tc>
          <w:tcPr>
            <w:tcW w:w="592" w:type="pct"/>
            <w:gridSpan w:val="3"/>
          </w:tcPr>
          <w:p w:rsidR="004C1BCE" w:rsidRPr="00B21B11" w:rsidP="004B7FDD" w14:paraId="24505FCB" w14:textId="77777777">
            <w:pPr>
              <w:pStyle w:val="TableHeaderCenter"/>
              <w:rPr>
                <w:sz w:val="16"/>
                <w:szCs w:val="16"/>
              </w:rPr>
            </w:pPr>
            <w:r w:rsidRPr="00B21B11">
              <w:rPr>
                <w:sz w:val="16"/>
                <w:szCs w:val="16"/>
              </w:rPr>
              <w:t>Q2</w:t>
            </w:r>
          </w:p>
        </w:tc>
        <w:tc>
          <w:tcPr>
            <w:tcW w:w="168" w:type="pct"/>
          </w:tcPr>
          <w:p w:rsidR="004C1BCE" w:rsidRPr="00B21B11" w:rsidP="004B7FDD" w14:paraId="3A77C4B1" w14:textId="77777777">
            <w:pPr>
              <w:pStyle w:val="TableHeaderCenter"/>
              <w:rPr>
                <w:sz w:val="16"/>
                <w:szCs w:val="16"/>
              </w:rPr>
            </w:pPr>
            <w:r w:rsidRPr="00B21B11">
              <w:rPr>
                <w:sz w:val="16"/>
                <w:szCs w:val="16"/>
              </w:rPr>
              <w:t>Q3</w:t>
            </w:r>
          </w:p>
        </w:tc>
      </w:tr>
      <w:tr w14:paraId="6FF60A07" w14:textId="77777777" w:rsidTr="004C1BCE">
        <w:tblPrEx>
          <w:tblW w:w="5000" w:type="pct"/>
          <w:tblLook w:val="04A0"/>
        </w:tblPrEx>
        <w:trPr>
          <w:trHeight w:val="120"/>
        </w:trPr>
        <w:tc>
          <w:tcPr>
            <w:tcW w:w="2108" w:type="pct"/>
          </w:tcPr>
          <w:p w:rsidR="004C1BCE" w:rsidRPr="00B21B11" w:rsidP="004B7FDD" w14:paraId="5C944655" w14:textId="77777777">
            <w:pPr>
              <w:pStyle w:val="TableTextLeft"/>
              <w:rPr>
                <w:sz w:val="16"/>
                <w:szCs w:val="16"/>
              </w:rPr>
            </w:pPr>
          </w:p>
        </w:tc>
        <w:tc>
          <w:tcPr>
            <w:tcW w:w="213" w:type="pct"/>
          </w:tcPr>
          <w:p w:rsidR="004C1BCE" w:rsidRPr="00B21B11" w:rsidP="004B7FDD" w14:paraId="3F5B0BFD" w14:textId="77777777">
            <w:pPr>
              <w:pStyle w:val="TableTextLeft"/>
              <w:rPr>
                <w:sz w:val="16"/>
                <w:szCs w:val="16"/>
              </w:rPr>
            </w:pPr>
            <w:r w:rsidRPr="00B21B11">
              <w:rPr>
                <w:sz w:val="16"/>
                <w:szCs w:val="16"/>
              </w:rPr>
              <w:t>May</w:t>
            </w:r>
          </w:p>
        </w:tc>
        <w:tc>
          <w:tcPr>
            <w:tcW w:w="183" w:type="pct"/>
          </w:tcPr>
          <w:p w:rsidR="004C1BCE" w:rsidRPr="00B21B11" w:rsidP="004B7FDD" w14:paraId="22E7ABF9" w14:textId="77777777">
            <w:pPr>
              <w:pStyle w:val="TableTextLeft"/>
              <w:rPr>
                <w:sz w:val="16"/>
                <w:szCs w:val="16"/>
              </w:rPr>
            </w:pPr>
            <w:r w:rsidRPr="00B21B11">
              <w:rPr>
                <w:sz w:val="16"/>
                <w:szCs w:val="16"/>
              </w:rPr>
              <w:t>Jun</w:t>
            </w:r>
          </w:p>
        </w:tc>
        <w:tc>
          <w:tcPr>
            <w:tcW w:w="155" w:type="pct"/>
          </w:tcPr>
          <w:p w:rsidR="004C1BCE" w:rsidRPr="00B21B11" w:rsidP="004B7FDD" w14:paraId="2CBD38BD" w14:textId="77777777">
            <w:pPr>
              <w:pStyle w:val="TableTextLeft"/>
              <w:rPr>
                <w:sz w:val="16"/>
                <w:szCs w:val="16"/>
              </w:rPr>
            </w:pPr>
            <w:r w:rsidRPr="00B21B11">
              <w:rPr>
                <w:sz w:val="16"/>
                <w:szCs w:val="16"/>
              </w:rPr>
              <w:t>Jul</w:t>
            </w:r>
          </w:p>
        </w:tc>
        <w:tc>
          <w:tcPr>
            <w:tcW w:w="209" w:type="pct"/>
          </w:tcPr>
          <w:p w:rsidR="004C1BCE" w:rsidRPr="00B21B11" w:rsidP="004B7FDD" w14:paraId="723676DC" w14:textId="77777777">
            <w:pPr>
              <w:pStyle w:val="TableTextLeft"/>
              <w:rPr>
                <w:sz w:val="16"/>
                <w:szCs w:val="16"/>
              </w:rPr>
            </w:pPr>
            <w:r w:rsidRPr="00B21B11">
              <w:rPr>
                <w:sz w:val="16"/>
                <w:szCs w:val="16"/>
              </w:rPr>
              <w:t>Aug</w:t>
            </w:r>
          </w:p>
        </w:tc>
        <w:tc>
          <w:tcPr>
            <w:tcW w:w="195" w:type="pct"/>
          </w:tcPr>
          <w:p w:rsidR="004C1BCE" w:rsidRPr="00B21B11" w:rsidP="004B7FDD" w14:paraId="2E7ACBB6" w14:textId="77777777">
            <w:pPr>
              <w:pStyle w:val="TableTextLeft"/>
              <w:rPr>
                <w:sz w:val="16"/>
                <w:szCs w:val="16"/>
              </w:rPr>
            </w:pPr>
            <w:r w:rsidRPr="00B21B11">
              <w:rPr>
                <w:sz w:val="16"/>
                <w:szCs w:val="16"/>
              </w:rPr>
              <w:t>Sep</w:t>
            </w:r>
          </w:p>
        </w:tc>
        <w:tc>
          <w:tcPr>
            <w:tcW w:w="189" w:type="pct"/>
          </w:tcPr>
          <w:p w:rsidR="004C1BCE" w:rsidRPr="00B21B11" w:rsidP="004B7FDD" w14:paraId="37E5CD46" w14:textId="77777777">
            <w:pPr>
              <w:pStyle w:val="TableTextLeft"/>
              <w:rPr>
                <w:sz w:val="16"/>
                <w:szCs w:val="16"/>
              </w:rPr>
            </w:pPr>
            <w:r w:rsidRPr="00B21B11">
              <w:rPr>
                <w:sz w:val="16"/>
                <w:szCs w:val="16"/>
              </w:rPr>
              <w:t>Oct</w:t>
            </w:r>
          </w:p>
        </w:tc>
        <w:tc>
          <w:tcPr>
            <w:tcW w:w="210" w:type="pct"/>
          </w:tcPr>
          <w:p w:rsidR="004C1BCE" w:rsidRPr="00B21B11" w:rsidP="004B7FDD" w14:paraId="0600CD33" w14:textId="77777777">
            <w:pPr>
              <w:pStyle w:val="TableTextLeft"/>
              <w:rPr>
                <w:sz w:val="16"/>
                <w:szCs w:val="16"/>
              </w:rPr>
            </w:pPr>
            <w:r w:rsidRPr="00B21B11">
              <w:rPr>
                <w:sz w:val="16"/>
                <w:szCs w:val="16"/>
              </w:rPr>
              <w:t>Nov</w:t>
            </w:r>
          </w:p>
        </w:tc>
        <w:tc>
          <w:tcPr>
            <w:tcW w:w="201" w:type="pct"/>
          </w:tcPr>
          <w:p w:rsidR="004C1BCE" w:rsidRPr="00B21B11" w:rsidP="004B7FDD" w14:paraId="67CCDE0A" w14:textId="77777777">
            <w:pPr>
              <w:pStyle w:val="TableTextLeft"/>
              <w:rPr>
                <w:sz w:val="16"/>
                <w:szCs w:val="16"/>
              </w:rPr>
            </w:pPr>
            <w:r w:rsidRPr="00B21B11">
              <w:rPr>
                <w:sz w:val="16"/>
                <w:szCs w:val="16"/>
              </w:rPr>
              <w:t>Dec</w:t>
            </w:r>
          </w:p>
        </w:tc>
        <w:tc>
          <w:tcPr>
            <w:tcW w:w="178" w:type="pct"/>
          </w:tcPr>
          <w:p w:rsidR="004C1BCE" w:rsidRPr="00B21B11" w:rsidP="004B7FDD" w14:paraId="396F0E88" w14:textId="77777777">
            <w:pPr>
              <w:pStyle w:val="TableTextLeft"/>
              <w:rPr>
                <w:sz w:val="16"/>
                <w:szCs w:val="16"/>
              </w:rPr>
            </w:pPr>
            <w:r w:rsidRPr="00B21B11">
              <w:rPr>
                <w:sz w:val="16"/>
                <w:szCs w:val="16"/>
              </w:rPr>
              <w:t>Jan</w:t>
            </w:r>
          </w:p>
        </w:tc>
        <w:tc>
          <w:tcPr>
            <w:tcW w:w="193" w:type="pct"/>
          </w:tcPr>
          <w:p w:rsidR="004C1BCE" w:rsidRPr="00B21B11" w:rsidP="004B7FDD" w14:paraId="748D5CA2" w14:textId="77777777">
            <w:pPr>
              <w:pStyle w:val="TableTextLeft"/>
              <w:rPr>
                <w:sz w:val="16"/>
                <w:szCs w:val="16"/>
              </w:rPr>
            </w:pPr>
            <w:r w:rsidRPr="00B21B11">
              <w:rPr>
                <w:sz w:val="16"/>
                <w:szCs w:val="16"/>
              </w:rPr>
              <w:t>Feb</w:t>
            </w:r>
          </w:p>
        </w:tc>
        <w:tc>
          <w:tcPr>
            <w:tcW w:w="206" w:type="pct"/>
          </w:tcPr>
          <w:p w:rsidR="004C1BCE" w:rsidRPr="00B21B11" w:rsidP="004B7FDD" w14:paraId="6E279BE6" w14:textId="77777777">
            <w:pPr>
              <w:pStyle w:val="TableTextLeft"/>
              <w:rPr>
                <w:sz w:val="16"/>
                <w:szCs w:val="16"/>
              </w:rPr>
            </w:pPr>
            <w:r w:rsidRPr="00B21B11">
              <w:rPr>
                <w:sz w:val="16"/>
                <w:szCs w:val="16"/>
              </w:rPr>
              <w:t>Mar</w:t>
            </w:r>
          </w:p>
        </w:tc>
        <w:tc>
          <w:tcPr>
            <w:tcW w:w="191" w:type="pct"/>
          </w:tcPr>
          <w:p w:rsidR="004C1BCE" w:rsidRPr="00B21B11" w:rsidP="004B7FDD" w14:paraId="0094B9E0" w14:textId="77777777">
            <w:pPr>
              <w:pStyle w:val="TableTextLeft"/>
              <w:rPr>
                <w:sz w:val="16"/>
                <w:szCs w:val="16"/>
              </w:rPr>
            </w:pPr>
            <w:r w:rsidRPr="00B21B11">
              <w:rPr>
                <w:sz w:val="16"/>
                <w:szCs w:val="16"/>
              </w:rPr>
              <w:t>Apr</w:t>
            </w:r>
          </w:p>
        </w:tc>
        <w:tc>
          <w:tcPr>
            <w:tcW w:w="217" w:type="pct"/>
          </w:tcPr>
          <w:p w:rsidR="004C1BCE" w:rsidRPr="00B21B11" w:rsidP="004B7FDD" w14:paraId="64AB6877" w14:textId="77777777">
            <w:pPr>
              <w:pStyle w:val="TableTextLeft"/>
              <w:rPr>
                <w:sz w:val="16"/>
                <w:szCs w:val="16"/>
              </w:rPr>
            </w:pPr>
            <w:r w:rsidRPr="00B21B11">
              <w:rPr>
                <w:sz w:val="16"/>
                <w:szCs w:val="16"/>
              </w:rPr>
              <w:t>May</w:t>
            </w:r>
          </w:p>
        </w:tc>
        <w:tc>
          <w:tcPr>
            <w:tcW w:w="184" w:type="pct"/>
          </w:tcPr>
          <w:p w:rsidR="004C1BCE" w:rsidRPr="00B21B11" w:rsidP="004B7FDD" w14:paraId="1ED38FE0" w14:textId="77777777">
            <w:pPr>
              <w:pStyle w:val="TableTextLeft"/>
              <w:rPr>
                <w:sz w:val="16"/>
                <w:szCs w:val="16"/>
              </w:rPr>
            </w:pPr>
            <w:r w:rsidRPr="00B21B11">
              <w:rPr>
                <w:sz w:val="16"/>
                <w:szCs w:val="16"/>
              </w:rPr>
              <w:t>Jun</w:t>
            </w:r>
          </w:p>
        </w:tc>
        <w:tc>
          <w:tcPr>
            <w:tcW w:w="168" w:type="pct"/>
          </w:tcPr>
          <w:p w:rsidR="004C1BCE" w:rsidRPr="00B21B11" w:rsidP="004B7FDD" w14:paraId="35433FDE" w14:textId="77777777">
            <w:pPr>
              <w:pStyle w:val="TableTextLeft"/>
              <w:rPr>
                <w:sz w:val="16"/>
                <w:szCs w:val="16"/>
              </w:rPr>
            </w:pPr>
            <w:r w:rsidRPr="00B21B11">
              <w:rPr>
                <w:sz w:val="16"/>
                <w:szCs w:val="16"/>
              </w:rPr>
              <w:t>Jul</w:t>
            </w:r>
          </w:p>
        </w:tc>
      </w:tr>
      <w:tr w14:paraId="07422F28" w14:textId="77777777" w:rsidTr="00247CCF">
        <w:tblPrEx>
          <w:tblW w:w="5000" w:type="pct"/>
          <w:tblLook w:val="04A0"/>
        </w:tblPrEx>
        <w:trPr>
          <w:trHeight w:val="120"/>
        </w:trPr>
        <w:tc>
          <w:tcPr>
            <w:tcW w:w="0" w:type="pct"/>
          </w:tcPr>
          <w:p w:rsidR="004C1BCE" w:rsidRPr="00B21B11" w:rsidP="004B7FDD" w14:paraId="1826C83B" w14:textId="774B412B">
            <w:pPr>
              <w:pStyle w:val="TableTextLeft"/>
              <w:rPr>
                <w:sz w:val="16"/>
                <w:szCs w:val="16"/>
              </w:rPr>
            </w:pPr>
            <w:r>
              <w:rPr>
                <w:sz w:val="16"/>
                <w:szCs w:val="16"/>
              </w:rPr>
              <w:t>Protocol development</w:t>
            </w:r>
          </w:p>
        </w:tc>
        <w:tc>
          <w:tcPr>
            <w:tcW w:w="0" w:type="pct"/>
          </w:tcPr>
          <w:p w:rsidR="004C1BCE" w:rsidRPr="00B21B11" w:rsidP="004B7FDD" w14:paraId="22DC4DD0" w14:textId="77777777">
            <w:pPr>
              <w:pStyle w:val="TableTextLeft"/>
              <w:rPr>
                <w:sz w:val="16"/>
                <w:szCs w:val="16"/>
              </w:rPr>
            </w:pPr>
          </w:p>
        </w:tc>
        <w:tc>
          <w:tcPr>
            <w:tcW w:w="0" w:type="pct"/>
            <w:shd w:val="clear" w:color="auto" w:fill="auto"/>
          </w:tcPr>
          <w:p w:rsidR="004C1BCE" w:rsidRPr="00B21B11" w:rsidP="004B7FDD" w14:paraId="78A1EEE3" w14:textId="77777777">
            <w:pPr>
              <w:pStyle w:val="TableTextLeft"/>
              <w:rPr>
                <w:sz w:val="16"/>
                <w:szCs w:val="16"/>
              </w:rPr>
            </w:pPr>
          </w:p>
        </w:tc>
        <w:tc>
          <w:tcPr>
            <w:tcW w:w="0" w:type="pct"/>
            <w:shd w:val="clear" w:color="auto" w:fill="5B9BD5" w:themeFill="accent1"/>
          </w:tcPr>
          <w:p w:rsidR="004C1BCE" w:rsidRPr="00B21B11" w:rsidP="004B7FDD" w14:paraId="775681DB" w14:textId="77777777">
            <w:pPr>
              <w:pStyle w:val="TableTextLeft"/>
              <w:rPr>
                <w:sz w:val="16"/>
                <w:szCs w:val="16"/>
              </w:rPr>
            </w:pPr>
          </w:p>
        </w:tc>
        <w:tc>
          <w:tcPr>
            <w:tcW w:w="0" w:type="pct"/>
            <w:shd w:val="clear" w:color="auto" w:fill="5B9BD5" w:themeFill="accent1"/>
          </w:tcPr>
          <w:p w:rsidR="004C1BCE" w:rsidRPr="00B21B11" w:rsidP="004B7FDD" w14:paraId="4CC0B774" w14:textId="77777777">
            <w:pPr>
              <w:pStyle w:val="TableTextLeft"/>
              <w:rPr>
                <w:sz w:val="16"/>
                <w:szCs w:val="16"/>
              </w:rPr>
            </w:pPr>
          </w:p>
        </w:tc>
        <w:tc>
          <w:tcPr>
            <w:tcW w:w="0" w:type="pct"/>
            <w:shd w:val="clear" w:color="auto" w:fill="5B9BD5" w:themeFill="accent1"/>
          </w:tcPr>
          <w:p w:rsidR="004C1BCE" w:rsidRPr="00B21B11" w:rsidP="004B7FDD" w14:paraId="184AB196" w14:textId="77777777">
            <w:pPr>
              <w:pStyle w:val="TableTextLeft"/>
              <w:rPr>
                <w:sz w:val="16"/>
                <w:szCs w:val="16"/>
              </w:rPr>
            </w:pPr>
          </w:p>
        </w:tc>
        <w:tc>
          <w:tcPr>
            <w:tcW w:w="0" w:type="pct"/>
          </w:tcPr>
          <w:p w:rsidR="004C1BCE" w:rsidRPr="00B21B11" w:rsidP="004B7FDD" w14:paraId="048B962C" w14:textId="77777777">
            <w:pPr>
              <w:pStyle w:val="TableTextLeft"/>
              <w:rPr>
                <w:sz w:val="16"/>
                <w:szCs w:val="16"/>
              </w:rPr>
            </w:pPr>
          </w:p>
        </w:tc>
        <w:tc>
          <w:tcPr>
            <w:tcW w:w="0" w:type="pct"/>
          </w:tcPr>
          <w:p w:rsidR="004C1BCE" w:rsidRPr="00B21B11" w:rsidP="004B7FDD" w14:paraId="7A0CBED1" w14:textId="77777777">
            <w:pPr>
              <w:pStyle w:val="TableTextLeft"/>
              <w:rPr>
                <w:sz w:val="16"/>
                <w:szCs w:val="16"/>
              </w:rPr>
            </w:pPr>
          </w:p>
        </w:tc>
        <w:tc>
          <w:tcPr>
            <w:tcW w:w="0" w:type="pct"/>
          </w:tcPr>
          <w:p w:rsidR="004C1BCE" w:rsidRPr="00B21B11" w:rsidP="004B7FDD" w14:paraId="560157E7" w14:textId="77777777">
            <w:pPr>
              <w:pStyle w:val="TableTextLeft"/>
              <w:rPr>
                <w:sz w:val="16"/>
                <w:szCs w:val="16"/>
              </w:rPr>
            </w:pPr>
          </w:p>
        </w:tc>
        <w:tc>
          <w:tcPr>
            <w:tcW w:w="0" w:type="pct"/>
          </w:tcPr>
          <w:p w:rsidR="004C1BCE" w:rsidRPr="00B21B11" w:rsidP="004B7FDD" w14:paraId="0C961C0D" w14:textId="77777777">
            <w:pPr>
              <w:pStyle w:val="TableTextLeft"/>
              <w:rPr>
                <w:sz w:val="16"/>
                <w:szCs w:val="16"/>
              </w:rPr>
            </w:pPr>
          </w:p>
        </w:tc>
        <w:tc>
          <w:tcPr>
            <w:tcW w:w="0" w:type="pct"/>
          </w:tcPr>
          <w:p w:rsidR="004C1BCE" w:rsidRPr="00B21B11" w:rsidP="004B7FDD" w14:paraId="75BEDE1C" w14:textId="77777777">
            <w:pPr>
              <w:pStyle w:val="TableTextLeft"/>
              <w:rPr>
                <w:sz w:val="16"/>
                <w:szCs w:val="16"/>
              </w:rPr>
            </w:pPr>
          </w:p>
        </w:tc>
        <w:tc>
          <w:tcPr>
            <w:tcW w:w="0" w:type="pct"/>
          </w:tcPr>
          <w:p w:rsidR="004C1BCE" w:rsidRPr="00B21B11" w:rsidP="004B7FDD" w14:paraId="365BCBA3" w14:textId="77777777">
            <w:pPr>
              <w:pStyle w:val="TableTextLeft"/>
              <w:rPr>
                <w:sz w:val="16"/>
                <w:szCs w:val="16"/>
              </w:rPr>
            </w:pPr>
          </w:p>
        </w:tc>
        <w:tc>
          <w:tcPr>
            <w:tcW w:w="0" w:type="pct"/>
          </w:tcPr>
          <w:p w:rsidR="004C1BCE" w:rsidRPr="00B21B11" w:rsidP="004B7FDD" w14:paraId="7AA0029B" w14:textId="77777777">
            <w:pPr>
              <w:pStyle w:val="TableTextLeft"/>
              <w:rPr>
                <w:sz w:val="16"/>
                <w:szCs w:val="16"/>
              </w:rPr>
            </w:pPr>
          </w:p>
        </w:tc>
        <w:tc>
          <w:tcPr>
            <w:tcW w:w="0" w:type="pct"/>
          </w:tcPr>
          <w:p w:rsidR="004C1BCE" w:rsidRPr="00B21B11" w:rsidP="004B7FDD" w14:paraId="6790DEB4" w14:textId="77777777">
            <w:pPr>
              <w:pStyle w:val="TableTextLeft"/>
              <w:rPr>
                <w:sz w:val="16"/>
                <w:szCs w:val="16"/>
              </w:rPr>
            </w:pPr>
          </w:p>
        </w:tc>
        <w:tc>
          <w:tcPr>
            <w:tcW w:w="0" w:type="pct"/>
          </w:tcPr>
          <w:p w:rsidR="004C1BCE" w:rsidRPr="00B21B11" w:rsidP="004B7FDD" w14:paraId="3BBC9CE5" w14:textId="77777777">
            <w:pPr>
              <w:pStyle w:val="TableTextLeft"/>
              <w:rPr>
                <w:sz w:val="16"/>
                <w:szCs w:val="16"/>
              </w:rPr>
            </w:pPr>
          </w:p>
        </w:tc>
        <w:tc>
          <w:tcPr>
            <w:tcW w:w="0" w:type="pct"/>
          </w:tcPr>
          <w:p w:rsidR="004C1BCE" w:rsidRPr="00B21B11" w:rsidP="004B7FDD" w14:paraId="4DDBE08C" w14:textId="77777777">
            <w:pPr>
              <w:pStyle w:val="TableTextLeft"/>
              <w:rPr>
                <w:sz w:val="16"/>
                <w:szCs w:val="16"/>
              </w:rPr>
            </w:pPr>
          </w:p>
        </w:tc>
      </w:tr>
      <w:tr w14:paraId="1D17334B" w14:textId="77777777" w:rsidTr="00D30F65">
        <w:tblPrEx>
          <w:tblW w:w="5000" w:type="pct"/>
          <w:tblLook w:val="04A0"/>
        </w:tblPrEx>
        <w:trPr>
          <w:trHeight w:val="120"/>
        </w:trPr>
        <w:tc>
          <w:tcPr>
            <w:tcW w:w="0" w:type="pct"/>
          </w:tcPr>
          <w:p w:rsidR="004C1BCE" w:rsidP="004B7FDD" w14:paraId="1117D246" w14:textId="3686EE84">
            <w:pPr>
              <w:pStyle w:val="TableTextLeft"/>
              <w:rPr>
                <w:sz w:val="16"/>
                <w:szCs w:val="16"/>
              </w:rPr>
            </w:pPr>
            <w:r>
              <w:rPr>
                <w:sz w:val="16"/>
                <w:szCs w:val="16"/>
              </w:rPr>
              <w:t>OMB submission and clearance</w:t>
            </w:r>
          </w:p>
        </w:tc>
        <w:tc>
          <w:tcPr>
            <w:tcW w:w="0" w:type="pct"/>
          </w:tcPr>
          <w:p w:rsidR="004C1BCE" w:rsidRPr="00B21B11" w:rsidP="004B7FDD" w14:paraId="59EA7882" w14:textId="77777777">
            <w:pPr>
              <w:pStyle w:val="TableTextLeft"/>
              <w:rPr>
                <w:sz w:val="16"/>
                <w:szCs w:val="16"/>
              </w:rPr>
            </w:pPr>
          </w:p>
        </w:tc>
        <w:tc>
          <w:tcPr>
            <w:tcW w:w="0" w:type="pct"/>
            <w:shd w:val="clear" w:color="auto" w:fill="auto"/>
          </w:tcPr>
          <w:p w:rsidR="004C1BCE" w:rsidRPr="00B21B11" w:rsidP="004B7FDD" w14:paraId="131DEC18" w14:textId="77777777">
            <w:pPr>
              <w:pStyle w:val="TableTextLeft"/>
              <w:rPr>
                <w:sz w:val="16"/>
                <w:szCs w:val="16"/>
              </w:rPr>
            </w:pPr>
          </w:p>
        </w:tc>
        <w:tc>
          <w:tcPr>
            <w:tcW w:w="0" w:type="pct"/>
            <w:shd w:val="clear" w:color="auto" w:fill="auto"/>
          </w:tcPr>
          <w:p w:rsidR="004C1BCE" w:rsidRPr="00B21B11" w:rsidP="004B7FDD" w14:paraId="7DF71887" w14:textId="77777777">
            <w:pPr>
              <w:pStyle w:val="TableTextLeft"/>
              <w:rPr>
                <w:sz w:val="16"/>
                <w:szCs w:val="16"/>
              </w:rPr>
            </w:pPr>
          </w:p>
        </w:tc>
        <w:tc>
          <w:tcPr>
            <w:tcW w:w="0" w:type="pct"/>
            <w:shd w:val="clear" w:color="auto" w:fill="5B9BD5" w:themeFill="accent1"/>
          </w:tcPr>
          <w:p w:rsidR="004C1BCE" w:rsidRPr="00B21B11" w:rsidP="004B7FDD" w14:paraId="0B74DBA5" w14:textId="77777777">
            <w:pPr>
              <w:pStyle w:val="TableTextLeft"/>
              <w:rPr>
                <w:sz w:val="16"/>
                <w:szCs w:val="16"/>
              </w:rPr>
            </w:pPr>
          </w:p>
        </w:tc>
        <w:tc>
          <w:tcPr>
            <w:tcW w:w="0" w:type="pct"/>
            <w:shd w:val="clear" w:color="auto" w:fill="5B9BD5" w:themeFill="accent1"/>
          </w:tcPr>
          <w:p w:rsidR="004C1BCE" w:rsidRPr="00B21B11" w:rsidP="004B7FDD" w14:paraId="1D1B124C" w14:textId="77777777">
            <w:pPr>
              <w:pStyle w:val="TableTextLeft"/>
              <w:rPr>
                <w:sz w:val="16"/>
                <w:szCs w:val="16"/>
              </w:rPr>
            </w:pPr>
          </w:p>
        </w:tc>
        <w:tc>
          <w:tcPr>
            <w:tcW w:w="0" w:type="pct"/>
            <w:shd w:val="clear" w:color="auto" w:fill="5B9BD5" w:themeFill="accent1"/>
          </w:tcPr>
          <w:p w:rsidR="004C1BCE" w:rsidRPr="00B21B11" w:rsidP="004B7FDD" w14:paraId="3299C0C8" w14:textId="77777777">
            <w:pPr>
              <w:pStyle w:val="TableTextLeft"/>
              <w:rPr>
                <w:sz w:val="16"/>
                <w:szCs w:val="16"/>
              </w:rPr>
            </w:pPr>
          </w:p>
        </w:tc>
        <w:tc>
          <w:tcPr>
            <w:tcW w:w="0" w:type="pct"/>
            <w:shd w:val="clear" w:color="auto" w:fill="auto"/>
          </w:tcPr>
          <w:p w:rsidR="004C1BCE" w:rsidRPr="00B21B11" w:rsidP="004B7FDD" w14:paraId="4F8583F5" w14:textId="77777777">
            <w:pPr>
              <w:pStyle w:val="TableTextLeft"/>
              <w:rPr>
                <w:sz w:val="16"/>
                <w:szCs w:val="16"/>
              </w:rPr>
            </w:pPr>
          </w:p>
        </w:tc>
        <w:tc>
          <w:tcPr>
            <w:tcW w:w="0" w:type="pct"/>
            <w:shd w:val="clear" w:color="auto" w:fill="auto"/>
          </w:tcPr>
          <w:p w:rsidR="004C1BCE" w:rsidRPr="00B21B11" w:rsidP="004B7FDD" w14:paraId="50243CE6" w14:textId="77777777">
            <w:pPr>
              <w:pStyle w:val="TableTextLeft"/>
              <w:rPr>
                <w:sz w:val="16"/>
                <w:szCs w:val="16"/>
              </w:rPr>
            </w:pPr>
          </w:p>
        </w:tc>
        <w:tc>
          <w:tcPr>
            <w:tcW w:w="0" w:type="pct"/>
            <w:shd w:val="clear" w:color="auto" w:fill="auto"/>
          </w:tcPr>
          <w:p w:rsidR="004C1BCE" w:rsidRPr="00B21B11" w:rsidP="004B7FDD" w14:paraId="194116CD" w14:textId="77777777">
            <w:pPr>
              <w:pStyle w:val="TableTextLeft"/>
              <w:rPr>
                <w:sz w:val="16"/>
                <w:szCs w:val="16"/>
              </w:rPr>
            </w:pPr>
          </w:p>
        </w:tc>
        <w:tc>
          <w:tcPr>
            <w:tcW w:w="0" w:type="pct"/>
          </w:tcPr>
          <w:p w:rsidR="004C1BCE" w:rsidRPr="00B21B11" w:rsidP="004B7FDD" w14:paraId="711488BE" w14:textId="77777777">
            <w:pPr>
              <w:pStyle w:val="TableTextLeft"/>
              <w:rPr>
                <w:sz w:val="16"/>
                <w:szCs w:val="16"/>
              </w:rPr>
            </w:pPr>
          </w:p>
        </w:tc>
        <w:tc>
          <w:tcPr>
            <w:tcW w:w="0" w:type="pct"/>
          </w:tcPr>
          <w:p w:rsidR="004C1BCE" w:rsidRPr="00B21B11" w:rsidP="004B7FDD" w14:paraId="3BCECBCC" w14:textId="77777777">
            <w:pPr>
              <w:pStyle w:val="TableTextLeft"/>
              <w:rPr>
                <w:sz w:val="16"/>
                <w:szCs w:val="16"/>
              </w:rPr>
            </w:pPr>
          </w:p>
        </w:tc>
        <w:tc>
          <w:tcPr>
            <w:tcW w:w="0" w:type="pct"/>
          </w:tcPr>
          <w:p w:rsidR="004C1BCE" w:rsidRPr="00B21B11" w:rsidP="004B7FDD" w14:paraId="076D24CF" w14:textId="77777777">
            <w:pPr>
              <w:pStyle w:val="TableTextLeft"/>
              <w:rPr>
                <w:sz w:val="16"/>
                <w:szCs w:val="16"/>
              </w:rPr>
            </w:pPr>
          </w:p>
        </w:tc>
        <w:tc>
          <w:tcPr>
            <w:tcW w:w="0" w:type="pct"/>
          </w:tcPr>
          <w:p w:rsidR="004C1BCE" w:rsidRPr="00B21B11" w:rsidP="004B7FDD" w14:paraId="0129C88F" w14:textId="77777777">
            <w:pPr>
              <w:pStyle w:val="TableTextLeft"/>
              <w:rPr>
                <w:sz w:val="16"/>
                <w:szCs w:val="16"/>
              </w:rPr>
            </w:pPr>
          </w:p>
        </w:tc>
        <w:tc>
          <w:tcPr>
            <w:tcW w:w="0" w:type="pct"/>
          </w:tcPr>
          <w:p w:rsidR="004C1BCE" w:rsidRPr="00B21B11" w:rsidP="004B7FDD" w14:paraId="3AFFC1A2" w14:textId="77777777">
            <w:pPr>
              <w:pStyle w:val="TableTextLeft"/>
              <w:rPr>
                <w:sz w:val="16"/>
                <w:szCs w:val="16"/>
              </w:rPr>
            </w:pPr>
          </w:p>
        </w:tc>
        <w:tc>
          <w:tcPr>
            <w:tcW w:w="0" w:type="pct"/>
          </w:tcPr>
          <w:p w:rsidR="004C1BCE" w:rsidRPr="00B21B11" w:rsidP="004B7FDD" w14:paraId="00B439BA" w14:textId="77777777">
            <w:pPr>
              <w:pStyle w:val="TableTextLeft"/>
              <w:rPr>
                <w:sz w:val="16"/>
                <w:szCs w:val="16"/>
              </w:rPr>
            </w:pPr>
          </w:p>
        </w:tc>
      </w:tr>
      <w:tr w14:paraId="4CFA70C1" w14:textId="77777777" w:rsidTr="00247CCF">
        <w:tblPrEx>
          <w:tblW w:w="5000" w:type="pct"/>
          <w:tblLook w:val="04A0"/>
        </w:tblPrEx>
        <w:trPr>
          <w:trHeight w:val="120"/>
        </w:trPr>
        <w:tc>
          <w:tcPr>
            <w:tcW w:w="2108" w:type="pct"/>
          </w:tcPr>
          <w:p w:rsidR="004C1BCE" w:rsidP="004B7FDD" w14:paraId="1E1789DC" w14:textId="6C436BB4">
            <w:pPr>
              <w:pStyle w:val="TableTextLeft"/>
              <w:rPr>
                <w:sz w:val="16"/>
                <w:szCs w:val="16"/>
              </w:rPr>
            </w:pPr>
            <w:r>
              <w:rPr>
                <w:sz w:val="16"/>
                <w:szCs w:val="16"/>
              </w:rPr>
              <w:t xml:space="preserve">Conduct </w:t>
            </w:r>
            <w:r w:rsidR="00F8634B">
              <w:rPr>
                <w:sz w:val="16"/>
                <w:szCs w:val="16"/>
              </w:rPr>
              <w:t>individual and small group</w:t>
            </w:r>
            <w:r>
              <w:rPr>
                <w:sz w:val="16"/>
                <w:szCs w:val="16"/>
              </w:rPr>
              <w:t xml:space="preserve"> discussions and analysis </w:t>
            </w:r>
          </w:p>
        </w:tc>
        <w:tc>
          <w:tcPr>
            <w:tcW w:w="213" w:type="pct"/>
          </w:tcPr>
          <w:p w:rsidR="004C1BCE" w:rsidRPr="00B21B11" w:rsidP="004B7FDD" w14:paraId="08107216" w14:textId="77777777">
            <w:pPr>
              <w:pStyle w:val="TableTextLeft"/>
              <w:rPr>
                <w:sz w:val="16"/>
                <w:szCs w:val="16"/>
              </w:rPr>
            </w:pPr>
          </w:p>
        </w:tc>
        <w:tc>
          <w:tcPr>
            <w:tcW w:w="183" w:type="pct"/>
            <w:shd w:val="clear" w:color="auto" w:fill="auto"/>
          </w:tcPr>
          <w:p w:rsidR="004C1BCE" w:rsidRPr="00B21B11" w:rsidP="004B7FDD" w14:paraId="79F577D0" w14:textId="77777777">
            <w:pPr>
              <w:pStyle w:val="TableTextLeft"/>
              <w:rPr>
                <w:sz w:val="16"/>
                <w:szCs w:val="16"/>
              </w:rPr>
            </w:pPr>
          </w:p>
        </w:tc>
        <w:tc>
          <w:tcPr>
            <w:tcW w:w="155" w:type="pct"/>
            <w:shd w:val="clear" w:color="auto" w:fill="auto"/>
          </w:tcPr>
          <w:p w:rsidR="004C1BCE" w:rsidRPr="00B21B11" w:rsidP="004B7FDD" w14:paraId="59026980" w14:textId="77777777">
            <w:pPr>
              <w:pStyle w:val="TableTextLeft"/>
              <w:rPr>
                <w:sz w:val="16"/>
                <w:szCs w:val="16"/>
              </w:rPr>
            </w:pPr>
          </w:p>
        </w:tc>
        <w:tc>
          <w:tcPr>
            <w:tcW w:w="209" w:type="pct"/>
            <w:shd w:val="clear" w:color="auto" w:fill="auto"/>
          </w:tcPr>
          <w:p w:rsidR="004C1BCE" w:rsidRPr="00B21B11" w:rsidP="004B7FDD" w14:paraId="4C962A31" w14:textId="77777777">
            <w:pPr>
              <w:pStyle w:val="TableTextLeft"/>
              <w:rPr>
                <w:sz w:val="16"/>
                <w:szCs w:val="16"/>
              </w:rPr>
            </w:pPr>
          </w:p>
        </w:tc>
        <w:tc>
          <w:tcPr>
            <w:tcW w:w="195" w:type="pct"/>
            <w:shd w:val="clear" w:color="auto" w:fill="auto"/>
          </w:tcPr>
          <w:p w:rsidR="004C1BCE" w:rsidRPr="00B21B11" w:rsidP="004B7FDD" w14:paraId="37DD79B6" w14:textId="77777777">
            <w:pPr>
              <w:pStyle w:val="TableTextLeft"/>
              <w:rPr>
                <w:sz w:val="16"/>
                <w:szCs w:val="16"/>
              </w:rPr>
            </w:pPr>
          </w:p>
        </w:tc>
        <w:tc>
          <w:tcPr>
            <w:tcW w:w="189" w:type="pct"/>
            <w:shd w:val="clear" w:color="auto" w:fill="5B9BD5" w:themeFill="accent1"/>
          </w:tcPr>
          <w:p w:rsidR="004C1BCE" w:rsidRPr="00B21B11" w:rsidP="004B7FDD" w14:paraId="469301C6" w14:textId="77777777">
            <w:pPr>
              <w:pStyle w:val="TableTextLeft"/>
              <w:rPr>
                <w:sz w:val="16"/>
                <w:szCs w:val="16"/>
              </w:rPr>
            </w:pPr>
          </w:p>
        </w:tc>
        <w:tc>
          <w:tcPr>
            <w:tcW w:w="210" w:type="pct"/>
            <w:shd w:val="clear" w:color="auto" w:fill="5B9BD5" w:themeFill="accent1"/>
          </w:tcPr>
          <w:p w:rsidR="004C1BCE" w:rsidRPr="00B21B11" w:rsidP="004B7FDD" w14:paraId="10B7EDC9" w14:textId="77777777">
            <w:pPr>
              <w:pStyle w:val="TableTextLeft"/>
              <w:rPr>
                <w:sz w:val="16"/>
                <w:szCs w:val="16"/>
              </w:rPr>
            </w:pPr>
          </w:p>
        </w:tc>
        <w:tc>
          <w:tcPr>
            <w:tcW w:w="201" w:type="pct"/>
            <w:shd w:val="clear" w:color="auto" w:fill="5B9BD5" w:themeFill="accent1"/>
          </w:tcPr>
          <w:p w:rsidR="004C1BCE" w:rsidRPr="00B21B11" w:rsidP="004B7FDD" w14:paraId="7B29FE39" w14:textId="77777777">
            <w:pPr>
              <w:pStyle w:val="TableTextLeft"/>
              <w:rPr>
                <w:sz w:val="16"/>
                <w:szCs w:val="16"/>
              </w:rPr>
            </w:pPr>
          </w:p>
        </w:tc>
        <w:tc>
          <w:tcPr>
            <w:tcW w:w="178" w:type="pct"/>
            <w:shd w:val="clear" w:color="auto" w:fill="5B9BD5" w:themeFill="accent1"/>
          </w:tcPr>
          <w:p w:rsidR="004C1BCE" w:rsidRPr="00B21B11" w:rsidP="004B7FDD" w14:paraId="150AD87B" w14:textId="77777777">
            <w:pPr>
              <w:pStyle w:val="TableTextLeft"/>
              <w:rPr>
                <w:sz w:val="16"/>
                <w:szCs w:val="16"/>
              </w:rPr>
            </w:pPr>
          </w:p>
        </w:tc>
        <w:tc>
          <w:tcPr>
            <w:tcW w:w="193" w:type="pct"/>
          </w:tcPr>
          <w:p w:rsidR="004C1BCE" w:rsidRPr="00B21B11" w:rsidP="004B7FDD" w14:paraId="5C1F9F41" w14:textId="77777777">
            <w:pPr>
              <w:pStyle w:val="TableTextLeft"/>
              <w:rPr>
                <w:sz w:val="16"/>
                <w:szCs w:val="16"/>
              </w:rPr>
            </w:pPr>
          </w:p>
        </w:tc>
        <w:tc>
          <w:tcPr>
            <w:tcW w:w="206" w:type="pct"/>
          </w:tcPr>
          <w:p w:rsidR="004C1BCE" w:rsidRPr="00B21B11" w:rsidP="004B7FDD" w14:paraId="442D5FC6" w14:textId="77777777">
            <w:pPr>
              <w:pStyle w:val="TableTextLeft"/>
              <w:rPr>
                <w:sz w:val="16"/>
                <w:szCs w:val="16"/>
              </w:rPr>
            </w:pPr>
          </w:p>
        </w:tc>
        <w:tc>
          <w:tcPr>
            <w:tcW w:w="191" w:type="pct"/>
          </w:tcPr>
          <w:p w:rsidR="004C1BCE" w:rsidRPr="00B21B11" w:rsidP="004B7FDD" w14:paraId="1BBFFCA2" w14:textId="77777777">
            <w:pPr>
              <w:pStyle w:val="TableTextLeft"/>
              <w:rPr>
                <w:sz w:val="16"/>
                <w:szCs w:val="16"/>
              </w:rPr>
            </w:pPr>
          </w:p>
        </w:tc>
        <w:tc>
          <w:tcPr>
            <w:tcW w:w="217" w:type="pct"/>
          </w:tcPr>
          <w:p w:rsidR="004C1BCE" w:rsidRPr="00B21B11" w:rsidP="004B7FDD" w14:paraId="2F4B9431" w14:textId="77777777">
            <w:pPr>
              <w:pStyle w:val="TableTextLeft"/>
              <w:rPr>
                <w:sz w:val="16"/>
                <w:szCs w:val="16"/>
              </w:rPr>
            </w:pPr>
          </w:p>
        </w:tc>
        <w:tc>
          <w:tcPr>
            <w:tcW w:w="184" w:type="pct"/>
          </w:tcPr>
          <w:p w:rsidR="004C1BCE" w:rsidRPr="00B21B11" w:rsidP="004B7FDD" w14:paraId="0180DE44" w14:textId="77777777">
            <w:pPr>
              <w:pStyle w:val="TableTextLeft"/>
              <w:rPr>
                <w:sz w:val="16"/>
                <w:szCs w:val="16"/>
              </w:rPr>
            </w:pPr>
          </w:p>
        </w:tc>
        <w:tc>
          <w:tcPr>
            <w:tcW w:w="168" w:type="pct"/>
          </w:tcPr>
          <w:p w:rsidR="004C1BCE" w:rsidRPr="00B21B11" w:rsidP="004B7FDD" w14:paraId="47DB8E99" w14:textId="77777777">
            <w:pPr>
              <w:pStyle w:val="TableTextLeft"/>
              <w:rPr>
                <w:sz w:val="16"/>
                <w:szCs w:val="16"/>
              </w:rPr>
            </w:pPr>
          </w:p>
        </w:tc>
      </w:tr>
      <w:tr w14:paraId="2FB10A5F" w14:textId="77777777" w:rsidTr="004C1BCE">
        <w:tblPrEx>
          <w:tblW w:w="5000" w:type="pct"/>
          <w:tblLook w:val="04A0"/>
        </w:tblPrEx>
        <w:trPr>
          <w:trHeight w:val="120"/>
        </w:trPr>
        <w:tc>
          <w:tcPr>
            <w:tcW w:w="2108" w:type="pct"/>
          </w:tcPr>
          <w:p w:rsidR="004C1BCE" w:rsidRPr="00B21B11" w:rsidP="004B7FDD" w14:paraId="2D40F39F" w14:textId="632C4E1C">
            <w:pPr>
              <w:pStyle w:val="TableTextLeft"/>
              <w:rPr>
                <w:sz w:val="16"/>
                <w:szCs w:val="16"/>
              </w:rPr>
            </w:pPr>
            <w:r>
              <w:rPr>
                <w:sz w:val="16"/>
                <w:szCs w:val="16"/>
              </w:rPr>
              <w:t xml:space="preserve">Develop brief </w:t>
            </w:r>
          </w:p>
        </w:tc>
        <w:tc>
          <w:tcPr>
            <w:tcW w:w="213" w:type="pct"/>
          </w:tcPr>
          <w:p w:rsidR="004C1BCE" w:rsidRPr="00B21B11" w:rsidP="004B7FDD" w14:paraId="2FCED79B" w14:textId="77777777">
            <w:pPr>
              <w:pStyle w:val="TableTextLeft"/>
              <w:rPr>
                <w:sz w:val="16"/>
                <w:szCs w:val="16"/>
              </w:rPr>
            </w:pPr>
          </w:p>
        </w:tc>
        <w:tc>
          <w:tcPr>
            <w:tcW w:w="183" w:type="pct"/>
            <w:shd w:val="clear" w:color="auto" w:fill="auto"/>
          </w:tcPr>
          <w:p w:rsidR="004C1BCE" w:rsidRPr="00B21B11" w:rsidP="004B7FDD" w14:paraId="2D321BAB" w14:textId="77777777">
            <w:pPr>
              <w:pStyle w:val="TableTextLeft"/>
              <w:rPr>
                <w:sz w:val="16"/>
                <w:szCs w:val="16"/>
              </w:rPr>
            </w:pPr>
          </w:p>
        </w:tc>
        <w:tc>
          <w:tcPr>
            <w:tcW w:w="155" w:type="pct"/>
          </w:tcPr>
          <w:p w:rsidR="004C1BCE" w:rsidRPr="00B21B11" w:rsidP="004B7FDD" w14:paraId="765C3819" w14:textId="77777777">
            <w:pPr>
              <w:pStyle w:val="TableTextLeft"/>
              <w:rPr>
                <w:sz w:val="16"/>
                <w:szCs w:val="16"/>
              </w:rPr>
            </w:pPr>
          </w:p>
        </w:tc>
        <w:tc>
          <w:tcPr>
            <w:tcW w:w="209" w:type="pct"/>
          </w:tcPr>
          <w:p w:rsidR="004C1BCE" w:rsidRPr="00B21B11" w:rsidP="004B7FDD" w14:paraId="4AE11423" w14:textId="77777777">
            <w:pPr>
              <w:pStyle w:val="TableTextLeft"/>
              <w:rPr>
                <w:sz w:val="16"/>
                <w:szCs w:val="16"/>
              </w:rPr>
            </w:pPr>
          </w:p>
        </w:tc>
        <w:tc>
          <w:tcPr>
            <w:tcW w:w="195" w:type="pct"/>
          </w:tcPr>
          <w:p w:rsidR="004C1BCE" w:rsidRPr="00B21B11" w:rsidP="004B7FDD" w14:paraId="37CE62B3" w14:textId="77777777">
            <w:pPr>
              <w:pStyle w:val="TableTextLeft"/>
              <w:rPr>
                <w:sz w:val="16"/>
                <w:szCs w:val="16"/>
              </w:rPr>
            </w:pPr>
          </w:p>
        </w:tc>
        <w:tc>
          <w:tcPr>
            <w:tcW w:w="189" w:type="pct"/>
          </w:tcPr>
          <w:p w:rsidR="004C1BCE" w:rsidRPr="00B21B11" w:rsidP="004B7FDD" w14:paraId="03AD3AA8" w14:textId="77777777">
            <w:pPr>
              <w:pStyle w:val="TableTextLeft"/>
              <w:rPr>
                <w:sz w:val="16"/>
                <w:szCs w:val="16"/>
              </w:rPr>
            </w:pPr>
          </w:p>
        </w:tc>
        <w:tc>
          <w:tcPr>
            <w:tcW w:w="210" w:type="pct"/>
          </w:tcPr>
          <w:p w:rsidR="004C1BCE" w:rsidRPr="00B21B11" w:rsidP="004B7FDD" w14:paraId="27AFF967" w14:textId="77777777">
            <w:pPr>
              <w:pStyle w:val="TableTextLeft"/>
              <w:rPr>
                <w:sz w:val="16"/>
                <w:szCs w:val="16"/>
              </w:rPr>
            </w:pPr>
          </w:p>
        </w:tc>
        <w:tc>
          <w:tcPr>
            <w:tcW w:w="201" w:type="pct"/>
          </w:tcPr>
          <w:p w:rsidR="004C1BCE" w:rsidRPr="00B21B11" w:rsidP="004B7FDD" w14:paraId="24FFAB01" w14:textId="77777777">
            <w:pPr>
              <w:pStyle w:val="TableTextLeft"/>
              <w:rPr>
                <w:sz w:val="16"/>
                <w:szCs w:val="16"/>
              </w:rPr>
            </w:pPr>
          </w:p>
        </w:tc>
        <w:tc>
          <w:tcPr>
            <w:tcW w:w="178" w:type="pct"/>
            <w:shd w:val="clear" w:color="auto" w:fill="5B9BD5" w:themeFill="accent1"/>
          </w:tcPr>
          <w:p w:rsidR="004C1BCE" w:rsidRPr="00B21B11" w:rsidP="004B7FDD" w14:paraId="7F4FFCE2" w14:textId="77777777">
            <w:pPr>
              <w:pStyle w:val="TableTextLeft"/>
              <w:rPr>
                <w:sz w:val="16"/>
                <w:szCs w:val="16"/>
              </w:rPr>
            </w:pPr>
          </w:p>
        </w:tc>
        <w:tc>
          <w:tcPr>
            <w:tcW w:w="193" w:type="pct"/>
            <w:shd w:val="clear" w:color="auto" w:fill="5B9BD5" w:themeFill="accent1"/>
          </w:tcPr>
          <w:p w:rsidR="004C1BCE" w:rsidRPr="00B21B11" w:rsidP="004B7FDD" w14:paraId="3AA55ACB" w14:textId="77777777">
            <w:pPr>
              <w:pStyle w:val="TableTextLeft"/>
              <w:rPr>
                <w:sz w:val="16"/>
                <w:szCs w:val="16"/>
              </w:rPr>
            </w:pPr>
          </w:p>
        </w:tc>
        <w:tc>
          <w:tcPr>
            <w:tcW w:w="206" w:type="pct"/>
            <w:shd w:val="clear" w:color="auto" w:fill="5B9BD5" w:themeFill="accent1"/>
          </w:tcPr>
          <w:p w:rsidR="004C1BCE" w:rsidRPr="00B21B11" w:rsidP="004B7FDD" w14:paraId="7498FEC6" w14:textId="77777777">
            <w:pPr>
              <w:pStyle w:val="TableTextLeft"/>
              <w:rPr>
                <w:sz w:val="16"/>
                <w:szCs w:val="16"/>
              </w:rPr>
            </w:pPr>
          </w:p>
        </w:tc>
        <w:tc>
          <w:tcPr>
            <w:tcW w:w="191" w:type="pct"/>
            <w:shd w:val="clear" w:color="auto" w:fill="5B9BD5" w:themeFill="accent1"/>
          </w:tcPr>
          <w:p w:rsidR="004C1BCE" w:rsidRPr="00B21B11" w:rsidP="004B7FDD" w14:paraId="2C72FAC0" w14:textId="77777777">
            <w:pPr>
              <w:pStyle w:val="TableTextLeft"/>
              <w:rPr>
                <w:sz w:val="16"/>
                <w:szCs w:val="16"/>
              </w:rPr>
            </w:pPr>
          </w:p>
        </w:tc>
        <w:tc>
          <w:tcPr>
            <w:tcW w:w="217" w:type="pct"/>
            <w:shd w:val="clear" w:color="auto" w:fill="5B9BD5" w:themeFill="accent1"/>
          </w:tcPr>
          <w:p w:rsidR="004C1BCE" w:rsidRPr="00B21B11" w:rsidP="004B7FDD" w14:paraId="520A654D" w14:textId="77777777">
            <w:pPr>
              <w:pStyle w:val="TableTextLeft"/>
              <w:rPr>
                <w:sz w:val="16"/>
                <w:szCs w:val="16"/>
              </w:rPr>
            </w:pPr>
          </w:p>
        </w:tc>
        <w:tc>
          <w:tcPr>
            <w:tcW w:w="184" w:type="pct"/>
            <w:shd w:val="clear" w:color="auto" w:fill="5B9BD5" w:themeFill="accent1"/>
          </w:tcPr>
          <w:p w:rsidR="004C1BCE" w:rsidRPr="00B21B11" w:rsidP="004B7FDD" w14:paraId="73DD14BC" w14:textId="77777777">
            <w:pPr>
              <w:pStyle w:val="TableTextLeft"/>
              <w:rPr>
                <w:sz w:val="16"/>
                <w:szCs w:val="16"/>
              </w:rPr>
            </w:pPr>
          </w:p>
        </w:tc>
        <w:tc>
          <w:tcPr>
            <w:tcW w:w="168" w:type="pct"/>
            <w:shd w:val="clear" w:color="auto" w:fill="5B9BD5" w:themeFill="accent1"/>
          </w:tcPr>
          <w:p w:rsidR="004C1BCE" w:rsidRPr="00B21B11" w:rsidP="004B7FDD" w14:paraId="0371615E" w14:textId="77777777">
            <w:pPr>
              <w:pStyle w:val="TableTextLeft"/>
              <w:rPr>
                <w:sz w:val="16"/>
                <w:szCs w:val="16"/>
              </w:rPr>
            </w:pPr>
          </w:p>
        </w:tc>
      </w:tr>
    </w:tbl>
    <w:p w:rsidR="001201FF" w:rsidRPr="002F65C2" w:rsidP="008F570D" w14:paraId="39A46848" w14:textId="77777777">
      <w:pPr>
        <w:rPr>
          <w:rFonts w:asciiTheme="minorHAnsi" w:hAnsiTheme="minorHAnsi" w:cstheme="minorHAnsi"/>
          <w:b/>
          <w:sz w:val="22"/>
          <w:szCs w:val="22"/>
        </w:rPr>
      </w:pPr>
    </w:p>
    <w:p w:rsidR="00945CD6" w:rsidRPr="002F65C2" w:rsidP="008F570D" w14:paraId="750BBE88"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A17. </w:t>
      </w:r>
      <w:r w:rsidRPr="002F65C2">
        <w:rPr>
          <w:rFonts w:asciiTheme="minorHAnsi" w:hAnsiTheme="minorHAnsi" w:cstheme="minorHAnsi"/>
          <w:b/>
          <w:sz w:val="22"/>
          <w:szCs w:val="22"/>
        </w:rPr>
        <w:t>Reasons Not to Display OMB Expiration Date</w:t>
      </w:r>
    </w:p>
    <w:p w:rsidR="00D90EF6" w:rsidRPr="002F65C2" w:rsidP="008F570D" w14:paraId="5E995DCB" w14:textId="77777777">
      <w:pPr>
        <w:rPr>
          <w:rFonts w:asciiTheme="minorHAnsi" w:hAnsiTheme="minorHAnsi" w:cstheme="minorHAnsi"/>
          <w:sz w:val="22"/>
          <w:szCs w:val="22"/>
        </w:rPr>
      </w:pPr>
      <w:r w:rsidRPr="003F1EAC">
        <w:rPr>
          <w:rFonts w:asciiTheme="minorHAnsi" w:hAnsiTheme="minorHAnsi" w:cstheme="minorHAnsi"/>
          <w:sz w:val="22"/>
          <w:szCs w:val="22"/>
        </w:rPr>
        <w:t>All instruments will display the expiration date for OMB approval.</w:t>
      </w:r>
    </w:p>
    <w:p w:rsidR="002338AC" w:rsidRPr="002F65C2" w:rsidP="00290F6F" w14:paraId="4920E2AE" w14:textId="77777777">
      <w:pPr>
        <w:rPr>
          <w:rFonts w:asciiTheme="minorHAnsi" w:hAnsiTheme="minorHAnsi" w:cstheme="minorHAnsi"/>
          <w:sz w:val="22"/>
          <w:szCs w:val="22"/>
        </w:rPr>
      </w:pPr>
    </w:p>
    <w:p w:rsidR="00945CD6" w:rsidRPr="002F65C2" w:rsidP="008F570D" w14:paraId="0DA51717"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A18.</w:t>
      </w:r>
      <w:r w:rsidRPr="002F65C2" w:rsidR="000B5EA8">
        <w:rPr>
          <w:rFonts w:asciiTheme="minorHAnsi" w:hAnsiTheme="minorHAnsi" w:cstheme="minorHAnsi"/>
          <w:b/>
          <w:sz w:val="22"/>
          <w:szCs w:val="22"/>
        </w:rPr>
        <w:t xml:space="preserve"> Exceptions to Certification for Paperwork Reduction Act Submissions</w:t>
      </w:r>
    </w:p>
    <w:p w:rsidR="00D90EF6" w:rsidRPr="002F65C2" w:rsidP="0E76D161" w14:paraId="117373B9" w14:textId="565FF032">
      <w:pPr>
        <w:rPr>
          <w:rFonts w:asciiTheme="minorHAnsi" w:hAnsiTheme="minorHAnsi" w:cstheme="minorBidi"/>
          <w:sz w:val="22"/>
          <w:szCs w:val="22"/>
          <w:highlight w:val="yellow"/>
        </w:rPr>
      </w:pPr>
      <w:r w:rsidRPr="003F1EAC">
        <w:rPr>
          <w:rFonts w:asciiTheme="minorHAnsi" w:hAnsiTheme="minorHAnsi" w:cstheme="minorBidi"/>
          <w:sz w:val="22"/>
          <w:szCs w:val="22"/>
        </w:rPr>
        <w:t>No exceptions are necessary for this information collectio</w:t>
      </w:r>
      <w:r w:rsidRPr="003F1EAC" w:rsidR="6EB9301E">
        <w:rPr>
          <w:rFonts w:asciiTheme="minorHAnsi" w:hAnsiTheme="minorHAnsi" w:cstheme="minorBidi"/>
          <w:sz w:val="22"/>
          <w:szCs w:val="22"/>
        </w:rPr>
        <w:t>n.</w:t>
      </w:r>
    </w:p>
    <w:p w:rsidR="002F65C2" w:rsidP="008F570D" w14:paraId="412D8083" w14:textId="09A80300">
      <w:pPr>
        <w:rPr>
          <w:rFonts w:asciiTheme="minorHAnsi" w:hAnsiTheme="minorHAnsi" w:cstheme="minorHAnsi"/>
          <w:sz w:val="22"/>
          <w:szCs w:val="22"/>
        </w:rPr>
      </w:pPr>
    </w:p>
    <w:p w:rsidR="002F65C2" w:rsidRPr="002E2E7A" w:rsidP="002F65C2" w14:paraId="2E32F333" w14:textId="77777777">
      <w:pPr>
        <w:spacing w:after="120"/>
        <w:rPr>
          <w:rFonts w:asciiTheme="minorHAnsi" w:hAnsiTheme="minorHAnsi" w:cstheme="minorHAnsi"/>
          <w:b/>
          <w:sz w:val="22"/>
          <w:szCs w:val="22"/>
        </w:rPr>
      </w:pPr>
      <w:r w:rsidRPr="002E2E7A">
        <w:rPr>
          <w:rFonts w:asciiTheme="minorHAnsi" w:hAnsiTheme="minorHAnsi" w:cstheme="minorHAnsi"/>
          <w:b/>
          <w:sz w:val="22"/>
          <w:szCs w:val="22"/>
        </w:rPr>
        <w:t>Attachments</w:t>
      </w:r>
    </w:p>
    <w:p w:rsidR="1846D7D2" w:rsidRPr="00260C4A" w:rsidP="00FF2782" w14:paraId="3563F4A8" w14:textId="7187C93B">
      <w:pPr>
        <w:pStyle w:val="ListParagraph"/>
        <w:numPr>
          <w:ilvl w:val="0"/>
          <w:numId w:val="1"/>
        </w:numPr>
        <w:rPr>
          <w:rFonts w:asciiTheme="minorHAnsi" w:hAnsiTheme="minorHAnsi" w:cstheme="minorBidi"/>
          <w:sz w:val="22"/>
          <w:szCs w:val="22"/>
        </w:rPr>
      </w:pPr>
      <w:r w:rsidRPr="005C2A84">
        <w:rPr>
          <w:rFonts w:asciiTheme="minorHAnsi" w:hAnsiTheme="minorHAnsi" w:cstheme="minorBidi"/>
          <w:sz w:val="22"/>
          <w:szCs w:val="22"/>
        </w:rPr>
        <w:t xml:space="preserve">Instrument </w:t>
      </w:r>
      <w:r w:rsidRPr="005C2A84" w:rsidR="005C2A84">
        <w:rPr>
          <w:rFonts w:asciiTheme="minorHAnsi" w:hAnsiTheme="minorHAnsi" w:cstheme="minorBidi"/>
          <w:sz w:val="22"/>
          <w:szCs w:val="22"/>
        </w:rPr>
        <w:t>1-</w:t>
      </w:r>
      <w:r w:rsidRPr="005C2A84">
        <w:rPr>
          <w:rFonts w:asciiTheme="minorHAnsi" w:hAnsiTheme="minorHAnsi" w:cstheme="minorBidi"/>
          <w:sz w:val="22"/>
          <w:szCs w:val="22"/>
        </w:rPr>
        <w:t xml:space="preserve"> </w:t>
      </w:r>
      <w:r w:rsidR="0009141E">
        <w:rPr>
          <w:rFonts w:asciiTheme="minorHAnsi" w:hAnsiTheme="minorHAnsi" w:cstheme="minorBidi"/>
          <w:sz w:val="22"/>
          <w:szCs w:val="22"/>
        </w:rPr>
        <w:t xml:space="preserve">CSBG </w:t>
      </w:r>
      <w:r w:rsidRPr="005C2A84" w:rsidR="006B4820">
        <w:rPr>
          <w:rFonts w:asciiTheme="minorHAnsi" w:hAnsiTheme="minorHAnsi" w:cstheme="minorBidi"/>
          <w:sz w:val="22"/>
          <w:szCs w:val="22"/>
        </w:rPr>
        <w:t xml:space="preserve">Network Partner </w:t>
      </w:r>
      <w:r w:rsidR="004E4EF5">
        <w:rPr>
          <w:rFonts w:asciiTheme="minorHAnsi" w:hAnsiTheme="minorHAnsi" w:cstheme="minorBidi"/>
          <w:sz w:val="22"/>
          <w:szCs w:val="22"/>
        </w:rPr>
        <w:t>Discussion</w:t>
      </w:r>
      <w:r w:rsidRPr="005C2A84" w:rsidR="008C3303">
        <w:rPr>
          <w:rFonts w:asciiTheme="minorHAnsi" w:hAnsiTheme="minorHAnsi" w:cstheme="minorBidi"/>
          <w:sz w:val="22"/>
          <w:szCs w:val="22"/>
        </w:rPr>
        <w:t xml:space="preserve"> Protocol</w:t>
      </w:r>
    </w:p>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80FFE">
      <w:rPr>
        <w:noProof/>
      </w:rPr>
      <w:t>3</w:t>
    </w:r>
    <w:r>
      <w:rPr>
        <w:color w:val="2B579A"/>
        <w:shd w:val="clear" w:color="auto" w:fill="E6E6E6"/>
      </w:rP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03AE" w14:paraId="5DF09AD3" w14:textId="77777777">
      <w:r>
        <w:separator/>
      </w:r>
    </w:p>
  </w:footnote>
  <w:footnote w:type="continuationSeparator" w:id="1">
    <w:p w:rsidR="002103AE" w14:paraId="5F41C378" w14:textId="77777777">
      <w:r>
        <w:continuationSeparator/>
      </w:r>
    </w:p>
  </w:footnote>
  <w:footnote w:type="continuationNotice" w:id="2">
    <w:p w:rsidR="002103AE" w14:paraId="5DDE2C1D" w14:textId="77777777"/>
  </w:footnote>
  <w:footnote w:id="3">
    <w:p w:rsidR="005B27A1" w:rsidP="005B27A1" w14:paraId="27A1AD78" w14:textId="77777777">
      <w:pPr>
        <w:pStyle w:val="FootnoteText"/>
      </w:pPr>
      <w:r w:rsidRPr="307616E2">
        <w:rPr>
          <w:rStyle w:val="FootnoteReference"/>
        </w:rPr>
        <w:footnoteRef/>
      </w:r>
      <w:r>
        <w:t xml:space="preserve"> U.S. Department of Health and Human Services, Office of the Assistant Secretary for Planning and Evaluation. “Recruiting Individuals with Lived Experience,” by Jasmine Forde, Sonia Alves, Lauren Amos, Ryan Ruggiero, Annalisa </w:t>
      </w:r>
      <w:r>
        <w:t>Mastri</w:t>
      </w:r>
      <w:r>
        <w:t xml:space="preserve">, Kate Bradley, </w:t>
      </w:r>
      <w:r>
        <w:t>Nkemdiri</w:t>
      </w:r>
      <w:r>
        <w:t xml:space="preserve"> Wheatley, </w:t>
      </w:r>
      <w:r>
        <w:t>Tonyka</w:t>
      </w:r>
      <w:r>
        <w:t xml:space="preserve"> McKinney, Dana Jean-Baptiste, Jeremiah </w:t>
      </w:r>
      <w:r>
        <w:t>Donier</w:t>
      </w:r>
      <w:r>
        <w:t xml:space="preserve">, Madison Sandoval-Lunn, </w:t>
      </w:r>
      <w:r>
        <w:t>Wilnisha</w:t>
      </w:r>
      <w:r>
        <w:t xml:space="preserve"> Sutton, Roger De Leon, Kataney Prior, Laura Erickson, Amanda Benton, and the HHS staff peer learning community on equitably engaging people with lived experience. Washington, District of Columbia: 2022. https://aspe.hhs.gov/reports/recruiting-individuals-lived-experience</w:t>
      </w:r>
    </w:p>
  </w:footnote>
  <w:footnote w:id="4">
    <w:p w:rsidR="00084448" w14:paraId="67612613" w14:textId="6C6E6A80">
      <w:pPr>
        <w:pStyle w:val="FootnoteText"/>
      </w:pPr>
      <w:r>
        <w:rPr>
          <w:rStyle w:val="FootnoteReference"/>
        </w:rPr>
        <w:footnoteRef/>
      </w:r>
      <w:r>
        <w:t xml:space="preserve"> </w:t>
      </w:r>
      <w:r w:rsidR="00C23A27">
        <w:t xml:space="preserve">CSBG IM #82: Tripartite Boards. </w:t>
      </w:r>
      <w:hyperlink r:id="rId1" w:history="1">
        <w:r w:rsidRPr="00C23A27" w:rsidR="00C23A27">
          <w:rPr>
            <w:rStyle w:val="Hyperlink"/>
          </w:rPr>
          <w:t>https://www.acf.hhs.gov/ocs/policy-guidance/csbg-im-82-tripartite-boards</w:t>
        </w:r>
      </w:hyperlink>
    </w:p>
  </w:footnote>
  <w:footnote w:id="5">
    <w:p w:rsidR="004643B2" w:rsidP="004643B2" w14:paraId="16E9CDA1" w14:textId="77777777">
      <w:pPr>
        <w:pStyle w:val="FootnoteText"/>
      </w:pPr>
      <w:r w:rsidRPr="307616E2">
        <w:rPr>
          <w:rStyle w:val="FootnoteReference"/>
        </w:rPr>
        <w:footnoteRef/>
      </w:r>
      <w:r>
        <w:t xml:space="preserve">U.S. Department of Health and Human Services, Office of the Assistant Secretary for Planning and Evaluation. “Recruiting Individuals with Lived Experience,” by Jasmine Forde, Sonia Alves, Lauren Amos, Ryan Ruggiero, Annalisa </w:t>
      </w:r>
      <w:r>
        <w:t>Mastri</w:t>
      </w:r>
      <w:r>
        <w:t xml:space="preserve">, Kate Bradley, </w:t>
      </w:r>
      <w:r>
        <w:t>Nkemdiri</w:t>
      </w:r>
      <w:r>
        <w:t xml:space="preserve"> Wheatley, </w:t>
      </w:r>
      <w:r>
        <w:t>Tonyka</w:t>
      </w:r>
      <w:r>
        <w:t xml:space="preserve"> McKinney, Dana Jean-Baptiste, Jeremiah </w:t>
      </w:r>
      <w:r>
        <w:t>Donier</w:t>
      </w:r>
      <w:r>
        <w:t xml:space="preserve">, Madison Sandoval-Lunn, </w:t>
      </w:r>
      <w:r>
        <w:t>Wilnisha</w:t>
      </w:r>
      <w:r>
        <w:t xml:space="preserve"> Sutton, Roger De Leon, Kataney Prior, Laura Erickson, Amanda Benton, and the HHS staff peer learning community on equitably engaging people with lived experience. Washington, District of Columbia: 2022. https://aspe.hhs.gov/reports/recruiting-individuals-lived-experience.</w:t>
      </w:r>
    </w:p>
  </w:footnote>
  <w:footnote w:id="6">
    <w:p w:rsidR="004643B2" w:rsidP="004643B2" w14:paraId="228249BF" w14:textId="506FC4F5">
      <w:pPr>
        <w:pStyle w:val="FootnoteText"/>
        <w:rPr>
          <w:rStyle w:val="Hyperlink"/>
          <w:rFonts w:ascii="Calibri" w:eastAsia="Calibri" w:hAnsi="Calibri" w:cs="Calibri"/>
        </w:rPr>
      </w:pPr>
      <w:r w:rsidRPr="307616E2">
        <w:rPr>
          <w:rStyle w:val="FootnoteReference"/>
        </w:rPr>
        <w:footnoteRef/>
      </w:r>
      <w:r>
        <w:t xml:space="preserve">U.S. Department of Health and Human Services, Office of the Assistant Secretary for Planning and Evaluation. “Methods and Emerging Strategies to Engage People with Lived Experience. Office of the Assistant Secretary for Planning and Evaluation,” by Syreeta Skelton-Wilson, Madison Sandoval-Lunn, </w:t>
      </w:r>
      <w:r>
        <w:t>Xiaodong</w:t>
      </w:r>
      <w:r>
        <w:t xml:space="preserve"> Zhang, Francesca Stern, and Jessica Kendall. Washington, District of Columbia: 2021. </w:t>
      </w:r>
      <w:hyperlink r:id="rId2" w:history="1">
        <w:hyperlink r:id="rId2" w:history="1">
          <w:r w:rsidRPr="307616E2">
            <w:rPr>
              <w:rStyle w:val="Hyperlink"/>
              <w:rFonts w:ascii="Calibri" w:eastAsia="Calibri" w:hAnsi="Calibri" w:cs="Calibri"/>
            </w:rPr>
            <w:t>https://aspe.hhs.gov/reports/lived-experience-brief.</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696826"/>
    <w:multiLevelType w:val="hybridMultilevel"/>
    <w:tmpl w:val="E6A6F4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0D520C"/>
    <w:multiLevelType w:val="hybridMultilevel"/>
    <w:tmpl w:val="6C7AF8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753646"/>
    <w:multiLevelType w:val="hybridMultilevel"/>
    <w:tmpl w:val="4A18C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8E0930"/>
    <w:multiLevelType w:val="hybridMultilevel"/>
    <w:tmpl w:val="F88CC57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EC2BFEA"/>
    <w:multiLevelType w:val="hybridMultilevel"/>
    <w:tmpl w:val="6C5C7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7106D20"/>
    <w:multiLevelType w:val="hybridMultilevel"/>
    <w:tmpl w:val="549667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2952855">
    <w:abstractNumId w:val="16"/>
  </w:num>
  <w:num w:numId="2" w16cid:durableId="1095007477">
    <w:abstractNumId w:val="10"/>
  </w:num>
  <w:num w:numId="3" w16cid:durableId="1820000374">
    <w:abstractNumId w:val="4"/>
  </w:num>
  <w:num w:numId="4" w16cid:durableId="615526696">
    <w:abstractNumId w:val="6"/>
  </w:num>
  <w:num w:numId="5" w16cid:durableId="1567910421">
    <w:abstractNumId w:val="2"/>
  </w:num>
  <w:num w:numId="6" w16cid:durableId="712534353">
    <w:abstractNumId w:val="19"/>
  </w:num>
  <w:num w:numId="7" w16cid:durableId="269044996">
    <w:abstractNumId w:val="11"/>
  </w:num>
  <w:num w:numId="8" w16cid:durableId="1200581488">
    <w:abstractNumId w:val="12"/>
  </w:num>
  <w:num w:numId="9" w16cid:durableId="388260440">
    <w:abstractNumId w:val="22"/>
  </w:num>
  <w:num w:numId="10" w16cid:durableId="1104567867">
    <w:abstractNumId w:val="20"/>
  </w:num>
  <w:num w:numId="11" w16cid:durableId="1887570798">
    <w:abstractNumId w:val="13"/>
  </w:num>
  <w:num w:numId="12" w16cid:durableId="55131320">
    <w:abstractNumId w:val="15"/>
  </w:num>
  <w:num w:numId="13" w16cid:durableId="277875963">
    <w:abstractNumId w:val="3"/>
  </w:num>
  <w:num w:numId="14" w16cid:durableId="49308932">
    <w:abstractNumId w:val="1"/>
  </w:num>
  <w:num w:numId="15" w16cid:durableId="996569973">
    <w:abstractNumId w:val="5"/>
  </w:num>
  <w:num w:numId="16" w16cid:durableId="377781517">
    <w:abstractNumId w:val="24"/>
  </w:num>
  <w:num w:numId="17" w16cid:durableId="1999259422">
    <w:abstractNumId w:val="7"/>
  </w:num>
  <w:num w:numId="18" w16cid:durableId="2123186585">
    <w:abstractNumId w:val="8"/>
  </w:num>
  <w:num w:numId="19" w16cid:durableId="1885554102">
    <w:abstractNumId w:val="30"/>
  </w:num>
  <w:num w:numId="20" w16cid:durableId="1259868116">
    <w:abstractNumId w:val="31"/>
  </w:num>
  <w:num w:numId="21" w16cid:durableId="767820125">
    <w:abstractNumId w:val="26"/>
  </w:num>
  <w:num w:numId="22" w16cid:durableId="805853713">
    <w:abstractNumId w:val="25"/>
  </w:num>
  <w:num w:numId="23" w16cid:durableId="706681998">
    <w:abstractNumId w:val="17"/>
  </w:num>
  <w:num w:numId="24" w16cid:durableId="1822193019">
    <w:abstractNumId w:val="27"/>
  </w:num>
  <w:num w:numId="25" w16cid:durableId="579605451">
    <w:abstractNumId w:val="0"/>
  </w:num>
  <w:num w:numId="26" w16cid:durableId="1497695521">
    <w:abstractNumId w:val="29"/>
  </w:num>
  <w:num w:numId="27" w16cid:durableId="229005983">
    <w:abstractNumId w:val="21"/>
  </w:num>
  <w:num w:numId="28" w16cid:durableId="1697996643">
    <w:abstractNumId w:val="9"/>
  </w:num>
  <w:num w:numId="29" w16cid:durableId="1611739545">
    <w:abstractNumId w:val="14"/>
  </w:num>
  <w:num w:numId="30" w16cid:durableId="1180702387">
    <w:abstractNumId w:val="18"/>
  </w:num>
  <w:num w:numId="31" w16cid:durableId="69427222">
    <w:abstractNumId w:val="28"/>
  </w:num>
  <w:num w:numId="32" w16cid:durableId="20523415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0834"/>
    <w:rsid w:val="00036A6A"/>
    <w:rsid w:val="000431B8"/>
    <w:rsid w:val="00043DA8"/>
    <w:rsid w:val="000623B9"/>
    <w:rsid w:val="0006463B"/>
    <w:rsid w:val="00077300"/>
    <w:rsid w:val="000803B9"/>
    <w:rsid w:val="00083FDC"/>
    <w:rsid w:val="00084448"/>
    <w:rsid w:val="0008643E"/>
    <w:rsid w:val="000909C0"/>
    <w:rsid w:val="0009141E"/>
    <w:rsid w:val="00091C59"/>
    <w:rsid w:val="000964A6"/>
    <w:rsid w:val="000A5030"/>
    <w:rsid w:val="000A5069"/>
    <w:rsid w:val="000B5EA8"/>
    <w:rsid w:val="000B62F4"/>
    <w:rsid w:val="000B6955"/>
    <w:rsid w:val="000B7F22"/>
    <w:rsid w:val="000C032D"/>
    <w:rsid w:val="000C1572"/>
    <w:rsid w:val="000C57E9"/>
    <w:rsid w:val="000C5F09"/>
    <w:rsid w:val="000D066A"/>
    <w:rsid w:val="000D30F2"/>
    <w:rsid w:val="000D53DF"/>
    <w:rsid w:val="000F4420"/>
    <w:rsid w:val="00100D2F"/>
    <w:rsid w:val="00102EA1"/>
    <w:rsid w:val="0011308E"/>
    <w:rsid w:val="001140AB"/>
    <w:rsid w:val="00116FDF"/>
    <w:rsid w:val="001201FF"/>
    <w:rsid w:val="0012338C"/>
    <w:rsid w:val="00124EBF"/>
    <w:rsid w:val="00130457"/>
    <w:rsid w:val="00142171"/>
    <w:rsid w:val="00150F56"/>
    <w:rsid w:val="0016012E"/>
    <w:rsid w:val="0016525B"/>
    <w:rsid w:val="001730CF"/>
    <w:rsid w:val="00183C0F"/>
    <w:rsid w:val="00184811"/>
    <w:rsid w:val="001A5AF9"/>
    <w:rsid w:val="001A60EA"/>
    <w:rsid w:val="001B5DC7"/>
    <w:rsid w:val="001C4D60"/>
    <w:rsid w:val="001D3614"/>
    <w:rsid w:val="001D37CA"/>
    <w:rsid w:val="001D6262"/>
    <w:rsid w:val="001D702F"/>
    <w:rsid w:val="001F06F7"/>
    <w:rsid w:val="001F4938"/>
    <w:rsid w:val="0020166C"/>
    <w:rsid w:val="0020382F"/>
    <w:rsid w:val="0020497E"/>
    <w:rsid w:val="00207D92"/>
    <w:rsid w:val="002103AE"/>
    <w:rsid w:val="00215986"/>
    <w:rsid w:val="002231FA"/>
    <w:rsid w:val="00224981"/>
    <w:rsid w:val="00227667"/>
    <w:rsid w:val="0023386D"/>
    <w:rsid w:val="002338AC"/>
    <w:rsid w:val="00234E8D"/>
    <w:rsid w:val="0023551B"/>
    <w:rsid w:val="00235A6D"/>
    <w:rsid w:val="002408DE"/>
    <w:rsid w:val="00247CCF"/>
    <w:rsid w:val="002511EF"/>
    <w:rsid w:val="0025173C"/>
    <w:rsid w:val="00253148"/>
    <w:rsid w:val="00254F47"/>
    <w:rsid w:val="00260C4A"/>
    <w:rsid w:val="00266AFF"/>
    <w:rsid w:val="00290F6F"/>
    <w:rsid w:val="00291DDA"/>
    <w:rsid w:val="00292340"/>
    <w:rsid w:val="00292B70"/>
    <w:rsid w:val="002A1F68"/>
    <w:rsid w:val="002A319B"/>
    <w:rsid w:val="002B069C"/>
    <w:rsid w:val="002B137D"/>
    <w:rsid w:val="002B2505"/>
    <w:rsid w:val="002B2969"/>
    <w:rsid w:val="002B4DBE"/>
    <w:rsid w:val="002B7FE4"/>
    <w:rsid w:val="002C4F75"/>
    <w:rsid w:val="002D2D86"/>
    <w:rsid w:val="002D2E4B"/>
    <w:rsid w:val="002D4B0A"/>
    <w:rsid w:val="002E0087"/>
    <w:rsid w:val="002E2E7A"/>
    <w:rsid w:val="002F65C2"/>
    <w:rsid w:val="00300BF6"/>
    <w:rsid w:val="00302F63"/>
    <w:rsid w:val="00304503"/>
    <w:rsid w:val="003277CF"/>
    <w:rsid w:val="00327B2E"/>
    <w:rsid w:val="00330185"/>
    <w:rsid w:val="0033072C"/>
    <w:rsid w:val="00330EBD"/>
    <w:rsid w:val="003355D6"/>
    <w:rsid w:val="003401AF"/>
    <w:rsid w:val="00344479"/>
    <w:rsid w:val="00354120"/>
    <w:rsid w:val="00355A32"/>
    <w:rsid w:val="00360105"/>
    <w:rsid w:val="00367D2B"/>
    <w:rsid w:val="00374DAB"/>
    <w:rsid w:val="0038291A"/>
    <w:rsid w:val="003839ED"/>
    <w:rsid w:val="00391D72"/>
    <w:rsid w:val="003B3D5E"/>
    <w:rsid w:val="003C1C7C"/>
    <w:rsid w:val="003C58C5"/>
    <w:rsid w:val="003C647E"/>
    <w:rsid w:val="003C796D"/>
    <w:rsid w:val="003D5231"/>
    <w:rsid w:val="003E0823"/>
    <w:rsid w:val="003E7FA4"/>
    <w:rsid w:val="003F1B88"/>
    <w:rsid w:val="003F1EAC"/>
    <w:rsid w:val="003F3B37"/>
    <w:rsid w:val="003F3BC4"/>
    <w:rsid w:val="004009CC"/>
    <w:rsid w:val="0040466B"/>
    <w:rsid w:val="00407F6A"/>
    <w:rsid w:val="004160BD"/>
    <w:rsid w:val="004222F8"/>
    <w:rsid w:val="00422C1B"/>
    <w:rsid w:val="00424AF5"/>
    <w:rsid w:val="004278B2"/>
    <w:rsid w:val="004363F3"/>
    <w:rsid w:val="00436F5E"/>
    <w:rsid w:val="00450284"/>
    <w:rsid w:val="004522FF"/>
    <w:rsid w:val="00454483"/>
    <w:rsid w:val="004554B1"/>
    <w:rsid w:val="00456E2F"/>
    <w:rsid w:val="004643B2"/>
    <w:rsid w:val="00471FF1"/>
    <w:rsid w:val="004757AB"/>
    <w:rsid w:val="0047637D"/>
    <w:rsid w:val="00476D5A"/>
    <w:rsid w:val="00482DDE"/>
    <w:rsid w:val="004861D8"/>
    <w:rsid w:val="00495B73"/>
    <w:rsid w:val="004A44DD"/>
    <w:rsid w:val="004B4F15"/>
    <w:rsid w:val="004B5427"/>
    <w:rsid w:val="004B587E"/>
    <w:rsid w:val="004B7FDD"/>
    <w:rsid w:val="004C1BCE"/>
    <w:rsid w:val="004C2ADD"/>
    <w:rsid w:val="004C438E"/>
    <w:rsid w:val="004D6CA9"/>
    <w:rsid w:val="004E4EF5"/>
    <w:rsid w:val="004E5C9A"/>
    <w:rsid w:val="004F3855"/>
    <w:rsid w:val="004F4E1D"/>
    <w:rsid w:val="005046F0"/>
    <w:rsid w:val="00505288"/>
    <w:rsid w:val="0051044B"/>
    <w:rsid w:val="00520737"/>
    <w:rsid w:val="005272BF"/>
    <w:rsid w:val="00527C03"/>
    <w:rsid w:val="005353B7"/>
    <w:rsid w:val="005375A6"/>
    <w:rsid w:val="00541024"/>
    <w:rsid w:val="00542413"/>
    <w:rsid w:val="0055705E"/>
    <w:rsid w:val="00561467"/>
    <w:rsid w:val="00581AF6"/>
    <w:rsid w:val="00592FAD"/>
    <w:rsid w:val="005943A0"/>
    <w:rsid w:val="0059619A"/>
    <w:rsid w:val="005A0510"/>
    <w:rsid w:val="005A64C5"/>
    <w:rsid w:val="005B27A1"/>
    <w:rsid w:val="005C2A84"/>
    <w:rsid w:val="005C3BCB"/>
    <w:rsid w:val="005C5813"/>
    <w:rsid w:val="005C74BD"/>
    <w:rsid w:val="005C7DF2"/>
    <w:rsid w:val="005E7CC8"/>
    <w:rsid w:val="005F2061"/>
    <w:rsid w:val="005F2A38"/>
    <w:rsid w:val="006010CA"/>
    <w:rsid w:val="0060592E"/>
    <w:rsid w:val="00607351"/>
    <w:rsid w:val="00612597"/>
    <w:rsid w:val="00614501"/>
    <w:rsid w:val="0061575F"/>
    <w:rsid w:val="0061629C"/>
    <w:rsid w:val="00620790"/>
    <w:rsid w:val="006228E1"/>
    <w:rsid w:val="006427CA"/>
    <w:rsid w:val="00651DBA"/>
    <w:rsid w:val="00655B11"/>
    <w:rsid w:val="00657424"/>
    <w:rsid w:val="0066000D"/>
    <w:rsid w:val="00666AA0"/>
    <w:rsid w:val="00667481"/>
    <w:rsid w:val="00674975"/>
    <w:rsid w:val="00680FFE"/>
    <w:rsid w:val="0068352B"/>
    <w:rsid w:val="00685CB5"/>
    <w:rsid w:val="00690AB6"/>
    <w:rsid w:val="00691A94"/>
    <w:rsid w:val="006A2974"/>
    <w:rsid w:val="006A7EFA"/>
    <w:rsid w:val="006B2631"/>
    <w:rsid w:val="006B4820"/>
    <w:rsid w:val="006B4AEA"/>
    <w:rsid w:val="006B6845"/>
    <w:rsid w:val="006C0DE9"/>
    <w:rsid w:val="006C2EBC"/>
    <w:rsid w:val="006C3A42"/>
    <w:rsid w:val="006C708D"/>
    <w:rsid w:val="006D2637"/>
    <w:rsid w:val="006D73F7"/>
    <w:rsid w:val="006E32B1"/>
    <w:rsid w:val="006E4E4E"/>
    <w:rsid w:val="00701045"/>
    <w:rsid w:val="00711BC5"/>
    <w:rsid w:val="0072204D"/>
    <w:rsid w:val="0072294E"/>
    <w:rsid w:val="007250A3"/>
    <w:rsid w:val="00725CF4"/>
    <w:rsid w:val="00734A48"/>
    <w:rsid w:val="00736F1D"/>
    <w:rsid w:val="00747629"/>
    <w:rsid w:val="007512C5"/>
    <w:rsid w:val="007549B0"/>
    <w:rsid w:val="0076365F"/>
    <w:rsid w:val="00769C5D"/>
    <w:rsid w:val="00772457"/>
    <w:rsid w:val="00774228"/>
    <w:rsid w:val="0077465C"/>
    <w:rsid w:val="00781A19"/>
    <w:rsid w:val="00784137"/>
    <w:rsid w:val="00792DD7"/>
    <w:rsid w:val="007A075B"/>
    <w:rsid w:val="007A244A"/>
    <w:rsid w:val="007A33F3"/>
    <w:rsid w:val="007B7712"/>
    <w:rsid w:val="007C68CE"/>
    <w:rsid w:val="007D295D"/>
    <w:rsid w:val="007D2FA1"/>
    <w:rsid w:val="007D7B6E"/>
    <w:rsid w:val="007E2E84"/>
    <w:rsid w:val="007F364B"/>
    <w:rsid w:val="00806712"/>
    <w:rsid w:val="008127FF"/>
    <w:rsid w:val="0083468A"/>
    <w:rsid w:val="008557F8"/>
    <w:rsid w:val="00862468"/>
    <w:rsid w:val="00864582"/>
    <w:rsid w:val="008718C4"/>
    <w:rsid w:val="0087234E"/>
    <w:rsid w:val="00875642"/>
    <w:rsid w:val="00877346"/>
    <w:rsid w:val="0089325E"/>
    <w:rsid w:val="008A004E"/>
    <w:rsid w:val="008A016A"/>
    <w:rsid w:val="008A4118"/>
    <w:rsid w:val="008B7F2C"/>
    <w:rsid w:val="008C3303"/>
    <w:rsid w:val="008C6A6B"/>
    <w:rsid w:val="008C78B4"/>
    <w:rsid w:val="008D77CC"/>
    <w:rsid w:val="008E0705"/>
    <w:rsid w:val="008E6EF3"/>
    <w:rsid w:val="008E7FF1"/>
    <w:rsid w:val="008F0740"/>
    <w:rsid w:val="008F10A2"/>
    <w:rsid w:val="008F570D"/>
    <w:rsid w:val="008F61B2"/>
    <w:rsid w:val="00913360"/>
    <w:rsid w:val="00932D71"/>
    <w:rsid w:val="00945CD6"/>
    <w:rsid w:val="00950FF4"/>
    <w:rsid w:val="00957AE3"/>
    <w:rsid w:val="0096240E"/>
    <w:rsid w:val="009648CE"/>
    <w:rsid w:val="009651F3"/>
    <w:rsid w:val="00981715"/>
    <w:rsid w:val="00984BBF"/>
    <w:rsid w:val="00984CA2"/>
    <w:rsid w:val="009A0C84"/>
    <w:rsid w:val="009A4180"/>
    <w:rsid w:val="009B1638"/>
    <w:rsid w:val="009B426D"/>
    <w:rsid w:val="009B5D86"/>
    <w:rsid w:val="009C37CB"/>
    <w:rsid w:val="009D47D2"/>
    <w:rsid w:val="009E0140"/>
    <w:rsid w:val="009E10B8"/>
    <w:rsid w:val="009E28C8"/>
    <w:rsid w:val="009F04BF"/>
    <w:rsid w:val="009F2A9E"/>
    <w:rsid w:val="00A020E8"/>
    <w:rsid w:val="00A05CD7"/>
    <w:rsid w:val="00A142F9"/>
    <w:rsid w:val="00A35B0D"/>
    <w:rsid w:val="00A35E23"/>
    <w:rsid w:val="00A412C5"/>
    <w:rsid w:val="00A42A80"/>
    <w:rsid w:val="00A44209"/>
    <w:rsid w:val="00A5297F"/>
    <w:rsid w:val="00A560CD"/>
    <w:rsid w:val="00A74311"/>
    <w:rsid w:val="00A83957"/>
    <w:rsid w:val="00A86670"/>
    <w:rsid w:val="00A871F0"/>
    <w:rsid w:val="00A96E65"/>
    <w:rsid w:val="00A96F30"/>
    <w:rsid w:val="00AA0FFB"/>
    <w:rsid w:val="00AA29C0"/>
    <w:rsid w:val="00AB18A9"/>
    <w:rsid w:val="00AB283D"/>
    <w:rsid w:val="00AC3D4A"/>
    <w:rsid w:val="00AF611B"/>
    <w:rsid w:val="00B14396"/>
    <w:rsid w:val="00B21B11"/>
    <w:rsid w:val="00B35AD6"/>
    <w:rsid w:val="00B462E1"/>
    <w:rsid w:val="00B63D4A"/>
    <w:rsid w:val="00B66874"/>
    <w:rsid w:val="00B71D1C"/>
    <w:rsid w:val="00B73ACF"/>
    <w:rsid w:val="00B74983"/>
    <w:rsid w:val="00B84547"/>
    <w:rsid w:val="00B917DA"/>
    <w:rsid w:val="00B91D97"/>
    <w:rsid w:val="00BA25A5"/>
    <w:rsid w:val="00BB13A6"/>
    <w:rsid w:val="00BB3BA0"/>
    <w:rsid w:val="00BC3620"/>
    <w:rsid w:val="00BD4CFB"/>
    <w:rsid w:val="00BE0253"/>
    <w:rsid w:val="00BE7952"/>
    <w:rsid w:val="00C037EF"/>
    <w:rsid w:val="00C11A19"/>
    <w:rsid w:val="00C12B95"/>
    <w:rsid w:val="00C1674B"/>
    <w:rsid w:val="00C20DDD"/>
    <w:rsid w:val="00C22C6D"/>
    <w:rsid w:val="00C23A27"/>
    <w:rsid w:val="00C247A8"/>
    <w:rsid w:val="00C24E82"/>
    <w:rsid w:val="00C25FFB"/>
    <w:rsid w:val="00C50166"/>
    <w:rsid w:val="00C519C8"/>
    <w:rsid w:val="00C566F4"/>
    <w:rsid w:val="00C56EA9"/>
    <w:rsid w:val="00C6567C"/>
    <w:rsid w:val="00C8738D"/>
    <w:rsid w:val="00C9383A"/>
    <w:rsid w:val="00CA3680"/>
    <w:rsid w:val="00CA3AA6"/>
    <w:rsid w:val="00CA6C9F"/>
    <w:rsid w:val="00CB2ED6"/>
    <w:rsid w:val="00CC2CD1"/>
    <w:rsid w:val="00CE0980"/>
    <w:rsid w:val="00CE6EFF"/>
    <w:rsid w:val="00CF0132"/>
    <w:rsid w:val="00D012A6"/>
    <w:rsid w:val="00D024F5"/>
    <w:rsid w:val="00D050F0"/>
    <w:rsid w:val="00D06279"/>
    <w:rsid w:val="00D06D5F"/>
    <w:rsid w:val="00D17943"/>
    <w:rsid w:val="00D277B1"/>
    <w:rsid w:val="00D30F65"/>
    <w:rsid w:val="00D35955"/>
    <w:rsid w:val="00D44EA5"/>
    <w:rsid w:val="00D519D9"/>
    <w:rsid w:val="00D536F8"/>
    <w:rsid w:val="00D70C08"/>
    <w:rsid w:val="00D81E31"/>
    <w:rsid w:val="00D832CF"/>
    <w:rsid w:val="00D84D8A"/>
    <w:rsid w:val="00D90EF6"/>
    <w:rsid w:val="00D93091"/>
    <w:rsid w:val="00D9424F"/>
    <w:rsid w:val="00D964BC"/>
    <w:rsid w:val="00DA5835"/>
    <w:rsid w:val="00DA75FA"/>
    <w:rsid w:val="00DB4BA5"/>
    <w:rsid w:val="00DB5F88"/>
    <w:rsid w:val="00DB67C1"/>
    <w:rsid w:val="00DC3156"/>
    <w:rsid w:val="00DC4722"/>
    <w:rsid w:val="00DD6A35"/>
    <w:rsid w:val="00DE07FF"/>
    <w:rsid w:val="00DE4FBF"/>
    <w:rsid w:val="00E00556"/>
    <w:rsid w:val="00E00860"/>
    <w:rsid w:val="00E05A0A"/>
    <w:rsid w:val="00E07C2F"/>
    <w:rsid w:val="00E215AE"/>
    <w:rsid w:val="00E32836"/>
    <w:rsid w:val="00E41224"/>
    <w:rsid w:val="00E41D46"/>
    <w:rsid w:val="00E44E62"/>
    <w:rsid w:val="00E45E13"/>
    <w:rsid w:val="00E56A76"/>
    <w:rsid w:val="00E65A34"/>
    <w:rsid w:val="00E72E9A"/>
    <w:rsid w:val="00E74A1A"/>
    <w:rsid w:val="00E752DC"/>
    <w:rsid w:val="00E76CA8"/>
    <w:rsid w:val="00E86810"/>
    <w:rsid w:val="00E86DB9"/>
    <w:rsid w:val="00EA12DE"/>
    <w:rsid w:val="00EA5650"/>
    <w:rsid w:val="00EB2A94"/>
    <w:rsid w:val="00EB5B54"/>
    <w:rsid w:val="00EC329F"/>
    <w:rsid w:val="00ED2CF0"/>
    <w:rsid w:val="00ED3813"/>
    <w:rsid w:val="00ED54ED"/>
    <w:rsid w:val="00ED6A5D"/>
    <w:rsid w:val="00EE49AD"/>
    <w:rsid w:val="00EE69BF"/>
    <w:rsid w:val="00EE758E"/>
    <w:rsid w:val="00F05259"/>
    <w:rsid w:val="00F10E18"/>
    <w:rsid w:val="00F15AB2"/>
    <w:rsid w:val="00F20FE9"/>
    <w:rsid w:val="00F223E4"/>
    <w:rsid w:val="00F34489"/>
    <w:rsid w:val="00F429EF"/>
    <w:rsid w:val="00F51443"/>
    <w:rsid w:val="00F514D1"/>
    <w:rsid w:val="00F73374"/>
    <w:rsid w:val="00F8132B"/>
    <w:rsid w:val="00F858C9"/>
    <w:rsid w:val="00F8634B"/>
    <w:rsid w:val="00F9048F"/>
    <w:rsid w:val="00F91FE8"/>
    <w:rsid w:val="00F9443D"/>
    <w:rsid w:val="00F97F27"/>
    <w:rsid w:val="00FA05FE"/>
    <w:rsid w:val="00FB609C"/>
    <w:rsid w:val="00FB74AC"/>
    <w:rsid w:val="00FC04C5"/>
    <w:rsid w:val="00FC196A"/>
    <w:rsid w:val="00FC23A2"/>
    <w:rsid w:val="00FC2DF6"/>
    <w:rsid w:val="00FC2FF0"/>
    <w:rsid w:val="00FC4937"/>
    <w:rsid w:val="00FC4ABD"/>
    <w:rsid w:val="00FC4CC8"/>
    <w:rsid w:val="00FC5DA0"/>
    <w:rsid w:val="00FC67DE"/>
    <w:rsid w:val="00FD1B70"/>
    <w:rsid w:val="00FD7600"/>
    <w:rsid w:val="00FF0308"/>
    <w:rsid w:val="00FF2782"/>
    <w:rsid w:val="00FF3048"/>
    <w:rsid w:val="02186541"/>
    <w:rsid w:val="02B4969B"/>
    <w:rsid w:val="0321B4F3"/>
    <w:rsid w:val="06D91251"/>
    <w:rsid w:val="0801F9E1"/>
    <w:rsid w:val="09A3603E"/>
    <w:rsid w:val="0A015B08"/>
    <w:rsid w:val="0B5AF34A"/>
    <w:rsid w:val="0C6AC995"/>
    <w:rsid w:val="0CF6C3AB"/>
    <w:rsid w:val="0E76D161"/>
    <w:rsid w:val="0E92940C"/>
    <w:rsid w:val="0F14BD21"/>
    <w:rsid w:val="0FB5CB3B"/>
    <w:rsid w:val="1023828A"/>
    <w:rsid w:val="11E26AA9"/>
    <w:rsid w:val="12AAF035"/>
    <w:rsid w:val="12AB8DFA"/>
    <w:rsid w:val="13311A27"/>
    <w:rsid w:val="14F6F3AD"/>
    <w:rsid w:val="1846D7D2"/>
    <w:rsid w:val="19460698"/>
    <w:rsid w:val="19AAE92D"/>
    <w:rsid w:val="1B5232C1"/>
    <w:rsid w:val="1BF73899"/>
    <w:rsid w:val="1C668CA2"/>
    <w:rsid w:val="1D1479F1"/>
    <w:rsid w:val="204C085A"/>
    <w:rsid w:val="213F2A73"/>
    <w:rsid w:val="223D6185"/>
    <w:rsid w:val="24D89211"/>
    <w:rsid w:val="2527795C"/>
    <w:rsid w:val="2730625F"/>
    <w:rsid w:val="2783826E"/>
    <w:rsid w:val="2803C8D7"/>
    <w:rsid w:val="281032D3"/>
    <w:rsid w:val="28F549AA"/>
    <w:rsid w:val="292A34B2"/>
    <w:rsid w:val="293F001F"/>
    <w:rsid w:val="29FAEA7F"/>
    <w:rsid w:val="2B5420D6"/>
    <w:rsid w:val="2BDCBE87"/>
    <w:rsid w:val="2D328B41"/>
    <w:rsid w:val="2E8BC198"/>
    <w:rsid w:val="2EA2AA94"/>
    <w:rsid w:val="2F648B2E"/>
    <w:rsid w:val="306A2C03"/>
    <w:rsid w:val="307616E2"/>
    <w:rsid w:val="315EBADB"/>
    <w:rsid w:val="319B8FD7"/>
    <w:rsid w:val="339947C7"/>
    <w:rsid w:val="34F19052"/>
    <w:rsid w:val="35DBBA38"/>
    <w:rsid w:val="364F14A0"/>
    <w:rsid w:val="378B5FBE"/>
    <w:rsid w:val="38E82913"/>
    <w:rsid w:val="39135AFA"/>
    <w:rsid w:val="3A29398C"/>
    <w:rsid w:val="3AAF2B5B"/>
    <w:rsid w:val="3C4AFBBC"/>
    <w:rsid w:val="3DB0D0FD"/>
    <w:rsid w:val="3E165689"/>
    <w:rsid w:val="3E2E129F"/>
    <w:rsid w:val="3EA4DABA"/>
    <w:rsid w:val="3EE502F7"/>
    <w:rsid w:val="3F7032B7"/>
    <w:rsid w:val="3FCA4FA6"/>
    <w:rsid w:val="4040AB1B"/>
    <w:rsid w:val="4103C245"/>
    <w:rsid w:val="428EAB1C"/>
    <w:rsid w:val="42BADA73"/>
    <w:rsid w:val="442A7B7D"/>
    <w:rsid w:val="45EBC17C"/>
    <w:rsid w:val="45F1DE02"/>
    <w:rsid w:val="47CA2BE7"/>
    <w:rsid w:val="49D899A9"/>
    <w:rsid w:val="4A12552C"/>
    <w:rsid w:val="4B1BAF7E"/>
    <w:rsid w:val="4BD26EDE"/>
    <w:rsid w:val="4EE302D0"/>
    <w:rsid w:val="515F304B"/>
    <w:rsid w:val="53CF717F"/>
    <w:rsid w:val="56EBBD03"/>
    <w:rsid w:val="5761B60B"/>
    <w:rsid w:val="5771AAC0"/>
    <w:rsid w:val="57DF432E"/>
    <w:rsid w:val="57F01208"/>
    <w:rsid w:val="58A875E8"/>
    <w:rsid w:val="59A1F2A0"/>
    <w:rsid w:val="5AB7CE51"/>
    <w:rsid w:val="5BA93116"/>
    <w:rsid w:val="5D0E524A"/>
    <w:rsid w:val="5DC1A770"/>
    <w:rsid w:val="60D69F8B"/>
    <w:rsid w:val="6202BC0E"/>
    <w:rsid w:val="64AD97E2"/>
    <w:rsid w:val="664F95BA"/>
    <w:rsid w:val="665A0BA2"/>
    <w:rsid w:val="668D3042"/>
    <w:rsid w:val="66DF2883"/>
    <w:rsid w:val="69169C78"/>
    <w:rsid w:val="6925D991"/>
    <w:rsid w:val="6926723B"/>
    <w:rsid w:val="698661A4"/>
    <w:rsid w:val="6991AC64"/>
    <w:rsid w:val="699B4E0D"/>
    <w:rsid w:val="6A8FEB98"/>
    <w:rsid w:val="6DBB02DD"/>
    <w:rsid w:val="6DCD8F48"/>
    <w:rsid w:val="6EB9301E"/>
    <w:rsid w:val="6F00AAE3"/>
    <w:rsid w:val="7609D4FE"/>
    <w:rsid w:val="781F3827"/>
    <w:rsid w:val="78D5C3BC"/>
    <w:rsid w:val="7A208335"/>
    <w:rsid w:val="7A71C765"/>
    <w:rsid w:val="7AF43EB5"/>
    <w:rsid w:val="7C1E3B25"/>
    <w:rsid w:val="7CDFED94"/>
    <w:rsid w:val="7E60AD96"/>
    <w:rsid w:val="7F6338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3855"/>
    <w:rPr>
      <w:sz w:val="24"/>
      <w:szCs w:val="24"/>
    </w:rPr>
  </w:style>
  <w:style w:type="character" w:styleId="UnresolvedMention">
    <w:name w:val="Unresolved Mention"/>
    <w:basedOn w:val="DefaultParagraphFont"/>
    <w:uiPriority w:val="99"/>
    <w:semiHidden/>
    <w:unhideWhenUsed/>
    <w:rsid w:val="00B462E1"/>
    <w:rPr>
      <w:color w:val="605E5C"/>
      <w:shd w:val="clear" w:color="auto" w:fill="E1DFDD"/>
    </w:rPr>
  </w:style>
  <w:style w:type="character" w:styleId="FollowedHyperlink">
    <w:name w:val="FollowedHyperlink"/>
    <w:basedOn w:val="DefaultParagraphFont"/>
    <w:rsid w:val="00290F6F"/>
    <w:rPr>
      <w:color w:val="954F72" w:themeColor="followedHyperlink"/>
      <w:u w:val="single"/>
    </w:rPr>
  </w:style>
  <w:style w:type="paragraph" w:customStyle="1" w:styleId="TableTextLeft">
    <w:name w:val="Table Text Left"/>
    <w:semiHidden/>
    <w:rsid w:val="004C1BCE"/>
    <w:pPr>
      <w:spacing w:before="40" w:after="20" w:line="240" w:lineRule="atLeast"/>
    </w:pPr>
    <w:rPr>
      <w:rFonts w:asciiTheme="majorHAnsi" w:eastAsiaTheme="minorHAnsi" w:hAnsiTheme="majorHAnsi" w:cstheme="minorBidi"/>
      <w:color w:val="000000" w:themeColor="text1"/>
      <w:sz w:val="18"/>
      <w:szCs w:val="22"/>
    </w:rPr>
  </w:style>
  <w:style w:type="paragraph" w:customStyle="1" w:styleId="TableHeaderCenter">
    <w:name w:val="Table Header Center"/>
    <w:basedOn w:val="TableTextLeft"/>
    <w:semiHidden/>
    <w:rsid w:val="004C1BCE"/>
    <w:pPr>
      <w:keepNext/>
      <w:jc w:val="center"/>
    </w:pPr>
    <w:rPr>
      <w:color w:val="FFFFFF" w:themeColor="background1"/>
    </w:rPr>
  </w:style>
  <w:style w:type="paragraph" w:customStyle="1" w:styleId="TableHeaderLeft">
    <w:name w:val="Table Header Left"/>
    <w:basedOn w:val="TableTextLeft"/>
    <w:semiHidden/>
    <w:rsid w:val="004C1BCE"/>
    <w:pPr>
      <w:keepNext/>
    </w:pPr>
    <w:rPr>
      <w:color w:val="FFFFFF" w:themeColor="background1"/>
    </w:rPr>
  </w:style>
  <w:style w:type="table" w:customStyle="1" w:styleId="BaseTable">
    <w:name w:val="Base Table"/>
    <w:basedOn w:val="TableNormal"/>
    <w:rsid w:val="004C1BCE"/>
    <w:pPr>
      <w:spacing w:before="40" w:after="20"/>
    </w:pPr>
    <w:rPr>
      <w:rFonts w:asciiTheme="majorHAnsi" w:eastAsiaTheme="minorHAnsi" w:hAnsiTheme="majorHAnsi" w:cstheme="minorBidi"/>
      <w:sz w:val="18"/>
      <w:szCs w:val="22"/>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pf0">
    <w:name w:val="pf0"/>
    <w:basedOn w:val="Normal"/>
    <w:rsid w:val="00020834"/>
    <w:pPr>
      <w:spacing w:before="100" w:beforeAutospacing="1" w:after="100" w:afterAutospacing="1"/>
    </w:pPr>
  </w:style>
  <w:style w:type="character" w:customStyle="1" w:styleId="cf01">
    <w:name w:val="cf01"/>
    <w:basedOn w:val="DefaultParagraphFont"/>
    <w:rsid w:val="00020834"/>
    <w:rPr>
      <w:rFonts w:ascii="Segoe UI" w:hAnsi="Segoe UI" w:cs="Segoe UI" w:hint="default"/>
      <w:sz w:val="18"/>
      <w:szCs w:val="18"/>
    </w:rPr>
  </w:style>
  <w:style w:type="character" w:customStyle="1" w:styleId="cf11">
    <w:name w:val="cf11"/>
    <w:basedOn w:val="DefaultParagraphFont"/>
    <w:rsid w:val="00020834"/>
    <w:rPr>
      <w:rFonts w:ascii="Segoe UI" w:hAnsi="Segoe UI" w:cs="Segoe UI" w:hint="default"/>
      <w:i/>
      <w:iCs/>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pre/report/making-evaluations-rigorous-and-relevant-role-active-engagement-development-learnin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s/policy-guidance/csbg-im-82-tripartite-boards" TargetMode="External" /><Relationship Id="rId2" Type="http://schemas.openxmlformats.org/officeDocument/2006/relationships/hyperlink" Target="https://aspe.hhs.gov/reports/lived-experience-brie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Access xmlns="fce774b4-c9d4-4a8f-80fc-e2982472d72a" xsi:nil="true"/>
    <Notes xmlns="fce774b4-c9d4-4a8f-80fc-e2982472d72a" xsi:nil="true"/>
    <non_x002d_OPREaccess xmlns="fce774b4-c9d4-4a8f-80fc-e2982472d72a" xsi:nil="true"/>
    <Access0 xmlns="fce774b4-c9d4-4a8f-80fc-e2982472d7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documentManagement/types"/>
    <ds:schemaRef ds:uri="http://schemas.microsoft.com/office/infopath/2007/PartnerControls"/>
    <ds:schemaRef ds:uri="http://purl.org/dc/elements/1.1/"/>
    <ds:schemaRef ds:uri="fce774b4-c9d4-4a8f-80fc-e2982472d72a"/>
    <ds:schemaRef ds:uri="http://schemas.microsoft.com/office/2006/metadata/properties"/>
    <ds:schemaRef ds:uri="http://purl.org/dc/terms/"/>
    <ds:schemaRef ds:uri="http://schemas.openxmlformats.org/package/2006/metadata/core-properties"/>
    <ds:schemaRef ds:uri="a2d2812d-be11-456f-89bb-f2744f6d5ca3"/>
    <ds:schemaRef ds:uri="http://www.w3.org/XML/1998/namespace"/>
    <ds:schemaRef ds:uri="http://purl.org/dc/dcmitype/"/>
  </ds:schemaRefs>
</ds:datastoreItem>
</file>

<file path=customXml/itemProps4.xml><?xml version="1.0" encoding="utf-8"?>
<ds:datastoreItem xmlns:ds="http://schemas.openxmlformats.org/officeDocument/2006/customXml" ds:itemID="{52F7194D-9A54-4CF0-B3F0-A8EDB292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2386</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2024-09-19T13:29:00Z</dcterms:created>
  <dcterms:modified xsi:type="dcterms:W3CDTF">2024-09-19T13:29:00Z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0x0101000B46B86C37CA8543B3FA72107D1CF300</vt:lpwstr>
  </property>
  <property fmtid="{D5CDD505-2E9C-101B-9397-08002B2CF9AE}" pid="3" name="MediaServiceImageTags">
    <vt:lpwstr/>
  </property>
</Properties>
</file>