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60621" w:rsidRPr="00274056" w:rsidP="00160621" w14:paraId="670B57C7" w14:textId="19430EC0">
      <w:pPr>
        <w:pStyle w:val="ReportCover-Title"/>
        <w:jc w:val="center"/>
        <w:rPr>
          <w:rFonts w:ascii="Times New Roman" w:hAnsi="Times New Roman"/>
          <w:color w:val="auto"/>
        </w:rPr>
      </w:pPr>
      <w:r w:rsidRPr="00274056">
        <w:rPr>
          <w:rFonts w:ascii="Times New Roman" w:eastAsia="Arial Unicode MS" w:hAnsi="Times New Roman"/>
          <w:noProof/>
          <w:color w:val="auto"/>
        </w:rPr>
        <w:t>State Court Improvement Program</w:t>
      </w:r>
    </w:p>
    <w:p w:rsidR="00160621" w:rsidRPr="00274056" w:rsidP="00160621" w14:paraId="39336BB3" w14:textId="77777777">
      <w:pPr>
        <w:pStyle w:val="ReportCover-Title"/>
        <w:rPr>
          <w:rFonts w:ascii="Times New Roman" w:hAnsi="Times New Roman"/>
          <w:color w:val="auto"/>
        </w:rPr>
      </w:pPr>
    </w:p>
    <w:p w:rsidR="00160621" w:rsidRPr="00274056" w:rsidP="00160621" w14:paraId="04B775EB" w14:textId="77777777">
      <w:pPr>
        <w:pStyle w:val="ReportCover-Title"/>
        <w:rPr>
          <w:rFonts w:ascii="Times New Roman" w:hAnsi="Times New Roman"/>
          <w:color w:val="auto"/>
        </w:rPr>
      </w:pPr>
    </w:p>
    <w:p w:rsidR="00160621" w:rsidRPr="00274056" w:rsidP="00160621" w14:paraId="0D335B37" w14:textId="77777777">
      <w:pPr>
        <w:pStyle w:val="ReportCover-Title"/>
        <w:jc w:val="center"/>
        <w:rPr>
          <w:rFonts w:ascii="Times New Roman" w:hAnsi="Times New Roman"/>
          <w:color w:val="auto"/>
        </w:rPr>
      </w:pPr>
      <w:r w:rsidRPr="00274056">
        <w:rPr>
          <w:rFonts w:ascii="Times New Roman" w:hAnsi="Times New Roman"/>
          <w:color w:val="auto"/>
        </w:rPr>
        <w:t>OMB Information Collection Request</w:t>
      </w:r>
    </w:p>
    <w:p w:rsidR="00160621" w:rsidRPr="00274056" w:rsidP="00160621" w14:paraId="063F1238" w14:textId="0F451A0C">
      <w:pPr>
        <w:pStyle w:val="ReportCover-Title"/>
        <w:jc w:val="center"/>
        <w:rPr>
          <w:rFonts w:ascii="Times New Roman" w:hAnsi="Times New Roman"/>
          <w:color w:val="auto"/>
        </w:rPr>
      </w:pPr>
      <w:r w:rsidRPr="00274056">
        <w:rPr>
          <w:rFonts w:ascii="Times New Roman" w:hAnsi="Times New Roman"/>
          <w:color w:val="auto"/>
        </w:rPr>
        <w:t xml:space="preserve">0970 - </w:t>
      </w:r>
      <w:r w:rsidRPr="00274056" w:rsidR="0057139B">
        <w:rPr>
          <w:rFonts w:ascii="Times New Roman" w:hAnsi="Times New Roman"/>
          <w:color w:val="auto"/>
        </w:rPr>
        <w:t>0307</w:t>
      </w:r>
    </w:p>
    <w:p w:rsidR="00160621" w:rsidRPr="00274056" w:rsidP="00160621" w14:paraId="3CAA9B87" w14:textId="77777777">
      <w:pPr>
        <w:rPr>
          <w:rFonts w:ascii="Times New Roman" w:hAnsi="Times New Roman"/>
          <w:sz w:val="40"/>
          <w:szCs w:val="40"/>
        </w:rPr>
      </w:pPr>
    </w:p>
    <w:p w:rsidR="00160621" w:rsidRPr="00274056" w:rsidP="00160621" w14:paraId="781D51D2" w14:textId="77777777">
      <w:pPr>
        <w:pStyle w:val="ReportCover-Date"/>
        <w:jc w:val="center"/>
        <w:rPr>
          <w:rFonts w:ascii="Times New Roman" w:hAnsi="Times New Roman"/>
          <w:color w:val="auto"/>
          <w:sz w:val="40"/>
          <w:szCs w:val="40"/>
        </w:rPr>
      </w:pPr>
    </w:p>
    <w:p w:rsidR="00160621" w:rsidRPr="00274056" w:rsidP="00597E7F" w14:paraId="17D8E5F2" w14:textId="77777777">
      <w:pPr>
        <w:pStyle w:val="ReportCover-Date"/>
        <w:spacing w:after="360" w:line="240" w:lineRule="auto"/>
        <w:jc w:val="center"/>
        <w:rPr>
          <w:rFonts w:ascii="Times New Roman" w:hAnsi="Times New Roman"/>
          <w:color w:val="auto"/>
          <w:sz w:val="40"/>
          <w:szCs w:val="40"/>
        </w:rPr>
      </w:pPr>
      <w:r w:rsidRPr="00274056">
        <w:rPr>
          <w:rFonts w:ascii="Times New Roman" w:hAnsi="Times New Roman"/>
          <w:color w:val="auto"/>
          <w:sz w:val="40"/>
          <w:szCs w:val="40"/>
        </w:rPr>
        <w:t>Supporting Statement</w:t>
      </w:r>
      <w:r w:rsidRPr="00274056" w:rsidR="00597E7F">
        <w:rPr>
          <w:rFonts w:ascii="Times New Roman" w:hAnsi="Times New Roman"/>
          <w:color w:val="auto"/>
          <w:sz w:val="40"/>
          <w:szCs w:val="40"/>
        </w:rPr>
        <w:t xml:space="preserve"> </w:t>
      </w:r>
      <w:r w:rsidRPr="00274056">
        <w:rPr>
          <w:rFonts w:ascii="Times New Roman" w:hAnsi="Times New Roman"/>
          <w:color w:val="auto"/>
          <w:sz w:val="40"/>
          <w:szCs w:val="40"/>
        </w:rPr>
        <w:t>Part</w:t>
      </w:r>
      <w:r w:rsidRPr="00274056">
        <w:rPr>
          <w:rFonts w:ascii="Times New Roman" w:hAnsi="Times New Roman"/>
          <w:color w:val="auto"/>
          <w:sz w:val="40"/>
          <w:szCs w:val="40"/>
        </w:rPr>
        <w:t xml:space="preserve"> A - Justification</w:t>
      </w:r>
    </w:p>
    <w:p w:rsidR="00160621" w:rsidRPr="00867247" w:rsidP="00160621" w14:paraId="76FA23BE" w14:textId="01D72E7E">
      <w:pPr>
        <w:pStyle w:val="ReportCover-Date"/>
        <w:jc w:val="center"/>
        <w:rPr>
          <w:rFonts w:ascii="Times New Roman" w:hAnsi="Times New Roman"/>
          <w:color w:val="auto"/>
          <w:szCs w:val="24"/>
        </w:rPr>
      </w:pPr>
      <w:r>
        <w:rPr>
          <w:rFonts w:ascii="Times New Roman" w:hAnsi="Times New Roman"/>
          <w:color w:val="auto"/>
          <w:szCs w:val="24"/>
        </w:rPr>
        <w:t>September</w:t>
      </w:r>
      <w:r w:rsidRPr="00867247" w:rsidR="00402D24">
        <w:rPr>
          <w:rFonts w:ascii="Times New Roman" w:hAnsi="Times New Roman"/>
          <w:color w:val="auto"/>
          <w:szCs w:val="24"/>
        </w:rPr>
        <w:t xml:space="preserve"> </w:t>
      </w:r>
      <w:r w:rsidRPr="00867247" w:rsidR="0057139B">
        <w:rPr>
          <w:rFonts w:ascii="Times New Roman" w:hAnsi="Times New Roman"/>
          <w:color w:val="auto"/>
          <w:szCs w:val="24"/>
        </w:rPr>
        <w:t>2022</w:t>
      </w:r>
    </w:p>
    <w:p w:rsidR="00160621" w:rsidRPr="00867247" w:rsidP="00160621" w14:paraId="753A1E04" w14:textId="77777777">
      <w:pPr>
        <w:jc w:val="center"/>
        <w:rPr>
          <w:rFonts w:ascii="Times New Roman" w:hAnsi="Times New Roman"/>
          <w:sz w:val="24"/>
          <w:szCs w:val="24"/>
        </w:rPr>
      </w:pPr>
    </w:p>
    <w:p w:rsidR="00597E7F" w:rsidRPr="00867247" w:rsidP="00160621" w14:paraId="519E722B" w14:textId="77777777">
      <w:pPr>
        <w:jc w:val="center"/>
        <w:rPr>
          <w:rFonts w:ascii="Times New Roman" w:hAnsi="Times New Roman"/>
          <w:sz w:val="24"/>
          <w:szCs w:val="24"/>
        </w:rPr>
      </w:pPr>
    </w:p>
    <w:p w:rsidR="00597E7F" w:rsidRPr="00867247" w:rsidP="00160621" w14:paraId="468EB90E" w14:textId="77777777">
      <w:pPr>
        <w:jc w:val="center"/>
        <w:rPr>
          <w:rFonts w:ascii="Times New Roman" w:hAnsi="Times New Roman"/>
          <w:sz w:val="24"/>
          <w:szCs w:val="24"/>
        </w:rPr>
      </w:pPr>
    </w:p>
    <w:p w:rsidR="00597E7F" w:rsidRPr="00867247" w:rsidP="00160621" w14:paraId="6C5E3B54" w14:textId="77777777">
      <w:pPr>
        <w:jc w:val="center"/>
        <w:rPr>
          <w:rFonts w:ascii="Times New Roman" w:hAnsi="Times New Roman"/>
          <w:sz w:val="24"/>
          <w:szCs w:val="24"/>
        </w:rPr>
      </w:pPr>
    </w:p>
    <w:p w:rsidR="00597E7F" w:rsidRPr="00867247" w:rsidP="00160621" w14:paraId="7616FF45" w14:textId="77777777">
      <w:pPr>
        <w:jc w:val="center"/>
        <w:rPr>
          <w:rFonts w:ascii="Times New Roman" w:hAnsi="Times New Roman"/>
          <w:sz w:val="24"/>
          <w:szCs w:val="24"/>
        </w:rPr>
      </w:pPr>
    </w:p>
    <w:p w:rsidR="00597E7F" w:rsidRPr="00867247" w:rsidP="00160621" w14:paraId="6B4C00B6" w14:textId="77777777">
      <w:pPr>
        <w:jc w:val="center"/>
        <w:rPr>
          <w:rFonts w:ascii="Times New Roman" w:hAnsi="Times New Roman"/>
          <w:sz w:val="24"/>
          <w:szCs w:val="24"/>
        </w:rPr>
      </w:pPr>
    </w:p>
    <w:p w:rsidR="00597E7F" w:rsidRPr="00867247" w:rsidP="00160621" w14:paraId="5DC42FB1" w14:textId="77777777">
      <w:pPr>
        <w:jc w:val="center"/>
        <w:rPr>
          <w:rFonts w:ascii="Times New Roman" w:hAnsi="Times New Roman"/>
          <w:sz w:val="24"/>
          <w:szCs w:val="24"/>
        </w:rPr>
      </w:pPr>
    </w:p>
    <w:p w:rsidR="00597E7F" w:rsidRPr="00867247" w:rsidP="00160621" w14:paraId="4A667098" w14:textId="77777777">
      <w:pPr>
        <w:jc w:val="center"/>
        <w:rPr>
          <w:rFonts w:ascii="Times New Roman" w:hAnsi="Times New Roman"/>
          <w:sz w:val="24"/>
          <w:szCs w:val="24"/>
        </w:rPr>
      </w:pPr>
    </w:p>
    <w:p w:rsidR="00597E7F" w:rsidRPr="00867247" w:rsidP="00160621" w14:paraId="56FA4225" w14:textId="77777777">
      <w:pPr>
        <w:jc w:val="center"/>
        <w:rPr>
          <w:rFonts w:ascii="Times New Roman" w:hAnsi="Times New Roman"/>
          <w:sz w:val="24"/>
          <w:szCs w:val="24"/>
        </w:rPr>
      </w:pPr>
    </w:p>
    <w:p w:rsidR="00597E7F" w:rsidRPr="00867247" w:rsidP="00160621" w14:paraId="59C877DB" w14:textId="77777777">
      <w:pPr>
        <w:jc w:val="center"/>
        <w:rPr>
          <w:rFonts w:ascii="Times New Roman" w:hAnsi="Times New Roman"/>
          <w:sz w:val="24"/>
          <w:szCs w:val="24"/>
        </w:rPr>
      </w:pPr>
    </w:p>
    <w:p w:rsidR="00597E7F" w:rsidRPr="00867247" w:rsidP="00160621" w14:paraId="7AAAF468" w14:textId="77777777">
      <w:pPr>
        <w:jc w:val="center"/>
        <w:rPr>
          <w:rFonts w:ascii="Times New Roman" w:hAnsi="Times New Roman"/>
          <w:sz w:val="24"/>
          <w:szCs w:val="24"/>
        </w:rPr>
      </w:pPr>
    </w:p>
    <w:p w:rsidR="00597E7F" w:rsidRPr="00867247" w:rsidP="00160621" w14:paraId="0B6F308C" w14:textId="77777777">
      <w:pPr>
        <w:jc w:val="center"/>
        <w:rPr>
          <w:rFonts w:ascii="Times New Roman" w:hAnsi="Times New Roman"/>
          <w:sz w:val="24"/>
          <w:szCs w:val="24"/>
        </w:rPr>
      </w:pPr>
    </w:p>
    <w:p w:rsidR="00597E7F" w:rsidRPr="00867247" w:rsidP="00160621" w14:paraId="43A61A97" w14:textId="77777777">
      <w:pPr>
        <w:jc w:val="center"/>
        <w:rPr>
          <w:rFonts w:ascii="Times New Roman" w:hAnsi="Times New Roman"/>
          <w:sz w:val="24"/>
          <w:szCs w:val="24"/>
        </w:rPr>
      </w:pPr>
    </w:p>
    <w:p w:rsidR="00597E7F" w:rsidRPr="00867247" w:rsidP="00160621" w14:paraId="5656E161" w14:textId="77777777">
      <w:pPr>
        <w:jc w:val="center"/>
        <w:rPr>
          <w:rFonts w:ascii="Times New Roman" w:hAnsi="Times New Roman"/>
          <w:sz w:val="24"/>
          <w:szCs w:val="24"/>
        </w:rPr>
      </w:pPr>
    </w:p>
    <w:p w:rsidR="00160621" w:rsidRPr="00867247" w:rsidP="00160621" w14:paraId="5E112DDD" w14:textId="77777777">
      <w:pPr>
        <w:jc w:val="center"/>
        <w:rPr>
          <w:rFonts w:ascii="Times New Roman" w:hAnsi="Times New Roman"/>
          <w:sz w:val="24"/>
          <w:szCs w:val="24"/>
        </w:rPr>
      </w:pPr>
      <w:r w:rsidRPr="00867247">
        <w:rPr>
          <w:rFonts w:ascii="Times New Roman" w:hAnsi="Times New Roman"/>
          <w:sz w:val="24"/>
          <w:szCs w:val="24"/>
        </w:rPr>
        <w:t>Submitted By:</w:t>
      </w:r>
    </w:p>
    <w:p w:rsidR="00160621" w:rsidRPr="00867247" w:rsidP="00160621" w14:paraId="54195924" w14:textId="1D0428FA">
      <w:pPr>
        <w:jc w:val="center"/>
        <w:rPr>
          <w:rFonts w:ascii="Times New Roman" w:hAnsi="Times New Roman"/>
          <w:sz w:val="24"/>
          <w:szCs w:val="24"/>
        </w:rPr>
      </w:pPr>
      <w:r w:rsidRPr="00867247">
        <w:rPr>
          <w:rFonts w:ascii="Times New Roman" w:hAnsi="Times New Roman"/>
          <w:sz w:val="24"/>
          <w:szCs w:val="24"/>
        </w:rPr>
        <w:t>Children’s Bureau</w:t>
      </w:r>
    </w:p>
    <w:p w:rsidR="00160621" w:rsidRPr="00867247" w:rsidP="00160621" w14:paraId="6B7D9C75" w14:textId="77777777">
      <w:pPr>
        <w:jc w:val="center"/>
        <w:rPr>
          <w:rFonts w:ascii="Times New Roman" w:hAnsi="Times New Roman"/>
          <w:sz w:val="24"/>
          <w:szCs w:val="24"/>
        </w:rPr>
      </w:pPr>
      <w:r w:rsidRPr="00867247">
        <w:rPr>
          <w:rFonts w:ascii="Times New Roman" w:hAnsi="Times New Roman"/>
          <w:sz w:val="24"/>
          <w:szCs w:val="24"/>
        </w:rPr>
        <w:t xml:space="preserve">Administration for Children and Families </w:t>
      </w:r>
    </w:p>
    <w:p w:rsidR="00160621" w:rsidRPr="00867247" w:rsidP="00160621" w14:paraId="4CE8214D" w14:textId="77777777">
      <w:pPr>
        <w:jc w:val="center"/>
        <w:rPr>
          <w:rFonts w:ascii="Times New Roman" w:hAnsi="Times New Roman"/>
          <w:sz w:val="24"/>
          <w:szCs w:val="24"/>
        </w:rPr>
      </w:pPr>
      <w:r w:rsidRPr="00867247">
        <w:rPr>
          <w:rFonts w:ascii="Times New Roman" w:hAnsi="Times New Roman"/>
          <w:sz w:val="24"/>
          <w:szCs w:val="24"/>
        </w:rPr>
        <w:t>U.S. Department of Health and Human Services</w:t>
      </w:r>
    </w:p>
    <w:p w:rsidR="00160621" w:rsidRPr="00867247" w:rsidP="00160621" w14:paraId="005256ED" w14:textId="77777777">
      <w:pPr>
        <w:jc w:val="center"/>
        <w:rPr>
          <w:rFonts w:ascii="Times New Roman" w:hAnsi="Times New Roman"/>
          <w:sz w:val="24"/>
          <w:szCs w:val="24"/>
        </w:rPr>
      </w:pPr>
    </w:p>
    <w:p w:rsidR="00160621" w:rsidRPr="00867247" w:rsidP="00160621" w14:paraId="71DD6E4D" w14:textId="77777777">
      <w:pPr>
        <w:jc w:val="center"/>
        <w:rPr>
          <w:rFonts w:ascii="Times New Roman" w:hAnsi="Times New Roman"/>
          <w:sz w:val="24"/>
          <w:szCs w:val="24"/>
        </w:rPr>
      </w:pPr>
    </w:p>
    <w:p w:rsidR="00160621" w:rsidRPr="00867247" w:rsidP="00160621" w14:paraId="56DD869F" w14:textId="77777777">
      <w:pPr>
        <w:jc w:val="center"/>
        <w:rPr>
          <w:rFonts w:ascii="Times New Roman" w:hAnsi="Times New Roman"/>
          <w:sz w:val="24"/>
          <w:szCs w:val="24"/>
        </w:rPr>
      </w:pPr>
    </w:p>
    <w:p w:rsidR="00160621" w:rsidRPr="00867247" w:rsidP="00160621" w14:paraId="0B82535D" w14:textId="77777777">
      <w:pPr>
        <w:jc w:val="center"/>
        <w:rPr>
          <w:rFonts w:ascii="Times New Roman" w:hAnsi="Times New Roman"/>
          <w:sz w:val="24"/>
          <w:szCs w:val="24"/>
        </w:rPr>
      </w:pPr>
    </w:p>
    <w:p w:rsidR="00160621" w:rsidRPr="00867247" w:rsidP="00160621" w14:paraId="21C4C2D8" w14:textId="77777777">
      <w:pPr>
        <w:jc w:val="center"/>
        <w:rPr>
          <w:rFonts w:ascii="Times New Roman" w:hAnsi="Times New Roman"/>
          <w:sz w:val="24"/>
          <w:szCs w:val="24"/>
        </w:rPr>
      </w:pPr>
    </w:p>
    <w:p w:rsidR="00160621" w:rsidRPr="00867247" w:rsidP="00160621" w14:paraId="1473AAD1" w14:textId="77777777">
      <w:pPr>
        <w:jc w:val="center"/>
        <w:rPr>
          <w:rFonts w:ascii="Times New Roman" w:hAnsi="Times New Roman"/>
          <w:sz w:val="24"/>
          <w:szCs w:val="24"/>
        </w:rPr>
      </w:pPr>
    </w:p>
    <w:p w:rsidR="00160621" w:rsidRPr="00867247" w:rsidP="00160621" w14:paraId="346CDF4E" w14:textId="77777777">
      <w:pPr>
        <w:jc w:val="center"/>
        <w:rPr>
          <w:rFonts w:ascii="Times New Roman" w:hAnsi="Times New Roman"/>
          <w:sz w:val="24"/>
          <w:szCs w:val="24"/>
        </w:rPr>
      </w:pPr>
    </w:p>
    <w:p w:rsidR="002C3C4F" w:rsidRPr="00867247" w:rsidP="00075889"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867247">
        <w:rPr>
          <w:rFonts w:ascii="Times New Roman" w:hAnsi="Times New Roman"/>
          <w:b/>
          <w:snapToGrid/>
          <w:sz w:val="24"/>
          <w:szCs w:val="24"/>
        </w:rPr>
        <w:t xml:space="preserve">Circumstances Making the Collection of Information Necessary </w:t>
      </w:r>
    </w:p>
    <w:p w:rsidR="00F420C9" w:rsidP="000A60F7" w14:paraId="5C6ED02A" w14:textId="77777777">
      <w:pPr>
        <w:widowControl/>
        <w:ind w:left="360"/>
        <w:rPr>
          <w:rFonts w:ascii="Times New Roman" w:hAnsi="Times New Roman"/>
          <w:snapToGrid/>
          <w:sz w:val="24"/>
          <w:szCs w:val="24"/>
        </w:rPr>
      </w:pPr>
      <w:r w:rsidRPr="00E73211">
        <w:rPr>
          <w:rFonts w:ascii="Times New Roman" w:hAnsi="Times New Roman"/>
          <w:snapToGrid/>
          <w:sz w:val="24"/>
          <w:szCs w:val="24"/>
        </w:rPr>
        <w:t>Authorizing legislation makes clear that an application is required in order for State courts to receive CIP funding.  A copy of the statute is attached with this submission for review</w:t>
      </w:r>
      <w:r>
        <w:rPr>
          <w:rFonts w:ascii="Times New Roman" w:hAnsi="Times New Roman"/>
          <w:snapToGrid/>
          <w:sz w:val="24"/>
          <w:szCs w:val="24"/>
        </w:rPr>
        <w:t xml:space="preserve"> (Attachment A - </w:t>
      </w:r>
      <w:r w:rsidRPr="00F420C9">
        <w:rPr>
          <w:rFonts w:ascii="Times New Roman" w:hAnsi="Times New Roman"/>
          <w:snapToGrid/>
          <w:sz w:val="24"/>
          <w:szCs w:val="24"/>
        </w:rPr>
        <w:t>SSA Section 438</w:t>
      </w:r>
      <w:r>
        <w:rPr>
          <w:rFonts w:ascii="Times New Roman" w:hAnsi="Times New Roman"/>
          <w:snapToGrid/>
          <w:sz w:val="24"/>
          <w:szCs w:val="24"/>
        </w:rPr>
        <w:t>)</w:t>
      </w:r>
      <w:r w:rsidRPr="00E73211">
        <w:rPr>
          <w:rFonts w:ascii="Times New Roman" w:hAnsi="Times New Roman"/>
          <w:snapToGrid/>
          <w:sz w:val="24"/>
          <w:szCs w:val="24"/>
        </w:rPr>
        <w:t>.</w:t>
      </w:r>
      <w:r>
        <w:rPr>
          <w:rFonts w:ascii="Times New Roman" w:hAnsi="Times New Roman"/>
          <w:snapToGrid/>
          <w:sz w:val="24"/>
          <w:szCs w:val="24"/>
        </w:rPr>
        <w:t xml:space="preserve"> There are two parts of the application, which</w:t>
      </w:r>
      <w:r w:rsidRPr="00867247" w:rsidR="0057139B">
        <w:rPr>
          <w:rFonts w:ascii="Times New Roman" w:hAnsi="Times New Roman"/>
          <w:snapToGrid/>
          <w:sz w:val="24"/>
          <w:szCs w:val="24"/>
        </w:rPr>
        <w:t xml:space="preserve"> are necessary to properly administer the State Court Improvement Program (CIP)</w:t>
      </w:r>
      <w:r w:rsidRPr="00867247" w:rsidR="007D1E0E">
        <w:rPr>
          <w:rFonts w:ascii="Times New Roman" w:hAnsi="Times New Roman"/>
          <w:snapToGrid/>
          <w:sz w:val="24"/>
          <w:szCs w:val="24"/>
        </w:rPr>
        <w:t xml:space="preserve">: an </w:t>
      </w:r>
      <w:r w:rsidRPr="00867247" w:rsidR="0057139B">
        <w:rPr>
          <w:rFonts w:ascii="Times New Roman" w:hAnsi="Times New Roman"/>
          <w:snapToGrid/>
          <w:sz w:val="24"/>
          <w:szCs w:val="24"/>
        </w:rPr>
        <w:t>annual year-end self-assessment report with an updated strategic plan</w:t>
      </w:r>
      <w:r>
        <w:rPr>
          <w:rFonts w:ascii="Times New Roman" w:hAnsi="Times New Roman"/>
          <w:snapToGrid/>
          <w:sz w:val="24"/>
          <w:szCs w:val="24"/>
        </w:rPr>
        <w:t>.</w:t>
      </w:r>
    </w:p>
    <w:p w:rsidR="00142CE5" w:rsidP="000A60F7" w14:paraId="68CA919F" w14:textId="5DB0A31F">
      <w:pPr>
        <w:widowControl/>
        <w:ind w:left="360"/>
        <w:rPr>
          <w:rFonts w:ascii="Times New Roman" w:hAnsi="Times New Roman"/>
          <w:snapToGrid/>
          <w:sz w:val="24"/>
          <w:szCs w:val="24"/>
        </w:rPr>
      </w:pPr>
      <w:r w:rsidRPr="00142CE5">
        <w:rPr>
          <w:rFonts w:ascii="Times New Roman" w:hAnsi="Times New Roman"/>
          <w:snapToGrid/>
          <w:sz w:val="24"/>
          <w:szCs w:val="24"/>
        </w:rPr>
        <w:t xml:space="preserve"> </w:t>
      </w:r>
    </w:p>
    <w:p w:rsidR="00142CE5" w:rsidRPr="000A60F7" w:rsidP="005769D1" w14:paraId="22A4D72F" w14:textId="08921F61">
      <w:pPr>
        <w:widowControl/>
        <w:ind w:left="360"/>
        <w:rPr>
          <w:rFonts w:ascii="Times New Roman" w:hAnsi="Times New Roman"/>
          <w:snapToGrid/>
          <w:sz w:val="24"/>
          <w:szCs w:val="24"/>
        </w:rPr>
      </w:pPr>
      <w:r w:rsidRPr="000A60F7">
        <w:rPr>
          <w:rFonts w:ascii="Times New Roman" w:hAnsi="Times New Roman"/>
          <w:snapToGrid/>
          <w:sz w:val="24"/>
          <w:szCs w:val="24"/>
        </w:rPr>
        <w:t xml:space="preserve">A complete application is required from state courts every five years which includes the self-assessment and new strategic plan. Annually, the self-assessment should thoroughly be updated to reflect progress and challenges over the prior year. The strategic plan is to be written as a five-year plan which looks forward and is updated as needed annually. Because it is a high-level summary, and the two documents work in tandem, the primary burden annually is completing the more detailed self-assessment and updates to strategic plans are often minor notes that flow out of that review. These documents are required to monitor progress of the program according to statute. </w:t>
      </w:r>
    </w:p>
    <w:p w:rsidR="00142CE5" w:rsidP="000A60F7" w14:paraId="4A7072B0" w14:textId="77777777">
      <w:pPr>
        <w:widowControl/>
        <w:ind w:left="360"/>
        <w:rPr>
          <w:rFonts w:ascii="Times New Roman" w:hAnsi="Times New Roman"/>
          <w:snapToGrid/>
          <w:sz w:val="24"/>
          <w:szCs w:val="24"/>
        </w:rPr>
      </w:pPr>
    </w:p>
    <w:p w:rsidR="00E73211" w:rsidP="00F420C9" w14:paraId="62AB16B5" w14:textId="1F7ABFDF">
      <w:pPr>
        <w:widowControl/>
        <w:ind w:left="360"/>
        <w:rPr>
          <w:rFonts w:ascii="Times New Roman" w:hAnsi="Times New Roman"/>
          <w:snapToGrid/>
          <w:sz w:val="24"/>
          <w:szCs w:val="24"/>
        </w:rPr>
      </w:pPr>
      <w:r w:rsidRPr="00F420C9">
        <w:rPr>
          <w:rFonts w:ascii="Times New Roman" w:hAnsi="Times New Roman"/>
          <w:snapToGrid/>
          <w:sz w:val="24"/>
          <w:szCs w:val="24"/>
        </w:rPr>
        <w:t>Both the self-assessment and strategic plan template were developed with in-depth grantee input and feedback. The goal has been to design a process and tools that meet</w:t>
      </w:r>
      <w:r w:rsidRPr="00F420C9" w:rsidR="00F420C9">
        <w:rPr>
          <w:rFonts w:ascii="Times New Roman" w:hAnsi="Times New Roman"/>
          <w:snapToGrid/>
          <w:sz w:val="24"/>
          <w:szCs w:val="24"/>
        </w:rPr>
        <w:t xml:space="preserve"> reporting requirements but also serve as helpful documents to grantees in conducting their work.</w:t>
      </w:r>
    </w:p>
    <w:p w:rsidR="00E73211" w:rsidP="000A60F7" w14:paraId="0B536A2F" w14:textId="77777777">
      <w:pPr>
        <w:widowControl/>
        <w:ind w:left="360"/>
        <w:rPr>
          <w:rFonts w:ascii="Times New Roman" w:hAnsi="Times New Roman"/>
          <w:snapToGrid/>
          <w:sz w:val="24"/>
          <w:szCs w:val="24"/>
        </w:rPr>
      </w:pPr>
    </w:p>
    <w:p w:rsidR="0057139B" w:rsidRPr="00867247" w:rsidP="000A60F7" w14:paraId="243259AE" w14:textId="431FA3F4">
      <w:pPr>
        <w:widowControl/>
        <w:spacing w:after="120"/>
        <w:ind w:left="360"/>
        <w:rPr>
          <w:rFonts w:ascii="Times New Roman" w:hAnsi="Times New Roman"/>
          <w:snapToGrid/>
          <w:sz w:val="24"/>
          <w:szCs w:val="24"/>
        </w:rPr>
      </w:pPr>
      <w:r w:rsidRPr="00867247">
        <w:rPr>
          <w:rFonts w:ascii="Times New Roman" w:hAnsi="Times New Roman"/>
          <w:snapToGrid/>
          <w:sz w:val="24"/>
          <w:szCs w:val="24"/>
        </w:rPr>
        <w:t xml:space="preserve">Both collections have previously received OMB clearance. This current request includes </w:t>
      </w:r>
      <w:r w:rsidR="00F420C9">
        <w:rPr>
          <w:rFonts w:ascii="Times New Roman" w:hAnsi="Times New Roman"/>
          <w:snapToGrid/>
          <w:sz w:val="24"/>
          <w:szCs w:val="24"/>
        </w:rPr>
        <w:t xml:space="preserve">the following </w:t>
      </w:r>
      <w:r w:rsidRPr="00867247">
        <w:rPr>
          <w:rFonts w:ascii="Times New Roman" w:hAnsi="Times New Roman"/>
          <w:snapToGrid/>
          <w:sz w:val="24"/>
          <w:szCs w:val="24"/>
        </w:rPr>
        <w:t xml:space="preserve">revisions: </w:t>
      </w:r>
    </w:p>
    <w:p w:rsidR="00487467" w:rsidRPr="00487467" w:rsidP="00487467" w14:paraId="3A2AFD52" w14:textId="69ED0459">
      <w:pPr>
        <w:pStyle w:val="ListParagraph"/>
        <w:widowControl/>
        <w:numPr>
          <w:ilvl w:val="0"/>
          <w:numId w:val="21"/>
        </w:numPr>
        <w:spacing w:after="120"/>
        <w:rPr>
          <w:rFonts w:ascii="Times New Roman" w:hAnsi="Times New Roman"/>
          <w:snapToGrid/>
          <w:sz w:val="24"/>
          <w:szCs w:val="24"/>
        </w:rPr>
      </w:pPr>
      <w:r w:rsidRPr="00487467">
        <w:rPr>
          <w:rFonts w:ascii="Times New Roman" w:hAnsi="Times New Roman"/>
          <w:snapToGrid/>
          <w:sz w:val="24"/>
          <w:szCs w:val="24"/>
        </w:rPr>
        <w:t xml:space="preserve">New infrastructure questions regarding the Title IV-E Child and Family Services Reviews (CFSR) have been added to the Self-Assessment. The statute has long required CIPs to collaborate with the child welfare agency. During the last round of CFSR, CB made a concerted effort to support CIPs and the agencies to engage broader legal and judicial involvement in the reviews. These questions are designed to support that on-going effort. </w:t>
      </w:r>
    </w:p>
    <w:p w:rsidR="00487467" w:rsidRPr="00274056" w:rsidP="00274056" w14:paraId="4E47F42C" w14:textId="288176E9">
      <w:pPr>
        <w:pStyle w:val="ListParagraph"/>
        <w:widowControl/>
        <w:numPr>
          <w:ilvl w:val="0"/>
          <w:numId w:val="21"/>
        </w:numPr>
        <w:spacing w:after="120"/>
        <w:rPr>
          <w:rFonts w:ascii="Times New Roman" w:hAnsi="Times New Roman"/>
          <w:snapToGrid/>
          <w:sz w:val="24"/>
          <w:szCs w:val="24"/>
        </w:rPr>
      </w:pPr>
      <w:r>
        <w:rPr>
          <w:rFonts w:ascii="Times New Roman" w:hAnsi="Times New Roman"/>
          <w:snapToGrid/>
          <w:sz w:val="24"/>
          <w:szCs w:val="24"/>
        </w:rPr>
        <w:t>O</w:t>
      </w:r>
      <w:r w:rsidRPr="00487467">
        <w:rPr>
          <w:rFonts w:ascii="Times New Roman" w:hAnsi="Times New Roman"/>
          <w:snapToGrid/>
          <w:sz w:val="24"/>
          <w:szCs w:val="24"/>
        </w:rPr>
        <w:t>verall court structural questions</w:t>
      </w:r>
      <w:r>
        <w:rPr>
          <w:rFonts w:ascii="Times New Roman" w:hAnsi="Times New Roman"/>
          <w:snapToGrid/>
          <w:sz w:val="24"/>
          <w:szCs w:val="24"/>
        </w:rPr>
        <w:t xml:space="preserve"> </w:t>
      </w:r>
      <w:r>
        <w:rPr>
          <w:rFonts w:ascii="Times New Roman" w:hAnsi="Times New Roman"/>
          <w:snapToGrid/>
          <w:sz w:val="24"/>
          <w:szCs w:val="24"/>
        </w:rPr>
        <w:t xml:space="preserve">are now included </w:t>
      </w:r>
      <w:r>
        <w:rPr>
          <w:rFonts w:ascii="Times New Roman" w:hAnsi="Times New Roman"/>
          <w:snapToGrid/>
          <w:sz w:val="24"/>
          <w:szCs w:val="24"/>
        </w:rPr>
        <w:t xml:space="preserve">which are intended to facilitate peer and partner supports. </w:t>
      </w:r>
      <w:r w:rsidRPr="00487467">
        <w:rPr>
          <w:rFonts w:ascii="Times New Roman" w:hAnsi="Times New Roman"/>
          <w:snapToGrid/>
          <w:sz w:val="24"/>
          <w:szCs w:val="24"/>
        </w:rPr>
        <w:t xml:space="preserve"> </w:t>
      </w:r>
    </w:p>
    <w:p w:rsidR="00DA6E43" w:rsidRPr="00867247" w:rsidP="00F420C9" w14:paraId="2BA6F921" w14:textId="09BB9B4B">
      <w:pPr>
        <w:pStyle w:val="ListParagraph"/>
        <w:widowControl/>
        <w:numPr>
          <w:ilvl w:val="0"/>
          <w:numId w:val="21"/>
        </w:numPr>
        <w:tabs>
          <w:tab w:val="num" w:pos="360"/>
        </w:tabs>
        <w:spacing w:after="120"/>
        <w:rPr>
          <w:rFonts w:ascii="Times New Roman" w:hAnsi="Times New Roman"/>
          <w:snapToGrid/>
          <w:sz w:val="24"/>
          <w:szCs w:val="24"/>
        </w:rPr>
      </w:pPr>
      <w:r>
        <w:rPr>
          <w:rFonts w:ascii="Times New Roman" w:hAnsi="Times New Roman"/>
          <w:snapToGrid/>
          <w:sz w:val="24"/>
          <w:szCs w:val="24"/>
        </w:rPr>
        <w:t>Changes t</w:t>
      </w:r>
      <w:r w:rsidRPr="00867247" w:rsidR="0057139B">
        <w:rPr>
          <w:rFonts w:ascii="Times New Roman" w:hAnsi="Times New Roman"/>
          <w:snapToGrid/>
          <w:sz w:val="24"/>
          <w:szCs w:val="24"/>
        </w:rPr>
        <w:t>o bring the program into compliance with section 438 of the Social Security Act. On December 27, 2020, P.L. 116-260, the Consolidated Appropriations Act, 2021 was enacted into law.  This law included provisions reauthorizing the CIP through FY 2022 and amending the program. The primary change to the CIP made by the new law was to consolidate the former three CIP grants (basic, data and training) into a single grant that can be used for all program purposes. Under the new single CIP grant structure, each state CIP grantee is required to use at least 30 percent of funds for collaboration and data sharing.</w:t>
      </w:r>
      <w:r>
        <w:rPr>
          <w:rFonts w:ascii="Times New Roman" w:hAnsi="Times New Roman"/>
          <w:snapToGrid/>
          <w:sz w:val="24"/>
          <w:szCs w:val="24"/>
        </w:rPr>
        <w:t xml:space="preserve"> This change means two fewer fiscal forms are necessary; states still submit the same information but on fewer forms.</w:t>
      </w:r>
    </w:p>
    <w:p w:rsidR="0057139B" w:rsidRPr="00867247" w:rsidP="0057139B" w14:paraId="6DAA63AA" w14:textId="77777777">
      <w:pPr>
        <w:widowControl/>
        <w:tabs>
          <w:tab w:val="num" w:pos="360"/>
        </w:tabs>
        <w:ind w:left="360"/>
        <w:rPr>
          <w:rFonts w:ascii="Times New Roman" w:hAnsi="Times New Roman"/>
          <w:snapToGrid/>
          <w:sz w:val="24"/>
          <w:szCs w:val="24"/>
        </w:rPr>
      </w:pPr>
    </w:p>
    <w:p w:rsidR="002C3C4F" w:rsidRPr="00867247" w:rsidP="00075889"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867247">
        <w:rPr>
          <w:rFonts w:ascii="Times New Roman" w:hAnsi="Times New Roman"/>
          <w:b/>
          <w:snapToGrid/>
          <w:sz w:val="24"/>
          <w:szCs w:val="24"/>
        </w:rPr>
        <w:t>P</w:t>
      </w:r>
      <w:r w:rsidRPr="00867247">
        <w:rPr>
          <w:rFonts w:ascii="Times New Roman" w:hAnsi="Times New Roman"/>
          <w:b/>
          <w:snapToGrid/>
          <w:sz w:val="24"/>
          <w:szCs w:val="24"/>
        </w:rPr>
        <w:t xml:space="preserve">urpose and Use of the Information Collection </w:t>
      </w:r>
    </w:p>
    <w:p w:rsidR="00D60543" w:rsidRPr="00867247" w:rsidP="00D7443D" w14:paraId="689974F1" w14:textId="695E26C7">
      <w:pPr>
        <w:widowControl/>
        <w:tabs>
          <w:tab w:val="num" w:pos="360"/>
        </w:tabs>
        <w:ind w:left="360"/>
        <w:rPr>
          <w:rFonts w:ascii="Times New Roman" w:hAnsi="Times New Roman"/>
          <w:snapToGrid/>
          <w:sz w:val="24"/>
          <w:szCs w:val="24"/>
        </w:rPr>
      </w:pPr>
      <w:r w:rsidRPr="00867247">
        <w:rPr>
          <w:rFonts w:ascii="Times New Roman" w:hAnsi="Times New Roman"/>
          <w:snapToGrid/>
          <w:sz w:val="24"/>
          <w:szCs w:val="24"/>
        </w:rPr>
        <w:t xml:space="preserve">This data collection serves </w:t>
      </w:r>
      <w:r w:rsidRPr="00867247">
        <w:rPr>
          <w:rFonts w:ascii="Times New Roman" w:hAnsi="Times New Roman"/>
          <w:snapToGrid/>
          <w:sz w:val="24"/>
          <w:szCs w:val="24"/>
        </w:rPr>
        <w:t>a number of</w:t>
      </w:r>
      <w:r w:rsidRPr="00867247">
        <w:rPr>
          <w:rFonts w:ascii="Times New Roman" w:hAnsi="Times New Roman"/>
          <w:snapToGrid/>
          <w:sz w:val="24"/>
          <w:szCs w:val="24"/>
        </w:rPr>
        <w:t xml:space="preserve"> related purposes:</w:t>
      </w:r>
    </w:p>
    <w:p w:rsidR="00DA6E43" w:rsidRPr="00867247" w:rsidP="00DA6E43" w14:paraId="27D1F3E5" w14:textId="154A27CC">
      <w:pPr>
        <w:pStyle w:val="ListParagraph"/>
        <w:widowControl/>
        <w:numPr>
          <w:ilvl w:val="0"/>
          <w:numId w:val="23"/>
        </w:numPr>
        <w:tabs>
          <w:tab w:val="num" w:pos="360"/>
        </w:tabs>
        <w:rPr>
          <w:rFonts w:ascii="Times New Roman" w:hAnsi="Times New Roman"/>
          <w:snapToGrid/>
          <w:sz w:val="24"/>
          <w:szCs w:val="24"/>
        </w:rPr>
      </w:pPr>
      <w:r w:rsidRPr="00867247">
        <w:rPr>
          <w:rFonts w:ascii="Times New Roman" w:hAnsi="Times New Roman"/>
          <w:snapToGrid/>
          <w:sz w:val="24"/>
          <w:szCs w:val="24"/>
        </w:rPr>
        <w:t xml:space="preserve">The collection provides information for annual approval of funding and oversight of compliance with the statute. </w:t>
      </w:r>
    </w:p>
    <w:p w:rsidR="00DA6E43" w:rsidRPr="00867247" w:rsidP="00DA6E43" w14:paraId="58E580B2" w14:textId="6B38F1DB">
      <w:pPr>
        <w:pStyle w:val="ListParagraph"/>
        <w:widowControl/>
        <w:numPr>
          <w:ilvl w:val="0"/>
          <w:numId w:val="23"/>
        </w:numPr>
        <w:tabs>
          <w:tab w:val="num" w:pos="360"/>
        </w:tabs>
        <w:rPr>
          <w:rFonts w:ascii="Times New Roman" w:hAnsi="Times New Roman"/>
          <w:snapToGrid/>
          <w:sz w:val="24"/>
          <w:szCs w:val="24"/>
        </w:rPr>
      </w:pPr>
      <w:r w:rsidRPr="00867247">
        <w:rPr>
          <w:rFonts w:ascii="Times New Roman" w:hAnsi="Times New Roman"/>
          <w:snapToGrid/>
          <w:sz w:val="24"/>
          <w:szCs w:val="24"/>
        </w:rPr>
        <w:t xml:space="preserve">The collection provides information for review by the </w:t>
      </w:r>
      <w:r w:rsidR="00BF4FF9">
        <w:rPr>
          <w:rFonts w:ascii="Times New Roman" w:hAnsi="Times New Roman"/>
          <w:snapToGrid/>
          <w:sz w:val="24"/>
          <w:szCs w:val="24"/>
        </w:rPr>
        <w:t>Children’s Bureau (</w:t>
      </w:r>
      <w:r w:rsidRPr="00867247">
        <w:rPr>
          <w:rFonts w:ascii="Times New Roman" w:hAnsi="Times New Roman"/>
          <w:snapToGrid/>
          <w:sz w:val="24"/>
          <w:szCs w:val="24"/>
        </w:rPr>
        <w:t>CB</w:t>
      </w:r>
      <w:r w:rsidR="00BF4FF9">
        <w:rPr>
          <w:rFonts w:ascii="Times New Roman" w:hAnsi="Times New Roman"/>
          <w:snapToGrid/>
          <w:sz w:val="24"/>
          <w:szCs w:val="24"/>
        </w:rPr>
        <w:t>)</w:t>
      </w:r>
      <w:r w:rsidRPr="00867247">
        <w:rPr>
          <w:rFonts w:ascii="Times New Roman" w:hAnsi="Times New Roman"/>
          <w:snapToGrid/>
          <w:sz w:val="24"/>
          <w:szCs w:val="24"/>
        </w:rPr>
        <w:t xml:space="preserve"> and our technical assistance provider, the Capacity Building Center for Courts, to provide programmatic feedback and assistance to CIPs outside of any compliance issues that may be found. </w:t>
      </w:r>
    </w:p>
    <w:p w:rsidR="00DA6E43" w:rsidRPr="00867247" w:rsidP="00DA6E43" w14:paraId="6E2D635C" w14:textId="0B6AFCE2">
      <w:pPr>
        <w:pStyle w:val="ListParagraph"/>
        <w:widowControl/>
        <w:numPr>
          <w:ilvl w:val="0"/>
          <w:numId w:val="23"/>
        </w:numPr>
        <w:tabs>
          <w:tab w:val="num" w:pos="360"/>
        </w:tabs>
        <w:rPr>
          <w:rFonts w:ascii="Times New Roman" w:hAnsi="Times New Roman"/>
          <w:snapToGrid/>
          <w:sz w:val="24"/>
          <w:szCs w:val="24"/>
        </w:rPr>
      </w:pPr>
      <w:r w:rsidRPr="00867247">
        <w:rPr>
          <w:rFonts w:ascii="Times New Roman" w:hAnsi="Times New Roman"/>
          <w:snapToGrid/>
          <w:sz w:val="24"/>
          <w:szCs w:val="24"/>
        </w:rPr>
        <w:t xml:space="preserve">The collection is summarized across grantees and shared back with grantees which facilitated peer connections, national technical assistance, and a community of learning. </w:t>
      </w:r>
    </w:p>
    <w:p w:rsidR="00D60543" w:rsidRPr="00867247" w:rsidP="00D7443D" w14:paraId="3C8C4501" w14:textId="77777777">
      <w:pPr>
        <w:widowControl/>
        <w:tabs>
          <w:tab w:val="num" w:pos="360"/>
        </w:tabs>
        <w:ind w:left="360"/>
        <w:rPr>
          <w:rFonts w:ascii="Times New Roman" w:hAnsi="Times New Roman"/>
          <w:snapToGrid/>
          <w:sz w:val="24"/>
          <w:szCs w:val="24"/>
        </w:rPr>
      </w:pPr>
    </w:p>
    <w:p w:rsidR="002C3C4F" w:rsidRPr="00867247" w:rsidP="00075889"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867247">
        <w:rPr>
          <w:rFonts w:ascii="Times New Roman" w:hAnsi="Times New Roman"/>
          <w:b/>
          <w:snapToGrid/>
          <w:sz w:val="24"/>
          <w:szCs w:val="24"/>
        </w:rPr>
        <w:t xml:space="preserve">Use of Improved Information Technology and Burden Reduction </w:t>
      </w:r>
    </w:p>
    <w:p w:rsidR="00D60543" w:rsidRPr="00867247" w:rsidP="00022586" w14:paraId="5F5541A7" w14:textId="4BA7216D">
      <w:pPr>
        <w:widowControl/>
        <w:tabs>
          <w:tab w:val="num" w:pos="360"/>
        </w:tabs>
        <w:ind w:left="360"/>
        <w:rPr>
          <w:rFonts w:ascii="Times New Roman" w:hAnsi="Times New Roman"/>
          <w:snapToGrid/>
          <w:sz w:val="24"/>
          <w:szCs w:val="24"/>
        </w:rPr>
      </w:pPr>
      <w:r w:rsidRPr="00867247">
        <w:rPr>
          <w:rFonts w:ascii="Times New Roman" w:hAnsi="Times New Roman"/>
          <w:snapToGrid/>
          <w:sz w:val="24"/>
          <w:szCs w:val="24"/>
        </w:rPr>
        <w:t>Only electronic submissions of the collections are accepted.</w:t>
      </w:r>
      <w:r w:rsidR="00F420C9">
        <w:rPr>
          <w:rFonts w:ascii="Times New Roman" w:hAnsi="Times New Roman"/>
          <w:snapToGrid/>
          <w:sz w:val="24"/>
          <w:szCs w:val="24"/>
        </w:rPr>
        <w:t xml:space="preserve"> States submit through regional email boxes.</w:t>
      </w:r>
    </w:p>
    <w:p w:rsidR="009C2DE1" w:rsidRPr="00867247" w:rsidP="00022586" w14:paraId="64C47E67" w14:textId="77777777">
      <w:pPr>
        <w:widowControl/>
        <w:tabs>
          <w:tab w:val="num" w:pos="360"/>
        </w:tabs>
        <w:ind w:left="360"/>
        <w:rPr>
          <w:rFonts w:ascii="Times New Roman" w:hAnsi="Times New Roman"/>
          <w:snapToGrid/>
          <w:sz w:val="24"/>
          <w:szCs w:val="24"/>
        </w:rPr>
      </w:pPr>
    </w:p>
    <w:p w:rsidR="002C3C4F" w:rsidRPr="00867247" w:rsidP="00075889"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867247">
        <w:rPr>
          <w:rFonts w:ascii="Times New Roman" w:hAnsi="Times New Roman"/>
          <w:b/>
          <w:snapToGrid/>
          <w:sz w:val="24"/>
          <w:szCs w:val="24"/>
        </w:rPr>
        <w:t xml:space="preserve">Efforts to Identify Duplication and Use of Similar Information </w:t>
      </w:r>
    </w:p>
    <w:p w:rsidR="009F5543" w:rsidRPr="00867247" w:rsidP="00022586" w14:paraId="64082C42" w14:textId="4215F661">
      <w:pPr>
        <w:widowControl/>
        <w:tabs>
          <w:tab w:val="num" w:pos="360"/>
        </w:tabs>
        <w:ind w:left="360"/>
        <w:rPr>
          <w:rFonts w:ascii="Times New Roman" w:hAnsi="Times New Roman"/>
          <w:snapToGrid/>
          <w:sz w:val="24"/>
          <w:szCs w:val="24"/>
        </w:rPr>
      </w:pPr>
      <w:r w:rsidRPr="00867247">
        <w:rPr>
          <w:rFonts w:ascii="Times New Roman" w:hAnsi="Times New Roman"/>
          <w:snapToGrid/>
          <w:sz w:val="24"/>
          <w:szCs w:val="24"/>
        </w:rPr>
        <w:t xml:space="preserve">The information in these data collections reflect information and opinions that are generally only within the purview of CIP staff. Thus, this type of information does not exist anywhere else. For the </w:t>
      </w:r>
      <w:r w:rsidR="00F420C9">
        <w:rPr>
          <w:rFonts w:ascii="Times New Roman" w:hAnsi="Times New Roman"/>
          <w:snapToGrid/>
          <w:sz w:val="24"/>
          <w:szCs w:val="24"/>
        </w:rPr>
        <w:t xml:space="preserve">new </w:t>
      </w:r>
      <w:r w:rsidRPr="00867247">
        <w:rPr>
          <w:rFonts w:ascii="Times New Roman" w:hAnsi="Times New Roman"/>
          <w:snapToGrid/>
          <w:sz w:val="24"/>
          <w:szCs w:val="24"/>
        </w:rPr>
        <w:t>overall system structure questions that</w:t>
      </w:r>
      <w:r w:rsidRPr="00867247" w:rsidR="007D1E0E">
        <w:rPr>
          <w:rFonts w:ascii="Times New Roman" w:hAnsi="Times New Roman"/>
          <w:snapToGrid/>
          <w:sz w:val="24"/>
          <w:szCs w:val="24"/>
        </w:rPr>
        <w:t xml:space="preserve"> are noted </w:t>
      </w:r>
      <w:r w:rsidR="00F420C9">
        <w:rPr>
          <w:rFonts w:ascii="Times New Roman" w:hAnsi="Times New Roman"/>
          <w:snapToGrid/>
          <w:sz w:val="24"/>
          <w:szCs w:val="24"/>
        </w:rPr>
        <w:t>in A1 and A</w:t>
      </w:r>
      <w:r w:rsidR="0084173F">
        <w:rPr>
          <w:rFonts w:ascii="Times New Roman" w:hAnsi="Times New Roman"/>
          <w:snapToGrid/>
          <w:sz w:val="24"/>
          <w:szCs w:val="24"/>
        </w:rPr>
        <w:t>15</w:t>
      </w:r>
      <w:r w:rsidRPr="00867247">
        <w:rPr>
          <w:rFonts w:ascii="Times New Roman" w:hAnsi="Times New Roman"/>
          <w:snapToGrid/>
          <w:sz w:val="24"/>
          <w:szCs w:val="24"/>
        </w:rPr>
        <w:t>, a copious amount of research was done to determine what elements could be found on public websites as to not add burden for grantees. Only those that were unable to be found reliably are included.</w:t>
      </w:r>
    </w:p>
    <w:p w:rsidR="009F5543" w:rsidRPr="00867247" w:rsidP="00022586" w14:paraId="2896C13D" w14:textId="77777777">
      <w:pPr>
        <w:widowControl/>
        <w:tabs>
          <w:tab w:val="num" w:pos="360"/>
        </w:tabs>
        <w:ind w:left="360"/>
        <w:rPr>
          <w:rFonts w:ascii="Times New Roman" w:hAnsi="Times New Roman"/>
          <w:snapToGrid/>
          <w:sz w:val="24"/>
          <w:szCs w:val="24"/>
        </w:rPr>
      </w:pPr>
    </w:p>
    <w:p w:rsidR="002C3C4F" w:rsidRPr="00867247" w:rsidP="00075889"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867247">
        <w:rPr>
          <w:rFonts w:ascii="Times New Roman" w:hAnsi="Times New Roman"/>
          <w:b/>
          <w:snapToGrid/>
          <w:sz w:val="24"/>
          <w:szCs w:val="24"/>
        </w:rPr>
        <w:t xml:space="preserve">Impact on Small Businesses or Other Small Entities </w:t>
      </w:r>
    </w:p>
    <w:p w:rsidR="00D60543" w:rsidRPr="00867247" w:rsidP="00022586" w14:paraId="1AC2893A" w14:textId="74EBBF55">
      <w:pPr>
        <w:widowControl/>
        <w:tabs>
          <w:tab w:val="num" w:pos="360"/>
        </w:tabs>
        <w:ind w:left="360"/>
        <w:rPr>
          <w:rFonts w:ascii="Times New Roman" w:hAnsi="Times New Roman"/>
          <w:snapToGrid/>
          <w:sz w:val="24"/>
          <w:szCs w:val="24"/>
        </w:rPr>
      </w:pPr>
      <w:r w:rsidRPr="00867247">
        <w:rPr>
          <w:rFonts w:ascii="Times New Roman" w:hAnsi="Times New Roman"/>
          <w:snapToGrid/>
          <w:sz w:val="24"/>
          <w:szCs w:val="24"/>
        </w:rPr>
        <w:t>This collection should not impact small businesses and has been designed to minimize the burden on respondents.</w:t>
      </w:r>
    </w:p>
    <w:p w:rsidR="00D60543" w:rsidRPr="00867247" w:rsidP="00022586" w14:paraId="3417396F" w14:textId="77777777">
      <w:pPr>
        <w:widowControl/>
        <w:tabs>
          <w:tab w:val="num" w:pos="360"/>
        </w:tabs>
        <w:ind w:left="360"/>
        <w:rPr>
          <w:rFonts w:ascii="Times New Roman" w:hAnsi="Times New Roman"/>
          <w:snapToGrid/>
          <w:sz w:val="24"/>
          <w:szCs w:val="24"/>
        </w:rPr>
      </w:pPr>
    </w:p>
    <w:p w:rsidR="009F5543" w:rsidRPr="00867247" w:rsidP="006612BB" w14:paraId="7CACD664" w14:textId="6CFA31B5">
      <w:pPr>
        <w:widowControl/>
        <w:numPr>
          <w:ilvl w:val="0"/>
          <w:numId w:val="3"/>
        </w:numPr>
        <w:tabs>
          <w:tab w:val="num" w:pos="360"/>
        </w:tabs>
        <w:spacing w:after="120"/>
        <w:ind w:left="360"/>
        <w:rPr>
          <w:rFonts w:ascii="Times New Roman" w:hAnsi="Times New Roman"/>
          <w:snapToGrid/>
          <w:sz w:val="24"/>
          <w:szCs w:val="24"/>
        </w:rPr>
      </w:pPr>
      <w:r w:rsidRPr="00867247">
        <w:rPr>
          <w:rFonts w:ascii="Times New Roman" w:hAnsi="Times New Roman"/>
          <w:b/>
          <w:snapToGrid/>
          <w:sz w:val="24"/>
          <w:szCs w:val="24"/>
        </w:rPr>
        <w:t xml:space="preserve">Consequences of Collecting the Information Less Frequently </w:t>
      </w:r>
    </w:p>
    <w:p w:rsidR="00D60543" w:rsidRPr="00867247" w:rsidP="00022586" w14:paraId="2A0F47DE" w14:textId="5FF7071A">
      <w:pPr>
        <w:widowControl/>
        <w:tabs>
          <w:tab w:val="num" w:pos="360"/>
        </w:tabs>
        <w:ind w:left="360"/>
        <w:rPr>
          <w:rFonts w:ascii="Times New Roman" w:hAnsi="Times New Roman"/>
          <w:snapToGrid/>
          <w:sz w:val="24"/>
          <w:szCs w:val="24"/>
        </w:rPr>
      </w:pPr>
      <w:r w:rsidRPr="00867247">
        <w:rPr>
          <w:rFonts w:ascii="Times New Roman" w:hAnsi="Times New Roman"/>
          <w:snapToGrid/>
          <w:sz w:val="24"/>
          <w:szCs w:val="24"/>
        </w:rPr>
        <w:t xml:space="preserve">Applications are statutorily required.  Absent applications, awards are not </w:t>
      </w:r>
      <w:r w:rsidRPr="00867247">
        <w:rPr>
          <w:rFonts w:ascii="Times New Roman" w:hAnsi="Times New Roman"/>
          <w:snapToGrid/>
          <w:sz w:val="24"/>
          <w:szCs w:val="24"/>
        </w:rPr>
        <w:t>authorized</w:t>
      </w:r>
      <w:r w:rsidRPr="00867247">
        <w:rPr>
          <w:rFonts w:ascii="Times New Roman" w:hAnsi="Times New Roman"/>
          <w:snapToGrid/>
          <w:sz w:val="24"/>
          <w:szCs w:val="24"/>
        </w:rPr>
        <w:t xml:space="preserve"> and the program cannot continue to operate.  The year-end self-assessment report is the primary form of accounting and accountability to ensure funds are being used in compliance with the statute.  Self-assessment reports are necessary to demonstrate how grant funds have been used.</w:t>
      </w:r>
      <w:r w:rsidRPr="00867247" w:rsidR="007D1E0E">
        <w:rPr>
          <w:rFonts w:ascii="Times New Roman" w:hAnsi="Times New Roman"/>
          <w:snapToGrid/>
          <w:sz w:val="24"/>
          <w:szCs w:val="24"/>
        </w:rPr>
        <w:t xml:space="preserve"> Strategic plans provide a </w:t>
      </w:r>
      <w:r w:rsidRPr="00867247" w:rsidR="007D1E0E">
        <w:rPr>
          <w:rFonts w:ascii="Times New Roman" w:hAnsi="Times New Roman"/>
          <w:snapToGrid/>
          <w:sz w:val="24"/>
          <w:szCs w:val="24"/>
        </w:rPr>
        <w:t>high level</w:t>
      </w:r>
      <w:r w:rsidRPr="00867247" w:rsidR="007D1E0E">
        <w:rPr>
          <w:rFonts w:ascii="Times New Roman" w:hAnsi="Times New Roman"/>
          <w:snapToGrid/>
          <w:sz w:val="24"/>
          <w:szCs w:val="24"/>
        </w:rPr>
        <w:t xml:space="preserve"> overview of future activities that allow CB to provide support at key junctures. </w:t>
      </w:r>
    </w:p>
    <w:p w:rsidR="00DE529D" w:rsidRPr="00867247" w:rsidP="00022586" w14:paraId="2744D4F5" w14:textId="77777777">
      <w:pPr>
        <w:widowControl/>
        <w:tabs>
          <w:tab w:val="num" w:pos="360"/>
        </w:tabs>
        <w:ind w:left="360"/>
        <w:rPr>
          <w:rFonts w:ascii="Times New Roman" w:hAnsi="Times New Roman"/>
          <w:snapToGrid/>
          <w:sz w:val="24"/>
          <w:szCs w:val="24"/>
        </w:rPr>
      </w:pPr>
    </w:p>
    <w:p w:rsidR="002C3C4F" w:rsidRPr="00867247" w:rsidP="00075889"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867247">
        <w:rPr>
          <w:rFonts w:ascii="Times New Roman" w:hAnsi="Times New Roman"/>
          <w:b/>
          <w:snapToGrid/>
          <w:sz w:val="24"/>
          <w:szCs w:val="24"/>
        </w:rPr>
        <w:t xml:space="preserve">Special Circumstances Relating to the Guidelines of 5 CFR 1320.5 </w:t>
      </w:r>
    </w:p>
    <w:p w:rsidR="009C2DE1" w:rsidRPr="00867247" w:rsidP="00022586" w14:paraId="2936D2FA" w14:textId="60C290F5">
      <w:pPr>
        <w:widowControl/>
        <w:tabs>
          <w:tab w:val="num" w:pos="360"/>
        </w:tabs>
        <w:ind w:left="360"/>
        <w:rPr>
          <w:rFonts w:ascii="Times New Roman" w:hAnsi="Times New Roman"/>
          <w:snapToGrid/>
          <w:sz w:val="24"/>
          <w:szCs w:val="24"/>
        </w:rPr>
      </w:pPr>
      <w:r w:rsidRPr="00867247">
        <w:rPr>
          <w:rFonts w:ascii="Times New Roman" w:hAnsi="Times New Roman"/>
          <w:snapToGrid/>
          <w:sz w:val="24"/>
          <w:szCs w:val="24"/>
        </w:rPr>
        <w:t>There are no special circumstances associated with this collection.</w:t>
      </w:r>
    </w:p>
    <w:p w:rsidR="00DE529D" w:rsidRPr="00867247" w:rsidP="00022586" w14:paraId="7781B5A4" w14:textId="77777777">
      <w:pPr>
        <w:widowControl/>
        <w:tabs>
          <w:tab w:val="num" w:pos="360"/>
        </w:tabs>
        <w:ind w:left="360"/>
        <w:rPr>
          <w:rFonts w:ascii="Times New Roman" w:hAnsi="Times New Roman"/>
          <w:snapToGrid/>
          <w:sz w:val="24"/>
          <w:szCs w:val="24"/>
        </w:rPr>
      </w:pPr>
    </w:p>
    <w:p w:rsidR="0051278C" w:rsidRPr="00867247" w:rsidP="00075889"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867247">
        <w:rPr>
          <w:rFonts w:ascii="Times New Roman" w:hAnsi="Times New Roman"/>
          <w:b/>
          <w:snapToGrid/>
          <w:sz w:val="24"/>
          <w:szCs w:val="24"/>
        </w:rPr>
        <w:t xml:space="preserve">Comments in Response to the Federal Register Notice and Efforts to Consult Outside the Agency </w:t>
      </w:r>
    </w:p>
    <w:p w:rsidR="00744A71" w:rsidRPr="00867247" w:rsidP="00744A71" w14:paraId="34B2DA54" w14:textId="2CF53AD4">
      <w:pPr>
        <w:tabs>
          <w:tab w:val="num" w:pos="360"/>
        </w:tabs>
        <w:ind w:left="360"/>
        <w:rPr>
          <w:rFonts w:ascii="Times New Roman" w:hAnsi="Times New Roman"/>
          <w:sz w:val="24"/>
          <w:szCs w:val="24"/>
        </w:rPr>
      </w:pPr>
      <w:r w:rsidRPr="00867247">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w:t>
      </w:r>
      <w:r w:rsidR="00BF4FF9">
        <w:rPr>
          <w:rFonts w:ascii="Times New Roman" w:hAnsi="Times New Roman"/>
          <w:sz w:val="24"/>
          <w:szCs w:val="24"/>
        </w:rPr>
        <w:t xml:space="preserve">This notice (87 FR 40244) </w:t>
      </w:r>
      <w:r w:rsidRPr="004F7B95" w:rsidR="00BF4FF9">
        <w:rPr>
          <w:rFonts w:ascii="Times New Roman" w:hAnsi="Times New Roman"/>
          <w:sz w:val="24"/>
          <w:szCs w:val="24"/>
        </w:rPr>
        <w:t xml:space="preserve">provided a sixty-day period for public comment.  </w:t>
      </w:r>
      <w:r w:rsidRPr="00D36F2C" w:rsidR="00BF4FF9">
        <w:rPr>
          <w:rFonts w:ascii="Times New Roman" w:hAnsi="Times New Roman"/>
          <w:sz w:val="24"/>
          <w:szCs w:val="24"/>
        </w:rPr>
        <w:t>During the notice and comment period</w:t>
      </w:r>
      <w:r w:rsidRPr="00D36F2C" w:rsidR="00D36F2C">
        <w:rPr>
          <w:rFonts w:ascii="Times New Roman" w:hAnsi="Times New Roman"/>
          <w:sz w:val="24"/>
          <w:szCs w:val="24"/>
        </w:rPr>
        <w:t xml:space="preserve"> w</w:t>
      </w:r>
      <w:r w:rsidRPr="00D36F2C" w:rsidR="00BF4FF9">
        <w:rPr>
          <w:rFonts w:ascii="Times New Roman" w:hAnsi="Times New Roman"/>
          <w:sz w:val="24"/>
          <w:szCs w:val="24"/>
        </w:rPr>
        <w:t>e did not receive comments.</w:t>
      </w:r>
    </w:p>
    <w:p w:rsidR="007D1E0E" w:rsidRPr="00867247" w:rsidP="00022586" w14:paraId="4278CD77" w14:textId="77777777">
      <w:pPr>
        <w:tabs>
          <w:tab w:val="num" w:pos="360"/>
        </w:tabs>
        <w:ind w:left="360"/>
        <w:rPr>
          <w:rFonts w:ascii="Times New Roman" w:hAnsi="Times New Roman"/>
          <w:sz w:val="24"/>
          <w:szCs w:val="24"/>
        </w:rPr>
      </w:pPr>
    </w:p>
    <w:p w:rsidR="00CB1A12" w:rsidRPr="00867247" w:rsidP="00022586" w14:paraId="3CF18BF3" w14:textId="2264A135">
      <w:pPr>
        <w:widowControl/>
        <w:tabs>
          <w:tab w:val="num" w:pos="360"/>
        </w:tabs>
        <w:ind w:left="360"/>
        <w:rPr>
          <w:rFonts w:ascii="Times New Roman" w:hAnsi="Times New Roman"/>
          <w:snapToGrid/>
          <w:sz w:val="24"/>
          <w:szCs w:val="24"/>
        </w:rPr>
      </w:pPr>
      <w:r w:rsidRPr="00867247">
        <w:rPr>
          <w:rFonts w:ascii="Times New Roman" w:hAnsi="Times New Roman"/>
          <w:snapToGrid/>
          <w:sz w:val="24"/>
          <w:szCs w:val="24"/>
        </w:rPr>
        <w:t>A number of</w:t>
      </w:r>
      <w:r w:rsidRPr="00867247">
        <w:rPr>
          <w:rFonts w:ascii="Times New Roman" w:hAnsi="Times New Roman"/>
          <w:snapToGrid/>
          <w:sz w:val="24"/>
          <w:szCs w:val="24"/>
        </w:rPr>
        <w:t xml:space="preserve"> efforts were made to consult with individuals outside the agency to develop and solicit input on these program requirements. Grantee feedback is sought informally during calls </w:t>
      </w:r>
      <w:r w:rsidRPr="00867247" w:rsidR="00744A71">
        <w:rPr>
          <w:rFonts w:ascii="Times New Roman" w:hAnsi="Times New Roman"/>
          <w:snapToGrid/>
          <w:sz w:val="24"/>
          <w:szCs w:val="24"/>
        </w:rPr>
        <w:t>in the course of providing technical assistance and training for grantee new staff</w:t>
      </w:r>
      <w:r w:rsidRPr="00867247">
        <w:rPr>
          <w:rFonts w:ascii="Times New Roman" w:hAnsi="Times New Roman"/>
          <w:snapToGrid/>
          <w:sz w:val="24"/>
          <w:szCs w:val="24"/>
        </w:rPr>
        <w:t xml:space="preserve">. </w:t>
      </w:r>
    </w:p>
    <w:p w:rsidR="0028277F" w:rsidRPr="00867247" w:rsidP="00022586" w14:paraId="7DFA2E69" w14:textId="01D36EC1">
      <w:pPr>
        <w:widowControl/>
        <w:tabs>
          <w:tab w:val="num" w:pos="360"/>
        </w:tabs>
        <w:ind w:left="360"/>
        <w:rPr>
          <w:rFonts w:ascii="Times New Roman" w:hAnsi="Times New Roman"/>
          <w:snapToGrid/>
          <w:sz w:val="24"/>
          <w:szCs w:val="24"/>
        </w:rPr>
      </w:pPr>
    </w:p>
    <w:p w:rsidR="0028277F" w:rsidRPr="00867247" w:rsidP="0028277F" w14:paraId="5009DC8C" w14:textId="776B3C1E">
      <w:pPr>
        <w:widowControl/>
        <w:tabs>
          <w:tab w:val="num" w:pos="360"/>
        </w:tabs>
        <w:ind w:left="360"/>
        <w:rPr>
          <w:rFonts w:ascii="Times New Roman" w:hAnsi="Times New Roman"/>
          <w:snapToGrid/>
          <w:sz w:val="24"/>
          <w:szCs w:val="24"/>
        </w:rPr>
      </w:pPr>
      <w:r w:rsidRPr="00867247">
        <w:rPr>
          <w:rFonts w:ascii="Times New Roman" w:hAnsi="Times New Roman"/>
          <w:snapToGrid/>
          <w:sz w:val="24"/>
          <w:szCs w:val="24"/>
        </w:rPr>
        <w:t xml:space="preserve">The below grantee technical assistance providers were involved in ongoing review of the information collection. </w:t>
      </w:r>
      <w:r w:rsidRPr="00867247" w:rsidR="007D1E0E">
        <w:rPr>
          <w:rFonts w:ascii="Times New Roman" w:hAnsi="Times New Roman"/>
          <w:snapToGrid/>
          <w:sz w:val="24"/>
          <w:szCs w:val="24"/>
        </w:rPr>
        <w:t xml:space="preserve">These </w:t>
      </w:r>
      <w:r w:rsidRPr="00867247">
        <w:rPr>
          <w:rFonts w:ascii="Times New Roman" w:hAnsi="Times New Roman"/>
          <w:snapToGrid/>
          <w:sz w:val="24"/>
          <w:szCs w:val="24"/>
        </w:rPr>
        <w:t>providers have extensive experience in court evaluation and high degrees of familiarity with the CIP:</w:t>
      </w:r>
    </w:p>
    <w:p w:rsidR="0028277F" w:rsidRPr="00867247" w:rsidP="0028277F" w14:paraId="255EC785" w14:textId="6F56BCEF">
      <w:pPr>
        <w:pStyle w:val="ListParagraph"/>
        <w:widowControl/>
        <w:numPr>
          <w:ilvl w:val="0"/>
          <w:numId w:val="24"/>
        </w:numPr>
        <w:tabs>
          <w:tab w:val="num" w:pos="360"/>
        </w:tabs>
        <w:rPr>
          <w:rFonts w:ascii="Times New Roman" w:hAnsi="Times New Roman"/>
          <w:snapToGrid/>
          <w:sz w:val="24"/>
          <w:szCs w:val="24"/>
        </w:rPr>
      </w:pPr>
      <w:r w:rsidRPr="00867247">
        <w:rPr>
          <w:rFonts w:ascii="Times New Roman" w:hAnsi="Times New Roman"/>
          <w:snapToGrid/>
          <w:sz w:val="24"/>
          <w:szCs w:val="24"/>
        </w:rPr>
        <w:t>Dr. Alicia Summers, federal technical assistance provider</w:t>
      </w:r>
    </w:p>
    <w:p w:rsidR="0028277F" w:rsidRPr="00867247" w:rsidP="0028277F" w14:paraId="37CC84E0" w14:textId="2C2E7005">
      <w:pPr>
        <w:pStyle w:val="ListParagraph"/>
        <w:widowControl/>
        <w:numPr>
          <w:ilvl w:val="0"/>
          <w:numId w:val="24"/>
        </w:numPr>
        <w:tabs>
          <w:tab w:val="num" w:pos="360"/>
        </w:tabs>
        <w:rPr>
          <w:rFonts w:ascii="Times New Roman" w:hAnsi="Times New Roman"/>
          <w:snapToGrid/>
          <w:sz w:val="24"/>
          <w:szCs w:val="24"/>
        </w:rPr>
      </w:pPr>
      <w:r w:rsidRPr="00867247">
        <w:rPr>
          <w:rFonts w:ascii="Times New Roman" w:hAnsi="Times New Roman"/>
          <w:snapToGrid/>
          <w:sz w:val="24"/>
          <w:szCs w:val="24"/>
        </w:rPr>
        <w:t>Dr. Kristen Woodruff, federal technical assistance provider</w:t>
      </w:r>
    </w:p>
    <w:p w:rsidR="000F7D7D" w:rsidRPr="00867247" w:rsidP="000F7D7D" w14:paraId="6BC18AB2" w14:textId="77777777">
      <w:pPr>
        <w:pStyle w:val="ListParagraph"/>
        <w:widowControl/>
        <w:numPr>
          <w:ilvl w:val="0"/>
          <w:numId w:val="24"/>
        </w:numPr>
        <w:tabs>
          <w:tab w:val="num" w:pos="360"/>
        </w:tabs>
        <w:rPr>
          <w:rFonts w:ascii="Times New Roman" w:hAnsi="Times New Roman"/>
          <w:snapToGrid/>
          <w:sz w:val="24"/>
          <w:szCs w:val="24"/>
        </w:rPr>
      </w:pPr>
      <w:r w:rsidRPr="00867247">
        <w:rPr>
          <w:rFonts w:ascii="Times New Roman" w:hAnsi="Times New Roman"/>
          <w:snapToGrid/>
          <w:sz w:val="24"/>
          <w:szCs w:val="24"/>
        </w:rPr>
        <w:t>Dr. Andy Yost, federal technical assistance provider</w:t>
      </w:r>
    </w:p>
    <w:p w:rsidR="007D1E0E" w:rsidRPr="00867247" w:rsidP="007D1E0E" w14:paraId="533485D9" w14:textId="20FFA602">
      <w:pPr>
        <w:pStyle w:val="ListParagraph"/>
        <w:widowControl/>
        <w:numPr>
          <w:ilvl w:val="0"/>
          <w:numId w:val="24"/>
        </w:numPr>
        <w:tabs>
          <w:tab w:val="num" w:pos="360"/>
        </w:tabs>
        <w:rPr>
          <w:rFonts w:ascii="Times New Roman" w:hAnsi="Times New Roman"/>
          <w:snapToGrid/>
          <w:sz w:val="24"/>
          <w:szCs w:val="24"/>
        </w:rPr>
      </w:pPr>
      <w:r w:rsidRPr="00867247">
        <w:rPr>
          <w:rFonts w:ascii="Times New Roman" w:hAnsi="Times New Roman"/>
          <w:snapToGrid/>
          <w:sz w:val="24"/>
          <w:szCs w:val="24"/>
        </w:rPr>
        <w:t>Zubair Siddiqi, Esq., federal technical assistance provider</w:t>
      </w:r>
    </w:p>
    <w:p w:rsidR="0028277F" w:rsidRPr="00867247" w:rsidP="0028277F" w14:paraId="274C984A" w14:textId="66D966C6">
      <w:pPr>
        <w:pStyle w:val="ListParagraph"/>
        <w:widowControl/>
        <w:numPr>
          <w:ilvl w:val="0"/>
          <w:numId w:val="24"/>
        </w:numPr>
        <w:tabs>
          <w:tab w:val="num" w:pos="360"/>
        </w:tabs>
        <w:rPr>
          <w:rFonts w:ascii="Times New Roman" w:hAnsi="Times New Roman"/>
          <w:snapToGrid/>
          <w:sz w:val="24"/>
          <w:szCs w:val="24"/>
        </w:rPr>
      </w:pPr>
      <w:r w:rsidRPr="00867247">
        <w:rPr>
          <w:rFonts w:ascii="Times New Roman" w:hAnsi="Times New Roman"/>
          <w:snapToGrid/>
          <w:sz w:val="24"/>
          <w:szCs w:val="24"/>
        </w:rPr>
        <w:t>Christine K</w:t>
      </w:r>
      <w:r w:rsidRPr="00867247" w:rsidR="007D1E0E">
        <w:rPr>
          <w:rFonts w:ascii="Times New Roman" w:hAnsi="Times New Roman"/>
          <w:snapToGrid/>
          <w:sz w:val="24"/>
          <w:szCs w:val="24"/>
        </w:rPr>
        <w:t>ie</w:t>
      </w:r>
      <w:r w:rsidRPr="00867247">
        <w:rPr>
          <w:rFonts w:ascii="Times New Roman" w:hAnsi="Times New Roman"/>
          <w:snapToGrid/>
          <w:sz w:val="24"/>
          <w:szCs w:val="24"/>
        </w:rPr>
        <w:t>sel</w:t>
      </w:r>
      <w:r w:rsidRPr="00867247" w:rsidR="007D1E0E">
        <w:rPr>
          <w:rFonts w:ascii="Times New Roman" w:hAnsi="Times New Roman"/>
          <w:snapToGrid/>
          <w:sz w:val="24"/>
          <w:szCs w:val="24"/>
        </w:rPr>
        <w:t>, Esq.</w:t>
      </w:r>
      <w:r w:rsidRPr="00867247">
        <w:rPr>
          <w:rFonts w:ascii="Times New Roman" w:hAnsi="Times New Roman"/>
          <w:snapToGrid/>
          <w:sz w:val="24"/>
          <w:szCs w:val="24"/>
        </w:rPr>
        <w:t>, federal contractor</w:t>
      </w:r>
    </w:p>
    <w:p w:rsidR="00022586" w:rsidRPr="00867247" w:rsidP="00022586" w14:paraId="2EDB417E" w14:textId="77777777">
      <w:pPr>
        <w:widowControl/>
        <w:tabs>
          <w:tab w:val="num" w:pos="360"/>
        </w:tabs>
        <w:ind w:left="360"/>
        <w:rPr>
          <w:rFonts w:ascii="Times New Roman" w:hAnsi="Times New Roman"/>
          <w:snapToGrid/>
          <w:sz w:val="24"/>
          <w:szCs w:val="24"/>
        </w:rPr>
      </w:pPr>
    </w:p>
    <w:p w:rsidR="002C3C4F" w:rsidRPr="00867247" w:rsidP="00075889"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867247">
        <w:rPr>
          <w:rFonts w:ascii="Times New Roman" w:hAnsi="Times New Roman"/>
          <w:b/>
          <w:snapToGrid/>
          <w:sz w:val="24"/>
          <w:szCs w:val="24"/>
        </w:rPr>
        <w:t xml:space="preserve">Explanation of Any Payment or Gift to Respondents </w:t>
      </w:r>
    </w:p>
    <w:p w:rsidR="00D301A8" w:rsidRPr="00867247" w:rsidP="005769D1" w14:paraId="3F310102" w14:textId="381FDB34">
      <w:pPr>
        <w:ind w:firstLine="360"/>
        <w:rPr>
          <w:rFonts w:ascii="Times New Roman" w:hAnsi="Times New Roman"/>
          <w:sz w:val="24"/>
          <w:szCs w:val="24"/>
        </w:rPr>
      </w:pPr>
      <w:r w:rsidRPr="00867247">
        <w:rPr>
          <w:rFonts w:ascii="Times New Roman" w:hAnsi="Times New Roman"/>
          <w:sz w:val="24"/>
          <w:szCs w:val="24"/>
        </w:rPr>
        <w:t>No payment or gifts of any kind will be provided to respondents.</w:t>
      </w:r>
    </w:p>
    <w:p w:rsidR="00D60543" w:rsidRPr="00867247" w:rsidP="00DE529D" w14:paraId="62113040" w14:textId="77777777">
      <w:pPr>
        <w:widowControl/>
        <w:tabs>
          <w:tab w:val="num" w:pos="360"/>
        </w:tabs>
        <w:ind w:left="360"/>
        <w:rPr>
          <w:rFonts w:ascii="Times New Roman" w:hAnsi="Times New Roman"/>
          <w:snapToGrid/>
          <w:sz w:val="24"/>
          <w:szCs w:val="24"/>
        </w:rPr>
      </w:pPr>
    </w:p>
    <w:p w:rsidR="002C3C4F" w:rsidRPr="00867247" w:rsidP="005769D1"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867247">
        <w:rPr>
          <w:rFonts w:ascii="Times New Roman" w:hAnsi="Times New Roman"/>
          <w:b/>
          <w:snapToGrid/>
          <w:sz w:val="24"/>
          <w:szCs w:val="24"/>
        </w:rPr>
        <w:t xml:space="preserve">Assurance of Confidentiality Provided to Respondents </w:t>
      </w:r>
    </w:p>
    <w:p w:rsidR="00D301A8" w:rsidRPr="00867247" w:rsidP="005769D1" w14:paraId="7A371B2F" w14:textId="6E8D2A84">
      <w:pPr>
        <w:ind w:firstLine="360"/>
        <w:rPr>
          <w:rFonts w:ascii="Times New Roman" w:hAnsi="Times New Roman"/>
          <w:sz w:val="24"/>
          <w:szCs w:val="24"/>
        </w:rPr>
      </w:pPr>
      <w:r w:rsidRPr="00867247">
        <w:rPr>
          <w:rFonts w:ascii="Times New Roman" w:hAnsi="Times New Roman"/>
          <w:sz w:val="24"/>
          <w:szCs w:val="24"/>
        </w:rPr>
        <w:t>No such assurances are required by statute or policy for this program.</w:t>
      </w:r>
    </w:p>
    <w:p w:rsidR="00D60543" w:rsidRPr="00867247" w:rsidP="00DE529D" w14:paraId="1C82E036" w14:textId="77777777">
      <w:pPr>
        <w:widowControl/>
        <w:tabs>
          <w:tab w:val="num" w:pos="360"/>
        </w:tabs>
        <w:ind w:left="360"/>
        <w:rPr>
          <w:rFonts w:ascii="Times New Roman" w:hAnsi="Times New Roman"/>
          <w:snapToGrid/>
          <w:sz w:val="24"/>
          <w:szCs w:val="24"/>
        </w:rPr>
      </w:pPr>
    </w:p>
    <w:p w:rsidR="002C3C4F" w:rsidRPr="00867247" w:rsidP="005769D1"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867247">
        <w:rPr>
          <w:rFonts w:ascii="Times New Roman" w:hAnsi="Times New Roman"/>
          <w:b/>
          <w:snapToGrid/>
          <w:sz w:val="24"/>
          <w:szCs w:val="24"/>
        </w:rPr>
        <w:t xml:space="preserve">Justification for Sensitive Questions </w:t>
      </w:r>
    </w:p>
    <w:p w:rsidR="003138C5" w:rsidP="005769D1" w14:paraId="710C7355" w14:textId="4BDBC8AA">
      <w:pPr>
        <w:ind w:firstLine="360"/>
        <w:rPr>
          <w:rFonts w:ascii="Times New Roman" w:hAnsi="Times New Roman"/>
          <w:sz w:val="24"/>
          <w:szCs w:val="24"/>
        </w:rPr>
      </w:pPr>
      <w:r w:rsidRPr="00867247">
        <w:rPr>
          <w:rFonts w:ascii="Times New Roman" w:hAnsi="Times New Roman"/>
          <w:sz w:val="24"/>
          <w:szCs w:val="24"/>
        </w:rPr>
        <w:t>No questions of a sensitive nature will be asked as a part of the collection.</w:t>
      </w:r>
    </w:p>
    <w:p w:rsidR="005769D1" w:rsidP="005769D1" w14:paraId="234E68F4" w14:textId="121D2B24">
      <w:pPr>
        <w:ind w:firstLine="360"/>
        <w:rPr>
          <w:rFonts w:ascii="Times New Roman" w:hAnsi="Times New Roman"/>
          <w:sz w:val="24"/>
          <w:szCs w:val="24"/>
        </w:rPr>
      </w:pPr>
    </w:p>
    <w:p w:rsidR="005769D1" w:rsidP="005769D1" w14:paraId="040CB709" w14:textId="76D67529">
      <w:pPr>
        <w:ind w:firstLine="360"/>
        <w:rPr>
          <w:rFonts w:ascii="Times New Roman" w:hAnsi="Times New Roman"/>
          <w:sz w:val="24"/>
          <w:szCs w:val="24"/>
        </w:rPr>
      </w:pPr>
    </w:p>
    <w:p w:rsidR="005769D1" w:rsidP="005769D1" w14:paraId="1C599C22" w14:textId="34C7901B">
      <w:pPr>
        <w:ind w:firstLine="360"/>
        <w:rPr>
          <w:rFonts w:ascii="Times New Roman" w:hAnsi="Times New Roman"/>
          <w:sz w:val="24"/>
          <w:szCs w:val="24"/>
        </w:rPr>
      </w:pPr>
    </w:p>
    <w:p w:rsidR="005769D1" w:rsidP="005769D1" w14:paraId="66F027C9" w14:textId="26332AE7">
      <w:pPr>
        <w:ind w:firstLine="360"/>
        <w:rPr>
          <w:rFonts w:ascii="Times New Roman" w:hAnsi="Times New Roman"/>
          <w:sz w:val="24"/>
          <w:szCs w:val="24"/>
        </w:rPr>
      </w:pPr>
    </w:p>
    <w:p w:rsidR="005769D1" w:rsidP="005769D1" w14:paraId="1401B471" w14:textId="20740255">
      <w:pPr>
        <w:ind w:firstLine="360"/>
        <w:rPr>
          <w:rFonts w:ascii="Times New Roman" w:hAnsi="Times New Roman"/>
          <w:sz w:val="24"/>
          <w:szCs w:val="24"/>
        </w:rPr>
      </w:pPr>
    </w:p>
    <w:p w:rsidR="005769D1" w:rsidP="005769D1" w14:paraId="1D8A41F6" w14:textId="5C112DFE">
      <w:pPr>
        <w:ind w:firstLine="360"/>
        <w:rPr>
          <w:rFonts w:ascii="Times New Roman" w:hAnsi="Times New Roman"/>
          <w:sz w:val="24"/>
          <w:szCs w:val="24"/>
        </w:rPr>
      </w:pPr>
    </w:p>
    <w:p w:rsidR="005769D1" w:rsidP="005769D1" w14:paraId="1A1E48E2" w14:textId="16DED740">
      <w:pPr>
        <w:ind w:firstLine="360"/>
        <w:rPr>
          <w:rFonts w:ascii="Times New Roman" w:hAnsi="Times New Roman"/>
          <w:sz w:val="24"/>
          <w:szCs w:val="24"/>
        </w:rPr>
      </w:pPr>
    </w:p>
    <w:p w:rsidR="005769D1" w:rsidP="005769D1" w14:paraId="7DF48139" w14:textId="280E52C8">
      <w:pPr>
        <w:ind w:firstLine="360"/>
        <w:rPr>
          <w:rFonts w:ascii="Times New Roman" w:hAnsi="Times New Roman"/>
          <w:sz w:val="24"/>
          <w:szCs w:val="24"/>
        </w:rPr>
      </w:pPr>
    </w:p>
    <w:p w:rsidR="005769D1" w:rsidP="005769D1" w14:paraId="488A8BDC" w14:textId="06246286">
      <w:pPr>
        <w:ind w:firstLine="360"/>
        <w:rPr>
          <w:rFonts w:ascii="Times New Roman" w:hAnsi="Times New Roman"/>
          <w:sz w:val="24"/>
          <w:szCs w:val="24"/>
        </w:rPr>
      </w:pPr>
    </w:p>
    <w:p w:rsidR="005769D1" w:rsidP="005769D1" w14:paraId="3CE45BDD" w14:textId="1FA4F512">
      <w:pPr>
        <w:ind w:firstLine="360"/>
        <w:rPr>
          <w:rFonts w:ascii="Times New Roman" w:hAnsi="Times New Roman"/>
          <w:sz w:val="24"/>
          <w:szCs w:val="24"/>
        </w:rPr>
      </w:pPr>
    </w:p>
    <w:p w:rsidR="005769D1" w:rsidRPr="005769D1" w:rsidP="005769D1" w14:paraId="165A6778" w14:textId="77777777">
      <w:pPr>
        <w:ind w:firstLine="360"/>
        <w:rPr>
          <w:rFonts w:ascii="Times New Roman" w:hAnsi="Times New Roman"/>
          <w:sz w:val="24"/>
          <w:szCs w:val="24"/>
        </w:rPr>
      </w:pPr>
    </w:p>
    <w:p w:rsidR="002C3C4F" w:rsidRPr="00867247" w:rsidP="00DE529D" w14:paraId="05B17E8A" w14:textId="77777777">
      <w:pPr>
        <w:widowControl/>
        <w:numPr>
          <w:ilvl w:val="0"/>
          <w:numId w:val="3"/>
        </w:numPr>
        <w:tabs>
          <w:tab w:val="num" w:pos="360"/>
        </w:tabs>
        <w:spacing w:after="120"/>
        <w:ind w:left="360"/>
        <w:rPr>
          <w:rFonts w:ascii="Times New Roman" w:hAnsi="Times New Roman"/>
          <w:b/>
          <w:snapToGrid/>
          <w:sz w:val="24"/>
          <w:szCs w:val="24"/>
        </w:rPr>
      </w:pPr>
      <w:r w:rsidRPr="00867247">
        <w:rPr>
          <w:rFonts w:ascii="Times New Roman" w:hAnsi="Times New Roman"/>
          <w:b/>
          <w:snapToGrid/>
          <w:sz w:val="24"/>
          <w:szCs w:val="24"/>
        </w:rPr>
        <w:t xml:space="preserve">Estimates of Annualized Burden Hours and Costs </w:t>
      </w:r>
    </w:p>
    <w:tbl>
      <w:tblPr>
        <w:tblW w:w="91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95"/>
        <w:gridCol w:w="1239"/>
        <w:gridCol w:w="1695"/>
        <w:gridCol w:w="1077"/>
        <w:gridCol w:w="1160"/>
        <w:gridCol w:w="1306"/>
        <w:gridCol w:w="1219"/>
      </w:tblGrid>
      <w:tr w14:paraId="230FE56D" w14:textId="77777777" w:rsidTr="005769D1">
        <w:tblPrEx>
          <w:tblW w:w="91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1495" w:type="dxa"/>
            <w:shd w:val="clear" w:color="auto" w:fill="BFBFBF"/>
            <w:vAlign w:val="center"/>
          </w:tcPr>
          <w:p w:rsidR="008871A4" w:rsidRPr="000A60F7" w:rsidP="004110F5" w14:paraId="710C0652" w14:textId="77777777">
            <w:pPr>
              <w:jc w:val="center"/>
              <w:rPr>
                <w:rFonts w:ascii="Times New Roman" w:hAnsi="Times New Roman"/>
              </w:rPr>
            </w:pPr>
            <w:r w:rsidRPr="000A60F7">
              <w:rPr>
                <w:rFonts w:ascii="Times New Roman" w:hAnsi="Times New Roman"/>
              </w:rPr>
              <w:t>Information Collection Title</w:t>
            </w:r>
          </w:p>
        </w:tc>
        <w:tc>
          <w:tcPr>
            <w:tcW w:w="1239" w:type="dxa"/>
            <w:shd w:val="clear" w:color="auto" w:fill="BFBFBF"/>
            <w:vAlign w:val="center"/>
          </w:tcPr>
          <w:p w:rsidR="008871A4" w:rsidRPr="000A60F7" w:rsidP="004F7B95" w14:paraId="755B72E5" w14:textId="77777777">
            <w:pPr>
              <w:jc w:val="center"/>
              <w:rPr>
                <w:rFonts w:ascii="Times New Roman" w:hAnsi="Times New Roman"/>
              </w:rPr>
            </w:pPr>
            <w:r w:rsidRPr="000A60F7">
              <w:rPr>
                <w:rFonts w:ascii="Times New Roman" w:hAnsi="Times New Roman"/>
              </w:rPr>
              <w:t>Total Number of Respondents</w:t>
            </w:r>
          </w:p>
        </w:tc>
        <w:tc>
          <w:tcPr>
            <w:tcW w:w="1695" w:type="dxa"/>
            <w:shd w:val="clear" w:color="auto" w:fill="BFBFBF"/>
            <w:vAlign w:val="center"/>
          </w:tcPr>
          <w:p w:rsidR="008871A4" w:rsidRPr="000A60F7" w:rsidP="004F7B95" w14:paraId="5053A5D0" w14:textId="38129BC7">
            <w:pPr>
              <w:jc w:val="center"/>
              <w:rPr>
                <w:rFonts w:ascii="Times New Roman" w:hAnsi="Times New Roman"/>
              </w:rPr>
            </w:pPr>
            <w:r>
              <w:rPr>
                <w:rFonts w:ascii="Times New Roman" w:hAnsi="Times New Roman"/>
              </w:rPr>
              <w:t>Annual</w:t>
            </w:r>
            <w:r w:rsidRPr="000A60F7">
              <w:rPr>
                <w:rFonts w:ascii="Times New Roman" w:hAnsi="Times New Roman"/>
              </w:rPr>
              <w:t xml:space="preserve"> </w:t>
            </w:r>
            <w:r w:rsidRPr="000A60F7">
              <w:rPr>
                <w:rFonts w:ascii="Times New Roman" w:hAnsi="Times New Roman"/>
              </w:rPr>
              <w:t>Number of Responses Per Respondent</w:t>
            </w:r>
          </w:p>
        </w:tc>
        <w:tc>
          <w:tcPr>
            <w:tcW w:w="1077" w:type="dxa"/>
            <w:shd w:val="clear" w:color="auto" w:fill="BFBFBF"/>
            <w:vAlign w:val="center"/>
          </w:tcPr>
          <w:p w:rsidR="008871A4" w:rsidRPr="000A60F7" w:rsidP="004F7B95" w14:paraId="340D08AF" w14:textId="77777777">
            <w:pPr>
              <w:jc w:val="center"/>
              <w:rPr>
                <w:rFonts w:ascii="Times New Roman" w:hAnsi="Times New Roman"/>
              </w:rPr>
            </w:pPr>
            <w:r w:rsidRPr="000A60F7">
              <w:rPr>
                <w:rFonts w:ascii="Times New Roman" w:hAnsi="Times New Roman"/>
              </w:rPr>
              <w:t>Average Burden Hours Per Response</w:t>
            </w:r>
          </w:p>
        </w:tc>
        <w:tc>
          <w:tcPr>
            <w:tcW w:w="1160" w:type="dxa"/>
            <w:shd w:val="clear" w:color="auto" w:fill="BFBFBF"/>
            <w:vAlign w:val="center"/>
          </w:tcPr>
          <w:p w:rsidR="008871A4" w:rsidRPr="000A60F7" w:rsidP="004F7B95" w14:paraId="3AE1FC11" w14:textId="77777777">
            <w:pPr>
              <w:jc w:val="center"/>
              <w:rPr>
                <w:rFonts w:ascii="Times New Roman" w:hAnsi="Times New Roman"/>
                <w:bCs/>
              </w:rPr>
            </w:pPr>
            <w:r w:rsidRPr="000A60F7">
              <w:rPr>
                <w:rFonts w:ascii="Times New Roman" w:hAnsi="Times New Roman"/>
                <w:bCs/>
              </w:rPr>
              <w:t>Annual Burden Hours</w:t>
            </w:r>
          </w:p>
        </w:tc>
        <w:tc>
          <w:tcPr>
            <w:tcW w:w="1306" w:type="dxa"/>
            <w:shd w:val="clear" w:color="auto" w:fill="BFBFBF"/>
            <w:vAlign w:val="center"/>
          </w:tcPr>
          <w:p w:rsidR="008871A4" w:rsidRPr="000A60F7" w:rsidP="004F7B95" w14:paraId="0A8FF52A" w14:textId="77777777">
            <w:pPr>
              <w:jc w:val="center"/>
              <w:rPr>
                <w:rFonts w:ascii="Times New Roman" w:hAnsi="Times New Roman"/>
              </w:rPr>
            </w:pPr>
            <w:r w:rsidRPr="000A60F7">
              <w:rPr>
                <w:rFonts w:ascii="Times New Roman" w:hAnsi="Times New Roman"/>
                <w:bCs/>
              </w:rPr>
              <w:t>Average Hourly Wage</w:t>
            </w:r>
          </w:p>
        </w:tc>
        <w:tc>
          <w:tcPr>
            <w:tcW w:w="1219" w:type="dxa"/>
            <w:shd w:val="clear" w:color="auto" w:fill="BFBFBF"/>
            <w:vAlign w:val="center"/>
          </w:tcPr>
          <w:p w:rsidR="008871A4" w:rsidRPr="000A60F7" w:rsidP="004F7B95" w14:paraId="4FBD0FB1" w14:textId="77777777">
            <w:pPr>
              <w:jc w:val="center"/>
              <w:rPr>
                <w:rFonts w:ascii="Times New Roman" w:hAnsi="Times New Roman"/>
              </w:rPr>
            </w:pPr>
            <w:r w:rsidRPr="000A60F7">
              <w:rPr>
                <w:rFonts w:ascii="Times New Roman" w:hAnsi="Times New Roman"/>
                <w:bCs/>
              </w:rPr>
              <w:t>Total Annual Cost</w:t>
            </w:r>
          </w:p>
        </w:tc>
      </w:tr>
      <w:tr w14:paraId="5140B154" w14:textId="77777777" w:rsidTr="005769D1">
        <w:tblPrEx>
          <w:tblW w:w="9191" w:type="dxa"/>
          <w:jc w:val="center"/>
          <w:tblLook w:val="00A0"/>
        </w:tblPrEx>
        <w:trPr>
          <w:trHeight w:val="432"/>
          <w:jc w:val="center"/>
        </w:trPr>
        <w:tc>
          <w:tcPr>
            <w:tcW w:w="1495" w:type="dxa"/>
            <w:vAlign w:val="center"/>
          </w:tcPr>
          <w:p w:rsidR="008871A4" w:rsidRPr="000A60F7" w:rsidP="008871A4" w14:paraId="33E13E32" w14:textId="399D5576">
            <w:pPr>
              <w:tabs>
                <w:tab w:val="center" w:pos="4320"/>
                <w:tab w:val="right" w:pos="8640"/>
              </w:tabs>
              <w:rPr>
                <w:rFonts w:ascii="Times New Roman" w:hAnsi="Times New Roman"/>
              </w:rPr>
            </w:pPr>
            <w:r w:rsidRPr="000A60F7">
              <w:rPr>
                <w:rFonts w:ascii="Times New Roman" w:hAnsi="Times New Roman"/>
              </w:rPr>
              <w:t>Annual Self-Assessment</w:t>
            </w:r>
          </w:p>
        </w:tc>
        <w:tc>
          <w:tcPr>
            <w:tcW w:w="1239" w:type="dxa"/>
            <w:vAlign w:val="center"/>
          </w:tcPr>
          <w:p w:rsidR="008871A4" w:rsidRPr="000A60F7" w:rsidP="00BF4FF9" w14:paraId="631BD576" w14:textId="2271F02F">
            <w:pPr>
              <w:tabs>
                <w:tab w:val="center" w:pos="4320"/>
                <w:tab w:val="right" w:pos="8640"/>
              </w:tabs>
              <w:jc w:val="center"/>
              <w:rPr>
                <w:rFonts w:ascii="Times New Roman" w:hAnsi="Times New Roman"/>
                <w:highlight w:val="yellow"/>
              </w:rPr>
            </w:pPr>
            <w:r w:rsidRPr="000A60F7">
              <w:rPr>
                <w:rFonts w:ascii="Times New Roman" w:hAnsi="Times New Roman"/>
              </w:rPr>
              <w:t>53</w:t>
            </w:r>
          </w:p>
        </w:tc>
        <w:tc>
          <w:tcPr>
            <w:tcW w:w="1695" w:type="dxa"/>
            <w:vAlign w:val="center"/>
          </w:tcPr>
          <w:p w:rsidR="008871A4" w:rsidRPr="000A60F7" w:rsidP="00F50468" w14:paraId="3DD8ECC7" w14:textId="4CD2E925">
            <w:pPr>
              <w:tabs>
                <w:tab w:val="center" w:pos="4320"/>
                <w:tab w:val="right" w:pos="8640"/>
              </w:tabs>
              <w:jc w:val="center"/>
              <w:rPr>
                <w:rFonts w:ascii="Times New Roman" w:hAnsi="Times New Roman"/>
              </w:rPr>
            </w:pPr>
            <w:r w:rsidRPr="000A60F7">
              <w:rPr>
                <w:rFonts w:ascii="Times New Roman" w:hAnsi="Times New Roman"/>
              </w:rPr>
              <w:t>1</w:t>
            </w:r>
          </w:p>
        </w:tc>
        <w:tc>
          <w:tcPr>
            <w:tcW w:w="1077" w:type="dxa"/>
            <w:vAlign w:val="center"/>
          </w:tcPr>
          <w:p w:rsidR="008871A4" w:rsidRPr="000A60F7" w:rsidP="00F50468" w14:paraId="46007120" w14:textId="671DBDCE">
            <w:pPr>
              <w:tabs>
                <w:tab w:val="center" w:pos="4320"/>
                <w:tab w:val="right" w:pos="8640"/>
              </w:tabs>
              <w:jc w:val="center"/>
              <w:rPr>
                <w:rFonts w:ascii="Times New Roman" w:hAnsi="Times New Roman"/>
              </w:rPr>
            </w:pPr>
            <w:r w:rsidRPr="000A60F7">
              <w:rPr>
                <w:rFonts w:ascii="Times New Roman" w:hAnsi="Times New Roman"/>
              </w:rPr>
              <w:t>40</w:t>
            </w:r>
          </w:p>
        </w:tc>
        <w:tc>
          <w:tcPr>
            <w:tcW w:w="1160" w:type="dxa"/>
            <w:vAlign w:val="center"/>
          </w:tcPr>
          <w:p w:rsidR="008871A4" w:rsidRPr="000A60F7" w:rsidP="00F50468" w14:paraId="25670C73" w14:textId="73A6592C">
            <w:pPr>
              <w:tabs>
                <w:tab w:val="center" w:pos="4320"/>
                <w:tab w:val="right" w:pos="8640"/>
              </w:tabs>
              <w:jc w:val="center"/>
              <w:rPr>
                <w:rFonts w:ascii="Times New Roman" w:hAnsi="Times New Roman"/>
              </w:rPr>
            </w:pPr>
            <w:r w:rsidRPr="000A60F7">
              <w:rPr>
                <w:rFonts w:ascii="Times New Roman" w:hAnsi="Times New Roman"/>
              </w:rPr>
              <w:t>2,120</w:t>
            </w:r>
          </w:p>
        </w:tc>
        <w:tc>
          <w:tcPr>
            <w:tcW w:w="1306" w:type="dxa"/>
            <w:vAlign w:val="center"/>
          </w:tcPr>
          <w:p w:rsidR="008871A4" w:rsidRPr="000A60F7" w14:paraId="7D556C98" w14:textId="56BB69B6">
            <w:pPr>
              <w:tabs>
                <w:tab w:val="center" w:pos="4320"/>
                <w:tab w:val="right" w:pos="8640"/>
              </w:tabs>
              <w:jc w:val="center"/>
              <w:rPr>
                <w:rFonts w:ascii="Times New Roman" w:hAnsi="Times New Roman"/>
              </w:rPr>
            </w:pPr>
            <w:r>
              <w:rPr>
                <w:rFonts w:ascii="Times New Roman" w:hAnsi="Times New Roman"/>
              </w:rPr>
              <w:t>$</w:t>
            </w:r>
            <w:r w:rsidRPr="000A60F7">
              <w:rPr>
                <w:rFonts w:ascii="Times New Roman" w:hAnsi="Times New Roman"/>
              </w:rPr>
              <w:t>70.2</w:t>
            </w:r>
            <w:r>
              <w:rPr>
                <w:rFonts w:ascii="Times New Roman" w:hAnsi="Times New Roman"/>
              </w:rPr>
              <w:t>0</w:t>
            </w:r>
          </w:p>
        </w:tc>
        <w:tc>
          <w:tcPr>
            <w:tcW w:w="1219" w:type="dxa"/>
            <w:vAlign w:val="center"/>
          </w:tcPr>
          <w:p w:rsidR="008871A4" w:rsidRPr="000A60F7" w14:paraId="5133F4BC" w14:textId="21F6C55F">
            <w:pPr>
              <w:tabs>
                <w:tab w:val="center" w:pos="4320"/>
                <w:tab w:val="right" w:pos="8640"/>
              </w:tabs>
              <w:jc w:val="center"/>
              <w:rPr>
                <w:rFonts w:ascii="Times New Roman" w:hAnsi="Times New Roman"/>
              </w:rPr>
            </w:pPr>
            <w:r w:rsidRPr="000A60F7">
              <w:rPr>
                <w:rFonts w:ascii="Times New Roman" w:hAnsi="Times New Roman"/>
              </w:rPr>
              <w:t>$148,824</w:t>
            </w:r>
          </w:p>
        </w:tc>
      </w:tr>
      <w:tr w14:paraId="66E3DD67" w14:textId="77777777" w:rsidTr="005769D1">
        <w:tblPrEx>
          <w:tblW w:w="9191" w:type="dxa"/>
          <w:jc w:val="center"/>
          <w:tblLook w:val="00A0"/>
        </w:tblPrEx>
        <w:trPr>
          <w:trHeight w:val="432"/>
          <w:jc w:val="center"/>
        </w:trPr>
        <w:tc>
          <w:tcPr>
            <w:tcW w:w="1495" w:type="dxa"/>
            <w:vAlign w:val="center"/>
          </w:tcPr>
          <w:p w:rsidR="008871A4" w:rsidRPr="000A60F7" w:rsidP="008871A4" w14:paraId="39DFC5F9" w14:textId="63E45AF2">
            <w:pPr>
              <w:tabs>
                <w:tab w:val="center" w:pos="4320"/>
                <w:tab w:val="right" w:pos="8640"/>
              </w:tabs>
              <w:rPr>
                <w:rFonts w:ascii="Times New Roman" w:hAnsi="Times New Roman"/>
              </w:rPr>
            </w:pPr>
            <w:r w:rsidRPr="000A60F7">
              <w:rPr>
                <w:rFonts w:ascii="Times New Roman" w:hAnsi="Times New Roman"/>
              </w:rPr>
              <w:t>Strategic Plan</w:t>
            </w:r>
          </w:p>
        </w:tc>
        <w:tc>
          <w:tcPr>
            <w:tcW w:w="1239" w:type="dxa"/>
            <w:vAlign w:val="center"/>
          </w:tcPr>
          <w:p w:rsidR="008871A4" w:rsidRPr="000A60F7" w:rsidP="00BF4FF9" w14:paraId="58BAAEDB" w14:textId="0817F226">
            <w:pPr>
              <w:tabs>
                <w:tab w:val="center" w:pos="4320"/>
                <w:tab w:val="right" w:pos="8640"/>
              </w:tabs>
              <w:jc w:val="center"/>
              <w:rPr>
                <w:rFonts w:ascii="Times New Roman" w:hAnsi="Times New Roman"/>
                <w:highlight w:val="yellow"/>
              </w:rPr>
            </w:pPr>
            <w:r w:rsidRPr="000A60F7">
              <w:rPr>
                <w:rFonts w:ascii="Times New Roman" w:hAnsi="Times New Roman"/>
              </w:rPr>
              <w:t>53</w:t>
            </w:r>
          </w:p>
        </w:tc>
        <w:tc>
          <w:tcPr>
            <w:tcW w:w="1695" w:type="dxa"/>
            <w:vAlign w:val="center"/>
          </w:tcPr>
          <w:p w:rsidR="008871A4" w:rsidRPr="000A60F7" w:rsidP="00F50468" w14:paraId="0CD2F9C1" w14:textId="3A3A94B8">
            <w:pPr>
              <w:tabs>
                <w:tab w:val="center" w:pos="4320"/>
                <w:tab w:val="right" w:pos="8640"/>
              </w:tabs>
              <w:jc w:val="center"/>
              <w:rPr>
                <w:rFonts w:ascii="Times New Roman" w:hAnsi="Times New Roman"/>
              </w:rPr>
            </w:pPr>
            <w:r w:rsidRPr="000A60F7">
              <w:rPr>
                <w:rFonts w:ascii="Times New Roman" w:hAnsi="Times New Roman"/>
              </w:rPr>
              <w:t>.20</w:t>
            </w:r>
            <w:r>
              <w:rPr>
                <w:rStyle w:val="FootnoteReference"/>
                <w:rFonts w:ascii="Times New Roman" w:hAnsi="Times New Roman"/>
              </w:rPr>
              <w:footnoteReference w:id="2"/>
            </w:r>
          </w:p>
        </w:tc>
        <w:tc>
          <w:tcPr>
            <w:tcW w:w="1077" w:type="dxa"/>
            <w:vAlign w:val="center"/>
          </w:tcPr>
          <w:p w:rsidR="008871A4" w:rsidRPr="000A60F7" w:rsidP="00F50468" w14:paraId="14C40DB3" w14:textId="218FF3E8">
            <w:pPr>
              <w:tabs>
                <w:tab w:val="center" w:pos="4320"/>
                <w:tab w:val="right" w:pos="8640"/>
              </w:tabs>
              <w:jc w:val="center"/>
              <w:rPr>
                <w:rFonts w:ascii="Times New Roman" w:hAnsi="Times New Roman"/>
              </w:rPr>
            </w:pPr>
            <w:r w:rsidRPr="000A60F7">
              <w:rPr>
                <w:rFonts w:ascii="Times New Roman" w:hAnsi="Times New Roman"/>
              </w:rPr>
              <w:t>52</w:t>
            </w:r>
            <w:r>
              <w:rPr>
                <w:rStyle w:val="FootnoteReference"/>
                <w:rFonts w:ascii="Times New Roman" w:hAnsi="Times New Roman"/>
              </w:rPr>
              <w:footnoteReference w:id="3"/>
            </w:r>
          </w:p>
        </w:tc>
        <w:tc>
          <w:tcPr>
            <w:tcW w:w="1160" w:type="dxa"/>
            <w:vAlign w:val="center"/>
          </w:tcPr>
          <w:p w:rsidR="008871A4" w:rsidRPr="000A60F7" w:rsidP="00F50468" w14:paraId="4FB7DFA0" w14:textId="77777777">
            <w:pPr>
              <w:jc w:val="center"/>
              <w:rPr>
                <w:rFonts w:ascii="Times New Roman" w:hAnsi="Times New Roman"/>
              </w:rPr>
            </w:pPr>
          </w:p>
          <w:p w:rsidR="008871A4" w:rsidRPr="000A60F7" w:rsidP="00F50468" w14:paraId="5C0AD3AA" w14:textId="77777777">
            <w:pPr>
              <w:jc w:val="center"/>
              <w:rPr>
                <w:rFonts w:ascii="Times New Roman" w:hAnsi="Times New Roman"/>
              </w:rPr>
            </w:pPr>
            <w:r w:rsidRPr="000A60F7">
              <w:rPr>
                <w:rFonts w:ascii="Times New Roman" w:hAnsi="Times New Roman"/>
              </w:rPr>
              <w:t>551.20</w:t>
            </w:r>
          </w:p>
          <w:p w:rsidR="008871A4" w:rsidRPr="000A60F7" w:rsidP="00F50468" w14:paraId="1557247F" w14:textId="77777777">
            <w:pPr>
              <w:tabs>
                <w:tab w:val="center" w:pos="4320"/>
                <w:tab w:val="right" w:pos="8640"/>
              </w:tabs>
              <w:jc w:val="center"/>
              <w:rPr>
                <w:rFonts w:ascii="Times New Roman" w:hAnsi="Times New Roman"/>
              </w:rPr>
            </w:pPr>
          </w:p>
        </w:tc>
        <w:tc>
          <w:tcPr>
            <w:tcW w:w="1306" w:type="dxa"/>
            <w:vAlign w:val="center"/>
          </w:tcPr>
          <w:p w:rsidR="008871A4" w:rsidRPr="000A60F7" w14:paraId="4B1FC7E5" w14:textId="2E17968D">
            <w:pPr>
              <w:tabs>
                <w:tab w:val="center" w:pos="4320"/>
                <w:tab w:val="right" w:pos="8640"/>
              </w:tabs>
              <w:jc w:val="center"/>
              <w:rPr>
                <w:rFonts w:ascii="Times New Roman" w:hAnsi="Times New Roman"/>
              </w:rPr>
            </w:pPr>
            <w:r>
              <w:rPr>
                <w:rFonts w:ascii="Times New Roman" w:hAnsi="Times New Roman"/>
              </w:rPr>
              <w:t>$</w:t>
            </w:r>
            <w:r w:rsidRPr="000A60F7">
              <w:rPr>
                <w:rFonts w:ascii="Times New Roman" w:hAnsi="Times New Roman"/>
              </w:rPr>
              <w:t>70.2</w:t>
            </w:r>
            <w:r>
              <w:rPr>
                <w:rFonts w:ascii="Times New Roman" w:hAnsi="Times New Roman"/>
              </w:rPr>
              <w:t>0</w:t>
            </w:r>
          </w:p>
        </w:tc>
        <w:tc>
          <w:tcPr>
            <w:tcW w:w="1219" w:type="dxa"/>
            <w:vAlign w:val="center"/>
          </w:tcPr>
          <w:p w:rsidR="008871A4" w:rsidRPr="000A60F7" w14:paraId="1D447908" w14:textId="428E2AE6">
            <w:pPr>
              <w:tabs>
                <w:tab w:val="center" w:pos="4320"/>
                <w:tab w:val="right" w:pos="8640"/>
              </w:tabs>
              <w:jc w:val="center"/>
              <w:rPr>
                <w:rFonts w:ascii="Times New Roman" w:hAnsi="Times New Roman"/>
              </w:rPr>
            </w:pPr>
            <w:r w:rsidRPr="000A60F7">
              <w:rPr>
                <w:rFonts w:ascii="Times New Roman" w:hAnsi="Times New Roman"/>
              </w:rPr>
              <w:t>$38,694.24</w:t>
            </w:r>
          </w:p>
        </w:tc>
      </w:tr>
      <w:tr w14:paraId="68F71184" w14:textId="77777777" w:rsidTr="005769D1">
        <w:tblPrEx>
          <w:tblW w:w="9191" w:type="dxa"/>
          <w:jc w:val="center"/>
          <w:tblLook w:val="00A0"/>
        </w:tblPrEx>
        <w:trPr>
          <w:jc w:val="center"/>
        </w:trPr>
        <w:tc>
          <w:tcPr>
            <w:tcW w:w="5506" w:type="dxa"/>
            <w:gridSpan w:val="4"/>
            <w:vAlign w:val="center"/>
          </w:tcPr>
          <w:p w:rsidR="008871A4" w:rsidRPr="000A60F7" w:rsidP="008871A4" w14:paraId="5ECE420A" w14:textId="77777777">
            <w:pPr>
              <w:tabs>
                <w:tab w:val="center" w:pos="4320"/>
                <w:tab w:val="right" w:pos="8640"/>
              </w:tabs>
              <w:jc w:val="right"/>
              <w:rPr>
                <w:rFonts w:ascii="Times New Roman" w:hAnsi="Times New Roman"/>
                <w:b/>
              </w:rPr>
            </w:pPr>
            <w:r w:rsidRPr="000A60F7">
              <w:rPr>
                <w:rFonts w:ascii="Times New Roman" w:hAnsi="Times New Roman"/>
                <w:b/>
              </w:rPr>
              <w:t xml:space="preserve">Estimated Annual Burden Total:  </w:t>
            </w:r>
          </w:p>
        </w:tc>
        <w:tc>
          <w:tcPr>
            <w:tcW w:w="1160" w:type="dxa"/>
            <w:vAlign w:val="center"/>
          </w:tcPr>
          <w:p w:rsidR="008871A4" w:rsidRPr="000A60F7" w:rsidP="00BF4FF9" w14:paraId="29C85233" w14:textId="5B14B28E">
            <w:pPr>
              <w:tabs>
                <w:tab w:val="center" w:pos="4320"/>
                <w:tab w:val="right" w:pos="8640"/>
              </w:tabs>
              <w:jc w:val="center"/>
              <w:rPr>
                <w:rFonts w:ascii="Times New Roman" w:hAnsi="Times New Roman"/>
                <w:b/>
              </w:rPr>
            </w:pPr>
            <w:r w:rsidRPr="000A60F7">
              <w:rPr>
                <w:rFonts w:ascii="Times New Roman" w:hAnsi="Times New Roman"/>
                <w:b/>
              </w:rPr>
              <w:t>2671.2</w:t>
            </w:r>
          </w:p>
        </w:tc>
        <w:tc>
          <w:tcPr>
            <w:tcW w:w="1306" w:type="dxa"/>
          </w:tcPr>
          <w:p w:rsidR="008871A4" w:rsidRPr="000A60F7" w:rsidP="008871A4" w14:paraId="05063CD5" w14:textId="77777777">
            <w:pPr>
              <w:tabs>
                <w:tab w:val="center" w:pos="4320"/>
                <w:tab w:val="right" w:pos="8640"/>
              </w:tabs>
              <w:jc w:val="center"/>
              <w:rPr>
                <w:rFonts w:ascii="Times New Roman" w:hAnsi="Times New Roman"/>
                <w:b/>
              </w:rPr>
            </w:pPr>
            <w:r w:rsidRPr="000A60F7">
              <w:rPr>
                <w:rFonts w:ascii="Times New Roman" w:hAnsi="Times New Roman"/>
                <w:b/>
              </w:rPr>
              <w:t xml:space="preserve">Estimated Annual Cost Total: </w:t>
            </w:r>
          </w:p>
        </w:tc>
        <w:tc>
          <w:tcPr>
            <w:tcW w:w="1219" w:type="dxa"/>
            <w:vAlign w:val="center"/>
          </w:tcPr>
          <w:p w:rsidR="008871A4" w:rsidRPr="000A60F7" w:rsidP="00BF4FF9" w14:paraId="5B5863BC" w14:textId="0411EF41">
            <w:pPr>
              <w:tabs>
                <w:tab w:val="center" w:pos="4320"/>
                <w:tab w:val="right" w:pos="8640"/>
              </w:tabs>
              <w:jc w:val="center"/>
              <w:rPr>
                <w:rFonts w:ascii="Times New Roman" w:hAnsi="Times New Roman"/>
                <w:b/>
              </w:rPr>
            </w:pPr>
            <w:r w:rsidRPr="000A60F7">
              <w:rPr>
                <w:rFonts w:ascii="Times New Roman" w:hAnsi="Times New Roman"/>
                <w:b/>
              </w:rPr>
              <w:t>$187,518.24</w:t>
            </w:r>
          </w:p>
        </w:tc>
      </w:tr>
    </w:tbl>
    <w:p w:rsidR="003138C5" w:rsidRPr="00867247" w:rsidP="003138C5" w14:paraId="5E1C77CB" w14:textId="77777777">
      <w:pPr>
        <w:rPr>
          <w:rFonts w:ascii="Times New Roman" w:hAnsi="Times New Roman"/>
          <w:bCs/>
          <w:sz w:val="24"/>
          <w:szCs w:val="24"/>
        </w:rPr>
      </w:pPr>
    </w:p>
    <w:p w:rsidR="005769D1" w:rsidP="005769D1" w14:paraId="432789FD" w14:textId="77777777">
      <w:pPr>
        <w:ind w:left="360"/>
        <w:rPr>
          <w:rFonts w:ascii="Times New Roman" w:hAnsi="Times New Roman"/>
          <w:bCs/>
          <w:sz w:val="24"/>
          <w:szCs w:val="24"/>
        </w:rPr>
      </w:pPr>
      <w:r>
        <w:rPr>
          <w:rFonts w:ascii="Times New Roman" w:hAnsi="Times New Roman"/>
          <w:bCs/>
          <w:sz w:val="24"/>
          <w:szCs w:val="24"/>
        </w:rPr>
        <w:t xml:space="preserve">These estimates were derived from conversations with a small number of experienced CIP </w:t>
      </w:r>
      <w:r w:rsidR="00BF703C">
        <w:rPr>
          <w:rFonts w:ascii="Times New Roman" w:hAnsi="Times New Roman"/>
          <w:bCs/>
          <w:sz w:val="24"/>
          <w:szCs w:val="24"/>
        </w:rPr>
        <w:t>d</w:t>
      </w:r>
      <w:r>
        <w:rPr>
          <w:rFonts w:ascii="Times New Roman" w:hAnsi="Times New Roman"/>
          <w:bCs/>
          <w:sz w:val="24"/>
          <w:szCs w:val="24"/>
        </w:rPr>
        <w:t xml:space="preserve">irectors about their time spent. </w:t>
      </w:r>
      <w:r w:rsidR="00B06622">
        <w:rPr>
          <w:rFonts w:ascii="Times New Roman" w:hAnsi="Times New Roman"/>
          <w:bCs/>
          <w:sz w:val="24"/>
          <w:szCs w:val="24"/>
        </w:rPr>
        <w:t xml:space="preserve">Burden estimates from the prior period were lowered due to the elimination of certain state-wide data metrics (‘Toolkit’ measures). </w:t>
      </w:r>
      <w:r>
        <w:rPr>
          <w:rFonts w:ascii="Times New Roman" w:hAnsi="Times New Roman"/>
          <w:bCs/>
          <w:sz w:val="24"/>
          <w:szCs w:val="24"/>
        </w:rPr>
        <w:t xml:space="preserve">The additions for the CFSR questions were estimated from conversations with CIPs, during the course of technical assistance, where very similar questions were discussed and answered. Finally, the court structure questions were time-tested by a team from a technical assistance provider familiar with CIP work. </w:t>
      </w:r>
    </w:p>
    <w:p w:rsidR="005769D1" w:rsidP="005769D1" w14:paraId="2457BAF8" w14:textId="77777777">
      <w:pPr>
        <w:ind w:left="360"/>
        <w:rPr>
          <w:rFonts w:ascii="Times New Roman" w:hAnsi="Times New Roman"/>
          <w:bCs/>
          <w:sz w:val="24"/>
          <w:szCs w:val="24"/>
        </w:rPr>
      </w:pPr>
    </w:p>
    <w:p w:rsidR="00D60543" w:rsidRPr="005769D1" w:rsidP="005769D1" w14:paraId="77D4A871" w14:textId="5EE578CA">
      <w:pPr>
        <w:ind w:left="360"/>
        <w:rPr>
          <w:rFonts w:ascii="Times New Roman" w:hAnsi="Times New Roman"/>
          <w:bCs/>
          <w:sz w:val="24"/>
          <w:szCs w:val="24"/>
        </w:rPr>
      </w:pPr>
      <w:r w:rsidRPr="00867247">
        <w:rPr>
          <w:rFonts w:ascii="Times New Roman" w:hAnsi="Times New Roman"/>
          <w:bCs/>
          <w:sz w:val="24"/>
          <w:szCs w:val="24"/>
        </w:rPr>
        <w:t>The cost to respondents was calculated using the Bureau of Labor Statistics (BLS) job code for Legal Support Workers, All Other 23-2099 and wage data from May 20</w:t>
      </w:r>
      <w:r w:rsidRPr="00867247" w:rsidR="008871A4">
        <w:rPr>
          <w:rFonts w:ascii="Times New Roman" w:hAnsi="Times New Roman"/>
          <w:bCs/>
          <w:sz w:val="24"/>
          <w:szCs w:val="24"/>
        </w:rPr>
        <w:t>21</w:t>
      </w:r>
      <w:r w:rsidRPr="00867247">
        <w:rPr>
          <w:rFonts w:ascii="Times New Roman" w:hAnsi="Times New Roman"/>
          <w:bCs/>
          <w:sz w:val="24"/>
          <w:szCs w:val="24"/>
        </w:rPr>
        <w:t>, which is $3</w:t>
      </w:r>
      <w:r w:rsidRPr="00867247" w:rsidR="008871A4">
        <w:rPr>
          <w:rFonts w:ascii="Times New Roman" w:hAnsi="Times New Roman"/>
          <w:bCs/>
          <w:sz w:val="24"/>
          <w:szCs w:val="24"/>
        </w:rPr>
        <w:t>5</w:t>
      </w:r>
      <w:r w:rsidRPr="00867247">
        <w:rPr>
          <w:rFonts w:ascii="Times New Roman" w:hAnsi="Times New Roman"/>
          <w:bCs/>
          <w:sz w:val="24"/>
          <w:szCs w:val="24"/>
        </w:rPr>
        <w:t>.</w:t>
      </w:r>
      <w:r w:rsidRPr="00867247" w:rsidR="008871A4">
        <w:rPr>
          <w:rFonts w:ascii="Times New Roman" w:hAnsi="Times New Roman"/>
          <w:bCs/>
          <w:sz w:val="24"/>
          <w:szCs w:val="24"/>
        </w:rPr>
        <w:t>10</w:t>
      </w:r>
      <w:r w:rsidRPr="00867247">
        <w:rPr>
          <w:rFonts w:ascii="Times New Roman" w:hAnsi="Times New Roman"/>
          <w:bCs/>
          <w:sz w:val="24"/>
          <w:szCs w:val="24"/>
        </w:rPr>
        <w:t xml:space="preserve"> per hour. To account for fringe benefits and overhead, the rate was multiplied by two which is $</w:t>
      </w:r>
      <w:r w:rsidRPr="00867247" w:rsidR="008871A4">
        <w:rPr>
          <w:rFonts w:ascii="Times New Roman" w:hAnsi="Times New Roman"/>
          <w:bCs/>
          <w:sz w:val="24"/>
          <w:szCs w:val="24"/>
        </w:rPr>
        <w:t>70.20</w:t>
      </w:r>
      <w:r w:rsidRPr="00867247">
        <w:rPr>
          <w:rFonts w:ascii="Times New Roman" w:hAnsi="Times New Roman"/>
          <w:bCs/>
          <w:sz w:val="24"/>
          <w:szCs w:val="24"/>
        </w:rPr>
        <w:t>.  Therefore, the total</w:t>
      </w:r>
      <w:r w:rsidR="00F50468">
        <w:rPr>
          <w:rFonts w:ascii="Times New Roman" w:hAnsi="Times New Roman"/>
          <w:bCs/>
          <w:sz w:val="24"/>
          <w:szCs w:val="24"/>
        </w:rPr>
        <w:t xml:space="preserve"> annual</w:t>
      </w:r>
      <w:r w:rsidRPr="00867247">
        <w:rPr>
          <w:rFonts w:ascii="Times New Roman" w:hAnsi="Times New Roman"/>
          <w:bCs/>
          <w:sz w:val="24"/>
          <w:szCs w:val="24"/>
        </w:rPr>
        <w:t xml:space="preserve"> cost to respondents is estimated to be </w:t>
      </w:r>
      <w:r w:rsidRPr="00867247" w:rsidR="008871A4">
        <w:rPr>
          <w:rFonts w:ascii="Times New Roman" w:hAnsi="Times New Roman"/>
          <w:bCs/>
          <w:sz w:val="24"/>
          <w:szCs w:val="24"/>
        </w:rPr>
        <w:t>$187,518.24</w:t>
      </w:r>
      <w:r w:rsidRPr="00867247" w:rsidR="00867247">
        <w:rPr>
          <w:rFonts w:ascii="Times New Roman" w:hAnsi="Times New Roman"/>
          <w:bCs/>
          <w:sz w:val="24"/>
          <w:szCs w:val="24"/>
        </w:rPr>
        <w:t xml:space="preserve"> (see </w:t>
      </w:r>
      <w:hyperlink r:id="rId10" w:history="1">
        <w:r w:rsidRPr="00867247" w:rsidR="008871A4">
          <w:rPr>
            <w:rFonts w:ascii="Times New Roman" w:hAnsi="Times New Roman"/>
            <w:bCs/>
            <w:sz w:val="24"/>
            <w:szCs w:val="24"/>
          </w:rPr>
          <w:t>https://www.bls.gov/oes/current/oes232099.htm</w:t>
        </w:r>
      </w:hyperlink>
      <w:r w:rsidRPr="00867247">
        <w:rPr>
          <w:rFonts w:ascii="Times New Roman" w:hAnsi="Times New Roman"/>
          <w:bCs/>
          <w:sz w:val="24"/>
          <w:szCs w:val="24"/>
        </w:rPr>
        <w:t xml:space="preserve"> </w:t>
      </w:r>
      <w:r w:rsidRPr="00867247" w:rsidR="00867247">
        <w:rPr>
          <w:rFonts w:ascii="Times New Roman" w:hAnsi="Times New Roman"/>
          <w:bCs/>
          <w:sz w:val="24"/>
          <w:szCs w:val="24"/>
        </w:rPr>
        <w:t>)</w:t>
      </w:r>
    </w:p>
    <w:p w:rsidR="00D60543" w:rsidRPr="00867247" w:rsidP="00DE529D" w14:paraId="344EF814" w14:textId="77777777">
      <w:pPr>
        <w:widowControl/>
        <w:ind w:left="360"/>
        <w:rPr>
          <w:rFonts w:ascii="Times New Roman" w:hAnsi="Times New Roman"/>
          <w:snapToGrid/>
          <w:sz w:val="24"/>
          <w:szCs w:val="24"/>
        </w:rPr>
      </w:pPr>
    </w:p>
    <w:p w:rsidR="00D60543" w:rsidRPr="00867247" w:rsidP="00075889"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867247">
        <w:rPr>
          <w:rFonts w:ascii="Times New Roman" w:hAnsi="Times New Roman"/>
          <w:b/>
          <w:snapToGrid/>
          <w:sz w:val="24"/>
          <w:szCs w:val="24"/>
        </w:rPr>
        <w:t xml:space="preserve">Estimates of Other Total Annual Cost Burden to Respondents and Record Keepers </w:t>
      </w:r>
    </w:p>
    <w:p w:rsidR="00D60543" w:rsidRPr="00867247" w:rsidP="005769D1" w14:paraId="00DF26E5" w14:textId="4A2B7EB8">
      <w:pPr>
        <w:tabs>
          <w:tab w:val="left" w:pos="-720"/>
        </w:tabs>
        <w:suppressAutoHyphens/>
        <w:ind w:left="360"/>
        <w:rPr>
          <w:rFonts w:ascii="Times New Roman" w:hAnsi="Times New Roman"/>
          <w:snapToGrid/>
          <w:sz w:val="24"/>
          <w:szCs w:val="24"/>
        </w:rPr>
      </w:pPr>
      <w:r w:rsidRPr="00867247">
        <w:rPr>
          <w:rFonts w:ascii="Times New Roman" w:hAnsi="Times New Roman"/>
          <w:bCs/>
          <w:sz w:val="24"/>
          <w:szCs w:val="24"/>
        </w:rPr>
        <w:t>There is no other annual cost burden to respondents.</w:t>
      </w:r>
    </w:p>
    <w:p w:rsidR="00D60543" w:rsidRPr="00867247" w:rsidP="00DE529D" w14:paraId="0BE3C51C" w14:textId="77777777">
      <w:pPr>
        <w:widowControl/>
        <w:ind w:left="360"/>
        <w:rPr>
          <w:rFonts w:ascii="Times New Roman" w:hAnsi="Times New Roman"/>
          <w:snapToGrid/>
          <w:sz w:val="24"/>
          <w:szCs w:val="24"/>
        </w:rPr>
      </w:pPr>
    </w:p>
    <w:p w:rsidR="002C3C4F" w:rsidRPr="00867247" w:rsidP="00817E2B"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867247">
        <w:rPr>
          <w:rFonts w:ascii="Times New Roman" w:hAnsi="Times New Roman"/>
          <w:b/>
          <w:snapToGrid/>
          <w:sz w:val="24"/>
          <w:szCs w:val="24"/>
        </w:rPr>
        <w:t>A</w:t>
      </w:r>
      <w:r w:rsidRPr="00867247">
        <w:rPr>
          <w:rFonts w:ascii="Times New Roman" w:hAnsi="Times New Roman"/>
          <w:b/>
          <w:snapToGrid/>
          <w:sz w:val="24"/>
          <w:szCs w:val="24"/>
        </w:rPr>
        <w:t xml:space="preserve">nnualized Cost to the Federal Government </w:t>
      </w:r>
    </w:p>
    <w:p w:rsidR="00405C10" w:rsidRPr="00867247" w:rsidP="005769D1" w14:paraId="1C0CE52C" w14:textId="518346D5">
      <w:pPr>
        <w:tabs>
          <w:tab w:val="left" w:pos="-720"/>
        </w:tabs>
        <w:suppressAutoHyphens/>
        <w:ind w:left="360"/>
        <w:rPr>
          <w:rFonts w:ascii="Times New Roman" w:hAnsi="Times New Roman"/>
          <w:snapToGrid/>
          <w:sz w:val="24"/>
          <w:szCs w:val="24"/>
        </w:rPr>
      </w:pPr>
      <w:r w:rsidRPr="00867247">
        <w:rPr>
          <w:rFonts w:ascii="Times New Roman" w:hAnsi="Times New Roman"/>
          <w:sz w:val="24"/>
          <w:szCs w:val="24"/>
        </w:rPr>
        <w:t xml:space="preserve">Review of the annual self-assessment typically takes the equivalent of one </w:t>
      </w:r>
      <w:r w:rsidRPr="00867247">
        <w:rPr>
          <w:rFonts w:ascii="Times New Roman" w:hAnsi="Times New Roman"/>
          <w:sz w:val="24"/>
          <w:szCs w:val="24"/>
        </w:rPr>
        <w:t>work</w:t>
      </w:r>
      <w:r w:rsidR="00867247">
        <w:rPr>
          <w:rFonts w:ascii="Times New Roman" w:hAnsi="Times New Roman"/>
          <w:sz w:val="24"/>
          <w:szCs w:val="24"/>
        </w:rPr>
        <w:t>-</w:t>
      </w:r>
      <w:r w:rsidRPr="00867247">
        <w:rPr>
          <w:rFonts w:ascii="Times New Roman" w:hAnsi="Times New Roman"/>
          <w:sz w:val="24"/>
          <w:szCs w:val="24"/>
        </w:rPr>
        <w:t>day</w:t>
      </w:r>
      <w:r w:rsidRPr="00867247">
        <w:rPr>
          <w:rFonts w:ascii="Times New Roman" w:hAnsi="Times New Roman"/>
          <w:sz w:val="24"/>
          <w:szCs w:val="24"/>
        </w:rPr>
        <w:t xml:space="preserve"> (8 hours).  The reviews are conducted by CB Child Welfare Specialists within our regional offices.  The average grade of specialists is </w:t>
      </w:r>
      <w:r w:rsidR="00867247">
        <w:rPr>
          <w:rFonts w:ascii="Times New Roman" w:hAnsi="Times New Roman"/>
          <w:sz w:val="24"/>
          <w:szCs w:val="24"/>
        </w:rPr>
        <w:t>G-</w:t>
      </w:r>
      <w:r w:rsidRPr="00867247">
        <w:rPr>
          <w:rFonts w:ascii="Times New Roman" w:hAnsi="Times New Roman"/>
          <w:sz w:val="24"/>
          <w:szCs w:val="24"/>
        </w:rPr>
        <w:t>11</w:t>
      </w:r>
      <w:r w:rsidR="00867247">
        <w:rPr>
          <w:rFonts w:ascii="Times New Roman" w:hAnsi="Times New Roman"/>
          <w:sz w:val="24"/>
          <w:szCs w:val="24"/>
        </w:rPr>
        <w:t xml:space="preserve">, step </w:t>
      </w:r>
      <w:r w:rsidRPr="00867247">
        <w:rPr>
          <w:rFonts w:ascii="Times New Roman" w:hAnsi="Times New Roman"/>
          <w:sz w:val="24"/>
          <w:szCs w:val="24"/>
        </w:rPr>
        <w:t>5.  Average hourly wage accounting for locality is $30.</w:t>
      </w:r>
      <w:r w:rsidR="00487467">
        <w:rPr>
          <w:rFonts w:ascii="Times New Roman" w:hAnsi="Times New Roman"/>
          <w:sz w:val="24"/>
          <w:szCs w:val="24"/>
        </w:rPr>
        <w:t>94</w:t>
      </w:r>
      <w:r w:rsidRPr="00867247" w:rsidR="00487467">
        <w:rPr>
          <w:rFonts w:ascii="Times New Roman" w:hAnsi="Times New Roman"/>
          <w:sz w:val="24"/>
          <w:szCs w:val="24"/>
        </w:rPr>
        <w:t xml:space="preserve"> </w:t>
      </w:r>
      <w:r w:rsidRPr="00867247">
        <w:rPr>
          <w:rFonts w:ascii="Times New Roman" w:hAnsi="Times New Roman"/>
          <w:sz w:val="24"/>
          <w:szCs w:val="24"/>
        </w:rPr>
        <w:t>per hour</w:t>
      </w:r>
      <w:r w:rsidR="00867247">
        <w:rPr>
          <w:rFonts w:ascii="Times New Roman" w:hAnsi="Times New Roman"/>
          <w:sz w:val="24"/>
          <w:szCs w:val="24"/>
        </w:rPr>
        <w:t>.  To account for fringe benefits and overhead the average hourly wage is multiplied by two which is $</w:t>
      </w:r>
      <w:r w:rsidR="00B06622">
        <w:rPr>
          <w:rFonts w:ascii="Times New Roman" w:hAnsi="Times New Roman"/>
          <w:sz w:val="24"/>
          <w:szCs w:val="24"/>
        </w:rPr>
        <w:t>61</w:t>
      </w:r>
      <w:r w:rsidR="00867247">
        <w:rPr>
          <w:rFonts w:ascii="Times New Roman" w:hAnsi="Times New Roman"/>
          <w:sz w:val="24"/>
          <w:szCs w:val="24"/>
        </w:rPr>
        <w:t>.</w:t>
      </w:r>
      <w:r w:rsidR="00B06622">
        <w:rPr>
          <w:rFonts w:ascii="Times New Roman" w:hAnsi="Times New Roman"/>
          <w:sz w:val="24"/>
          <w:szCs w:val="24"/>
        </w:rPr>
        <w:t>88</w:t>
      </w:r>
      <w:r w:rsidR="00867247">
        <w:rPr>
          <w:rFonts w:ascii="Times New Roman" w:hAnsi="Times New Roman"/>
          <w:sz w:val="24"/>
          <w:szCs w:val="24"/>
        </w:rPr>
        <w:t xml:space="preserve">.  Therefore, the annualized cost to the </w:t>
      </w:r>
      <w:r w:rsidR="00867247">
        <w:rPr>
          <w:rFonts w:ascii="Times New Roman" w:hAnsi="Times New Roman"/>
          <w:sz w:val="24"/>
          <w:szCs w:val="24"/>
        </w:rPr>
        <w:t xml:space="preserve">federal government is approximately </w:t>
      </w:r>
      <w:r w:rsidRPr="00867247">
        <w:rPr>
          <w:rFonts w:ascii="Times New Roman" w:hAnsi="Times New Roman"/>
          <w:sz w:val="24"/>
          <w:szCs w:val="24"/>
        </w:rPr>
        <w:t xml:space="preserve">of hours 8 x </w:t>
      </w:r>
      <w:r w:rsidR="00867247">
        <w:rPr>
          <w:rFonts w:ascii="Times New Roman" w:hAnsi="Times New Roman"/>
          <w:sz w:val="24"/>
          <w:szCs w:val="24"/>
        </w:rPr>
        <w:t>$</w:t>
      </w:r>
      <w:r w:rsidR="00B06622">
        <w:rPr>
          <w:rFonts w:ascii="Times New Roman" w:hAnsi="Times New Roman"/>
          <w:sz w:val="24"/>
          <w:szCs w:val="24"/>
        </w:rPr>
        <w:t xml:space="preserve">61.88 </w:t>
      </w:r>
      <w:r w:rsidR="00867247">
        <w:rPr>
          <w:rFonts w:ascii="Times New Roman" w:hAnsi="Times New Roman"/>
          <w:sz w:val="24"/>
          <w:szCs w:val="24"/>
        </w:rPr>
        <w:t xml:space="preserve">x </w:t>
      </w:r>
      <w:r w:rsidRPr="00867247">
        <w:rPr>
          <w:rFonts w:ascii="Times New Roman" w:hAnsi="Times New Roman"/>
          <w:sz w:val="24"/>
          <w:szCs w:val="24"/>
        </w:rPr>
        <w:t>5</w:t>
      </w:r>
      <w:r w:rsidRPr="00867247" w:rsidR="005A13D6">
        <w:rPr>
          <w:rFonts w:ascii="Times New Roman" w:hAnsi="Times New Roman"/>
          <w:sz w:val="24"/>
          <w:szCs w:val="24"/>
        </w:rPr>
        <w:t>3</w:t>
      </w:r>
      <w:r w:rsidR="00867247">
        <w:rPr>
          <w:rFonts w:ascii="Times New Roman" w:hAnsi="Times New Roman"/>
          <w:sz w:val="24"/>
          <w:szCs w:val="24"/>
        </w:rPr>
        <w:t xml:space="preserve"> jurisdictions </w:t>
      </w:r>
      <w:r w:rsidRPr="00867247">
        <w:rPr>
          <w:rFonts w:ascii="Times New Roman" w:hAnsi="Times New Roman"/>
          <w:sz w:val="24"/>
          <w:szCs w:val="24"/>
        </w:rPr>
        <w:t xml:space="preserve">= </w:t>
      </w:r>
      <w:r w:rsidR="00C908A4">
        <w:rPr>
          <w:rFonts w:ascii="Times New Roman" w:hAnsi="Times New Roman"/>
          <w:sz w:val="24"/>
          <w:szCs w:val="24"/>
        </w:rPr>
        <w:t>$</w:t>
      </w:r>
      <w:r w:rsidR="00B06622">
        <w:rPr>
          <w:rFonts w:ascii="Times New Roman" w:hAnsi="Times New Roman"/>
          <w:sz w:val="24"/>
          <w:szCs w:val="24"/>
        </w:rPr>
        <w:t>26</w:t>
      </w:r>
      <w:r w:rsidR="00C908A4">
        <w:rPr>
          <w:rFonts w:ascii="Times New Roman" w:hAnsi="Times New Roman"/>
          <w:sz w:val="24"/>
          <w:szCs w:val="24"/>
        </w:rPr>
        <w:t>,</w:t>
      </w:r>
      <w:r w:rsidR="00B06622">
        <w:rPr>
          <w:rFonts w:ascii="Times New Roman" w:hAnsi="Times New Roman"/>
          <w:sz w:val="24"/>
          <w:szCs w:val="24"/>
        </w:rPr>
        <w:t>237.12</w:t>
      </w:r>
      <w:r w:rsidRPr="00867247">
        <w:rPr>
          <w:rFonts w:ascii="Times New Roman" w:hAnsi="Times New Roman"/>
          <w:sz w:val="24"/>
          <w:szCs w:val="24"/>
        </w:rPr>
        <w:t>.</w:t>
      </w:r>
    </w:p>
    <w:p w:rsidR="00DE529D" w:rsidRPr="00867247" w:rsidP="00DE529D" w14:paraId="35C07DCF" w14:textId="77777777">
      <w:pPr>
        <w:widowControl/>
        <w:ind w:left="360"/>
        <w:rPr>
          <w:rFonts w:ascii="Times New Roman" w:hAnsi="Times New Roman"/>
          <w:snapToGrid/>
          <w:sz w:val="24"/>
          <w:szCs w:val="24"/>
        </w:rPr>
      </w:pPr>
    </w:p>
    <w:p w:rsidR="002C3C4F" w:rsidRPr="00867247" w:rsidP="00817E2B"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67247">
        <w:rPr>
          <w:rFonts w:ascii="Times New Roman" w:hAnsi="Times New Roman"/>
          <w:b/>
          <w:snapToGrid/>
          <w:sz w:val="24"/>
          <w:szCs w:val="24"/>
        </w:rPr>
        <w:t xml:space="preserve">Explanation for Program Changes or Adjustments </w:t>
      </w:r>
    </w:p>
    <w:p w:rsidR="00B06622" w:rsidP="005769D1" w14:paraId="27ED1C34" w14:textId="2E84A327">
      <w:pPr>
        <w:pStyle w:val="ListParagraph"/>
        <w:widowControl/>
        <w:numPr>
          <w:ilvl w:val="0"/>
          <w:numId w:val="21"/>
        </w:numPr>
        <w:ind w:left="900" w:hanging="540"/>
        <w:rPr>
          <w:rFonts w:ascii="Times New Roman" w:hAnsi="Times New Roman"/>
          <w:snapToGrid/>
          <w:sz w:val="24"/>
          <w:szCs w:val="24"/>
        </w:rPr>
      </w:pPr>
      <w:r>
        <w:rPr>
          <w:rFonts w:ascii="Times New Roman" w:hAnsi="Times New Roman"/>
          <w:bCs/>
          <w:sz w:val="24"/>
          <w:szCs w:val="24"/>
        </w:rPr>
        <w:t xml:space="preserve">The reduction of burden estimates </w:t>
      </w:r>
      <w:r w:rsidR="00BF703C">
        <w:rPr>
          <w:rFonts w:ascii="Times New Roman" w:hAnsi="Times New Roman"/>
          <w:bCs/>
          <w:sz w:val="24"/>
          <w:szCs w:val="24"/>
        </w:rPr>
        <w:t xml:space="preserve">since the prior approval are </w:t>
      </w:r>
      <w:r>
        <w:rPr>
          <w:rFonts w:ascii="Times New Roman" w:hAnsi="Times New Roman"/>
          <w:bCs/>
          <w:sz w:val="24"/>
          <w:szCs w:val="24"/>
        </w:rPr>
        <w:t>due to the elimination of the ‘Toolkit’ measures</w:t>
      </w:r>
      <w:r w:rsidR="00BF703C">
        <w:rPr>
          <w:rFonts w:ascii="Times New Roman" w:hAnsi="Times New Roman"/>
          <w:bCs/>
          <w:sz w:val="24"/>
          <w:szCs w:val="24"/>
        </w:rPr>
        <w:t>. This resulted</w:t>
      </w:r>
      <w:r>
        <w:rPr>
          <w:rFonts w:ascii="Times New Roman" w:hAnsi="Times New Roman"/>
          <w:bCs/>
          <w:sz w:val="24"/>
          <w:szCs w:val="24"/>
        </w:rPr>
        <w:t xml:space="preserve"> after discussions with CIPs over the burden versus the benefit of collecting these measures as well as due to changes in the CFSR measures causing the Toolkit measures to come out of alignment.</w:t>
      </w:r>
    </w:p>
    <w:p w:rsidR="00C908A4" w:rsidP="005769D1" w14:paraId="08D20823" w14:textId="0DB848E2">
      <w:pPr>
        <w:pStyle w:val="ListParagraph"/>
        <w:widowControl/>
        <w:numPr>
          <w:ilvl w:val="0"/>
          <w:numId w:val="21"/>
        </w:numPr>
        <w:ind w:left="900" w:hanging="540"/>
        <w:rPr>
          <w:rFonts w:ascii="Times New Roman" w:hAnsi="Times New Roman"/>
          <w:snapToGrid/>
          <w:sz w:val="24"/>
          <w:szCs w:val="24"/>
        </w:rPr>
      </w:pPr>
      <w:r>
        <w:rPr>
          <w:rFonts w:ascii="Times New Roman" w:hAnsi="Times New Roman"/>
          <w:snapToGrid/>
          <w:sz w:val="24"/>
          <w:szCs w:val="24"/>
        </w:rPr>
        <w:t>N</w:t>
      </w:r>
      <w:r w:rsidRPr="00C908A4" w:rsidR="0047566A">
        <w:rPr>
          <w:rFonts w:ascii="Times New Roman" w:hAnsi="Times New Roman"/>
          <w:snapToGrid/>
          <w:sz w:val="24"/>
          <w:szCs w:val="24"/>
        </w:rPr>
        <w:t xml:space="preserve">ew infrastructure questions </w:t>
      </w:r>
      <w:r w:rsidR="00487467">
        <w:rPr>
          <w:rFonts w:ascii="Times New Roman" w:hAnsi="Times New Roman"/>
          <w:snapToGrid/>
          <w:sz w:val="24"/>
          <w:szCs w:val="24"/>
        </w:rPr>
        <w:t xml:space="preserve">for the </w:t>
      </w:r>
      <w:r>
        <w:rPr>
          <w:rFonts w:ascii="Times New Roman" w:hAnsi="Times New Roman"/>
          <w:snapToGrid/>
          <w:sz w:val="24"/>
          <w:szCs w:val="24"/>
        </w:rPr>
        <w:t>CFSRs</w:t>
      </w:r>
      <w:r w:rsidR="00487467">
        <w:rPr>
          <w:rFonts w:ascii="Times New Roman" w:hAnsi="Times New Roman"/>
          <w:snapToGrid/>
          <w:sz w:val="24"/>
          <w:szCs w:val="24"/>
        </w:rPr>
        <w:t xml:space="preserve"> in</w:t>
      </w:r>
      <w:r w:rsidRPr="00C908A4" w:rsidR="0047566A">
        <w:rPr>
          <w:rFonts w:ascii="Times New Roman" w:hAnsi="Times New Roman"/>
          <w:snapToGrid/>
          <w:sz w:val="24"/>
          <w:szCs w:val="24"/>
        </w:rPr>
        <w:t xml:space="preserve"> the Self-Assessment</w:t>
      </w:r>
      <w:r>
        <w:rPr>
          <w:rFonts w:ascii="Times New Roman" w:hAnsi="Times New Roman"/>
          <w:snapToGrid/>
          <w:sz w:val="24"/>
          <w:szCs w:val="24"/>
        </w:rPr>
        <w:t xml:space="preserve"> </w:t>
      </w:r>
      <w:r w:rsidR="00487467">
        <w:rPr>
          <w:rFonts w:ascii="Times New Roman" w:hAnsi="Times New Roman"/>
          <w:snapToGrid/>
          <w:sz w:val="24"/>
          <w:szCs w:val="24"/>
        </w:rPr>
        <w:t>have been added</w:t>
      </w:r>
      <w:r>
        <w:rPr>
          <w:rFonts w:ascii="Times New Roman" w:hAnsi="Times New Roman"/>
          <w:snapToGrid/>
          <w:sz w:val="24"/>
          <w:szCs w:val="24"/>
        </w:rPr>
        <w:t>,</w:t>
      </w:r>
      <w:r w:rsidR="00487467">
        <w:rPr>
          <w:rFonts w:ascii="Times New Roman" w:hAnsi="Times New Roman"/>
          <w:snapToGrid/>
          <w:sz w:val="24"/>
          <w:szCs w:val="24"/>
        </w:rPr>
        <w:t xml:space="preserve"> which reflect updated guidance to courts and agencies about the CFSR. A </w:t>
      </w:r>
      <w:r w:rsidRPr="00C908A4" w:rsidR="0047566A">
        <w:rPr>
          <w:rFonts w:ascii="Times New Roman" w:hAnsi="Times New Roman"/>
          <w:snapToGrid/>
          <w:sz w:val="24"/>
          <w:szCs w:val="24"/>
        </w:rPr>
        <w:t xml:space="preserve">new page has been added to the Strategic Plan template </w:t>
      </w:r>
      <w:r w:rsidR="00487467">
        <w:rPr>
          <w:rFonts w:ascii="Times New Roman" w:hAnsi="Times New Roman"/>
          <w:snapToGrid/>
          <w:sz w:val="24"/>
          <w:szCs w:val="24"/>
        </w:rPr>
        <w:t xml:space="preserve">as well </w:t>
      </w:r>
      <w:r w:rsidRPr="00C908A4" w:rsidR="0047566A">
        <w:rPr>
          <w:rFonts w:ascii="Times New Roman" w:hAnsi="Times New Roman"/>
          <w:snapToGrid/>
          <w:sz w:val="24"/>
          <w:szCs w:val="24"/>
        </w:rPr>
        <w:t xml:space="preserve">for these infrastructure questions. </w:t>
      </w:r>
      <w:r>
        <w:rPr>
          <w:rFonts w:ascii="Times New Roman" w:hAnsi="Times New Roman"/>
          <w:snapToGrid/>
          <w:sz w:val="24"/>
          <w:szCs w:val="24"/>
        </w:rPr>
        <w:t>This change to</w:t>
      </w:r>
      <w:r w:rsidRPr="00C908A4" w:rsidR="0047566A">
        <w:rPr>
          <w:rFonts w:ascii="Times New Roman" w:hAnsi="Times New Roman"/>
          <w:snapToGrid/>
          <w:sz w:val="24"/>
          <w:szCs w:val="24"/>
        </w:rPr>
        <w:t xml:space="preserve"> </w:t>
      </w:r>
      <w:r w:rsidR="00487467">
        <w:rPr>
          <w:rFonts w:ascii="Times New Roman" w:hAnsi="Times New Roman"/>
          <w:snapToGrid/>
          <w:sz w:val="24"/>
          <w:szCs w:val="24"/>
        </w:rPr>
        <w:t>the Strategic Plan addition</w:t>
      </w:r>
      <w:r w:rsidRPr="00C908A4" w:rsidR="00487467">
        <w:rPr>
          <w:rFonts w:ascii="Times New Roman" w:hAnsi="Times New Roman"/>
          <w:snapToGrid/>
          <w:sz w:val="24"/>
          <w:szCs w:val="24"/>
        </w:rPr>
        <w:t xml:space="preserve"> </w:t>
      </w:r>
      <w:r w:rsidRPr="00C908A4" w:rsidR="0047566A">
        <w:rPr>
          <w:rFonts w:ascii="Times New Roman" w:hAnsi="Times New Roman"/>
          <w:snapToGrid/>
          <w:sz w:val="24"/>
          <w:szCs w:val="24"/>
        </w:rPr>
        <w:t xml:space="preserve">does not </w:t>
      </w:r>
      <w:r>
        <w:rPr>
          <w:rFonts w:ascii="Times New Roman" w:hAnsi="Times New Roman"/>
          <w:snapToGrid/>
          <w:sz w:val="24"/>
          <w:szCs w:val="24"/>
        </w:rPr>
        <w:t>increase the estimated</w:t>
      </w:r>
      <w:r w:rsidRPr="00C908A4" w:rsidR="0047566A">
        <w:rPr>
          <w:rFonts w:ascii="Times New Roman" w:hAnsi="Times New Roman"/>
          <w:snapToGrid/>
          <w:sz w:val="24"/>
          <w:szCs w:val="24"/>
        </w:rPr>
        <w:t xml:space="preserve"> burden as CIP were already reporting CFSR related work on the Strategic Plans. </w:t>
      </w:r>
      <w:r>
        <w:rPr>
          <w:rFonts w:ascii="Times New Roman" w:hAnsi="Times New Roman"/>
          <w:snapToGrid/>
          <w:sz w:val="24"/>
          <w:szCs w:val="24"/>
        </w:rPr>
        <w:t>The currently approve</w:t>
      </w:r>
      <w:r w:rsidR="00274056">
        <w:rPr>
          <w:rFonts w:ascii="Times New Roman" w:hAnsi="Times New Roman"/>
          <w:snapToGrid/>
          <w:sz w:val="24"/>
          <w:szCs w:val="24"/>
        </w:rPr>
        <w:t xml:space="preserve"> </w:t>
      </w:r>
      <w:r w:rsidRPr="00C908A4" w:rsidR="0047566A">
        <w:rPr>
          <w:rFonts w:ascii="Times New Roman" w:hAnsi="Times New Roman"/>
          <w:snapToGrid/>
          <w:sz w:val="24"/>
          <w:szCs w:val="24"/>
        </w:rPr>
        <w:t>current form was topical such that certain fundamental infrastructure questions resulted in many ‘not applicable’ responses</w:t>
      </w:r>
      <w:r>
        <w:rPr>
          <w:rFonts w:ascii="Times New Roman" w:hAnsi="Times New Roman"/>
          <w:snapToGrid/>
          <w:sz w:val="24"/>
          <w:szCs w:val="24"/>
        </w:rPr>
        <w:t>, so this change helps improve data provide</w:t>
      </w:r>
      <w:r w:rsidRPr="00C908A4" w:rsidR="0047566A">
        <w:rPr>
          <w:rFonts w:ascii="Times New Roman" w:hAnsi="Times New Roman"/>
          <w:snapToGrid/>
          <w:sz w:val="24"/>
          <w:szCs w:val="24"/>
        </w:rPr>
        <w:t xml:space="preserve">. </w:t>
      </w:r>
    </w:p>
    <w:p w:rsidR="00D60543" w:rsidRPr="00C908A4" w:rsidP="005769D1" w14:paraId="215A8A91" w14:textId="7907D5DF">
      <w:pPr>
        <w:pStyle w:val="ListParagraph"/>
        <w:widowControl/>
        <w:numPr>
          <w:ilvl w:val="0"/>
          <w:numId w:val="21"/>
        </w:numPr>
        <w:ind w:left="900" w:hanging="540"/>
        <w:rPr>
          <w:rFonts w:ascii="Times New Roman" w:hAnsi="Times New Roman"/>
          <w:snapToGrid/>
          <w:sz w:val="24"/>
          <w:szCs w:val="24"/>
        </w:rPr>
      </w:pPr>
      <w:r w:rsidRPr="00C908A4">
        <w:rPr>
          <w:rFonts w:ascii="Times New Roman" w:hAnsi="Times New Roman"/>
          <w:snapToGrid/>
          <w:sz w:val="24"/>
          <w:szCs w:val="24"/>
        </w:rPr>
        <w:t xml:space="preserve">The updated documents also </w:t>
      </w:r>
      <w:r w:rsidR="00BF703C">
        <w:rPr>
          <w:rFonts w:ascii="Times New Roman" w:hAnsi="Times New Roman"/>
          <w:snapToGrid/>
          <w:sz w:val="24"/>
          <w:szCs w:val="24"/>
        </w:rPr>
        <w:t xml:space="preserve">now </w:t>
      </w:r>
      <w:r w:rsidRPr="00C908A4">
        <w:rPr>
          <w:rFonts w:ascii="Times New Roman" w:hAnsi="Times New Roman"/>
          <w:snapToGrid/>
          <w:sz w:val="24"/>
          <w:szCs w:val="24"/>
        </w:rPr>
        <w:t xml:space="preserve">include overall court structural questions. These are not needed for CB compliance purposes. They were developed out of repeated requests from grantees for these types of information. Grantees would like this information </w:t>
      </w:r>
      <w:r w:rsidR="00BF703C">
        <w:rPr>
          <w:rFonts w:ascii="Times New Roman" w:hAnsi="Times New Roman"/>
          <w:snapToGrid/>
          <w:sz w:val="24"/>
          <w:szCs w:val="24"/>
        </w:rPr>
        <w:t xml:space="preserve">to </w:t>
      </w:r>
      <w:r w:rsidRPr="00C908A4">
        <w:rPr>
          <w:rFonts w:ascii="Times New Roman" w:hAnsi="Times New Roman"/>
          <w:snapToGrid/>
          <w:sz w:val="24"/>
          <w:szCs w:val="24"/>
        </w:rPr>
        <w:t xml:space="preserve">facilitate peer connections of similarly situated states or </w:t>
      </w:r>
      <w:r w:rsidR="00BF703C">
        <w:rPr>
          <w:rFonts w:ascii="Times New Roman" w:hAnsi="Times New Roman"/>
          <w:snapToGrid/>
          <w:sz w:val="24"/>
          <w:szCs w:val="24"/>
        </w:rPr>
        <w:t xml:space="preserve">to </w:t>
      </w:r>
      <w:r w:rsidRPr="00C908A4">
        <w:rPr>
          <w:rFonts w:ascii="Times New Roman" w:hAnsi="Times New Roman"/>
          <w:snapToGrid/>
          <w:sz w:val="24"/>
          <w:szCs w:val="24"/>
        </w:rPr>
        <w:t xml:space="preserve">do comparative analyses on their own. </w:t>
      </w:r>
    </w:p>
    <w:p w:rsidR="00D60543" w:rsidRPr="00867247" w:rsidP="004F7B95" w14:paraId="2982928D" w14:textId="77777777">
      <w:pPr>
        <w:widowControl/>
        <w:ind w:left="360"/>
        <w:rPr>
          <w:rFonts w:ascii="Times New Roman" w:hAnsi="Times New Roman"/>
          <w:snapToGrid/>
          <w:sz w:val="24"/>
          <w:szCs w:val="24"/>
        </w:rPr>
      </w:pPr>
    </w:p>
    <w:p w:rsidR="002C3C4F" w:rsidRPr="00867247" w:rsidP="00817E2B"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67247">
        <w:rPr>
          <w:rFonts w:ascii="Times New Roman" w:hAnsi="Times New Roman"/>
          <w:b/>
          <w:snapToGrid/>
          <w:sz w:val="24"/>
          <w:szCs w:val="24"/>
        </w:rPr>
        <w:t xml:space="preserve">Plans for Tabulation and Publication and Project Time Schedule </w:t>
      </w:r>
    </w:p>
    <w:p w:rsidR="00D60543" w:rsidRPr="00867247" w:rsidP="00DE529D" w14:paraId="34078ADA" w14:textId="4B66BC65">
      <w:pPr>
        <w:widowControl/>
        <w:ind w:left="360"/>
        <w:rPr>
          <w:rFonts w:ascii="Times New Roman" w:hAnsi="Times New Roman"/>
          <w:snapToGrid/>
          <w:sz w:val="24"/>
          <w:szCs w:val="24"/>
        </w:rPr>
      </w:pPr>
      <w:r w:rsidRPr="00867247">
        <w:rPr>
          <w:rFonts w:ascii="Times New Roman" w:hAnsi="Times New Roman"/>
          <w:snapToGrid/>
          <w:sz w:val="24"/>
          <w:szCs w:val="24"/>
        </w:rPr>
        <w:t xml:space="preserve">Though noted above that summary results of this data collection are shared with grantees, that is not done in a publicly available format. It is shared directly with CIP grantees. There are no complex analytical aspects involved. Largely this involves percentages of states with projects by type. This is done under a technical assistance grant. </w:t>
      </w:r>
    </w:p>
    <w:p w:rsidR="007935D5" w:rsidRPr="00867247" w:rsidP="00DE529D" w14:paraId="298DD100" w14:textId="77777777">
      <w:pPr>
        <w:widowControl/>
        <w:ind w:left="360"/>
        <w:rPr>
          <w:rFonts w:ascii="Times New Roman" w:hAnsi="Times New Roman"/>
          <w:snapToGrid/>
          <w:sz w:val="24"/>
          <w:szCs w:val="24"/>
        </w:rPr>
      </w:pPr>
    </w:p>
    <w:p w:rsidR="002C3C4F" w:rsidRPr="00867247" w:rsidP="00817E2B"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67247">
        <w:rPr>
          <w:rFonts w:ascii="Times New Roman" w:hAnsi="Times New Roman"/>
          <w:b/>
          <w:snapToGrid/>
          <w:sz w:val="24"/>
          <w:szCs w:val="24"/>
        </w:rPr>
        <w:t xml:space="preserve">Reason(s) Display of OMB Expiration Date is Inappropriate </w:t>
      </w:r>
    </w:p>
    <w:p w:rsidR="00D60543" w:rsidRPr="00867247" w:rsidP="005769D1" w14:paraId="30989008" w14:textId="71CC4E08">
      <w:pPr>
        <w:widowControl/>
        <w:ind w:left="360"/>
        <w:rPr>
          <w:rFonts w:ascii="Times New Roman" w:hAnsi="Times New Roman"/>
          <w:snapToGrid/>
          <w:sz w:val="24"/>
          <w:szCs w:val="24"/>
        </w:rPr>
      </w:pPr>
      <w:r w:rsidRPr="00867247">
        <w:rPr>
          <w:rFonts w:ascii="Times New Roman" w:hAnsi="Times New Roman"/>
          <w:sz w:val="24"/>
          <w:szCs w:val="24"/>
        </w:rPr>
        <w:t>Not applicable.</w:t>
      </w:r>
    </w:p>
    <w:p w:rsidR="00D60543" w:rsidRPr="00867247" w:rsidP="00DE529D" w14:paraId="3C11407F" w14:textId="77777777">
      <w:pPr>
        <w:widowControl/>
        <w:ind w:left="360" w:hanging="90"/>
        <w:rPr>
          <w:rFonts w:ascii="Times New Roman" w:hAnsi="Times New Roman"/>
          <w:snapToGrid/>
          <w:sz w:val="24"/>
          <w:szCs w:val="24"/>
        </w:rPr>
      </w:pPr>
    </w:p>
    <w:p w:rsidR="002C3C4F" w:rsidRPr="00867247" w:rsidP="00817E2B"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867247">
        <w:rPr>
          <w:rFonts w:ascii="Times New Roman" w:hAnsi="Times New Roman"/>
          <w:b/>
          <w:snapToGrid/>
          <w:sz w:val="24"/>
          <w:szCs w:val="24"/>
        </w:rPr>
        <w:t>Exceptions to Certification for Paperwork Reduction Act Submissions</w:t>
      </w:r>
    </w:p>
    <w:p w:rsidR="00597E7F" w:rsidRPr="00274056" w:rsidP="00274056" w14:paraId="67CA458C" w14:textId="75795CFD">
      <w:pPr>
        <w:pStyle w:val="ReportCover-Title"/>
        <w:ind w:firstLine="360"/>
        <w:rPr>
          <w:rFonts w:ascii="Times New Roman" w:hAnsi="Times New Roman"/>
          <w:b w:val="0"/>
          <w:bCs/>
          <w:color w:val="auto"/>
          <w:sz w:val="24"/>
          <w:szCs w:val="24"/>
        </w:rPr>
      </w:pPr>
      <w:r w:rsidRPr="00274056">
        <w:rPr>
          <w:rFonts w:ascii="Times New Roman" w:hAnsi="Times New Roman"/>
          <w:b w:val="0"/>
          <w:bCs/>
          <w:color w:val="auto"/>
          <w:sz w:val="24"/>
          <w:szCs w:val="24"/>
        </w:rPr>
        <w:t>There are no exceptions being sought with this submission.</w:t>
      </w:r>
    </w:p>
    <w:sectPr w:rsidSect="00A918E4">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7E3FD8" w14:paraId="205759A4" w14:textId="77777777">
      <w:pPr>
        <w:spacing w:line="20" w:lineRule="exact"/>
        <w:rPr>
          <w:sz w:val="24"/>
        </w:rPr>
      </w:pPr>
    </w:p>
  </w:endnote>
  <w:endnote w:type="continuationSeparator" w:id="1">
    <w:p w:rsidR="007E3FD8" w14:paraId="4C4A6A45" w14:textId="77777777">
      <w:r>
        <w:rPr>
          <w:sz w:val="24"/>
        </w:rPr>
        <w:t xml:space="preserve"> </w:t>
      </w:r>
    </w:p>
  </w:endnote>
  <w:endnote w:type="continuationNotice" w:id="2">
    <w:p w:rsidR="007E3FD8" w14:paraId="509EFDA0"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E3FD8" w14:paraId="7440E373" w14:textId="77777777">
      <w:r>
        <w:rPr>
          <w:sz w:val="24"/>
        </w:rPr>
        <w:separator/>
      </w:r>
    </w:p>
  </w:footnote>
  <w:footnote w:type="continuationSeparator" w:id="1">
    <w:p w:rsidR="007E3FD8" w14:paraId="7BE3CB3D" w14:textId="77777777">
      <w:r>
        <w:continuationSeparator/>
      </w:r>
    </w:p>
  </w:footnote>
  <w:footnote w:id="2">
    <w:p w:rsidR="003138C5" w:rsidRPr="00D976D9" w14:paraId="746834F3" w14:textId="0114AFCE">
      <w:pPr>
        <w:pStyle w:val="FootnoteText"/>
        <w:rPr>
          <w:rFonts w:ascii="Times New Roman" w:hAnsi="Times New Roman"/>
          <w:sz w:val="20"/>
        </w:rPr>
      </w:pPr>
      <w:r w:rsidRPr="00D976D9">
        <w:rPr>
          <w:rStyle w:val="FootnoteReference"/>
          <w:rFonts w:ascii="Times New Roman" w:hAnsi="Times New Roman"/>
          <w:sz w:val="20"/>
        </w:rPr>
        <w:footnoteRef/>
      </w:r>
      <w:r w:rsidRPr="00D976D9">
        <w:rPr>
          <w:rFonts w:ascii="Times New Roman" w:hAnsi="Times New Roman"/>
          <w:sz w:val="20"/>
        </w:rPr>
        <w:t xml:space="preserve"> The full Strategic Plan is completed every 5 years. In years when the Strategic Plan is not completed, respondents may spend minimal time updating relevant sections of the Strategic Plan. This is accounted for in the estimate for the Annual Self-Assessment.</w:t>
      </w:r>
    </w:p>
  </w:footnote>
  <w:footnote w:id="3">
    <w:p w:rsidR="00FA6E65" w14:paraId="2A8CD949" w14:textId="0FC0E4DA">
      <w:pPr>
        <w:pStyle w:val="FootnoteText"/>
      </w:pPr>
      <w:r w:rsidRPr="00C0611A">
        <w:rPr>
          <w:rStyle w:val="FootnoteReference"/>
          <w:rFonts w:ascii="Times New Roman" w:hAnsi="Times New Roman"/>
          <w:sz w:val="20"/>
        </w:rPr>
        <w:footnoteRef/>
      </w:r>
      <w:r w:rsidRPr="00C0611A">
        <w:rPr>
          <w:rFonts w:ascii="Times New Roman" w:hAnsi="Times New Roman"/>
          <w:sz w:val="20"/>
        </w:rPr>
        <w:t xml:space="preserve"> To show a total annual burden estimate in ROCIS that matches our estimated total annual burden, we had to input a response time of 50.109 hours. The accurate average time estimate is 52 hours per response, as shown in the burden table in A12.</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3A241F1"/>
    <w:multiLevelType w:val="hybridMultilevel"/>
    <w:tmpl w:val="17D6AB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C8507BE"/>
    <w:multiLevelType w:val="hybridMultilevel"/>
    <w:tmpl w:val="4A702F7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C6461B7"/>
    <w:multiLevelType w:val="hybridMultilevel"/>
    <w:tmpl w:val="F4EC925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F407ED4"/>
    <w:multiLevelType w:val="hybridMultilevel"/>
    <w:tmpl w:val="9E92E6E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14"/>
  </w:num>
  <w:num w:numId="2">
    <w:abstractNumId w:val="16"/>
  </w:num>
  <w:num w:numId="3">
    <w:abstractNumId w:val="18"/>
  </w:num>
  <w:num w:numId="4">
    <w:abstractNumId w:val="6"/>
  </w:num>
  <w:num w:numId="5">
    <w:abstractNumId w:val="9"/>
  </w:num>
  <w:num w:numId="6">
    <w:abstractNumId w:val="13"/>
  </w:num>
  <w:num w:numId="7">
    <w:abstractNumId w:val="2"/>
  </w:num>
  <w:num w:numId="8">
    <w:abstractNumId w:val="11"/>
  </w:num>
  <w:num w:numId="9">
    <w:abstractNumId w:val="19"/>
  </w:num>
  <w:num w:numId="10">
    <w:abstractNumId w:val="10"/>
  </w:num>
  <w:num w:numId="11">
    <w:abstractNumId w:val="8"/>
  </w:num>
  <w:num w:numId="12">
    <w:abstractNumId w:val="0"/>
  </w:num>
  <w:num w:numId="13">
    <w:abstractNumId w:val="21"/>
  </w:num>
  <w:num w:numId="14">
    <w:abstractNumId w:val="1"/>
  </w:num>
  <w:num w:numId="15">
    <w:abstractNumId w:val="4"/>
  </w:num>
  <w:num w:numId="16">
    <w:abstractNumId w:val="17"/>
  </w:num>
  <w:num w:numId="17">
    <w:abstractNumId w:val="22"/>
  </w:num>
  <w:num w:numId="18">
    <w:abstractNumId w:val="5"/>
  </w:num>
  <w:num w:numId="19">
    <w:abstractNumId w:val="23"/>
  </w:num>
  <w:num w:numId="20">
    <w:abstractNumId w:val="20"/>
  </w:num>
  <w:num w:numId="21">
    <w:abstractNumId w:val="15"/>
  </w:num>
  <w:num w:numId="22">
    <w:abstractNumId w:val="3"/>
  </w:num>
  <w:num w:numId="23">
    <w:abstractNumId w:val="7"/>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22586"/>
    <w:rsid w:val="00026765"/>
    <w:rsid w:val="00047262"/>
    <w:rsid w:val="00056C4B"/>
    <w:rsid w:val="00075889"/>
    <w:rsid w:val="0009007E"/>
    <w:rsid w:val="000A60F7"/>
    <w:rsid w:val="000F069F"/>
    <w:rsid w:val="000F7D7D"/>
    <w:rsid w:val="00102200"/>
    <w:rsid w:val="001337B5"/>
    <w:rsid w:val="0014145B"/>
    <w:rsid w:val="00142CE5"/>
    <w:rsid w:val="00160621"/>
    <w:rsid w:val="00186385"/>
    <w:rsid w:val="001C0575"/>
    <w:rsid w:val="001C483C"/>
    <w:rsid w:val="001C7FFE"/>
    <w:rsid w:val="001D1651"/>
    <w:rsid w:val="001E26D2"/>
    <w:rsid w:val="00222C7F"/>
    <w:rsid w:val="00226C42"/>
    <w:rsid w:val="00234235"/>
    <w:rsid w:val="002464EB"/>
    <w:rsid w:val="002509BD"/>
    <w:rsid w:val="00274056"/>
    <w:rsid w:val="0028277F"/>
    <w:rsid w:val="00290A1C"/>
    <w:rsid w:val="0029589B"/>
    <w:rsid w:val="00296738"/>
    <w:rsid w:val="002C3C4F"/>
    <w:rsid w:val="002E10D1"/>
    <w:rsid w:val="002F6622"/>
    <w:rsid w:val="003138C5"/>
    <w:rsid w:val="003405A4"/>
    <w:rsid w:val="00354319"/>
    <w:rsid w:val="0038209B"/>
    <w:rsid w:val="003B7A50"/>
    <w:rsid w:val="003C1D6E"/>
    <w:rsid w:val="003D6454"/>
    <w:rsid w:val="003E6EA3"/>
    <w:rsid w:val="00402D24"/>
    <w:rsid w:val="00405C10"/>
    <w:rsid w:val="004110F5"/>
    <w:rsid w:val="00422E1D"/>
    <w:rsid w:val="00454D18"/>
    <w:rsid w:val="004602FE"/>
    <w:rsid w:val="00467954"/>
    <w:rsid w:val="004753BB"/>
    <w:rsid w:val="0047566A"/>
    <w:rsid w:val="00476C1F"/>
    <w:rsid w:val="00480072"/>
    <w:rsid w:val="00487467"/>
    <w:rsid w:val="00490457"/>
    <w:rsid w:val="0049119A"/>
    <w:rsid w:val="004943E0"/>
    <w:rsid w:val="004F45CE"/>
    <w:rsid w:val="004F7B95"/>
    <w:rsid w:val="0051278C"/>
    <w:rsid w:val="00522C18"/>
    <w:rsid w:val="00524BB2"/>
    <w:rsid w:val="00541E51"/>
    <w:rsid w:val="005520C3"/>
    <w:rsid w:val="00556056"/>
    <w:rsid w:val="0057139B"/>
    <w:rsid w:val="005769D1"/>
    <w:rsid w:val="00581622"/>
    <w:rsid w:val="005824BD"/>
    <w:rsid w:val="00597E7F"/>
    <w:rsid w:val="005A13D6"/>
    <w:rsid w:val="005A6D3E"/>
    <w:rsid w:val="005B00FC"/>
    <w:rsid w:val="005B22D4"/>
    <w:rsid w:val="005C60F1"/>
    <w:rsid w:val="005D1B7E"/>
    <w:rsid w:val="005D274E"/>
    <w:rsid w:val="005D61DB"/>
    <w:rsid w:val="005E0B35"/>
    <w:rsid w:val="005F0ED4"/>
    <w:rsid w:val="00603498"/>
    <w:rsid w:val="00634E1D"/>
    <w:rsid w:val="00635E4F"/>
    <w:rsid w:val="00640565"/>
    <w:rsid w:val="00651F0F"/>
    <w:rsid w:val="006612BB"/>
    <w:rsid w:val="00681E38"/>
    <w:rsid w:val="00691013"/>
    <w:rsid w:val="006B1006"/>
    <w:rsid w:val="006B2726"/>
    <w:rsid w:val="006C4470"/>
    <w:rsid w:val="006D1643"/>
    <w:rsid w:val="006E6629"/>
    <w:rsid w:val="006F589F"/>
    <w:rsid w:val="006F68BE"/>
    <w:rsid w:val="00707AFB"/>
    <w:rsid w:val="00726D1B"/>
    <w:rsid w:val="00744A71"/>
    <w:rsid w:val="00761067"/>
    <w:rsid w:val="00762C40"/>
    <w:rsid w:val="0077046C"/>
    <w:rsid w:val="00786793"/>
    <w:rsid w:val="00790D2C"/>
    <w:rsid w:val="007935D5"/>
    <w:rsid w:val="007A0FBE"/>
    <w:rsid w:val="007D1E0E"/>
    <w:rsid w:val="007D3F9A"/>
    <w:rsid w:val="007D594F"/>
    <w:rsid w:val="007E3FD8"/>
    <w:rsid w:val="007E48CC"/>
    <w:rsid w:val="008014EF"/>
    <w:rsid w:val="0080325F"/>
    <w:rsid w:val="00817E2B"/>
    <w:rsid w:val="0084173F"/>
    <w:rsid w:val="00841BDF"/>
    <w:rsid w:val="0084609A"/>
    <w:rsid w:val="00846E18"/>
    <w:rsid w:val="00867247"/>
    <w:rsid w:val="008871A4"/>
    <w:rsid w:val="008900A8"/>
    <w:rsid w:val="008955AC"/>
    <w:rsid w:val="008B700D"/>
    <w:rsid w:val="008F7221"/>
    <w:rsid w:val="009113FF"/>
    <w:rsid w:val="00936A53"/>
    <w:rsid w:val="009451B1"/>
    <w:rsid w:val="00945B72"/>
    <w:rsid w:val="00957799"/>
    <w:rsid w:val="00962045"/>
    <w:rsid w:val="00966622"/>
    <w:rsid w:val="00976F8D"/>
    <w:rsid w:val="009B6377"/>
    <w:rsid w:val="009C2DE1"/>
    <w:rsid w:val="009C5213"/>
    <w:rsid w:val="009D789F"/>
    <w:rsid w:val="009E6157"/>
    <w:rsid w:val="009F5543"/>
    <w:rsid w:val="009F58E1"/>
    <w:rsid w:val="00A04EF3"/>
    <w:rsid w:val="00A05B31"/>
    <w:rsid w:val="00A160B5"/>
    <w:rsid w:val="00A61AC0"/>
    <w:rsid w:val="00A77AC0"/>
    <w:rsid w:val="00A918E4"/>
    <w:rsid w:val="00AA7B9B"/>
    <w:rsid w:val="00AD5ED7"/>
    <w:rsid w:val="00AF399C"/>
    <w:rsid w:val="00AF4347"/>
    <w:rsid w:val="00AF5FE7"/>
    <w:rsid w:val="00B06622"/>
    <w:rsid w:val="00B14349"/>
    <w:rsid w:val="00B27347"/>
    <w:rsid w:val="00B3159F"/>
    <w:rsid w:val="00B84243"/>
    <w:rsid w:val="00BD378C"/>
    <w:rsid w:val="00BF4FF9"/>
    <w:rsid w:val="00BF703C"/>
    <w:rsid w:val="00C02282"/>
    <w:rsid w:val="00C02564"/>
    <w:rsid w:val="00C0611A"/>
    <w:rsid w:val="00C13BA6"/>
    <w:rsid w:val="00C22D3C"/>
    <w:rsid w:val="00C908A4"/>
    <w:rsid w:val="00CA7C46"/>
    <w:rsid w:val="00CB1A12"/>
    <w:rsid w:val="00CE53AB"/>
    <w:rsid w:val="00CE6182"/>
    <w:rsid w:val="00D02EF1"/>
    <w:rsid w:val="00D04365"/>
    <w:rsid w:val="00D176EB"/>
    <w:rsid w:val="00D203FE"/>
    <w:rsid w:val="00D301A8"/>
    <w:rsid w:val="00D344B2"/>
    <w:rsid w:val="00D36F2C"/>
    <w:rsid w:val="00D60543"/>
    <w:rsid w:val="00D67D80"/>
    <w:rsid w:val="00D7443D"/>
    <w:rsid w:val="00D806D3"/>
    <w:rsid w:val="00D9648C"/>
    <w:rsid w:val="00D9720E"/>
    <w:rsid w:val="00D976D9"/>
    <w:rsid w:val="00DA6E43"/>
    <w:rsid w:val="00DB2443"/>
    <w:rsid w:val="00DC1C23"/>
    <w:rsid w:val="00DE529D"/>
    <w:rsid w:val="00E01B4E"/>
    <w:rsid w:val="00E368FB"/>
    <w:rsid w:val="00E4383A"/>
    <w:rsid w:val="00E73211"/>
    <w:rsid w:val="00EB2CFF"/>
    <w:rsid w:val="00EC26A5"/>
    <w:rsid w:val="00EC698B"/>
    <w:rsid w:val="00ED782E"/>
    <w:rsid w:val="00F02021"/>
    <w:rsid w:val="00F10B17"/>
    <w:rsid w:val="00F210CA"/>
    <w:rsid w:val="00F3019F"/>
    <w:rsid w:val="00F420C9"/>
    <w:rsid w:val="00F45260"/>
    <w:rsid w:val="00F50468"/>
    <w:rsid w:val="00F83116"/>
    <w:rsid w:val="00FA5092"/>
    <w:rsid w:val="00FA6E65"/>
    <w:rsid w:val="00FB4221"/>
    <w:rsid w:val="00FB7547"/>
    <w:rsid w:val="00FE0FDC"/>
    <w:rsid w:val="00FF7C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UnresolvedMention">
    <w:name w:val="Unresolved Mention"/>
    <w:basedOn w:val="DefaultParagraphFont"/>
    <w:uiPriority w:val="99"/>
    <w:semiHidden/>
    <w:unhideWhenUsed/>
    <w:rsid w:val="005816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232099.htm"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3.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4.xml><?xml version="1.0" encoding="utf-8"?>
<ds:datastoreItem xmlns:ds="http://schemas.openxmlformats.org/officeDocument/2006/customXml" ds:itemID="{721B7CC0-ED6F-4DC7-A508-33E198DAB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6</Pages>
  <Words>1685</Words>
  <Characters>9461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6</cp:revision>
  <dcterms:created xsi:type="dcterms:W3CDTF">2022-09-26T14:13:00Z</dcterms:created>
  <dcterms:modified xsi:type="dcterms:W3CDTF">2022-09-26T17:19:00Z</dcterms:modified>
</cp:coreProperties>
</file>