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85A1A" w:rsidRPr="001E49CF" w:rsidP="00885A1A" w14:paraId="59D26463" w14:textId="77777777">
      <w:pPr>
        <w:tabs>
          <w:tab w:val="num" w:pos="360"/>
        </w:tabs>
        <w:rPr>
          <w:rFonts w:ascii="Times New Roman" w:hAnsi="Times New Roman"/>
          <w:sz w:val="24"/>
          <w:szCs w:val="24"/>
        </w:rPr>
      </w:pPr>
      <w:r w:rsidRPr="00FE6877">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July 27, 2022, Volume 87, Number 143, pages 45106-45107, and provided a sixty-day period for public comment.  </w:t>
      </w:r>
      <w:r w:rsidRPr="00B972D5">
        <w:rPr>
          <w:rFonts w:ascii="Times New Roman" w:hAnsi="Times New Roman"/>
          <w:b/>
          <w:bCs/>
          <w:sz w:val="24"/>
          <w:szCs w:val="24"/>
        </w:rPr>
        <w:t>The ACF Office of Trafficking in Persons (</w:t>
      </w:r>
      <w:r w:rsidRPr="001E49CF">
        <w:rPr>
          <w:rFonts w:ascii="Times New Roman" w:hAnsi="Times New Roman"/>
          <w:b/>
          <w:bCs/>
          <w:sz w:val="24"/>
          <w:szCs w:val="24"/>
        </w:rPr>
        <w:t>OTIP</w:t>
      </w:r>
      <w:r>
        <w:rPr>
          <w:rFonts w:ascii="Times New Roman" w:hAnsi="Times New Roman"/>
          <w:b/>
          <w:bCs/>
          <w:sz w:val="24"/>
          <w:szCs w:val="24"/>
        </w:rPr>
        <w:t>)</w:t>
      </w:r>
      <w:r w:rsidRPr="001E49CF">
        <w:rPr>
          <w:rFonts w:ascii="Times New Roman" w:hAnsi="Times New Roman"/>
          <w:b/>
          <w:bCs/>
          <w:sz w:val="24"/>
          <w:szCs w:val="24"/>
        </w:rPr>
        <w:t xml:space="preserve"> did not receive comments.</w:t>
      </w:r>
      <w:r w:rsidRPr="001E49CF">
        <w:rPr>
          <w:rFonts w:ascii="Times New Roman" w:hAnsi="Times New Roman"/>
          <w:sz w:val="24"/>
          <w:szCs w:val="24"/>
        </w:rPr>
        <w:t xml:space="preserve"> </w:t>
      </w:r>
    </w:p>
    <w:p w:rsidR="0066575A" w:rsidRPr="001E49CF" w:rsidP="0066575A" w14:paraId="5441B952" w14:textId="77777777">
      <w:pPr>
        <w:tabs>
          <w:tab w:val="num" w:pos="360"/>
        </w:tabs>
        <w:rPr>
          <w:rFonts w:ascii="Times New Roman" w:hAnsi="Times New Roman"/>
          <w:sz w:val="24"/>
          <w:szCs w:val="24"/>
        </w:rPr>
      </w:pPr>
    </w:p>
    <w:p w:rsidR="0066575A" w:rsidRPr="001E49CF" w:rsidP="0066575A" w14:paraId="786F57E0" w14:textId="77777777">
      <w:pPr>
        <w:tabs>
          <w:tab w:val="num" w:pos="360"/>
        </w:tabs>
        <w:rPr>
          <w:rFonts w:ascii="Times New Roman" w:hAnsi="Times New Roman"/>
          <w:sz w:val="24"/>
          <w:szCs w:val="24"/>
        </w:rPr>
      </w:pPr>
      <w:r w:rsidRPr="001E49CF">
        <w:rPr>
          <w:rFonts w:ascii="Times New Roman" w:hAnsi="Times New Roman"/>
          <w:sz w:val="24"/>
          <w:szCs w:val="24"/>
        </w:rPr>
        <w:t>In accordance with the Paperwork Reduction Act of 1995 (Pub. L. 104-13) and Office of Management and Budget (OMB) regulations at 5 CFR Part 1320 (60 FR 44978, August 29, 1995), ACF published another notice in the Federal Register announcing the agency’s intention to request an OMB review of this information collection activity.  This notice was published on October 2</w:t>
      </w:r>
      <w:r>
        <w:rPr>
          <w:rFonts w:ascii="Times New Roman" w:hAnsi="Times New Roman"/>
          <w:sz w:val="24"/>
          <w:szCs w:val="24"/>
        </w:rPr>
        <w:t>1</w:t>
      </w:r>
      <w:r w:rsidRPr="001E49CF">
        <w:rPr>
          <w:rFonts w:ascii="Times New Roman" w:hAnsi="Times New Roman"/>
          <w:sz w:val="24"/>
          <w:szCs w:val="24"/>
        </w:rPr>
        <w:t>, 2022, Volume 87, Number 20</w:t>
      </w:r>
      <w:r>
        <w:rPr>
          <w:rFonts w:ascii="Times New Roman" w:hAnsi="Times New Roman"/>
          <w:sz w:val="24"/>
          <w:szCs w:val="24"/>
        </w:rPr>
        <w:t>3</w:t>
      </w:r>
      <w:r w:rsidRPr="001E49CF">
        <w:rPr>
          <w:rFonts w:ascii="Times New Roman" w:hAnsi="Times New Roman"/>
          <w:sz w:val="24"/>
          <w:szCs w:val="24"/>
        </w:rPr>
        <w:t>, pages 6</w:t>
      </w:r>
      <w:r>
        <w:rPr>
          <w:rFonts w:ascii="Times New Roman" w:hAnsi="Times New Roman"/>
          <w:sz w:val="24"/>
          <w:szCs w:val="24"/>
        </w:rPr>
        <w:t>4053</w:t>
      </w:r>
      <w:r w:rsidRPr="001E49CF">
        <w:rPr>
          <w:rFonts w:ascii="Times New Roman" w:hAnsi="Times New Roman"/>
          <w:sz w:val="24"/>
          <w:szCs w:val="24"/>
        </w:rPr>
        <w:t>-</w:t>
      </w:r>
      <w:r>
        <w:rPr>
          <w:rFonts w:ascii="Times New Roman" w:hAnsi="Times New Roman"/>
          <w:sz w:val="24"/>
          <w:szCs w:val="24"/>
        </w:rPr>
        <w:t>64054</w:t>
      </w:r>
      <w:r w:rsidRPr="001E49CF">
        <w:rPr>
          <w:rFonts w:ascii="Times New Roman" w:hAnsi="Times New Roman"/>
          <w:sz w:val="24"/>
          <w:szCs w:val="24"/>
        </w:rPr>
        <w:t xml:space="preserve">, and provided a thirty-day period for public comment.  </w:t>
      </w:r>
      <w:r w:rsidRPr="001E49CF">
        <w:rPr>
          <w:rFonts w:ascii="Times New Roman" w:hAnsi="Times New Roman"/>
          <w:b/>
          <w:bCs/>
          <w:sz w:val="24"/>
          <w:szCs w:val="24"/>
        </w:rPr>
        <w:t xml:space="preserve">OTIP received one comment. </w:t>
      </w:r>
    </w:p>
    <w:p w:rsidR="00835711" w:rsidRPr="001E49CF" w:rsidP="002D4D55" w14:paraId="5C193A5E" w14:textId="77777777">
      <w:pPr>
        <w:tabs>
          <w:tab w:val="num" w:pos="360"/>
        </w:tabs>
        <w:rPr>
          <w:rFonts w:ascii="Times New Roman" w:hAnsi="Times New Roman"/>
          <w:b/>
          <w:bCs/>
          <w:i/>
          <w:iCs/>
          <w:sz w:val="24"/>
          <w:szCs w:val="24"/>
        </w:rPr>
      </w:pPr>
    </w:p>
    <w:p w:rsidR="00835711" w:rsidRPr="001E49CF" w:rsidP="002D4D55" w14:paraId="47D52EB5" w14:textId="276C0F28">
      <w:pPr>
        <w:tabs>
          <w:tab w:val="num" w:pos="360"/>
        </w:tabs>
        <w:rPr>
          <w:rFonts w:ascii="Times New Roman" w:hAnsi="Times New Roman"/>
          <w:b/>
          <w:bCs/>
          <w:sz w:val="24"/>
          <w:szCs w:val="24"/>
        </w:rPr>
      </w:pPr>
      <w:r w:rsidRPr="001E49CF">
        <w:rPr>
          <w:rFonts w:ascii="Times New Roman" w:hAnsi="Times New Roman"/>
          <w:b/>
          <w:bCs/>
          <w:i/>
          <w:iCs/>
          <w:sz w:val="24"/>
          <w:szCs w:val="24"/>
        </w:rPr>
        <w:t>Response to Public Comment</w:t>
      </w:r>
    </w:p>
    <w:p w:rsidR="00835711" w:rsidRPr="001E49CF" w:rsidP="002D4D55" w14:paraId="2B56E44E" w14:textId="62BA8FFE">
      <w:pPr>
        <w:tabs>
          <w:tab w:val="num" w:pos="360"/>
        </w:tabs>
        <w:rPr>
          <w:rFonts w:ascii="Times New Roman" w:hAnsi="Times New Roman"/>
          <w:sz w:val="24"/>
          <w:szCs w:val="24"/>
        </w:rPr>
      </w:pPr>
      <w:r w:rsidRPr="001E49CF">
        <w:rPr>
          <w:rFonts w:ascii="Times New Roman" w:hAnsi="Times New Roman"/>
          <w:sz w:val="24"/>
          <w:szCs w:val="24"/>
        </w:rPr>
        <w:t xml:space="preserve">OTIP received a public comment from a nonprofit organization that represents service providers and advocates working directly with individuals who have experienced trafficking in persons. The organization articulated concerns that the proposed collection “goes far beyond what the program requires, is irrelevant to the primary objectives of </w:t>
      </w:r>
      <w:r w:rsidR="0066575A">
        <w:rPr>
          <w:rFonts w:ascii="Times New Roman" w:hAnsi="Times New Roman"/>
          <w:sz w:val="24"/>
          <w:szCs w:val="24"/>
        </w:rPr>
        <w:t>the Trafficking Victim Assistance Program (TVAP</w:t>
      </w:r>
      <w:r w:rsidR="00CA3359">
        <w:rPr>
          <w:rFonts w:ascii="Times New Roman" w:hAnsi="Times New Roman"/>
          <w:sz w:val="24"/>
          <w:szCs w:val="24"/>
        </w:rPr>
        <w:t>)</w:t>
      </w:r>
      <w:r w:rsidRPr="001E49CF">
        <w:rPr>
          <w:rFonts w:ascii="Times New Roman" w:hAnsi="Times New Roman"/>
          <w:sz w:val="24"/>
          <w:szCs w:val="24"/>
        </w:rPr>
        <w:t xml:space="preserve">, and, in some cases, may cause re-traumatization of survivors.” Further, that “service providers should not be required to ask detailed questions related to a survivor’s trauma history and details of their trafficking experience at any point, especially not to ensure program enrollment, as the details of the exploitation are not relevant. Requiring a survivor to discuss their trauma history </w:t>
      </w:r>
      <w:r w:rsidRPr="001E49CF">
        <w:rPr>
          <w:rFonts w:ascii="Times New Roman" w:hAnsi="Times New Roman"/>
          <w:sz w:val="24"/>
          <w:szCs w:val="24"/>
        </w:rPr>
        <w:t>in order to</w:t>
      </w:r>
      <w:r w:rsidRPr="001E49CF">
        <w:rPr>
          <w:rFonts w:ascii="Times New Roman" w:hAnsi="Times New Roman"/>
          <w:sz w:val="24"/>
          <w:szCs w:val="24"/>
        </w:rPr>
        <w:t xml:space="preserve"> receive services is re-traumatizing and could lead to the individual withdrawing completely from needed services, increasing their risk of re-exploitation.</w:t>
      </w:r>
      <w:r w:rsidRPr="001E49CF" w:rsidR="004B1F5E">
        <w:rPr>
          <w:rFonts w:ascii="Times New Roman" w:hAnsi="Times New Roman"/>
          <w:sz w:val="24"/>
          <w:szCs w:val="24"/>
        </w:rPr>
        <w:t>”</w:t>
      </w:r>
    </w:p>
    <w:p w:rsidR="00835711" w:rsidRPr="001E49CF" w:rsidP="002D4D55" w14:paraId="145ED4ED" w14:textId="151B4611">
      <w:pPr>
        <w:tabs>
          <w:tab w:val="num" w:pos="360"/>
        </w:tabs>
        <w:rPr>
          <w:rFonts w:ascii="Times New Roman" w:hAnsi="Times New Roman"/>
          <w:sz w:val="24"/>
          <w:szCs w:val="24"/>
        </w:rPr>
      </w:pPr>
    </w:p>
    <w:p w:rsidR="004D061E" w:rsidRPr="001E49CF" w:rsidP="002D4D55" w14:paraId="3DDD3598" w14:textId="24AF83E8">
      <w:pPr>
        <w:tabs>
          <w:tab w:val="num" w:pos="360"/>
        </w:tabs>
        <w:rPr>
          <w:rFonts w:ascii="Times New Roman" w:hAnsi="Times New Roman"/>
          <w:sz w:val="24"/>
          <w:szCs w:val="24"/>
        </w:rPr>
      </w:pPr>
      <w:r w:rsidRPr="001E49CF">
        <w:rPr>
          <w:rFonts w:ascii="Times New Roman" w:hAnsi="Times New Roman"/>
          <w:sz w:val="24"/>
          <w:szCs w:val="24"/>
        </w:rPr>
        <w:t>OTIP acknowledges these concerns</w:t>
      </w:r>
      <w:r w:rsidRPr="001E49CF" w:rsidR="00391700">
        <w:rPr>
          <w:rFonts w:ascii="Times New Roman" w:hAnsi="Times New Roman"/>
          <w:sz w:val="24"/>
          <w:szCs w:val="24"/>
        </w:rPr>
        <w:t xml:space="preserve"> and</w:t>
      </w:r>
      <w:r w:rsidRPr="001E49CF">
        <w:rPr>
          <w:rFonts w:ascii="Times New Roman" w:hAnsi="Times New Roman"/>
          <w:sz w:val="24"/>
          <w:szCs w:val="24"/>
        </w:rPr>
        <w:t xml:space="preserve"> affirms that the information requested through this collection is obtained through </w:t>
      </w:r>
      <w:r w:rsidRPr="001E49CF">
        <w:rPr>
          <w:rFonts w:ascii="Times New Roman" w:hAnsi="Times New Roman"/>
          <w:sz w:val="24"/>
          <w:szCs w:val="24"/>
        </w:rPr>
        <w:t>person-centered,</w:t>
      </w:r>
      <w:r w:rsidRPr="001E49CF">
        <w:rPr>
          <w:rFonts w:ascii="Times New Roman" w:hAnsi="Times New Roman"/>
          <w:sz w:val="24"/>
          <w:szCs w:val="24"/>
        </w:rPr>
        <w:t xml:space="preserve"> </w:t>
      </w:r>
      <w:r w:rsidRPr="001E49CF">
        <w:rPr>
          <w:rFonts w:ascii="Times New Roman" w:hAnsi="Times New Roman"/>
          <w:sz w:val="24"/>
          <w:szCs w:val="24"/>
        </w:rPr>
        <w:t xml:space="preserve">trauma-informed practices. </w:t>
      </w:r>
      <w:r w:rsidR="0066575A">
        <w:rPr>
          <w:rFonts w:ascii="Times New Roman" w:hAnsi="Times New Roman"/>
          <w:sz w:val="24"/>
          <w:szCs w:val="24"/>
        </w:rPr>
        <w:t>TVAP</w:t>
      </w:r>
      <w:r w:rsidRPr="001E49CF" w:rsidR="00391700">
        <w:rPr>
          <w:rFonts w:ascii="Times New Roman" w:hAnsi="Times New Roman"/>
          <w:sz w:val="24"/>
          <w:szCs w:val="24"/>
        </w:rPr>
        <w:t xml:space="preserve"> grant recipients are required to demonstrate internal capacity to provide comprehensive, culturally responsive, and linguistically appropriate case management to domestic clients</w:t>
      </w:r>
      <w:r w:rsidRPr="001E49CF">
        <w:rPr>
          <w:rFonts w:ascii="Times New Roman" w:hAnsi="Times New Roman"/>
          <w:sz w:val="24"/>
          <w:szCs w:val="24"/>
        </w:rPr>
        <w:t xml:space="preserve"> of different racial, ethnic, cultural, gender identity, sexual orientation, ability, and religious backgrounds who have experienced human trafficking</w:t>
      </w:r>
      <w:r w:rsidRPr="001E49CF" w:rsidR="00391700">
        <w:rPr>
          <w:rFonts w:ascii="Times New Roman" w:hAnsi="Times New Roman"/>
          <w:sz w:val="24"/>
          <w:szCs w:val="24"/>
        </w:rPr>
        <w:t xml:space="preserve"> as a condition of award. The t</w:t>
      </w:r>
      <w:r w:rsidRPr="001E49CF">
        <w:rPr>
          <w:rFonts w:ascii="Times New Roman" w:hAnsi="Times New Roman"/>
          <w:sz w:val="24"/>
          <w:szCs w:val="24"/>
        </w:rPr>
        <w:t xml:space="preserve">rauma-informed care model assumes that clients and staff have experienced </w:t>
      </w:r>
      <w:r w:rsidRPr="001E49CF">
        <w:rPr>
          <w:rFonts w:ascii="Times New Roman" w:hAnsi="Times New Roman"/>
          <w:sz w:val="24"/>
          <w:szCs w:val="24"/>
        </w:rPr>
        <w:t>trauma</w:t>
      </w:r>
      <w:r w:rsidRPr="001E49CF" w:rsidR="00391700">
        <w:rPr>
          <w:rFonts w:ascii="Times New Roman" w:hAnsi="Times New Roman"/>
          <w:sz w:val="24"/>
          <w:szCs w:val="24"/>
        </w:rPr>
        <w:t>,</w:t>
      </w:r>
      <w:r w:rsidRPr="001E49CF" w:rsidR="00145ACB">
        <w:rPr>
          <w:rFonts w:ascii="Times New Roman" w:hAnsi="Times New Roman"/>
          <w:sz w:val="24"/>
          <w:szCs w:val="24"/>
        </w:rPr>
        <w:t xml:space="preserve"> </w:t>
      </w:r>
      <w:r w:rsidRPr="001E49CF" w:rsidR="00391700">
        <w:rPr>
          <w:rFonts w:ascii="Times New Roman" w:hAnsi="Times New Roman"/>
          <w:sz w:val="24"/>
          <w:szCs w:val="24"/>
        </w:rPr>
        <w:t>and</w:t>
      </w:r>
      <w:r w:rsidRPr="001E49CF" w:rsidR="00391700">
        <w:rPr>
          <w:rFonts w:ascii="Times New Roman" w:hAnsi="Times New Roman"/>
          <w:sz w:val="24"/>
          <w:szCs w:val="24"/>
        </w:rPr>
        <w:t xml:space="preserve"> seeks to minimize harm and prevent re-traumatization.</w:t>
      </w:r>
      <w:r w:rsidRPr="001E49CF" w:rsidR="00145ACB">
        <w:rPr>
          <w:rFonts w:ascii="Times New Roman" w:hAnsi="Times New Roman"/>
          <w:sz w:val="24"/>
          <w:szCs w:val="24"/>
        </w:rPr>
        <w:t xml:space="preserve"> This may mean engaging in screening activities over multiple points-in-time or omitting certain questions from screening and intake. </w:t>
      </w:r>
      <w:r w:rsidRPr="001E49CF">
        <w:rPr>
          <w:rFonts w:ascii="Times New Roman" w:hAnsi="Times New Roman"/>
          <w:sz w:val="24"/>
          <w:szCs w:val="24"/>
        </w:rPr>
        <w:t xml:space="preserve">This model includes organizational change that promotes resilience in clients and staff; engages individuals in care; and incorporates knowledge about trauma in policies, procedures, practices, and settings. For more information on the development of trauma-informed services and a framework for becoming a trauma-informed organization, system, or service sector, please visit the </w:t>
      </w:r>
      <w:hyperlink r:id="rId4" w:history="1">
        <w:r w:rsidRPr="001E49CF">
          <w:rPr>
            <w:rStyle w:val="Hyperlink"/>
            <w:rFonts w:ascii="Times New Roman" w:hAnsi="Times New Roman"/>
            <w:sz w:val="24"/>
            <w:szCs w:val="24"/>
          </w:rPr>
          <w:t>Substance Abuse and Mental Health Services Administration’s Concept of Trauma and Guidance for a Trauma-informed Approach.</w:t>
        </w:r>
      </w:hyperlink>
      <w:r w:rsidRPr="001E49CF">
        <w:rPr>
          <w:rFonts w:ascii="Times New Roman" w:hAnsi="Times New Roman"/>
          <w:sz w:val="24"/>
          <w:szCs w:val="24"/>
        </w:rPr>
        <w:t xml:space="preserve"> </w:t>
      </w:r>
    </w:p>
    <w:p w:rsidR="004D061E" w:rsidRPr="001E49CF" w:rsidP="002D4D55" w14:paraId="2FDB5DEE" w14:textId="77777777">
      <w:pPr>
        <w:tabs>
          <w:tab w:val="num" w:pos="360"/>
        </w:tabs>
        <w:rPr>
          <w:rFonts w:ascii="Times New Roman" w:hAnsi="Times New Roman"/>
          <w:sz w:val="24"/>
          <w:szCs w:val="24"/>
        </w:rPr>
      </w:pPr>
    </w:p>
    <w:p w:rsidR="001A71C4" w:rsidRPr="00653BD0" w:rsidP="002D4D55" w14:paraId="1A1ABE87" w14:textId="04768C24">
      <w:pPr>
        <w:tabs>
          <w:tab w:val="num" w:pos="360"/>
        </w:tabs>
        <w:rPr>
          <w:rFonts w:ascii="Times New Roman" w:hAnsi="Times New Roman"/>
          <w:sz w:val="24"/>
          <w:szCs w:val="24"/>
        </w:rPr>
      </w:pPr>
      <w:r w:rsidRPr="001E49CF">
        <w:rPr>
          <w:rFonts w:ascii="Times New Roman" w:hAnsi="Times New Roman"/>
          <w:sz w:val="24"/>
          <w:szCs w:val="24"/>
        </w:rPr>
        <w:t>The</w:t>
      </w:r>
      <w:r w:rsidRPr="001E49CF" w:rsidR="00835711">
        <w:rPr>
          <w:rFonts w:ascii="Times New Roman" w:hAnsi="Times New Roman"/>
          <w:sz w:val="24"/>
          <w:szCs w:val="24"/>
        </w:rPr>
        <w:t xml:space="preserve"> </w:t>
      </w:r>
      <w:r w:rsidRPr="001E49CF">
        <w:rPr>
          <w:rFonts w:ascii="Times New Roman" w:hAnsi="Times New Roman"/>
          <w:sz w:val="24"/>
          <w:szCs w:val="24"/>
        </w:rPr>
        <w:t xml:space="preserve">proposed information collection </w:t>
      </w:r>
      <w:r w:rsidRPr="001E49CF" w:rsidR="00835711">
        <w:rPr>
          <w:rFonts w:ascii="Times New Roman" w:hAnsi="Times New Roman"/>
          <w:b/>
          <w:bCs/>
          <w:sz w:val="24"/>
          <w:szCs w:val="24"/>
          <w:u w:val="single"/>
        </w:rPr>
        <w:t>does not</w:t>
      </w:r>
      <w:r w:rsidRPr="001E49CF" w:rsidR="00835711">
        <w:rPr>
          <w:rFonts w:ascii="Times New Roman" w:hAnsi="Times New Roman"/>
          <w:sz w:val="24"/>
          <w:szCs w:val="24"/>
        </w:rPr>
        <w:t xml:space="preserve"> require individuals with lived experienced to provide detailed histories of their exploitation. </w:t>
      </w:r>
      <w:r w:rsidRPr="001E49CF">
        <w:rPr>
          <w:rFonts w:ascii="Times New Roman" w:hAnsi="Times New Roman"/>
          <w:sz w:val="24"/>
          <w:szCs w:val="24"/>
        </w:rPr>
        <w:t xml:space="preserve">Rather, the </w:t>
      </w:r>
      <w:r w:rsidRPr="001E49CF" w:rsidR="00835711">
        <w:rPr>
          <w:rFonts w:ascii="Times New Roman" w:hAnsi="Times New Roman"/>
          <w:sz w:val="24"/>
          <w:szCs w:val="24"/>
        </w:rPr>
        <w:t>information requested pertaining specifically to clients’</w:t>
      </w:r>
      <w:r w:rsidRPr="001E49CF" w:rsidR="004B1F5E">
        <w:rPr>
          <w:rFonts w:ascii="Times New Roman" w:hAnsi="Times New Roman"/>
          <w:sz w:val="24"/>
          <w:szCs w:val="24"/>
        </w:rPr>
        <w:t xml:space="preserve"> trafficking experienc</w:t>
      </w:r>
      <w:r w:rsidRPr="001E49CF" w:rsidR="00B70618">
        <w:rPr>
          <w:rFonts w:ascii="Times New Roman" w:hAnsi="Times New Roman"/>
          <w:sz w:val="24"/>
          <w:szCs w:val="24"/>
        </w:rPr>
        <w:t>e</w:t>
      </w:r>
      <w:r w:rsidRPr="001E49CF" w:rsidR="00835711">
        <w:rPr>
          <w:rFonts w:ascii="Times New Roman" w:hAnsi="Times New Roman"/>
          <w:sz w:val="24"/>
          <w:szCs w:val="24"/>
        </w:rPr>
        <w:t xml:space="preserve"> is required </w:t>
      </w:r>
      <w:r w:rsidRPr="001E49CF" w:rsidR="00B70618">
        <w:rPr>
          <w:rFonts w:ascii="Times New Roman" w:hAnsi="Times New Roman"/>
          <w:sz w:val="24"/>
          <w:szCs w:val="24"/>
        </w:rPr>
        <w:t xml:space="preserve">for OTIP to be responsive to its statutory </w:t>
      </w:r>
      <w:r w:rsidRPr="001E49CF" w:rsidR="00B70618">
        <w:rPr>
          <w:rFonts w:ascii="Times New Roman" w:hAnsi="Times New Roman"/>
          <w:sz w:val="24"/>
          <w:szCs w:val="24"/>
        </w:rPr>
        <w:t>reporting requirements,</w:t>
      </w:r>
      <w:r w:rsidRPr="001E49CF" w:rsidR="00835711">
        <w:rPr>
          <w:rFonts w:ascii="Times New Roman" w:hAnsi="Times New Roman"/>
          <w:sz w:val="24"/>
          <w:szCs w:val="24"/>
        </w:rPr>
        <w:t xml:space="preserve"> and to inform the evidence-base for providers</w:t>
      </w:r>
      <w:r w:rsidRPr="001E49CF" w:rsidR="008C2140">
        <w:rPr>
          <w:rFonts w:ascii="Times New Roman" w:hAnsi="Times New Roman"/>
          <w:sz w:val="24"/>
          <w:szCs w:val="24"/>
        </w:rPr>
        <w:t xml:space="preserve">. </w:t>
      </w:r>
      <w:r w:rsidRPr="001E49CF">
        <w:rPr>
          <w:rFonts w:ascii="Times New Roman" w:hAnsi="Times New Roman"/>
          <w:sz w:val="24"/>
          <w:szCs w:val="24"/>
        </w:rPr>
        <w:t xml:space="preserve">There are four total indicators related to clients’ trafficking experience: </w:t>
      </w:r>
      <w:r w:rsidR="00653BD0">
        <w:rPr>
          <w:rFonts w:ascii="Times New Roman" w:hAnsi="Times New Roman"/>
          <w:sz w:val="24"/>
          <w:szCs w:val="24"/>
        </w:rPr>
        <w:t xml:space="preserve"> T</w:t>
      </w:r>
      <w:r w:rsidRPr="00653BD0">
        <w:rPr>
          <w:rFonts w:ascii="Times New Roman" w:hAnsi="Times New Roman"/>
          <w:sz w:val="24"/>
          <w:szCs w:val="24"/>
        </w:rPr>
        <w:t>ype of Trafficking</w:t>
      </w:r>
      <w:r w:rsidR="00653BD0">
        <w:rPr>
          <w:rFonts w:ascii="Times New Roman" w:hAnsi="Times New Roman"/>
          <w:sz w:val="24"/>
          <w:szCs w:val="24"/>
        </w:rPr>
        <w:t>, E</w:t>
      </w:r>
      <w:r w:rsidRPr="00653BD0">
        <w:rPr>
          <w:rFonts w:ascii="Times New Roman" w:hAnsi="Times New Roman"/>
          <w:sz w:val="24"/>
          <w:szCs w:val="24"/>
        </w:rPr>
        <w:t>xploitation Industry</w:t>
      </w:r>
      <w:r w:rsidR="00653BD0">
        <w:rPr>
          <w:rFonts w:ascii="Times New Roman" w:hAnsi="Times New Roman"/>
          <w:sz w:val="24"/>
          <w:szCs w:val="24"/>
        </w:rPr>
        <w:t>, C</w:t>
      </w:r>
      <w:r w:rsidRPr="00653BD0">
        <w:rPr>
          <w:rFonts w:ascii="Times New Roman" w:hAnsi="Times New Roman"/>
          <w:sz w:val="24"/>
          <w:szCs w:val="24"/>
        </w:rPr>
        <w:t xml:space="preserve">ommercial Sex Venue (if applicable), and </w:t>
      </w:r>
      <w:r w:rsidR="00653BD0">
        <w:rPr>
          <w:rFonts w:ascii="Times New Roman" w:hAnsi="Times New Roman"/>
          <w:sz w:val="24"/>
          <w:szCs w:val="24"/>
        </w:rPr>
        <w:t>L</w:t>
      </w:r>
      <w:r w:rsidRPr="00653BD0">
        <w:rPr>
          <w:rFonts w:ascii="Times New Roman" w:hAnsi="Times New Roman"/>
          <w:sz w:val="24"/>
          <w:szCs w:val="24"/>
        </w:rPr>
        <w:t>ocation of Trafficking (State or Territory).</w:t>
      </w:r>
    </w:p>
    <w:p w:rsidR="003F6C47" w:rsidRPr="001E49CF" w:rsidP="002D4D55" w14:paraId="435A6AE6" w14:textId="1670E2CF">
      <w:pPr>
        <w:tabs>
          <w:tab w:val="num" w:pos="360"/>
        </w:tabs>
        <w:rPr>
          <w:rFonts w:ascii="Times New Roman" w:hAnsi="Times New Roman"/>
          <w:sz w:val="24"/>
          <w:szCs w:val="24"/>
        </w:rPr>
      </w:pPr>
    </w:p>
    <w:p w:rsidR="00CA3359" w:rsidP="00CA3359" w14:paraId="011AFC59" w14:textId="3DDE6479">
      <w:pPr>
        <w:pStyle w:val="ListParagraph"/>
        <w:numPr>
          <w:ilvl w:val="0"/>
          <w:numId w:val="6"/>
        </w:numPr>
        <w:rPr>
          <w:rFonts w:ascii="Times New Roman" w:hAnsi="Times New Roman"/>
          <w:sz w:val="24"/>
          <w:szCs w:val="24"/>
        </w:rPr>
      </w:pPr>
      <w:r w:rsidRPr="00B972D5">
        <w:rPr>
          <w:rFonts w:ascii="Times New Roman" w:hAnsi="Times New Roman"/>
          <w:sz w:val="24"/>
          <w:szCs w:val="24"/>
        </w:rPr>
        <w:t xml:space="preserve">The “Type of Trafficking” indicator is required to establish eligibility for the program and the information obtained enables OTIP to fulfill a provision in the TVPA of 2000, as amended, that requires the Attorney General to submit annually “a report on Federal agencies that are implementing any provision of this chapter” (22 USC 7103(d)) and to prepare a required annual report to Congress on U.S. Government activities to combat trafficking that is prepared by the U.S. Department of Justice.  Congress requires HHS and other appropriate Federal agencies to report, at a minimum, information on the number of persons who received benefits or other services under 22 USC 7105(b)(f), in connection with programs or activities funded or administered by HHS.” </w:t>
      </w:r>
    </w:p>
    <w:p w:rsidR="00CA3359" w:rsidP="00CA3359" w14:paraId="1CAF14D8" w14:textId="4507CAB0">
      <w:pPr>
        <w:pStyle w:val="ListParagraph"/>
        <w:numPr>
          <w:ilvl w:val="0"/>
          <w:numId w:val="6"/>
        </w:numPr>
        <w:rPr>
          <w:rFonts w:ascii="Times New Roman" w:hAnsi="Times New Roman"/>
          <w:sz w:val="24"/>
          <w:szCs w:val="24"/>
        </w:rPr>
      </w:pPr>
      <w:r w:rsidRPr="00B972D5">
        <w:rPr>
          <w:rFonts w:ascii="Times New Roman" w:hAnsi="Times New Roman"/>
          <w:sz w:val="24"/>
          <w:szCs w:val="24"/>
        </w:rPr>
        <w:t>The “Exploitation Industry” and “Commercial Sex Venue” information informs both immediate service needs and considerations, and the larger evidence-</w:t>
      </w:r>
      <w:r w:rsidRPr="00B972D5">
        <w:rPr>
          <w:rFonts w:ascii="Times New Roman" w:hAnsi="Times New Roman"/>
          <w:sz w:val="24"/>
          <w:szCs w:val="24"/>
        </w:rPr>
        <w:t>base</w:t>
      </w:r>
      <w:r w:rsidRPr="00B972D5">
        <w:rPr>
          <w:rFonts w:ascii="Times New Roman" w:hAnsi="Times New Roman"/>
          <w:sz w:val="24"/>
          <w:szCs w:val="24"/>
        </w:rPr>
        <w:t xml:space="preserve"> on trafficking victimization and its impacts. I</w:t>
      </w:r>
      <w:r w:rsidRPr="00B972D5" w:rsidR="004D061E">
        <w:rPr>
          <w:rFonts w:ascii="Times New Roman" w:hAnsi="Times New Roman"/>
          <w:sz w:val="24"/>
          <w:szCs w:val="24"/>
        </w:rPr>
        <w:t xml:space="preserve">ndividuals who have experienced labor trafficking may have different service needs than individuals who have experienced sex trafficking. Even among individuals who have all experienced the same type of trafficking, service needs vary depending on the nature of the exploitation and the contexts in which it occurred, as occupational health and safety hazards vary by industry. For example, an individual who experienced trafficking in agricultural settings may have experienced different physical impacts and by extension, have different healthcare needs, than an individual who experienced trafficking </w:t>
      </w:r>
      <w:r w:rsidRPr="00B972D5" w:rsidR="004B1F5E">
        <w:rPr>
          <w:rFonts w:ascii="Times New Roman" w:hAnsi="Times New Roman"/>
          <w:sz w:val="24"/>
          <w:szCs w:val="24"/>
        </w:rPr>
        <w:t xml:space="preserve">within the fishing industry. OTIP affirms that the information requested is only that information which is necessary to monitor performance and </w:t>
      </w:r>
      <w:r w:rsidRPr="00B972D5" w:rsidR="001E49CF">
        <w:rPr>
          <w:rFonts w:ascii="Times New Roman" w:hAnsi="Times New Roman"/>
          <w:sz w:val="24"/>
          <w:szCs w:val="24"/>
        </w:rPr>
        <w:t>ensure</w:t>
      </w:r>
      <w:r w:rsidRPr="00B972D5" w:rsidR="004B1F5E">
        <w:rPr>
          <w:rFonts w:ascii="Times New Roman" w:hAnsi="Times New Roman"/>
          <w:sz w:val="24"/>
          <w:szCs w:val="24"/>
        </w:rPr>
        <w:t xml:space="preserve"> that clients receive appropriate services. </w:t>
      </w:r>
      <w:r w:rsidRPr="00B972D5" w:rsidR="00145ACB">
        <w:rPr>
          <w:rFonts w:ascii="Times New Roman" w:hAnsi="Times New Roman"/>
          <w:sz w:val="24"/>
          <w:szCs w:val="24"/>
        </w:rPr>
        <w:t xml:space="preserve">Finally, though included as a performance indicator, Exploitation Industry/Venue details are not required pieces of information. While this information may be disclosed by the client, the grant recipient should not require the client to disclose information pertaining to Exploitation Industry/Venue to receive services through the program. As per the reporting reference guide, </w:t>
      </w:r>
      <w:r w:rsidR="0066575A">
        <w:rPr>
          <w:rFonts w:ascii="Times New Roman" w:hAnsi="Times New Roman"/>
          <w:sz w:val="24"/>
          <w:szCs w:val="24"/>
        </w:rPr>
        <w:t xml:space="preserve">TVAP </w:t>
      </w:r>
      <w:r w:rsidRPr="00B972D5" w:rsidR="00145ACB">
        <w:rPr>
          <w:rFonts w:ascii="Times New Roman" w:hAnsi="Times New Roman"/>
          <w:sz w:val="24"/>
          <w:szCs w:val="24"/>
        </w:rPr>
        <w:t xml:space="preserve">grant recipients </w:t>
      </w:r>
      <w:r w:rsidRPr="00B972D5">
        <w:rPr>
          <w:rFonts w:ascii="Times New Roman" w:hAnsi="Times New Roman"/>
          <w:sz w:val="24"/>
          <w:szCs w:val="24"/>
        </w:rPr>
        <w:t>are able to</w:t>
      </w:r>
      <w:r w:rsidRPr="00B972D5" w:rsidR="00145ACB">
        <w:rPr>
          <w:rFonts w:ascii="Times New Roman" w:hAnsi="Times New Roman"/>
          <w:sz w:val="24"/>
          <w:szCs w:val="24"/>
        </w:rPr>
        <w:t xml:space="preserve"> mark unknown when the information is not provided or known.</w:t>
      </w:r>
      <w:r w:rsidRPr="00B972D5">
        <w:rPr>
          <w:rFonts w:ascii="Times New Roman" w:hAnsi="Times New Roman"/>
          <w:sz w:val="24"/>
          <w:szCs w:val="24"/>
        </w:rPr>
        <w:t xml:space="preserve"> </w:t>
      </w:r>
    </w:p>
    <w:p w:rsidR="004B1F5E" w:rsidRPr="00B972D5" w:rsidP="00B972D5" w14:paraId="60D6EB16" w14:textId="034F8507">
      <w:pPr>
        <w:pStyle w:val="ListParagraph"/>
        <w:numPr>
          <w:ilvl w:val="0"/>
          <w:numId w:val="6"/>
        </w:numPr>
        <w:rPr>
          <w:rFonts w:ascii="Times New Roman" w:hAnsi="Times New Roman"/>
          <w:sz w:val="24"/>
          <w:szCs w:val="24"/>
        </w:rPr>
      </w:pPr>
      <w:r w:rsidRPr="00B972D5">
        <w:rPr>
          <w:rFonts w:ascii="Times New Roman" w:hAnsi="Times New Roman"/>
          <w:sz w:val="24"/>
          <w:szCs w:val="24"/>
        </w:rPr>
        <w:t xml:space="preserve">The “Location of Trafficking” information is necessary to ensure the client </w:t>
      </w:r>
      <w:r w:rsidRPr="00B972D5">
        <w:rPr>
          <w:rFonts w:ascii="Times New Roman" w:hAnsi="Times New Roman"/>
          <w:sz w:val="24"/>
          <w:szCs w:val="24"/>
        </w:rPr>
        <w:t>is connected with</w:t>
      </w:r>
      <w:r w:rsidRPr="00B972D5">
        <w:rPr>
          <w:rFonts w:ascii="Times New Roman" w:hAnsi="Times New Roman"/>
          <w:sz w:val="24"/>
          <w:szCs w:val="24"/>
        </w:rPr>
        <w:t xml:space="preserve"> service providers who are geographically proximate and best able to respond to the client’s needs and overall safety concerns. </w:t>
      </w:r>
    </w:p>
    <w:p w:rsidR="004B1F5E" w:rsidRPr="001E49CF" w:rsidP="002D4D55" w14:paraId="0E15544D" w14:textId="634FBE00">
      <w:pPr>
        <w:tabs>
          <w:tab w:val="num" w:pos="360"/>
        </w:tabs>
        <w:rPr>
          <w:rFonts w:ascii="Times New Roman" w:hAnsi="Times New Roman"/>
          <w:sz w:val="24"/>
          <w:szCs w:val="24"/>
        </w:rPr>
      </w:pPr>
    </w:p>
    <w:p w:rsidR="00FE20B2" w:rsidRPr="001E49CF" w:rsidP="002D4D55" w14:paraId="74E6CC35" w14:textId="15966663">
      <w:pPr>
        <w:tabs>
          <w:tab w:val="num" w:pos="360"/>
        </w:tabs>
        <w:rPr>
          <w:rFonts w:ascii="Times New Roman" w:hAnsi="Times New Roman"/>
          <w:sz w:val="24"/>
          <w:szCs w:val="24"/>
        </w:rPr>
      </w:pPr>
      <w:r w:rsidRPr="001E49CF">
        <w:rPr>
          <w:rFonts w:ascii="Times New Roman" w:hAnsi="Times New Roman"/>
          <w:sz w:val="24"/>
          <w:szCs w:val="24"/>
        </w:rPr>
        <w:t>The commenter also provided “</w:t>
      </w:r>
      <w:r w:rsidRPr="001E49CF">
        <w:rPr>
          <w:rFonts w:ascii="Times New Roman" w:hAnsi="Times New Roman"/>
          <w:sz w:val="24"/>
          <w:szCs w:val="24"/>
        </w:rPr>
        <w:t>concern[</w:t>
      </w:r>
      <w:r w:rsidRPr="001E49CF">
        <w:rPr>
          <w:rFonts w:ascii="Times New Roman" w:hAnsi="Times New Roman"/>
          <w:sz w:val="24"/>
          <w:szCs w:val="24"/>
        </w:rPr>
        <w:t>s related to] the lack of an estimate of total reporting burden hours for grant recipients in the revised performance indicators.” OTIP assumes this was an oversight on the commenter’s part, as this information was provided</w:t>
      </w:r>
      <w:r w:rsidRPr="001E49CF" w:rsidR="00B70618">
        <w:rPr>
          <w:rFonts w:ascii="Times New Roman" w:hAnsi="Times New Roman"/>
          <w:sz w:val="24"/>
          <w:szCs w:val="24"/>
        </w:rPr>
        <w:t xml:space="preserve"> upon request</w:t>
      </w:r>
      <w:r w:rsidRPr="001E49CF">
        <w:rPr>
          <w:rFonts w:ascii="Times New Roman" w:hAnsi="Times New Roman"/>
          <w:sz w:val="24"/>
          <w:szCs w:val="24"/>
        </w:rPr>
        <w:t>.</w:t>
      </w:r>
      <w:r w:rsidRPr="001E49CF" w:rsidR="00145ACB">
        <w:rPr>
          <w:rFonts w:ascii="Times New Roman" w:hAnsi="Times New Roman"/>
          <w:sz w:val="24"/>
          <w:szCs w:val="24"/>
        </w:rPr>
        <w:t xml:space="preserve"> Burden estimates were informed and calculated through consultation with existing grant recipients, through </w:t>
      </w:r>
      <w:r w:rsidRPr="007E693F" w:rsidR="00B2131F">
        <w:rPr>
          <w:rFonts w:ascii="Times New Roman" w:hAnsi="Times New Roman"/>
          <w:snapToGrid/>
          <w:sz w:val="24"/>
          <w:szCs w:val="24"/>
        </w:rPr>
        <w:t>Anti-Trafficking Information Management System (</w:t>
      </w:r>
      <w:r w:rsidRPr="001E49CF" w:rsidR="00145ACB">
        <w:rPr>
          <w:rFonts w:ascii="Times New Roman" w:hAnsi="Times New Roman"/>
          <w:sz w:val="24"/>
          <w:szCs w:val="24"/>
        </w:rPr>
        <w:t>ATIMS</w:t>
      </w:r>
      <w:r w:rsidR="00B2131F">
        <w:rPr>
          <w:rFonts w:ascii="Times New Roman" w:hAnsi="Times New Roman"/>
          <w:sz w:val="24"/>
          <w:szCs w:val="24"/>
        </w:rPr>
        <w:t>)</w:t>
      </w:r>
      <w:r w:rsidRPr="001E49CF" w:rsidR="00145ACB">
        <w:rPr>
          <w:rFonts w:ascii="Times New Roman" w:hAnsi="Times New Roman"/>
          <w:sz w:val="24"/>
          <w:szCs w:val="24"/>
        </w:rPr>
        <w:t xml:space="preserve"> system development efforts, and an environmental scan of human trafficking screening forms and protocols, to estimate the time needed for grant recipients to engage in client-centered and trauma-informed approaches as they screen victims and obtain and document pertinent grant administration information. As it specifically relates to the client-level indicators, different screening forms and protocols may be leveraged by grant recipients depending on the target population to be screened, the environment where the screening will take place, and the professional background of the clinician or case manager conducting the screening, among other factors. Burden estimates </w:t>
      </w:r>
      <w:r w:rsidRPr="001E49CF" w:rsidR="00145ACB">
        <w:rPr>
          <w:rFonts w:ascii="Times New Roman" w:hAnsi="Times New Roman"/>
          <w:sz w:val="24"/>
          <w:szCs w:val="24"/>
        </w:rPr>
        <w:t>were calculated based on the average amount of time required to populate all fields on the various forms after several indicators were removed (see section 15</w:t>
      </w:r>
      <w:r w:rsidRPr="001E49CF" w:rsidR="00B70618">
        <w:rPr>
          <w:rFonts w:ascii="Times New Roman" w:hAnsi="Times New Roman"/>
          <w:sz w:val="24"/>
          <w:szCs w:val="24"/>
        </w:rPr>
        <w:t xml:space="preserve"> of the </w:t>
      </w:r>
      <w:r w:rsidR="00B2131F">
        <w:rPr>
          <w:rFonts w:ascii="Times New Roman" w:hAnsi="Times New Roman"/>
          <w:sz w:val="24"/>
          <w:szCs w:val="24"/>
        </w:rPr>
        <w:t>Supporting Statement A (</w:t>
      </w:r>
      <w:r w:rsidRPr="001E49CF" w:rsidR="00B70618">
        <w:rPr>
          <w:rFonts w:ascii="Times New Roman" w:hAnsi="Times New Roman"/>
          <w:sz w:val="24"/>
          <w:szCs w:val="24"/>
        </w:rPr>
        <w:t>SSA</w:t>
      </w:r>
      <w:r w:rsidR="00B2131F">
        <w:rPr>
          <w:rFonts w:ascii="Times New Roman" w:hAnsi="Times New Roman"/>
          <w:sz w:val="24"/>
          <w:szCs w:val="24"/>
        </w:rPr>
        <w:t>)</w:t>
      </w:r>
      <w:r w:rsidRPr="001E49CF" w:rsidR="00145ACB">
        <w:rPr>
          <w:rFonts w:ascii="Times New Roman" w:hAnsi="Times New Roman"/>
          <w:sz w:val="24"/>
          <w:szCs w:val="24"/>
        </w:rPr>
        <w:t>), however, clients served have the right not to disclose information and this information is not required to receive benefits and services under this grant program. These factors together mean that the estimates for grant recipients to report client-specific indicators</w:t>
      </w:r>
      <w:r w:rsidRPr="001E49CF" w:rsidR="00145ACB">
        <w:rPr>
          <w:rFonts w:ascii="Times New Roman" w:hAnsi="Times New Roman"/>
          <w:sz w:val="24"/>
          <w:szCs w:val="24"/>
        </w:rPr>
        <w:t>, in particular, may</w:t>
      </w:r>
      <w:r w:rsidRPr="001E49CF" w:rsidR="00145ACB">
        <w:rPr>
          <w:rFonts w:ascii="Times New Roman" w:hAnsi="Times New Roman"/>
          <w:sz w:val="24"/>
          <w:szCs w:val="24"/>
        </w:rPr>
        <w:t xml:space="preserve"> be slightly higher or slightly lower, depending on what information clients feel comfortable sharing upon intake.</w:t>
      </w:r>
      <w:r w:rsidRPr="001E49CF" w:rsidR="00B70618">
        <w:rPr>
          <w:rFonts w:ascii="Times New Roman" w:hAnsi="Times New Roman"/>
          <w:sz w:val="24"/>
          <w:szCs w:val="24"/>
        </w:rPr>
        <w:t xml:space="preserve"> This also means that OTIP has already accounted for the concerns articulated by the commenter.</w:t>
      </w:r>
      <w:r w:rsidRPr="001E49CF" w:rsidR="00145ACB">
        <w:rPr>
          <w:rFonts w:ascii="Times New Roman" w:hAnsi="Times New Roman"/>
          <w:sz w:val="24"/>
          <w:szCs w:val="24"/>
        </w:rPr>
        <w:t xml:space="preserve"> Burden estimates for the other grant administration indicators were reduced according to the time taken to gather and enter information within the new ATIMS environment based on consultation and user testing with existing grant recipients (see section 3</w:t>
      </w:r>
      <w:r w:rsidRPr="001E49CF" w:rsidR="00B70618">
        <w:rPr>
          <w:rFonts w:ascii="Times New Roman" w:hAnsi="Times New Roman"/>
          <w:sz w:val="24"/>
          <w:szCs w:val="24"/>
        </w:rPr>
        <w:t xml:space="preserve"> of the SSA</w:t>
      </w:r>
      <w:r w:rsidRPr="001E49CF" w:rsidR="00145ACB">
        <w:rPr>
          <w:rFonts w:ascii="Times New Roman" w:hAnsi="Times New Roman"/>
          <w:sz w:val="24"/>
          <w:szCs w:val="24"/>
        </w:rPr>
        <w:t>).</w:t>
      </w:r>
    </w:p>
    <w:p w:rsidR="00145ACB" w:rsidRPr="001E49CF" w:rsidP="002D4D55" w14:paraId="7E6CC89E" w14:textId="2E596137">
      <w:pPr>
        <w:tabs>
          <w:tab w:val="num" w:pos="360"/>
        </w:tabs>
        <w:rPr>
          <w:rFonts w:ascii="Times New Roman" w:hAnsi="Times New Roman"/>
          <w:sz w:val="24"/>
          <w:szCs w:val="24"/>
        </w:rPr>
      </w:pPr>
    </w:p>
    <w:p w:rsidR="00145ACB" w:rsidRPr="001E49CF" w:rsidP="00B972D5" w14:paraId="0CC57DD1" w14:textId="5992FF8F">
      <w:pPr>
        <w:tabs>
          <w:tab w:val="num" w:pos="360"/>
        </w:tabs>
        <w:spacing w:after="120"/>
        <w:rPr>
          <w:rFonts w:ascii="Times New Roman" w:hAnsi="Times New Roman"/>
          <w:b/>
          <w:bCs/>
          <w:i/>
          <w:iCs/>
          <w:snapToGrid/>
          <w:sz w:val="24"/>
          <w:szCs w:val="24"/>
        </w:rPr>
      </w:pPr>
      <w:r w:rsidRPr="001E49CF">
        <w:rPr>
          <w:rFonts w:ascii="Times New Roman" w:hAnsi="Times New Roman"/>
          <w:b/>
          <w:bCs/>
          <w:sz w:val="24"/>
          <w:szCs w:val="24"/>
        </w:rPr>
        <w:t>Overview of Revisions</w:t>
      </w:r>
    </w:p>
    <w:p w:rsidR="00673B38" w:rsidP="00673B38" w14:paraId="77E35450" w14:textId="4DBA8851">
      <w:pPr>
        <w:widowControl/>
        <w:tabs>
          <w:tab w:val="num" w:pos="360"/>
        </w:tabs>
        <w:rPr>
          <w:rFonts w:ascii="Times New Roman" w:eastAsia="Calibri" w:hAnsi="Times New Roman"/>
          <w:snapToGrid/>
          <w:sz w:val="24"/>
          <w:szCs w:val="24"/>
        </w:rPr>
      </w:pPr>
      <w:r w:rsidRPr="001E49CF">
        <w:rPr>
          <w:rFonts w:ascii="Times New Roman" w:eastAsia="Calibri" w:hAnsi="Times New Roman"/>
          <w:snapToGrid/>
          <w:sz w:val="24"/>
          <w:szCs w:val="24"/>
        </w:rPr>
        <w:t xml:space="preserve">OTIP engaged its existing grant recipient providing services to </w:t>
      </w:r>
      <w:r w:rsidR="0066575A">
        <w:rPr>
          <w:rFonts w:ascii="Times New Roman" w:eastAsia="Calibri" w:hAnsi="Times New Roman"/>
          <w:snapToGrid/>
          <w:sz w:val="24"/>
          <w:szCs w:val="24"/>
        </w:rPr>
        <w:t xml:space="preserve">foreign national </w:t>
      </w:r>
      <w:r w:rsidRPr="001E49CF">
        <w:rPr>
          <w:rFonts w:ascii="Times New Roman" w:eastAsia="Calibri" w:hAnsi="Times New Roman"/>
          <w:snapToGrid/>
          <w:sz w:val="24"/>
          <w:szCs w:val="24"/>
        </w:rPr>
        <w:t xml:space="preserve">victims of trafficking in persons to discuss their views on feasibility and relevance of the requested data, frequency of collection, and the reporting format to gather feedback for the purposes of ATIMS development, and to identify ways to reduce the overall reporting burden. </w:t>
      </w:r>
      <w:r w:rsidR="0066575A">
        <w:rPr>
          <w:rFonts w:ascii="Times New Roman" w:eastAsia="Calibri" w:hAnsi="Times New Roman"/>
          <w:snapToGrid/>
          <w:sz w:val="24"/>
          <w:szCs w:val="24"/>
        </w:rPr>
        <w:t>The g</w:t>
      </w:r>
      <w:r w:rsidRPr="001E49CF">
        <w:rPr>
          <w:rFonts w:ascii="Times New Roman" w:eastAsia="Calibri" w:hAnsi="Times New Roman"/>
          <w:snapToGrid/>
          <w:sz w:val="24"/>
          <w:szCs w:val="24"/>
        </w:rPr>
        <w:t>rant recipient</w:t>
      </w:r>
      <w:r w:rsidR="0066575A">
        <w:rPr>
          <w:rFonts w:ascii="Times New Roman" w:eastAsia="Calibri" w:hAnsi="Times New Roman"/>
          <w:snapToGrid/>
          <w:sz w:val="24"/>
          <w:szCs w:val="24"/>
        </w:rPr>
        <w:t xml:space="preserve"> </w:t>
      </w:r>
      <w:r w:rsidRPr="001E49CF">
        <w:rPr>
          <w:rFonts w:ascii="Times New Roman" w:eastAsia="Calibri" w:hAnsi="Times New Roman"/>
          <w:snapToGrid/>
          <w:sz w:val="24"/>
          <w:szCs w:val="24"/>
        </w:rPr>
        <w:t xml:space="preserve">highlighted the importance of requesting only that information, which is necessary for OTIP to oversee case management, ensure quality service provision, and monitor recipients’ fulfillment of objectives under their awards, given large caseloads and capacity constraints. </w:t>
      </w:r>
      <w:r w:rsidR="0066575A">
        <w:rPr>
          <w:rFonts w:ascii="Times New Roman" w:eastAsia="Calibri" w:hAnsi="Times New Roman"/>
          <w:snapToGrid/>
          <w:sz w:val="24"/>
          <w:szCs w:val="24"/>
        </w:rPr>
        <w:t>The g</w:t>
      </w:r>
      <w:r w:rsidRPr="001E49CF">
        <w:rPr>
          <w:rFonts w:ascii="Times New Roman" w:eastAsia="Calibri" w:hAnsi="Times New Roman"/>
          <w:snapToGrid/>
          <w:sz w:val="24"/>
          <w:szCs w:val="24"/>
        </w:rPr>
        <w:t xml:space="preserve">rant recipient also highlighted the level of rapport clinicians and case managers need to obtain certain pieces of information from clients (as related to their trafficking experiences, trauma histories, and varying service needs). </w:t>
      </w:r>
      <w:r w:rsidRPr="001E49CF">
        <w:rPr>
          <w:rFonts w:ascii="Times New Roman" w:eastAsia="Calibri" w:hAnsi="Times New Roman"/>
          <w:snapToGrid/>
          <w:sz w:val="24"/>
          <w:szCs w:val="24"/>
        </w:rPr>
        <w:t>To the maximum extent practicable, OTIP incorporated this feedback into the collection by removing data elements that did not directly inform OTIP’s monitoring activities, by collapsing certain data elements for simplicity, and by embedding grant recipients’ feedback pertaining to reporting system mock-ups into the user interface/experience (Ui/</w:t>
      </w:r>
      <w:r w:rsidRPr="001E49CF">
        <w:rPr>
          <w:rFonts w:ascii="Times New Roman" w:eastAsia="Calibri" w:hAnsi="Times New Roman"/>
          <w:snapToGrid/>
          <w:sz w:val="24"/>
          <w:szCs w:val="24"/>
        </w:rPr>
        <w:t>Ux</w:t>
      </w:r>
      <w:r w:rsidRPr="001E49CF">
        <w:rPr>
          <w:rFonts w:ascii="Times New Roman" w:eastAsia="Calibri" w:hAnsi="Times New Roman"/>
          <w:snapToGrid/>
          <w:sz w:val="24"/>
          <w:szCs w:val="24"/>
        </w:rPr>
        <w:t>) within the system.</w:t>
      </w:r>
    </w:p>
    <w:p w:rsidR="00653BD0" w:rsidP="002D4D55" w14:paraId="7B6775D4" w14:textId="77777777">
      <w:pPr>
        <w:widowControl/>
        <w:tabs>
          <w:tab w:val="num" w:pos="360"/>
        </w:tabs>
        <w:rPr>
          <w:rFonts w:ascii="Times New Roman" w:eastAsia="Calibri" w:hAnsi="Times New Roman"/>
          <w:snapToGrid/>
          <w:sz w:val="24"/>
          <w:szCs w:val="24"/>
        </w:rPr>
      </w:pPr>
    </w:p>
    <w:p w:rsidR="00FE20B2" w:rsidP="002D4D55" w14:paraId="1B906EF2" w14:textId="6410CBAC">
      <w:pPr>
        <w:widowControl/>
        <w:tabs>
          <w:tab w:val="num" w:pos="360"/>
        </w:tabs>
        <w:rPr>
          <w:rFonts w:ascii="Times New Roman" w:eastAsia="Calibri" w:hAnsi="Times New Roman"/>
          <w:snapToGrid/>
          <w:sz w:val="24"/>
          <w:szCs w:val="24"/>
        </w:rPr>
      </w:pPr>
      <w:r w:rsidRPr="001E49CF">
        <w:rPr>
          <w:rFonts w:ascii="Times New Roman" w:eastAsia="Calibri" w:hAnsi="Times New Roman"/>
          <w:snapToGrid/>
          <w:sz w:val="24"/>
          <w:szCs w:val="24"/>
        </w:rPr>
        <w:t xml:space="preserve">OTIP also leveraged best practices in service delivery as identified by the </w:t>
      </w:r>
      <w:hyperlink r:id="rId5" w:history="1">
        <w:r w:rsidRPr="001E49CF">
          <w:rPr>
            <w:rFonts w:ascii="Times New Roman" w:eastAsia="Calibri" w:hAnsi="Times New Roman"/>
            <w:snapToGrid/>
            <w:color w:val="0563C1"/>
            <w:sz w:val="24"/>
            <w:szCs w:val="24"/>
            <w:u w:val="single"/>
          </w:rPr>
          <w:t>National Human Trafficking Training and Technical Assistance Center (NHTTAC)</w:t>
        </w:r>
      </w:hyperlink>
      <w:r w:rsidRPr="001E49CF">
        <w:rPr>
          <w:rFonts w:ascii="Times New Roman" w:eastAsia="Calibri" w:hAnsi="Times New Roman"/>
          <w:snapToGrid/>
          <w:sz w:val="24"/>
          <w:szCs w:val="24"/>
        </w:rPr>
        <w:t xml:space="preserve"> and NHTTAC’s </w:t>
      </w:r>
      <w:hyperlink r:id="rId6" w:anchor=":~:text=NHTTAC%20is%20a%20program%20of,at%20risk%20of%20human%20trafficking" w:history="1">
        <w:r w:rsidRPr="001E49CF">
          <w:rPr>
            <w:rFonts w:ascii="Times New Roman" w:eastAsia="Calibri" w:hAnsi="Times New Roman"/>
            <w:snapToGrid/>
            <w:color w:val="0563C1"/>
            <w:sz w:val="24"/>
            <w:szCs w:val="24"/>
            <w:u w:val="single"/>
          </w:rPr>
          <w:t>Human Trafficking Leadership Academy (HTLA)</w:t>
        </w:r>
      </w:hyperlink>
      <w:r w:rsidRPr="001E49CF">
        <w:rPr>
          <w:rFonts w:ascii="Times New Roman" w:eastAsia="Calibri" w:hAnsi="Times New Roman"/>
          <w:snapToGrid/>
          <w:sz w:val="24"/>
          <w:szCs w:val="24"/>
        </w:rPr>
        <w:t>, as well as existing research examining the trafficking experiences of particular demographic groups, to update certain data elements and field values to bring those elements and values into alignment with best practice. For example, OTIP removed the ‘Screening Tools Used’ outreach indicator, recognizing that practitioners may use a series of screeners, or conduct screenings over multiple points of contact with clients, to obtain information needed to coordinate case response and service delivery, and this information was not necessary for OTIP’s monitoring purposes</w:t>
      </w:r>
      <w:r w:rsidR="00107867">
        <w:rPr>
          <w:rFonts w:ascii="Times New Roman" w:eastAsia="Calibri" w:hAnsi="Times New Roman"/>
          <w:snapToGrid/>
          <w:sz w:val="24"/>
          <w:szCs w:val="24"/>
        </w:rPr>
        <w:t>, which is directly responsive to the commenter’s concerns</w:t>
      </w:r>
      <w:r w:rsidR="00653BD0">
        <w:rPr>
          <w:rFonts w:ascii="Times New Roman" w:eastAsia="Calibri" w:hAnsi="Times New Roman"/>
          <w:snapToGrid/>
          <w:sz w:val="24"/>
          <w:szCs w:val="24"/>
        </w:rPr>
        <w:t xml:space="preserve"> (see section 15 of the SSA for additional information).</w:t>
      </w:r>
    </w:p>
    <w:p w:rsidR="00673B38" w:rsidRPr="00673B38" w:rsidP="002D4D55" w14:paraId="736276D9" w14:textId="23765C38">
      <w:pPr>
        <w:widowControl/>
        <w:tabs>
          <w:tab w:val="num" w:pos="360"/>
        </w:tabs>
        <w:rPr>
          <w:rFonts w:ascii="Times New Roman" w:eastAsia="Calibri" w:hAnsi="Times New Roman"/>
          <w:b/>
          <w:bCs/>
          <w:snapToGrid/>
          <w:sz w:val="24"/>
          <w:szCs w:val="24"/>
        </w:rPr>
      </w:pPr>
    </w:p>
    <w:p w:rsidR="00673B38" w:rsidRPr="00673B38" w:rsidP="00673B38" w14:paraId="4F6ADAD0" w14:textId="7090A083">
      <w:pPr>
        <w:widowControl/>
        <w:tabs>
          <w:tab w:val="num" w:pos="360"/>
          <w:tab w:val="num" w:pos="720"/>
        </w:tabs>
        <w:rPr>
          <w:rFonts w:ascii="Times New Roman" w:eastAsia="Calibri" w:hAnsi="Times New Roman"/>
          <w:snapToGrid/>
          <w:sz w:val="24"/>
          <w:szCs w:val="24"/>
        </w:rPr>
      </w:pPr>
      <w:r>
        <w:rPr>
          <w:rFonts w:ascii="Times New Roman" w:eastAsia="Calibri" w:hAnsi="Times New Roman"/>
          <w:snapToGrid/>
          <w:sz w:val="24"/>
          <w:szCs w:val="24"/>
        </w:rPr>
        <w:t>Per</w:t>
      </w:r>
      <w:r w:rsidRPr="00673B38">
        <w:rPr>
          <w:rFonts w:ascii="Times New Roman" w:eastAsia="Calibri" w:hAnsi="Times New Roman"/>
          <w:snapToGrid/>
          <w:sz w:val="24"/>
          <w:szCs w:val="24"/>
        </w:rPr>
        <w:t xml:space="preserve"> 45 CFR § 75.301</w:t>
      </w:r>
      <w:r>
        <w:rPr>
          <w:rFonts w:ascii="Times New Roman" w:eastAsia="Calibri" w:hAnsi="Times New Roman"/>
          <w:snapToGrid/>
          <w:sz w:val="24"/>
          <w:szCs w:val="24"/>
        </w:rPr>
        <w:t xml:space="preserve">, the </w:t>
      </w:r>
      <w:hyperlink r:id="rId7" w:history="1">
        <w:r w:rsidRPr="00673B38">
          <w:rPr>
            <w:rStyle w:val="Hyperlink"/>
            <w:rFonts w:ascii="Times New Roman" w:eastAsia="Calibri" w:hAnsi="Times New Roman"/>
            <w:snapToGrid/>
            <w:sz w:val="24"/>
            <w:szCs w:val="24"/>
          </w:rPr>
          <w:t>HHS awarding agency</w:t>
        </w:r>
      </w:hyperlink>
      <w:r w:rsidRPr="00673B38">
        <w:rPr>
          <w:rFonts w:ascii="Times New Roman" w:eastAsia="Calibri" w:hAnsi="Times New Roman"/>
          <w:snapToGrid/>
          <w:sz w:val="24"/>
          <w:szCs w:val="24"/>
        </w:rPr>
        <w:t xml:space="preserve"> must require award recipients </w:t>
      </w:r>
      <w:hyperlink r:id="rId8" w:history="1">
        <w:r w:rsidRPr="00673B38">
          <w:rPr>
            <w:rStyle w:val="Hyperlink"/>
            <w:rFonts w:ascii="Times New Roman" w:eastAsia="Calibri" w:hAnsi="Times New Roman"/>
            <w:snapToGrid/>
            <w:sz w:val="24"/>
            <w:szCs w:val="24"/>
          </w:rPr>
          <w:t>recipient</w:t>
        </w:r>
      </w:hyperlink>
      <w:r w:rsidRPr="00673B38">
        <w:rPr>
          <w:rFonts w:ascii="Times New Roman" w:eastAsia="Calibri" w:hAnsi="Times New Roman"/>
          <w:snapToGrid/>
          <w:sz w:val="24"/>
          <w:szCs w:val="24"/>
        </w:rPr>
        <w:t> </w:t>
      </w:r>
      <w:r>
        <w:rPr>
          <w:rFonts w:ascii="Times New Roman" w:eastAsia="Calibri" w:hAnsi="Times New Roman"/>
          <w:snapToGrid/>
          <w:sz w:val="24"/>
          <w:szCs w:val="24"/>
        </w:rPr>
        <w:t>to</w:t>
      </w:r>
      <w:r w:rsidRPr="00673B38">
        <w:rPr>
          <w:rFonts w:ascii="Times New Roman" w:eastAsia="Calibri" w:hAnsi="Times New Roman"/>
          <w:snapToGrid/>
          <w:sz w:val="24"/>
          <w:szCs w:val="24"/>
        </w:rPr>
        <w:t xml:space="preserve"> relate financial data to performance accomplishments of the </w:t>
      </w:r>
      <w:hyperlink r:id="rId9" w:history="1">
        <w:r w:rsidRPr="00673B38">
          <w:rPr>
            <w:rFonts w:ascii="Times New Roman" w:eastAsia="Cambria" w:hAnsi="Times New Roman"/>
            <w:sz w:val="24"/>
            <w:szCs w:val="24"/>
          </w:rPr>
          <w:t>Federal award</w:t>
        </w:r>
      </w:hyperlink>
      <w:r>
        <w:rPr>
          <w:rFonts w:ascii="Times New Roman" w:eastAsia="Calibri" w:hAnsi="Times New Roman"/>
          <w:snapToGrid/>
          <w:sz w:val="24"/>
          <w:szCs w:val="24"/>
        </w:rPr>
        <w:t xml:space="preserve"> and</w:t>
      </w:r>
      <w:r w:rsidRPr="00673B38">
        <w:rPr>
          <w:rFonts w:ascii="Times New Roman" w:eastAsia="Calibri" w:hAnsi="Times New Roman"/>
          <w:snapToGrid/>
          <w:sz w:val="24"/>
          <w:szCs w:val="24"/>
        </w:rPr>
        <w:t xml:space="preserve"> </w:t>
      </w:r>
      <w:r>
        <w:rPr>
          <w:rFonts w:ascii="Times New Roman" w:eastAsia="Calibri" w:hAnsi="Times New Roman"/>
          <w:snapToGrid/>
          <w:sz w:val="24"/>
          <w:szCs w:val="24"/>
        </w:rPr>
        <w:t xml:space="preserve">to </w:t>
      </w:r>
      <w:r w:rsidRPr="00673B38">
        <w:rPr>
          <w:rFonts w:ascii="Times New Roman" w:eastAsia="Calibri" w:hAnsi="Times New Roman"/>
          <w:snapToGrid/>
          <w:sz w:val="24"/>
          <w:szCs w:val="24"/>
        </w:rPr>
        <w:t>provide cost information to demonstrate cost effective practices</w:t>
      </w:r>
      <w:r>
        <w:rPr>
          <w:rFonts w:ascii="Times New Roman" w:eastAsia="Calibri" w:hAnsi="Times New Roman"/>
          <w:snapToGrid/>
          <w:sz w:val="24"/>
          <w:szCs w:val="24"/>
        </w:rPr>
        <w:t xml:space="preserve">. Further, the HHS awarding agency must </w:t>
      </w:r>
      <w:r w:rsidRPr="00673B38">
        <w:rPr>
          <w:rFonts w:ascii="Times New Roman" w:eastAsia="Calibri" w:hAnsi="Times New Roman"/>
          <w:snapToGrid/>
          <w:sz w:val="24"/>
          <w:szCs w:val="24"/>
        </w:rPr>
        <w:t>measure recipient performance in such a way that will help the </w:t>
      </w:r>
      <w:hyperlink r:id="rId7" w:history="1">
        <w:r w:rsidRPr="00673B38">
          <w:rPr>
            <w:rFonts w:ascii="Times New Roman" w:eastAsia="Cambria" w:hAnsi="Times New Roman"/>
            <w:sz w:val="24"/>
            <w:szCs w:val="24"/>
          </w:rPr>
          <w:t>HHS awarding agency</w:t>
        </w:r>
      </w:hyperlink>
      <w:r w:rsidRPr="00673B38">
        <w:rPr>
          <w:rFonts w:ascii="Times New Roman" w:eastAsia="Calibri" w:hAnsi="Times New Roman"/>
          <w:snapToGrid/>
          <w:sz w:val="24"/>
          <w:szCs w:val="24"/>
        </w:rPr>
        <w:t> and other non-Federal entities to improve program outcomes, share lessons learned, and spread the adoption of promising practices and facilitate identification of promising practices among </w:t>
      </w:r>
      <w:hyperlink r:id="rId8" w:history="1">
        <w:r w:rsidRPr="00673B38">
          <w:rPr>
            <w:rFonts w:ascii="Times New Roman" w:eastAsia="Cambria" w:hAnsi="Times New Roman"/>
            <w:sz w:val="24"/>
            <w:szCs w:val="24"/>
          </w:rPr>
          <w:t>recipients</w:t>
        </w:r>
      </w:hyperlink>
      <w:r w:rsidRPr="00673B38">
        <w:rPr>
          <w:rFonts w:ascii="Times New Roman" w:eastAsia="Calibri" w:hAnsi="Times New Roman"/>
          <w:snapToGrid/>
          <w:sz w:val="24"/>
          <w:szCs w:val="24"/>
        </w:rPr>
        <w:t>.</w:t>
      </w:r>
      <w:r>
        <w:rPr>
          <w:rFonts w:ascii="Times New Roman" w:eastAsia="Calibri" w:hAnsi="Times New Roman"/>
          <w:snapToGrid/>
          <w:sz w:val="24"/>
          <w:szCs w:val="24"/>
        </w:rPr>
        <w:t xml:space="preserve"> OTIP has structured this data collection to only collect that </w:t>
      </w:r>
      <w:r>
        <w:rPr>
          <w:rFonts w:ascii="Times New Roman" w:eastAsia="Calibri" w:hAnsi="Times New Roman"/>
          <w:snapToGrid/>
          <w:sz w:val="24"/>
          <w:szCs w:val="24"/>
        </w:rPr>
        <w:t>information</w:t>
      </w:r>
      <w:r>
        <w:rPr>
          <w:rFonts w:ascii="Times New Roman" w:eastAsia="Calibri" w:hAnsi="Times New Roman"/>
          <w:snapToGrid/>
          <w:sz w:val="24"/>
          <w:szCs w:val="24"/>
        </w:rPr>
        <w:t xml:space="preserve"> which </w:t>
      </w:r>
      <w:r>
        <w:rPr>
          <w:rFonts w:ascii="Times New Roman" w:eastAsia="Calibri" w:hAnsi="Times New Roman"/>
          <w:snapToGrid/>
          <w:sz w:val="24"/>
          <w:szCs w:val="24"/>
        </w:rPr>
        <w:t>is necessary to monitor rec</w:t>
      </w:r>
      <w:r>
        <w:rPr>
          <w:rFonts w:ascii="Times New Roman" w:eastAsia="Calibri" w:hAnsi="Times New Roman"/>
          <w:snapToGrid/>
          <w:sz w:val="24"/>
          <w:szCs w:val="24"/>
        </w:rPr>
        <w:t>i</w:t>
      </w:r>
      <w:r>
        <w:rPr>
          <w:rFonts w:ascii="Times New Roman" w:eastAsia="Calibri" w:hAnsi="Times New Roman"/>
          <w:snapToGrid/>
          <w:sz w:val="24"/>
          <w:szCs w:val="24"/>
        </w:rPr>
        <w:t xml:space="preserve">pients’ performance, and to inform the evidence-base upon which federal victim assistance efforts are conducted. </w:t>
      </w:r>
    </w:p>
    <w:p w:rsidR="00673B38" w:rsidP="002D4D55" w14:paraId="0EBC8DB7" w14:textId="77777777">
      <w:pPr>
        <w:widowControl/>
        <w:tabs>
          <w:tab w:val="num" w:pos="360"/>
        </w:tabs>
        <w:rPr>
          <w:rFonts w:ascii="Times New Roman" w:eastAsia="Calibri" w:hAnsi="Times New Roman"/>
          <w:snapToGrid/>
          <w:sz w:val="24"/>
          <w:szCs w:val="24"/>
        </w:rPr>
      </w:pPr>
    </w:p>
    <w:p w:rsidR="00A6400F" w:rsidP="002D4D55" w14:paraId="6C0580A0" w14:textId="3AD54144">
      <w:pPr>
        <w:widowControl/>
        <w:tabs>
          <w:tab w:val="num" w:pos="360"/>
        </w:tabs>
        <w:rPr>
          <w:rFonts w:ascii="Times New Roman" w:eastAsia="Calibri" w:hAnsi="Times New Roman"/>
          <w:snapToGrid/>
          <w:sz w:val="24"/>
          <w:szCs w:val="24"/>
        </w:rPr>
      </w:pPr>
      <w:r w:rsidRPr="001E49CF">
        <w:rPr>
          <w:rFonts w:ascii="Times New Roman" w:eastAsia="Calibri" w:hAnsi="Times New Roman"/>
          <w:snapToGrid/>
          <w:sz w:val="24"/>
          <w:szCs w:val="24"/>
        </w:rPr>
        <w:t xml:space="preserve">A response </w:t>
      </w:r>
      <w:r w:rsidRPr="001E49CF" w:rsidR="00CF7190">
        <w:rPr>
          <w:rFonts w:ascii="Times New Roman" w:eastAsia="Calibri" w:hAnsi="Times New Roman"/>
          <w:snapToGrid/>
          <w:sz w:val="24"/>
          <w:szCs w:val="24"/>
        </w:rPr>
        <w:t>to each of the</w:t>
      </w:r>
      <w:r w:rsidR="002D4D55">
        <w:rPr>
          <w:rFonts w:ascii="Times New Roman" w:eastAsia="Calibri" w:hAnsi="Times New Roman"/>
          <w:snapToGrid/>
          <w:sz w:val="24"/>
          <w:szCs w:val="24"/>
        </w:rPr>
        <w:t xml:space="preserve"> specific</w:t>
      </w:r>
      <w:r w:rsidRPr="001E49CF" w:rsidR="00CF7190">
        <w:rPr>
          <w:rFonts w:ascii="Times New Roman" w:eastAsia="Calibri" w:hAnsi="Times New Roman"/>
          <w:snapToGrid/>
          <w:sz w:val="24"/>
          <w:szCs w:val="24"/>
        </w:rPr>
        <w:t xml:space="preserve"> updates proposed</w:t>
      </w:r>
      <w:r w:rsidR="00653BD0">
        <w:rPr>
          <w:rFonts w:ascii="Times New Roman" w:eastAsia="Calibri" w:hAnsi="Times New Roman"/>
          <w:snapToGrid/>
          <w:sz w:val="24"/>
          <w:szCs w:val="24"/>
        </w:rPr>
        <w:t xml:space="preserve"> </w:t>
      </w:r>
      <w:r w:rsidR="002D4D55">
        <w:rPr>
          <w:rFonts w:ascii="Times New Roman" w:eastAsia="Calibri" w:hAnsi="Times New Roman"/>
          <w:snapToGrid/>
          <w:sz w:val="24"/>
          <w:szCs w:val="24"/>
        </w:rPr>
        <w:t>by the commenter, form-by-form, f</w:t>
      </w:r>
      <w:r w:rsidRPr="001E49CF" w:rsidR="00CF7190">
        <w:rPr>
          <w:rFonts w:ascii="Times New Roman" w:eastAsia="Calibri" w:hAnsi="Times New Roman"/>
          <w:snapToGrid/>
          <w:sz w:val="24"/>
          <w:szCs w:val="24"/>
        </w:rPr>
        <w:t>ollows:</w:t>
      </w:r>
    </w:p>
    <w:p w:rsidR="00241CBE" w:rsidP="00241CBE" w14:paraId="34813650" w14:textId="5C0D604B">
      <w:pPr>
        <w:widowControl/>
        <w:tabs>
          <w:tab w:val="num" w:pos="360"/>
        </w:tabs>
        <w:ind w:left="-360"/>
        <w:rPr>
          <w:rFonts w:ascii="Times New Roman" w:eastAsia="Calibri" w:hAnsi="Times New Roman"/>
          <w:snapToGrid/>
          <w:sz w:val="24"/>
          <w:szCs w:val="24"/>
        </w:rPr>
      </w:pPr>
    </w:p>
    <w:tbl>
      <w:tblPr>
        <w:tblStyle w:val="TableGrid"/>
        <w:tblW w:w="9985" w:type="dxa"/>
        <w:tblInd w:w="-360" w:type="dxa"/>
        <w:tblLook w:val="04A0"/>
      </w:tblPr>
      <w:tblGrid>
        <w:gridCol w:w="1615"/>
        <w:gridCol w:w="3600"/>
        <w:gridCol w:w="4770"/>
      </w:tblGrid>
      <w:tr w14:paraId="5A4CC12A" w14:textId="77777777" w:rsidTr="00B972D5">
        <w:tblPrEx>
          <w:tblW w:w="9985" w:type="dxa"/>
          <w:tblInd w:w="-360" w:type="dxa"/>
          <w:tblLook w:val="04A0"/>
        </w:tblPrEx>
        <w:tc>
          <w:tcPr>
            <w:tcW w:w="9985" w:type="dxa"/>
            <w:gridSpan w:val="3"/>
          </w:tcPr>
          <w:p w:rsidR="00241CBE" w:rsidRPr="00241CBE" w:rsidP="00241CBE" w14:paraId="30AF90A4" w14:textId="09780E9D">
            <w:pPr>
              <w:spacing w:after="240"/>
              <w:rPr>
                <w:rFonts w:ascii="Times New Roman" w:hAnsi="Times New Roman"/>
                <w:b/>
                <w:bCs/>
                <w:sz w:val="22"/>
                <w:szCs w:val="22"/>
              </w:rPr>
            </w:pPr>
            <w:r w:rsidRPr="00241CBE">
              <w:rPr>
                <w:rFonts w:ascii="Times New Roman" w:hAnsi="Times New Roman"/>
                <w:b/>
                <w:bCs/>
                <w:sz w:val="22"/>
                <w:szCs w:val="22"/>
              </w:rPr>
              <w:t>Victim Assistance – Client Characteristics and Program Entry</w:t>
            </w:r>
          </w:p>
        </w:tc>
      </w:tr>
      <w:tr w14:paraId="71C9E28D" w14:textId="77777777" w:rsidTr="00B972D5">
        <w:tblPrEx>
          <w:tblW w:w="9985" w:type="dxa"/>
          <w:tblInd w:w="-360" w:type="dxa"/>
          <w:tblLook w:val="04A0"/>
        </w:tblPrEx>
        <w:tc>
          <w:tcPr>
            <w:tcW w:w="1615" w:type="dxa"/>
          </w:tcPr>
          <w:p w:rsidR="00CF7190" w:rsidRPr="00241CBE" w:rsidP="00241CBE" w14:paraId="3F2E4878" w14:textId="23B3D0CF">
            <w:pPr>
              <w:rPr>
                <w:rFonts w:ascii="Times New Roman" w:hAnsi="Times New Roman"/>
                <w:b/>
                <w:sz w:val="22"/>
                <w:szCs w:val="22"/>
              </w:rPr>
            </w:pPr>
            <w:r w:rsidRPr="00241CBE">
              <w:rPr>
                <w:rFonts w:ascii="Times New Roman" w:hAnsi="Times New Roman"/>
                <w:b/>
                <w:sz w:val="22"/>
                <w:szCs w:val="22"/>
              </w:rPr>
              <w:t>Data Element</w:t>
            </w:r>
          </w:p>
        </w:tc>
        <w:tc>
          <w:tcPr>
            <w:tcW w:w="3600" w:type="dxa"/>
          </w:tcPr>
          <w:p w:rsidR="00CF7190" w:rsidRPr="00241CBE" w:rsidP="00241CBE" w14:paraId="6D9F0406" w14:textId="425026A2">
            <w:pPr>
              <w:rPr>
                <w:rFonts w:ascii="Times New Roman" w:hAnsi="Times New Roman"/>
                <w:b/>
                <w:sz w:val="22"/>
                <w:szCs w:val="22"/>
              </w:rPr>
            </w:pPr>
            <w:r w:rsidRPr="00241CBE">
              <w:rPr>
                <w:rFonts w:ascii="Times New Roman" w:hAnsi="Times New Roman"/>
                <w:b/>
                <w:sz w:val="22"/>
                <w:szCs w:val="22"/>
              </w:rPr>
              <w:t>Public Comment/Update Proposed</w:t>
            </w:r>
          </w:p>
        </w:tc>
        <w:tc>
          <w:tcPr>
            <w:tcW w:w="4770" w:type="dxa"/>
          </w:tcPr>
          <w:p w:rsidR="00CF7190" w:rsidRPr="00241CBE" w:rsidP="00241CBE" w14:paraId="086A519E" w14:textId="21FAE836">
            <w:pPr>
              <w:rPr>
                <w:rFonts w:ascii="Times New Roman" w:hAnsi="Times New Roman"/>
                <w:b/>
                <w:sz w:val="22"/>
                <w:szCs w:val="22"/>
              </w:rPr>
            </w:pPr>
            <w:r w:rsidRPr="00241CBE">
              <w:rPr>
                <w:rFonts w:ascii="Times New Roman" w:hAnsi="Times New Roman"/>
                <w:b/>
                <w:sz w:val="22"/>
                <w:szCs w:val="22"/>
              </w:rPr>
              <w:t>OTIP Response/Justification</w:t>
            </w:r>
          </w:p>
        </w:tc>
      </w:tr>
      <w:tr w14:paraId="4AC5507D" w14:textId="77777777" w:rsidTr="00B972D5">
        <w:tblPrEx>
          <w:tblW w:w="9985" w:type="dxa"/>
          <w:tblInd w:w="-360" w:type="dxa"/>
          <w:tblLook w:val="04A0"/>
        </w:tblPrEx>
        <w:tc>
          <w:tcPr>
            <w:tcW w:w="1615" w:type="dxa"/>
          </w:tcPr>
          <w:p w:rsidR="0066575A" w:rsidRPr="00241CBE" w:rsidP="00241CBE" w14:paraId="5EEE45C8" w14:textId="2FAAE2A6">
            <w:pPr>
              <w:rPr>
                <w:rFonts w:ascii="Times New Roman" w:hAnsi="Times New Roman"/>
                <w:sz w:val="22"/>
                <w:szCs w:val="22"/>
              </w:rPr>
            </w:pPr>
            <w:r>
              <w:rPr>
                <w:rFonts w:ascii="Times New Roman" w:hAnsi="Times New Roman"/>
                <w:sz w:val="22"/>
                <w:szCs w:val="22"/>
              </w:rPr>
              <w:t>Location of Services</w:t>
            </w:r>
          </w:p>
        </w:tc>
        <w:tc>
          <w:tcPr>
            <w:tcW w:w="3600" w:type="dxa"/>
          </w:tcPr>
          <w:p w:rsidR="0066575A" w:rsidRPr="00241CBE" w:rsidP="00241CBE" w14:paraId="75F7E24B" w14:textId="55D48A04">
            <w:pPr>
              <w:rPr>
                <w:rFonts w:ascii="Times New Roman" w:hAnsi="Times New Roman"/>
                <w:sz w:val="22"/>
                <w:szCs w:val="22"/>
              </w:rPr>
            </w:pPr>
            <w:r w:rsidRPr="0066575A">
              <w:rPr>
                <w:rFonts w:ascii="Times New Roman" w:hAnsi="Times New Roman"/>
                <w:sz w:val="22"/>
                <w:szCs w:val="22"/>
              </w:rPr>
              <w:t>The services are being received at the provider’s location, which is information gathered from the provider.</w:t>
            </w:r>
            <w:r>
              <w:t xml:space="preserve"> </w:t>
            </w:r>
            <w:r w:rsidRPr="0066575A">
              <w:rPr>
                <w:rFonts w:ascii="Times New Roman" w:hAnsi="Times New Roman"/>
                <w:sz w:val="22"/>
                <w:szCs w:val="22"/>
              </w:rPr>
              <w:t>Therefore, this question should be deleted.</w:t>
            </w:r>
          </w:p>
        </w:tc>
        <w:tc>
          <w:tcPr>
            <w:tcW w:w="4770" w:type="dxa"/>
          </w:tcPr>
          <w:p w:rsidR="0066575A" w:rsidRPr="00241CBE" w:rsidP="00241CBE" w14:paraId="41B152E1" w14:textId="1BE1AD62">
            <w:pPr>
              <w:rPr>
                <w:rFonts w:ascii="Times New Roman" w:hAnsi="Times New Roman"/>
                <w:iCs/>
                <w:sz w:val="22"/>
                <w:szCs w:val="22"/>
              </w:rPr>
            </w:pPr>
            <w:r>
              <w:rPr>
                <w:rFonts w:ascii="Times New Roman" w:hAnsi="Times New Roman"/>
                <w:iCs/>
                <w:sz w:val="22"/>
                <w:szCs w:val="22"/>
              </w:rPr>
              <w:t xml:space="preserve">The TVAP program relies on a network of subrecipients to provide services within all 50 states and certain U.S. territories. Clients may receive services in-person or remotely, by more than one provider. Further, clients may move or relocate over the course of service provision. This data element </w:t>
            </w:r>
            <w:r w:rsidRPr="00241CBE">
              <w:rPr>
                <w:rFonts w:ascii="Times New Roman" w:hAnsi="Times New Roman"/>
                <w:iCs/>
                <w:sz w:val="22"/>
                <w:szCs w:val="22"/>
              </w:rPr>
              <w:t xml:space="preserve">informs insights related to service coverage area gaps (or duplication of federal resources) and the continuum of care available to clients in certain geographic locations. Because this information is necessary for performance monitoring, </w:t>
            </w:r>
            <w:r w:rsidRPr="00B972D5">
              <w:rPr>
                <w:rFonts w:ascii="Times New Roman" w:hAnsi="Times New Roman"/>
                <w:b/>
                <w:bCs/>
                <w:iCs/>
                <w:sz w:val="22"/>
                <w:szCs w:val="22"/>
              </w:rPr>
              <w:t>OTIP suggests retaining this data element.</w:t>
            </w:r>
          </w:p>
        </w:tc>
      </w:tr>
      <w:tr w14:paraId="39A39508" w14:textId="77777777" w:rsidTr="00B972D5">
        <w:tblPrEx>
          <w:tblW w:w="9985" w:type="dxa"/>
          <w:tblInd w:w="-360" w:type="dxa"/>
          <w:tblLook w:val="04A0"/>
        </w:tblPrEx>
        <w:tc>
          <w:tcPr>
            <w:tcW w:w="1615" w:type="dxa"/>
          </w:tcPr>
          <w:p w:rsidR="004D0855" w:rsidRPr="00241CBE" w:rsidP="00241CBE" w14:paraId="589A0054" w14:textId="6F26747E">
            <w:pPr>
              <w:rPr>
                <w:rFonts w:ascii="Times New Roman" w:hAnsi="Times New Roman"/>
                <w:sz w:val="22"/>
                <w:szCs w:val="22"/>
              </w:rPr>
            </w:pPr>
            <w:r w:rsidRPr="00241CBE">
              <w:rPr>
                <w:rFonts w:ascii="Times New Roman" w:hAnsi="Times New Roman"/>
                <w:sz w:val="22"/>
                <w:szCs w:val="22"/>
              </w:rPr>
              <w:t>Exploitation Industry, Commercial Sex Venue</w:t>
            </w:r>
          </w:p>
        </w:tc>
        <w:tc>
          <w:tcPr>
            <w:tcW w:w="3600" w:type="dxa"/>
          </w:tcPr>
          <w:p w:rsidR="004D0855" w:rsidRPr="00241CBE" w:rsidP="00241CBE" w14:paraId="270B7B85" w14:textId="4247DD5C">
            <w:pPr>
              <w:rPr>
                <w:rFonts w:ascii="Times New Roman" w:hAnsi="Times New Roman"/>
                <w:iCs/>
                <w:sz w:val="22"/>
                <w:szCs w:val="22"/>
              </w:rPr>
            </w:pPr>
            <w:r w:rsidRPr="00241CBE">
              <w:rPr>
                <w:rFonts w:ascii="Times New Roman" w:hAnsi="Times New Roman"/>
                <w:iCs/>
                <w:sz w:val="22"/>
                <w:szCs w:val="22"/>
              </w:rPr>
              <w:t>This information is unrelated to the determination of whether the individual meets the eligibility criteria listed above. Additionally, details about the survivor’s description of the trafficking experience should be discussed only with an attorney or law enforcement to ensure that information is protected in case of a law enforcement investigation. Records also need to reflect the distinction between information that is “not reported” and when a client chooses not to share unnecessary details about their trafficking experience and trauma. Therefore, these questions should be deleted or clearly marked as Optional, and the option Client Chooses Not to Answer should be added to each list.</w:t>
            </w:r>
          </w:p>
        </w:tc>
        <w:tc>
          <w:tcPr>
            <w:tcW w:w="4770" w:type="dxa"/>
          </w:tcPr>
          <w:p w:rsidR="004D0855" w:rsidRPr="00241CBE" w:rsidP="00B972D5" w14:paraId="5BC44AB4" w14:textId="321575CF">
            <w:pPr>
              <w:tabs>
                <w:tab w:val="num" w:pos="360"/>
              </w:tabs>
              <w:rPr>
                <w:rFonts w:ascii="Times New Roman" w:hAnsi="Times New Roman"/>
                <w:sz w:val="22"/>
                <w:szCs w:val="22"/>
              </w:rPr>
            </w:pPr>
            <w:r w:rsidRPr="00241CBE">
              <w:rPr>
                <w:rFonts w:ascii="Times New Roman" w:hAnsi="Times New Roman"/>
                <w:iCs/>
                <w:sz w:val="22"/>
                <w:szCs w:val="22"/>
              </w:rPr>
              <w:t xml:space="preserve">See explanation above. The proposed information collection does not require individuals with lived experienced to provide detailed histories of their exploitation. Rather, the information requested pertaining specifically to clients’ trafficking experience is required for OTIP to be responsive to its statutory reporting requirements, and to inform the evidence-base for providers. As per the reporting reference guide, </w:t>
            </w:r>
            <w:r w:rsidRPr="00241CBE" w:rsidR="00C43282">
              <w:rPr>
                <w:rFonts w:ascii="Times New Roman" w:hAnsi="Times New Roman"/>
                <w:sz w:val="22"/>
                <w:szCs w:val="22"/>
              </w:rPr>
              <w:t>these data elements are optional, and</w:t>
            </w:r>
            <w:r w:rsidRPr="00241CBE">
              <w:rPr>
                <w:rFonts w:ascii="Times New Roman" w:hAnsi="Times New Roman"/>
                <w:sz w:val="22"/>
                <w:szCs w:val="22"/>
              </w:rPr>
              <w:t xml:space="preserve"> the grant recipient should not require the client to disclose information pertaining to Exploitation Industry/Venue to receive services through the program. As per the reporting reference guide, the grant recipients </w:t>
            </w:r>
            <w:r w:rsidRPr="00241CBE">
              <w:rPr>
                <w:rFonts w:ascii="Times New Roman" w:hAnsi="Times New Roman"/>
                <w:sz w:val="22"/>
                <w:szCs w:val="22"/>
              </w:rPr>
              <w:t>are able to</w:t>
            </w:r>
            <w:r w:rsidRPr="00241CBE">
              <w:rPr>
                <w:rFonts w:ascii="Times New Roman" w:hAnsi="Times New Roman"/>
                <w:sz w:val="22"/>
                <w:szCs w:val="22"/>
              </w:rPr>
              <w:t xml:space="preserve"> mark unknown when the information is not provided or known.</w:t>
            </w:r>
          </w:p>
          <w:p w:rsidR="00C43282" w:rsidRPr="00241CBE" w:rsidP="00241CBE" w14:paraId="12656A2A" w14:textId="77777777">
            <w:pPr>
              <w:tabs>
                <w:tab w:val="num" w:pos="360"/>
              </w:tabs>
              <w:ind w:left="360"/>
              <w:rPr>
                <w:rFonts w:ascii="Times New Roman" w:hAnsi="Times New Roman"/>
                <w:iCs/>
                <w:sz w:val="22"/>
                <w:szCs w:val="22"/>
              </w:rPr>
            </w:pPr>
          </w:p>
          <w:p w:rsidR="00C43282" w:rsidRPr="00241CBE" w:rsidP="00B972D5" w14:paraId="7E8E7175" w14:textId="47F969C3">
            <w:pPr>
              <w:tabs>
                <w:tab w:val="num" w:pos="360"/>
              </w:tabs>
              <w:rPr>
                <w:rFonts w:ascii="Times New Roman" w:hAnsi="Times New Roman"/>
                <w:iCs/>
                <w:sz w:val="22"/>
                <w:szCs w:val="22"/>
              </w:rPr>
            </w:pPr>
            <w:r w:rsidRPr="00241CBE">
              <w:rPr>
                <w:rFonts w:ascii="Times New Roman" w:hAnsi="Times New Roman"/>
                <w:iCs/>
                <w:sz w:val="22"/>
                <w:szCs w:val="22"/>
              </w:rPr>
              <w:t xml:space="preserve">Regarding disclosure policies and privacy concerns, </w:t>
            </w:r>
            <w:r w:rsidR="00831601">
              <w:rPr>
                <w:rFonts w:ascii="Times New Roman" w:hAnsi="Times New Roman"/>
                <w:snapToGrid/>
                <w:sz w:val="22"/>
                <w:szCs w:val="22"/>
              </w:rPr>
              <w:t xml:space="preserve">TVAP </w:t>
            </w:r>
            <w:r w:rsidRPr="00241CBE">
              <w:rPr>
                <w:rFonts w:ascii="Times New Roman" w:hAnsi="Times New Roman"/>
                <w:snapToGrid/>
                <w:sz w:val="22"/>
                <w:szCs w:val="22"/>
              </w:rPr>
              <w:t xml:space="preserve">prime recipients, </w:t>
            </w:r>
            <w:r w:rsidRPr="00831601" w:rsidR="00831601">
              <w:rPr>
                <w:rFonts w:ascii="Times New Roman" w:hAnsi="Times New Roman"/>
                <w:snapToGrid/>
                <w:sz w:val="22"/>
                <w:szCs w:val="22"/>
              </w:rPr>
              <w:t xml:space="preserve">full-time Case Managers (staffed by the prime), Regional Coordinators (staffed by the prime) and, if applicable, its </w:t>
            </w:r>
            <w:r w:rsidR="00831601">
              <w:rPr>
                <w:rFonts w:ascii="Times New Roman" w:hAnsi="Times New Roman"/>
                <w:snapToGrid/>
                <w:sz w:val="22"/>
                <w:szCs w:val="22"/>
              </w:rPr>
              <w:t xml:space="preserve">additional </w:t>
            </w:r>
            <w:r w:rsidRPr="00831601" w:rsidR="00831601">
              <w:rPr>
                <w:rFonts w:ascii="Times New Roman" w:hAnsi="Times New Roman"/>
                <w:snapToGrid/>
                <w:sz w:val="22"/>
                <w:szCs w:val="22"/>
              </w:rPr>
              <w:t xml:space="preserve">subrecipient(s) (i.e., per capita service providers) to inform clients of the limits to confidentiality prior to disclosures (e.g., mandated reporting requirements, etc.). </w:t>
            </w:r>
            <w:r w:rsidR="00831601">
              <w:rPr>
                <w:rFonts w:ascii="Times New Roman" w:hAnsi="Times New Roman"/>
                <w:snapToGrid/>
                <w:sz w:val="22"/>
                <w:szCs w:val="22"/>
              </w:rPr>
              <w:t>TVAP</w:t>
            </w:r>
            <w:r w:rsidRPr="00241CBE">
              <w:rPr>
                <w:rFonts w:ascii="Times New Roman" w:hAnsi="Times New Roman"/>
                <w:snapToGrid/>
                <w:sz w:val="22"/>
                <w:szCs w:val="22"/>
              </w:rPr>
              <w:t xml:space="preserve"> prime recipients must ensure compliance with 45 CFR § 75.303(e) to take reasonable measures to safeguard a client’s protected personally identifiable information. The protocol must also </w:t>
            </w:r>
            <w:r w:rsidRPr="00241CBE">
              <w:rPr>
                <w:rFonts w:ascii="Times New Roman" w:hAnsi="Times New Roman"/>
                <w:snapToGrid/>
                <w:sz w:val="22"/>
                <w:szCs w:val="22"/>
              </w:rPr>
              <w:t xml:space="preserve">include a plan for how protected personally identifiable information and other information that is considered sensitive, consistent with applicable federal, state, local and tribal laws regarding privacy and obligations of confidentiality, will be collected and safeguarded (see section 10 of the SSA). Because this information is necessary for OTIP to fulfill its statutory reporting requirements and for performance monitoring, </w:t>
            </w:r>
            <w:r w:rsidRPr="00B972D5">
              <w:rPr>
                <w:rFonts w:ascii="Times New Roman" w:hAnsi="Times New Roman"/>
                <w:b/>
                <w:bCs/>
                <w:snapToGrid/>
                <w:sz w:val="22"/>
                <w:szCs w:val="22"/>
              </w:rPr>
              <w:t>OTIP suggests retaining this data element.</w:t>
            </w:r>
            <w:r w:rsidRPr="00241CBE">
              <w:rPr>
                <w:rFonts w:ascii="Times New Roman" w:hAnsi="Times New Roman"/>
                <w:snapToGrid/>
                <w:sz w:val="22"/>
                <w:szCs w:val="22"/>
              </w:rPr>
              <w:t xml:space="preserve"> Within the ATIMS reporting database, clear visual cues and system logic will indicate what data elements are required as opposed to optional.</w:t>
            </w:r>
          </w:p>
        </w:tc>
      </w:tr>
    </w:tbl>
    <w:p w:rsidR="00C43282" w:rsidRPr="00241CBE" w:rsidP="00241CBE" w14:paraId="3902ABD6" w14:textId="4C301395">
      <w:pPr>
        <w:widowControl/>
        <w:tabs>
          <w:tab w:val="num" w:pos="360"/>
        </w:tabs>
        <w:ind w:left="-360"/>
        <w:rPr>
          <w:rFonts w:ascii="Times New Roman" w:eastAsia="Calibri" w:hAnsi="Times New Roman"/>
          <w:snapToGrid/>
          <w:sz w:val="22"/>
          <w:szCs w:val="22"/>
        </w:rPr>
      </w:pPr>
    </w:p>
    <w:tbl>
      <w:tblPr>
        <w:tblStyle w:val="TableGrid"/>
        <w:tblW w:w="9985" w:type="dxa"/>
        <w:tblInd w:w="-360" w:type="dxa"/>
        <w:tblLook w:val="04A0"/>
      </w:tblPr>
      <w:tblGrid>
        <w:gridCol w:w="1615"/>
        <w:gridCol w:w="3600"/>
        <w:gridCol w:w="4770"/>
      </w:tblGrid>
      <w:tr w14:paraId="39456A26" w14:textId="77777777" w:rsidTr="00B972D5">
        <w:tblPrEx>
          <w:tblW w:w="9985" w:type="dxa"/>
          <w:tblInd w:w="-360" w:type="dxa"/>
          <w:tblLook w:val="04A0"/>
        </w:tblPrEx>
        <w:tc>
          <w:tcPr>
            <w:tcW w:w="9985" w:type="dxa"/>
            <w:gridSpan w:val="3"/>
          </w:tcPr>
          <w:p w:rsidR="00241CBE" w:rsidRPr="00241CBE" w:rsidP="00241CBE" w14:paraId="546545B5" w14:textId="77777777">
            <w:pPr>
              <w:widowControl/>
              <w:tabs>
                <w:tab w:val="num" w:pos="360"/>
              </w:tabs>
              <w:rPr>
                <w:rFonts w:ascii="Times New Roman" w:eastAsia="Calibri" w:hAnsi="Times New Roman"/>
                <w:b/>
                <w:bCs/>
                <w:snapToGrid/>
                <w:sz w:val="22"/>
                <w:szCs w:val="22"/>
              </w:rPr>
            </w:pPr>
            <w:r w:rsidRPr="00241CBE">
              <w:rPr>
                <w:rFonts w:ascii="Times New Roman" w:eastAsia="Calibri" w:hAnsi="Times New Roman"/>
                <w:b/>
                <w:bCs/>
                <w:snapToGrid/>
                <w:sz w:val="22"/>
                <w:szCs w:val="22"/>
              </w:rPr>
              <w:t>Victim Assistance – Client Case Closure</w:t>
            </w:r>
          </w:p>
          <w:p w:rsidR="00241CBE" w:rsidRPr="00241CBE" w:rsidP="00241CBE" w14:paraId="19D5C724" w14:textId="77777777">
            <w:pPr>
              <w:rPr>
                <w:rFonts w:ascii="Times New Roman" w:hAnsi="Times New Roman"/>
                <w:b/>
                <w:sz w:val="22"/>
                <w:szCs w:val="22"/>
              </w:rPr>
            </w:pPr>
          </w:p>
        </w:tc>
      </w:tr>
      <w:tr w14:paraId="2E9882A7" w14:textId="77777777" w:rsidTr="00B972D5">
        <w:tblPrEx>
          <w:tblW w:w="9985" w:type="dxa"/>
          <w:tblInd w:w="-360" w:type="dxa"/>
          <w:tblLook w:val="04A0"/>
        </w:tblPrEx>
        <w:tc>
          <w:tcPr>
            <w:tcW w:w="1615" w:type="dxa"/>
          </w:tcPr>
          <w:p w:rsidR="00C43282" w:rsidRPr="00241CBE" w:rsidP="00241CBE" w14:paraId="3686F6A7" w14:textId="0CB4C86E">
            <w:pPr>
              <w:rPr>
                <w:rFonts w:ascii="Times New Roman" w:hAnsi="Times New Roman"/>
                <w:b/>
                <w:sz w:val="22"/>
                <w:szCs w:val="22"/>
              </w:rPr>
            </w:pPr>
            <w:r w:rsidRPr="00241CBE">
              <w:rPr>
                <w:rFonts w:ascii="Times New Roman" w:hAnsi="Times New Roman"/>
                <w:b/>
                <w:sz w:val="22"/>
                <w:szCs w:val="22"/>
              </w:rPr>
              <w:t>Data Element</w:t>
            </w:r>
          </w:p>
        </w:tc>
        <w:tc>
          <w:tcPr>
            <w:tcW w:w="3600" w:type="dxa"/>
          </w:tcPr>
          <w:p w:rsidR="00C43282" w:rsidRPr="00241CBE" w:rsidP="00241CBE" w14:paraId="72B12A33" w14:textId="71C986B0">
            <w:pPr>
              <w:rPr>
                <w:rFonts w:ascii="Times New Roman" w:hAnsi="Times New Roman"/>
                <w:b/>
                <w:sz w:val="22"/>
                <w:szCs w:val="22"/>
              </w:rPr>
            </w:pPr>
            <w:r w:rsidRPr="00241CBE">
              <w:rPr>
                <w:rFonts w:ascii="Times New Roman" w:hAnsi="Times New Roman"/>
                <w:b/>
                <w:sz w:val="22"/>
                <w:szCs w:val="22"/>
              </w:rPr>
              <w:t>Public Comment/Update Proposed</w:t>
            </w:r>
          </w:p>
        </w:tc>
        <w:tc>
          <w:tcPr>
            <w:tcW w:w="4770" w:type="dxa"/>
          </w:tcPr>
          <w:p w:rsidR="00C43282" w:rsidRPr="00241CBE" w:rsidP="00241CBE" w14:paraId="11ACD5F3" w14:textId="663BF5B1">
            <w:pPr>
              <w:rPr>
                <w:rFonts w:ascii="Times New Roman" w:hAnsi="Times New Roman"/>
                <w:b/>
                <w:sz w:val="22"/>
                <w:szCs w:val="22"/>
              </w:rPr>
            </w:pPr>
            <w:r w:rsidRPr="00241CBE">
              <w:rPr>
                <w:rFonts w:ascii="Times New Roman" w:hAnsi="Times New Roman"/>
                <w:b/>
                <w:sz w:val="22"/>
                <w:szCs w:val="22"/>
              </w:rPr>
              <w:t>OTIP Response/Justification</w:t>
            </w:r>
          </w:p>
        </w:tc>
      </w:tr>
      <w:tr w14:paraId="58420B5B" w14:textId="77777777" w:rsidTr="00B972D5">
        <w:tblPrEx>
          <w:tblW w:w="9985" w:type="dxa"/>
          <w:tblInd w:w="-360" w:type="dxa"/>
          <w:tblLook w:val="04A0"/>
        </w:tblPrEx>
        <w:tc>
          <w:tcPr>
            <w:tcW w:w="1615" w:type="dxa"/>
          </w:tcPr>
          <w:p w:rsidR="00C43282" w:rsidRPr="00241CBE" w:rsidP="00241CBE" w14:paraId="2695F568" w14:textId="77777777">
            <w:pPr>
              <w:rPr>
                <w:rFonts w:ascii="Times New Roman" w:hAnsi="Times New Roman"/>
                <w:sz w:val="22"/>
                <w:szCs w:val="22"/>
              </w:rPr>
            </w:pPr>
            <w:r w:rsidRPr="00241CBE">
              <w:rPr>
                <w:rFonts w:ascii="Times New Roman" w:hAnsi="Times New Roman"/>
                <w:sz w:val="22"/>
                <w:szCs w:val="22"/>
              </w:rPr>
              <w:t>Living Situation upon Case Closing</w:t>
            </w:r>
          </w:p>
        </w:tc>
        <w:tc>
          <w:tcPr>
            <w:tcW w:w="3600" w:type="dxa"/>
            <w:vMerge w:val="restart"/>
          </w:tcPr>
          <w:p w:rsidR="00C43282" w:rsidRPr="00241CBE" w:rsidP="00241CBE" w14:paraId="61F45366" w14:textId="2E46BE7F">
            <w:pPr>
              <w:rPr>
                <w:rFonts w:ascii="Times New Roman" w:hAnsi="Times New Roman"/>
                <w:sz w:val="22"/>
                <w:szCs w:val="22"/>
              </w:rPr>
            </w:pPr>
            <w:r w:rsidRPr="00241CBE">
              <w:rPr>
                <w:rFonts w:ascii="Times New Roman" w:hAnsi="Times New Roman"/>
                <w:sz w:val="22"/>
                <w:szCs w:val="22"/>
              </w:rPr>
              <w:t>The survivor’s living situation at the time of case closure is neither necessary nor relevant to maintaining accurate records of the program. It is also not appropriate for OTIP to know the living situation of individual survivors at any point during their service provision, and certainly inappropriate for survivors who are no longer receiving services. Therefore, we recommend removing these questions (Living Situation upon Case Closing, Did the client receive a referral for continued case management services?)</w:t>
            </w:r>
          </w:p>
        </w:tc>
        <w:tc>
          <w:tcPr>
            <w:tcW w:w="4770" w:type="dxa"/>
          </w:tcPr>
          <w:p w:rsidR="00C43282" w:rsidP="00241CBE" w14:paraId="544C44EB" w14:textId="77777777">
            <w:pPr>
              <w:rPr>
                <w:rFonts w:ascii="Times New Roman" w:hAnsi="Times New Roman"/>
                <w:sz w:val="22"/>
                <w:szCs w:val="22"/>
              </w:rPr>
            </w:pPr>
            <w:r w:rsidRPr="00241CBE">
              <w:rPr>
                <w:rFonts w:ascii="Times New Roman" w:hAnsi="Times New Roman"/>
                <w:iCs/>
                <w:sz w:val="22"/>
                <w:szCs w:val="22"/>
              </w:rPr>
              <w:t xml:space="preserve">Survivors of human trafficking routinely identify housing and shelter among their top needs.  Research suggests evictions can lead to increased unemployment; therefore, accessing and maintaining housing is critical to survivors’ economic mobility and self-sufficiency. Some survivors </w:t>
            </w:r>
            <w:r w:rsidRPr="00241CBE">
              <w:rPr>
                <w:rFonts w:ascii="Times New Roman" w:hAnsi="Times New Roman"/>
                <w:iCs/>
                <w:sz w:val="22"/>
                <w:szCs w:val="22"/>
              </w:rPr>
              <w:t>are able to</w:t>
            </w:r>
            <w:r w:rsidRPr="00241CBE">
              <w:rPr>
                <w:rFonts w:ascii="Times New Roman" w:hAnsi="Times New Roman"/>
                <w:iCs/>
                <w:sz w:val="22"/>
                <w:szCs w:val="22"/>
              </w:rPr>
              <w:t xml:space="preserve"> access and afford housing in the community on their own; others may require short-term assistance. See OTIP’s </w:t>
            </w:r>
            <w:hyperlink r:id="rId10" w:history="1">
              <w:r w:rsidRPr="00241CBE">
                <w:rPr>
                  <w:rStyle w:val="Hyperlink"/>
                  <w:rFonts w:ascii="Times New Roman" w:hAnsi="Times New Roman"/>
                  <w:iCs/>
                  <w:sz w:val="22"/>
                  <w:szCs w:val="22"/>
                </w:rPr>
                <w:t>Housing and Economic Mobility Toolkit</w:t>
              </w:r>
            </w:hyperlink>
            <w:r w:rsidRPr="00241CBE">
              <w:rPr>
                <w:rFonts w:ascii="Times New Roman" w:hAnsi="Times New Roman"/>
                <w:iCs/>
                <w:sz w:val="22"/>
                <w:szCs w:val="22"/>
              </w:rPr>
              <w:t xml:space="preserve"> for additional information. To assess the responsiveness of providers to housing </w:t>
            </w:r>
            <w:r w:rsidRPr="00241CBE">
              <w:rPr>
                <w:rFonts w:ascii="Times New Roman" w:hAnsi="Times New Roman"/>
                <w:iCs/>
                <w:sz w:val="22"/>
                <w:szCs w:val="22"/>
              </w:rPr>
              <w:t>needs, and</w:t>
            </w:r>
            <w:r w:rsidRPr="00241CBE">
              <w:rPr>
                <w:rFonts w:ascii="Times New Roman" w:hAnsi="Times New Roman"/>
                <w:iCs/>
                <w:sz w:val="22"/>
                <w:szCs w:val="22"/>
              </w:rPr>
              <w:t xml:space="preserve"> monitor client outcomes from service provision under this program, </w:t>
            </w:r>
            <w:r w:rsidRPr="00B972D5">
              <w:rPr>
                <w:rFonts w:ascii="Times New Roman" w:hAnsi="Times New Roman"/>
                <w:b/>
                <w:bCs/>
                <w:sz w:val="22"/>
                <w:szCs w:val="22"/>
              </w:rPr>
              <w:t>OTIP suggests retaining this data element.</w:t>
            </w:r>
          </w:p>
          <w:p w:rsidR="005F3285" w:rsidRPr="00241CBE" w:rsidP="00241CBE" w14:paraId="753047DE" w14:textId="4A63088F">
            <w:pPr>
              <w:rPr>
                <w:rFonts w:ascii="Times New Roman" w:hAnsi="Times New Roman"/>
                <w:sz w:val="22"/>
                <w:szCs w:val="22"/>
              </w:rPr>
            </w:pPr>
          </w:p>
        </w:tc>
      </w:tr>
      <w:tr w14:paraId="10838B7B" w14:textId="77777777" w:rsidTr="00B972D5">
        <w:tblPrEx>
          <w:tblW w:w="9985" w:type="dxa"/>
          <w:tblInd w:w="-360" w:type="dxa"/>
          <w:tblLook w:val="04A0"/>
        </w:tblPrEx>
        <w:tc>
          <w:tcPr>
            <w:tcW w:w="1615" w:type="dxa"/>
          </w:tcPr>
          <w:p w:rsidR="00C43282" w:rsidRPr="00241CBE" w:rsidP="00241CBE" w14:paraId="78BA77B3" w14:textId="77777777">
            <w:pPr>
              <w:rPr>
                <w:rFonts w:ascii="Times New Roman" w:hAnsi="Times New Roman"/>
                <w:sz w:val="22"/>
                <w:szCs w:val="22"/>
              </w:rPr>
            </w:pPr>
            <w:r w:rsidRPr="00241CBE">
              <w:rPr>
                <w:rFonts w:ascii="Times New Roman" w:hAnsi="Times New Roman"/>
                <w:sz w:val="22"/>
                <w:szCs w:val="22"/>
              </w:rPr>
              <w:t>Did the client receive a referral for continued case management services?</w:t>
            </w:r>
          </w:p>
        </w:tc>
        <w:tc>
          <w:tcPr>
            <w:tcW w:w="3600" w:type="dxa"/>
            <w:vMerge/>
          </w:tcPr>
          <w:p w:rsidR="00C43282" w:rsidRPr="00241CBE" w:rsidP="00241CBE" w14:paraId="248EFF79" w14:textId="42A9FBB4">
            <w:pPr>
              <w:rPr>
                <w:rFonts w:ascii="Times New Roman" w:hAnsi="Times New Roman"/>
                <w:sz w:val="22"/>
                <w:szCs w:val="22"/>
              </w:rPr>
            </w:pPr>
          </w:p>
        </w:tc>
        <w:tc>
          <w:tcPr>
            <w:tcW w:w="4770" w:type="dxa"/>
          </w:tcPr>
          <w:p w:rsidR="00C43282" w:rsidRPr="00241CBE" w:rsidP="00241CBE" w14:paraId="1CEB78BC" w14:textId="737D50C6">
            <w:pPr>
              <w:rPr>
                <w:rFonts w:ascii="Times New Roman" w:hAnsi="Times New Roman"/>
                <w:sz w:val="22"/>
                <w:szCs w:val="22"/>
              </w:rPr>
            </w:pPr>
            <w:r w:rsidRPr="00241CBE">
              <w:rPr>
                <w:rFonts w:ascii="Times New Roman" w:hAnsi="Times New Roman"/>
                <w:sz w:val="22"/>
                <w:szCs w:val="22"/>
              </w:rPr>
              <w:t xml:space="preserve">OTIP seeks information about whether a client received referrals for continued case management services, to monitor the grant recipient’s performance/ability to provide responsive services, and to ensure that clients </w:t>
            </w:r>
            <w:r w:rsidRPr="00241CBE">
              <w:rPr>
                <w:rFonts w:ascii="Times New Roman" w:hAnsi="Times New Roman"/>
                <w:sz w:val="22"/>
                <w:szCs w:val="22"/>
              </w:rPr>
              <w:t>are connected with</w:t>
            </w:r>
            <w:r w:rsidRPr="00241CBE">
              <w:rPr>
                <w:rFonts w:ascii="Times New Roman" w:hAnsi="Times New Roman"/>
                <w:sz w:val="22"/>
                <w:szCs w:val="22"/>
              </w:rPr>
              <w:t xml:space="preserve"> a network of providers in the event additional resources are needed after case closure from </w:t>
            </w:r>
            <w:r w:rsidR="007703A2">
              <w:rPr>
                <w:rFonts w:ascii="Times New Roman" w:hAnsi="Times New Roman"/>
                <w:sz w:val="22"/>
                <w:szCs w:val="22"/>
              </w:rPr>
              <w:t>TVAP</w:t>
            </w:r>
            <w:r w:rsidRPr="00241CBE">
              <w:rPr>
                <w:rFonts w:ascii="Times New Roman" w:hAnsi="Times New Roman"/>
                <w:sz w:val="22"/>
                <w:szCs w:val="22"/>
              </w:rPr>
              <w:t xml:space="preserve">. </w:t>
            </w:r>
            <w:r w:rsidRPr="00B972D5">
              <w:rPr>
                <w:rFonts w:ascii="Times New Roman" w:hAnsi="Times New Roman"/>
                <w:b/>
                <w:bCs/>
                <w:sz w:val="22"/>
                <w:szCs w:val="22"/>
              </w:rPr>
              <w:t xml:space="preserve">OTIP suggests </w:t>
            </w:r>
            <w:r w:rsidRPr="00B972D5" w:rsidR="00AA59D3">
              <w:rPr>
                <w:rFonts w:ascii="Times New Roman" w:hAnsi="Times New Roman"/>
                <w:b/>
                <w:bCs/>
                <w:sz w:val="22"/>
                <w:szCs w:val="22"/>
              </w:rPr>
              <w:t>retaining this data element.</w:t>
            </w:r>
          </w:p>
        </w:tc>
      </w:tr>
    </w:tbl>
    <w:p w:rsidR="004F293F" w:rsidRPr="00241CBE" w:rsidP="00241CBE" w14:paraId="57712898" w14:textId="77777777">
      <w:pPr>
        <w:widowControl/>
        <w:tabs>
          <w:tab w:val="num" w:pos="360"/>
        </w:tabs>
        <w:rPr>
          <w:rFonts w:ascii="Times New Roman" w:eastAsia="Calibri" w:hAnsi="Times New Roman"/>
          <w:snapToGrid/>
          <w:sz w:val="22"/>
          <w:szCs w:val="22"/>
        </w:rPr>
      </w:pPr>
    </w:p>
    <w:p w:rsidR="004F293F" w:rsidRPr="00241CBE" w:rsidP="00241CBE" w14:paraId="05144B7C" w14:textId="6DC769A2">
      <w:pPr>
        <w:widowControl/>
        <w:tabs>
          <w:tab w:val="num" w:pos="360"/>
        </w:tabs>
        <w:ind w:left="-360"/>
        <w:rPr>
          <w:rFonts w:ascii="Times New Roman" w:eastAsia="Calibri" w:hAnsi="Times New Roman"/>
          <w:snapToGrid/>
          <w:sz w:val="22"/>
          <w:szCs w:val="22"/>
        </w:rPr>
      </w:pPr>
    </w:p>
    <w:tbl>
      <w:tblPr>
        <w:tblStyle w:val="TableGrid"/>
        <w:tblW w:w="9985" w:type="dxa"/>
        <w:tblInd w:w="-360" w:type="dxa"/>
        <w:tblLook w:val="04A0"/>
      </w:tblPr>
      <w:tblGrid>
        <w:gridCol w:w="1615"/>
        <w:gridCol w:w="3600"/>
        <w:gridCol w:w="4770"/>
      </w:tblGrid>
      <w:tr w14:paraId="471FDA04" w14:textId="77777777" w:rsidTr="00B972D5">
        <w:tblPrEx>
          <w:tblW w:w="9985" w:type="dxa"/>
          <w:tblInd w:w="-360" w:type="dxa"/>
          <w:tblLook w:val="04A0"/>
        </w:tblPrEx>
        <w:tc>
          <w:tcPr>
            <w:tcW w:w="9985" w:type="dxa"/>
            <w:gridSpan w:val="3"/>
          </w:tcPr>
          <w:p w:rsidR="00241CBE" w:rsidRPr="00241CBE" w:rsidP="00241CBE" w14:paraId="504867B4" w14:textId="1AFBD37B">
            <w:pPr>
              <w:widowControl/>
              <w:tabs>
                <w:tab w:val="num" w:pos="360"/>
              </w:tabs>
              <w:rPr>
                <w:rFonts w:ascii="Times New Roman" w:eastAsia="Calibri" w:hAnsi="Times New Roman"/>
                <w:b/>
                <w:bCs/>
                <w:snapToGrid/>
                <w:sz w:val="22"/>
                <w:szCs w:val="22"/>
              </w:rPr>
            </w:pPr>
            <w:r w:rsidRPr="00241CBE">
              <w:rPr>
                <w:rFonts w:ascii="Times New Roman" w:eastAsia="Calibri" w:hAnsi="Times New Roman"/>
                <w:b/>
                <w:bCs/>
                <w:snapToGrid/>
                <w:sz w:val="22"/>
                <w:szCs w:val="22"/>
              </w:rPr>
              <w:t>Subrecipient Enrollment</w:t>
            </w:r>
          </w:p>
          <w:p w:rsidR="00241CBE" w:rsidRPr="00241CBE" w:rsidP="00241CBE" w14:paraId="7B1DF3D3" w14:textId="77777777">
            <w:pPr>
              <w:rPr>
                <w:rFonts w:ascii="Times New Roman" w:hAnsi="Times New Roman"/>
                <w:b/>
                <w:sz w:val="22"/>
                <w:szCs w:val="22"/>
              </w:rPr>
            </w:pPr>
          </w:p>
        </w:tc>
      </w:tr>
      <w:tr w14:paraId="7EFF3107" w14:textId="77777777" w:rsidTr="00B972D5">
        <w:tblPrEx>
          <w:tblW w:w="9985" w:type="dxa"/>
          <w:tblInd w:w="-360" w:type="dxa"/>
          <w:tblLook w:val="04A0"/>
        </w:tblPrEx>
        <w:tc>
          <w:tcPr>
            <w:tcW w:w="1615" w:type="dxa"/>
          </w:tcPr>
          <w:p w:rsidR="004F293F" w:rsidRPr="00241CBE" w:rsidP="00241CBE" w14:paraId="76A075C3" w14:textId="77777777">
            <w:pPr>
              <w:rPr>
                <w:rFonts w:ascii="Times New Roman" w:hAnsi="Times New Roman"/>
                <w:b/>
                <w:sz w:val="22"/>
                <w:szCs w:val="22"/>
              </w:rPr>
            </w:pPr>
            <w:r w:rsidRPr="00241CBE">
              <w:rPr>
                <w:rFonts w:ascii="Times New Roman" w:hAnsi="Times New Roman"/>
                <w:b/>
                <w:sz w:val="22"/>
                <w:szCs w:val="22"/>
              </w:rPr>
              <w:t>Data Element</w:t>
            </w:r>
          </w:p>
        </w:tc>
        <w:tc>
          <w:tcPr>
            <w:tcW w:w="3600" w:type="dxa"/>
          </w:tcPr>
          <w:p w:rsidR="004F293F" w:rsidRPr="00241CBE" w:rsidP="00241CBE" w14:paraId="04D2B001" w14:textId="77777777">
            <w:pPr>
              <w:rPr>
                <w:rFonts w:ascii="Times New Roman" w:hAnsi="Times New Roman"/>
                <w:b/>
                <w:sz w:val="22"/>
                <w:szCs w:val="22"/>
              </w:rPr>
            </w:pPr>
            <w:r w:rsidRPr="00241CBE">
              <w:rPr>
                <w:rFonts w:ascii="Times New Roman" w:hAnsi="Times New Roman"/>
                <w:b/>
                <w:sz w:val="22"/>
                <w:szCs w:val="22"/>
              </w:rPr>
              <w:t>Public Comment/Update Proposed</w:t>
            </w:r>
          </w:p>
        </w:tc>
        <w:tc>
          <w:tcPr>
            <w:tcW w:w="4770" w:type="dxa"/>
          </w:tcPr>
          <w:p w:rsidR="004F293F" w:rsidRPr="00241CBE" w:rsidP="00241CBE" w14:paraId="21B6DB13" w14:textId="77777777">
            <w:pPr>
              <w:rPr>
                <w:rFonts w:ascii="Times New Roman" w:hAnsi="Times New Roman"/>
                <w:b/>
                <w:sz w:val="22"/>
                <w:szCs w:val="22"/>
              </w:rPr>
            </w:pPr>
            <w:r w:rsidRPr="00241CBE">
              <w:rPr>
                <w:rFonts w:ascii="Times New Roman" w:hAnsi="Times New Roman"/>
                <w:b/>
                <w:sz w:val="22"/>
                <w:szCs w:val="22"/>
              </w:rPr>
              <w:t>OTIP Response/Justification</w:t>
            </w:r>
          </w:p>
        </w:tc>
      </w:tr>
      <w:tr w14:paraId="11173B6C" w14:textId="77777777" w:rsidTr="00B972D5">
        <w:tblPrEx>
          <w:tblW w:w="9985" w:type="dxa"/>
          <w:tblInd w:w="-360" w:type="dxa"/>
          <w:tblLook w:val="04A0"/>
        </w:tblPrEx>
        <w:tc>
          <w:tcPr>
            <w:tcW w:w="1615" w:type="dxa"/>
          </w:tcPr>
          <w:p w:rsidR="004F293F" w:rsidRPr="00241CBE" w:rsidP="00241CBE" w14:paraId="1F08E48A" w14:textId="64186542">
            <w:pPr>
              <w:rPr>
                <w:rFonts w:ascii="Times New Roman" w:hAnsi="Times New Roman"/>
                <w:sz w:val="22"/>
                <w:szCs w:val="22"/>
              </w:rPr>
            </w:pPr>
            <w:r w:rsidRPr="00241CBE">
              <w:rPr>
                <w:rFonts w:ascii="Times New Roman" w:hAnsi="Times New Roman"/>
                <w:sz w:val="22"/>
                <w:szCs w:val="22"/>
              </w:rPr>
              <w:t>Type of Subrecipient Organization</w:t>
            </w:r>
          </w:p>
        </w:tc>
        <w:tc>
          <w:tcPr>
            <w:tcW w:w="3600" w:type="dxa"/>
          </w:tcPr>
          <w:p w:rsidR="004F293F" w:rsidRPr="00241CBE" w:rsidP="00241CBE" w14:paraId="33343383" w14:textId="34073FEF">
            <w:pPr>
              <w:rPr>
                <w:rFonts w:ascii="Times New Roman" w:hAnsi="Times New Roman"/>
                <w:sz w:val="22"/>
                <w:szCs w:val="22"/>
              </w:rPr>
            </w:pPr>
            <w:r w:rsidRPr="00241CBE">
              <w:rPr>
                <w:rFonts w:ascii="Times New Roman" w:hAnsi="Times New Roman"/>
                <w:sz w:val="22"/>
                <w:szCs w:val="22"/>
              </w:rPr>
              <w:t xml:space="preserve">This list includes a mixed list of corporate structures (Government, Private Sector, Faith Based, School, </w:t>
            </w:r>
            <w:r w:rsidRPr="00241CBE">
              <w:rPr>
                <w:rFonts w:ascii="Times New Roman" w:hAnsi="Times New Roman"/>
                <w:sz w:val="22"/>
                <w:szCs w:val="22"/>
              </w:rPr>
              <w:t>Service Provider, Child Welfare, etc.) and program areas (Advocacy, Education, Health Care, Law Enforcement, Housing, Legal, etc.). It is unclear which element ACF the grantee should prioritize. For example, should a law firm be represented as Private Sector, Legal, Service Provider, or Advocacy? We recommend that this list be revised to focus on one element.</w:t>
            </w:r>
          </w:p>
        </w:tc>
        <w:tc>
          <w:tcPr>
            <w:tcW w:w="4770" w:type="dxa"/>
          </w:tcPr>
          <w:p w:rsidR="004F293F" w:rsidRPr="00241CBE" w:rsidP="00241CBE" w14:paraId="74A8F6F6" w14:textId="3208507C">
            <w:pPr>
              <w:rPr>
                <w:rFonts w:ascii="Times New Roman" w:hAnsi="Times New Roman"/>
                <w:sz w:val="22"/>
                <w:szCs w:val="22"/>
              </w:rPr>
            </w:pPr>
            <w:r w:rsidRPr="00241CBE">
              <w:rPr>
                <w:rFonts w:ascii="Times New Roman" w:hAnsi="Times New Roman"/>
                <w:iCs/>
                <w:sz w:val="22"/>
                <w:szCs w:val="22"/>
              </w:rPr>
              <w:t xml:space="preserve">This list was developed in collaboration with existing grant recipients under the </w:t>
            </w:r>
            <w:r w:rsidR="00831601">
              <w:rPr>
                <w:rFonts w:ascii="Times New Roman" w:hAnsi="Times New Roman"/>
                <w:iCs/>
                <w:sz w:val="22"/>
                <w:szCs w:val="22"/>
              </w:rPr>
              <w:t>TVAP</w:t>
            </w:r>
            <w:r w:rsidRPr="00241CBE">
              <w:rPr>
                <w:rFonts w:ascii="Times New Roman" w:hAnsi="Times New Roman"/>
                <w:iCs/>
                <w:sz w:val="22"/>
                <w:szCs w:val="22"/>
              </w:rPr>
              <w:t xml:space="preserve"> award. The data element is multi-select with </w:t>
            </w:r>
            <w:r w:rsidRPr="00241CBE">
              <w:rPr>
                <w:rFonts w:ascii="Times New Roman" w:hAnsi="Times New Roman"/>
                <w:iCs/>
                <w:sz w:val="22"/>
                <w:szCs w:val="22"/>
              </w:rPr>
              <w:t xml:space="preserve">accompanying reporting guidance. The specific reporting options </w:t>
            </w:r>
            <w:r w:rsidRPr="00241CBE">
              <w:rPr>
                <w:rFonts w:ascii="Times New Roman" w:hAnsi="Times New Roman"/>
                <w:iCs/>
                <w:sz w:val="22"/>
                <w:szCs w:val="22"/>
              </w:rPr>
              <w:t>include:</w:t>
            </w:r>
            <w:r w:rsidRPr="00241CBE">
              <w:rPr>
                <w:rFonts w:ascii="Times New Roman" w:hAnsi="Times New Roman"/>
                <w:iCs/>
                <w:sz w:val="22"/>
                <w:szCs w:val="22"/>
              </w:rPr>
              <w:t xml:space="preserve"> Advocacy, Behavioral Health, Child Welfare, Education, Employment, Faith Based, Government, Health Care, Housing, Law Enforcement, Legal, Other Criminal Justice, Private Sector, Public Health, School (K-12), Service Provider, and Other (specify). With regards to the specific scenario raised and absent additional information about the hypothetical “Law Firm” and the nature of the services it would provide as a subrecipient under </w:t>
            </w:r>
            <w:r w:rsidR="00831601">
              <w:rPr>
                <w:rFonts w:ascii="Times New Roman" w:hAnsi="Times New Roman"/>
                <w:iCs/>
                <w:sz w:val="22"/>
                <w:szCs w:val="22"/>
              </w:rPr>
              <w:t>TVAP</w:t>
            </w:r>
            <w:r w:rsidRPr="00241CBE">
              <w:rPr>
                <w:rFonts w:ascii="Times New Roman" w:hAnsi="Times New Roman"/>
                <w:iCs/>
                <w:sz w:val="22"/>
                <w:szCs w:val="22"/>
              </w:rPr>
              <w:t xml:space="preserve">, it is likely that “Legal” and “Advocacy” are most appropriate. OTIP Project Officers are available to provide consultation to recipients </w:t>
            </w:r>
            <w:r w:rsidRPr="00241CBE">
              <w:rPr>
                <w:rFonts w:ascii="Times New Roman" w:hAnsi="Times New Roman"/>
                <w:iCs/>
                <w:sz w:val="22"/>
                <w:szCs w:val="22"/>
              </w:rPr>
              <w:t>in the event that</w:t>
            </w:r>
            <w:r w:rsidRPr="00241CBE">
              <w:rPr>
                <w:rFonts w:ascii="Times New Roman" w:hAnsi="Times New Roman"/>
                <w:iCs/>
                <w:sz w:val="22"/>
                <w:szCs w:val="22"/>
              </w:rPr>
              <w:t xml:space="preserve"> any organization cannot be meaningfully described per the provided field values. Additionally, an Other (specify) option is provided. This information provides insights to OTIP related to the kinds of financial and programmatic partnerships necessary to fulfill objectives under this award program and is used for performance monitoring. </w:t>
            </w:r>
            <w:r w:rsidRPr="00B972D5">
              <w:rPr>
                <w:rFonts w:ascii="Times New Roman" w:hAnsi="Times New Roman"/>
                <w:b/>
                <w:bCs/>
                <w:iCs/>
                <w:sz w:val="22"/>
                <w:szCs w:val="22"/>
              </w:rPr>
              <w:t>OTIP suggests retaining this data element.</w:t>
            </w:r>
          </w:p>
        </w:tc>
      </w:tr>
    </w:tbl>
    <w:p w:rsidR="00980320" w:rsidRPr="00241CBE" w:rsidP="00241CBE" w14:paraId="77C8C5A7" w14:textId="4917EECD">
      <w:pPr>
        <w:tabs>
          <w:tab w:val="left" w:pos="4170"/>
        </w:tabs>
        <w:spacing w:before="200"/>
        <w:rPr>
          <w:rFonts w:ascii="Times New Roman" w:hAnsi="Times New Roman"/>
          <w:sz w:val="22"/>
          <w:szCs w:val="22"/>
        </w:rPr>
      </w:pPr>
    </w:p>
    <w:tbl>
      <w:tblPr>
        <w:tblStyle w:val="TableGrid"/>
        <w:tblW w:w="9985" w:type="dxa"/>
        <w:tblInd w:w="-360" w:type="dxa"/>
        <w:tblLook w:val="04A0"/>
      </w:tblPr>
      <w:tblGrid>
        <w:gridCol w:w="1615"/>
        <w:gridCol w:w="3600"/>
        <w:gridCol w:w="4770"/>
      </w:tblGrid>
      <w:tr w14:paraId="7EC17773" w14:textId="77777777" w:rsidTr="00B972D5">
        <w:tblPrEx>
          <w:tblW w:w="9985" w:type="dxa"/>
          <w:tblInd w:w="-360" w:type="dxa"/>
          <w:tblLook w:val="04A0"/>
        </w:tblPrEx>
        <w:tc>
          <w:tcPr>
            <w:tcW w:w="9985" w:type="dxa"/>
            <w:gridSpan w:val="3"/>
          </w:tcPr>
          <w:p w:rsidR="00241CBE" w:rsidP="00241CBE" w14:paraId="39AF2CCC" w14:textId="1D51E81A">
            <w:pPr>
              <w:tabs>
                <w:tab w:val="left" w:pos="4170"/>
              </w:tabs>
              <w:rPr>
                <w:rFonts w:ascii="Times New Roman" w:hAnsi="Times New Roman"/>
                <w:b/>
                <w:sz w:val="22"/>
                <w:szCs w:val="22"/>
              </w:rPr>
            </w:pPr>
            <w:r>
              <w:rPr>
                <w:rFonts w:ascii="Times New Roman" w:hAnsi="Times New Roman"/>
                <w:b/>
                <w:sz w:val="22"/>
                <w:szCs w:val="22"/>
              </w:rPr>
              <w:t xml:space="preserve">Victim Assistance – Client Service Use and Delivery </w:t>
            </w:r>
          </w:p>
          <w:p w:rsidR="00241CBE" w:rsidRPr="00241CBE" w:rsidP="00241CBE" w14:paraId="63779CA6" w14:textId="18C43197">
            <w:pPr>
              <w:tabs>
                <w:tab w:val="left" w:pos="4170"/>
              </w:tabs>
              <w:rPr>
                <w:rFonts w:ascii="Times New Roman" w:hAnsi="Times New Roman"/>
                <w:b/>
                <w:sz w:val="22"/>
                <w:szCs w:val="22"/>
              </w:rPr>
            </w:pPr>
          </w:p>
        </w:tc>
      </w:tr>
      <w:tr w14:paraId="545E9AF4" w14:textId="77777777" w:rsidTr="00B972D5">
        <w:tblPrEx>
          <w:tblW w:w="9985" w:type="dxa"/>
          <w:tblInd w:w="-360" w:type="dxa"/>
          <w:tblLook w:val="04A0"/>
        </w:tblPrEx>
        <w:tc>
          <w:tcPr>
            <w:tcW w:w="1615" w:type="dxa"/>
          </w:tcPr>
          <w:p w:rsidR="00980320" w:rsidRPr="00241CBE" w:rsidP="00241CBE" w14:paraId="6C538044" w14:textId="303BECD5">
            <w:pPr>
              <w:tabs>
                <w:tab w:val="left" w:pos="4170"/>
              </w:tabs>
              <w:rPr>
                <w:rFonts w:ascii="Times New Roman" w:hAnsi="Times New Roman"/>
                <w:b/>
                <w:sz w:val="22"/>
                <w:szCs w:val="22"/>
              </w:rPr>
            </w:pPr>
            <w:r w:rsidRPr="00241CBE">
              <w:rPr>
                <w:rFonts w:ascii="Times New Roman" w:hAnsi="Times New Roman"/>
                <w:b/>
                <w:sz w:val="22"/>
                <w:szCs w:val="22"/>
              </w:rPr>
              <w:t>Data Element</w:t>
            </w:r>
          </w:p>
        </w:tc>
        <w:tc>
          <w:tcPr>
            <w:tcW w:w="3600" w:type="dxa"/>
          </w:tcPr>
          <w:p w:rsidR="00980320" w:rsidRPr="00241CBE" w:rsidP="00241CBE" w14:paraId="5A6CA06C" w14:textId="5026EFC8">
            <w:pPr>
              <w:tabs>
                <w:tab w:val="left" w:pos="4170"/>
              </w:tabs>
              <w:rPr>
                <w:rFonts w:ascii="Times New Roman" w:hAnsi="Times New Roman"/>
                <w:b/>
                <w:sz w:val="22"/>
                <w:szCs w:val="22"/>
              </w:rPr>
            </w:pPr>
            <w:r w:rsidRPr="00241CBE">
              <w:rPr>
                <w:rFonts w:ascii="Times New Roman" w:hAnsi="Times New Roman"/>
                <w:b/>
                <w:sz w:val="22"/>
                <w:szCs w:val="22"/>
              </w:rPr>
              <w:t>Public Comment/Update Proposed</w:t>
            </w:r>
          </w:p>
        </w:tc>
        <w:tc>
          <w:tcPr>
            <w:tcW w:w="4770" w:type="dxa"/>
          </w:tcPr>
          <w:p w:rsidR="00980320" w:rsidRPr="00241CBE" w:rsidP="00241CBE" w14:paraId="1453227C" w14:textId="549C56C3">
            <w:pPr>
              <w:tabs>
                <w:tab w:val="left" w:pos="4170"/>
              </w:tabs>
              <w:rPr>
                <w:rFonts w:ascii="Times New Roman" w:hAnsi="Times New Roman"/>
                <w:b/>
                <w:sz w:val="22"/>
                <w:szCs w:val="22"/>
              </w:rPr>
            </w:pPr>
            <w:r w:rsidRPr="00241CBE">
              <w:rPr>
                <w:rFonts w:ascii="Times New Roman" w:hAnsi="Times New Roman"/>
                <w:b/>
                <w:sz w:val="22"/>
                <w:szCs w:val="22"/>
              </w:rPr>
              <w:t>OTIP Response/Justification</w:t>
            </w:r>
          </w:p>
        </w:tc>
      </w:tr>
      <w:tr w14:paraId="758BF7BA" w14:textId="77777777" w:rsidTr="00B972D5">
        <w:tblPrEx>
          <w:tblW w:w="9985" w:type="dxa"/>
          <w:tblInd w:w="-360" w:type="dxa"/>
          <w:tblLook w:val="04A0"/>
        </w:tblPrEx>
        <w:tc>
          <w:tcPr>
            <w:tcW w:w="1615" w:type="dxa"/>
          </w:tcPr>
          <w:p w:rsidR="00980320" w:rsidRPr="00241CBE" w:rsidP="00241CBE" w14:paraId="4C6B6D6A" w14:textId="77777777">
            <w:pPr>
              <w:tabs>
                <w:tab w:val="left" w:pos="4170"/>
              </w:tabs>
              <w:rPr>
                <w:rFonts w:ascii="Times New Roman" w:hAnsi="Times New Roman"/>
                <w:sz w:val="22"/>
                <w:szCs w:val="22"/>
              </w:rPr>
            </w:pPr>
            <w:r w:rsidRPr="00241CBE">
              <w:rPr>
                <w:rFonts w:ascii="Times New Roman" w:hAnsi="Times New Roman"/>
                <w:sz w:val="22"/>
                <w:szCs w:val="22"/>
              </w:rPr>
              <w:t>Services Received</w:t>
            </w:r>
          </w:p>
        </w:tc>
        <w:tc>
          <w:tcPr>
            <w:tcW w:w="3600" w:type="dxa"/>
            <w:vMerge w:val="restart"/>
          </w:tcPr>
          <w:p w:rsidR="00980320" w:rsidRPr="00241CBE" w:rsidP="00241CBE" w14:paraId="1B45EFD5" w14:textId="15B0DF42">
            <w:pPr>
              <w:tabs>
                <w:tab w:val="left" w:pos="4170"/>
              </w:tabs>
              <w:rPr>
                <w:rFonts w:ascii="Times New Roman" w:hAnsi="Times New Roman"/>
                <w:sz w:val="22"/>
                <w:szCs w:val="22"/>
              </w:rPr>
            </w:pPr>
            <w:r w:rsidRPr="00241CBE">
              <w:rPr>
                <w:rFonts w:ascii="Times New Roman" w:hAnsi="Times New Roman"/>
                <w:sz w:val="22"/>
                <w:szCs w:val="22"/>
              </w:rPr>
              <w:t xml:space="preserve">The purpose of the </w:t>
            </w:r>
            <w:r w:rsidR="00CE72A3">
              <w:rPr>
                <w:rFonts w:ascii="Times New Roman" w:hAnsi="Times New Roman"/>
                <w:sz w:val="22"/>
                <w:szCs w:val="22"/>
              </w:rPr>
              <w:t>TVAP</w:t>
            </w:r>
            <w:r w:rsidRPr="00241CBE">
              <w:rPr>
                <w:rFonts w:ascii="Times New Roman" w:hAnsi="Times New Roman"/>
                <w:sz w:val="22"/>
                <w:szCs w:val="22"/>
              </w:rPr>
              <w:t xml:space="preserve"> program is to help survivors access all services and benefits for which they are eligible. Therefore, instead of requiring the service provider to report on which benefits the client was connected to, the question should be replaced with Yes/No questions, such as: “Was the client connected to any of the following public benefits during the reporting period?” with a list of benefits as reference. The service provider should only be required to report yes or no.</w:t>
            </w:r>
          </w:p>
        </w:tc>
        <w:tc>
          <w:tcPr>
            <w:tcW w:w="4770" w:type="dxa"/>
            <w:vMerge w:val="restart"/>
          </w:tcPr>
          <w:p w:rsidR="00980320" w:rsidRPr="00241CBE" w:rsidP="00241CBE" w14:paraId="5ABA8669" w14:textId="4429918B">
            <w:pPr>
              <w:tabs>
                <w:tab w:val="left" w:pos="4170"/>
              </w:tabs>
              <w:rPr>
                <w:rFonts w:ascii="Times New Roman" w:hAnsi="Times New Roman"/>
                <w:sz w:val="22"/>
                <w:szCs w:val="22"/>
              </w:rPr>
            </w:pPr>
            <w:r w:rsidRPr="00241CBE">
              <w:rPr>
                <w:rFonts w:ascii="Times New Roman" w:hAnsi="Times New Roman"/>
                <w:sz w:val="22"/>
                <w:szCs w:val="22"/>
              </w:rPr>
              <w:t xml:space="preserve">The level of information proposed by the grant recipient is not sufficient for OTIP to monitor grant recipient performance or for OTIP to be responsive to its statutory reporting requirements, which require OTIP to submit annually </w:t>
            </w:r>
            <w:r w:rsidRPr="00241CBE">
              <w:rPr>
                <w:rFonts w:ascii="Times New Roman" w:hAnsi="Times New Roman"/>
                <w:snapToGrid/>
                <w:sz w:val="22"/>
                <w:szCs w:val="22"/>
              </w:rPr>
              <w:t>“a report on Federal agencies that are implementing any provision of this chapter” (22 USC 7103(d)) and to prepare a required annual report to Congress on U.S. Government activities to combat trafficking that is prepared by the U.S. Department of Justice.  Congress requires HHS and other appropriate Federal agencies to report, at a minimum, information on the number of persons who received benefits or other services under 22 USC 7105(b)(f), in connection with programs or activities funded or administered by HHS.”</w:t>
            </w:r>
          </w:p>
          <w:p w:rsidR="00980320" w:rsidRPr="00241CBE" w:rsidP="00241CBE" w14:paraId="1D39760D" w14:textId="77777777">
            <w:pPr>
              <w:tabs>
                <w:tab w:val="left" w:pos="4170"/>
              </w:tabs>
              <w:rPr>
                <w:rFonts w:ascii="Times New Roman" w:hAnsi="Times New Roman"/>
                <w:sz w:val="22"/>
                <w:szCs w:val="22"/>
              </w:rPr>
            </w:pPr>
          </w:p>
          <w:p w:rsidR="00980320" w:rsidRPr="00241CBE" w:rsidP="00241CBE" w14:paraId="650E6D82" w14:textId="68BB4B9F">
            <w:pPr>
              <w:tabs>
                <w:tab w:val="left" w:pos="4170"/>
              </w:tabs>
              <w:rPr>
                <w:rFonts w:ascii="Times New Roman" w:hAnsi="Times New Roman"/>
                <w:sz w:val="22"/>
                <w:szCs w:val="22"/>
              </w:rPr>
            </w:pPr>
            <w:r w:rsidRPr="00B972D5">
              <w:rPr>
                <w:rFonts w:ascii="Times New Roman" w:hAnsi="Times New Roman"/>
                <w:b/>
                <w:bCs/>
                <w:sz w:val="22"/>
                <w:szCs w:val="22"/>
              </w:rPr>
              <w:t>OTIP suggests retaining these data elements</w:t>
            </w:r>
            <w:r w:rsidRPr="00241CBE">
              <w:rPr>
                <w:rFonts w:ascii="Times New Roman" w:hAnsi="Times New Roman"/>
                <w:sz w:val="22"/>
                <w:szCs w:val="22"/>
              </w:rPr>
              <w:t xml:space="preserve"> to assess whether clients receive the services and benefits they need, ensure the compliance of grant recipients in providing comprehensive case management, and to inform program evaluation/policy development pertaining to the service needs of trafficking victims.</w:t>
            </w:r>
          </w:p>
        </w:tc>
      </w:tr>
      <w:tr w14:paraId="1046FA32" w14:textId="77777777" w:rsidTr="00B972D5">
        <w:tblPrEx>
          <w:tblW w:w="9985" w:type="dxa"/>
          <w:tblInd w:w="-360" w:type="dxa"/>
          <w:tblLook w:val="04A0"/>
        </w:tblPrEx>
        <w:tc>
          <w:tcPr>
            <w:tcW w:w="1615" w:type="dxa"/>
          </w:tcPr>
          <w:p w:rsidR="00980320" w:rsidRPr="00241CBE" w:rsidP="00241CBE" w14:paraId="15ABA32B" w14:textId="77777777">
            <w:pPr>
              <w:tabs>
                <w:tab w:val="left" w:pos="4170"/>
              </w:tabs>
              <w:rPr>
                <w:rFonts w:ascii="Times New Roman" w:hAnsi="Times New Roman"/>
                <w:sz w:val="22"/>
                <w:szCs w:val="22"/>
              </w:rPr>
            </w:pPr>
            <w:r w:rsidRPr="00241CBE">
              <w:rPr>
                <w:rFonts w:ascii="Times New Roman" w:hAnsi="Times New Roman"/>
                <w:sz w:val="22"/>
                <w:szCs w:val="22"/>
              </w:rPr>
              <w:t>Benefits Received</w:t>
            </w:r>
          </w:p>
        </w:tc>
        <w:tc>
          <w:tcPr>
            <w:tcW w:w="3600" w:type="dxa"/>
            <w:vMerge/>
          </w:tcPr>
          <w:p w:rsidR="00980320" w:rsidRPr="00241CBE" w:rsidP="00241CBE" w14:paraId="12239D9F" w14:textId="77777777">
            <w:pPr>
              <w:rPr>
                <w:rFonts w:ascii="Times New Roman" w:hAnsi="Times New Roman"/>
                <w:sz w:val="22"/>
                <w:szCs w:val="22"/>
              </w:rPr>
            </w:pPr>
          </w:p>
        </w:tc>
        <w:tc>
          <w:tcPr>
            <w:tcW w:w="4770" w:type="dxa"/>
            <w:vMerge/>
          </w:tcPr>
          <w:p w:rsidR="00980320" w:rsidRPr="00241CBE" w:rsidP="00241CBE" w14:paraId="7B6296FA" w14:textId="09C15E69">
            <w:pPr>
              <w:tabs>
                <w:tab w:val="left" w:pos="4170"/>
              </w:tabs>
              <w:rPr>
                <w:rFonts w:ascii="Times New Roman" w:hAnsi="Times New Roman"/>
                <w:sz w:val="22"/>
                <w:szCs w:val="22"/>
              </w:rPr>
            </w:pPr>
          </w:p>
        </w:tc>
      </w:tr>
    </w:tbl>
    <w:p w:rsidR="00C43282" w:rsidRPr="00241CBE" w:rsidP="00241CBE" w14:paraId="1562B4C3" w14:textId="048F471E">
      <w:pPr>
        <w:spacing w:before="200"/>
        <w:ind w:left="-360"/>
        <w:rPr>
          <w:rFonts w:ascii="Times New Roman" w:hAnsi="Times New Roman"/>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C46333"/>
    <w:multiLevelType w:val="hybridMultilevel"/>
    <w:tmpl w:val="BD8E8D8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06C156F"/>
    <w:multiLevelType w:val="hybridMultilevel"/>
    <w:tmpl w:val="039A94C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343338B2"/>
    <w:multiLevelType w:val="hybridMultilevel"/>
    <w:tmpl w:val="72EC355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404557EE"/>
    <w:multiLevelType w:val="hybridMultilevel"/>
    <w:tmpl w:val="290632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6C07758"/>
    <w:multiLevelType w:val="hybridMultilevel"/>
    <w:tmpl w:val="74568C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D7B2D4D"/>
    <w:multiLevelType w:val="hybridMultilevel"/>
    <w:tmpl w:val="1C0ECB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B2"/>
    <w:rsid w:val="00107867"/>
    <w:rsid w:val="00145ACB"/>
    <w:rsid w:val="001751CC"/>
    <w:rsid w:val="001A71C4"/>
    <w:rsid w:val="001E49CF"/>
    <w:rsid w:val="00241CBE"/>
    <w:rsid w:val="002D4D55"/>
    <w:rsid w:val="00343B95"/>
    <w:rsid w:val="00391700"/>
    <w:rsid w:val="003F0357"/>
    <w:rsid w:val="003F6C47"/>
    <w:rsid w:val="004B1F5E"/>
    <w:rsid w:val="004D061E"/>
    <w:rsid w:val="004D0855"/>
    <w:rsid w:val="004F293F"/>
    <w:rsid w:val="005C4EF0"/>
    <w:rsid w:val="005F3285"/>
    <w:rsid w:val="00653BD0"/>
    <w:rsid w:val="0066575A"/>
    <w:rsid w:val="00673B38"/>
    <w:rsid w:val="007703A2"/>
    <w:rsid w:val="007E693F"/>
    <w:rsid w:val="00831601"/>
    <w:rsid w:val="00835711"/>
    <w:rsid w:val="0084295B"/>
    <w:rsid w:val="00885A1A"/>
    <w:rsid w:val="008C2140"/>
    <w:rsid w:val="00980320"/>
    <w:rsid w:val="009E4EC6"/>
    <w:rsid w:val="00A6400F"/>
    <w:rsid w:val="00AA59D3"/>
    <w:rsid w:val="00B2131F"/>
    <w:rsid w:val="00B70618"/>
    <w:rsid w:val="00B972D5"/>
    <w:rsid w:val="00C43282"/>
    <w:rsid w:val="00C858CA"/>
    <w:rsid w:val="00CA3359"/>
    <w:rsid w:val="00CE72A3"/>
    <w:rsid w:val="00CF7190"/>
    <w:rsid w:val="00D01312"/>
    <w:rsid w:val="00D55E18"/>
    <w:rsid w:val="00FE20B2"/>
    <w:rsid w:val="00FE68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AD05EB"/>
  <w15:chartTrackingRefBased/>
  <w15:docId w15:val="{03A492A2-CEAD-4FC3-9CD7-9AC90031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0B2"/>
    <w:pPr>
      <w:widowControl w:val="0"/>
      <w:spacing w:after="0" w:line="240" w:lineRule="auto"/>
    </w:pPr>
    <w:rPr>
      <w:rFonts w:ascii="Courier New" w:eastAsia="Times New Roman" w:hAnsi="Courier New"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20B2"/>
    <w:rPr>
      <w:color w:val="0000FF"/>
      <w:u w:val="single"/>
    </w:rPr>
  </w:style>
  <w:style w:type="character" w:styleId="UnresolvedMention">
    <w:name w:val="Unresolved Mention"/>
    <w:basedOn w:val="DefaultParagraphFont"/>
    <w:uiPriority w:val="99"/>
    <w:semiHidden/>
    <w:unhideWhenUsed/>
    <w:rsid w:val="004B1F5E"/>
    <w:rPr>
      <w:color w:val="605E5C"/>
      <w:shd w:val="clear" w:color="auto" w:fill="E1DFDD"/>
    </w:rPr>
  </w:style>
  <w:style w:type="paragraph" w:styleId="ListParagraph">
    <w:name w:val="List Paragraph"/>
    <w:basedOn w:val="Normal"/>
    <w:uiPriority w:val="34"/>
    <w:qFormat/>
    <w:rsid w:val="001A71C4"/>
    <w:pPr>
      <w:ind w:left="720"/>
      <w:contextualSpacing/>
    </w:pPr>
  </w:style>
  <w:style w:type="table" w:styleId="TableGrid">
    <w:name w:val="Table Grid"/>
    <w:basedOn w:val="TableNormal"/>
    <w:uiPriority w:val="39"/>
    <w:rsid w:val="00CF719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80320"/>
    <w:pPr>
      <w:widowControl/>
      <w:spacing w:before="100" w:beforeAutospacing="1" w:after="100" w:afterAutospacing="1"/>
    </w:pPr>
    <w:rPr>
      <w:rFonts w:ascii="Times New Roman"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cf.hhs.gov/otip/toolkit/housing-economic-mobility-trafficking-survivors"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csacw.samhsa.gov/userfiles/files/SAMHSA_Trauma.pdf" TargetMode="External" /><Relationship Id="rId5" Type="http://schemas.openxmlformats.org/officeDocument/2006/relationships/hyperlink" Target="file://acffs03.itsc.hhs-itsc.local/opre/OD/PRA/ICs/ACF%20Information%20Collections/970-542/NonSub%20Change%20-%20SOGI%20Qs/acf.hhs.gov/otip/training/nhttac" TargetMode="External" /><Relationship Id="rId6" Type="http://schemas.openxmlformats.org/officeDocument/2006/relationships/hyperlink" Target="https://www.acf.hhs.gov/otip/training/nhttac/human-trafficking-leadership-academy" TargetMode="External" /><Relationship Id="rId7" Type="http://schemas.openxmlformats.org/officeDocument/2006/relationships/hyperlink" Target="https://www.law.cornell.edu/definitions/index.php?width=840&amp;height=800&amp;iframe=true&amp;def_id=7b49d385626678af2ab82788b3799570&amp;term_occur=999&amp;term_src=Title:45:Chapter:A:Subchapter:A:Part:75:Subpart:D:Subjgrp:24:75.301" TargetMode="External" /><Relationship Id="rId8" Type="http://schemas.openxmlformats.org/officeDocument/2006/relationships/hyperlink" Target="https://www.law.cornell.edu/definitions/index.php?width=840&amp;height=800&amp;iframe=true&amp;def_id=683dbb4ae1e53bc2ef9e87a19267f222&amp;term_occur=999&amp;term_src=Title:45:Chapter:A:Subchapter:A:Part:75:Subpart:D:Subjgrp:24:75.301" TargetMode="External" /><Relationship Id="rId9" Type="http://schemas.openxmlformats.org/officeDocument/2006/relationships/hyperlink" Target="https://www.law.cornell.edu/definitions/index.php?width=840&amp;height=800&amp;iframe=true&amp;def_id=25c609af891bdc2964eba22ef9621db0&amp;term_occur=999&amp;term_src=Title:45:Chapter:A:Subchapter:A:Part:75:Subpart:D:Subjgrp:24:75.3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3283</Words>
  <Characters>18716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Kiefer, Vera J.</dc:creator>
  <cp:lastModifiedBy>Kiefer, Vera J.</cp:lastModifiedBy>
  <cp:revision>4</cp:revision>
  <dcterms:created xsi:type="dcterms:W3CDTF">2022-11-29T20:05:00Z</dcterms:created>
  <dcterms:modified xsi:type="dcterms:W3CDTF">2022-11-30T16:10:00Z</dcterms:modified>
</cp:coreProperties>
</file>