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0621" w:rsidRPr="00160621" w:rsidP="00160621" w14:paraId="670B57C7" w14:textId="7DD029F8">
      <w:pPr>
        <w:pStyle w:val="ReportCover-Title"/>
        <w:jc w:val="center"/>
        <w:rPr>
          <w:rFonts w:ascii="Arial" w:hAnsi="Arial" w:cs="Arial"/>
          <w:color w:val="auto"/>
        </w:rPr>
      </w:pPr>
      <w:r w:rsidRPr="004F7B95">
        <w:rPr>
          <w:rFonts w:ascii="Times New Roman" w:hAnsi="Times New Roman"/>
          <w:sz w:val="24"/>
          <w:szCs w:val="24"/>
        </w:rPr>
        <w:tab/>
      </w:r>
      <w:r w:rsidR="006335B7">
        <w:rPr>
          <w:rFonts w:ascii="Arial" w:eastAsia="Arial Unicode MS" w:hAnsi="Arial" w:cs="Arial"/>
          <w:noProof/>
          <w:color w:val="auto"/>
        </w:rPr>
        <w:t>Trafficking Victim Assistance Program</w:t>
      </w:r>
      <w:r w:rsidRPr="00706813" w:rsidR="00706813">
        <w:rPr>
          <w:rFonts w:ascii="Arial" w:eastAsia="Arial Unicode MS" w:hAnsi="Arial" w:cs="Arial"/>
          <w:noProof/>
          <w:color w:val="auto"/>
        </w:rPr>
        <w:t xml:space="preserve"> </w:t>
      </w:r>
      <w:r w:rsidR="00706813">
        <w:rPr>
          <w:rFonts w:ascii="Arial" w:eastAsia="Arial Unicode MS" w:hAnsi="Arial" w:cs="Arial"/>
          <w:noProof/>
          <w:color w:val="auto"/>
        </w:rPr>
        <w:t>(</w:t>
      </w:r>
      <w:r w:rsidR="006335B7">
        <w:rPr>
          <w:rFonts w:ascii="Arial" w:eastAsia="Arial Unicode MS" w:hAnsi="Arial" w:cs="Arial"/>
          <w:noProof/>
          <w:color w:val="auto"/>
        </w:rPr>
        <w:t>TVAP</w:t>
      </w:r>
      <w:r w:rsidR="00706813">
        <w:rPr>
          <w:rFonts w:ascii="Arial" w:eastAsia="Arial Unicode MS" w:hAnsi="Arial" w:cs="Arial"/>
          <w:noProof/>
          <w:color w:val="auto"/>
        </w:rPr>
        <w:t xml:space="preserve">) </w:t>
      </w:r>
      <w:r w:rsidRPr="00706813" w:rsidR="00706813">
        <w:rPr>
          <w:rFonts w:ascii="Arial" w:eastAsia="Arial Unicode MS" w:hAnsi="Arial" w:cs="Arial"/>
          <w:noProof/>
          <w:color w:val="auto"/>
        </w:rPr>
        <w:t>Data</w:t>
      </w:r>
    </w:p>
    <w:p w:rsidR="00160621" w:rsidRPr="00160621" w:rsidP="00160621" w14:paraId="39336BB3" w14:textId="77777777">
      <w:pPr>
        <w:pStyle w:val="ReportCover-Title"/>
        <w:rPr>
          <w:rFonts w:ascii="Arial" w:hAnsi="Arial" w:cs="Arial"/>
          <w:color w:val="auto"/>
        </w:rPr>
      </w:pPr>
    </w:p>
    <w:p w:rsidR="00160621" w:rsidRPr="00160621" w:rsidP="00160621" w14:paraId="04B775EB"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63F1238" w14:textId="6CEA44FE">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706813">
        <w:rPr>
          <w:rFonts w:ascii="Arial" w:hAnsi="Arial" w:cs="Arial"/>
          <w:color w:val="auto"/>
          <w:sz w:val="32"/>
          <w:szCs w:val="32"/>
        </w:rPr>
        <w:t>0</w:t>
      </w:r>
      <w:r w:rsidR="006335B7">
        <w:rPr>
          <w:rFonts w:ascii="Arial" w:hAnsi="Arial" w:cs="Arial"/>
          <w:color w:val="auto"/>
          <w:sz w:val="32"/>
          <w:szCs w:val="32"/>
        </w:rPr>
        <w:t>467</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00160621" w:rsidRPr="00160621" w:rsidP="00160621" w14:paraId="76FA23BE" w14:textId="4BB3A7C8">
      <w:pPr>
        <w:pStyle w:val="ReportCover-Date"/>
        <w:jc w:val="center"/>
        <w:rPr>
          <w:rFonts w:ascii="Arial" w:hAnsi="Arial" w:cs="Arial"/>
          <w:color w:val="auto"/>
        </w:rPr>
      </w:pPr>
      <w:r>
        <w:rPr>
          <w:rFonts w:ascii="Arial" w:hAnsi="Arial" w:cs="Arial"/>
          <w:color w:val="auto"/>
        </w:rPr>
        <w:t>October 202</w:t>
      </w:r>
      <w:r w:rsidR="00DA10CE">
        <w:rPr>
          <w:rFonts w:ascii="Arial" w:hAnsi="Arial" w:cs="Arial"/>
          <w:color w:val="auto"/>
        </w:rPr>
        <w:t>3</w:t>
      </w:r>
    </w:p>
    <w:p w:rsidR="00160621" w:rsidP="00160621" w14:paraId="753A1E04" w14:textId="77777777">
      <w:pPr>
        <w:jc w:val="center"/>
        <w:rPr>
          <w:rFonts w:ascii="Arial" w:hAnsi="Arial" w:cs="Arial"/>
        </w:rPr>
      </w:pP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160621" w:rsidRPr="00160621" w:rsidP="00160621" w14:paraId="54195924" w14:textId="6E86D781">
      <w:pPr>
        <w:jc w:val="center"/>
        <w:rPr>
          <w:rFonts w:ascii="Arial" w:hAnsi="Arial" w:cs="Arial"/>
        </w:rPr>
      </w:pPr>
      <w:r>
        <w:rPr>
          <w:rFonts w:ascii="Arial" w:hAnsi="Arial" w:cs="Arial"/>
        </w:rPr>
        <w:t>Office on Trafficking in Persons</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160621" w:rsidP="00160621" w14:paraId="56DD869F" w14:textId="77777777">
      <w:pPr>
        <w:jc w:val="center"/>
        <w:rPr>
          <w:rFonts w:ascii="Arial" w:hAnsi="Arial" w:cs="Arial"/>
        </w:rPr>
      </w:pPr>
    </w:p>
    <w:p w:rsidR="00160621" w:rsidP="00160621" w14:paraId="0B82535D" w14:textId="77777777">
      <w:pPr>
        <w:jc w:val="center"/>
        <w:rPr>
          <w:rFonts w:ascii="Arial" w:hAnsi="Arial" w:cs="Arial"/>
        </w:rPr>
      </w:pPr>
    </w:p>
    <w:p w:rsidR="00160621" w:rsidP="00160621" w14:paraId="21C4C2D8" w14:textId="77777777">
      <w:pPr>
        <w:jc w:val="center"/>
        <w:rPr>
          <w:rFonts w:ascii="Arial" w:hAnsi="Arial" w:cs="Arial"/>
        </w:rPr>
      </w:pPr>
    </w:p>
    <w:p w:rsidR="00160621" w:rsidP="00160621" w14:paraId="1473AAD1" w14:textId="77777777">
      <w:pPr>
        <w:jc w:val="center"/>
        <w:rPr>
          <w:rFonts w:ascii="Arial" w:hAnsi="Arial" w:cs="Arial"/>
        </w:rPr>
      </w:pPr>
    </w:p>
    <w:p w:rsidR="00160621" w:rsidRPr="002C4F75" w:rsidP="00160621" w14:paraId="346CDF4E" w14:textId="77777777">
      <w:pPr>
        <w:jc w:val="center"/>
        <w:rPr>
          <w:rFonts w:ascii="Arial" w:hAnsi="Arial" w:cs="Arial"/>
        </w:rPr>
      </w:pPr>
    </w:p>
    <w:p w:rsidR="00160621" w:rsidP="00160621" w14:paraId="010B1ADF" w14:textId="218EB022">
      <w:pPr>
        <w:widowControl/>
        <w:ind w:left="360" w:hanging="360"/>
        <w:jc w:val="center"/>
        <w:rPr>
          <w:rFonts w:ascii="Times New Roman" w:hAnsi="Times New Roman"/>
          <w:snapToGrid/>
          <w:sz w:val="24"/>
          <w:szCs w:val="24"/>
        </w:rPr>
      </w:pPr>
    </w:p>
    <w:p w:rsidR="00AF2391" w:rsidP="00160621" w14:paraId="7A07CB1C" w14:textId="1807EB4F">
      <w:pPr>
        <w:widowControl/>
        <w:ind w:left="360" w:hanging="360"/>
        <w:jc w:val="center"/>
        <w:rPr>
          <w:rFonts w:ascii="Times New Roman" w:hAnsi="Times New Roman"/>
          <w:snapToGrid/>
          <w:sz w:val="24"/>
          <w:szCs w:val="24"/>
        </w:rPr>
      </w:pPr>
    </w:p>
    <w:p w:rsidR="00AF2391" w:rsidP="00160621" w14:paraId="02DAEC2D" w14:textId="23A32FD9">
      <w:pPr>
        <w:widowControl/>
        <w:ind w:left="360" w:hanging="360"/>
        <w:jc w:val="center"/>
        <w:rPr>
          <w:rFonts w:ascii="Times New Roman" w:hAnsi="Times New Roman"/>
          <w:snapToGrid/>
          <w:sz w:val="24"/>
          <w:szCs w:val="24"/>
        </w:rPr>
      </w:pPr>
    </w:p>
    <w:p w:rsidR="00AF2391" w:rsidP="00160621" w14:paraId="466F65D6" w14:textId="3AA29098">
      <w:pPr>
        <w:widowControl/>
        <w:ind w:left="360" w:hanging="360"/>
        <w:jc w:val="center"/>
        <w:rPr>
          <w:rFonts w:ascii="Times New Roman" w:hAnsi="Times New Roman"/>
          <w:snapToGrid/>
          <w:sz w:val="24"/>
          <w:szCs w:val="24"/>
        </w:rPr>
      </w:pPr>
    </w:p>
    <w:p w:rsidR="00AF2391" w:rsidP="00160621" w14:paraId="0991E67F" w14:textId="77777777">
      <w:pPr>
        <w:widowControl/>
        <w:ind w:left="360" w:hanging="360"/>
        <w:jc w:val="center"/>
        <w:rPr>
          <w:rFonts w:ascii="Times New Roman" w:hAnsi="Times New Roman"/>
          <w:snapToGrid/>
          <w:sz w:val="24"/>
          <w:szCs w:val="24"/>
        </w:rPr>
      </w:pPr>
    </w:p>
    <w:p w:rsidR="004753BB" w:rsidP="00160621" w14:paraId="715F81D3" w14:textId="77777777">
      <w:pPr>
        <w:widowControl/>
        <w:ind w:left="360" w:hanging="360"/>
        <w:jc w:val="center"/>
        <w:rPr>
          <w:rFonts w:ascii="Times New Roman" w:hAnsi="Times New Roman"/>
          <w:snapToGrid/>
          <w:sz w:val="24"/>
          <w:szCs w:val="24"/>
        </w:rPr>
      </w:pPr>
    </w:p>
    <w:p w:rsidR="00160621" w:rsidRPr="00CE6182" w:rsidP="00CE6182" w14:paraId="2212894C" w14:textId="77777777">
      <w:pPr>
        <w:widowControl/>
        <w:ind w:left="360" w:hanging="360"/>
        <w:jc w:val="center"/>
        <w:rPr>
          <w:rFonts w:ascii="Times New Roman" w:hAnsi="Times New Roman"/>
          <w:b/>
          <w:snapToGrid/>
          <w:sz w:val="24"/>
          <w:szCs w:val="24"/>
        </w:rPr>
      </w:pPr>
      <w:r w:rsidRPr="006D1643">
        <w:rPr>
          <w:rFonts w:ascii="Times New Roman" w:hAnsi="Times New Roman"/>
          <w:b/>
          <w:snapToGrid/>
          <w:sz w:val="24"/>
          <w:szCs w:val="24"/>
        </w:rPr>
        <w:t>Summary</w:t>
      </w:r>
    </w:p>
    <w:p w:rsidR="00E720F0" w:rsidP="00E720F0" w14:paraId="50796A58" w14:textId="77777777">
      <w:pPr>
        <w:widowControl/>
        <w:tabs>
          <w:tab w:val="num" w:pos="360"/>
        </w:tabs>
        <w:ind w:left="360"/>
        <w:rPr>
          <w:rFonts w:ascii="Times New Roman" w:hAnsi="Times New Roman"/>
          <w:snapToGrid/>
          <w:sz w:val="24"/>
          <w:szCs w:val="24"/>
        </w:rPr>
      </w:pPr>
    </w:p>
    <w:p w:rsidR="00953D01" w:rsidRPr="00973CB6" w:rsidP="00953D01" w14:paraId="4135EF10" w14:textId="77777777">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This request is for nonsubstantive changes to </w:t>
      </w:r>
      <w:r w:rsidRPr="00DC7A6C">
        <w:rPr>
          <w:rFonts w:ascii="Times New Roman" w:hAnsi="Times New Roman"/>
          <w:snapToGrid/>
          <w:sz w:val="24"/>
          <w:szCs w:val="24"/>
        </w:rPr>
        <w:t xml:space="preserve">an </w:t>
      </w:r>
      <w:r>
        <w:rPr>
          <w:rFonts w:ascii="Times New Roman" w:hAnsi="Times New Roman"/>
          <w:snapToGrid/>
          <w:sz w:val="24"/>
          <w:szCs w:val="24"/>
        </w:rPr>
        <w:t xml:space="preserve">approved and </w:t>
      </w:r>
      <w:r w:rsidRPr="00DC7A6C">
        <w:rPr>
          <w:rFonts w:ascii="Times New Roman" w:hAnsi="Times New Roman"/>
          <w:snapToGrid/>
          <w:sz w:val="24"/>
          <w:szCs w:val="24"/>
        </w:rPr>
        <w:t>ongoing data collection under</w:t>
      </w:r>
      <w:r>
        <w:rPr>
          <w:rFonts w:ascii="Times New Roman" w:hAnsi="Times New Roman"/>
          <w:snapToGrid/>
          <w:sz w:val="24"/>
          <w:szCs w:val="24"/>
        </w:rPr>
        <w:t xml:space="preserve"> Office of Management and Budget (OMB) Control Number 0970-0467. Current OMB approval of the collection</w:t>
      </w:r>
      <w:r w:rsidRPr="00DC7A6C">
        <w:rPr>
          <w:rFonts w:ascii="Times New Roman" w:hAnsi="Times New Roman"/>
          <w:snapToGrid/>
          <w:sz w:val="24"/>
          <w:szCs w:val="24"/>
        </w:rPr>
        <w:t xml:space="preserve"> expires on </w:t>
      </w:r>
      <w:r>
        <w:rPr>
          <w:rFonts w:ascii="Times New Roman" w:hAnsi="Times New Roman"/>
          <w:snapToGrid/>
          <w:sz w:val="24"/>
          <w:szCs w:val="24"/>
        </w:rPr>
        <w:t>February 28</w:t>
      </w:r>
      <w:r w:rsidRPr="007675E5">
        <w:rPr>
          <w:rFonts w:ascii="Times New Roman" w:hAnsi="Times New Roman"/>
          <w:snapToGrid/>
          <w:sz w:val="24"/>
          <w:szCs w:val="24"/>
        </w:rPr>
        <w:t>, 202</w:t>
      </w:r>
      <w:r>
        <w:rPr>
          <w:rFonts w:ascii="Times New Roman" w:hAnsi="Times New Roman"/>
          <w:snapToGrid/>
          <w:sz w:val="24"/>
          <w:szCs w:val="24"/>
        </w:rPr>
        <w:t>6</w:t>
      </w:r>
      <w:r w:rsidRPr="007675E5">
        <w:rPr>
          <w:rFonts w:ascii="Times New Roman" w:hAnsi="Times New Roman"/>
          <w:snapToGrid/>
          <w:sz w:val="24"/>
          <w:szCs w:val="24"/>
        </w:rPr>
        <w:t xml:space="preserve">.  </w:t>
      </w:r>
      <w:r w:rsidRPr="00973CB6">
        <w:rPr>
          <w:rFonts w:ascii="Times New Roman" w:hAnsi="Times New Roman"/>
          <w:snapToGrid/>
          <w:sz w:val="24"/>
          <w:szCs w:val="24"/>
        </w:rPr>
        <w:t>Minor updates have been made to performance indicators under this collection in consultation with existing grant recipients to reduce respondent burden</w:t>
      </w:r>
      <w:r>
        <w:rPr>
          <w:rFonts w:ascii="Times New Roman" w:hAnsi="Times New Roman"/>
          <w:snapToGrid/>
          <w:sz w:val="24"/>
          <w:szCs w:val="24"/>
        </w:rPr>
        <w:t xml:space="preserve"> and to bring the collection into alignment with new programmatic requirements, which replace training activities for the general public with activities focused on building public awareness</w:t>
      </w:r>
      <w:r>
        <w:rPr>
          <w:rStyle w:val="FootnoteReference"/>
          <w:rFonts w:ascii="Times New Roman" w:hAnsi="Times New Roman"/>
          <w:snapToGrid/>
          <w:sz w:val="24"/>
          <w:szCs w:val="24"/>
        </w:rPr>
        <w:footnoteReference w:id="2"/>
      </w:r>
      <w:r>
        <w:rPr>
          <w:rFonts w:ascii="Times New Roman" w:hAnsi="Times New Roman"/>
          <w:snapToGrid/>
          <w:sz w:val="24"/>
          <w:szCs w:val="24"/>
        </w:rPr>
        <w:t xml:space="preserve">. As such, we are requesting to remove the training indicators from this information collection and to make a minor update to the </w:t>
      </w:r>
      <w:r w:rsidRPr="00B449E9">
        <w:rPr>
          <w:rFonts w:ascii="Times New Roman" w:hAnsi="Times New Roman"/>
          <w:snapToGrid/>
          <w:sz w:val="24"/>
          <w:szCs w:val="24"/>
        </w:rPr>
        <w:t>Outreach form</w:t>
      </w:r>
      <w:r>
        <w:rPr>
          <w:rFonts w:ascii="Times New Roman" w:hAnsi="Times New Roman"/>
          <w:snapToGrid/>
          <w:sz w:val="24"/>
          <w:szCs w:val="24"/>
        </w:rPr>
        <w:t>. Additionally, based on information about clients served, we are requesting an update to the</w:t>
      </w:r>
      <w:r w:rsidRPr="00B449E9">
        <w:rPr>
          <w:rFonts w:ascii="Times New Roman" w:hAnsi="Times New Roman"/>
          <w:snapToGrid/>
          <w:sz w:val="24"/>
          <w:szCs w:val="24"/>
        </w:rPr>
        <w:t xml:space="preserve"> Client Case Closure for</w:t>
      </w:r>
      <w:r>
        <w:rPr>
          <w:rFonts w:ascii="Times New Roman" w:hAnsi="Times New Roman"/>
          <w:snapToGrid/>
          <w:sz w:val="24"/>
          <w:szCs w:val="24"/>
        </w:rPr>
        <w:t xml:space="preserve">m. See sections A8 and A15 for additional details about proposed changes. </w:t>
      </w:r>
    </w:p>
    <w:p w:rsidR="007A4200" w:rsidP="00160621" w14:paraId="5B7D964D" w14:textId="77777777">
      <w:pPr>
        <w:widowControl/>
        <w:ind w:left="360"/>
        <w:rPr>
          <w:rFonts w:ascii="Times New Roman" w:hAnsi="Times New Roman"/>
          <w:snapToGrid/>
          <w:sz w:val="24"/>
          <w:szCs w:val="24"/>
        </w:rPr>
      </w:pPr>
    </w:p>
    <w:p w:rsidR="00B75A1A" w:rsidP="00160621" w14:paraId="62C902D6" w14:textId="77777777">
      <w:pPr>
        <w:widowControl/>
        <w:ind w:left="360"/>
        <w:rPr>
          <w:rFonts w:ascii="Times New Roman" w:hAnsi="Times New Roman"/>
          <w:snapToGrid/>
          <w:sz w:val="24"/>
          <w:szCs w:val="24"/>
        </w:rPr>
      </w:pPr>
    </w:p>
    <w:p w:rsidR="002C3C4F" w:rsidRPr="00075889" w:rsidP="00075889"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005205D7" w:rsidRPr="005205D7" w:rsidP="005205D7" w14:paraId="0C25292A" w14:textId="77777777">
      <w:pPr>
        <w:widowControl/>
        <w:tabs>
          <w:tab w:val="num" w:pos="360"/>
        </w:tabs>
        <w:ind w:left="360"/>
        <w:rPr>
          <w:rFonts w:ascii="Times New Roman" w:hAnsi="Times New Roman"/>
          <w:snapToGrid/>
          <w:sz w:val="24"/>
          <w:szCs w:val="24"/>
        </w:rPr>
      </w:pPr>
      <w:r w:rsidRPr="005205D7">
        <w:rPr>
          <w:rFonts w:ascii="Times New Roman" w:hAnsi="Times New Roman"/>
          <w:snapToGrid/>
          <w:sz w:val="24"/>
          <w:szCs w:val="24"/>
        </w:rPr>
        <w:t>The Trafficking Victims Protection Act of 2000 (TVPA), as amended, authorizes the Secretary of Health and Human Services (HHS) to expand benefits and services to foreign nationals in the United States who are victims of severe forms of trafficking in persons.  Section 107(b)(1)(B)(i) of the TVPA (22 U.S.C. § 7105(b)(1)(B)(i)) authorizes the Secretary of HHS to expand non-entitlement benefits and services to victims of severe forms of trafficking in persons in the United States and their family members with derivative T visas.  It further states that such benefits and services “may include services to assist potential victims of trafficking in achieving certification and to assist minor dependent children of victims of severe forms of trafficking in persons or potential victims of trafficking.”</w:t>
      </w:r>
    </w:p>
    <w:p w:rsidR="005205D7" w:rsidRPr="005205D7" w:rsidP="005205D7" w14:paraId="08A8DFB1" w14:textId="77777777">
      <w:pPr>
        <w:widowControl/>
        <w:tabs>
          <w:tab w:val="num" w:pos="360"/>
        </w:tabs>
        <w:ind w:left="360"/>
        <w:rPr>
          <w:rFonts w:ascii="Times New Roman" w:hAnsi="Times New Roman"/>
          <w:snapToGrid/>
          <w:sz w:val="24"/>
          <w:szCs w:val="24"/>
        </w:rPr>
      </w:pPr>
    </w:p>
    <w:p w:rsidR="00EB6D88" w:rsidP="005205D7" w14:paraId="7B482C02" w14:textId="7218A627">
      <w:pPr>
        <w:widowControl/>
        <w:tabs>
          <w:tab w:val="num" w:pos="360"/>
        </w:tabs>
        <w:ind w:left="360"/>
        <w:rPr>
          <w:rFonts w:ascii="Times New Roman" w:hAnsi="Times New Roman"/>
          <w:snapToGrid/>
          <w:sz w:val="24"/>
          <w:szCs w:val="24"/>
        </w:rPr>
      </w:pPr>
      <w:r w:rsidRPr="005205D7">
        <w:rPr>
          <w:rFonts w:ascii="Times New Roman" w:hAnsi="Times New Roman"/>
          <w:snapToGrid/>
          <w:sz w:val="24"/>
          <w:szCs w:val="24"/>
        </w:rPr>
        <w:t xml:space="preserve">Acting under a delegation of authority from the Secretary of HHS, the </w:t>
      </w:r>
      <w:r w:rsidR="0062455B">
        <w:rPr>
          <w:rFonts w:ascii="Times New Roman" w:hAnsi="Times New Roman"/>
          <w:sz w:val="24"/>
          <w:szCs w:val="24"/>
        </w:rPr>
        <w:t>Administration for Children and Families (</w:t>
      </w:r>
      <w:r w:rsidRPr="005205D7">
        <w:rPr>
          <w:rFonts w:ascii="Times New Roman" w:hAnsi="Times New Roman"/>
          <w:snapToGrid/>
          <w:sz w:val="24"/>
          <w:szCs w:val="24"/>
        </w:rPr>
        <w:t>ACF</w:t>
      </w:r>
      <w:r w:rsidR="0062455B">
        <w:rPr>
          <w:rFonts w:ascii="Times New Roman" w:hAnsi="Times New Roman"/>
          <w:snapToGrid/>
          <w:sz w:val="24"/>
          <w:szCs w:val="24"/>
        </w:rPr>
        <w:t>)</w:t>
      </w:r>
      <w:r w:rsidRPr="005205D7">
        <w:rPr>
          <w:rFonts w:ascii="Times New Roman" w:hAnsi="Times New Roman"/>
          <w:snapToGrid/>
          <w:sz w:val="24"/>
          <w:szCs w:val="24"/>
        </w:rPr>
        <w:t xml:space="preserve">, Office on Trafficking in Persons (OTIP) funds time-limited comprehensive case management services to foreign national adult confirmed and potential victims of a severe form of human trafficking, as defined by the TVPA of 2000, as amended, who are seeking or have received HHS certification.  </w:t>
      </w:r>
      <w:r w:rsidR="0062455B">
        <w:rPr>
          <w:rFonts w:ascii="Times New Roman" w:hAnsi="Times New Roman"/>
          <w:snapToGrid/>
          <w:sz w:val="24"/>
          <w:szCs w:val="24"/>
        </w:rPr>
        <w:t xml:space="preserve">The </w:t>
      </w:r>
      <w:r w:rsidRPr="005205D7" w:rsidR="0062455B">
        <w:rPr>
          <w:rFonts w:ascii="Times New Roman" w:hAnsi="Times New Roman"/>
          <w:snapToGrid/>
          <w:sz w:val="24"/>
          <w:szCs w:val="24"/>
        </w:rPr>
        <w:t xml:space="preserve">Trafficking Victims </w:t>
      </w:r>
      <w:r w:rsidR="0062455B">
        <w:rPr>
          <w:rFonts w:ascii="Times New Roman" w:hAnsi="Times New Roman"/>
          <w:snapToGrid/>
          <w:sz w:val="24"/>
          <w:szCs w:val="24"/>
        </w:rPr>
        <w:t>Assistance Program (</w:t>
      </w:r>
      <w:r w:rsidRPr="005205D7">
        <w:rPr>
          <w:rFonts w:ascii="Times New Roman" w:hAnsi="Times New Roman"/>
          <w:snapToGrid/>
          <w:sz w:val="24"/>
          <w:szCs w:val="24"/>
        </w:rPr>
        <w:t>TVAP</w:t>
      </w:r>
      <w:r w:rsidR="0062455B">
        <w:rPr>
          <w:rFonts w:ascii="Times New Roman" w:hAnsi="Times New Roman"/>
          <w:snapToGrid/>
          <w:sz w:val="24"/>
          <w:szCs w:val="24"/>
        </w:rPr>
        <w:t>)</w:t>
      </w:r>
      <w:r w:rsidRPr="005205D7">
        <w:rPr>
          <w:rFonts w:ascii="Times New Roman" w:hAnsi="Times New Roman"/>
          <w:snapToGrid/>
          <w:sz w:val="24"/>
          <w:szCs w:val="24"/>
        </w:rPr>
        <w:t xml:space="preserve"> must also establish local regional presence to coordinate project activities and direct services.  Case management services must be provided to qualified persons directly by full-time case managers that are staffed by the prime recipient and may also be provided through a network of per capita service providers, which provide direct services and community referrals.</w:t>
      </w:r>
    </w:p>
    <w:p w:rsidR="005205D7" w:rsidP="005205D7" w14:paraId="453FA353" w14:textId="77777777">
      <w:pPr>
        <w:widowControl/>
        <w:tabs>
          <w:tab w:val="num" w:pos="360"/>
        </w:tabs>
        <w:ind w:left="360"/>
        <w:rPr>
          <w:rFonts w:ascii="Times New Roman" w:hAnsi="Times New Roman"/>
          <w:snapToGrid/>
          <w:sz w:val="24"/>
          <w:szCs w:val="24"/>
        </w:rPr>
      </w:pPr>
    </w:p>
    <w:p w:rsidR="00EB6D88" w:rsidP="00557510" w14:paraId="3173D318" w14:textId="095C8CA8">
      <w:pPr>
        <w:widowControl/>
        <w:tabs>
          <w:tab w:val="num" w:pos="360"/>
        </w:tabs>
        <w:ind w:left="360"/>
        <w:rPr>
          <w:rFonts w:ascii="Times New Roman" w:hAnsi="Times New Roman"/>
          <w:snapToGrid/>
          <w:sz w:val="24"/>
          <w:szCs w:val="24"/>
        </w:rPr>
      </w:pPr>
      <w:r>
        <w:rPr>
          <w:rFonts w:ascii="Times New Roman" w:hAnsi="Times New Roman"/>
          <w:snapToGrid/>
          <w:sz w:val="24"/>
          <w:szCs w:val="24"/>
        </w:rPr>
        <w:t>This is an existing collection</w:t>
      </w:r>
      <w:r w:rsidR="00F92358">
        <w:rPr>
          <w:rFonts w:ascii="Times New Roman" w:hAnsi="Times New Roman"/>
          <w:snapToGrid/>
          <w:sz w:val="24"/>
          <w:szCs w:val="24"/>
        </w:rPr>
        <w:t xml:space="preserve"> </w:t>
      </w:r>
      <w:r w:rsidR="00E720F0">
        <w:rPr>
          <w:rFonts w:ascii="Times New Roman" w:hAnsi="Times New Roman"/>
          <w:snapToGrid/>
          <w:sz w:val="24"/>
          <w:szCs w:val="24"/>
        </w:rPr>
        <w:t>that is necessary</w:t>
      </w:r>
      <w:r w:rsidR="00F92358">
        <w:rPr>
          <w:rFonts w:ascii="Times New Roman" w:hAnsi="Times New Roman"/>
          <w:snapToGrid/>
          <w:sz w:val="24"/>
          <w:szCs w:val="24"/>
        </w:rPr>
        <w:t xml:space="preserve"> to </w:t>
      </w:r>
      <w:r w:rsidRPr="00EB6D88">
        <w:rPr>
          <w:rFonts w:ascii="Times New Roman" w:hAnsi="Times New Roman"/>
          <w:snapToGrid/>
          <w:sz w:val="24"/>
          <w:szCs w:val="24"/>
        </w:rPr>
        <w:t xml:space="preserve">measure grant project performance, provide technical assistance to grant recipients, assess program outcomes, inform program </w:t>
      </w:r>
      <w:r w:rsidRPr="00EB6D88">
        <w:rPr>
          <w:rFonts w:ascii="Times New Roman" w:hAnsi="Times New Roman"/>
          <w:snapToGrid/>
          <w:sz w:val="24"/>
          <w:szCs w:val="24"/>
        </w:rPr>
        <w:t>evaluation, respond to congressional inquiries and mandated reports, and inform policy and program development that is responsive to the needs of victims.</w:t>
      </w:r>
      <w:r w:rsidR="00557510">
        <w:rPr>
          <w:rFonts w:ascii="Times New Roman" w:hAnsi="Times New Roman"/>
          <w:snapToGrid/>
          <w:sz w:val="24"/>
          <w:szCs w:val="24"/>
        </w:rPr>
        <w:t xml:space="preserve"> Information from this collection also enables OTIP to f</w:t>
      </w:r>
      <w:r w:rsidRPr="00557510" w:rsidR="00557510">
        <w:rPr>
          <w:rFonts w:ascii="Times New Roman" w:hAnsi="Times New Roman"/>
          <w:snapToGrid/>
          <w:sz w:val="24"/>
          <w:szCs w:val="24"/>
        </w:rPr>
        <w:t>ulfill a provision in the TVPA of 2000, as amended, that requires the Attorney General to submit annually “a report on Federal agencies that are implementing any provision of this chapter” (22 USC 7103(d))</w:t>
      </w:r>
      <w:r w:rsidR="00557510">
        <w:rPr>
          <w:rFonts w:ascii="Times New Roman" w:hAnsi="Times New Roman"/>
          <w:snapToGrid/>
          <w:sz w:val="24"/>
          <w:szCs w:val="24"/>
        </w:rPr>
        <w:t xml:space="preserve"> and to pre</w:t>
      </w:r>
      <w:r w:rsidRPr="00557510" w:rsidR="00557510">
        <w:rPr>
          <w:rFonts w:ascii="Times New Roman" w:hAnsi="Times New Roman"/>
          <w:snapToGrid/>
          <w:sz w:val="24"/>
          <w:szCs w:val="24"/>
        </w:rPr>
        <w:t>pare a required annual report to Congress on U.S. Government activities to combat trafficking that is prepared by the U.S. Department of Justice.  Congress requires HHS and other appropriate Federal agencies to report, at a minimum, information on the number of persons who received benefits or other services under 22 USC 7105(b)(f), in connection with programs or activities funded or administered by HHS.</w:t>
      </w:r>
    </w:p>
    <w:p w:rsidR="00DE529D" w:rsidP="00D7443D" w14:paraId="5548F0DE" w14:textId="42787EFD">
      <w:pPr>
        <w:widowControl/>
        <w:tabs>
          <w:tab w:val="num" w:pos="360"/>
        </w:tabs>
        <w:ind w:left="360"/>
        <w:rPr>
          <w:rFonts w:ascii="Times New Roman" w:hAnsi="Times New Roman"/>
          <w:snapToGrid/>
          <w:sz w:val="24"/>
          <w:szCs w:val="24"/>
        </w:rPr>
      </w:pPr>
    </w:p>
    <w:p w:rsidR="00E720F0" w:rsidP="00E720F0" w14:paraId="1CBF4540" w14:textId="52C365FB">
      <w:pPr>
        <w:widowControl/>
        <w:tabs>
          <w:tab w:val="num" w:pos="360"/>
        </w:tabs>
        <w:ind w:left="360"/>
        <w:rPr>
          <w:rFonts w:ascii="Times New Roman" w:hAnsi="Times New Roman"/>
          <w:snapToGrid/>
          <w:sz w:val="24"/>
          <w:szCs w:val="24"/>
        </w:rPr>
      </w:pPr>
      <w:r w:rsidRPr="00DC7A6C">
        <w:rPr>
          <w:rFonts w:ascii="Times New Roman" w:hAnsi="Times New Roman"/>
          <w:snapToGrid/>
          <w:sz w:val="24"/>
          <w:szCs w:val="24"/>
        </w:rPr>
        <w:t xml:space="preserve">This </w:t>
      </w:r>
      <w:r>
        <w:rPr>
          <w:rFonts w:ascii="Times New Roman" w:hAnsi="Times New Roman"/>
          <w:snapToGrid/>
          <w:sz w:val="24"/>
          <w:szCs w:val="24"/>
        </w:rPr>
        <w:t>request is to extend approval with changes to</w:t>
      </w:r>
      <w:r w:rsidRPr="00DC7A6C">
        <w:rPr>
          <w:rFonts w:ascii="Times New Roman" w:hAnsi="Times New Roman"/>
          <w:snapToGrid/>
          <w:sz w:val="24"/>
          <w:szCs w:val="24"/>
        </w:rPr>
        <w:t xml:space="preserve"> an ongoing data collection under</w:t>
      </w:r>
      <w:r>
        <w:rPr>
          <w:rFonts w:ascii="Times New Roman" w:hAnsi="Times New Roman"/>
          <w:snapToGrid/>
          <w:sz w:val="24"/>
          <w:szCs w:val="24"/>
        </w:rPr>
        <w:t xml:space="preserve"> OMB Control Number 0970-0</w:t>
      </w:r>
      <w:r w:rsidR="005205D7">
        <w:rPr>
          <w:rFonts w:ascii="Times New Roman" w:hAnsi="Times New Roman"/>
          <w:snapToGrid/>
          <w:sz w:val="24"/>
          <w:szCs w:val="24"/>
        </w:rPr>
        <w:t>467</w:t>
      </w:r>
      <w:r>
        <w:rPr>
          <w:rFonts w:ascii="Times New Roman" w:hAnsi="Times New Roman"/>
          <w:snapToGrid/>
          <w:sz w:val="24"/>
          <w:szCs w:val="24"/>
        </w:rPr>
        <w:t xml:space="preserve">. </w:t>
      </w:r>
      <w:r w:rsidR="00A92A82">
        <w:rPr>
          <w:rFonts w:ascii="Times New Roman" w:hAnsi="Times New Roman"/>
          <w:snapToGrid/>
          <w:sz w:val="24"/>
          <w:szCs w:val="24"/>
        </w:rPr>
        <w:t>The proposed c</w:t>
      </w:r>
      <w:r>
        <w:rPr>
          <w:rFonts w:ascii="Times New Roman" w:hAnsi="Times New Roman"/>
          <w:snapToGrid/>
          <w:sz w:val="24"/>
          <w:szCs w:val="24"/>
        </w:rPr>
        <w:t xml:space="preserve">hanges </w:t>
      </w:r>
      <w:r w:rsidR="00A92A82">
        <w:rPr>
          <w:rFonts w:ascii="Times New Roman" w:hAnsi="Times New Roman"/>
          <w:snapToGrid/>
          <w:sz w:val="24"/>
          <w:szCs w:val="24"/>
        </w:rPr>
        <w:t xml:space="preserve">are intended </w:t>
      </w:r>
      <w:r w:rsidRPr="00973CB6">
        <w:rPr>
          <w:rFonts w:ascii="Times New Roman" w:hAnsi="Times New Roman"/>
          <w:snapToGrid/>
          <w:sz w:val="24"/>
          <w:szCs w:val="24"/>
        </w:rPr>
        <w:t>to reduce respondent burden and strengthen privacy and confidentiality</w:t>
      </w:r>
      <w:r>
        <w:rPr>
          <w:rFonts w:ascii="Times New Roman" w:hAnsi="Times New Roman"/>
          <w:snapToGrid/>
          <w:sz w:val="24"/>
          <w:szCs w:val="24"/>
        </w:rPr>
        <w:t xml:space="preserve">. </w:t>
      </w:r>
      <w:r w:rsidR="003031CB">
        <w:rPr>
          <w:rFonts w:ascii="Times New Roman" w:hAnsi="Times New Roman"/>
          <w:snapToGrid/>
          <w:sz w:val="24"/>
          <w:szCs w:val="24"/>
        </w:rPr>
        <w:t>An overview of changes is provided in A15.</w:t>
      </w:r>
      <w:r w:rsidRPr="007675E5">
        <w:rPr>
          <w:rFonts w:ascii="Times New Roman" w:hAnsi="Times New Roman"/>
          <w:snapToGrid/>
          <w:sz w:val="24"/>
          <w:szCs w:val="24"/>
        </w:rPr>
        <w:t xml:space="preserve">  </w:t>
      </w:r>
    </w:p>
    <w:p w:rsidR="00E720F0" w:rsidRPr="004F7B95" w:rsidP="00D7443D" w14:paraId="5FA3DB97" w14:textId="77777777">
      <w:pPr>
        <w:widowControl/>
        <w:tabs>
          <w:tab w:val="num" w:pos="360"/>
        </w:tabs>
        <w:ind w:left="360"/>
        <w:rPr>
          <w:rFonts w:ascii="Times New Roman" w:hAnsi="Times New Roman"/>
          <w:snapToGrid/>
          <w:sz w:val="24"/>
          <w:szCs w:val="24"/>
        </w:rPr>
      </w:pPr>
    </w:p>
    <w:p w:rsidR="00790D2C" w:rsidRPr="004F7B95" w:rsidP="00D7443D" w14:paraId="6A4D4BDD" w14:textId="77777777">
      <w:pPr>
        <w:widowControl/>
        <w:tabs>
          <w:tab w:val="num" w:pos="360"/>
        </w:tabs>
        <w:ind w:left="360"/>
        <w:rPr>
          <w:rFonts w:ascii="Times New Roman" w:hAnsi="Times New Roman"/>
          <w:snapToGrid/>
          <w:sz w:val="24"/>
          <w:szCs w:val="24"/>
        </w:rPr>
      </w:pPr>
    </w:p>
    <w:p w:rsidR="002C3C4F" w:rsidRPr="00075889" w:rsidP="00075889"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P</w:t>
      </w:r>
      <w:r w:rsidRPr="00075889">
        <w:rPr>
          <w:rFonts w:ascii="Times New Roman" w:hAnsi="Times New Roman"/>
          <w:b/>
          <w:snapToGrid/>
          <w:sz w:val="24"/>
          <w:szCs w:val="24"/>
        </w:rPr>
        <w:t xml:space="preserve">urpose and Use of the Information Collection </w:t>
      </w:r>
    </w:p>
    <w:p w:rsidR="005C79DA" w:rsidP="005C79DA" w14:paraId="0BAF19A2" w14:textId="582BB49E">
      <w:pPr>
        <w:widowControl/>
        <w:tabs>
          <w:tab w:val="num" w:pos="360"/>
        </w:tabs>
        <w:ind w:left="360"/>
        <w:rPr>
          <w:rFonts w:ascii="Times New Roman" w:hAnsi="Times New Roman"/>
          <w:snapToGrid/>
          <w:sz w:val="24"/>
          <w:szCs w:val="24"/>
        </w:rPr>
      </w:pPr>
      <w:r w:rsidRPr="005C79DA">
        <w:rPr>
          <w:rFonts w:ascii="Times New Roman" w:hAnsi="Times New Roman"/>
          <w:snapToGrid/>
          <w:sz w:val="24"/>
          <w:szCs w:val="24"/>
        </w:rPr>
        <w:t xml:space="preserve">The main purpose of this information collection is to improve OTIP’s monitoring of grant recipients providing services to </w:t>
      </w:r>
      <w:r w:rsidR="005205D7">
        <w:rPr>
          <w:rFonts w:ascii="Times New Roman" w:hAnsi="Times New Roman"/>
          <w:snapToGrid/>
          <w:sz w:val="24"/>
          <w:szCs w:val="24"/>
        </w:rPr>
        <w:t xml:space="preserve">foreign national </w:t>
      </w:r>
      <w:r w:rsidRPr="005C79DA">
        <w:rPr>
          <w:rFonts w:ascii="Times New Roman" w:hAnsi="Times New Roman"/>
          <w:snapToGrid/>
          <w:sz w:val="24"/>
          <w:szCs w:val="24"/>
        </w:rPr>
        <w:t>victims of a severe form of trafficking in persons, and to assess the extent to which grant recipients are meeting required program activities to:</w:t>
      </w:r>
    </w:p>
    <w:p w:rsidR="005C79DA" w:rsidRPr="005C79DA" w:rsidP="005C79DA" w14:paraId="0179189B" w14:textId="77777777">
      <w:pPr>
        <w:widowControl/>
        <w:tabs>
          <w:tab w:val="num" w:pos="360"/>
        </w:tabs>
        <w:ind w:left="360"/>
        <w:rPr>
          <w:rFonts w:ascii="Times New Roman" w:hAnsi="Times New Roman"/>
          <w:snapToGrid/>
          <w:sz w:val="24"/>
          <w:szCs w:val="24"/>
        </w:rPr>
      </w:pPr>
    </w:p>
    <w:p w:rsidR="005205D7" w:rsidRPr="005205D7" w:rsidP="005205D7" w14:paraId="1272513A" w14:textId="77777777">
      <w:pPr>
        <w:pStyle w:val="ListParagraph"/>
        <w:widowControl/>
        <w:numPr>
          <w:ilvl w:val="0"/>
          <w:numId w:val="30"/>
        </w:numPr>
        <w:rPr>
          <w:rFonts w:ascii="Times New Roman" w:hAnsi="Times New Roman"/>
          <w:snapToGrid/>
          <w:sz w:val="24"/>
          <w:szCs w:val="24"/>
        </w:rPr>
      </w:pPr>
      <w:r w:rsidRPr="005205D7">
        <w:rPr>
          <w:rFonts w:ascii="Times New Roman" w:hAnsi="Times New Roman"/>
          <w:snapToGrid/>
          <w:sz w:val="24"/>
          <w:szCs w:val="24"/>
        </w:rPr>
        <w:t xml:space="preserve">Provide comprehensive, culturally and linguistically responsive case management to foreign national adults who have experienced labor and/or sex trafficking; </w:t>
      </w:r>
    </w:p>
    <w:p w:rsidR="005205D7" w:rsidRPr="005205D7" w:rsidP="005205D7" w14:paraId="46A2DB23" w14:textId="77777777">
      <w:pPr>
        <w:pStyle w:val="ListParagraph"/>
        <w:widowControl/>
        <w:numPr>
          <w:ilvl w:val="0"/>
          <w:numId w:val="30"/>
        </w:numPr>
        <w:rPr>
          <w:rFonts w:ascii="Times New Roman" w:hAnsi="Times New Roman"/>
          <w:snapToGrid/>
          <w:sz w:val="24"/>
          <w:szCs w:val="24"/>
        </w:rPr>
      </w:pPr>
      <w:r w:rsidRPr="005205D7">
        <w:rPr>
          <w:rFonts w:ascii="Times New Roman" w:hAnsi="Times New Roman"/>
          <w:snapToGrid/>
          <w:sz w:val="24"/>
          <w:szCs w:val="24"/>
        </w:rPr>
        <w:t xml:space="preserve">Develop and maintain a nationwide network of community service providers (per capita and full-time case managers) to conduct human trafficking outreach and to provide direct services and community referrals; and, </w:t>
      </w:r>
    </w:p>
    <w:p w:rsidR="005205D7" w:rsidRPr="005205D7" w:rsidP="005205D7" w14:paraId="70BDA8FA" w14:textId="77777777">
      <w:pPr>
        <w:pStyle w:val="ListParagraph"/>
        <w:widowControl/>
        <w:numPr>
          <w:ilvl w:val="0"/>
          <w:numId w:val="30"/>
        </w:numPr>
        <w:rPr>
          <w:rFonts w:ascii="Times New Roman" w:hAnsi="Times New Roman"/>
          <w:snapToGrid/>
          <w:sz w:val="24"/>
          <w:szCs w:val="24"/>
        </w:rPr>
      </w:pPr>
      <w:r w:rsidRPr="005205D7">
        <w:rPr>
          <w:rFonts w:ascii="Times New Roman" w:hAnsi="Times New Roman"/>
          <w:snapToGrid/>
          <w:sz w:val="24"/>
          <w:szCs w:val="24"/>
        </w:rPr>
        <w:t xml:space="preserve">Establish regional coordinators within each of the 10 ACF geographic regions to coordinate project activities and support the delivery of services through the nationwide network of providers. </w:t>
      </w:r>
    </w:p>
    <w:p w:rsidR="00D60543" w:rsidP="00D7443D" w14:paraId="62283BD5" w14:textId="77777777">
      <w:pPr>
        <w:widowControl/>
        <w:tabs>
          <w:tab w:val="num" w:pos="360"/>
        </w:tabs>
        <w:ind w:left="360"/>
        <w:rPr>
          <w:rFonts w:ascii="Times New Roman" w:hAnsi="Times New Roman"/>
          <w:snapToGrid/>
          <w:sz w:val="24"/>
          <w:szCs w:val="24"/>
        </w:rPr>
      </w:pPr>
    </w:p>
    <w:p w:rsidR="009D2C4A" w:rsidRPr="009D2C4A" w:rsidP="00557510" w14:paraId="6EC17384" w14:textId="2B3F4598">
      <w:pPr>
        <w:widowControl/>
        <w:tabs>
          <w:tab w:val="num" w:pos="360"/>
        </w:tabs>
        <w:ind w:left="360"/>
        <w:rPr>
          <w:rFonts w:ascii="Times New Roman" w:hAnsi="Times New Roman"/>
          <w:snapToGrid/>
          <w:sz w:val="24"/>
          <w:szCs w:val="24"/>
        </w:rPr>
      </w:pPr>
      <w:r>
        <w:rPr>
          <w:rFonts w:ascii="Times New Roman" w:hAnsi="Times New Roman"/>
          <w:snapToGrid/>
          <w:sz w:val="24"/>
          <w:szCs w:val="24"/>
        </w:rPr>
        <w:t>Th</w:t>
      </w:r>
      <w:r w:rsidRPr="009D2C4A">
        <w:rPr>
          <w:rFonts w:ascii="Times New Roman" w:hAnsi="Times New Roman"/>
          <w:snapToGrid/>
          <w:sz w:val="24"/>
          <w:szCs w:val="24"/>
        </w:rPr>
        <w:t xml:space="preserve">e information </w:t>
      </w:r>
      <w:r>
        <w:rPr>
          <w:rFonts w:ascii="Times New Roman" w:hAnsi="Times New Roman"/>
          <w:snapToGrid/>
          <w:sz w:val="24"/>
          <w:szCs w:val="24"/>
        </w:rPr>
        <w:t xml:space="preserve">obtained through this </w:t>
      </w:r>
      <w:r w:rsidRPr="009D2C4A">
        <w:rPr>
          <w:rFonts w:ascii="Times New Roman" w:hAnsi="Times New Roman"/>
          <w:snapToGrid/>
          <w:sz w:val="24"/>
          <w:szCs w:val="24"/>
        </w:rPr>
        <w:t>collection will allow OTIP to</w:t>
      </w:r>
      <w:r>
        <w:rPr>
          <w:rFonts w:ascii="Times New Roman" w:hAnsi="Times New Roman"/>
          <w:snapToGrid/>
          <w:sz w:val="24"/>
          <w:szCs w:val="24"/>
        </w:rPr>
        <w:t xml:space="preserve"> evaluate service delivery efforts, inform prevention programming, and monitor program outcomes. Additionally, this information will enable OTIP t</w:t>
      </w:r>
      <w:r w:rsidR="00557510">
        <w:rPr>
          <w:rFonts w:ascii="Times New Roman" w:hAnsi="Times New Roman"/>
          <w:snapToGrid/>
          <w:sz w:val="24"/>
          <w:szCs w:val="24"/>
        </w:rPr>
        <w:t>o u</w:t>
      </w:r>
      <w:r w:rsidRPr="009D2C4A">
        <w:rPr>
          <w:rFonts w:ascii="Times New Roman" w:hAnsi="Times New Roman"/>
          <w:snapToGrid/>
          <w:sz w:val="24"/>
          <w:szCs w:val="24"/>
        </w:rPr>
        <w:t>nderstand and disseminate insights related to human trafficking cases and trends to inform anti-trafficking strategies and policies.</w:t>
      </w:r>
      <w:r w:rsidR="00E720F0">
        <w:rPr>
          <w:rFonts w:ascii="Times New Roman" w:hAnsi="Times New Roman"/>
          <w:snapToGrid/>
          <w:sz w:val="24"/>
          <w:szCs w:val="24"/>
        </w:rPr>
        <w:t xml:space="preserve"> The information collected is also used to pre</w:t>
      </w:r>
      <w:r w:rsidRPr="00557510" w:rsidR="00E720F0">
        <w:rPr>
          <w:rFonts w:ascii="Times New Roman" w:hAnsi="Times New Roman"/>
          <w:snapToGrid/>
          <w:sz w:val="24"/>
          <w:szCs w:val="24"/>
        </w:rPr>
        <w:t>pare a required annual report to Congress</w:t>
      </w:r>
      <w:r w:rsidR="00A92A82">
        <w:rPr>
          <w:rFonts w:ascii="Times New Roman" w:hAnsi="Times New Roman"/>
          <w:snapToGrid/>
          <w:sz w:val="24"/>
          <w:szCs w:val="24"/>
        </w:rPr>
        <w:t xml:space="preserve"> and the annual </w:t>
      </w:r>
      <w:r w:rsidRPr="000048F8" w:rsidR="00A92A82">
        <w:rPr>
          <w:rFonts w:ascii="Times New Roman" w:hAnsi="Times New Roman"/>
          <w:snapToGrid/>
          <w:sz w:val="24"/>
          <w:szCs w:val="24"/>
        </w:rPr>
        <w:t>Attorney General's Trafficking in Persons Report</w:t>
      </w:r>
      <w:r w:rsidR="00E720F0">
        <w:rPr>
          <w:rFonts w:ascii="Times New Roman" w:hAnsi="Times New Roman"/>
          <w:snapToGrid/>
          <w:sz w:val="24"/>
          <w:szCs w:val="24"/>
        </w:rPr>
        <w:t>, as noted previously.</w:t>
      </w:r>
    </w:p>
    <w:p w:rsidR="00790D2C" w:rsidP="00D7443D" w14:paraId="6C3FFD0B" w14:textId="2C94EF4D">
      <w:pPr>
        <w:widowControl/>
        <w:tabs>
          <w:tab w:val="num" w:pos="360"/>
        </w:tabs>
        <w:ind w:left="360"/>
        <w:rPr>
          <w:rFonts w:ascii="Times New Roman" w:hAnsi="Times New Roman"/>
          <w:snapToGrid/>
          <w:sz w:val="24"/>
          <w:szCs w:val="24"/>
        </w:rPr>
      </w:pPr>
    </w:p>
    <w:p w:rsidR="007675E5" w:rsidRPr="004F7B95" w:rsidP="00D7443D" w14:paraId="233657C5" w14:textId="77777777">
      <w:pPr>
        <w:widowControl/>
        <w:tabs>
          <w:tab w:val="num" w:pos="360"/>
        </w:tabs>
        <w:ind w:left="360"/>
        <w:rPr>
          <w:rFonts w:ascii="Times New Roman" w:hAnsi="Times New Roman"/>
          <w:snapToGrid/>
          <w:sz w:val="24"/>
          <w:szCs w:val="24"/>
        </w:rPr>
      </w:pPr>
    </w:p>
    <w:p w:rsidR="002C3C4F" w:rsidRPr="00075889" w:rsidP="00075889"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007E693F" w:rsidP="00022586" w14:paraId="79325B44" w14:textId="3E8CB6AA">
      <w:pPr>
        <w:widowControl/>
        <w:tabs>
          <w:tab w:val="num" w:pos="360"/>
        </w:tabs>
        <w:ind w:left="360"/>
        <w:rPr>
          <w:rFonts w:ascii="Times New Roman" w:hAnsi="Times New Roman"/>
          <w:snapToGrid/>
          <w:sz w:val="24"/>
          <w:szCs w:val="24"/>
        </w:rPr>
      </w:pPr>
      <w:r>
        <w:rPr>
          <w:rFonts w:ascii="Times New Roman" w:hAnsi="Times New Roman"/>
          <w:snapToGrid/>
          <w:sz w:val="24"/>
          <w:szCs w:val="24"/>
        </w:rPr>
        <w:t>The TVAP</w:t>
      </w:r>
      <w:r w:rsidR="00D279CE">
        <w:rPr>
          <w:rFonts w:ascii="Times New Roman" w:hAnsi="Times New Roman"/>
          <w:snapToGrid/>
          <w:sz w:val="24"/>
          <w:szCs w:val="24"/>
        </w:rPr>
        <w:t xml:space="preserve"> g</w:t>
      </w:r>
      <w:r w:rsidR="008C5811">
        <w:rPr>
          <w:rFonts w:ascii="Times New Roman" w:hAnsi="Times New Roman"/>
          <w:snapToGrid/>
          <w:sz w:val="24"/>
          <w:szCs w:val="24"/>
        </w:rPr>
        <w:t>rant recipient</w:t>
      </w:r>
      <w:r>
        <w:rPr>
          <w:rFonts w:ascii="Times New Roman" w:hAnsi="Times New Roman"/>
          <w:snapToGrid/>
          <w:sz w:val="24"/>
          <w:szCs w:val="24"/>
        </w:rPr>
        <w:t xml:space="preserve"> has</w:t>
      </w:r>
      <w:r w:rsidR="008C5811">
        <w:rPr>
          <w:rFonts w:ascii="Times New Roman" w:hAnsi="Times New Roman"/>
          <w:snapToGrid/>
          <w:sz w:val="24"/>
          <w:szCs w:val="24"/>
        </w:rPr>
        <w:t xml:space="preserve"> historically submitted</w:t>
      </w:r>
      <w:r w:rsidR="00750769">
        <w:rPr>
          <w:rFonts w:ascii="Times New Roman" w:hAnsi="Times New Roman"/>
          <w:snapToGrid/>
          <w:sz w:val="24"/>
          <w:szCs w:val="24"/>
        </w:rPr>
        <w:t xml:space="preserve"> information under this collection via structured</w:t>
      </w:r>
      <w:r w:rsidR="008C5811">
        <w:rPr>
          <w:rFonts w:ascii="Times New Roman" w:hAnsi="Times New Roman"/>
          <w:snapToGrid/>
          <w:sz w:val="24"/>
          <w:szCs w:val="24"/>
        </w:rPr>
        <w:t xml:space="preserve">, macro-enabled </w:t>
      </w:r>
      <w:r w:rsidR="007A5ED4">
        <w:rPr>
          <w:rFonts w:ascii="Times New Roman" w:hAnsi="Times New Roman"/>
          <w:snapToGrid/>
          <w:sz w:val="24"/>
          <w:szCs w:val="24"/>
        </w:rPr>
        <w:t xml:space="preserve">Excel </w:t>
      </w:r>
      <w:r w:rsidR="008C5811">
        <w:rPr>
          <w:rFonts w:ascii="Times New Roman" w:hAnsi="Times New Roman"/>
          <w:snapToGrid/>
          <w:sz w:val="24"/>
          <w:szCs w:val="24"/>
        </w:rPr>
        <w:t>workbooks</w:t>
      </w:r>
      <w:r w:rsidR="00750769">
        <w:rPr>
          <w:rFonts w:ascii="Times New Roman" w:hAnsi="Times New Roman"/>
          <w:snapToGrid/>
          <w:sz w:val="24"/>
          <w:szCs w:val="24"/>
        </w:rPr>
        <w:t xml:space="preserve">. </w:t>
      </w:r>
      <w:r w:rsidR="008C5811">
        <w:rPr>
          <w:rFonts w:ascii="Times New Roman" w:hAnsi="Times New Roman"/>
          <w:snapToGrid/>
          <w:sz w:val="24"/>
          <w:szCs w:val="24"/>
        </w:rPr>
        <w:t xml:space="preserve">Beginning in FY 2021, HHS strengthened its security posture, no longer allowing macro-enabled workbooks for use, which increased the level of manual data entry required by </w:t>
      </w:r>
      <w:r>
        <w:rPr>
          <w:rFonts w:ascii="Times New Roman" w:hAnsi="Times New Roman"/>
          <w:snapToGrid/>
          <w:sz w:val="24"/>
          <w:szCs w:val="24"/>
        </w:rPr>
        <w:t>the g</w:t>
      </w:r>
      <w:r w:rsidR="008C5811">
        <w:rPr>
          <w:rFonts w:ascii="Times New Roman" w:hAnsi="Times New Roman"/>
          <w:snapToGrid/>
          <w:sz w:val="24"/>
          <w:szCs w:val="24"/>
        </w:rPr>
        <w:t>rant recipient.</w:t>
      </w:r>
      <w:r w:rsidR="0084444B">
        <w:rPr>
          <w:rFonts w:ascii="Times New Roman" w:hAnsi="Times New Roman"/>
          <w:snapToGrid/>
          <w:sz w:val="24"/>
          <w:szCs w:val="24"/>
        </w:rPr>
        <w:t xml:space="preserve"> </w:t>
      </w:r>
      <w:r w:rsidR="00842EC9">
        <w:rPr>
          <w:rFonts w:ascii="Times New Roman" w:hAnsi="Times New Roman"/>
          <w:snapToGrid/>
          <w:sz w:val="24"/>
          <w:szCs w:val="24"/>
        </w:rPr>
        <w:t>Previously</w:t>
      </w:r>
      <w:r w:rsidRPr="007E693F" w:rsidR="0084444B">
        <w:rPr>
          <w:rFonts w:ascii="Times New Roman" w:hAnsi="Times New Roman"/>
          <w:snapToGrid/>
          <w:sz w:val="24"/>
          <w:szCs w:val="24"/>
        </w:rPr>
        <w:t xml:space="preserve">, OTIP staff </w:t>
      </w:r>
      <w:r w:rsidR="00842EC9">
        <w:rPr>
          <w:rFonts w:ascii="Times New Roman" w:hAnsi="Times New Roman"/>
          <w:snapToGrid/>
          <w:sz w:val="24"/>
          <w:szCs w:val="24"/>
        </w:rPr>
        <w:t>needed to</w:t>
      </w:r>
      <w:r w:rsidRPr="007E693F" w:rsidR="0084444B">
        <w:rPr>
          <w:rFonts w:ascii="Times New Roman" w:hAnsi="Times New Roman"/>
          <w:snapToGrid/>
          <w:sz w:val="24"/>
          <w:szCs w:val="24"/>
        </w:rPr>
        <w:t xml:space="preserve"> </w:t>
      </w:r>
      <w:r w:rsidRPr="007E693F" w:rsidR="0084444B">
        <w:rPr>
          <w:rFonts w:ascii="Times New Roman" w:hAnsi="Times New Roman"/>
          <w:snapToGrid/>
          <w:sz w:val="24"/>
          <w:szCs w:val="24"/>
        </w:rPr>
        <w:t xml:space="preserve">manually </w:t>
      </w:r>
      <w:r w:rsidRPr="007E693F" w:rsidR="00134E93">
        <w:rPr>
          <w:rFonts w:ascii="Times New Roman" w:hAnsi="Times New Roman"/>
          <w:snapToGrid/>
          <w:sz w:val="24"/>
          <w:szCs w:val="24"/>
        </w:rPr>
        <w:t>extract</w:t>
      </w:r>
      <w:r w:rsidRPr="007E693F" w:rsidR="0084444B">
        <w:rPr>
          <w:rFonts w:ascii="Times New Roman" w:hAnsi="Times New Roman"/>
          <w:snapToGrid/>
          <w:sz w:val="24"/>
          <w:szCs w:val="24"/>
        </w:rPr>
        <w:t xml:space="preserve"> and process grant performance reporting data contained within the spreadsheets </w:t>
      </w:r>
      <w:r w:rsidR="0084444B">
        <w:rPr>
          <w:rFonts w:ascii="Times New Roman" w:hAnsi="Times New Roman"/>
          <w:snapToGrid/>
          <w:sz w:val="24"/>
          <w:szCs w:val="24"/>
        </w:rPr>
        <w:t xml:space="preserve">that </w:t>
      </w:r>
      <w:r w:rsidRPr="007E693F" w:rsidR="0084444B">
        <w:rPr>
          <w:rFonts w:ascii="Times New Roman" w:hAnsi="Times New Roman"/>
          <w:snapToGrid/>
          <w:sz w:val="24"/>
          <w:szCs w:val="24"/>
        </w:rPr>
        <w:t>grant recipients upload as an attachment to the Performance Progress Report</w:t>
      </w:r>
      <w:r w:rsidR="0084444B">
        <w:rPr>
          <w:rFonts w:ascii="Times New Roman" w:hAnsi="Times New Roman"/>
          <w:snapToGrid/>
          <w:sz w:val="24"/>
          <w:szCs w:val="24"/>
        </w:rPr>
        <w:t xml:space="preserve"> (PPR) within GrantSolutions.gov</w:t>
      </w:r>
      <w:r w:rsidR="00842EC9">
        <w:rPr>
          <w:rFonts w:ascii="Times New Roman" w:hAnsi="Times New Roman"/>
          <w:snapToGrid/>
          <w:sz w:val="24"/>
          <w:szCs w:val="24"/>
        </w:rPr>
        <w:t xml:space="preserve">, </w:t>
      </w:r>
      <w:r w:rsidRPr="007E693F" w:rsidR="0084444B">
        <w:rPr>
          <w:rFonts w:ascii="Times New Roman" w:hAnsi="Times New Roman"/>
          <w:snapToGrid/>
          <w:sz w:val="24"/>
          <w:szCs w:val="24"/>
        </w:rPr>
        <w:t xml:space="preserve">a cumbersome process that </w:t>
      </w:r>
      <w:r w:rsidR="0062455B">
        <w:rPr>
          <w:rFonts w:ascii="Times New Roman" w:hAnsi="Times New Roman"/>
          <w:snapToGrid/>
          <w:sz w:val="24"/>
          <w:szCs w:val="24"/>
        </w:rPr>
        <w:t>wa</w:t>
      </w:r>
      <w:r w:rsidRPr="007E693F" w:rsidR="0084444B">
        <w:rPr>
          <w:rFonts w:ascii="Times New Roman" w:hAnsi="Times New Roman"/>
          <w:snapToGrid/>
          <w:sz w:val="24"/>
          <w:szCs w:val="24"/>
        </w:rPr>
        <w:t>s time consuming for OTIP staff and grant recipients.</w:t>
      </w:r>
    </w:p>
    <w:p w:rsidR="007E693F" w:rsidP="00022586" w14:paraId="1EC4F569" w14:textId="2B3D0D22">
      <w:pPr>
        <w:widowControl/>
        <w:tabs>
          <w:tab w:val="num" w:pos="360"/>
        </w:tabs>
        <w:ind w:left="360"/>
        <w:rPr>
          <w:rFonts w:ascii="Times New Roman" w:hAnsi="Times New Roman"/>
          <w:snapToGrid/>
          <w:sz w:val="24"/>
          <w:szCs w:val="24"/>
        </w:rPr>
      </w:pPr>
    </w:p>
    <w:p w:rsidR="007E693F" w:rsidP="007E693F" w14:paraId="602DAD70" w14:textId="7582784A">
      <w:pPr>
        <w:widowControl/>
        <w:tabs>
          <w:tab w:val="num" w:pos="360"/>
        </w:tabs>
        <w:ind w:left="360"/>
        <w:rPr>
          <w:rFonts w:ascii="Times New Roman" w:hAnsi="Times New Roman"/>
          <w:snapToGrid/>
          <w:sz w:val="24"/>
          <w:szCs w:val="24"/>
        </w:rPr>
      </w:pPr>
      <w:r w:rsidRPr="007E693F">
        <w:rPr>
          <w:rFonts w:ascii="Times New Roman" w:hAnsi="Times New Roman"/>
          <w:snapToGrid/>
          <w:sz w:val="24"/>
          <w:szCs w:val="24"/>
        </w:rPr>
        <w:t>OTIP</w:t>
      </w:r>
      <w:r>
        <w:rPr>
          <w:rFonts w:ascii="Times New Roman" w:hAnsi="Times New Roman"/>
          <w:snapToGrid/>
          <w:sz w:val="24"/>
          <w:szCs w:val="24"/>
        </w:rPr>
        <w:t xml:space="preserve"> built and</w:t>
      </w:r>
      <w:r w:rsidR="0084444B">
        <w:rPr>
          <w:rFonts w:ascii="Times New Roman" w:hAnsi="Times New Roman"/>
          <w:snapToGrid/>
          <w:sz w:val="24"/>
          <w:szCs w:val="24"/>
        </w:rPr>
        <w:t>,</w:t>
      </w:r>
      <w:r>
        <w:rPr>
          <w:rFonts w:ascii="Times New Roman" w:hAnsi="Times New Roman"/>
          <w:snapToGrid/>
          <w:sz w:val="24"/>
          <w:szCs w:val="24"/>
        </w:rPr>
        <w:t xml:space="preserve"> </w:t>
      </w:r>
      <w:r w:rsidR="0084444B">
        <w:rPr>
          <w:rFonts w:ascii="Times New Roman" w:hAnsi="Times New Roman"/>
          <w:snapToGrid/>
          <w:sz w:val="24"/>
          <w:szCs w:val="24"/>
        </w:rPr>
        <w:t xml:space="preserve">as of September 2022, </w:t>
      </w:r>
      <w:r>
        <w:rPr>
          <w:rFonts w:ascii="Times New Roman" w:hAnsi="Times New Roman"/>
          <w:snapToGrid/>
          <w:sz w:val="24"/>
          <w:szCs w:val="24"/>
        </w:rPr>
        <w:t xml:space="preserve">deployed the </w:t>
      </w:r>
      <w:r w:rsidRPr="007E693F">
        <w:rPr>
          <w:rFonts w:ascii="Times New Roman" w:hAnsi="Times New Roman"/>
          <w:snapToGrid/>
          <w:sz w:val="24"/>
          <w:szCs w:val="24"/>
        </w:rPr>
        <w:t>Anti-Trafficking Information Management System (ATIMS</w:t>
      </w:r>
      <w:r w:rsidR="00D279CE">
        <w:rPr>
          <w:rFonts w:ascii="Times New Roman" w:hAnsi="Times New Roman"/>
          <w:snapToGrid/>
          <w:sz w:val="24"/>
          <w:szCs w:val="24"/>
        </w:rPr>
        <w:t>)</w:t>
      </w:r>
      <w:r w:rsidRPr="007E693F">
        <w:rPr>
          <w:rFonts w:ascii="Times New Roman" w:hAnsi="Times New Roman"/>
          <w:snapToGrid/>
          <w:sz w:val="24"/>
          <w:szCs w:val="24"/>
        </w:rPr>
        <w:t xml:space="preserve"> </w:t>
      </w:r>
      <w:r w:rsidR="0084444B">
        <w:rPr>
          <w:rFonts w:ascii="Times New Roman" w:hAnsi="Times New Roman"/>
          <w:snapToGrid/>
          <w:sz w:val="24"/>
          <w:szCs w:val="24"/>
        </w:rPr>
        <w:t xml:space="preserve">for grant recipients to </w:t>
      </w:r>
      <w:r w:rsidRPr="00DB2622" w:rsidR="0084444B">
        <w:rPr>
          <w:rFonts w:ascii="Times New Roman" w:hAnsi="Times New Roman"/>
          <w:snapToGrid/>
          <w:sz w:val="24"/>
          <w:szCs w:val="24"/>
        </w:rPr>
        <w:t>manage client and programmatic information</w:t>
      </w:r>
      <w:r w:rsidR="0084444B">
        <w:rPr>
          <w:rFonts w:ascii="Times New Roman" w:hAnsi="Times New Roman"/>
          <w:snapToGrid/>
          <w:sz w:val="24"/>
          <w:szCs w:val="24"/>
        </w:rPr>
        <w:t xml:space="preserve"> required under the </w:t>
      </w:r>
      <w:r w:rsidR="001F69F9">
        <w:rPr>
          <w:rFonts w:ascii="Times New Roman" w:hAnsi="Times New Roman"/>
          <w:snapToGrid/>
          <w:sz w:val="24"/>
          <w:szCs w:val="24"/>
        </w:rPr>
        <w:t>TVAP</w:t>
      </w:r>
      <w:r w:rsidR="0084444B">
        <w:rPr>
          <w:rFonts w:ascii="Times New Roman" w:hAnsi="Times New Roman"/>
          <w:snapToGrid/>
          <w:sz w:val="24"/>
          <w:szCs w:val="24"/>
        </w:rPr>
        <w:t xml:space="preserve"> program. ATIMS allows OTIP to better </w:t>
      </w:r>
      <w:r w:rsidRPr="007E693F">
        <w:rPr>
          <w:rFonts w:ascii="Times New Roman" w:hAnsi="Times New Roman"/>
          <w:snapToGrid/>
          <w:sz w:val="24"/>
          <w:szCs w:val="24"/>
        </w:rPr>
        <w:t>monitor grant performance, ease</w:t>
      </w:r>
      <w:r w:rsidR="0084444B">
        <w:rPr>
          <w:rFonts w:ascii="Times New Roman" w:hAnsi="Times New Roman"/>
          <w:snapToGrid/>
          <w:sz w:val="24"/>
          <w:szCs w:val="24"/>
        </w:rPr>
        <w:t>s</w:t>
      </w:r>
      <w:r w:rsidRPr="007E693F">
        <w:rPr>
          <w:rFonts w:ascii="Times New Roman" w:hAnsi="Times New Roman"/>
          <w:snapToGrid/>
          <w:sz w:val="24"/>
          <w:szCs w:val="24"/>
        </w:rPr>
        <w:t xml:space="preserve"> the reporting burden for grant recipient</w:t>
      </w:r>
      <w:r w:rsidR="0084444B">
        <w:rPr>
          <w:rFonts w:ascii="Times New Roman" w:hAnsi="Times New Roman"/>
          <w:snapToGrid/>
          <w:sz w:val="24"/>
          <w:szCs w:val="24"/>
        </w:rPr>
        <w:t>s</w:t>
      </w:r>
      <w:r w:rsidRPr="007E693F">
        <w:rPr>
          <w:rFonts w:ascii="Times New Roman" w:hAnsi="Times New Roman"/>
          <w:snapToGrid/>
          <w:sz w:val="24"/>
          <w:szCs w:val="24"/>
        </w:rPr>
        <w:t>, enable</w:t>
      </w:r>
      <w:r w:rsidR="0084444B">
        <w:rPr>
          <w:rFonts w:ascii="Times New Roman" w:hAnsi="Times New Roman"/>
          <w:snapToGrid/>
          <w:sz w:val="24"/>
          <w:szCs w:val="24"/>
        </w:rPr>
        <w:t>s</w:t>
      </w:r>
      <w:r w:rsidRPr="007E693F">
        <w:rPr>
          <w:rFonts w:ascii="Times New Roman" w:hAnsi="Times New Roman"/>
          <w:snapToGrid/>
          <w:sz w:val="24"/>
          <w:szCs w:val="24"/>
        </w:rPr>
        <w:t xml:space="preserve"> robust analytics, and</w:t>
      </w:r>
      <w:r w:rsidR="0084444B">
        <w:rPr>
          <w:rFonts w:ascii="Times New Roman" w:hAnsi="Times New Roman"/>
          <w:snapToGrid/>
          <w:sz w:val="24"/>
          <w:szCs w:val="24"/>
        </w:rPr>
        <w:t xml:space="preserve"> supports OTIP’s</w:t>
      </w:r>
      <w:r w:rsidRPr="007E693F">
        <w:rPr>
          <w:rFonts w:ascii="Times New Roman" w:hAnsi="Times New Roman"/>
          <w:snapToGrid/>
          <w:sz w:val="24"/>
          <w:szCs w:val="24"/>
        </w:rPr>
        <w:t xml:space="preserve"> HHS Certification and Eligibility processes through </w:t>
      </w:r>
      <w:r>
        <w:rPr>
          <w:rFonts w:ascii="Times New Roman" w:hAnsi="Times New Roman"/>
          <w:snapToGrid/>
          <w:sz w:val="24"/>
          <w:szCs w:val="24"/>
        </w:rPr>
        <w:t xml:space="preserve">a separate, now integrated module, </w:t>
      </w:r>
      <w:r w:rsidRPr="007E693F">
        <w:rPr>
          <w:rFonts w:ascii="Times New Roman" w:hAnsi="Times New Roman"/>
          <w:snapToGrid/>
          <w:sz w:val="24"/>
          <w:szCs w:val="24"/>
        </w:rPr>
        <w:t>the Shepherd Case Management System.</w:t>
      </w:r>
      <w:r w:rsidR="0084444B">
        <w:rPr>
          <w:rFonts w:ascii="Times New Roman" w:hAnsi="Times New Roman"/>
          <w:snapToGrid/>
          <w:sz w:val="24"/>
          <w:szCs w:val="24"/>
        </w:rPr>
        <w:t xml:space="preserve"> </w:t>
      </w:r>
      <w:r w:rsidRPr="00DB2622" w:rsidR="0084444B">
        <w:rPr>
          <w:rFonts w:ascii="Times New Roman" w:hAnsi="Times New Roman"/>
          <w:snapToGrid/>
          <w:sz w:val="24"/>
          <w:szCs w:val="24"/>
        </w:rPr>
        <w:t xml:space="preserve">The data collection system </w:t>
      </w:r>
      <w:r w:rsidR="0084444B">
        <w:rPr>
          <w:rFonts w:ascii="Times New Roman" w:hAnsi="Times New Roman"/>
          <w:snapToGrid/>
          <w:sz w:val="24"/>
          <w:szCs w:val="24"/>
        </w:rPr>
        <w:t xml:space="preserve">provides for increased quality controls such as structured, multi-select reporting options, as well as tooltips, to define key terms and definitions within the system user interface. The ATIMS system reduces </w:t>
      </w:r>
      <w:r w:rsidRPr="00DB2622" w:rsidR="0084444B">
        <w:rPr>
          <w:rFonts w:ascii="Times New Roman" w:hAnsi="Times New Roman"/>
          <w:snapToGrid/>
          <w:sz w:val="24"/>
          <w:szCs w:val="24"/>
        </w:rPr>
        <w:t>the amount of manual data entry,</w:t>
      </w:r>
      <w:r w:rsidR="0084444B">
        <w:rPr>
          <w:rFonts w:ascii="Times New Roman" w:hAnsi="Times New Roman"/>
          <w:snapToGrid/>
          <w:sz w:val="24"/>
          <w:szCs w:val="24"/>
        </w:rPr>
        <w:t xml:space="preserve"> easing</w:t>
      </w:r>
      <w:r w:rsidRPr="00DB2622" w:rsidR="0084444B">
        <w:rPr>
          <w:rFonts w:ascii="Times New Roman" w:hAnsi="Times New Roman"/>
          <w:snapToGrid/>
          <w:sz w:val="24"/>
          <w:szCs w:val="24"/>
        </w:rPr>
        <w:t xml:space="preserve"> the burden of </w:t>
      </w:r>
      <w:r w:rsidR="0084444B">
        <w:rPr>
          <w:rFonts w:ascii="Times New Roman" w:hAnsi="Times New Roman"/>
          <w:snapToGrid/>
          <w:sz w:val="24"/>
          <w:szCs w:val="24"/>
        </w:rPr>
        <w:t>r</w:t>
      </w:r>
      <w:r w:rsidRPr="00DB2622" w:rsidR="0084444B">
        <w:rPr>
          <w:rFonts w:ascii="Times New Roman" w:hAnsi="Times New Roman"/>
          <w:snapToGrid/>
          <w:sz w:val="24"/>
          <w:szCs w:val="24"/>
        </w:rPr>
        <w:t>eporting</w:t>
      </w:r>
      <w:r w:rsidR="0084444B">
        <w:rPr>
          <w:rFonts w:ascii="Times New Roman" w:hAnsi="Times New Roman"/>
          <w:snapToGrid/>
          <w:sz w:val="24"/>
          <w:szCs w:val="24"/>
        </w:rPr>
        <w:t xml:space="preserve"> on grant recipients</w:t>
      </w:r>
      <w:r w:rsidRPr="00DB2622" w:rsidR="0084444B">
        <w:rPr>
          <w:rFonts w:ascii="Times New Roman" w:hAnsi="Times New Roman"/>
          <w:snapToGrid/>
          <w:sz w:val="24"/>
          <w:szCs w:val="24"/>
        </w:rPr>
        <w:t xml:space="preserve"> and </w:t>
      </w:r>
      <w:r w:rsidR="0084444B">
        <w:rPr>
          <w:rFonts w:ascii="Times New Roman" w:hAnsi="Times New Roman"/>
          <w:snapToGrid/>
          <w:sz w:val="24"/>
          <w:szCs w:val="24"/>
        </w:rPr>
        <w:t xml:space="preserve">increasing </w:t>
      </w:r>
      <w:r w:rsidRPr="00DB2622" w:rsidR="0084444B">
        <w:rPr>
          <w:rFonts w:ascii="Times New Roman" w:hAnsi="Times New Roman"/>
          <w:snapToGrid/>
          <w:sz w:val="24"/>
          <w:szCs w:val="24"/>
        </w:rPr>
        <w:t>the accuracy</w:t>
      </w:r>
      <w:r w:rsidR="0084444B">
        <w:rPr>
          <w:rFonts w:ascii="Times New Roman" w:hAnsi="Times New Roman"/>
          <w:snapToGrid/>
          <w:sz w:val="24"/>
          <w:szCs w:val="24"/>
        </w:rPr>
        <w:t xml:space="preserve"> and overall quality</w:t>
      </w:r>
      <w:r w:rsidRPr="00DB2622" w:rsidR="0084444B">
        <w:rPr>
          <w:rFonts w:ascii="Times New Roman" w:hAnsi="Times New Roman"/>
          <w:snapToGrid/>
          <w:sz w:val="24"/>
          <w:szCs w:val="24"/>
        </w:rPr>
        <w:t xml:space="preserve"> </w:t>
      </w:r>
      <w:r w:rsidR="0084444B">
        <w:rPr>
          <w:rFonts w:ascii="Times New Roman" w:hAnsi="Times New Roman"/>
          <w:snapToGrid/>
          <w:sz w:val="24"/>
          <w:szCs w:val="24"/>
        </w:rPr>
        <w:t xml:space="preserve">of the data submitted. </w:t>
      </w:r>
      <w:r w:rsidRPr="007E693F">
        <w:rPr>
          <w:rFonts w:ascii="Times New Roman" w:hAnsi="Times New Roman"/>
          <w:snapToGrid/>
          <w:sz w:val="24"/>
          <w:szCs w:val="24"/>
        </w:rPr>
        <w:t xml:space="preserve">ATIMS </w:t>
      </w:r>
      <w:r w:rsidR="0084444B">
        <w:rPr>
          <w:rFonts w:ascii="Times New Roman" w:hAnsi="Times New Roman"/>
          <w:snapToGrid/>
          <w:sz w:val="24"/>
          <w:szCs w:val="24"/>
        </w:rPr>
        <w:t>also provides</w:t>
      </w:r>
      <w:r w:rsidRPr="007E693F">
        <w:rPr>
          <w:rFonts w:ascii="Times New Roman" w:hAnsi="Times New Roman"/>
          <w:snapToGrid/>
          <w:sz w:val="24"/>
          <w:szCs w:val="24"/>
        </w:rPr>
        <w:t xml:space="preserve"> grant recipients with</w:t>
      </w:r>
      <w:r w:rsidR="0084444B">
        <w:rPr>
          <w:rFonts w:ascii="Times New Roman" w:hAnsi="Times New Roman"/>
          <w:snapToGrid/>
          <w:sz w:val="24"/>
          <w:szCs w:val="24"/>
        </w:rPr>
        <w:t xml:space="preserve"> real-time analytics pertaining to their awards and performance, so that recipients may </w:t>
      </w:r>
      <w:r w:rsidRPr="007E693F">
        <w:rPr>
          <w:rFonts w:ascii="Times New Roman" w:hAnsi="Times New Roman"/>
          <w:snapToGrid/>
          <w:sz w:val="24"/>
          <w:szCs w:val="24"/>
        </w:rPr>
        <w:t>track their progress towards targets.</w:t>
      </w:r>
    </w:p>
    <w:p w:rsidR="009C2DE1" w:rsidP="00022586" w14:paraId="64C47E67" w14:textId="4C8F15F8">
      <w:pPr>
        <w:widowControl/>
        <w:tabs>
          <w:tab w:val="num" w:pos="360"/>
        </w:tabs>
        <w:ind w:left="360"/>
        <w:rPr>
          <w:rFonts w:ascii="Times New Roman" w:hAnsi="Times New Roman"/>
          <w:snapToGrid/>
          <w:sz w:val="24"/>
          <w:szCs w:val="24"/>
        </w:rPr>
      </w:pPr>
    </w:p>
    <w:p w:rsidR="00D60543" w:rsidRPr="004F7B95" w:rsidP="00022586" w14:paraId="61323458" w14:textId="77777777">
      <w:pPr>
        <w:widowControl/>
        <w:tabs>
          <w:tab w:val="num" w:pos="360"/>
        </w:tabs>
        <w:ind w:left="360"/>
        <w:rPr>
          <w:rFonts w:ascii="Times New Roman" w:hAnsi="Times New Roman"/>
          <w:snapToGrid/>
          <w:sz w:val="24"/>
          <w:szCs w:val="24"/>
        </w:rPr>
      </w:pPr>
    </w:p>
    <w:p w:rsidR="002C3C4F" w:rsidRPr="00075889" w:rsidP="00075889"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0039772D" w:rsidRPr="004F7B95" w:rsidP="0039772D" w14:paraId="6A0EB551" w14:textId="0D72CD77">
      <w:pPr>
        <w:widowControl/>
        <w:tabs>
          <w:tab w:val="num" w:pos="360"/>
        </w:tabs>
        <w:ind w:left="360"/>
        <w:rPr>
          <w:rFonts w:ascii="Times New Roman" w:hAnsi="Times New Roman"/>
          <w:snapToGrid/>
          <w:sz w:val="24"/>
          <w:szCs w:val="24"/>
        </w:rPr>
      </w:pPr>
      <w:r w:rsidRPr="005242CB">
        <w:rPr>
          <w:rFonts w:ascii="Times New Roman" w:hAnsi="Times New Roman"/>
          <w:snapToGrid/>
          <w:sz w:val="24"/>
          <w:szCs w:val="24"/>
        </w:rPr>
        <w:t xml:space="preserve">The data to be collected relates to the </w:t>
      </w:r>
      <w:r w:rsidR="006A1AE8">
        <w:rPr>
          <w:rFonts w:ascii="Times New Roman" w:hAnsi="Times New Roman"/>
          <w:snapToGrid/>
          <w:sz w:val="24"/>
          <w:szCs w:val="24"/>
        </w:rPr>
        <w:t>OTIP</w:t>
      </w:r>
      <w:r w:rsidRPr="005242CB">
        <w:rPr>
          <w:rFonts w:ascii="Times New Roman" w:hAnsi="Times New Roman"/>
          <w:snapToGrid/>
          <w:sz w:val="24"/>
          <w:szCs w:val="24"/>
        </w:rPr>
        <w:t xml:space="preserve"> grants to implement the </w:t>
      </w:r>
      <w:r w:rsidR="00AD3C69">
        <w:rPr>
          <w:rFonts w:ascii="Times New Roman" w:hAnsi="Times New Roman"/>
          <w:snapToGrid/>
          <w:sz w:val="24"/>
          <w:szCs w:val="24"/>
        </w:rPr>
        <w:t>TVAP</w:t>
      </w:r>
      <w:r>
        <w:rPr>
          <w:rFonts w:ascii="Times New Roman" w:hAnsi="Times New Roman"/>
          <w:snapToGrid/>
          <w:sz w:val="24"/>
          <w:szCs w:val="24"/>
        </w:rPr>
        <w:t xml:space="preserve"> </w:t>
      </w:r>
      <w:r w:rsidRPr="005242CB">
        <w:rPr>
          <w:rFonts w:ascii="Times New Roman" w:hAnsi="Times New Roman"/>
          <w:snapToGrid/>
          <w:sz w:val="24"/>
          <w:szCs w:val="24"/>
        </w:rPr>
        <w:t xml:space="preserve">Program.  </w:t>
      </w:r>
      <w:r w:rsidR="00AC6F53">
        <w:rPr>
          <w:rFonts w:ascii="Times New Roman" w:hAnsi="Times New Roman"/>
          <w:snapToGrid/>
          <w:sz w:val="24"/>
          <w:szCs w:val="24"/>
        </w:rPr>
        <w:t xml:space="preserve">As required under the funding opportunity, </w:t>
      </w:r>
      <w:r w:rsidR="00A37A52">
        <w:rPr>
          <w:rFonts w:ascii="Times New Roman" w:hAnsi="Times New Roman"/>
          <w:snapToGrid/>
          <w:sz w:val="24"/>
          <w:szCs w:val="24"/>
        </w:rPr>
        <w:t>recipients</w:t>
      </w:r>
      <w:r w:rsidRPr="00AC6F53" w:rsidR="00AC6F53">
        <w:rPr>
          <w:rFonts w:ascii="Times New Roman" w:hAnsi="Times New Roman"/>
          <w:snapToGrid/>
          <w:sz w:val="24"/>
          <w:szCs w:val="24"/>
        </w:rPr>
        <w:t xml:space="preserve"> must describe how </w:t>
      </w:r>
      <w:r w:rsidR="00AD3C69">
        <w:rPr>
          <w:rFonts w:ascii="Times New Roman" w:hAnsi="Times New Roman"/>
          <w:snapToGrid/>
          <w:sz w:val="24"/>
          <w:szCs w:val="24"/>
        </w:rPr>
        <w:t>TVAP</w:t>
      </w:r>
      <w:r w:rsidRPr="00AC6F53" w:rsidR="00AC6F53">
        <w:rPr>
          <w:rFonts w:ascii="Times New Roman" w:hAnsi="Times New Roman"/>
          <w:snapToGrid/>
          <w:sz w:val="24"/>
          <w:szCs w:val="24"/>
        </w:rPr>
        <w:t xml:space="preserve"> funds will complement and not duplicate existing anti-trafficking efforts and services in the proposed geographic area. If the </w:t>
      </w:r>
      <w:r w:rsidR="00A37A52">
        <w:rPr>
          <w:rFonts w:ascii="Times New Roman" w:hAnsi="Times New Roman"/>
          <w:snapToGrid/>
          <w:sz w:val="24"/>
          <w:szCs w:val="24"/>
        </w:rPr>
        <w:t xml:space="preserve">recipient </w:t>
      </w:r>
      <w:r w:rsidRPr="00AC6F53" w:rsidR="00AC6F53">
        <w:rPr>
          <w:rFonts w:ascii="Times New Roman" w:hAnsi="Times New Roman"/>
          <w:snapToGrid/>
          <w:sz w:val="24"/>
          <w:szCs w:val="24"/>
        </w:rPr>
        <w:t xml:space="preserve">is receiving other federal funds to implement a human trafficking program, the </w:t>
      </w:r>
      <w:r w:rsidR="00A37A52">
        <w:rPr>
          <w:rFonts w:ascii="Times New Roman" w:hAnsi="Times New Roman"/>
          <w:snapToGrid/>
          <w:sz w:val="24"/>
          <w:szCs w:val="24"/>
        </w:rPr>
        <w:t xml:space="preserve">recipient is required to provide the </w:t>
      </w:r>
      <w:r w:rsidRPr="00AC6F53" w:rsidR="00AC6F53">
        <w:rPr>
          <w:rFonts w:ascii="Times New Roman" w:hAnsi="Times New Roman"/>
          <w:snapToGrid/>
          <w:sz w:val="24"/>
          <w:szCs w:val="24"/>
        </w:rPr>
        <w:t>name of the awarding federal agency, the name of the gr</w:t>
      </w:r>
      <w:r w:rsidR="00A37A52">
        <w:rPr>
          <w:rFonts w:ascii="Times New Roman" w:hAnsi="Times New Roman"/>
          <w:snapToGrid/>
          <w:sz w:val="24"/>
          <w:szCs w:val="24"/>
        </w:rPr>
        <w:t>ant</w:t>
      </w:r>
      <w:r w:rsidRPr="00AC6F53" w:rsidR="00AC6F53">
        <w:rPr>
          <w:rFonts w:ascii="Times New Roman" w:hAnsi="Times New Roman"/>
          <w:snapToGrid/>
          <w:sz w:val="24"/>
          <w:szCs w:val="24"/>
        </w:rPr>
        <w:t>, the project period, the amount they currently receive, and</w:t>
      </w:r>
      <w:r w:rsidR="00A37A52">
        <w:rPr>
          <w:rFonts w:ascii="Times New Roman" w:hAnsi="Times New Roman"/>
          <w:snapToGrid/>
          <w:sz w:val="24"/>
          <w:szCs w:val="24"/>
        </w:rPr>
        <w:t xml:space="preserve"> wil</w:t>
      </w:r>
      <w:r w:rsidRPr="00AC6F53" w:rsidR="00AC6F53">
        <w:rPr>
          <w:rFonts w:ascii="Times New Roman" w:hAnsi="Times New Roman"/>
          <w:snapToGrid/>
          <w:sz w:val="24"/>
          <w:szCs w:val="24"/>
        </w:rPr>
        <w:t>l</w:t>
      </w:r>
      <w:r w:rsidR="00A37A52">
        <w:rPr>
          <w:rFonts w:ascii="Times New Roman" w:hAnsi="Times New Roman"/>
          <w:snapToGrid/>
          <w:sz w:val="24"/>
          <w:szCs w:val="24"/>
        </w:rPr>
        <w:t xml:space="preserve"> be expected to </w:t>
      </w:r>
      <w:r w:rsidRPr="00AC6F53" w:rsidR="00AC6F53">
        <w:rPr>
          <w:rFonts w:ascii="Times New Roman" w:hAnsi="Times New Roman"/>
          <w:snapToGrid/>
          <w:sz w:val="24"/>
          <w:szCs w:val="24"/>
        </w:rPr>
        <w:t xml:space="preserve">ensure any funds awarded through the </w:t>
      </w:r>
      <w:r w:rsidR="00AD3C69">
        <w:rPr>
          <w:rFonts w:ascii="Times New Roman" w:hAnsi="Times New Roman"/>
          <w:snapToGrid/>
          <w:sz w:val="24"/>
          <w:szCs w:val="24"/>
        </w:rPr>
        <w:t>TVAP</w:t>
      </w:r>
      <w:r w:rsidRPr="00AC6F53" w:rsidR="00AC6F53">
        <w:rPr>
          <w:rFonts w:ascii="Times New Roman" w:hAnsi="Times New Roman"/>
          <w:snapToGrid/>
          <w:sz w:val="24"/>
          <w:szCs w:val="24"/>
        </w:rPr>
        <w:t xml:space="preserve"> Program will not be used to supplant or augment any other related federal funding.</w:t>
      </w:r>
      <w:r w:rsidR="00A37A52">
        <w:rPr>
          <w:rFonts w:ascii="Times New Roman" w:hAnsi="Times New Roman"/>
          <w:snapToGrid/>
          <w:sz w:val="24"/>
          <w:szCs w:val="24"/>
        </w:rPr>
        <w:t xml:space="preserve"> Because p</w:t>
      </w:r>
      <w:r w:rsidRPr="005242CB">
        <w:rPr>
          <w:rFonts w:ascii="Times New Roman" w:hAnsi="Times New Roman"/>
          <w:snapToGrid/>
          <w:sz w:val="24"/>
          <w:szCs w:val="24"/>
        </w:rPr>
        <w:t>articipants assisted by these grants will not concurrently be assisted by another federal program</w:t>
      </w:r>
      <w:r w:rsidR="00A37A52">
        <w:rPr>
          <w:rFonts w:ascii="Times New Roman" w:hAnsi="Times New Roman"/>
          <w:snapToGrid/>
          <w:sz w:val="24"/>
          <w:szCs w:val="24"/>
        </w:rPr>
        <w:t xml:space="preserve">, </w:t>
      </w:r>
      <w:r w:rsidR="006A1AE8">
        <w:rPr>
          <w:rFonts w:ascii="Times New Roman" w:hAnsi="Times New Roman"/>
          <w:snapToGrid/>
          <w:sz w:val="24"/>
          <w:szCs w:val="24"/>
        </w:rPr>
        <w:t>OTIP</w:t>
      </w:r>
      <w:r w:rsidRPr="005242CB">
        <w:rPr>
          <w:rFonts w:ascii="Times New Roman" w:hAnsi="Times New Roman"/>
          <w:snapToGrid/>
          <w:sz w:val="24"/>
          <w:szCs w:val="24"/>
        </w:rPr>
        <w:t xml:space="preserve"> is the only agency to collect this information, </w:t>
      </w:r>
      <w:r w:rsidR="00A37A52">
        <w:rPr>
          <w:rFonts w:ascii="Times New Roman" w:hAnsi="Times New Roman"/>
          <w:snapToGrid/>
          <w:sz w:val="24"/>
          <w:szCs w:val="24"/>
        </w:rPr>
        <w:t xml:space="preserve">and </w:t>
      </w:r>
      <w:r w:rsidRPr="005242CB">
        <w:rPr>
          <w:rFonts w:ascii="Times New Roman" w:hAnsi="Times New Roman"/>
          <w:snapToGrid/>
          <w:sz w:val="24"/>
          <w:szCs w:val="24"/>
        </w:rPr>
        <w:t>there is no duplication.</w:t>
      </w:r>
    </w:p>
    <w:p w:rsidR="009F5543" w:rsidP="00022586" w14:paraId="2896C13D" w14:textId="77777777">
      <w:pPr>
        <w:widowControl/>
        <w:tabs>
          <w:tab w:val="num" w:pos="360"/>
        </w:tabs>
        <w:ind w:left="360"/>
        <w:rPr>
          <w:rFonts w:ascii="Times New Roman" w:hAnsi="Times New Roman"/>
          <w:snapToGrid/>
          <w:sz w:val="24"/>
          <w:szCs w:val="24"/>
        </w:rPr>
      </w:pPr>
    </w:p>
    <w:p w:rsidR="009C2DE1" w:rsidRPr="004F7B95" w:rsidP="00022586" w14:paraId="5BF82A71" w14:textId="77777777">
      <w:pPr>
        <w:widowControl/>
        <w:tabs>
          <w:tab w:val="num" w:pos="360"/>
        </w:tabs>
        <w:ind w:left="360"/>
        <w:rPr>
          <w:rFonts w:ascii="Times New Roman" w:hAnsi="Times New Roman"/>
          <w:snapToGrid/>
          <w:sz w:val="24"/>
          <w:szCs w:val="24"/>
        </w:rPr>
      </w:pPr>
    </w:p>
    <w:p w:rsidR="002C3C4F" w:rsidRPr="00075889" w:rsidP="00075889"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D60543" w:rsidP="00022586" w14:paraId="70D79D82" w14:textId="0A986874">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Not applicable. </w:t>
      </w:r>
    </w:p>
    <w:p w:rsidR="00D60543" w:rsidP="00022586" w14:paraId="1AC2893A" w14:textId="77777777">
      <w:pPr>
        <w:widowControl/>
        <w:tabs>
          <w:tab w:val="num" w:pos="360"/>
        </w:tabs>
        <w:ind w:left="360"/>
        <w:rPr>
          <w:rFonts w:ascii="Times New Roman" w:hAnsi="Times New Roman"/>
          <w:snapToGrid/>
          <w:sz w:val="24"/>
          <w:szCs w:val="24"/>
        </w:rPr>
      </w:pPr>
    </w:p>
    <w:p w:rsidR="00D60543" w:rsidRPr="004F7B95" w:rsidP="00022586" w14:paraId="7A03161C" w14:textId="77777777">
      <w:pPr>
        <w:widowControl/>
        <w:tabs>
          <w:tab w:val="num" w:pos="360"/>
        </w:tabs>
        <w:ind w:left="360"/>
        <w:rPr>
          <w:rFonts w:ascii="Times New Roman" w:hAnsi="Times New Roman"/>
          <w:snapToGrid/>
          <w:sz w:val="24"/>
          <w:szCs w:val="24"/>
        </w:rPr>
      </w:pPr>
    </w:p>
    <w:p w:rsidR="002C3C4F" w:rsidRPr="00075889" w:rsidP="00075889"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D60543" w:rsidP="00022586" w14:paraId="456E0DAC" w14:textId="35020E5F">
      <w:pPr>
        <w:widowControl/>
        <w:tabs>
          <w:tab w:val="num" w:pos="360"/>
        </w:tabs>
        <w:ind w:left="360"/>
        <w:rPr>
          <w:rFonts w:ascii="Times New Roman" w:hAnsi="Times New Roman"/>
          <w:snapToGrid/>
          <w:sz w:val="24"/>
          <w:szCs w:val="24"/>
        </w:rPr>
      </w:pPr>
      <w:r w:rsidRPr="00583613">
        <w:rPr>
          <w:rFonts w:ascii="Times New Roman" w:hAnsi="Times New Roman"/>
          <w:snapToGrid/>
          <w:sz w:val="24"/>
          <w:szCs w:val="24"/>
        </w:rPr>
        <w:t xml:space="preserve">The information collected on clients enrolled in the </w:t>
      </w:r>
      <w:r w:rsidR="00C722D0">
        <w:rPr>
          <w:rFonts w:ascii="Times New Roman" w:hAnsi="Times New Roman"/>
          <w:snapToGrid/>
          <w:sz w:val="24"/>
          <w:szCs w:val="24"/>
        </w:rPr>
        <w:t>TVAP</w:t>
      </w:r>
      <w:r w:rsidRPr="00583613">
        <w:rPr>
          <w:rFonts w:ascii="Times New Roman" w:hAnsi="Times New Roman"/>
          <w:snapToGrid/>
          <w:sz w:val="24"/>
          <w:szCs w:val="24"/>
        </w:rPr>
        <w:t xml:space="preserve"> program is submitted on a quarterly and annual basis to monitor grant</w:t>
      </w:r>
      <w:r w:rsidR="006D7189">
        <w:rPr>
          <w:rFonts w:ascii="Times New Roman" w:hAnsi="Times New Roman"/>
          <w:snapToGrid/>
          <w:sz w:val="24"/>
          <w:szCs w:val="24"/>
        </w:rPr>
        <w:t xml:space="preserve"> recipient </w:t>
      </w:r>
      <w:r w:rsidRPr="00583613">
        <w:rPr>
          <w:rFonts w:ascii="Times New Roman" w:hAnsi="Times New Roman"/>
          <w:snapToGrid/>
          <w:sz w:val="24"/>
          <w:szCs w:val="24"/>
        </w:rPr>
        <w:t xml:space="preserve">performance throughout the fiscal year as outlined in the </w:t>
      </w:r>
      <w:r w:rsidR="006D7189">
        <w:rPr>
          <w:rFonts w:ascii="Times New Roman" w:hAnsi="Times New Roman"/>
          <w:snapToGrid/>
          <w:sz w:val="24"/>
          <w:szCs w:val="24"/>
        </w:rPr>
        <w:t>Notice of Funding Opportunity</w:t>
      </w:r>
      <w:r w:rsidR="00AD1254">
        <w:rPr>
          <w:rFonts w:ascii="Times New Roman" w:hAnsi="Times New Roman"/>
          <w:snapToGrid/>
          <w:sz w:val="24"/>
          <w:szCs w:val="24"/>
        </w:rPr>
        <w:t xml:space="preserve"> (NOFO)</w:t>
      </w:r>
      <w:r w:rsidR="006D7189">
        <w:rPr>
          <w:rFonts w:ascii="Times New Roman" w:hAnsi="Times New Roman"/>
          <w:snapToGrid/>
          <w:sz w:val="24"/>
          <w:szCs w:val="24"/>
        </w:rPr>
        <w:t>. Grant recipients a</w:t>
      </w:r>
      <w:r w:rsidRPr="00583613">
        <w:rPr>
          <w:rFonts w:ascii="Times New Roman" w:hAnsi="Times New Roman"/>
          <w:snapToGrid/>
          <w:sz w:val="24"/>
          <w:szCs w:val="24"/>
        </w:rPr>
        <w:t xml:space="preserve">re required to demonstrate progress towards achieving grant project activities and a less frequent collection would impede the project officer’s ability to assess grant performance and weaken the analysis used during the annual non-competing continuation application process to award </w:t>
      </w:r>
      <w:r w:rsidRPr="00583613">
        <w:rPr>
          <w:rFonts w:ascii="Times New Roman" w:hAnsi="Times New Roman"/>
          <w:snapToGrid/>
          <w:sz w:val="24"/>
          <w:szCs w:val="24"/>
        </w:rPr>
        <w:t>funding.</w:t>
      </w:r>
      <w:r w:rsidR="000048F8">
        <w:rPr>
          <w:rFonts w:ascii="Times New Roman" w:hAnsi="Times New Roman"/>
          <w:snapToGrid/>
          <w:sz w:val="24"/>
          <w:szCs w:val="24"/>
        </w:rPr>
        <w:t xml:space="preserve"> Further, information obtained under this collection informs OTIP’s ability to provide timely responses to </w:t>
      </w:r>
      <w:r w:rsidR="00BE6980">
        <w:rPr>
          <w:rFonts w:ascii="Times New Roman" w:hAnsi="Times New Roman"/>
          <w:snapToGrid/>
          <w:sz w:val="24"/>
          <w:szCs w:val="24"/>
        </w:rPr>
        <w:t>c</w:t>
      </w:r>
      <w:r w:rsidR="000048F8">
        <w:rPr>
          <w:rFonts w:ascii="Times New Roman" w:hAnsi="Times New Roman"/>
          <w:snapToGrid/>
          <w:sz w:val="24"/>
          <w:szCs w:val="24"/>
        </w:rPr>
        <w:t xml:space="preserve">ongressional and other ad hoc requests pertaining to federal efforts to serve </w:t>
      </w:r>
      <w:r w:rsidR="00E13B9D">
        <w:rPr>
          <w:rFonts w:ascii="Times New Roman" w:hAnsi="Times New Roman"/>
          <w:snapToGrid/>
          <w:sz w:val="24"/>
          <w:szCs w:val="24"/>
        </w:rPr>
        <w:t xml:space="preserve">foreign national </w:t>
      </w:r>
      <w:r w:rsidR="000048F8">
        <w:rPr>
          <w:rFonts w:ascii="Times New Roman" w:hAnsi="Times New Roman"/>
          <w:snapToGrid/>
          <w:sz w:val="24"/>
          <w:szCs w:val="24"/>
        </w:rPr>
        <w:t xml:space="preserve">victims of a severe form of trafficking in persons, as well as the annual </w:t>
      </w:r>
      <w:r w:rsidRPr="000048F8" w:rsidR="000048F8">
        <w:rPr>
          <w:rFonts w:ascii="Times New Roman" w:hAnsi="Times New Roman"/>
          <w:snapToGrid/>
          <w:sz w:val="24"/>
          <w:szCs w:val="24"/>
        </w:rPr>
        <w:t>Attorney General's Trafficking in Persons Report</w:t>
      </w:r>
      <w:r w:rsidR="000048F8">
        <w:rPr>
          <w:rFonts w:ascii="Times New Roman" w:hAnsi="Times New Roman"/>
          <w:snapToGrid/>
          <w:sz w:val="24"/>
          <w:szCs w:val="24"/>
        </w:rPr>
        <w:t xml:space="preserve">. </w:t>
      </w:r>
    </w:p>
    <w:p w:rsidR="00D60543" w:rsidP="00022586" w14:paraId="2A0F47DE" w14:textId="55D0D206">
      <w:pPr>
        <w:widowControl/>
        <w:tabs>
          <w:tab w:val="num" w:pos="360"/>
        </w:tabs>
        <w:ind w:left="360"/>
        <w:rPr>
          <w:rFonts w:ascii="Times New Roman" w:hAnsi="Times New Roman"/>
          <w:snapToGrid/>
          <w:sz w:val="24"/>
          <w:szCs w:val="24"/>
        </w:rPr>
      </w:pPr>
    </w:p>
    <w:p w:rsidR="00DE529D" w:rsidRPr="004F7B95" w:rsidP="00022586" w14:paraId="2744D4F5" w14:textId="77777777">
      <w:pPr>
        <w:widowControl/>
        <w:tabs>
          <w:tab w:val="num" w:pos="360"/>
        </w:tabs>
        <w:ind w:left="360"/>
        <w:rPr>
          <w:rFonts w:ascii="Times New Roman" w:hAnsi="Times New Roman"/>
          <w:snapToGrid/>
          <w:sz w:val="24"/>
          <w:szCs w:val="24"/>
        </w:rPr>
      </w:pPr>
    </w:p>
    <w:p w:rsidR="002C3C4F" w:rsidRPr="00075889" w:rsidP="00075889"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DE529D" w:rsidP="00022586" w14:paraId="37489B7C" w14:textId="2CBAB870">
      <w:pPr>
        <w:widowControl/>
        <w:tabs>
          <w:tab w:val="num" w:pos="360"/>
        </w:tabs>
        <w:ind w:left="360"/>
        <w:rPr>
          <w:rFonts w:ascii="Times New Roman" w:hAnsi="Times New Roman"/>
          <w:snapToGrid/>
          <w:sz w:val="24"/>
          <w:szCs w:val="24"/>
        </w:rPr>
      </w:pPr>
      <w:r>
        <w:rPr>
          <w:rFonts w:ascii="Times New Roman" w:hAnsi="Times New Roman"/>
          <w:snapToGrid/>
          <w:sz w:val="24"/>
          <w:szCs w:val="24"/>
        </w:rPr>
        <w:t>Not applicable.</w:t>
      </w:r>
    </w:p>
    <w:p w:rsidR="00DE529D" w:rsidP="00022586" w14:paraId="7781B5A4" w14:textId="77777777">
      <w:pPr>
        <w:widowControl/>
        <w:tabs>
          <w:tab w:val="num" w:pos="360"/>
        </w:tabs>
        <w:ind w:left="360"/>
        <w:rPr>
          <w:rFonts w:ascii="Times New Roman" w:hAnsi="Times New Roman"/>
          <w:snapToGrid/>
          <w:sz w:val="24"/>
          <w:szCs w:val="24"/>
        </w:rPr>
      </w:pPr>
    </w:p>
    <w:p w:rsidR="00DE529D" w:rsidRPr="004F7B95" w:rsidP="00022586" w14:paraId="2CFEBB22" w14:textId="77777777">
      <w:pPr>
        <w:widowControl/>
        <w:tabs>
          <w:tab w:val="num" w:pos="360"/>
        </w:tabs>
        <w:ind w:left="360"/>
        <w:rPr>
          <w:rFonts w:ascii="Times New Roman" w:hAnsi="Times New Roman"/>
          <w:snapToGrid/>
          <w:sz w:val="24"/>
          <w:szCs w:val="24"/>
        </w:rPr>
      </w:pPr>
    </w:p>
    <w:p w:rsidR="0051278C" w:rsidRPr="00075889" w:rsidP="00075889"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0084609A" w:rsidRPr="004F7B95" w:rsidP="00022586" w14:paraId="016A1F70" w14:textId="4BF030EA">
      <w:pPr>
        <w:tabs>
          <w:tab w:val="num" w:pos="360"/>
        </w:tabs>
        <w:ind w:left="360"/>
        <w:rPr>
          <w:rFonts w:ascii="Times New Roman" w:hAnsi="Times New Roman"/>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A92A82">
        <w:rPr>
          <w:rFonts w:ascii="Times New Roman" w:hAnsi="Times New Roman"/>
          <w:sz w:val="24"/>
          <w:szCs w:val="24"/>
        </w:rPr>
        <w:t>July 27, 2022</w:t>
      </w:r>
      <w:r w:rsidRPr="004F7B95">
        <w:rPr>
          <w:rFonts w:ascii="Times New Roman" w:hAnsi="Times New Roman"/>
          <w:sz w:val="24"/>
          <w:szCs w:val="24"/>
        </w:rPr>
        <w:t xml:space="preserve">, Volume </w:t>
      </w:r>
      <w:r w:rsidR="00323519">
        <w:rPr>
          <w:rFonts w:ascii="Times New Roman" w:hAnsi="Times New Roman"/>
          <w:sz w:val="24"/>
          <w:szCs w:val="24"/>
        </w:rPr>
        <w:t>87</w:t>
      </w:r>
      <w:r w:rsidRPr="004F7B95">
        <w:rPr>
          <w:rFonts w:ascii="Times New Roman" w:hAnsi="Times New Roman"/>
          <w:sz w:val="24"/>
          <w:szCs w:val="24"/>
        </w:rPr>
        <w:t>, Number</w:t>
      </w:r>
      <w:r w:rsidR="00323519">
        <w:rPr>
          <w:rFonts w:ascii="Times New Roman" w:hAnsi="Times New Roman"/>
          <w:sz w:val="24"/>
          <w:szCs w:val="24"/>
        </w:rPr>
        <w:t xml:space="preserve"> 143</w:t>
      </w:r>
      <w:r w:rsidRPr="004F7B95">
        <w:rPr>
          <w:rFonts w:ascii="Times New Roman" w:hAnsi="Times New Roman"/>
          <w:sz w:val="24"/>
          <w:szCs w:val="24"/>
        </w:rPr>
        <w:t>, page</w:t>
      </w:r>
      <w:r w:rsidR="00323519">
        <w:rPr>
          <w:rFonts w:ascii="Times New Roman" w:hAnsi="Times New Roman"/>
          <w:sz w:val="24"/>
          <w:szCs w:val="24"/>
        </w:rPr>
        <w:t>s 4510</w:t>
      </w:r>
      <w:r w:rsidR="00FA53A3">
        <w:rPr>
          <w:rFonts w:ascii="Times New Roman" w:hAnsi="Times New Roman"/>
          <w:sz w:val="24"/>
          <w:szCs w:val="24"/>
        </w:rPr>
        <w:t>6</w:t>
      </w:r>
      <w:r w:rsidR="00323519">
        <w:rPr>
          <w:rFonts w:ascii="Times New Roman" w:hAnsi="Times New Roman"/>
          <w:sz w:val="24"/>
          <w:szCs w:val="24"/>
        </w:rPr>
        <w:t>-4510</w:t>
      </w:r>
      <w:r w:rsidR="00FA53A3">
        <w:rPr>
          <w:rFonts w:ascii="Times New Roman" w:hAnsi="Times New Roman"/>
          <w:sz w:val="24"/>
          <w:szCs w:val="24"/>
        </w:rPr>
        <w:t>7</w:t>
      </w:r>
      <w:r w:rsidRPr="004F7B95">
        <w:rPr>
          <w:rFonts w:ascii="Times New Roman" w:hAnsi="Times New Roman"/>
          <w:sz w:val="24"/>
          <w:szCs w:val="24"/>
        </w:rPr>
        <w:t xml:space="preserve">, and provided a sixty-day period for public comment.  </w:t>
      </w:r>
      <w:r w:rsidR="00323519">
        <w:rPr>
          <w:rFonts w:ascii="Times New Roman" w:hAnsi="Times New Roman"/>
          <w:sz w:val="24"/>
          <w:szCs w:val="24"/>
        </w:rPr>
        <w:t>OTIP</w:t>
      </w:r>
      <w:r w:rsidRPr="004F7B95">
        <w:rPr>
          <w:rFonts w:ascii="Times New Roman" w:hAnsi="Times New Roman"/>
          <w:sz w:val="24"/>
          <w:szCs w:val="24"/>
        </w:rPr>
        <w:t xml:space="preserve"> did not receive comments. </w:t>
      </w:r>
    </w:p>
    <w:p w:rsidR="009C2DE1" w:rsidP="00022586" w14:paraId="5F44B472" w14:textId="489794CE">
      <w:pPr>
        <w:widowControl/>
        <w:tabs>
          <w:tab w:val="num" w:pos="360"/>
        </w:tabs>
        <w:ind w:left="360"/>
        <w:rPr>
          <w:rFonts w:ascii="Times New Roman" w:hAnsi="Times New Roman"/>
          <w:snapToGrid/>
          <w:sz w:val="24"/>
          <w:szCs w:val="24"/>
        </w:rPr>
      </w:pPr>
    </w:p>
    <w:p w:rsidR="00A92A82" w:rsidRPr="00B573BD" w:rsidP="00B573BD" w14:paraId="7A346EF6" w14:textId="644EA776">
      <w:pPr>
        <w:widowControl/>
        <w:tabs>
          <w:tab w:val="num" w:pos="360"/>
        </w:tabs>
        <w:spacing w:after="60"/>
        <w:ind w:left="360"/>
        <w:rPr>
          <w:rFonts w:ascii="Times New Roman" w:hAnsi="Times New Roman"/>
          <w:b/>
          <w:bCs/>
          <w:i/>
          <w:iCs/>
          <w:snapToGrid/>
          <w:sz w:val="24"/>
          <w:szCs w:val="24"/>
        </w:rPr>
      </w:pPr>
      <w:r w:rsidRPr="00B573BD">
        <w:rPr>
          <w:rFonts w:ascii="Times New Roman" w:hAnsi="Times New Roman"/>
          <w:b/>
          <w:bCs/>
          <w:i/>
          <w:iCs/>
          <w:snapToGrid/>
          <w:sz w:val="24"/>
          <w:szCs w:val="24"/>
        </w:rPr>
        <w:t xml:space="preserve">Consultation </w:t>
      </w:r>
    </w:p>
    <w:p w:rsidR="00E6513D" w:rsidP="00022586" w14:paraId="01B7C8DD" w14:textId="38E05934">
      <w:pPr>
        <w:widowControl/>
        <w:tabs>
          <w:tab w:val="num" w:pos="360"/>
        </w:tabs>
        <w:ind w:left="360"/>
        <w:rPr>
          <w:rFonts w:ascii="Times New Roman" w:eastAsia="Calibri" w:hAnsi="Times New Roman"/>
          <w:snapToGrid/>
          <w:sz w:val="24"/>
          <w:szCs w:val="22"/>
        </w:rPr>
      </w:pPr>
      <w:r>
        <w:rPr>
          <w:rFonts w:ascii="Times New Roman" w:eastAsia="Calibri" w:hAnsi="Times New Roman"/>
          <w:snapToGrid/>
          <w:sz w:val="24"/>
          <w:szCs w:val="22"/>
        </w:rPr>
        <w:t xml:space="preserve">OTIP engaged </w:t>
      </w:r>
      <w:r w:rsidR="006B062C">
        <w:rPr>
          <w:rFonts w:ascii="Times New Roman" w:eastAsia="Calibri" w:hAnsi="Times New Roman"/>
          <w:snapToGrid/>
          <w:sz w:val="24"/>
          <w:szCs w:val="22"/>
        </w:rPr>
        <w:t>its e</w:t>
      </w:r>
      <w:r>
        <w:rPr>
          <w:rFonts w:ascii="Times New Roman" w:eastAsia="Calibri" w:hAnsi="Times New Roman"/>
          <w:snapToGrid/>
          <w:sz w:val="24"/>
          <w:szCs w:val="22"/>
        </w:rPr>
        <w:t xml:space="preserve">xisting grant recipient </w:t>
      </w:r>
      <w:r w:rsidRPr="009B206D">
        <w:rPr>
          <w:rFonts w:ascii="Times New Roman" w:eastAsia="Calibri" w:hAnsi="Times New Roman"/>
          <w:snapToGrid/>
          <w:sz w:val="24"/>
          <w:szCs w:val="22"/>
        </w:rPr>
        <w:t xml:space="preserve">providing services to </w:t>
      </w:r>
      <w:r w:rsidR="00BE46E8">
        <w:rPr>
          <w:rFonts w:ascii="Times New Roman" w:eastAsia="Calibri" w:hAnsi="Times New Roman"/>
          <w:snapToGrid/>
          <w:sz w:val="24"/>
          <w:szCs w:val="22"/>
        </w:rPr>
        <w:t>foreign national</w:t>
      </w:r>
      <w:r w:rsidRPr="009B206D">
        <w:rPr>
          <w:rFonts w:ascii="Times New Roman" w:eastAsia="Calibri" w:hAnsi="Times New Roman"/>
          <w:snapToGrid/>
          <w:sz w:val="24"/>
          <w:szCs w:val="22"/>
        </w:rPr>
        <w:t xml:space="preserve"> victims of trafficking in persons</w:t>
      </w:r>
      <w:r>
        <w:rPr>
          <w:rFonts w:ascii="Times New Roman" w:eastAsia="Calibri" w:hAnsi="Times New Roman"/>
          <w:snapToGrid/>
          <w:sz w:val="24"/>
          <w:szCs w:val="22"/>
        </w:rPr>
        <w:t xml:space="preserve"> to discuss </w:t>
      </w:r>
      <w:r w:rsidRPr="00A5296A">
        <w:rPr>
          <w:rFonts w:ascii="Times New Roman" w:eastAsia="Calibri" w:hAnsi="Times New Roman"/>
          <w:snapToGrid/>
          <w:sz w:val="24"/>
          <w:szCs w:val="22"/>
        </w:rPr>
        <w:t>their views on</w:t>
      </w:r>
      <w:r>
        <w:rPr>
          <w:rFonts w:ascii="Times New Roman" w:eastAsia="Calibri" w:hAnsi="Times New Roman"/>
          <w:snapToGrid/>
          <w:sz w:val="24"/>
          <w:szCs w:val="22"/>
        </w:rPr>
        <w:t xml:space="preserve"> feasibility and relevance of the requested data,</w:t>
      </w:r>
      <w:r w:rsidRPr="00A5296A">
        <w:rPr>
          <w:rFonts w:ascii="Times New Roman" w:eastAsia="Calibri" w:hAnsi="Times New Roman"/>
          <w:snapToGrid/>
          <w:sz w:val="24"/>
          <w:szCs w:val="22"/>
        </w:rPr>
        <w:t xml:space="preserve"> frequency of collection, </w:t>
      </w:r>
      <w:r>
        <w:rPr>
          <w:rFonts w:ascii="Times New Roman" w:eastAsia="Calibri" w:hAnsi="Times New Roman"/>
          <w:snapToGrid/>
          <w:sz w:val="24"/>
          <w:szCs w:val="22"/>
        </w:rPr>
        <w:t>and the</w:t>
      </w:r>
      <w:r w:rsidRPr="00A5296A">
        <w:rPr>
          <w:rFonts w:ascii="Times New Roman" w:eastAsia="Calibri" w:hAnsi="Times New Roman"/>
          <w:snapToGrid/>
          <w:sz w:val="24"/>
          <w:szCs w:val="22"/>
        </w:rPr>
        <w:t xml:space="preserve"> reporting format </w:t>
      </w:r>
      <w:r>
        <w:rPr>
          <w:rFonts w:ascii="Times New Roman" w:eastAsia="Calibri" w:hAnsi="Times New Roman"/>
          <w:snapToGrid/>
          <w:sz w:val="24"/>
          <w:szCs w:val="22"/>
        </w:rPr>
        <w:t xml:space="preserve">to gather feedback for the purposes of ATIMS development, and to identify ways to reduce the overall reporting burden. </w:t>
      </w:r>
      <w:r w:rsidR="00BE46E8">
        <w:rPr>
          <w:rFonts w:ascii="Times New Roman" w:eastAsia="Calibri" w:hAnsi="Times New Roman"/>
          <w:snapToGrid/>
          <w:sz w:val="24"/>
          <w:szCs w:val="22"/>
        </w:rPr>
        <w:t>The g</w:t>
      </w:r>
      <w:r>
        <w:rPr>
          <w:rFonts w:ascii="Times New Roman" w:eastAsia="Calibri" w:hAnsi="Times New Roman"/>
          <w:snapToGrid/>
          <w:sz w:val="24"/>
          <w:szCs w:val="22"/>
        </w:rPr>
        <w:t xml:space="preserve">rant </w:t>
      </w:r>
      <w:r>
        <w:rPr>
          <w:rFonts w:ascii="Times New Roman" w:eastAsia="Calibri" w:hAnsi="Times New Roman"/>
          <w:snapToGrid/>
          <w:sz w:val="24"/>
          <w:szCs w:val="22"/>
        </w:rPr>
        <w:t xml:space="preserve">recipient highlighted the importance of requesting only that </w:t>
      </w:r>
      <w:r w:rsidR="00134E93">
        <w:rPr>
          <w:rFonts w:ascii="Times New Roman" w:eastAsia="Calibri" w:hAnsi="Times New Roman"/>
          <w:snapToGrid/>
          <w:sz w:val="24"/>
          <w:szCs w:val="22"/>
        </w:rPr>
        <w:t>information</w:t>
      </w:r>
      <w:r w:rsidR="00B573BD">
        <w:rPr>
          <w:rFonts w:ascii="Times New Roman" w:eastAsia="Calibri" w:hAnsi="Times New Roman"/>
          <w:snapToGrid/>
          <w:sz w:val="24"/>
          <w:szCs w:val="22"/>
        </w:rPr>
        <w:t xml:space="preserve">, </w:t>
      </w:r>
      <w:r>
        <w:rPr>
          <w:rFonts w:ascii="Times New Roman" w:eastAsia="Calibri" w:hAnsi="Times New Roman"/>
          <w:snapToGrid/>
          <w:sz w:val="24"/>
          <w:szCs w:val="22"/>
        </w:rPr>
        <w:t xml:space="preserve">which is necessary for OTIP to </w:t>
      </w:r>
      <w:r w:rsidRPr="00E6513D">
        <w:rPr>
          <w:rFonts w:ascii="Times New Roman" w:eastAsia="Calibri" w:hAnsi="Times New Roman"/>
          <w:snapToGrid/>
          <w:sz w:val="24"/>
          <w:szCs w:val="22"/>
        </w:rPr>
        <w:t>oversee case management</w:t>
      </w:r>
      <w:r>
        <w:rPr>
          <w:rFonts w:ascii="Times New Roman" w:eastAsia="Calibri" w:hAnsi="Times New Roman"/>
          <w:snapToGrid/>
          <w:sz w:val="24"/>
          <w:szCs w:val="22"/>
        </w:rPr>
        <w:t xml:space="preserve">, </w:t>
      </w:r>
      <w:r w:rsidRPr="00E6513D">
        <w:rPr>
          <w:rFonts w:ascii="Times New Roman" w:eastAsia="Calibri" w:hAnsi="Times New Roman"/>
          <w:snapToGrid/>
          <w:sz w:val="24"/>
          <w:szCs w:val="22"/>
        </w:rPr>
        <w:t>ensure quality service provision</w:t>
      </w:r>
      <w:r>
        <w:rPr>
          <w:rFonts w:ascii="Times New Roman" w:eastAsia="Calibri" w:hAnsi="Times New Roman"/>
          <w:snapToGrid/>
          <w:sz w:val="24"/>
          <w:szCs w:val="22"/>
        </w:rPr>
        <w:t>, and monitor recipients’ fulfillment of objectives under their awards</w:t>
      </w:r>
      <w:r w:rsidR="00B573BD">
        <w:rPr>
          <w:rFonts w:ascii="Times New Roman" w:eastAsia="Calibri" w:hAnsi="Times New Roman"/>
          <w:snapToGrid/>
          <w:sz w:val="24"/>
          <w:szCs w:val="22"/>
        </w:rPr>
        <w:t>, g</w:t>
      </w:r>
      <w:r>
        <w:rPr>
          <w:rFonts w:ascii="Times New Roman" w:eastAsia="Calibri" w:hAnsi="Times New Roman"/>
          <w:snapToGrid/>
          <w:sz w:val="24"/>
          <w:szCs w:val="22"/>
        </w:rPr>
        <w:t xml:space="preserve">iven large caseloads and capacity constraints. </w:t>
      </w:r>
      <w:r w:rsidR="00BE46E8">
        <w:rPr>
          <w:rFonts w:ascii="Times New Roman" w:eastAsia="Calibri" w:hAnsi="Times New Roman"/>
          <w:snapToGrid/>
          <w:sz w:val="24"/>
          <w:szCs w:val="22"/>
        </w:rPr>
        <w:t>The g</w:t>
      </w:r>
      <w:r>
        <w:rPr>
          <w:rFonts w:ascii="Times New Roman" w:eastAsia="Calibri" w:hAnsi="Times New Roman"/>
          <w:snapToGrid/>
          <w:sz w:val="24"/>
          <w:szCs w:val="22"/>
        </w:rPr>
        <w:t>rant recipient</w:t>
      </w:r>
      <w:r w:rsidR="00BE46E8">
        <w:rPr>
          <w:rFonts w:ascii="Times New Roman" w:eastAsia="Calibri" w:hAnsi="Times New Roman"/>
          <w:snapToGrid/>
          <w:sz w:val="24"/>
          <w:szCs w:val="22"/>
        </w:rPr>
        <w:t xml:space="preserve"> </w:t>
      </w:r>
      <w:r>
        <w:rPr>
          <w:rFonts w:ascii="Times New Roman" w:eastAsia="Calibri" w:hAnsi="Times New Roman"/>
          <w:snapToGrid/>
          <w:sz w:val="24"/>
          <w:szCs w:val="22"/>
        </w:rPr>
        <w:t>also highlighted the level of rapport clinicians and case managers need to obtain certain pieces of information from clients (as related to their trafficking experiences, trauma histories, and varying service needs)</w:t>
      </w:r>
      <w:r w:rsidR="00BE46E8">
        <w:rPr>
          <w:rFonts w:ascii="Times New Roman" w:eastAsia="Calibri" w:hAnsi="Times New Roman"/>
          <w:snapToGrid/>
          <w:sz w:val="24"/>
          <w:szCs w:val="22"/>
        </w:rPr>
        <w:t xml:space="preserve"> and the operational workflows to obtain information from regional subrecipients</w:t>
      </w:r>
      <w:r>
        <w:rPr>
          <w:rFonts w:ascii="Times New Roman" w:eastAsia="Calibri" w:hAnsi="Times New Roman"/>
          <w:snapToGrid/>
          <w:sz w:val="24"/>
          <w:szCs w:val="22"/>
        </w:rPr>
        <w:t xml:space="preserve">. To the maximum extent practicable, OTIP incorporated this feedback into the collection by removing data elements that did not directly inform OTIP’s monitoring activities, by collapsing certain data elements for simplicity, and by embedding grant recipients’ feedback pertaining to ATIMS mock-ups into the </w:t>
      </w:r>
      <w:r w:rsidR="00580198">
        <w:rPr>
          <w:rFonts w:ascii="Times New Roman" w:eastAsia="Calibri" w:hAnsi="Times New Roman"/>
          <w:snapToGrid/>
          <w:sz w:val="24"/>
          <w:szCs w:val="22"/>
        </w:rPr>
        <w:t>user interface/experience (Ui/Ux) within the system</w:t>
      </w:r>
      <w:r w:rsidR="006B062C">
        <w:rPr>
          <w:rFonts w:ascii="Times New Roman" w:eastAsia="Calibri" w:hAnsi="Times New Roman"/>
          <w:snapToGrid/>
          <w:sz w:val="24"/>
          <w:szCs w:val="22"/>
        </w:rPr>
        <w:t xml:space="preserve"> (see section 3).</w:t>
      </w:r>
    </w:p>
    <w:p w:rsidR="00A5296A" w:rsidP="00E6513D" w14:paraId="2B9FE4CF" w14:textId="77777777">
      <w:pPr>
        <w:widowControl/>
        <w:tabs>
          <w:tab w:val="num" w:pos="360"/>
        </w:tabs>
        <w:rPr>
          <w:rFonts w:ascii="Times New Roman" w:eastAsia="Calibri" w:hAnsi="Times New Roman"/>
          <w:snapToGrid/>
          <w:sz w:val="24"/>
          <w:szCs w:val="22"/>
        </w:rPr>
      </w:pPr>
    </w:p>
    <w:p w:rsidR="009C2DE1" w:rsidP="00022586" w14:paraId="69CB726C" w14:textId="4D212359">
      <w:pPr>
        <w:widowControl/>
        <w:tabs>
          <w:tab w:val="num" w:pos="360"/>
        </w:tabs>
        <w:ind w:left="360"/>
        <w:rPr>
          <w:rFonts w:ascii="Times New Roman" w:eastAsia="Calibri" w:hAnsi="Times New Roman"/>
          <w:snapToGrid/>
          <w:sz w:val="24"/>
          <w:szCs w:val="22"/>
        </w:rPr>
      </w:pPr>
      <w:r>
        <w:rPr>
          <w:rFonts w:ascii="Times New Roman" w:eastAsia="Calibri" w:hAnsi="Times New Roman"/>
          <w:snapToGrid/>
          <w:sz w:val="24"/>
          <w:szCs w:val="22"/>
        </w:rPr>
        <w:t>OTIP also leveraged</w:t>
      </w:r>
      <w:r w:rsidRPr="009B206D" w:rsidR="00A5296A">
        <w:rPr>
          <w:rFonts w:ascii="Times New Roman" w:eastAsia="Calibri" w:hAnsi="Times New Roman"/>
          <w:snapToGrid/>
          <w:sz w:val="24"/>
          <w:szCs w:val="22"/>
        </w:rPr>
        <w:t xml:space="preserve"> best practices</w:t>
      </w:r>
      <w:r>
        <w:rPr>
          <w:rFonts w:ascii="Times New Roman" w:eastAsia="Calibri" w:hAnsi="Times New Roman"/>
          <w:snapToGrid/>
          <w:sz w:val="24"/>
          <w:szCs w:val="22"/>
        </w:rPr>
        <w:t xml:space="preserve"> in service delivery</w:t>
      </w:r>
      <w:r w:rsidR="002F79E3">
        <w:rPr>
          <w:rFonts w:ascii="Times New Roman" w:eastAsia="Calibri" w:hAnsi="Times New Roman"/>
          <w:snapToGrid/>
          <w:sz w:val="24"/>
          <w:szCs w:val="22"/>
        </w:rPr>
        <w:t xml:space="preserve"> as</w:t>
      </w:r>
      <w:r w:rsidRPr="009B206D" w:rsidR="00A5296A">
        <w:rPr>
          <w:rFonts w:ascii="Times New Roman" w:eastAsia="Calibri" w:hAnsi="Times New Roman"/>
          <w:snapToGrid/>
          <w:sz w:val="24"/>
          <w:szCs w:val="22"/>
        </w:rPr>
        <w:t xml:space="preserve"> identified by the </w:t>
      </w:r>
      <w:hyperlink r:id="rId10" w:history="1">
        <w:r w:rsidRPr="009B206D" w:rsidR="00A5296A">
          <w:rPr>
            <w:rFonts w:ascii="Times New Roman" w:eastAsia="Calibri" w:hAnsi="Times New Roman"/>
            <w:snapToGrid/>
            <w:color w:val="0563C1"/>
            <w:sz w:val="24"/>
            <w:szCs w:val="22"/>
            <w:u w:val="single"/>
          </w:rPr>
          <w:t>National Human Trafficking Training and Technical Assistance Center (NHTTAC)</w:t>
        </w:r>
      </w:hyperlink>
      <w:r w:rsidRPr="009B206D" w:rsidR="00A5296A">
        <w:rPr>
          <w:rFonts w:ascii="Times New Roman" w:eastAsia="Calibri" w:hAnsi="Times New Roman"/>
          <w:snapToGrid/>
          <w:sz w:val="24"/>
          <w:szCs w:val="22"/>
        </w:rPr>
        <w:t xml:space="preserve"> and NHTTAC’s </w:t>
      </w:r>
      <w:hyperlink r:id="rId11" w:anchor=":~:text=NHTTAC%20is%20a%20program%20of,at%20risk%20of%20human%20trafficking" w:history="1">
        <w:r w:rsidRPr="009B206D" w:rsidR="00A5296A">
          <w:rPr>
            <w:rFonts w:ascii="Times New Roman" w:eastAsia="Calibri" w:hAnsi="Times New Roman"/>
            <w:snapToGrid/>
            <w:color w:val="0563C1"/>
            <w:sz w:val="24"/>
            <w:szCs w:val="22"/>
            <w:u w:val="single"/>
          </w:rPr>
          <w:t>Human Trafficking Leadership Academy (HTLA)</w:t>
        </w:r>
      </w:hyperlink>
      <w:r w:rsidRPr="009B206D" w:rsidR="00A5296A">
        <w:rPr>
          <w:rFonts w:ascii="Times New Roman" w:eastAsia="Calibri" w:hAnsi="Times New Roman"/>
          <w:snapToGrid/>
          <w:sz w:val="24"/>
          <w:szCs w:val="22"/>
        </w:rPr>
        <w:t>, a</w:t>
      </w:r>
      <w:r w:rsidR="00AF33A0">
        <w:rPr>
          <w:rFonts w:ascii="Times New Roman" w:eastAsia="Calibri" w:hAnsi="Times New Roman"/>
          <w:snapToGrid/>
          <w:sz w:val="24"/>
          <w:szCs w:val="22"/>
        </w:rPr>
        <w:t>s well as</w:t>
      </w:r>
      <w:r w:rsidRPr="009B206D" w:rsidR="00A5296A">
        <w:rPr>
          <w:rFonts w:ascii="Times New Roman" w:eastAsia="Calibri" w:hAnsi="Times New Roman"/>
          <w:snapToGrid/>
          <w:sz w:val="24"/>
          <w:szCs w:val="22"/>
        </w:rPr>
        <w:t xml:space="preserve"> existing research examining the trafficking experiences of particular demographic groups</w:t>
      </w:r>
      <w:r w:rsidR="00B90C94">
        <w:rPr>
          <w:rFonts w:ascii="Times New Roman" w:eastAsia="Calibri" w:hAnsi="Times New Roman"/>
          <w:snapToGrid/>
          <w:sz w:val="24"/>
          <w:szCs w:val="22"/>
        </w:rPr>
        <w:t>,</w:t>
      </w:r>
      <w:r>
        <w:rPr>
          <w:rFonts w:ascii="Times New Roman" w:eastAsia="Calibri" w:hAnsi="Times New Roman"/>
          <w:snapToGrid/>
          <w:sz w:val="24"/>
          <w:szCs w:val="22"/>
        </w:rPr>
        <w:t xml:space="preserve"> to update certain data elements</w:t>
      </w:r>
      <w:r w:rsidR="00AF33A0">
        <w:rPr>
          <w:rFonts w:ascii="Times New Roman" w:eastAsia="Calibri" w:hAnsi="Times New Roman"/>
          <w:snapToGrid/>
          <w:sz w:val="24"/>
          <w:szCs w:val="22"/>
        </w:rPr>
        <w:t xml:space="preserve"> and</w:t>
      </w:r>
      <w:r>
        <w:rPr>
          <w:rFonts w:ascii="Times New Roman" w:eastAsia="Calibri" w:hAnsi="Times New Roman"/>
          <w:snapToGrid/>
          <w:sz w:val="24"/>
          <w:szCs w:val="22"/>
        </w:rPr>
        <w:t xml:space="preserve"> field values to bring those elements and values into alignment with best practice</w:t>
      </w:r>
      <w:r w:rsidR="009348C7">
        <w:rPr>
          <w:rFonts w:ascii="Times New Roman" w:eastAsia="Calibri" w:hAnsi="Times New Roman"/>
          <w:snapToGrid/>
          <w:sz w:val="24"/>
          <w:szCs w:val="22"/>
        </w:rPr>
        <w:t xml:space="preserve">. For example, OTIP removed the ‘Screening Tools Used’ outreach indicator, recognizing that practitioners may use a series of screeners, or conduct screenings over multiple points of contact with clients, </w:t>
      </w:r>
      <w:r w:rsidR="00134E93">
        <w:rPr>
          <w:rFonts w:ascii="Times New Roman" w:eastAsia="Calibri" w:hAnsi="Times New Roman"/>
          <w:snapToGrid/>
          <w:sz w:val="24"/>
          <w:szCs w:val="22"/>
        </w:rPr>
        <w:t>to</w:t>
      </w:r>
      <w:r w:rsidR="009348C7">
        <w:rPr>
          <w:rFonts w:ascii="Times New Roman" w:eastAsia="Calibri" w:hAnsi="Times New Roman"/>
          <w:snapToGrid/>
          <w:sz w:val="24"/>
          <w:szCs w:val="22"/>
        </w:rPr>
        <w:t xml:space="preserve"> obtain information needed to coordinate case response and service </w:t>
      </w:r>
      <w:r w:rsidR="009348C7">
        <w:rPr>
          <w:rFonts w:ascii="Times New Roman" w:eastAsia="Calibri" w:hAnsi="Times New Roman"/>
          <w:snapToGrid/>
          <w:sz w:val="24"/>
          <w:szCs w:val="22"/>
        </w:rPr>
        <w:t>delivery</w:t>
      </w:r>
      <w:r w:rsidR="001C5506">
        <w:rPr>
          <w:rFonts w:ascii="Times New Roman" w:eastAsia="Calibri" w:hAnsi="Times New Roman"/>
          <w:snapToGrid/>
          <w:sz w:val="24"/>
          <w:szCs w:val="22"/>
        </w:rPr>
        <w:t>,</w:t>
      </w:r>
      <w:r w:rsidR="009348C7">
        <w:rPr>
          <w:rFonts w:ascii="Times New Roman" w:eastAsia="Calibri" w:hAnsi="Times New Roman"/>
          <w:snapToGrid/>
          <w:sz w:val="24"/>
          <w:szCs w:val="22"/>
        </w:rPr>
        <w:t xml:space="preserve"> and this information was not necessary for OTIP’s monitoring purposes. Other examples include removing the indicator ‘Trafficker’s Relationship to Victim’ as this information was not frequently known by recipients or reported by clients, changing ‘</w:t>
      </w:r>
      <w:r w:rsidRPr="00DF2597">
        <w:rPr>
          <w:rFonts w:ascii="Times New Roman" w:eastAsia="Calibri" w:hAnsi="Times New Roman"/>
          <w:snapToGrid/>
          <w:sz w:val="24"/>
          <w:szCs w:val="22"/>
        </w:rPr>
        <w:t>LGBTQ2S+</w:t>
      </w:r>
      <w:r w:rsidR="009348C7">
        <w:rPr>
          <w:rFonts w:ascii="Times New Roman" w:eastAsia="Calibri" w:hAnsi="Times New Roman"/>
          <w:snapToGrid/>
          <w:sz w:val="24"/>
          <w:szCs w:val="22"/>
        </w:rPr>
        <w:t>’</w:t>
      </w:r>
      <w:r w:rsidRPr="00DF2597">
        <w:rPr>
          <w:rFonts w:ascii="Times New Roman" w:eastAsia="Calibri" w:hAnsi="Times New Roman"/>
          <w:snapToGrid/>
          <w:sz w:val="24"/>
          <w:szCs w:val="22"/>
        </w:rPr>
        <w:t xml:space="preserve"> to </w:t>
      </w:r>
      <w:r w:rsidR="009348C7">
        <w:rPr>
          <w:rFonts w:ascii="Times New Roman" w:eastAsia="Calibri" w:hAnsi="Times New Roman"/>
          <w:snapToGrid/>
          <w:sz w:val="24"/>
          <w:szCs w:val="22"/>
        </w:rPr>
        <w:t>‘</w:t>
      </w:r>
      <w:r w:rsidRPr="00DF2597">
        <w:rPr>
          <w:rFonts w:ascii="Times New Roman" w:eastAsia="Calibri" w:hAnsi="Times New Roman"/>
          <w:snapToGrid/>
          <w:sz w:val="24"/>
          <w:szCs w:val="22"/>
        </w:rPr>
        <w:t>2SLGBTQIA+</w:t>
      </w:r>
      <w:r w:rsidR="009348C7">
        <w:rPr>
          <w:rFonts w:ascii="Times New Roman" w:eastAsia="Calibri" w:hAnsi="Times New Roman"/>
          <w:snapToGrid/>
          <w:sz w:val="24"/>
          <w:szCs w:val="22"/>
        </w:rPr>
        <w:t>’</w:t>
      </w:r>
      <w:r w:rsidRPr="00DF2597">
        <w:rPr>
          <w:rFonts w:ascii="Times New Roman" w:eastAsia="Calibri" w:hAnsi="Times New Roman"/>
          <w:snapToGrid/>
          <w:sz w:val="24"/>
          <w:szCs w:val="22"/>
        </w:rPr>
        <w:t xml:space="preserve"> for consistency with the</w:t>
      </w:r>
      <w:r w:rsidR="002F79E3">
        <w:rPr>
          <w:rFonts w:ascii="Times New Roman" w:eastAsia="Calibri" w:hAnsi="Times New Roman"/>
          <w:snapToGrid/>
          <w:sz w:val="24"/>
          <w:szCs w:val="22"/>
        </w:rPr>
        <w:t xml:space="preserve"> term used by practitioners in the field</w:t>
      </w:r>
      <w:r w:rsidR="009348C7">
        <w:rPr>
          <w:rFonts w:ascii="Times New Roman" w:eastAsia="Calibri" w:hAnsi="Times New Roman"/>
          <w:snapToGrid/>
          <w:sz w:val="24"/>
          <w:szCs w:val="22"/>
        </w:rPr>
        <w:t xml:space="preserve">, and </w:t>
      </w:r>
      <w:r w:rsidR="002F79E3">
        <w:rPr>
          <w:rFonts w:ascii="Times New Roman" w:eastAsia="Calibri" w:hAnsi="Times New Roman"/>
          <w:snapToGrid/>
          <w:sz w:val="24"/>
          <w:szCs w:val="22"/>
        </w:rPr>
        <w:t>upda</w:t>
      </w:r>
      <w:r w:rsidR="009348C7">
        <w:rPr>
          <w:rFonts w:ascii="Times New Roman" w:eastAsia="Calibri" w:hAnsi="Times New Roman"/>
          <w:snapToGrid/>
          <w:sz w:val="24"/>
          <w:szCs w:val="22"/>
        </w:rPr>
        <w:t>ting</w:t>
      </w:r>
      <w:r w:rsidR="002F79E3">
        <w:rPr>
          <w:rFonts w:ascii="Times New Roman" w:eastAsia="Calibri" w:hAnsi="Times New Roman"/>
          <w:snapToGrid/>
          <w:sz w:val="24"/>
          <w:szCs w:val="22"/>
        </w:rPr>
        <w:t xml:space="preserve"> the gender identity categories to mirror those proposed by</w:t>
      </w:r>
      <w:r w:rsidR="00B90C94">
        <w:rPr>
          <w:rFonts w:ascii="Times New Roman" w:eastAsia="Calibri" w:hAnsi="Times New Roman"/>
          <w:snapToGrid/>
          <w:sz w:val="24"/>
          <w:szCs w:val="22"/>
        </w:rPr>
        <w:t xml:space="preserve"> </w:t>
      </w:r>
      <w:r w:rsidRPr="00B90C94" w:rsidR="00B90C94">
        <w:rPr>
          <w:rFonts w:ascii="Times New Roman" w:eastAsia="Calibri" w:hAnsi="Times New Roman"/>
          <w:snapToGrid/>
          <w:sz w:val="24"/>
          <w:szCs w:val="22"/>
        </w:rPr>
        <w:t>N</w:t>
      </w:r>
      <w:r w:rsidR="00B90C94">
        <w:rPr>
          <w:rFonts w:ascii="Times New Roman" w:eastAsia="Calibri" w:hAnsi="Times New Roman"/>
          <w:snapToGrid/>
          <w:sz w:val="24"/>
          <w:szCs w:val="22"/>
        </w:rPr>
        <w:t>ational Academies of Science, Engineering, and Medicine (NASEM)’s</w:t>
      </w:r>
      <w:r w:rsidRPr="00B90C94" w:rsidR="00B90C94">
        <w:rPr>
          <w:rFonts w:ascii="Times New Roman" w:eastAsia="Calibri" w:hAnsi="Times New Roman"/>
          <w:snapToGrid/>
          <w:sz w:val="24"/>
          <w:szCs w:val="22"/>
        </w:rPr>
        <w:t xml:space="preserve"> </w:t>
      </w:r>
      <w:hyperlink r:id="rId12" w:history="1">
        <w:r w:rsidRPr="006B062C" w:rsidR="00B90C94">
          <w:rPr>
            <w:rStyle w:val="Hyperlink"/>
            <w:rFonts w:ascii="Times New Roman" w:eastAsia="Calibri" w:hAnsi="Times New Roman"/>
            <w:snapToGrid/>
            <w:color w:val="0563C1"/>
            <w:sz w:val="24"/>
            <w:szCs w:val="22"/>
          </w:rPr>
          <w:t>2022</w:t>
        </w:r>
        <w:r w:rsidRPr="00B90C94" w:rsidR="00B90C94">
          <w:rPr>
            <w:rStyle w:val="Hyperlink"/>
            <w:rFonts w:ascii="Times New Roman" w:eastAsia="Calibri" w:hAnsi="Times New Roman"/>
            <w:snapToGrid/>
            <w:sz w:val="24"/>
            <w:szCs w:val="22"/>
          </w:rPr>
          <w:t xml:space="preserve"> </w:t>
        </w:r>
        <w:r w:rsidRPr="006B062C" w:rsidR="00B90C94">
          <w:rPr>
            <w:rStyle w:val="Hyperlink"/>
            <w:rFonts w:ascii="Times New Roman" w:eastAsia="Calibri" w:hAnsi="Times New Roman"/>
            <w:snapToGrid/>
            <w:color w:val="0563C1"/>
            <w:sz w:val="24"/>
            <w:szCs w:val="22"/>
          </w:rPr>
          <w:t>report</w:t>
        </w:r>
      </w:hyperlink>
      <w:r w:rsidRPr="00B90C94" w:rsidR="00B90C94">
        <w:rPr>
          <w:rFonts w:ascii="Times New Roman" w:eastAsia="Calibri" w:hAnsi="Times New Roman"/>
          <w:snapToGrid/>
          <w:sz w:val="24"/>
          <w:szCs w:val="22"/>
        </w:rPr>
        <w:t>, Measuring Sex, Gender Identity, and Sexual Orientation</w:t>
      </w:r>
      <w:r w:rsidR="00B90C94">
        <w:rPr>
          <w:rFonts w:ascii="Times New Roman" w:eastAsia="Calibri" w:hAnsi="Times New Roman"/>
          <w:snapToGrid/>
          <w:sz w:val="24"/>
          <w:szCs w:val="22"/>
        </w:rPr>
        <w:t xml:space="preserve">). </w:t>
      </w:r>
    </w:p>
    <w:p w:rsidR="003A1496" w:rsidP="00022586" w14:paraId="0B55DB1C" w14:textId="47CD231E">
      <w:pPr>
        <w:widowControl/>
        <w:tabs>
          <w:tab w:val="num" w:pos="360"/>
        </w:tabs>
        <w:ind w:left="360"/>
        <w:rPr>
          <w:rFonts w:ascii="Times New Roman" w:eastAsia="Calibri" w:hAnsi="Times New Roman"/>
          <w:snapToGrid/>
          <w:sz w:val="24"/>
          <w:szCs w:val="22"/>
        </w:rPr>
      </w:pPr>
    </w:p>
    <w:p w:rsidR="00022586" w:rsidP="00022586" w14:paraId="1992C6A4" w14:textId="7B2A2278">
      <w:pPr>
        <w:widowControl/>
        <w:tabs>
          <w:tab w:val="num" w:pos="360"/>
        </w:tabs>
        <w:ind w:left="360"/>
        <w:rPr>
          <w:rFonts w:ascii="Times New Roman" w:hAnsi="Times New Roman"/>
          <w:snapToGrid/>
          <w:sz w:val="24"/>
          <w:szCs w:val="24"/>
        </w:rPr>
      </w:pPr>
      <w:r>
        <w:rPr>
          <w:rFonts w:ascii="Times New Roman" w:eastAsia="Calibri" w:hAnsi="Times New Roman"/>
          <w:snapToGrid/>
          <w:sz w:val="24"/>
          <w:szCs w:val="22"/>
        </w:rPr>
        <w:t xml:space="preserve">Additionally, </w:t>
      </w:r>
      <w:r w:rsidR="00AC6554">
        <w:rPr>
          <w:rFonts w:ascii="Times New Roman" w:eastAsia="Calibri" w:hAnsi="Times New Roman"/>
          <w:snapToGrid/>
          <w:sz w:val="24"/>
          <w:szCs w:val="22"/>
        </w:rPr>
        <w:t>since the last revision to this collection</w:t>
      </w:r>
      <w:r w:rsidR="009F5835">
        <w:rPr>
          <w:rFonts w:ascii="Times New Roman" w:eastAsia="Calibri" w:hAnsi="Times New Roman"/>
          <w:snapToGrid/>
          <w:sz w:val="24"/>
          <w:szCs w:val="22"/>
        </w:rPr>
        <w:t xml:space="preserve">, </w:t>
      </w:r>
      <w:r>
        <w:rPr>
          <w:rFonts w:ascii="Times New Roman" w:eastAsia="Calibri" w:hAnsi="Times New Roman"/>
          <w:snapToGrid/>
          <w:sz w:val="24"/>
          <w:szCs w:val="22"/>
        </w:rPr>
        <w:t>OTIP removed the training requirement for TVAP recipients in FY 2022 and FY 2023 NOFOs.</w:t>
      </w:r>
      <w:r>
        <w:rPr>
          <w:rStyle w:val="FootnoteReference"/>
          <w:rFonts w:ascii="Times New Roman" w:eastAsia="Calibri" w:hAnsi="Times New Roman"/>
          <w:snapToGrid/>
          <w:sz w:val="24"/>
          <w:szCs w:val="22"/>
        </w:rPr>
        <w:footnoteReference w:id="3"/>
      </w:r>
      <w:r>
        <w:rPr>
          <w:rFonts w:ascii="Times New Roman" w:eastAsia="Calibri" w:hAnsi="Times New Roman"/>
          <w:snapToGrid/>
          <w:sz w:val="24"/>
          <w:szCs w:val="22"/>
        </w:rPr>
        <w:t xml:space="preserve"> The primary objective of OTIP’s victim assistance programs, including TVAP, is to provide </w:t>
      </w:r>
      <w:r w:rsidRPr="00AD1254">
        <w:rPr>
          <w:rFonts w:ascii="Times New Roman" w:eastAsia="Calibri" w:hAnsi="Times New Roman"/>
          <w:snapToGrid/>
          <w:sz w:val="24"/>
          <w:szCs w:val="22"/>
        </w:rPr>
        <w:t xml:space="preserve">comprehensive, culturally and linguistically responsive case management to </w:t>
      </w:r>
      <w:r>
        <w:rPr>
          <w:rFonts w:ascii="Times New Roman" w:eastAsia="Calibri" w:hAnsi="Times New Roman"/>
          <w:snapToGrid/>
          <w:sz w:val="24"/>
          <w:szCs w:val="22"/>
        </w:rPr>
        <w:t xml:space="preserve">individuals who have experienced a severe form of trafficking in persons. </w:t>
      </w:r>
      <w:r w:rsidR="009F5835">
        <w:rPr>
          <w:rFonts w:ascii="Times New Roman" w:eastAsia="Calibri" w:hAnsi="Times New Roman"/>
          <w:snapToGrid/>
          <w:sz w:val="24"/>
          <w:szCs w:val="22"/>
        </w:rPr>
        <w:t xml:space="preserve">The training requirement was removed based on grant project officer consultation with existing grant recipients and a review of historic performance data. </w:t>
      </w:r>
      <w:r>
        <w:rPr>
          <w:rFonts w:ascii="Times New Roman" w:eastAsia="Calibri" w:hAnsi="Times New Roman"/>
          <w:snapToGrid/>
          <w:sz w:val="24"/>
          <w:szCs w:val="22"/>
        </w:rPr>
        <w:t xml:space="preserve">TVAP recipients reported concerns over competing requirements and priorities, which made it difficult to balance direct service provision against training activities for community-based providers and members of the general public. Current grant recipients also cited concerns over the lack of foundational knowledge within their communities as to what constitutes human trafficking victimization, which </w:t>
      </w:r>
      <w:r w:rsidR="009F5835">
        <w:rPr>
          <w:rFonts w:ascii="Times New Roman" w:eastAsia="Calibri" w:hAnsi="Times New Roman"/>
          <w:snapToGrid/>
          <w:sz w:val="24"/>
          <w:szCs w:val="22"/>
        </w:rPr>
        <w:t>continues to impact</w:t>
      </w:r>
      <w:r>
        <w:rPr>
          <w:rFonts w:ascii="Times New Roman" w:eastAsia="Calibri" w:hAnsi="Times New Roman"/>
          <w:snapToGrid/>
          <w:sz w:val="24"/>
          <w:szCs w:val="22"/>
        </w:rPr>
        <w:t xml:space="preserve"> their ability to identify potential victims and connect those individuals with services. </w:t>
      </w:r>
      <w:r w:rsidRPr="00841BC2">
        <w:rPr>
          <w:rFonts w:ascii="Times New Roman" w:eastAsia="Tahoma" w:hAnsi="Times New Roman"/>
          <w:kern w:val="1"/>
          <w:sz w:val="24"/>
          <w:szCs w:val="24"/>
        </w:rPr>
        <w:t>Beginning in FY 2024, so as to reduce reporting burden on recipients</w:t>
      </w:r>
      <w:r>
        <w:rPr>
          <w:rFonts w:ascii="Times New Roman" w:eastAsia="Tahoma" w:hAnsi="Times New Roman"/>
          <w:kern w:val="1"/>
          <w:sz w:val="24"/>
          <w:szCs w:val="24"/>
        </w:rPr>
        <w:t xml:space="preserve"> and strengthen public awareness within the geographic service areas where recipients implement their programs</w:t>
      </w:r>
      <w:r w:rsidRPr="00841BC2">
        <w:rPr>
          <w:rFonts w:ascii="Times New Roman" w:eastAsia="Tahoma" w:hAnsi="Times New Roman"/>
          <w:kern w:val="1"/>
          <w:sz w:val="24"/>
          <w:szCs w:val="24"/>
        </w:rPr>
        <w:t xml:space="preserve">, training </w:t>
      </w:r>
      <w:r>
        <w:rPr>
          <w:rFonts w:ascii="Times New Roman" w:eastAsia="Tahoma" w:hAnsi="Times New Roman"/>
          <w:kern w:val="1"/>
          <w:sz w:val="24"/>
          <w:szCs w:val="24"/>
        </w:rPr>
        <w:t xml:space="preserve">is </w:t>
      </w:r>
      <w:r w:rsidRPr="00841BC2">
        <w:rPr>
          <w:rFonts w:ascii="Times New Roman" w:eastAsia="Tahoma" w:hAnsi="Times New Roman"/>
          <w:kern w:val="1"/>
          <w:sz w:val="24"/>
          <w:szCs w:val="24"/>
        </w:rPr>
        <w:t xml:space="preserve">no longer required or </w:t>
      </w:r>
      <w:r>
        <w:rPr>
          <w:rFonts w:ascii="Times New Roman" w:eastAsia="Tahoma" w:hAnsi="Times New Roman"/>
          <w:kern w:val="1"/>
          <w:sz w:val="24"/>
          <w:szCs w:val="24"/>
        </w:rPr>
        <w:t xml:space="preserve">an </w:t>
      </w:r>
      <w:r w:rsidRPr="00841BC2">
        <w:rPr>
          <w:rFonts w:ascii="Times New Roman" w:eastAsia="Tahoma" w:hAnsi="Times New Roman"/>
          <w:kern w:val="1"/>
          <w:sz w:val="24"/>
          <w:szCs w:val="24"/>
        </w:rPr>
        <w:t xml:space="preserve">allowable activity under TVAP. Training activities will be limited to professional capacity building to support staff employed directly by the prime recipient who interact with individuals who have experienced human trafficking. Program funds may be used to cover costs associated with continuing education for project staff and if applicable, any subrecipient(s).  </w:t>
      </w:r>
      <w:r>
        <w:rPr>
          <w:rFonts w:ascii="Times New Roman" w:eastAsia="Tahoma" w:hAnsi="Times New Roman"/>
          <w:kern w:val="1"/>
          <w:sz w:val="24"/>
          <w:szCs w:val="24"/>
        </w:rPr>
        <w:t xml:space="preserve">These updated requirements will allow TVAP recipients to devote more resources toward </w:t>
      </w:r>
      <w:r w:rsidR="009F5835">
        <w:rPr>
          <w:rFonts w:ascii="Times New Roman" w:eastAsia="Tahoma" w:hAnsi="Times New Roman"/>
          <w:kern w:val="1"/>
          <w:sz w:val="24"/>
          <w:szCs w:val="24"/>
        </w:rPr>
        <w:t xml:space="preserve">required </w:t>
      </w:r>
      <w:r>
        <w:rPr>
          <w:rFonts w:ascii="Times New Roman" w:eastAsia="Tahoma" w:hAnsi="Times New Roman"/>
          <w:kern w:val="1"/>
          <w:sz w:val="24"/>
          <w:szCs w:val="24"/>
        </w:rPr>
        <w:t xml:space="preserve">victim assistance and public awareness activities. </w:t>
      </w:r>
    </w:p>
    <w:p w:rsidR="00022586" w:rsidRPr="004F7B95" w:rsidP="00022586" w14:paraId="2EDB417E" w14:textId="77777777">
      <w:pPr>
        <w:widowControl/>
        <w:tabs>
          <w:tab w:val="num" w:pos="360"/>
        </w:tabs>
        <w:ind w:left="360"/>
        <w:rPr>
          <w:rFonts w:ascii="Times New Roman" w:hAnsi="Times New Roman"/>
          <w:snapToGrid/>
          <w:sz w:val="24"/>
          <w:szCs w:val="24"/>
        </w:rPr>
      </w:pPr>
    </w:p>
    <w:p w:rsidR="002C3C4F" w:rsidRPr="00075889" w:rsidP="00075889"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3C0740" w:rsidP="003C0740" w14:paraId="7E5A4225" w14:textId="77777777">
      <w:pPr>
        <w:widowControl/>
        <w:tabs>
          <w:tab w:val="num" w:pos="360"/>
        </w:tabs>
        <w:ind w:left="720" w:hanging="360"/>
        <w:rPr>
          <w:rFonts w:ascii="Times New Roman" w:hAnsi="Times New Roman"/>
          <w:snapToGrid/>
          <w:sz w:val="24"/>
          <w:szCs w:val="24"/>
        </w:rPr>
      </w:pPr>
      <w:r>
        <w:rPr>
          <w:rFonts w:ascii="Times New Roman" w:hAnsi="Times New Roman"/>
          <w:snapToGrid/>
          <w:sz w:val="24"/>
          <w:szCs w:val="24"/>
        </w:rPr>
        <w:t>Not applicable.</w:t>
      </w:r>
    </w:p>
    <w:p w:rsidR="00D60543" w:rsidP="00022586" w14:paraId="4915BD6F" w14:textId="77777777">
      <w:pPr>
        <w:widowControl/>
        <w:tabs>
          <w:tab w:val="num" w:pos="360"/>
        </w:tabs>
        <w:ind w:left="360"/>
        <w:rPr>
          <w:rFonts w:ascii="Times New Roman" w:hAnsi="Times New Roman"/>
          <w:snapToGrid/>
          <w:sz w:val="24"/>
          <w:szCs w:val="24"/>
        </w:rPr>
      </w:pPr>
    </w:p>
    <w:p w:rsidR="00D60543" w:rsidRPr="004F7B95" w:rsidP="00DE529D" w14:paraId="62113040" w14:textId="77777777">
      <w:pPr>
        <w:widowControl/>
        <w:tabs>
          <w:tab w:val="num" w:pos="360"/>
        </w:tabs>
        <w:ind w:left="360"/>
        <w:rPr>
          <w:rFonts w:ascii="Times New Roman" w:hAnsi="Times New Roman"/>
          <w:snapToGrid/>
          <w:sz w:val="24"/>
          <w:szCs w:val="24"/>
        </w:rPr>
      </w:pPr>
    </w:p>
    <w:p w:rsidR="002C3C4F" w:rsidRPr="00075889" w:rsidP="001C5506"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003C0740" w:rsidP="00694A6A" w14:paraId="75E0DBEC" w14:textId="1ADCB2FA">
      <w:pPr>
        <w:widowControl/>
        <w:tabs>
          <w:tab w:val="num" w:pos="360"/>
        </w:tabs>
        <w:ind w:left="360"/>
        <w:rPr>
          <w:rFonts w:ascii="Times New Roman" w:hAnsi="Times New Roman"/>
          <w:snapToGrid/>
          <w:sz w:val="24"/>
          <w:szCs w:val="24"/>
        </w:rPr>
      </w:pPr>
      <w:r>
        <w:rPr>
          <w:rFonts w:ascii="Times New Roman" w:hAnsi="Times New Roman"/>
          <w:snapToGrid/>
          <w:sz w:val="24"/>
          <w:szCs w:val="24"/>
        </w:rPr>
        <w:t>Grant recipients under this program are required to submit a</w:t>
      </w:r>
      <w:r w:rsidRPr="00BF6B41">
        <w:rPr>
          <w:rFonts w:ascii="Times New Roman" w:hAnsi="Times New Roman"/>
          <w:snapToGrid/>
          <w:sz w:val="24"/>
          <w:szCs w:val="24"/>
        </w:rPr>
        <w:t xml:space="preserve"> protocol</w:t>
      </w:r>
      <w:r>
        <w:rPr>
          <w:rFonts w:ascii="Times New Roman" w:hAnsi="Times New Roman"/>
          <w:snapToGrid/>
          <w:sz w:val="24"/>
          <w:szCs w:val="24"/>
        </w:rPr>
        <w:t>, inclusive of relevant organizational</w:t>
      </w:r>
      <w:r w:rsidRPr="00BF6B41">
        <w:rPr>
          <w:rFonts w:ascii="Times New Roman" w:hAnsi="Times New Roman"/>
          <w:snapToGrid/>
          <w:sz w:val="24"/>
          <w:szCs w:val="24"/>
        </w:rPr>
        <w:t xml:space="preserve"> policies and procedures</w:t>
      </w:r>
      <w:r>
        <w:rPr>
          <w:rFonts w:ascii="Times New Roman" w:hAnsi="Times New Roman"/>
          <w:snapToGrid/>
          <w:sz w:val="24"/>
          <w:szCs w:val="24"/>
        </w:rPr>
        <w:t>,</w:t>
      </w:r>
      <w:r w:rsidRPr="00BF6B41">
        <w:rPr>
          <w:rFonts w:ascii="Times New Roman" w:hAnsi="Times New Roman"/>
          <w:snapToGrid/>
          <w:sz w:val="24"/>
          <w:szCs w:val="24"/>
        </w:rPr>
        <w:t xml:space="preserve"> to prevent disclosure of confidential, private, or personally identifiable information concerning clients or their immediate family members without informed, written, and reasonably time-limited consent from the person whose information is sought. The protocols must also include the plan for how</w:t>
      </w:r>
      <w:r w:rsidRPr="005F1DFC" w:rsidR="005F1DFC">
        <w:rPr>
          <w:rFonts w:ascii="Times New Roman" w:hAnsi="Times New Roman"/>
          <w:snapToGrid/>
          <w:sz w:val="24"/>
          <w:szCs w:val="24"/>
        </w:rPr>
        <w:t xml:space="preserve"> the full-time Case Managers (staffed by the prime), Regional Coordinators (staffed by the prime) and, if applicable, its subrecipient(s) (i.e., per capita service providers) to inform clients of the limits </w:t>
      </w:r>
      <w:r w:rsidRPr="005F1DFC" w:rsidR="005F1DFC">
        <w:rPr>
          <w:rFonts w:ascii="Times New Roman" w:hAnsi="Times New Roman"/>
          <w:snapToGrid/>
          <w:sz w:val="24"/>
          <w:szCs w:val="24"/>
        </w:rPr>
        <w:t>to confidentiality prior to disclosures (e.g., mandated reporting requirements, etc.). The prime recipient must ensure compliance with 45 CFR § 75.303(e) to take reasonable measures to safeguard clients protected personally identifiable information.</w:t>
      </w:r>
      <w:r>
        <w:rPr>
          <w:rFonts w:ascii="Times New Roman" w:hAnsi="Times New Roman"/>
          <w:snapToGrid/>
          <w:sz w:val="24"/>
          <w:szCs w:val="24"/>
        </w:rPr>
        <w:t xml:space="preserve"> </w:t>
      </w:r>
      <w:r w:rsidR="000E404E">
        <w:rPr>
          <w:rFonts w:ascii="Times New Roman" w:hAnsi="Times New Roman"/>
          <w:snapToGrid/>
          <w:sz w:val="24"/>
          <w:szCs w:val="24"/>
        </w:rPr>
        <w:t>The protocol must also include a plan for how</w:t>
      </w:r>
      <w:r w:rsidRPr="000E404E" w:rsidR="000E404E">
        <w:rPr>
          <w:rFonts w:ascii="Times New Roman" w:hAnsi="Times New Roman"/>
          <w:snapToGrid/>
          <w:sz w:val="24"/>
          <w:szCs w:val="24"/>
        </w:rPr>
        <w:t xml:space="preserve"> protected personally identifiable information and other information that is considered sensitive, consistent with applicable federal, state, local and tribal laws regarding privacy and obligations of confidentiality, will be collected and safeguarded. </w:t>
      </w:r>
      <w:r w:rsidR="00694A6A">
        <w:rPr>
          <w:rFonts w:ascii="Times New Roman" w:hAnsi="Times New Roman"/>
          <w:snapToGrid/>
          <w:sz w:val="24"/>
          <w:szCs w:val="24"/>
        </w:rPr>
        <w:t>Grant recipients</w:t>
      </w:r>
      <w:r w:rsidRPr="000E404E" w:rsidR="000E404E">
        <w:rPr>
          <w:rFonts w:ascii="Times New Roman" w:hAnsi="Times New Roman"/>
          <w:snapToGrid/>
          <w:sz w:val="24"/>
          <w:szCs w:val="24"/>
        </w:rPr>
        <w:t xml:space="preserve"> must provide the methods and/or systems that will be used to ensure that confidential and/or sensitive information is properly handled and if applicable, address the process for subrecipient(s) and/or contractors</w:t>
      </w:r>
      <w:r w:rsidR="00694A6A">
        <w:rPr>
          <w:rFonts w:ascii="Times New Roman" w:hAnsi="Times New Roman"/>
          <w:snapToGrid/>
          <w:sz w:val="24"/>
          <w:szCs w:val="24"/>
        </w:rPr>
        <w:t>, as well as</w:t>
      </w:r>
      <w:r w:rsidRPr="000E404E" w:rsidR="000E404E">
        <w:rPr>
          <w:rFonts w:ascii="Times New Roman" w:hAnsi="Times New Roman"/>
          <w:snapToGrid/>
          <w:sz w:val="24"/>
          <w:szCs w:val="24"/>
        </w:rPr>
        <w:t xml:space="preserve"> a plan for the disposition of such information at the end of the project period</w:t>
      </w:r>
      <w:r w:rsidR="00694A6A">
        <w:rPr>
          <w:rFonts w:ascii="Times New Roman" w:hAnsi="Times New Roman"/>
          <w:snapToGrid/>
          <w:sz w:val="24"/>
          <w:szCs w:val="24"/>
        </w:rPr>
        <w:t>, as a condition of their awards.</w:t>
      </w:r>
      <w:r w:rsidR="006B062C">
        <w:rPr>
          <w:rFonts w:ascii="Times New Roman" w:hAnsi="Times New Roman"/>
          <w:snapToGrid/>
          <w:sz w:val="24"/>
          <w:szCs w:val="24"/>
        </w:rPr>
        <w:t xml:space="preserve"> </w:t>
      </w:r>
      <w:r w:rsidR="005F1DFC">
        <w:rPr>
          <w:rFonts w:ascii="Times New Roman" w:hAnsi="Times New Roman"/>
          <w:snapToGrid/>
          <w:sz w:val="24"/>
          <w:szCs w:val="24"/>
        </w:rPr>
        <w:t>The prime grant recipient (and their subrecipients) must maintain</w:t>
      </w:r>
      <w:r>
        <w:rPr>
          <w:rFonts w:ascii="Times New Roman" w:hAnsi="Times New Roman"/>
          <w:snapToGrid/>
          <w:sz w:val="24"/>
          <w:szCs w:val="24"/>
        </w:rPr>
        <w:t xml:space="preserve"> confidentiality agreements/privacy disclosures explain what information will be shared through routine reporting to the funding organization (</w:t>
      </w:r>
      <w:r w:rsidR="006A1AE8">
        <w:rPr>
          <w:rFonts w:ascii="Times New Roman" w:hAnsi="Times New Roman"/>
          <w:snapToGrid/>
          <w:sz w:val="24"/>
          <w:szCs w:val="24"/>
        </w:rPr>
        <w:t>OTIP)</w:t>
      </w:r>
      <w:r>
        <w:rPr>
          <w:rFonts w:ascii="Times New Roman" w:hAnsi="Times New Roman"/>
          <w:snapToGrid/>
          <w:sz w:val="24"/>
          <w:szCs w:val="24"/>
        </w:rPr>
        <w:t xml:space="preserve"> for analysis, assessment of the program’s success, congressional reporting, evaluation, and research.  The grant recipients</w:t>
      </w:r>
      <w:r w:rsidRPr="00C16763">
        <w:rPr>
          <w:rFonts w:ascii="Times New Roman" w:hAnsi="Times New Roman"/>
          <w:snapToGrid/>
          <w:sz w:val="24"/>
          <w:szCs w:val="24"/>
        </w:rPr>
        <w:t xml:space="preserve"> </w:t>
      </w:r>
      <w:r>
        <w:rPr>
          <w:rFonts w:ascii="Times New Roman" w:hAnsi="Times New Roman"/>
          <w:snapToGrid/>
          <w:sz w:val="24"/>
          <w:szCs w:val="24"/>
        </w:rPr>
        <w:t>provide</w:t>
      </w:r>
      <w:r w:rsidRPr="00C16763">
        <w:rPr>
          <w:rFonts w:ascii="Times New Roman" w:hAnsi="Times New Roman"/>
          <w:snapToGrid/>
          <w:sz w:val="24"/>
          <w:szCs w:val="24"/>
        </w:rPr>
        <w:t xml:space="preserve"> the information collected </w:t>
      </w:r>
      <w:r>
        <w:rPr>
          <w:rFonts w:ascii="Times New Roman" w:hAnsi="Times New Roman"/>
          <w:snapToGrid/>
          <w:sz w:val="24"/>
          <w:szCs w:val="24"/>
        </w:rPr>
        <w:t>from their subrecipients sharing a system generated client identifier in lieu of personally identifiable information such as the client’s name or social security number.</w:t>
      </w:r>
    </w:p>
    <w:p w:rsidR="00D60543" w:rsidP="00022586" w14:paraId="0630E30B" w14:textId="77777777">
      <w:pPr>
        <w:widowControl/>
        <w:tabs>
          <w:tab w:val="num" w:pos="360"/>
        </w:tabs>
        <w:ind w:left="360"/>
        <w:rPr>
          <w:rFonts w:ascii="Times New Roman" w:hAnsi="Times New Roman"/>
          <w:snapToGrid/>
          <w:sz w:val="24"/>
          <w:szCs w:val="24"/>
        </w:rPr>
      </w:pPr>
    </w:p>
    <w:p w:rsidR="00D60543" w:rsidRPr="004F7B95" w:rsidP="00DE529D" w14:paraId="1C82E036" w14:textId="77777777">
      <w:pPr>
        <w:widowControl/>
        <w:tabs>
          <w:tab w:val="num" w:pos="360"/>
        </w:tabs>
        <w:ind w:left="360"/>
        <w:rPr>
          <w:rFonts w:ascii="Times New Roman" w:hAnsi="Times New Roman"/>
          <w:snapToGrid/>
          <w:sz w:val="24"/>
          <w:szCs w:val="24"/>
        </w:rPr>
      </w:pPr>
    </w:p>
    <w:p w:rsidR="002C3C4F" w:rsidRPr="00075889" w:rsidP="001C5506"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009B206D" w:rsidP="009B206D" w14:paraId="1AD961CB" w14:textId="41AFF264">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OTIP has received inquiries and direction from anti-trafficking stakeholders, including the U.S. Advisory Council on Human Trafficking, to collect data on specialized populations who disproportionately experience human trafficking or may be at risk, including individuals with disabilities and those who identify as lesbian, gay, bisexual, transgender, or queer.  </w:t>
      </w:r>
      <w:r w:rsidRPr="006A1AE8">
        <w:rPr>
          <w:rFonts w:ascii="Times New Roman" w:hAnsi="Times New Roman"/>
          <w:snapToGrid/>
          <w:sz w:val="24"/>
          <w:szCs w:val="24"/>
        </w:rPr>
        <w:t>Research shows that lesbian, gay, bisexual, transgender, queer (or questioning), Two-Spirit, and other (LGBTQ2S+) persons, as well as Black, Latinx, and Native American individuals are disproportionately likely to experience trafficking in persons and other forms of abuse and exploitation. Men and boys are also under-identified among this victim population, particularly non-heterosexual men and boys who have experienced sex trafficking.</w:t>
      </w:r>
    </w:p>
    <w:p w:rsidR="009B206D" w:rsidP="009B206D" w14:paraId="539D861B" w14:textId="77777777">
      <w:pPr>
        <w:widowControl/>
        <w:tabs>
          <w:tab w:val="num" w:pos="360"/>
        </w:tabs>
        <w:ind w:left="360"/>
        <w:rPr>
          <w:rFonts w:ascii="Times New Roman" w:hAnsi="Times New Roman"/>
          <w:snapToGrid/>
          <w:sz w:val="24"/>
          <w:szCs w:val="24"/>
        </w:rPr>
      </w:pPr>
    </w:p>
    <w:p w:rsidR="006A1AE8" w:rsidP="005531B9" w14:paraId="105AFA80" w14:textId="6F818AA2">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Based on broad </w:t>
      </w:r>
      <w:r w:rsidRPr="009B206D">
        <w:rPr>
          <w:rFonts w:ascii="Times New Roman" w:hAnsi="Times New Roman"/>
          <w:snapToGrid/>
          <w:sz w:val="24"/>
          <w:szCs w:val="24"/>
        </w:rPr>
        <w:t>consultation</w:t>
      </w:r>
      <w:r>
        <w:rPr>
          <w:rFonts w:ascii="Times New Roman" w:hAnsi="Times New Roman"/>
          <w:snapToGrid/>
          <w:sz w:val="24"/>
          <w:szCs w:val="24"/>
        </w:rPr>
        <w:t xml:space="preserve"> with </w:t>
      </w:r>
      <w:r w:rsidRPr="009B206D">
        <w:rPr>
          <w:rFonts w:ascii="Times New Roman" w:eastAsia="Calibri" w:hAnsi="Times New Roman"/>
          <w:snapToGrid/>
          <w:sz w:val="24"/>
          <w:szCs w:val="22"/>
        </w:rPr>
        <w:t>existing gran</w:t>
      </w:r>
      <w:r w:rsidR="00A5296A">
        <w:rPr>
          <w:rFonts w:ascii="Times New Roman" w:eastAsia="Calibri" w:hAnsi="Times New Roman"/>
          <w:snapToGrid/>
          <w:sz w:val="24"/>
          <w:szCs w:val="22"/>
        </w:rPr>
        <w:t xml:space="preserve">t recipients </w:t>
      </w:r>
      <w:r w:rsidRPr="009B206D">
        <w:rPr>
          <w:rFonts w:ascii="Times New Roman" w:eastAsia="Calibri" w:hAnsi="Times New Roman"/>
          <w:snapToGrid/>
          <w:sz w:val="24"/>
          <w:szCs w:val="22"/>
        </w:rPr>
        <w:t xml:space="preserve">providing services to </w:t>
      </w:r>
      <w:r w:rsidR="00E13B9D">
        <w:rPr>
          <w:rFonts w:ascii="Times New Roman" w:eastAsia="Calibri" w:hAnsi="Times New Roman"/>
          <w:snapToGrid/>
          <w:sz w:val="24"/>
          <w:szCs w:val="22"/>
        </w:rPr>
        <w:t xml:space="preserve">foreign national </w:t>
      </w:r>
      <w:r w:rsidRPr="009B206D">
        <w:rPr>
          <w:rFonts w:ascii="Times New Roman" w:eastAsia="Calibri" w:hAnsi="Times New Roman"/>
          <w:snapToGrid/>
          <w:sz w:val="24"/>
          <w:szCs w:val="22"/>
        </w:rPr>
        <w:t xml:space="preserve">victims of trafficking in persons, best practices identified by the </w:t>
      </w:r>
      <w:hyperlink r:id="rId10" w:history="1">
        <w:r w:rsidRPr="009B206D">
          <w:rPr>
            <w:rFonts w:ascii="Times New Roman" w:eastAsia="Calibri" w:hAnsi="Times New Roman"/>
            <w:snapToGrid/>
            <w:color w:val="0563C1"/>
            <w:sz w:val="24"/>
            <w:szCs w:val="22"/>
            <w:u w:val="single"/>
          </w:rPr>
          <w:t>National Human Trafficking Training and Technical Assistance Center (NHTTAC)</w:t>
        </w:r>
      </w:hyperlink>
      <w:r w:rsidRPr="009B206D">
        <w:rPr>
          <w:rFonts w:ascii="Times New Roman" w:eastAsia="Calibri" w:hAnsi="Times New Roman"/>
          <w:snapToGrid/>
          <w:sz w:val="24"/>
          <w:szCs w:val="22"/>
        </w:rPr>
        <w:t xml:space="preserve"> and NHTTAC’s </w:t>
      </w:r>
      <w:hyperlink r:id="rId11" w:anchor=":~:text=NHTTAC%20is%20a%20program%20of,at%20risk%20of%20human%20trafficking" w:history="1">
        <w:r w:rsidRPr="009B206D">
          <w:rPr>
            <w:rFonts w:ascii="Times New Roman" w:eastAsia="Calibri" w:hAnsi="Times New Roman"/>
            <w:snapToGrid/>
            <w:color w:val="0563C1"/>
            <w:sz w:val="24"/>
            <w:szCs w:val="22"/>
            <w:u w:val="single"/>
          </w:rPr>
          <w:t>Human Trafficking Leadership Academy (HTLA)</w:t>
        </w:r>
      </w:hyperlink>
      <w:r w:rsidRPr="009B206D">
        <w:rPr>
          <w:rFonts w:ascii="Times New Roman" w:eastAsia="Calibri" w:hAnsi="Times New Roman"/>
          <w:snapToGrid/>
          <w:sz w:val="24"/>
          <w:szCs w:val="22"/>
        </w:rPr>
        <w:t>, and existing research examining the trafficking experiences of particular demographic groups</w:t>
      </w:r>
      <w:r>
        <w:rPr>
          <w:rFonts w:ascii="Times New Roman" w:eastAsia="Calibri" w:hAnsi="Times New Roman"/>
          <w:snapToGrid/>
          <w:sz w:val="24"/>
          <w:szCs w:val="22"/>
        </w:rPr>
        <w:t xml:space="preserve">, </w:t>
      </w:r>
      <w:r>
        <w:rPr>
          <w:rFonts w:ascii="Times New Roman" w:hAnsi="Times New Roman"/>
          <w:snapToGrid/>
          <w:sz w:val="24"/>
          <w:szCs w:val="24"/>
        </w:rPr>
        <w:t xml:space="preserve">OTIP has retained questions asking about </w:t>
      </w:r>
      <w:r>
        <w:rPr>
          <w:rFonts w:ascii="Times New Roman" w:hAnsi="Times New Roman"/>
          <w:snapToGrid/>
          <w:sz w:val="24"/>
          <w:szCs w:val="24"/>
        </w:rPr>
        <w:t>clients’</w:t>
      </w:r>
      <w:r>
        <w:rPr>
          <w:rFonts w:ascii="Times New Roman" w:hAnsi="Times New Roman"/>
          <w:snapToGrid/>
          <w:sz w:val="24"/>
          <w:szCs w:val="24"/>
        </w:rPr>
        <w:t xml:space="preserve"> disability status, sexual orientatio</w:t>
      </w:r>
      <w:r>
        <w:rPr>
          <w:rFonts w:ascii="Times New Roman" w:hAnsi="Times New Roman"/>
          <w:snapToGrid/>
          <w:sz w:val="24"/>
          <w:szCs w:val="24"/>
        </w:rPr>
        <w:t>n and</w:t>
      </w:r>
      <w:r>
        <w:rPr>
          <w:rFonts w:ascii="Times New Roman" w:hAnsi="Times New Roman"/>
          <w:snapToGrid/>
          <w:sz w:val="24"/>
          <w:szCs w:val="24"/>
        </w:rPr>
        <w:t xml:space="preserve"> gender identity, and trafficking experience to better understand the populations at risk of human trafficking, inform program development, assess the unmet needs of these populations, and respond to recommendations </w:t>
      </w:r>
      <w:r w:rsidR="005531B9">
        <w:rPr>
          <w:rFonts w:ascii="Times New Roman" w:hAnsi="Times New Roman"/>
          <w:snapToGrid/>
          <w:sz w:val="24"/>
          <w:szCs w:val="24"/>
        </w:rPr>
        <w:t xml:space="preserve">articulated in the </w:t>
      </w:r>
      <w:hyperlink r:id="rId13" w:history="1">
        <w:r w:rsidRPr="00CC728B" w:rsidR="005531B9">
          <w:rPr>
            <w:rStyle w:val="Hyperlink"/>
            <w:rFonts w:ascii="Times New Roman" w:hAnsi="Times New Roman"/>
            <w:snapToGrid/>
            <w:color w:val="0563C1"/>
            <w:sz w:val="24"/>
            <w:szCs w:val="24"/>
          </w:rPr>
          <w:t>2021</w:t>
        </w:r>
      </w:hyperlink>
      <w:r w:rsidR="005531B9">
        <w:rPr>
          <w:rFonts w:ascii="Times New Roman" w:hAnsi="Times New Roman"/>
          <w:snapToGrid/>
          <w:sz w:val="24"/>
          <w:szCs w:val="24"/>
        </w:rPr>
        <w:t xml:space="preserve"> and </w:t>
      </w:r>
      <w:hyperlink r:id="rId14" w:history="1">
        <w:r w:rsidRPr="00CC728B" w:rsidR="005531B9">
          <w:rPr>
            <w:rStyle w:val="Hyperlink"/>
            <w:rFonts w:ascii="Times New Roman" w:hAnsi="Times New Roman"/>
            <w:snapToGrid/>
            <w:color w:val="0563C1"/>
            <w:sz w:val="24"/>
            <w:szCs w:val="24"/>
          </w:rPr>
          <w:t>2022</w:t>
        </w:r>
      </w:hyperlink>
      <w:r w:rsidR="005531B9">
        <w:rPr>
          <w:rFonts w:ascii="Times New Roman" w:hAnsi="Times New Roman"/>
          <w:snapToGrid/>
          <w:sz w:val="24"/>
          <w:szCs w:val="24"/>
        </w:rPr>
        <w:t xml:space="preserve"> reports </w:t>
      </w:r>
      <w:r>
        <w:rPr>
          <w:rFonts w:ascii="Times New Roman" w:hAnsi="Times New Roman"/>
          <w:snapToGrid/>
          <w:sz w:val="24"/>
          <w:szCs w:val="24"/>
        </w:rPr>
        <w:t xml:space="preserve">from the </w:t>
      </w:r>
      <w:r w:rsidRPr="005531B9" w:rsidR="005531B9">
        <w:rPr>
          <w:rFonts w:ascii="Times New Roman" w:hAnsi="Times New Roman"/>
          <w:snapToGrid/>
          <w:sz w:val="24"/>
          <w:szCs w:val="24"/>
        </w:rPr>
        <w:t>United States Advisory Council on Human Trafficking</w:t>
      </w:r>
      <w:r w:rsidR="005531B9">
        <w:rPr>
          <w:rFonts w:ascii="Times New Roman" w:hAnsi="Times New Roman"/>
          <w:snapToGrid/>
          <w:sz w:val="24"/>
          <w:szCs w:val="24"/>
        </w:rPr>
        <w:t>.</w:t>
      </w:r>
      <w:r>
        <w:rPr>
          <w:rStyle w:val="FootnoteReference"/>
          <w:rFonts w:ascii="Times New Roman" w:hAnsi="Times New Roman"/>
          <w:snapToGrid/>
          <w:sz w:val="24"/>
          <w:szCs w:val="24"/>
        </w:rPr>
        <w:footnoteReference w:id="4"/>
      </w:r>
      <w:r>
        <w:rPr>
          <w:rFonts w:ascii="Times New Roman" w:hAnsi="Times New Roman"/>
          <w:snapToGrid/>
          <w:sz w:val="24"/>
          <w:szCs w:val="24"/>
        </w:rPr>
        <w:t xml:space="preserve">  </w:t>
      </w:r>
      <w:r>
        <w:rPr>
          <w:rFonts w:ascii="Times New Roman" w:hAnsi="Times New Roman"/>
          <w:snapToGrid/>
          <w:sz w:val="24"/>
          <w:szCs w:val="24"/>
        </w:rPr>
        <w:t>Clients have the right not to disclose this information, meaning that this information is not required to receive benefits and services under this grant program, and the grant recipients will inform their subrecipients and clients of how their information will be used through their confidentiality agreements/privacy disclosures.</w:t>
      </w:r>
      <w:r>
        <w:rPr>
          <w:rFonts w:ascii="Times New Roman" w:hAnsi="Times New Roman"/>
          <w:snapToGrid/>
          <w:sz w:val="24"/>
          <w:szCs w:val="24"/>
        </w:rPr>
        <w:t xml:space="preserve"> All client-level information reported to OTIP is deidentified before it is received. </w:t>
      </w:r>
    </w:p>
    <w:p w:rsidR="00D60543" w:rsidP="0051278C" w14:paraId="3F5C782F" w14:textId="77777777">
      <w:pPr>
        <w:widowControl/>
        <w:tabs>
          <w:tab w:val="num" w:pos="360"/>
        </w:tabs>
        <w:ind w:left="720" w:hanging="360"/>
        <w:rPr>
          <w:rFonts w:ascii="Times New Roman" w:hAnsi="Times New Roman"/>
          <w:snapToGrid/>
          <w:sz w:val="24"/>
          <w:szCs w:val="24"/>
        </w:rPr>
      </w:pPr>
    </w:p>
    <w:p w:rsidR="00DE529D" w:rsidRPr="004F7B95" w:rsidP="0051278C" w14:paraId="710C7355" w14:textId="77777777">
      <w:pPr>
        <w:widowControl/>
        <w:tabs>
          <w:tab w:val="num" w:pos="360"/>
        </w:tabs>
        <w:ind w:left="720" w:hanging="360"/>
        <w:rPr>
          <w:rFonts w:ascii="Times New Roman" w:hAnsi="Times New Roman"/>
          <w:snapToGrid/>
          <w:sz w:val="24"/>
          <w:szCs w:val="24"/>
        </w:rPr>
      </w:pPr>
    </w:p>
    <w:p w:rsidR="002C3C4F" w:rsidRPr="00075889" w:rsidP="00DE529D" w14:paraId="05B17E8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p w:rsidR="00CB1A12" w:rsidRPr="004F7B95" w:rsidP="00DE529D" w14:paraId="055034F3" w14:textId="77777777">
      <w:pPr>
        <w:widowControl/>
        <w:ind w:left="360"/>
        <w:rPr>
          <w:rFonts w:ascii="Times New Roman" w:hAnsi="Times New Roman"/>
          <w:snapToGrid/>
          <w:sz w:val="24"/>
          <w:szCs w:val="24"/>
        </w:rPr>
      </w:pPr>
    </w:p>
    <w:tbl>
      <w:tblPr>
        <w:tblW w:w="94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24"/>
        <w:gridCol w:w="1341"/>
        <w:gridCol w:w="1255"/>
        <w:gridCol w:w="1060"/>
        <w:gridCol w:w="864"/>
        <w:gridCol w:w="931"/>
        <w:gridCol w:w="1170"/>
        <w:gridCol w:w="1316"/>
      </w:tblGrid>
      <w:tr w14:paraId="230FE56D" w14:textId="77777777" w:rsidTr="00055F10">
        <w:tblPrEx>
          <w:tblW w:w="94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1524" w:type="dxa"/>
            <w:shd w:val="clear" w:color="auto" w:fill="BFBFBF"/>
            <w:vAlign w:val="center"/>
          </w:tcPr>
          <w:p w:rsidR="00957799" w:rsidRPr="00055F10" w:rsidP="00055F10" w14:paraId="710C0652" w14:textId="77777777">
            <w:pPr>
              <w:rPr>
                <w:rFonts w:ascii="Times New Roman" w:hAnsi="Times New Roman"/>
              </w:rPr>
            </w:pPr>
            <w:r w:rsidRPr="00055F10">
              <w:rPr>
                <w:rFonts w:ascii="Times New Roman" w:hAnsi="Times New Roman"/>
              </w:rPr>
              <w:t>I</w:t>
            </w:r>
            <w:r w:rsidRPr="00055F10" w:rsidR="004110F5">
              <w:rPr>
                <w:rFonts w:ascii="Times New Roman" w:hAnsi="Times New Roman"/>
              </w:rPr>
              <w:t>nformation Collection Title</w:t>
            </w:r>
          </w:p>
        </w:tc>
        <w:tc>
          <w:tcPr>
            <w:tcW w:w="1341" w:type="dxa"/>
            <w:shd w:val="clear" w:color="auto" w:fill="BFBFBF"/>
            <w:vAlign w:val="center"/>
          </w:tcPr>
          <w:p w:rsidR="00957799" w:rsidRPr="00055F10" w:rsidP="00055F10" w14:paraId="755B72E5" w14:textId="77777777">
            <w:pPr>
              <w:rPr>
                <w:rFonts w:ascii="Times New Roman" w:hAnsi="Times New Roman"/>
              </w:rPr>
            </w:pPr>
            <w:r w:rsidRPr="00055F10">
              <w:rPr>
                <w:rFonts w:ascii="Times New Roman" w:hAnsi="Times New Roman"/>
              </w:rPr>
              <w:t>Total Number of Respondents</w:t>
            </w:r>
          </w:p>
        </w:tc>
        <w:tc>
          <w:tcPr>
            <w:tcW w:w="1255" w:type="dxa"/>
            <w:shd w:val="clear" w:color="auto" w:fill="BFBFBF"/>
            <w:vAlign w:val="center"/>
          </w:tcPr>
          <w:p w:rsidR="00957799" w:rsidRPr="00055F10" w:rsidP="00055F10" w14:paraId="5053A5D0" w14:textId="77777777">
            <w:pPr>
              <w:rPr>
                <w:rFonts w:ascii="Times New Roman" w:hAnsi="Times New Roman"/>
              </w:rPr>
            </w:pPr>
            <w:r w:rsidRPr="00055F10">
              <w:rPr>
                <w:rFonts w:ascii="Times New Roman" w:hAnsi="Times New Roman"/>
              </w:rPr>
              <w:t>Total Number of Responses Per Respondent</w:t>
            </w:r>
          </w:p>
        </w:tc>
        <w:tc>
          <w:tcPr>
            <w:tcW w:w="1060" w:type="dxa"/>
            <w:shd w:val="clear" w:color="auto" w:fill="BFBFBF"/>
            <w:vAlign w:val="center"/>
          </w:tcPr>
          <w:p w:rsidR="00957799" w:rsidRPr="00055F10" w:rsidP="00055F10" w14:paraId="340D08AF" w14:textId="77777777">
            <w:pPr>
              <w:rPr>
                <w:rFonts w:ascii="Times New Roman" w:hAnsi="Times New Roman"/>
              </w:rPr>
            </w:pPr>
            <w:r w:rsidRPr="00055F10">
              <w:rPr>
                <w:rFonts w:ascii="Times New Roman" w:hAnsi="Times New Roman"/>
              </w:rPr>
              <w:t>Average Burden Hours Per Response</w:t>
            </w:r>
          </w:p>
        </w:tc>
        <w:tc>
          <w:tcPr>
            <w:tcW w:w="864" w:type="dxa"/>
            <w:shd w:val="clear" w:color="auto" w:fill="BFBFBF"/>
            <w:vAlign w:val="center"/>
          </w:tcPr>
          <w:p w:rsidR="00957799" w:rsidRPr="00055F10" w:rsidP="00055F10" w14:paraId="7312FF88" w14:textId="77777777">
            <w:pPr>
              <w:rPr>
                <w:rFonts w:ascii="Times New Roman" w:hAnsi="Times New Roman"/>
              </w:rPr>
            </w:pPr>
            <w:r w:rsidRPr="00055F10">
              <w:rPr>
                <w:rFonts w:ascii="Times New Roman" w:hAnsi="Times New Roman"/>
              </w:rPr>
              <w:t>Total Burden Hours</w:t>
            </w:r>
          </w:p>
        </w:tc>
        <w:tc>
          <w:tcPr>
            <w:tcW w:w="931" w:type="dxa"/>
            <w:shd w:val="clear" w:color="auto" w:fill="BFBFBF"/>
            <w:vAlign w:val="center"/>
          </w:tcPr>
          <w:p w:rsidR="00957799" w:rsidRPr="00055F10" w:rsidP="00055F10" w14:paraId="3AE1FC11" w14:textId="77777777">
            <w:pPr>
              <w:rPr>
                <w:rFonts w:ascii="Times New Roman" w:hAnsi="Times New Roman"/>
                <w:bCs/>
              </w:rPr>
            </w:pPr>
            <w:r w:rsidRPr="00055F10">
              <w:rPr>
                <w:rFonts w:ascii="Times New Roman" w:hAnsi="Times New Roman"/>
                <w:bCs/>
              </w:rPr>
              <w:t>Annual Burden Hours</w:t>
            </w:r>
          </w:p>
        </w:tc>
        <w:tc>
          <w:tcPr>
            <w:tcW w:w="1170" w:type="dxa"/>
            <w:shd w:val="clear" w:color="auto" w:fill="BFBFBF"/>
            <w:vAlign w:val="center"/>
          </w:tcPr>
          <w:p w:rsidR="00957799" w:rsidRPr="00055F10" w:rsidP="00055F10" w14:paraId="0A8FF52A" w14:textId="77777777">
            <w:pPr>
              <w:rPr>
                <w:rFonts w:ascii="Times New Roman" w:hAnsi="Times New Roman"/>
              </w:rPr>
            </w:pPr>
            <w:r w:rsidRPr="00055F10">
              <w:rPr>
                <w:rFonts w:ascii="Times New Roman" w:hAnsi="Times New Roman"/>
                <w:bCs/>
              </w:rPr>
              <w:t>Average Hourly Wage</w:t>
            </w:r>
          </w:p>
        </w:tc>
        <w:tc>
          <w:tcPr>
            <w:tcW w:w="1316" w:type="dxa"/>
            <w:shd w:val="clear" w:color="auto" w:fill="BFBFBF"/>
            <w:vAlign w:val="center"/>
          </w:tcPr>
          <w:p w:rsidR="00957799" w:rsidRPr="00055F10" w:rsidP="00055F10" w14:paraId="4FBD0FB1" w14:textId="77777777">
            <w:pPr>
              <w:rPr>
                <w:rFonts w:ascii="Times New Roman" w:hAnsi="Times New Roman"/>
              </w:rPr>
            </w:pPr>
            <w:r w:rsidRPr="00055F10">
              <w:rPr>
                <w:rFonts w:ascii="Times New Roman" w:hAnsi="Times New Roman"/>
                <w:bCs/>
              </w:rPr>
              <w:t>Total Annual Cost</w:t>
            </w:r>
          </w:p>
        </w:tc>
      </w:tr>
      <w:tr w14:paraId="5140B154" w14:textId="77777777" w:rsidTr="00055F10">
        <w:tblPrEx>
          <w:tblW w:w="9461" w:type="dxa"/>
          <w:jc w:val="center"/>
          <w:tblLook w:val="00A0"/>
        </w:tblPrEx>
        <w:trPr>
          <w:trHeight w:val="432"/>
          <w:jc w:val="center"/>
        </w:trPr>
        <w:tc>
          <w:tcPr>
            <w:tcW w:w="1524" w:type="dxa"/>
            <w:vAlign w:val="center"/>
          </w:tcPr>
          <w:p w:rsidR="00055F10" w:rsidRPr="00055F10" w:rsidP="00055F10" w14:paraId="33E13E32" w14:textId="0DECF2B9">
            <w:pPr>
              <w:tabs>
                <w:tab w:val="center" w:pos="4320"/>
                <w:tab w:val="right" w:pos="8640"/>
              </w:tabs>
              <w:rPr>
                <w:rFonts w:ascii="Times New Roman" w:hAnsi="Times New Roman"/>
              </w:rPr>
            </w:pPr>
            <w:r w:rsidRPr="00055F10">
              <w:rPr>
                <w:rFonts w:ascii="Times New Roman" w:hAnsi="Times New Roman"/>
              </w:rPr>
              <w:t>Client Characteristics and Program Entry</w:t>
            </w:r>
          </w:p>
        </w:tc>
        <w:tc>
          <w:tcPr>
            <w:tcW w:w="1341" w:type="dxa"/>
            <w:vAlign w:val="center"/>
          </w:tcPr>
          <w:p w:rsidR="00055F10" w:rsidRPr="00055F10" w:rsidP="00055F10" w14:paraId="631BD576" w14:textId="562855EF">
            <w:pPr>
              <w:tabs>
                <w:tab w:val="center" w:pos="4320"/>
                <w:tab w:val="right" w:pos="8640"/>
              </w:tabs>
              <w:rPr>
                <w:rFonts w:ascii="Times New Roman" w:hAnsi="Times New Roman"/>
                <w:highlight w:val="yellow"/>
              </w:rPr>
            </w:pPr>
            <w:r w:rsidRPr="00055F10">
              <w:rPr>
                <w:rFonts w:ascii="Times New Roman" w:hAnsi="Times New Roman"/>
              </w:rPr>
              <w:t>6600</w:t>
            </w:r>
          </w:p>
        </w:tc>
        <w:tc>
          <w:tcPr>
            <w:tcW w:w="1255" w:type="dxa"/>
            <w:vAlign w:val="center"/>
          </w:tcPr>
          <w:p w:rsidR="00055F10" w:rsidRPr="00055F10" w:rsidP="00055F10" w14:paraId="3DD8ECC7" w14:textId="64758A8A">
            <w:pPr>
              <w:tabs>
                <w:tab w:val="center" w:pos="4320"/>
                <w:tab w:val="right" w:pos="8640"/>
              </w:tabs>
              <w:rPr>
                <w:rFonts w:ascii="Times New Roman" w:hAnsi="Times New Roman"/>
              </w:rPr>
            </w:pPr>
            <w:r w:rsidRPr="00055F10">
              <w:rPr>
                <w:rFonts w:ascii="Times New Roman" w:hAnsi="Times New Roman"/>
              </w:rPr>
              <w:t>1</w:t>
            </w:r>
          </w:p>
        </w:tc>
        <w:tc>
          <w:tcPr>
            <w:tcW w:w="1060" w:type="dxa"/>
            <w:vAlign w:val="center"/>
          </w:tcPr>
          <w:p w:rsidR="00055F10" w:rsidRPr="00055F10" w:rsidP="00055F10" w14:paraId="46007120" w14:textId="0C50AC5F">
            <w:pPr>
              <w:tabs>
                <w:tab w:val="center" w:pos="4320"/>
                <w:tab w:val="right" w:pos="8640"/>
              </w:tabs>
              <w:rPr>
                <w:rFonts w:ascii="Times New Roman" w:hAnsi="Times New Roman"/>
              </w:rPr>
            </w:pPr>
            <w:r w:rsidRPr="00055F10">
              <w:rPr>
                <w:rFonts w:ascii="Times New Roman" w:hAnsi="Times New Roman"/>
              </w:rPr>
              <w:t>0.75</w:t>
            </w:r>
          </w:p>
        </w:tc>
        <w:tc>
          <w:tcPr>
            <w:tcW w:w="864" w:type="dxa"/>
            <w:vAlign w:val="center"/>
          </w:tcPr>
          <w:p w:rsidR="00055F10" w:rsidRPr="00055F10" w:rsidP="00055F10" w14:paraId="1A00A282" w14:textId="0DF182FE">
            <w:pPr>
              <w:tabs>
                <w:tab w:val="center" w:pos="4320"/>
                <w:tab w:val="right" w:pos="8640"/>
              </w:tabs>
              <w:rPr>
                <w:rFonts w:ascii="Times New Roman" w:hAnsi="Times New Roman"/>
              </w:rPr>
            </w:pPr>
            <w:r w:rsidRPr="00055F10">
              <w:rPr>
                <w:rFonts w:ascii="Times New Roman" w:hAnsi="Times New Roman"/>
              </w:rPr>
              <w:t>4950</w:t>
            </w:r>
          </w:p>
        </w:tc>
        <w:tc>
          <w:tcPr>
            <w:tcW w:w="931" w:type="dxa"/>
            <w:vAlign w:val="center"/>
          </w:tcPr>
          <w:p w:rsidR="00055F10" w:rsidRPr="00055F10" w:rsidP="00055F10" w14:paraId="25670C73" w14:textId="053B12E2">
            <w:pPr>
              <w:tabs>
                <w:tab w:val="center" w:pos="4320"/>
                <w:tab w:val="right" w:pos="8640"/>
              </w:tabs>
              <w:rPr>
                <w:rFonts w:ascii="Times New Roman" w:hAnsi="Times New Roman"/>
              </w:rPr>
            </w:pPr>
            <w:r w:rsidRPr="00055F10">
              <w:rPr>
                <w:rFonts w:ascii="Times New Roman" w:hAnsi="Times New Roman"/>
              </w:rPr>
              <w:t>1650</w:t>
            </w:r>
          </w:p>
        </w:tc>
        <w:tc>
          <w:tcPr>
            <w:tcW w:w="1170" w:type="dxa"/>
            <w:vAlign w:val="center"/>
          </w:tcPr>
          <w:p w:rsidR="00055F10" w:rsidRPr="00055F10" w:rsidP="00055F10" w14:paraId="7D556C98" w14:textId="1A794983">
            <w:pPr>
              <w:tabs>
                <w:tab w:val="center" w:pos="4320"/>
                <w:tab w:val="right" w:pos="8640"/>
              </w:tabs>
              <w:rPr>
                <w:rFonts w:ascii="Times New Roman" w:hAnsi="Times New Roman"/>
              </w:rPr>
            </w:pPr>
            <w:r>
              <w:rPr>
                <w:rFonts w:ascii="Times New Roman" w:hAnsi="Times New Roman"/>
              </w:rPr>
              <w:t>40</w:t>
            </w:r>
          </w:p>
        </w:tc>
        <w:tc>
          <w:tcPr>
            <w:tcW w:w="1316" w:type="dxa"/>
            <w:vAlign w:val="center"/>
          </w:tcPr>
          <w:p w:rsidR="00055F10" w:rsidRPr="00055F10" w:rsidP="00055F10" w14:paraId="5133F4BC" w14:textId="6E6823E7">
            <w:pPr>
              <w:tabs>
                <w:tab w:val="center" w:pos="4320"/>
                <w:tab w:val="right" w:pos="8640"/>
              </w:tabs>
              <w:rPr>
                <w:rFonts w:ascii="Times New Roman" w:hAnsi="Times New Roman"/>
              </w:rPr>
            </w:pPr>
            <w:r>
              <w:rPr>
                <w:rFonts w:ascii="Times New Roman" w:hAnsi="Times New Roman"/>
              </w:rPr>
              <w:t>66,000</w:t>
            </w:r>
            <w:r w:rsidR="004311E0">
              <w:rPr>
                <w:rFonts w:ascii="Times New Roman" w:hAnsi="Times New Roman"/>
              </w:rPr>
              <w:t>.00</w:t>
            </w:r>
          </w:p>
        </w:tc>
      </w:tr>
      <w:tr w14:paraId="66E3DD67" w14:textId="77777777" w:rsidTr="00055F10">
        <w:tblPrEx>
          <w:tblW w:w="9461" w:type="dxa"/>
          <w:jc w:val="center"/>
          <w:tblLook w:val="00A0"/>
        </w:tblPrEx>
        <w:trPr>
          <w:trHeight w:val="432"/>
          <w:jc w:val="center"/>
        </w:trPr>
        <w:tc>
          <w:tcPr>
            <w:tcW w:w="1524" w:type="dxa"/>
            <w:vAlign w:val="center"/>
          </w:tcPr>
          <w:p w:rsidR="00055F10" w:rsidRPr="00055F10" w:rsidP="00055F10" w14:paraId="39DFC5F9" w14:textId="46501BF4">
            <w:pPr>
              <w:tabs>
                <w:tab w:val="center" w:pos="4320"/>
                <w:tab w:val="right" w:pos="8640"/>
              </w:tabs>
              <w:rPr>
                <w:rFonts w:ascii="Times New Roman" w:hAnsi="Times New Roman"/>
              </w:rPr>
            </w:pPr>
            <w:r w:rsidRPr="00055F10">
              <w:rPr>
                <w:rFonts w:ascii="Times New Roman" w:hAnsi="Times New Roman"/>
              </w:rPr>
              <w:t>Client Case Closure</w:t>
            </w:r>
          </w:p>
        </w:tc>
        <w:tc>
          <w:tcPr>
            <w:tcW w:w="1341" w:type="dxa"/>
            <w:vAlign w:val="center"/>
          </w:tcPr>
          <w:p w:rsidR="00055F10" w:rsidRPr="00055F10" w:rsidP="00055F10" w14:paraId="58BAAEDB" w14:textId="0A4D2DCB">
            <w:pPr>
              <w:tabs>
                <w:tab w:val="center" w:pos="4320"/>
                <w:tab w:val="right" w:pos="8640"/>
              </w:tabs>
              <w:rPr>
                <w:rFonts w:ascii="Times New Roman" w:hAnsi="Times New Roman"/>
                <w:highlight w:val="yellow"/>
              </w:rPr>
            </w:pPr>
            <w:r w:rsidRPr="00055F10">
              <w:rPr>
                <w:rFonts w:ascii="Times New Roman" w:hAnsi="Times New Roman"/>
              </w:rPr>
              <w:t>6600</w:t>
            </w:r>
          </w:p>
        </w:tc>
        <w:tc>
          <w:tcPr>
            <w:tcW w:w="1255" w:type="dxa"/>
            <w:vAlign w:val="center"/>
          </w:tcPr>
          <w:p w:rsidR="00055F10" w:rsidRPr="00055F10" w:rsidP="00055F10" w14:paraId="0CD2F9C1" w14:textId="4DE28988">
            <w:pPr>
              <w:tabs>
                <w:tab w:val="center" w:pos="4320"/>
                <w:tab w:val="right" w:pos="8640"/>
              </w:tabs>
              <w:rPr>
                <w:rFonts w:ascii="Times New Roman" w:hAnsi="Times New Roman"/>
              </w:rPr>
            </w:pPr>
            <w:r w:rsidRPr="00055F10">
              <w:rPr>
                <w:rFonts w:ascii="Times New Roman" w:hAnsi="Times New Roman"/>
              </w:rPr>
              <w:t>1</w:t>
            </w:r>
          </w:p>
        </w:tc>
        <w:tc>
          <w:tcPr>
            <w:tcW w:w="1060" w:type="dxa"/>
            <w:vAlign w:val="center"/>
          </w:tcPr>
          <w:p w:rsidR="00055F10" w:rsidRPr="00055F10" w:rsidP="00055F10" w14:paraId="14C40DB3" w14:textId="06C2F682">
            <w:pPr>
              <w:tabs>
                <w:tab w:val="center" w:pos="4320"/>
                <w:tab w:val="right" w:pos="8640"/>
              </w:tabs>
              <w:rPr>
                <w:rFonts w:ascii="Times New Roman" w:hAnsi="Times New Roman"/>
              </w:rPr>
            </w:pPr>
            <w:r w:rsidRPr="00055F10">
              <w:rPr>
                <w:rFonts w:ascii="Times New Roman" w:hAnsi="Times New Roman"/>
              </w:rPr>
              <w:t>0.167</w:t>
            </w:r>
          </w:p>
        </w:tc>
        <w:tc>
          <w:tcPr>
            <w:tcW w:w="864" w:type="dxa"/>
            <w:vAlign w:val="center"/>
          </w:tcPr>
          <w:p w:rsidR="00055F10" w:rsidRPr="00055F10" w:rsidP="00055F10" w14:paraId="404E426D" w14:textId="00779360">
            <w:pPr>
              <w:tabs>
                <w:tab w:val="center" w:pos="4320"/>
                <w:tab w:val="right" w:pos="8640"/>
              </w:tabs>
              <w:rPr>
                <w:rFonts w:ascii="Times New Roman" w:hAnsi="Times New Roman"/>
              </w:rPr>
            </w:pPr>
            <w:r w:rsidRPr="00055F10">
              <w:rPr>
                <w:rFonts w:ascii="Times New Roman" w:hAnsi="Times New Roman"/>
              </w:rPr>
              <w:t>1102.2</w:t>
            </w:r>
          </w:p>
        </w:tc>
        <w:tc>
          <w:tcPr>
            <w:tcW w:w="931" w:type="dxa"/>
            <w:vAlign w:val="center"/>
          </w:tcPr>
          <w:p w:rsidR="00055F10" w:rsidRPr="00055F10" w:rsidP="00055F10" w14:paraId="1557247F" w14:textId="065D7B8E">
            <w:pPr>
              <w:tabs>
                <w:tab w:val="center" w:pos="4320"/>
                <w:tab w:val="right" w:pos="8640"/>
              </w:tabs>
              <w:rPr>
                <w:rFonts w:ascii="Times New Roman" w:hAnsi="Times New Roman"/>
              </w:rPr>
            </w:pPr>
            <w:r w:rsidRPr="00055F10">
              <w:rPr>
                <w:rFonts w:ascii="Times New Roman" w:hAnsi="Times New Roman"/>
              </w:rPr>
              <w:t>367.4</w:t>
            </w:r>
          </w:p>
        </w:tc>
        <w:tc>
          <w:tcPr>
            <w:tcW w:w="1170" w:type="dxa"/>
            <w:vAlign w:val="center"/>
          </w:tcPr>
          <w:p w:rsidR="00055F10" w:rsidRPr="00055F10" w:rsidP="00055F10" w14:paraId="4B1FC7E5" w14:textId="6CA43D4E">
            <w:pPr>
              <w:tabs>
                <w:tab w:val="center" w:pos="4320"/>
                <w:tab w:val="right" w:pos="8640"/>
              </w:tabs>
              <w:rPr>
                <w:rFonts w:ascii="Times New Roman" w:hAnsi="Times New Roman"/>
              </w:rPr>
            </w:pPr>
            <w:r>
              <w:rPr>
                <w:rFonts w:ascii="Times New Roman" w:hAnsi="Times New Roman"/>
              </w:rPr>
              <w:t>40</w:t>
            </w:r>
          </w:p>
        </w:tc>
        <w:tc>
          <w:tcPr>
            <w:tcW w:w="1316" w:type="dxa"/>
            <w:vAlign w:val="center"/>
          </w:tcPr>
          <w:p w:rsidR="00055F10" w:rsidRPr="00055F10" w:rsidP="00055F10" w14:paraId="1D447908" w14:textId="62D5D570">
            <w:pPr>
              <w:tabs>
                <w:tab w:val="center" w:pos="4320"/>
                <w:tab w:val="right" w:pos="8640"/>
              </w:tabs>
              <w:rPr>
                <w:rFonts w:ascii="Times New Roman" w:hAnsi="Times New Roman"/>
              </w:rPr>
            </w:pPr>
            <w:r>
              <w:rPr>
                <w:rFonts w:ascii="Times New Roman" w:hAnsi="Times New Roman"/>
              </w:rPr>
              <w:t>14,696</w:t>
            </w:r>
            <w:r w:rsidR="004311E0">
              <w:rPr>
                <w:rFonts w:ascii="Times New Roman" w:hAnsi="Times New Roman"/>
              </w:rPr>
              <w:t>.00</w:t>
            </w:r>
          </w:p>
        </w:tc>
      </w:tr>
      <w:tr w14:paraId="4687345D" w14:textId="77777777" w:rsidTr="00055F10">
        <w:tblPrEx>
          <w:tblW w:w="9461" w:type="dxa"/>
          <w:jc w:val="center"/>
          <w:tblLook w:val="00A0"/>
        </w:tblPrEx>
        <w:trPr>
          <w:trHeight w:val="432"/>
          <w:jc w:val="center"/>
        </w:trPr>
        <w:tc>
          <w:tcPr>
            <w:tcW w:w="1524" w:type="dxa"/>
            <w:vAlign w:val="center"/>
          </w:tcPr>
          <w:p w:rsidR="00055F10" w:rsidRPr="00055F10" w:rsidP="00055F10" w14:paraId="4EB1ACC8" w14:textId="4B59BA79">
            <w:pPr>
              <w:tabs>
                <w:tab w:val="center" w:pos="4320"/>
                <w:tab w:val="right" w:pos="8640"/>
              </w:tabs>
              <w:rPr>
                <w:rFonts w:ascii="Times New Roman" w:hAnsi="Times New Roman"/>
              </w:rPr>
            </w:pPr>
            <w:r w:rsidRPr="00055F10">
              <w:rPr>
                <w:rFonts w:ascii="Times New Roman" w:hAnsi="Times New Roman"/>
              </w:rPr>
              <w:t xml:space="preserve">Barriers to Service Delivery and Monitoring </w:t>
            </w:r>
          </w:p>
        </w:tc>
        <w:tc>
          <w:tcPr>
            <w:tcW w:w="1341" w:type="dxa"/>
            <w:vAlign w:val="center"/>
          </w:tcPr>
          <w:p w:rsidR="00055F10" w:rsidRPr="00055F10" w:rsidP="00055F10" w14:paraId="113E51DF" w14:textId="4C5388A9">
            <w:pPr>
              <w:tabs>
                <w:tab w:val="center" w:pos="4320"/>
                <w:tab w:val="right" w:pos="8640"/>
              </w:tabs>
              <w:rPr>
                <w:rFonts w:ascii="Times New Roman" w:hAnsi="Times New Roman"/>
                <w:highlight w:val="yellow"/>
              </w:rPr>
            </w:pPr>
            <w:r w:rsidRPr="00055F10">
              <w:rPr>
                <w:rFonts w:ascii="Times New Roman" w:hAnsi="Times New Roman"/>
              </w:rPr>
              <w:t>386</w:t>
            </w:r>
          </w:p>
        </w:tc>
        <w:tc>
          <w:tcPr>
            <w:tcW w:w="1255" w:type="dxa"/>
            <w:vAlign w:val="center"/>
          </w:tcPr>
          <w:p w:rsidR="00055F10" w:rsidRPr="00055F10" w:rsidP="00055F10" w14:paraId="1ED789FE" w14:textId="3BAE87AC">
            <w:pPr>
              <w:tabs>
                <w:tab w:val="center" w:pos="4320"/>
                <w:tab w:val="right" w:pos="8640"/>
              </w:tabs>
              <w:rPr>
                <w:rFonts w:ascii="Times New Roman" w:hAnsi="Times New Roman"/>
              </w:rPr>
            </w:pPr>
            <w:r w:rsidRPr="00055F10">
              <w:rPr>
                <w:rFonts w:ascii="Times New Roman" w:hAnsi="Times New Roman"/>
              </w:rPr>
              <w:t>4</w:t>
            </w:r>
          </w:p>
        </w:tc>
        <w:tc>
          <w:tcPr>
            <w:tcW w:w="1060" w:type="dxa"/>
            <w:vAlign w:val="center"/>
          </w:tcPr>
          <w:p w:rsidR="00055F10" w:rsidRPr="00055F10" w:rsidP="00055F10" w14:paraId="4DD58EAB" w14:textId="3197A7E1">
            <w:pPr>
              <w:tabs>
                <w:tab w:val="center" w:pos="4320"/>
                <w:tab w:val="right" w:pos="8640"/>
              </w:tabs>
              <w:rPr>
                <w:rFonts w:ascii="Times New Roman" w:hAnsi="Times New Roman"/>
              </w:rPr>
            </w:pPr>
            <w:r w:rsidRPr="00055F10">
              <w:rPr>
                <w:rFonts w:ascii="Times New Roman" w:hAnsi="Times New Roman"/>
              </w:rPr>
              <w:t>0.167</w:t>
            </w:r>
          </w:p>
        </w:tc>
        <w:tc>
          <w:tcPr>
            <w:tcW w:w="864" w:type="dxa"/>
            <w:vAlign w:val="center"/>
          </w:tcPr>
          <w:p w:rsidR="00055F10" w:rsidRPr="00055F10" w:rsidP="00055F10" w14:paraId="14CF1535" w14:textId="221026C6">
            <w:pPr>
              <w:tabs>
                <w:tab w:val="center" w:pos="4320"/>
                <w:tab w:val="right" w:pos="8640"/>
              </w:tabs>
              <w:rPr>
                <w:rFonts w:ascii="Times New Roman" w:hAnsi="Times New Roman"/>
              </w:rPr>
            </w:pPr>
            <w:r w:rsidRPr="00055F10">
              <w:rPr>
                <w:rFonts w:ascii="Times New Roman" w:hAnsi="Times New Roman"/>
              </w:rPr>
              <w:t>257.85</w:t>
            </w:r>
          </w:p>
        </w:tc>
        <w:tc>
          <w:tcPr>
            <w:tcW w:w="931" w:type="dxa"/>
            <w:vAlign w:val="center"/>
          </w:tcPr>
          <w:p w:rsidR="00055F10" w:rsidRPr="00055F10" w:rsidP="00055F10" w14:paraId="676D58FC" w14:textId="60AC5112">
            <w:pPr>
              <w:tabs>
                <w:tab w:val="center" w:pos="4320"/>
                <w:tab w:val="right" w:pos="8640"/>
              </w:tabs>
              <w:rPr>
                <w:rFonts w:ascii="Times New Roman" w:hAnsi="Times New Roman"/>
              </w:rPr>
            </w:pPr>
            <w:r w:rsidRPr="00055F10">
              <w:rPr>
                <w:rFonts w:ascii="Times New Roman" w:hAnsi="Times New Roman"/>
              </w:rPr>
              <w:t>85.95</w:t>
            </w:r>
          </w:p>
        </w:tc>
        <w:tc>
          <w:tcPr>
            <w:tcW w:w="1170" w:type="dxa"/>
            <w:vAlign w:val="center"/>
          </w:tcPr>
          <w:p w:rsidR="00055F10" w:rsidRPr="00055F10" w:rsidP="00055F10" w14:paraId="68FBA75E" w14:textId="12A8104C">
            <w:pPr>
              <w:tabs>
                <w:tab w:val="center" w:pos="4320"/>
                <w:tab w:val="right" w:pos="8640"/>
              </w:tabs>
              <w:rPr>
                <w:rFonts w:ascii="Times New Roman" w:hAnsi="Times New Roman"/>
              </w:rPr>
            </w:pPr>
            <w:r>
              <w:rPr>
                <w:rFonts w:ascii="Times New Roman" w:hAnsi="Times New Roman"/>
              </w:rPr>
              <w:t>40</w:t>
            </w:r>
          </w:p>
        </w:tc>
        <w:tc>
          <w:tcPr>
            <w:tcW w:w="1316" w:type="dxa"/>
            <w:vAlign w:val="center"/>
          </w:tcPr>
          <w:p w:rsidR="00055F10" w:rsidRPr="00055F10" w:rsidP="00055F10" w14:paraId="1950A99A" w14:textId="101BDF8C">
            <w:pPr>
              <w:tabs>
                <w:tab w:val="center" w:pos="4320"/>
                <w:tab w:val="right" w:pos="8640"/>
              </w:tabs>
              <w:rPr>
                <w:rFonts w:ascii="Times New Roman" w:hAnsi="Times New Roman"/>
              </w:rPr>
            </w:pPr>
            <w:r>
              <w:rPr>
                <w:rFonts w:ascii="Times New Roman" w:hAnsi="Times New Roman"/>
              </w:rPr>
              <w:t>3,438.00</w:t>
            </w:r>
          </w:p>
        </w:tc>
      </w:tr>
      <w:tr w14:paraId="0FF255B2" w14:textId="77777777" w:rsidTr="00055F10">
        <w:tblPrEx>
          <w:tblW w:w="9461" w:type="dxa"/>
          <w:jc w:val="center"/>
          <w:tblLook w:val="00A0"/>
        </w:tblPrEx>
        <w:trPr>
          <w:trHeight w:val="432"/>
          <w:jc w:val="center"/>
        </w:trPr>
        <w:tc>
          <w:tcPr>
            <w:tcW w:w="1524" w:type="dxa"/>
            <w:vAlign w:val="center"/>
          </w:tcPr>
          <w:p w:rsidR="00055F10" w:rsidRPr="00055F10" w:rsidP="00055F10" w14:paraId="4BF0AF33" w14:textId="4DAF02E5">
            <w:pPr>
              <w:tabs>
                <w:tab w:val="center" w:pos="4320"/>
                <w:tab w:val="right" w:pos="8640"/>
              </w:tabs>
              <w:rPr>
                <w:rFonts w:ascii="Times New Roman" w:hAnsi="Times New Roman"/>
              </w:rPr>
            </w:pPr>
            <w:r w:rsidRPr="00055F10">
              <w:rPr>
                <w:rFonts w:ascii="Times New Roman" w:hAnsi="Times New Roman"/>
              </w:rPr>
              <w:t xml:space="preserve">Client Service Use and Delivery </w:t>
            </w:r>
          </w:p>
        </w:tc>
        <w:tc>
          <w:tcPr>
            <w:tcW w:w="1341" w:type="dxa"/>
            <w:vAlign w:val="center"/>
          </w:tcPr>
          <w:p w:rsidR="00055F10" w:rsidRPr="00055F10" w:rsidP="00055F10" w14:paraId="6B7E0214" w14:textId="4E0EDF7C">
            <w:pPr>
              <w:tabs>
                <w:tab w:val="center" w:pos="4320"/>
                <w:tab w:val="right" w:pos="8640"/>
              </w:tabs>
              <w:rPr>
                <w:rFonts w:ascii="Times New Roman" w:hAnsi="Times New Roman"/>
                <w:highlight w:val="yellow"/>
              </w:rPr>
            </w:pPr>
            <w:r w:rsidRPr="00055F10">
              <w:rPr>
                <w:rFonts w:ascii="Times New Roman" w:hAnsi="Times New Roman"/>
              </w:rPr>
              <w:t>6600</w:t>
            </w:r>
          </w:p>
        </w:tc>
        <w:tc>
          <w:tcPr>
            <w:tcW w:w="1255" w:type="dxa"/>
            <w:vAlign w:val="center"/>
          </w:tcPr>
          <w:p w:rsidR="00055F10" w:rsidRPr="00055F10" w:rsidP="00055F10" w14:paraId="5C22AF34" w14:textId="2BA07F26">
            <w:pPr>
              <w:tabs>
                <w:tab w:val="center" w:pos="4320"/>
                <w:tab w:val="right" w:pos="8640"/>
              </w:tabs>
              <w:rPr>
                <w:rFonts w:ascii="Times New Roman" w:hAnsi="Times New Roman"/>
              </w:rPr>
            </w:pPr>
            <w:r w:rsidRPr="00055F10">
              <w:rPr>
                <w:rFonts w:ascii="Times New Roman" w:hAnsi="Times New Roman"/>
              </w:rPr>
              <w:t>1</w:t>
            </w:r>
          </w:p>
        </w:tc>
        <w:tc>
          <w:tcPr>
            <w:tcW w:w="1060" w:type="dxa"/>
            <w:vAlign w:val="center"/>
          </w:tcPr>
          <w:p w:rsidR="00055F10" w:rsidRPr="00055F10" w:rsidP="00055F10" w14:paraId="39A83422" w14:textId="473AAC3F">
            <w:pPr>
              <w:tabs>
                <w:tab w:val="center" w:pos="4320"/>
                <w:tab w:val="right" w:pos="8640"/>
              </w:tabs>
              <w:rPr>
                <w:rFonts w:ascii="Times New Roman" w:hAnsi="Times New Roman"/>
              </w:rPr>
            </w:pPr>
            <w:r w:rsidRPr="00055F10">
              <w:rPr>
                <w:rFonts w:ascii="Times New Roman" w:hAnsi="Times New Roman"/>
              </w:rPr>
              <w:t>0.25</w:t>
            </w:r>
          </w:p>
        </w:tc>
        <w:tc>
          <w:tcPr>
            <w:tcW w:w="864" w:type="dxa"/>
            <w:vAlign w:val="center"/>
          </w:tcPr>
          <w:p w:rsidR="00055F10" w:rsidRPr="00055F10" w:rsidP="00055F10" w14:paraId="04E4D8D1" w14:textId="30EEC5C1">
            <w:pPr>
              <w:tabs>
                <w:tab w:val="center" w:pos="4320"/>
                <w:tab w:val="right" w:pos="8640"/>
              </w:tabs>
              <w:rPr>
                <w:rFonts w:ascii="Times New Roman" w:hAnsi="Times New Roman"/>
              </w:rPr>
            </w:pPr>
            <w:r w:rsidRPr="00055F10">
              <w:rPr>
                <w:rFonts w:ascii="Times New Roman" w:hAnsi="Times New Roman"/>
              </w:rPr>
              <w:t>1650</w:t>
            </w:r>
          </w:p>
        </w:tc>
        <w:tc>
          <w:tcPr>
            <w:tcW w:w="931" w:type="dxa"/>
            <w:vAlign w:val="center"/>
          </w:tcPr>
          <w:p w:rsidR="00055F10" w:rsidRPr="00055F10" w:rsidP="00055F10" w14:paraId="5A5E82F2" w14:textId="532540EC">
            <w:pPr>
              <w:tabs>
                <w:tab w:val="center" w:pos="4320"/>
                <w:tab w:val="right" w:pos="8640"/>
              </w:tabs>
              <w:rPr>
                <w:rFonts w:ascii="Times New Roman" w:hAnsi="Times New Roman"/>
              </w:rPr>
            </w:pPr>
            <w:r w:rsidRPr="00055F10">
              <w:rPr>
                <w:rFonts w:ascii="Times New Roman" w:hAnsi="Times New Roman"/>
              </w:rPr>
              <w:t>550</w:t>
            </w:r>
          </w:p>
        </w:tc>
        <w:tc>
          <w:tcPr>
            <w:tcW w:w="1170" w:type="dxa"/>
            <w:vAlign w:val="center"/>
          </w:tcPr>
          <w:p w:rsidR="00055F10" w:rsidRPr="00055F10" w:rsidP="00055F10" w14:paraId="76D26084" w14:textId="5EF86091">
            <w:pPr>
              <w:tabs>
                <w:tab w:val="center" w:pos="4320"/>
                <w:tab w:val="right" w:pos="8640"/>
              </w:tabs>
              <w:rPr>
                <w:rFonts w:ascii="Times New Roman" w:hAnsi="Times New Roman"/>
              </w:rPr>
            </w:pPr>
            <w:r>
              <w:rPr>
                <w:rFonts w:ascii="Times New Roman" w:hAnsi="Times New Roman"/>
              </w:rPr>
              <w:t>40</w:t>
            </w:r>
          </w:p>
        </w:tc>
        <w:tc>
          <w:tcPr>
            <w:tcW w:w="1316" w:type="dxa"/>
            <w:vAlign w:val="center"/>
          </w:tcPr>
          <w:p w:rsidR="00055F10" w:rsidRPr="00055F10" w:rsidP="00055F10" w14:paraId="7FCDA9A7" w14:textId="4943501C">
            <w:pPr>
              <w:tabs>
                <w:tab w:val="center" w:pos="4320"/>
                <w:tab w:val="right" w:pos="8640"/>
              </w:tabs>
              <w:rPr>
                <w:rFonts w:ascii="Times New Roman" w:hAnsi="Times New Roman"/>
              </w:rPr>
            </w:pPr>
            <w:r>
              <w:rPr>
                <w:rFonts w:ascii="Times New Roman" w:hAnsi="Times New Roman"/>
              </w:rPr>
              <w:t>22,000.00</w:t>
            </w:r>
          </w:p>
        </w:tc>
      </w:tr>
      <w:tr w14:paraId="3933B2BE" w14:textId="77777777" w:rsidTr="00055F10">
        <w:tblPrEx>
          <w:tblW w:w="9461" w:type="dxa"/>
          <w:jc w:val="center"/>
          <w:tblLook w:val="00A0"/>
        </w:tblPrEx>
        <w:trPr>
          <w:trHeight w:val="432"/>
          <w:jc w:val="center"/>
        </w:trPr>
        <w:tc>
          <w:tcPr>
            <w:tcW w:w="1524" w:type="dxa"/>
            <w:vAlign w:val="center"/>
          </w:tcPr>
          <w:p w:rsidR="00055F10" w:rsidRPr="00055F10" w:rsidP="00055F10" w14:paraId="4F92D51F" w14:textId="57388655">
            <w:pPr>
              <w:tabs>
                <w:tab w:val="center" w:pos="4320"/>
                <w:tab w:val="right" w:pos="8640"/>
              </w:tabs>
              <w:rPr>
                <w:rFonts w:ascii="Times New Roman" w:hAnsi="Times New Roman"/>
              </w:rPr>
            </w:pPr>
            <w:r w:rsidRPr="00055F10">
              <w:rPr>
                <w:rFonts w:ascii="Times New Roman" w:hAnsi="Times New Roman"/>
              </w:rPr>
              <w:t xml:space="preserve">Victim Outreach </w:t>
            </w:r>
          </w:p>
        </w:tc>
        <w:tc>
          <w:tcPr>
            <w:tcW w:w="1341" w:type="dxa"/>
            <w:vAlign w:val="center"/>
          </w:tcPr>
          <w:p w:rsidR="00055F10" w:rsidRPr="00055F10" w:rsidP="00055F10" w14:paraId="4F06E412" w14:textId="2E865A99">
            <w:pPr>
              <w:tabs>
                <w:tab w:val="center" w:pos="4320"/>
                <w:tab w:val="right" w:pos="8640"/>
              </w:tabs>
              <w:rPr>
                <w:rFonts w:ascii="Times New Roman" w:hAnsi="Times New Roman"/>
                <w:highlight w:val="yellow"/>
              </w:rPr>
            </w:pPr>
            <w:r w:rsidRPr="00055F10">
              <w:rPr>
                <w:rFonts w:ascii="Times New Roman" w:hAnsi="Times New Roman"/>
              </w:rPr>
              <w:t>386</w:t>
            </w:r>
          </w:p>
        </w:tc>
        <w:tc>
          <w:tcPr>
            <w:tcW w:w="1255" w:type="dxa"/>
            <w:vAlign w:val="center"/>
          </w:tcPr>
          <w:p w:rsidR="00055F10" w:rsidRPr="00055F10" w:rsidP="00055F10" w14:paraId="56687043" w14:textId="734E72C0">
            <w:pPr>
              <w:tabs>
                <w:tab w:val="center" w:pos="4320"/>
                <w:tab w:val="right" w:pos="8640"/>
              </w:tabs>
              <w:rPr>
                <w:rFonts w:ascii="Times New Roman" w:hAnsi="Times New Roman"/>
              </w:rPr>
            </w:pPr>
            <w:r w:rsidRPr="00055F10">
              <w:rPr>
                <w:rFonts w:ascii="Times New Roman" w:hAnsi="Times New Roman"/>
              </w:rPr>
              <w:t>4</w:t>
            </w:r>
          </w:p>
        </w:tc>
        <w:tc>
          <w:tcPr>
            <w:tcW w:w="1060" w:type="dxa"/>
            <w:vAlign w:val="center"/>
          </w:tcPr>
          <w:p w:rsidR="00055F10" w:rsidRPr="00055F10" w:rsidP="00055F10" w14:paraId="7FA79F7D" w14:textId="2395216B">
            <w:pPr>
              <w:tabs>
                <w:tab w:val="center" w:pos="4320"/>
                <w:tab w:val="right" w:pos="8640"/>
              </w:tabs>
              <w:rPr>
                <w:rFonts w:ascii="Times New Roman" w:hAnsi="Times New Roman"/>
              </w:rPr>
            </w:pPr>
            <w:r w:rsidRPr="00055F10">
              <w:rPr>
                <w:rFonts w:ascii="Times New Roman" w:hAnsi="Times New Roman"/>
              </w:rPr>
              <w:t>0.3</w:t>
            </w:r>
          </w:p>
        </w:tc>
        <w:tc>
          <w:tcPr>
            <w:tcW w:w="864" w:type="dxa"/>
            <w:vAlign w:val="center"/>
          </w:tcPr>
          <w:p w:rsidR="00055F10" w:rsidRPr="00055F10" w:rsidP="00055F10" w14:paraId="5C9E86DA" w14:textId="2B2FCE7A">
            <w:pPr>
              <w:tabs>
                <w:tab w:val="center" w:pos="4320"/>
                <w:tab w:val="right" w:pos="8640"/>
              </w:tabs>
              <w:rPr>
                <w:rFonts w:ascii="Times New Roman" w:hAnsi="Times New Roman"/>
              </w:rPr>
            </w:pPr>
            <w:r w:rsidRPr="00055F10">
              <w:rPr>
                <w:rFonts w:ascii="Times New Roman" w:hAnsi="Times New Roman"/>
              </w:rPr>
              <w:t>463.2</w:t>
            </w:r>
          </w:p>
        </w:tc>
        <w:tc>
          <w:tcPr>
            <w:tcW w:w="931" w:type="dxa"/>
            <w:vAlign w:val="center"/>
          </w:tcPr>
          <w:p w:rsidR="00055F10" w:rsidRPr="00055F10" w:rsidP="00055F10" w14:paraId="48A8508E" w14:textId="6410F888">
            <w:pPr>
              <w:tabs>
                <w:tab w:val="center" w:pos="4320"/>
                <w:tab w:val="right" w:pos="8640"/>
              </w:tabs>
              <w:rPr>
                <w:rFonts w:ascii="Times New Roman" w:hAnsi="Times New Roman"/>
              </w:rPr>
            </w:pPr>
            <w:r w:rsidRPr="00055F10">
              <w:rPr>
                <w:rFonts w:ascii="Times New Roman" w:hAnsi="Times New Roman"/>
              </w:rPr>
              <w:t>154.4</w:t>
            </w:r>
          </w:p>
        </w:tc>
        <w:tc>
          <w:tcPr>
            <w:tcW w:w="1170" w:type="dxa"/>
            <w:vAlign w:val="center"/>
          </w:tcPr>
          <w:p w:rsidR="00055F10" w:rsidRPr="00055F10" w:rsidP="00055F10" w14:paraId="7C273EFC" w14:textId="5805923F">
            <w:pPr>
              <w:tabs>
                <w:tab w:val="center" w:pos="4320"/>
                <w:tab w:val="right" w:pos="8640"/>
              </w:tabs>
              <w:rPr>
                <w:rFonts w:ascii="Times New Roman" w:hAnsi="Times New Roman"/>
              </w:rPr>
            </w:pPr>
            <w:r>
              <w:rPr>
                <w:rFonts w:ascii="Times New Roman" w:hAnsi="Times New Roman"/>
              </w:rPr>
              <w:t>40</w:t>
            </w:r>
          </w:p>
        </w:tc>
        <w:tc>
          <w:tcPr>
            <w:tcW w:w="1316" w:type="dxa"/>
            <w:vAlign w:val="center"/>
          </w:tcPr>
          <w:p w:rsidR="00055F10" w:rsidRPr="00055F10" w:rsidP="00055F10" w14:paraId="08A83CDD" w14:textId="65E5444D">
            <w:pPr>
              <w:tabs>
                <w:tab w:val="center" w:pos="4320"/>
                <w:tab w:val="right" w:pos="8640"/>
              </w:tabs>
              <w:rPr>
                <w:rFonts w:ascii="Times New Roman" w:hAnsi="Times New Roman"/>
              </w:rPr>
            </w:pPr>
            <w:r>
              <w:rPr>
                <w:rFonts w:ascii="Times New Roman" w:hAnsi="Times New Roman"/>
              </w:rPr>
              <w:t>6,176.00</w:t>
            </w:r>
          </w:p>
        </w:tc>
      </w:tr>
      <w:tr w14:paraId="7C2A2DDD" w14:textId="77777777" w:rsidTr="00055F10">
        <w:tblPrEx>
          <w:tblW w:w="9461" w:type="dxa"/>
          <w:jc w:val="center"/>
          <w:tblLook w:val="00A0"/>
        </w:tblPrEx>
        <w:trPr>
          <w:trHeight w:val="432"/>
          <w:jc w:val="center"/>
        </w:trPr>
        <w:tc>
          <w:tcPr>
            <w:tcW w:w="1524" w:type="dxa"/>
            <w:vAlign w:val="center"/>
          </w:tcPr>
          <w:p w:rsidR="00055F10" w:rsidRPr="00055F10" w:rsidP="00055F10" w14:paraId="42807289" w14:textId="75F93F1F">
            <w:pPr>
              <w:tabs>
                <w:tab w:val="center" w:pos="4320"/>
                <w:tab w:val="right" w:pos="8640"/>
              </w:tabs>
              <w:rPr>
                <w:rFonts w:ascii="Times New Roman" w:hAnsi="Times New Roman"/>
              </w:rPr>
            </w:pPr>
            <w:r w:rsidRPr="00055F10">
              <w:rPr>
                <w:rFonts w:ascii="Times New Roman" w:hAnsi="Times New Roman"/>
              </w:rPr>
              <w:t xml:space="preserve">Subrecipient Enrollment </w:t>
            </w:r>
          </w:p>
        </w:tc>
        <w:tc>
          <w:tcPr>
            <w:tcW w:w="1341" w:type="dxa"/>
            <w:vAlign w:val="center"/>
          </w:tcPr>
          <w:p w:rsidR="00055F10" w:rsidRPr="00055F10" w:rsidP="00055F10" w14:paraId="54B6DA72" w14:textId="75F77102">
            <w:pPr>
              <w:tabs>
                <w:tab w:val="center" w:pos="4320"/>
                <w:tab w:val="right" w:pos="8640"/>
              </w:tabs>
              <w:rPr>
                <w:rFonts w:ascii="Times New Roman" w:hAnsi="Times New Roman"/>
                <w:highlight w:val="yellow"/>
              </w:rPr>
            </w:pPr>
            <w:r w:rsidRPr="00055F10">
              <w:rPr>
                <w:rFonts w:ascii="Times New Roman" w:hAnsi="Times New Roman"/>
              </w:rPr>
              <w:t>193</w:t>
            </w:r>
          </w:p>
        </w:tc>
        <w:tc>
          <w:tcPr>
            <w:tcW w:w="1255" w:type="dxa"/>
            <w:vAlign w:val="center"/>
          </w:tcPr>
          <w:p w:rsidR="00055F10" w:rsidRPr="00055F10" w:rsidP="00055F10" w14:paraId="05E717BE" w14:textId="30B75788">
            <w:pPr>
              <w:tabs>
                <w:tab w:val="center" w:pos="4320"/>
                <w:tab w:val="right" w:pos="8640"/>
              </w:tabs>
              <w:rPr>
                <w:rFonts w:ascii="Times New Roman" w:hAnsi="Times New Roman"/>
              </w:rPr>
            </w:pPr>
            <w:r w:rsidRPr="00055F10">
              <w:rPr>
                <w:rFonts w:ascii="Times New Roman" w:hAnsi="Times New Roman"/>
              </w:rPr>
              <w:t>2</w:t>
            </w:r>
          </w:p>
        </w:tc>
        <w:tc>
          <w:tcPr>
            <w:tcW w:w="1060" w:type="dxa"/>
            <w:vAlign w:val="center"/>
          </w:tcPr>
          <w:p w:rsidR="00055F10" w:rsidRPr="00055F10" w:rsidP="00055F10" w14:paraId="0D867CB7" w14:textId="04A5D55A">
            <w:pPr>
              <w:tabs>
                <w:tab w:val="center" w:pos="4320"/>
                <w:tab w:val="right" w:pos="8640"/>
              </w:tabs>
              <w:rPr>
                <w:rFonts w:ascii="Times New Roman" w:hAnsi="Times New Roman"/>
              </w:rPr>
            </w:pPr>
            <w:r w:rsidRPr="00055F10">
              <w:rPr>
                <w:rFonts w:ascii="Times New Roman" w:hAnsi="Times New Roman"/>
              </w:rPr>
              <w:t>0.167</w:t>
            </w:r>
          </w:p>
        </w:tc>
        <w:tc>
          <w:tcPr>
            <w:tcW w:w="864" w:type="dxa"/>
            <w:vAlign w:val="center"/>
          </w:tcPr>
          <w:p w:rsidR="00055F10" w:rsidRPr="00055F10" w:rsidP="00055F10" w14:paraId="7B6B1DCB" w14:textId="68F6821C">
            <w:pPr>
              <w:tabs>
                <w:tab w:val="center" w:pos="4320"/>
                <w:tab w:val="right" w:pos="8640"/>
              </w:tabs>
              <w:rPr>
                <w:rFonts w:ascii="Times New Roman" w:hAnsi="Times New Roman"/>
              </w:rPr>
            </w:pPr>
            <w:r w:rsidRPr="00055F10">
              <w:rPr>
                <w:rFonts w:ascii="Times New Roman" w:hAnsi="Times New Roman"/>
              </w:rPr>
              <w:t>64.5</w:t>
            </w:r>
          </w:p>
        </w:tc>
        <w:tc>
          <w:tcPr>
            <w:tcW w:w="931" w:type="dxa"/>
            <w:vAlign w:val="center"/>
          </w:tcPr>
          <w:p w:rsidR="00055F10" w:rsidRPr="00055F10" w:rsidP="00055F10" w14:paraId="5762E01E" w14:textId="53EA50A6">
            <w:pPr>
              <w:tabs>
                <w:tab w:val="center" w:pos="4320"/>
                <w:tab w:val="right" w:pos="8640"/>
              </w:tabs>
              <w:rPr>
                <w:rFonts w:ascii="Times New Roman" w:hAnsi="Times New Roman"/>
              </w:rPr>
            </w:pPr>
            <w:r w:rsidRPr="00055F10">
              <w:rPr>
                <w:rFonts w:ascii="Times New Roman" w:hAnsi="Times New Roman"/>
              </w:rPr>
              <w:t>21.5</w:t>
            </w:r>
          </w:p>
        </w:tc>
        <w:tc>
          <w:tcPr>
            <w:tcW w:w="1170" w:type="dxa"/>
            <w:vAlign w:val="center"/>
          </w:tcPr>
          <w:p w:rsidR="00055F10" w:rsidRPr="00055F10" w:rsidP="00055F10" w14:paraId="073CC3FB" w14:textId="46D3868E">
            <w:pPr>
              <w:tabs>
                <w:tab w:val="center" w:pos="4320"/>
                <w:tab w:val="right" w:pos="8640"/>
              </w:tabs>
              <w:rPr>
                <w:rFonts w:ascii="Times New Roman" w:hAnsi="Times New Roman"/>
              </w:rPr>
            </w:pPr>
            <w:r>
              <w:rPr>
                <w:rFonts w:ascii="Times New Roman" w:hAnsi="Times New Roman"/>
              </w:rPr>
              <w:t>40</w:t>
            </w:r>
          </w:p>
        </w:tc>
        <w:tc>
          <w:tcPr>
            <w:tcW w:w="1316" w:type="dxa"/>
            <w:vAlign w:val="center"/>
          </w:tcPr>
          <w:p w:rsidR="00055F10" w:rsidRPr="00055F10" w:rsidP="00055F10" w14:paraId="413728EF" w14:textId="7E1CF4AA">
            <w:pPr>
              <w:tabs>
                <w:tab w:val="center" w:pos="4320"/>
                <w:tab w:val="right" w:pos="8640"/>
              </w:tabs>
              <w:rPr>
                <w:rFonts w:ascii="Times New Roman" w:hAnsi="Times New Roman"/>
              </w:rPr>
            </w:pPr>
            <w:r>
              <w:rPr>
                <w:rFonts w:ascii="Times New Roman" w:hAnsi="Times New Roman"/>
              </w:rPr>
              <w:t>860.00</w:t>
            </w:r>
          </w:p>
        </w:tc>
      </w:tr>
      <w:tr w14:paraId="7DDCFD68" w14:textId="77777777" w:rsidTr="00055F10">
        <w:tblPrEx>
          <w:tblW w:w="9461" w:type="dxa"/>
          <w:jc w:val="center"/>
          <w:tblLook w:val="00A0"/>
        </w:tblPrEx>
        <w:trPr>
          <w:trHeight w:val="432"/>
          <w:jc w:val="center"/>
        </w:trPr>
        <w:tc>
          <w:tcPr>
            <w:tcW w:w="1524" w:type="dxa"/>
            <w:vAlign w:val="center"/>
          </w:tcPr>
          <w:p w:rsidR="00055F10" w:rsidRPr="00055F10" w:rsidP="00055F10" w14:paraId="792E7DB4" w14:textId="5F24E065">
            <w:pPr>
              <w:tabs>
                <w:tab w:val="center" w:pos="4320"/>
                <w:tab w:val="right" w:pos="8640"/>
              </w:tabs>
              <w:rPr>
                <w:rFonts w:ascii="Times New Roman" w:hAnsi="Times New Roman"/>
              </w:rPr>
            </w:pPr>
            <w:r w:rsidRPr="00055F10">
              <w:rPr>
                <w:rFonts w:ascii="Times New Roman" w:hAnsi="Times New Roman"/>
              </w:rPr>
              <w:t>Categories of Assistance</w:t>
            </w:r>
          </w:p>
        </w:tc>
        <w:tc>
          <w:tcPr>
            <w:tcW w:w="1341" w:type="dxa"/>
            <w:vAlign w:val="center"/>
          </w:tcPr>
          <w:p w:rsidR="00055F10" w:rsidRPr="00055F10" w:rsidP="00055F10" w14:paraId="07995D80" w14:textId="24C178B5">
            <w:pPr>
              <w:tabs>
                <w:tab w:val="center" w:pos="4320"/>
                <w:tab w:val="right" w:pos="8640"/>
              </w:tabs>
              <w:rPr>
                <w:rFonts w:ascii="Times New Roman" w:hAnsi="Times New Roman"/>
                <w:highlight w:val="yellow"/>
              </w:rPr>
            </w:pPr>
            <w:r w:rsidRPr="00055F10">
              <w:rPr>
                <w:rFonts w:ascii="Times New Roman" w:hAnsi="Times New Roman"/>
              </w:rPr>
              <w:t>193</w:t>
            </w:r>
          </w:p>
        </w:tc>
        <w:tc>
          <w:tcPr>
            <w:tcW w:w="1255" w:type="dxa"/>
            <w:vAlign w:val="center"/>
          </w:tcPr>
          <w:p w:rsidR="00055F10" w:rsidRPr="00055F10" w:rsidP="00055F10" w14:paraId="21A4BBC3" w14:textId="2D406E74">
            <w:pPr>
              <w:tabs>
                <w:tab w:val="center" w:pos="4320"/>
                <w:tab w:val="right" w:pos="8640"/>
              </w:tabs>
              <w:rPr>
                <w:rFonts w:ascii="Times New Roman" w:hAnsi="Times New Roman"/>
              </w:rPr>
            </w:pPr>
            <w:r w:rsidRPr="00055F10">
              <w:rPr>
                <w:rFonts w:ascii="Times New Roman" w:hAnsi="Times New Roman"/>
              </w:rPr>
              <w:t>1</w:t>
            </w:r>
          </w:p>
        </w:tc>
        <w:tc>
          <w:tcPr>
            <w:tcW w:w="1060" w:type="dxa"/>
            <w:vAlign w:val="center"/>
          </w:tcPr>
          <w:p w:rsidR="00055F10" w:rsidRPr="00055F10" w:rsidP="00055F10" w14:paraId="47C3ED86" w14:textId="1BDA228C">
            <w:pPr>
              <w:tabs>
                <w:tab w:val="center" w:pos="4320"/>
                <w:tab w:val="right" w:pos="8640"/>
              </w:tabs>
              <w:rPr>
                <w:rFonts w:ascii="Times New Roman" w:hAnsi="Times New Roman"/>
              </w:rPr>
            </w:pPr>
            <w:r w:rsidRPr="00055F10">
              <w:rPr>
                <w:rFonts w:ascii="Times New Roman" w:hAnsi="Times New Roman"/>
              </w:rPr>
              <w:t>0.5</w:t>
            </w:r>
          </w:p>
        </w:tc>
        <w:tc>
          <w:tcPr>
            <w:tcW w:w="864" w:type="dxa"/>
            <w:vAlign w:val="center"/>
          </w:tcPr>
          <w:p w:rsidR="00055F10" w:rsidRPr="00055F10" w:rsidP="00055F10" w14:paraId="427C04AC" w14:textId="1A6C1680">
            <w:pPr>
              <w:tabs>
                <w:tab w:val="center" w:pos="4320"/>
                <w:tab w:val="right" w:pos="8640"/>
              </w:tabs>
              <w:rPr>
                <w:rFonts w:ascii="Times New Roman" w:hAnsi="Times New Roman"/>
              </w:rPr>
            </w:pPr>
            <w:r w:rsidRPr="00055F10">
              <w:rPr>
                <w:rFonts w:ascii="Times New Roman" w:hAnsi="Times New Roman"/>
              </w:rPr>
              <w:t>96.5</w:t>
            </w:r>
          </w:p>
        </w:tc>
        <w:tc>
          <w:tcPr>
            <w:tcW w:w="931" w:type="dxa"/>
            <w:vAlign w:val="center"/>
          </w:tcPr>
          <w:p w:rsidR="00055F10" w:rsidRPr="00055F10" w:rsidP="00055F10" w14:paraId="2ACC0FE7" w14:textId="3FA7E479">
            <w:pPr>
              <w:tabs>
                <w:tab w:val="center" w:pos="4320"/>
                <w:tab w:val="right" w:pos="8640"/>
              </w:tabs>
              <w:rPr>
                <w:rFonts w:ascii="Times New Roman" w:hAnsi="Times New Roman"/>
              </w:rPr>
            </w:pPr>
            <w:r w:rsidRPr="00055F10">
              <w:rPr>
                <w:rFonts w:ascii="Times New Roman" w:hAnsi="Times New Roman"/>
              </w:rPr>
              <w:t>32.2</w:t>
            </w:r>
          </w:p>
        </w:tc>
        <w:tc>
          <w:tcPr>
            <w:tcW w:w="1170" w:type="dxa"/>
            <w:vAlign w:val="center"/>
          </w:tcPr>
          <w:p w:rsidR="00055F10" w:rsidRPr="00055F10" w:rsidP="00055F10" w14:paraId="718AED74" w14:textId="30D3EEDB">
            <w:pPr>
              <w:tabs>
                <w:tab w:val="center" w:pos="4320"/>
                <w:tab w:val="right" w:pos="8640"/>
              </w:tabs>
              <w:rPr>
                <w:rFonts w:ascii="Times New Roman" w:hAnsi="Times New Roman"/>
              </w:rPr>
            </w:pPr>
            <w:r>
              <w:rPr>
                <w:rFonts w:ascii="Times New Roman" w:hAnsi="Times New Roman"/>
              </w:rPr>
              <w:t>40</w:t>
            </w:r>
          </w:p>
        </w:tc>
        <w:tc>
          <w:tcPr>
            <w:tcW w:w="1316" w:type="dxa"/>
            <w:vAlign w:val="center"/>
          </w:tcPr>
          <w:p w:rsidR="00055F10" w:rsidRPr="00055F10" w:rsidP="00055F10" w14:paraId="79C4617D" w14:textId="2A95333D">
            <w:pPr>
              <w:tabs>
                <w:tab w:val="center" w:pos="4320"/>
                <w:tab w:val="right" w:pos="8640"/>
              </w:tabs>
              <w:rPr>
                <w:rFonts w:ascii="Times New Roman" w:hAnsi="Times New Roman"/>
              </w:rPr>
            </w:pPr>
            <w:r>
              <w:rPr>
                <w:rFonts w:ascii="Times New Roman" w:hAnsi="Times New Roman"/>
              </w:rPr>
              <w:t>1,288.00</w:t>
            </w:r>
          </w:p>
        </w:tc>
      </w:tr>
      <w:tr w14:paraId="68F71184" w14:textId="77777777" w:rsidTr="00055F10">
        <w:tblPrEx>
          <w:tblW w:w="9461" w:type="dxa"/>
          <w:jc w:val="center"/>
          <w:tblLook w:val="00A0"/>
        </w:tblPrEx>
        <w:trPr>
          <w:jc w:val="center"/>
        </w:trPr>
        <w:tc>
          <w:tcPr>
            <w:tcW w:w="6044" w:type="dxa"/>
            <w:gridSpan w:val="5"/>
            <w:vAlign w:val="center"/>
          </w:tcPr>
          <w:p w:rsidR="00957799" w:rsidRPr="00055F10" w:rsidP="00055F10" w14:paraId="5ECE420A" w14:textId="388D2CBF">
            <w:pPr>
              <w:tabs>
                <w:tab w:val="center" w:pos="4320"/>
                <w:tab w:val="right" w:pos="8640"/>
              </w:tabs>
              <w:rPr>
                <w:rFonts w:ascii="Times New Roman" w:hAnsi="Times New Roman"/>
                <w:b/>
              </w:rPr>
            </w:pPr>
            <w:r w:rsidRPr="00055F10">
              <w:rPr>
                <w:rFonts w:ascii="Times New Roman" w:hAnsi="Times New Roman"/>
                <w:b/>
              </w:rPr>
              <w:t>Estimated Annual Burden T</w:t>
            </w:r>
            <w:r w:rsidRPr="00055F10" w:rsidR="00F210CA">
              <w:rPr>
                <w:rFonts w:ascii="Times New Roman" w:hAnsi="Times New Roman"/>
                <w:b/>
              </w:rPr>
              <w:t>otal:</w:t>
            </w:r>
          </w:p>
        </w:tc>
        <w:tc>
          <w:tcPr>
            <w:tcW w:w="931" w:type="dxa"/>
            <w:vAlign w:val="center"/>
          </w:tcPr>
          <w:p w:rsidR="00957799" w:rsidRPr="00055F10" w:rsidP="00055F10" w14:paraId="29C85233" w14:textId="2B5B2EAD">
            <w:pPr>
              <w:tabs>
                <w:tab w:val="center" w:pos="4320"/>
                <w:tab w:val="right" w:pos="8640"/>
              </w:tabs>
              <w:rPr>
                <w:rFonts w:ascii="Times New Roman" w:hAnsi="Times New Roman"/>
                <w:b/>
              </w:rPr>
            </w:pPr>
            <w:r>
              <w:rPr>
                <w:rFonts w:ascii="Times New Roman" w:hAnsi="Times New Roman"/>
                <w:b/>
              </w:rPr>
              <w:t>2,861.45</w:t>
            </w:r>
          </w:p>
        </w:tc>
        <w:tc>
          <w:tcPr>
            <w:tcW w:w="1170" w:type="dxa"/>
            <w:vAlign w:val="center"/>
          </w:tcPr>
          <w:p w:rsidR="00957799" w:rsidRPr="00055F10" w:rsidP="00055F10" w14:paraId="05063CD5" w14:textId="637EC41C">
            <w:pPr>
              <w:tabs>
                <w:tab w:val="center" w:pos="4320"/>
                <w:tab w:val="right" w:pos="8640"/>
              </w:tabs>
              <w:rPr>
                <w:rFonts w:ascii="Times New Roman" w:hAnsi="Times New Roman"/>
                <w:b/>
              </w:rPr>
            </w:pPr>
            <w:r w:rsidRPr="00055F10">
              <w:rPr>
                <w:rFonts w:ascii="Times New Roman" w:hAnsi="Times New Roman"/>
                <w:b/>
              </w:rPr>
              <w:t>Estimated Annual Cost Total:</w:t>
            </w:r>
          </w:p>
        </w:tc>
        <w:tc>
          <w:tcPr>
            <w:tcW w:w="1316" w:type="dxa"/>
            <w:vAlign w:val="center"/>
          </w:tcPr>
          <w:p w:rsidR="00957799" w:rsidRPr="00055F10" w:rsidP="00055F10" w14:paraId="5B5863BC" w14:textId="7AA29051">
            <w:pPr>
              <w:tabs>
                <w:tab w:val="center" w:pos="4320"/>
                <w:tab w:val="right" w:pos="8640"/>
              </w:tabs>
              <w:rPr>
                <w:rFonts w:ascii="Times New Roman" w:hAnsi="Times New Roman"/>
                <w:b/>
              </w:rPr>
            </w:pPr>
            <w:r w:rsidRPr="00055F10">
              <w:rPr>
                <w:rFonts w:ascii="Times New Roman" w:hAnsi="Times New Roman"/>
                <w:b/>
              </w:rPr>
              <w:t>$</w:t>
            </w:r>
            <w:r w:rsidR="00190869">
              <w:rPr>
                <w:rFonts w:ascii="Times New Roman" w:hAnsi="Times New Roman"/>
                <w:b/>
              </w:rPr>
              <w:t>114,458.00</w:t>
            </w:r>
          </w:p>
        </w:tc>
      </w:tr>
    </w:tbl>
    <w:p w:rsidR="008D010D" w:rsidP="008D010D" w14:paraId="2A31D7BE" w14:textId="77777777">
      <w:pPr>
        <w:ind w:left="360"/>
        <w:rPr>
          <w:rFonts w:ascii="Times New Roman" w:hAnsi="Times New Roman"/>
          <w:b/>
          <w:bCs/>
          <w:i/>
          <w:iCs/>
          <w:sz w:val="24"/>
          <w:szCs w:val="24"/>
        </w:rPr>
      </w:pPr>
    </w:p>
    <w:p w:rsidR="008D010D" w:rsidRPr="008D010D" w:rsidP="00683D1A" w14:paraId="0A1E0074" w14:textId="27BA1E87">
      <w:pPr>
        <w:spacing w:after="60"/>
        <w:ind w:left="360"/>
        <w:rPr>
          <w:rFonts w:ascii="Times New Roman" w:hAnsi="Times New Roman"/>
          <w:b/>
          <w:bCs/>
          <w:i/>
          <w:iCs/>
          <w:sz w:val="24"/>
          <w:szCs w:val="24"/>
        </w:rPr>
      </w:pPr>
      <w:r w:rsidRPr="008D010D">
        <w:rPr>
          <w:rFonts w:ascii="Times New Roman" w:hAnsi="Times New Roman"/>
          <w:b/>
          <w:bCs/>
          <w:i/>
          <w:iCs/>
          <w:sz w:val="24"/>
          <w:szCs w:val="24"/>
        </w:rPr>
        <w:t>Burden Estimates</w:t>
      </w:r>
    </w:p>
    <w:p w:rsidR="002E2976" w:rsidP="00683D1A" w14:paraId="2BC29BAD" w14:textId="79D03B6C">
      <w:pPr>
        <w:ind w:left="360"/>
        <w:rPr>
          <w:rFonts w:ascii="Times New Roman" w:hAnsi="Times New Roman"/>
          <w:snapToGrid/>
          <w:sz w:val="24"/>
          <w:szCs w:val="24"/>
        </w:rPr>
      </w:pPr>
      <w:r>
        <w:rPr>
          <w:rFonts w:ascii="Times New Roman" w:hAnsi="Times New Roman"/>
          <w:snapToGrid/>
          <w:sz w:val="24"/>
          <w:szCs w:val="24"/>
        </w:rPr>
        <w:t>Burden estimates were informed and calculated through consultation with existing grant recipients,</w:t>
      </w:r>
      <w:r>
        <w:rPr>
          <w:rFonts w:ascii="Times New Roman" w:hAnsi="Times New Roman"/>
          <w:snapToGrid/>
          <w:sz w:val="24"/>
          <w:szCs w:val="24"/>
        </w:rPr>
        <w:t xml:space="preserve"> through ATIMS system development efforts,</w:t>
      </w:r>
      <w:r>
        <w:rPr>
          <w:rFonts w:ascii="Times New Roman" w:hAnsi="Times New Roman"/>
          <w:snapToGrid/>
          <w:sz w:val="24"/>
          <w:szCs w:val="24"/>
        </w:rPr>
        <w:t xml:space="preserve"> and an environmental scan of human trafficking screening forms and protocols, to </w:t>
      </w:r>
      <w:r w:rsidRPr="00FD5FB6">
        <w:rPr>
          <w:rFonts w:ascii="Times New Roman" w:hAnsi="Times New Roman"/>
          <w:snapToGrid/>
          <w:sz w:val="24"/>
          <w:szCs w:val="24"/>
        </w:rPr>
        <w:t>estimate the time needed for grant recipients to engage in client-centered and trauma-informed approaches as they screen victims and obtain</w:t>
      </w:r>
      <w:r>
        <w:rPr>
          <w:rFonts w:ascii="Times New Roman" w:hAnsi="Times New Roman"/>
          <w:snapToGrid/>
          <w:sz w:val="24"/>
          <w:szCs w:val="24"/>
        </w:rPr>
        <w:t xml:space="preserve"> and document</w:t>
      </w:r>
      <w:r w:rsidRPr="00FD5FB6">
        <w:rPr>
          <w:rFonts w:ascii="Times New Roman" w:hAnsi="Times New Roman"/>
          <w:snapToGrid/>
          <w:sz w:val="24"/>
          <w:szCs w:val="24"/>
        </w:rPr>
        <w:t xml:space="preserve"> </w:t>
      </w:r>
      <w:r w:rsidR="009A2F1D">
        <w:rPr>
          <w:rFonts w:ascii="Times New Roman" w:hAnsi="Times New Roman"/>
          <w:snapToGrid/>
          <w:sz w:val="24"/>
          <w:szCs w:val="24"/>
        </w:rPr>
        <w:t xml:space="preserve">pertinent grant administration </w:t>
      </w:r>
      <w:r w:rsidRPr="00FD5FB6">
        <w:rPr>
          <w:rFonts w:ascii="Times New Roman" w:hAnsi="Times New Roman"/>
          <w:snapToGrid/>
          <w:sz w:val="24"/>
          <w:szCs w:val="24"/>
        </w:rPr>
        <w:t xml:space="preserve">information. </w:t>
      </w:r>
      <w:r w:rsidR="00211519">
        <w:rPr>
          <w:rFonts w:ascii="Times New Roman" w:hAnsi="Times New Roman"/>
          <w:snapToGrid/>
          <w:sz w:val="24"/>
          <w:szCs w:val="24"/>
        </w:rPr>
        <w:t>As it specifically relates to the client-level indicators, di</w:t>
      </w:r>
      <w:r>
        <w:rPr>
          <w:rFonts w:ascii="Times New Roman" w:hAnsi="Times New Roman"/>
          <w:snapToGrid/>
          <w:sz w:val="24"/>
          <w:szCs w:val="24"/>
        </w:rPr>
        <w:t xml:space="preserve">fferent screening forms and protocols </w:t>
      </w:r>
      <w:r w:rsidR="009B4687">
        <w:rPr>
          <w:rFonts w:ascii="Times New Roman" w:hAnsi="Times New Roman"/>
          <w:snapToGrid/>
          <w:sz w:val="24"/>
          <w:szCs w:val="24"/>
        </w:rPr>
        <w:t xml:space="preserve">may be </w:t>
      </w:r>
      <w:r>
        <w:rPr>
          <w:rFonts w:ascii="Times New Roman" w:hAnsi="Times New Roman"/>
          <w:snapToGrid/>
          <w:sz w:val="24"/>
          <w:szCs w:val="24"/>
        </w:rPr>
        <w:t>leveraged</w:t>
      </w:r>
      <w:r w:rsidR="009B4687">
        <w:rPr>
          <w:rFonts w:ascii="Times New Roman" w:hAnsi="Times New Roman"/>
          <w:snapToGrid/>
          <w:sz w:val="24"/>
          <w:szCs w:val="24"/>
        </w:rPr>
        <w:t xml:space="preserve"> by grant recipients</w:t>
      </w:r>
      <w:r>
        <w:rPr>
          <w:rFonts w:ascii="Times New Roman" w:hAnsi="Times New Roman"/>
          <w:snapToGrid/>
          <w:sz w:val="24"/>
          <w:szCs w:val="24"/>
        </w:rPr>
        <w:t xml:space="preserve"> depending on the target population to be screened, the environment where the screening will take place, and the professional background of the clinician or case manager conducting the screening,</w:t>
      </w:r>
      <w:r w:rsidR="009B4687">
        <w:rPr>
          <w:rFonts w:ascii="Times New Roman" w:hAnsi="Times New Roman"/>
          <w:snapToGrid/>
          <w:sz w:val="24"/>
          <w:szCs w:val="24"/>
        </w:rPr>
        <w:t xml:space="preserve"> among other factors.</w:t>
      </w:r>
      <w:r>
        <w:rPr>
          <w:rFonts w:ascii="Times New Roman" w:hAnsi="Times New Roman"/>
          <w:snapToGrid/>
          <w:sz w:val="24"/>
          <w:szCs w:val="24"/>
        </w:rPr>
        <w:t xml:space="preserve"> </w:t>
      </w:r>
      <w:r w:rsidR="009B4687">
        <w:rPr>
          <w:rFonts w:ascii="Times New Roman" w:hAnsi="Times New Roman"/>
          <w:snapToGrid/>
          <w:sz w:val="24"/>
          <w:szCs w:val="24"/>
        </w:rPr>
        <w:t xml:space="preserve">Burden estimates were calculated </w:t>
      </w:r>
      <w:r w:rsidR="00570FEC">
        <w:rPr>
          <w:rFonts w:ascii="Times New Roman" w:hAnsi="Times New Roman"/>
          <w:snapToGrid/>
          <w:sz w:val="24"/>
          <w:szCs w:val="24"/>
        </w:rPr>
        <w:t xml:space="preserve">based on </w:t>
      </w:r>
      <w:r w:rsidR="00570FEC">
        <w:rPr>
          <w:rFonts w:ascii="Times New Roman" w:hAnsi="Times New Roman"/>
          <w:snapToGrid/>
          <w:sz w:val="24"/>
          <w:szCs w:val="24"/>
        </w:rPr>
        <w:t>the average amount of time required to populate all fields on the various forms</w:t>
      </w:r>
      <w:r w:rsidR="0089457A">
        <w:rPr>
          <w:rFonts w:ascii="Times New Roman" w:hAnsi="Times New Roman"/>
          <w:snapToGrid/>
          <w:sz w:val="24"/>
          <w:szCs w:val="24"/>
        </w:rPr>
        <w:t xml:space="preserve"> after several indicators were removed (see section 15)</w:t>
      </w:r>
      <w:r w:rsidR="00570FEC">
        <w:rPr>
          <w:rFonts w:ascii="Times New Roman" w:hAnsi="Times New Roman"/>
          <w:snapToGrid/>
          <w:sz w:val="24"/>
          <w:szCs w:val="24"/>
        </w:rPr>
        <w:t xml:space="preserve">, however, clients served have the right not to disclose </w:t>
      </w:r>
      <w:r w:rsidR="00211519">
        <w:rPr>
          <w:rFonts w:ascii="Times New Roman" w:hAnsi="Times New Roman"/>
          <w:snapToGrid/>
          <w:sz w:val="24"/>
          <w:szCs w:val="24"/>
        </w:rPr>
        <w:t>information and</w:t>
      </w:r>
      <w:r w:rsidR="00570FEC">
        <w:rPr>
          <w:rFonts w:ascii="Times New Roman" w:hAnsi="Times New Roman"/>
          <w:snapToGrid/>
          <w:sz w:val="24"/>
          <w:szCs w:val="24"/>
        </w:rPr>
        <w:t xml:space="preserve"> this information is not required to receive benefits and services under this grant program.</w:t>
      </w:r>
      <w:r w:rsidR="00211519">
        <w:rPr>
          <w:rFonts w:ascii="Times New Roman" w:hAnsi="Times New Roman"/>
          <w:snapToGrid/>
          <w:sz w:val="24"/>
          <w:szCs w:val="24"/>
        </w:rPr>
        <w:t xml:space="preserve"> These factors </w:t>
      </w:r>
      <w:r w:rsidR="00601253">
        <w:rPr>
          <w:rFonts w:ascii="Times New Roman" w:hAnsi="Times New Roman"/>
          <w:snapToGrid/>
          <w:sz w:val="24"/>
          <w:szCs w:val="24"/>
        </w:rPr>
        <w:t>together</w:t>
      </w:r>
      <w:r w:rsidR="00211519">
        <w:rPr>
          <w:rFonts w:ascii="Times New Roman" w:hAnsi="Times New Roman"/>
          <w:snapToGrid/>
          <w:sz w:val="24"/>
          <w:szCs w:val="24"/>
        </w:rPr>
        <w:t xml:space="preserve"> mean that the estimates for grant recipients to report client-specific indicators, in particular, may be slightly higher or slightly lower, depending on what information clients feel comfortable sharing upon intake.</w:t>
      </w:r>
      <w:r w:rsidR="007D6C88">
        <w:rPr>
          <w:rFonts w:ascii="Times New Roman" w:hAnsi="Times New Roman"/>
          <w:snapToGrid/>
          <w:sz w:val="24"/>
          <w:szCs w:val="24"/>
        </w:rPr>
        <w:t xml:space="preserve"> Burden estimates for the other grant administration indicators were reduced according to the time taken to</w:t>
      </w:r>
      <w:r w:rsidR="00082EE4">
        <w:rPr>
          <w:rFonts w:ascii="Times New Roman" w:hAnsi="Times New Roman"/>
          <w:snapToGrid/>
          <w:sz w:val="24"/>
          <w:szCs w:val="24"/>
        </w:rPr>
        <w:t xml:space="preserve"> gather</w:t>
      </w:r>
      <w:r w:rsidR="007D6C88">
        <w:rPr>
          <w:rFonts w:ascii="Times New Roman" w:hAnsi="Times New Roman"/>
          <w:snapToGrid/>
          <w:sz w:val="24"/>
          <w:szCs w:val="24"/>
        </w:rPr>
        <w:t xml:space="preserve"> </w:t>
      </w:r>
      <w:r w:rsidR="00082EE4">
        <w:rPr>
          <w:rFonts w:ascii="Times New Roman" w:hAnsi="Times New Roman"/>
          <w:snapToGrid/>
          <w:sz w:val="24"/>
          <w:szCs w:val="24"/>
        </w:rPr>
        <w:t xml:space="preserve">and enter information </w:t>
      </w:r>
      <w:r w:rsidR="007D6C88">
        <w:rPr>
          <w:rFonts w:ascii="Times New Roman" w:hAnsi="Times New Roman"/>
          <w:snapToGrid/>
          <w:sz w:val="24"/>
          <w:szCs w:val="24"/>
        </w:rPr>
        <w:t xml:space="preserve">within the new ATIMS environment </w:t>
      </w:r>
      <w:r w:rsidR="00082EE4">
        <w:rPr>
          <w:rFonts w:ascii="Times New Roman" w:hAnsi="Times New Roman"/>
          <w:snapToGrid/>
          <w:sz w:val="24"/>
          <w:szCs w:val="24"/>
        </w:rPr>
        <w:t xml:space="preserve">based on consultation </w:t>
      </w:r>
      <w:r w:rsidR="00565708">
        <w:rPr>
          <w:rFonts w:ascii="Times New Roman" w:hAnsi="Times New Roman"/>
          <w:snapToGrid/>
          <w:sz w:val="24"/>
          <w:szCs w:val="24"/>
        </w:rPr>
        <w:t xml:space="preserve">and user testing </w:t>
      </w:r>
      <w:r w:rsidR="00082EE4">
        <w:rPr>
          <w:rFonts w:ascii="Times New Roman" w:hAnsi="Times New Roman"/>
          <w:snapToGrid/>
          <w:sz w:val="24"/>
          <w:szCs w:val="24"/>
        </w:rPr>
        <w:t>with existing grant recipients (</w:t>
      </w:r>
      <w:r w:rsidR="007D6C88">
        <w:rPr>
          <w:rFonts w:ascii="Times New Roman" w:hAnsi="Times New Roman"/>
          <w:snapToGrid/>
          <w:sz w:val="24"/>
          <w:szCs w:val="24"/>
        </w:rPr>
        <w:t>see section 3).</w:t>
      </w:r>
    </w:p>
    <w:p w:rsidR="008D010D" w:rsidRPr="008D010D" w:rsidP="008D010D" w14:paraId="032B86AC" w14:textId="77777777">
      <w:pPr>
        <w:ind w:left="360"/>
        <w:rPr>
          <w:rFonts w:ascii="Times New Roman" w:hAnsi="Times New Roman"/>
          <w:i/>
          <w:iCs/>
          <w:sz w:val="24"/>
          <w:szCs w:val="24"/>
        </w:rPr>
      </w:pPr>
    </w:p>
    <w:p w:rsidR="008D010D" w:rsidRPr="00A96445" w:rsidP="00683D1A" w14:paraId="37DA1381" w14:textId="77777777">
      <w:pPr>
        <w:spacing w:after="60"/>
        <w:ind w:left="360"/>
        <w:rPr>
          <w:rFonts w:ascii="Times New Roman" w:hAnsi="Times New Roman"/>
          <w:b/>
          <w:bCs/>
          <w:i/>
          <w:iCs/>
          <w:sz w:val="24"/>
          <w:szCs w:val="24"/>
        </w:rPr>
      </w:pPr>
      <w:r w:rsidRPr="00A96445">
        <w:rPr>
          <w:rFonts w:ascii="Times New Roman" w:hAnsi="Times New Roman"/>
          <w:b/>
          <w:bCs/>
          <w:i/>
          <w:iCs/>
          <w:sz w:val="24"/>
          <w:szCs w:val="24"/>
        </w:rPr>
        <w:t>Cost Estimates</w:t>
      </w:r>
    </w:p>
    <w:p w:rsidR="007A0FBE" w:rsidRPr="00EC26A5" w:rsidP="00DE529D" w14:paraId="495B18F5" w14:textId="7F86DB9D">
      <w:pPr>
        <w:widowControl/>
        <w:ind w:left="360"/>
        <w:rPr>
          <w:rFonts w:ascii="Times New Roman" w:hAnsi="Times New Roman"/>
          <w:snapToGrid/>
          <w:sz w:val="24"/>
          <w:szCs w:val="24"/>
        </w:rPr>
      </w:pPr>
      <w:r w:rsidRPr="00EC26A5">
        <w:rPr>
          <w:rFonts w:ascii="Times New Roman" w:hAnsi="Times New Roman"/>
          <w:sz w:val="24"/>
          <w:szCs w:val="24"/>
        </w:rPr>
        <w:t xml:space="preserve">The cost to respondents was calculated using the Bureau of Labor Statistics (BLS) </w:t>
      </w:r>
      <w:r w:rsidRPr="00EC26A5" w:rsidR="00E368FB">
        <w:rPr>
          <w:rFonts w:ascii="Times New Roman" w:hAnsi="Times New Roman"/>
          <w:snapToGrid/>
          <w:sz w:val="24"/>
          <w:szCs w:val="24"/>
        </w:rPr>
        <w:t xml:space="preserve">job code </w:t>
      </w:r>
      <w:r w:rsidRPr="00EC26A5">
        <w:rPr>
          <w:rFonts w:ascii="Times New Roman" w:hAnsi="Times New Roman"/>
          <w:snapToGrid/>
          <w:sz w:val="24"/>
          <w:szCs w:val="24"/>
        </w:rPr>
        <w:t>for Social and Human Services Assistants [</w:t>
      </w:r>
      <w:r w:rsidRPr="00EC26A5" w:rsidR="00E368FB">
        <w:rPr>
          <w:rFonts w:ascii="Times New Roman" w:hAnsi="Times New Roman"/>
          <w:snapToGrid/>
          <w:sz w:val="24"/>
          <w:szCs w:val="24"/>
        </w:rPr>
        <w:t>21-1093</w:t>
      </w:r>
      <w:r w:rsidRPr="00EC26A5">
        <w:rPr>
          <w:rFonts w:ascii="Times New Roman" w:hAnsi="Times New Roman"/>
          <w:snapToGrid/>
          <w:sz w:val="24"/>
          <w:szCs w:val="24"/>
        </w:rPr>
        <w:t>]</w:t>
      </w:r>
      <w:r w:rsidRPr="00EC26A5" w:rsidR="00E368FB">
        <w:rPr>
          <w:rFonts w:ascii="Times New Roman" w:hAnsi="Times New Roman"/>
          <w:snapToGrid/>
          <w:sz w:val="24"/>
          <w:szCs w:val="24"/>
        </w:rPr>
        <w:t xml:space="preserve"> and wage data from May 20</w:t>
      </w:r>
      <w:r w:rsidR="0075353B">
        <w:rPr>
          <w:rFonts w:ascii="Times New Roman" w:hAnsi="Times New Roman"/>
          <w:snapToGrid/>
          <w:sz w:val="24"/>
          <w:szCs w:val="24"/>
        </w:rPr>
        <w:t>2</w:t>
      </w:r>
      <w:r w:rsidR="00190869">
        <w:rPr>
          <w:rFonts w:ascii="Times New Roman" w:hAnsi="Times New Roman"/>
          <w:snapToGrid/>
          <w:sz w:val="24"/>
          <w:szCs w:val="24"/>
        </w:rPr>
        <w:t>2</w:t>
      </w:r>
      <w:r w:rsidRPr="00EC26A5">
        <w:rPr>
          <w:rFonts w:ascii="Times New Roman" w:hAnsi="Times New Roman"/>
          <w:snapToGrid/>
          <w:sz w:val="24"/>
          <w:szCs w:val="24"/>
        </w:rPr>
        <w:t>, which</w:t>
      </w:r>
      <w:r w:rsidRPr="00EC26A5" w:rsidR="00E368FB">
        <w:rPr>
          <w:rFonts w:ascii="Times New Roman" w:hAnsi="Times New Roman"/>
          <w:snapToGrid/>
          <w:sz w:val="24"/>
          <w:szCs w:val="24"/>
        </w:rPr>
        <w:t xml:space="preserve"> is $</w:t>
      </w:r>
      <w:r w:rsidR="00190869">
        <w:rPr>
          <w:rFonts w:ascii="Times New Roman" w:hAnsi="Times New Roman"/>
          <w:snapToGrid/>
          <w:sz w:val="24"/>
          <w:szCs w:val="24"/>
        </w:rPr>
        <w:t>20.00</w:t>
      </w:r>
      <w:r w:rsidR="0075353B">
        <w:rPr>
          <w:rFonts w:ascii="Times New Roman" w:hAnsi="Times New Roman"/>
          <w:snapToGrid/>
          <w:sz w:val="24"/>
          <w:szCs w:val="24"/>
        </w:rPr>
        <w:t xml:space="preserve"> </w:t>
      </w:r>
      <w:r w:rsidRPr="00EC26A5" w:rsidR="00E368FB">
        <w:rPr>
          <w:rFonts w:ascii="Times New Roman" w:hAnsi="Times New Roman"/>
          <w:snapToGrid/>
          <w:sz w:val="24"/>
          <w:szCs w:val="24"/>
        </w:rPr>
        <w:t>per hour.</w:t>
      </w:r>
      <w:r w:rsidRPr="00EC26A5">
        <w:rPr>
          <w:rFonts w:ascii="Times New Roman" w:hAnsi="Times New Roman"/>
          <w:snapToGrid/>
          <w:sz w:val="24"/>
          <w:szCs w:val="24"/>
        </w:rPr>
        <w:t xml:space="preserve"> T</w:t>
      </w:r>
      <w:r w:rsidRPr="00EC26A5">
        <w:rPr>
          <w:rFonts w:ascii="Times New Roman" w:hAnsi="Times New Roman"/>
          <w:snapToGrid/>
          <w:sz w:val="24"/>
          <w:szCs w:val="24"/>
        </w:rPr>
        <w:t xml:space="preserve">o account for fringe </w:t>
      </w:r>
      <w:r w:rsidRPr="00EC26A5">
        <w:rPr>
          <w:rFonts w:ascii="Times New Roman" w:hAnsi="Times New Roman"/>
          <w:snapToGrid/>
          <w:sz w:val="24"/>
          <w:szCs w:val="24"/>
        </w:rPr>
        <w:t>benefits and overhead the rate wa</w:t>
      </w:r>
      <w:r w:rsidRPr="00EC26A5">
        <w:rPr>
          <w:rFonts w:ascii="Times New Roman" w:hAnsi="Times New Roman"/>
          <w:snapToGrid/>
          <w:sz w:val="24"/>
          <w:szCs w:val="24"/>
        </w:rPr>
        <w:t>s multiplied by two</w:t>
      </w:r>
      <w:r w:rsidRPr="00EC26A5" w:rsidR="00E368FB">
        <w:rPr>
          <w:rFonts w:ascii="Times New Roman" w:hAnsi="Times New Roman"/>
          <w:snapToGrid/>
          <w:sz w:val="24"/>
          <w:szCs w:val="24"/>
        </w:rPr>
        <w:t xml:space="preserve"> which is $</w:t>
      </w:r>
      <w:r w:rsidR="00190869">
        <w:rPr>
          <w:rFonts w:ascii="Times New Roman" w:hAnsi="Times New Roman"/>
          <w:snapToGrid/>
          <w:sz w:val="24"/>
          <w:szCs w:val="24"/>
        </w:rPr>
        <w:t>40.00</w:t>
      </w:r>
      <w:r w:rsidRPr="00EC26A5" w:rsidR="00E368FB">
        <w:rPr>
          <w:rFonts w:ascii="Times New Roman" w:hAnsi="Times New Roman"/>
          <w:snapToGrid/>
          <w:sz w:val="24"/>
          <w:szCs w:val="24"/>
        </w:rPr>
        <w:t>.</w:t>
      </w:r>
      <w:r w:rsidRPr="00EC26A5">
        <w:rPr>
          <w:rFonts w:ascii="Times New Roman" w:hAnsi="Times New Roman"/>
          <w:snapToGrid/>
          <w:sz w:val="24"/>
          <w:szCs w:val="24"/>
        </w:rPr>
        <w:t xml:space="preserve">  </w:t>
      </w:r>
      <w:r w:rsidRPr="00EC26A5" w:rsidR="00E368FB">
        <w:rPr>
          <w:rFonts w:ascii="Times New Roman" w:hAnsi="Times New Roman"/>
          <w:snapToGrid/>
          <w:sz w:val="24"/>
          <w:szCs w:val="24"/>
        </w:rPr>
        <w:t>The estimate of annualized cost to respondents for hour burden is $</w:t>
      </w:r>
      <w:r w:rsidR="00190869">
        <w:rPr>
          <w:rFonts w:ascii="Times New Roman" w:hAnsi="Times New Roman"/>
          <w:snapToGrid/>
          <w:sz w:val="24"/>
          <w:szCs w:val="24"/>
        </w:rPr>
        <w:t>40.00</w:t>
      </w:r>
      <w:r w:rsidR="0075353B">
        <w:rPr>
          <w:rFonts w:ascii="Times New Roman" w:hAnsi="Times New Roman"/>
          <w:snapToGrid/>
          <w:sz w:val="24"/>
          <w:szCs w:val="24"/>
        </w:rPr>
        <w:t xml:space="preserve"> </w:t>
      </w:r>
      <w:r w:rsidRPr="00EC26A5" w:rsidR="00E368FB">
        <w:rPr>
          <w:rFonts w:ascii="Times New Roman" w:hAnsi="Times New Roman"/>
          <w:snapToGrid/>
          <w:sz w:val="24"/>
          <w:szCs w:val="24"/>
        </w:rPr>
        <w:t xml:space="preserve">times </w:t>
      </w:r>
      <w:r w:rsidR="00393104">
        <w:rPr>
          <w:rFonts w:ascii="Times New Roman" w:hAnsi="Times New Roman"/>
          <w:snapToGrid/>
          <w:sz w:val="24"/>
          <w:szCs w:val="24"/>
        </w:rPr>
        <w:t>2,861.45</w:t>
      </w:r>
      <w:r w:rsidRPr="00EC26A5" w:rsidR="0080325F">
        <w:rPr>
          <w:rFonts w:ascii="Times New Roman" w:hAnsi="Times New Roman"/>
          <w:snapToGrid/>
          <w:sz w:val="24"/>
          <w:szCs w:val="24"/>
        </w:rPr>
        <w:t xml:space="preserve"> </w:t>
      </w:r>
      <w:r w:rsidRPr="00EC26A5">
        <w:rPr>
          <w:rFonts w:ascii="Times New Roman" w:hAnsi="Times New Roman"/>
          <w:snapToGrid/>
          <w:sz w:val="24"/>
          <w:szCs w:val="24"/>
        </w:rPr>
        <w:t xml:space="preserve">hours </w:t>
      </w:r>
      <w:r w:rsidRPr="00EC26A5" w:rsidR="0080325F">
        <w:rPr>
          <w:rFonts w:ascii="Times New Roman" w:hAnsi="Times New Roman"/>
          <w:snapToGrid/>
          <w:sz w:val="24"/>
          <w:szCs w:val="24"/>
        </w:rPr>
        <w:t>or $</w:t>
      </w:r>
      <w:r w:rsidR="00190869">
        <w:rPr>
          <w:rFonts w:ascii="Times New Roman" w:hAnsi="Times New Roman"/>
          <w:snapToGrid/>
          <w:sz w:val="24"/>
          <w:szCs w:val="24"/>
        </w:rPr>
        <w:t>114,458</w:t>
      </w:r>
      <w:r w:rsidRPr="00EC26A5">
        <w:rPr>
          <w:rFonts w:ascii="Times New Roman" w:hAnsi="Times New Roman"/>
          <w:snapToGrid/>
          <w:sz w:val="24"/>
          <w:szCs w:val="24"/>
        </w:rPr>
        <w:t>.</w:t>
      </w:r>
      <w:r w:rsidR="00190869">
        <w:rPr>
          <w:rFonts w:ascii="Times New Roman" w:hAnsi="Times New Roman"/>
          <w:snapToGrid/>
          <w:sz w:val="24"/>
          <w:szCs w:val="24"/>
        </w:rPr>
        <w:t>00.</w:t>
      </w:r>
    </w:p>
    <w:p w:rsidR="00D60543" w:rsidRPr="00EC26A5" w:rsidP="00DE529D" w14:paraId="1B78795D" w14:textId="27A3E7D6">
      <w:pPr>
        <w:widowControl/>
        <w:ind w:left="360"/>
        <w:rPr>
          <w:rFonts w:ascii="Times New Roman" w:hAnsi="Times New Roman"/>
          <w:snapToGrid/>
          <w:sz w:val="32"/>
          <w:szCs w:val="24"/>
        </w:rPr>
      </w:pPr>
      <w:hyperlink r:id="rId15" w:history="1">
        <w:r w:rsidRPr="00EC26A5" w:rsidR="00EC26A5">
          <w:rPr>
            <w:rStyle w:val="Hyperlink"/>
            <w:rFonts w:ascii="Times New Roman" w:hAnsi="Times New Roman"/>
            <w:sz w:val="24"/>
          </w:rPr>
          <w:t>https://www.bls.gov/oes/current/oes_stru.htm</w:t>
        </w:r>
      </w:hyperlink>
      <w:r w:rsidRPr="00EC26A5" w:rsidR="00EC26A5">
        <w:rPr>
          <w:rFonts w:ascii="Times New Roman" w:hAnsi="Times New Roman"/>
          <w:sz w:val="24"/>
        </w:rPr>
        <w:t xml:space="preserve"> </w:t>
      </w:r>
    </w:p>
    <w:p w:rsidR="00D60543" w:rsidP="00DE529D" w14:paraId="77D4A871" w14:textId="77777777">
      <w:pPr>
        <w:widowControl/>
        <w:ind w:left="360"/>
        <w:rPr>
          <w:rFonts w:ascii="Times New Roman" w:hAnsi="Times New Roman"/>
          <w:snapToGrid/>
          <w:sz w:val="24"/>
          <w:szCs w:val="24"/>
        </w:rPr>
      </w:pPr>
    </w:p>
    <w:p w:rsidR="00D60543" w:rsidRPr="004F7B95" w:rsidP="00DE529D" w14:paraId="344EF814" w14:textId="77777777">
      <w:pPr>
        <w:widowControl/>
        <w:ind w:left="360"/>
        <w:rPr>
          <w:rFonts w:ascii="Times New Roman" w:hAnsi="Times New Roman"/>
          <w:snapToGrid/>
          <w:sz w:val="24"/>
          <w:szCs w:val="24"/>
        </w:rPr>
      </w:pPr>
    </w:p>
    <w:p w:rsidR="00D60543" w:rsidRPr="00075889" w:rsidP="00075889"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DC60C9" w:rsidRPr="00DC60C9" w:rsidP="00DC60C9" w14:paraId="2B908BBA" w14:textId="3378C07E">
      <w:pPr>
        <w:widowControl/>
        <w:ind w:left="360"/>
        <w:rPr>
          <w:rFonts w:ascii="Times New Roman" w:hAnsi="Times New Roman"/>
          <w:snapToGrid/>
          <w:sz w:val="24"/>
          <w:szCs w:val="24"/>
        </w:rPr>
      </w:pPr>
      <w:r w:rsidRPr="00DC60C9">
        <w:rPr>
          <w:rFonts w:ascii="Times New Roman" w:hAnsi="Times New Roman"/>
          <w:snapToGrid/>
          <w:sz w:val="24"/>
          <w:szCs w:val="24"/>
        </w:rPr>
        <w:t>There are no direct monetary costs to respondents other than their time to complete the form</w:t>
      </w:r>
      <w:r w:rsidRPr="00002A87">
        <w:rPr>
          <w:rFonts w:ascii="Times New Roman" w:hAnsi="Times New Roman"/>
          <w:snapToGrid/>
          <w:sz w:val="24"/>
          <w:szCs w:val="24"/>
        </w:rPr>
        <w:t>s</w:t>
      </w:r>
      <w:r w:rsidRPr="00DC60C9">
        <w:rPr>
          <w:rFonts w:ascii="Times New Roman" w:hAnsi="Times New Roman"/>
          <w:snapToGrid/>
          <w:sz w:val="24"/>
          <w:szCs w:val="24"/>
        </w:rPr>
        <w:t>.</w:t>
      </w:r>
    </w:p>
    <w:p w:rsidR="00D60543" w:rsidP="00DE529D" w14:paraId="00DF26E5" w14:textId="77777777">
      <w:pPr>
        <w:widowControl/>
        <w:ind w:left="360"/>
        <w:rPr>
          <w:rFonts w:ascii="Times New Roman" w:hAnsi="Times New Roman"/>
          <w:snapToGrid/>
          <w:sz w:val="24"/>
          <w:szCs w:val="24"/>
        </w:rPr>
      </w:pPr>
    </w:p>
    <w:p w:rsidR="00D60543" w:rsidP="00DE529D" w14:paraId="0BE3C51C" w14:textId="77777777">
      <w:pPr>
        <w:widowControl/>
        <w:ind w:left="360"/>
        <w:rPr>
          <w:rFonts w:ascii="Times New Roman" w:hAnsi="Times New Roman"/>
          <w:snapToGrid/>
          <w:sz w:val="24"/>
          <w:szCs w:val="24"/>
        </w:rPr>
      </w:pPr>
    </w:p>
    <w:p w:rsidR="002C3C4F" w:rsidRPr="00075889" w:rsidP="00817E2B"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Pr>
          <w:rFonts w:ascii="Times New Roman" w:hAnsi="Times New Roman"/>
          <w:b/>
          <w:snapToGrid/>
          <w:sz w:val="24"/>
          <w:szCs w:val="24"/>
        </w:rPr>
        <w:t xml:space="preserve">nnualized Cost to the Federal Government </w:t>
      </w:r>
    </w:p>
    <w:p w:rsidR="0021229E" w:rsidRPr="004F7B95" w:rsidP="0021229E" w14:paraId="46551F62" w14:textId="21BAF7C7">
      <w:pPr>
        <w:widowControl/>
        <w:ind w:left="360"/>
        <w:rPr>
          <w:rFonts w:ascii="Times New Roman" w:hAnsi="Times New Roman"/>
          <w:snapToGrid/>
          <w:sz w:val="24"/>
          <w:szCs w:val="24"/>
        </w:rPr>
      </w:pPr>
      <w:bookmarkStart w:id="0" w:name="_Hlk115871386"/>
      <w:r w:rsidRPr="00F51062">
        <w:rPr>
          <w:rFonts w:ascii="Times New Roman" w:hAnsi="Times New Roman"/>
          <w:snapToGrid/>
          <w:sz w:val="24"/>
          <w:szCs w:val="24"/>
        </w:rPr>
        <w:t>Grant recipient p</w:t>
      </w:r>
      <w:r w:rsidRPr="00F51062" w:rsidR="009F4364">
        <w:rPr>
          <w:rFonts w:ascii="Times New Roman" w:hAnsi="Times New Roman"/>
          <w:snapToGrid/>
          <w:sz w:val="24"/>
          <w:szCs w:val="24"/>
        </w:rPr>
        <w:t>erformance</w:t>
      </w:r>
      <w:r w:rsidRPr="00F51062">
        <w:rPr>
          <w:rFonts w:ascii="Times New Roman" w:hAnsi="Times New Roman"/>
          <w:snapToGrid/>
          <w:sz w:val="24"/>
          <w:szCs w:val="24"/>
        </w:rPr>
        <w:t xml:space="preserve"> progress</w:t>
      </w:r>
      <w:r w:rsidRPr="00F51062" w:rsidR="009F4364">
        <w:rPr>
          <w:rFonts w:ascii="Times New Roman" w:hAnsi="Times New Roman"/>
          <w:snapToGrid/>
          <w:sz w:val="24"/>
          <w:szCs w:val="24"/>
        </w:rPr>
        <w:t xml:space="preserve"> reports are </w:t>
      </w:r>
      <w:r w:rsidRPr="00F51062" w:rsidR="00CA66BD">
        <w:rPr>
          <w:rFonts w:ascii="Times New Roman" w:hAnsi="Times New Roman"/>
          <w:snapToGrid/>
          <w:sz w:val="24"/>
          <w:szCs w:val="24"/>
        </w:rPr>
        <w:t>reviewed by salaried staff</w:t>
      </w:r>
      <w:r w:rsidRPr="00F51062">
        <w:rPr>
          <w:rFonts w:ascii="Times New Roman" w:hAnsi="Times New Roman"/>
          <w:snapToGrid/>
          <w:sz w:val="24"/>
          <w:szCs w:val="24"/>
        </w:rPr>
        <w:t xml:space="preserve"> who assess program performance as a regular part of their work.</w:t>
      </w:r>
      <w:r w:rsidRPr="00F51062" w:rsidR="00F51062">
        <w:rPr>
          <w:rFonts w:ascii="Times New Roman" w:hAnsi="Times New Roman"/>
          <w:snapToGrid/>
          <w:sz w:val="24"/>
          <w:szCs w:val="24"/>
        </w:rPr>
        <w:t xml:space="preserve"> OTIP</w:t>
      </w:r>
      <w:r w:rsidRPr="00F51062">
        <w:rPr>
          <w:rFonts w:ascii="Times New Roman" w:hAnsi="Times New Roman"/>
          <w:snapToGrid/>
          <w:sz w:val="24"/>
          <w:szCs w:val="24"/>
        </w:rPr>
        <w:t xml:space="preserve"> anticipates that the review of the information reported by the </w:t>
      </w:r>
      <w:r w:rsidRPr="00F51062" w:rsidR="00F51062">
        <w:rPr>
          <w:rFonts w:ascii="Times New Roman" w:hAnsi="Times New Roman"/>
          <w:snapToGrid/>
          <w:sz w:val="24"/>
          <w:szCs w:val="24"/>
        </w:rPr>
        <w:t>grant recipients</w:t>
      </w:r>
      <w:r w:rsidRPr="00F51062">
        <w:rPr>
          <w:rFonts w:ascii="Times New Roman" w:hAnsi="Times New Roman"/>
          <w:snapToGrid/>
          <w:sz w:val="24"/>
          <w:szCs w:val="24"/>
        </w:rPr>
        <w:t xml:space="preserve"> will cost </w:t>
      </w:r>
      <w:r w:rsidRPr="00F51062">
        <w:rPr>
          <w:rFonts w:ascii="Times New Roman" w:hAnsi="Times New Roman"/>
          <w:snapToGrid/>
          <w:sz w:val="24"/>
          <w:szCs w:val="24"/>
        </w:rPr>
        <w:t>$</w:t>
      </w:r>
      <w:r w:rsidR="005E17E7">
        <w:rPr>
          <w:rFonts w:ascii="Times New Roman" w:hAnsi="Times New Roman"/>
          <w:snapToGrid/>
          <w:sz w:val="24"/>
          <w:szCs w:val="24"/>
        </w:rPr>
        <w:t>50.73</w:t>
      </w:r>
      <w:r w:rsidRPr="00F51062">
        <w:rPr>
          <w:rFonts w:ascii="Times New Roman" w:hAnsi="Times New Roman"/>
          <w:snapToGrid/>
          <w:sz w:val="24"/>
          <w:szCs w:val="24"/>
        </w:rPr>
        <w:t xml:space="preserve"> </w:t>
      </w:r>
      <w:r w:rsidRPr="00F51062">
        <w:rPr>
          <w:rFonts w:ascii="Times New Roman" w:hAnsi="Times New Roman"/>
          <w:snapToGrid/>
          <w:sz w:val="24"/>
          <w:szCs w:val="24"/>
        </w:rPr>
        <w:t>per hour (job code 15-2041 and wage data from May 20</w:t>
      </w:r>
      <w:r w:rsidR="00F51062">
        <w:rPr>
          <w:rFonts w:ascii="Times New Roman" w:hAnsi="Times New Roman"/>
          <w:snapToGrid/>
          <w:sz w:val="24"/>
          <w:szCs w:val="24"/>
        </w:rPr>
        <w:t>2</w:t>
      </w:r>
      <w:r w:rsidR="005E17E7">
        <w:rPr>
          <w:rFonts w:ascii="Times New Roman" w:hAnsi="Times New Roman"/>
          <w:snapToGrid/>
          <w:sz w:val="24"/>
          <w:szCs w:val="24"/>
        </w:rPr>
        <w:t>2</w:t>
      </w:r>
      <w:r w:rsidR="00F51062">
        <w:rPr>
          <w:rFonts w:ascii="Times New Roman" w:hAnsi="Times New Roman"/>
          <w:snapToGrid/>
          <w:sz w:val="24"/>
          <w:szCs w:val="24"/>
        </w:rPr>
        <w:t>)</w:t>
      </w:r>
      <w:r w:rsidRPr="00F51062">
        <w:rPr>
          <w:rFonts w:ascii="Times New Roman" w:hAnsi="Times New Roman"/>
          <w:snapToGrid/>
          <w:sz w:val="24"/>
          <w:szCs w:val="24"/>
        </w:rPr>
        <w:t xml:space="preserve"> and take 1</w:t>
      </w:r>
      <w:r w:rsidR="00F51062">
        <w:rPr>
          <w:rFonts w:ascii="Times New Roman" w:hAnsi="Times New Roman"/>
          <w:snapToGrid/>
          <w:sz w:val="24"/>
          <w:szCs w:val="24"/>
        </w:rPr>
        <w:t>00</w:t>
      </w:r>
      <w:r w:rsidRPr="00F51062">
        <w:rPr>
          <w:rFonts w:ascii="Times New Roman" w:hAnsi="Times New Roman"/>
          <w:snapToGrid/>
          <w:sz w:val="24"/>
          <w:szCs w:val="24"/>
        </w:rPr>
        <w:t xml:space="preserve"> hours annually costing $</w:t>
      </w:r>
      <w:r w:rsidR="005E17E7">
        <w:rPr>
          <w:rFonts w:ascii="Times New Roman" w:hAnsi="Times New Roman"/>
          <w:snapToGrid/>
          <w:sz w:val="24"/>
          <w:szCs w:val="24"/>
        </w:rPr>
        <w:t>5,073.00</w:t>
      </w:r>
      <w:r w:rsidRPr="00F51062">
        <w:rPr>
          <w:rFonts w:ascii="Times New Roman" w:hAnsi="Times New Roman"/>
          <w:snapToGrid/>
          <w:sz w:val="24"/>
          <w:szCs w:val="24"/>
        </w:rPr>
        <w:t xml:space="preserve"> annually.</w:t>
      </w:r>
      <w:r>
        <w:rPr>
          <w:rFonts w:ascii="Times New Roman" w:hAnsi="Times New Roman"/>
          <w:snapToGrid/>
          <w:sz w:val="24"/>
          <w:szCs w:val="24"/>
        </w:rPr>
        <w:t xml:space="preserve"> This includes the time it takes for the data to be cleaned, organized, interpreted, and summarized into usable information.  An additional 40 hours will be spent annually by the grant officer to review and discuss the submissions with the grant</w:t>
      </w:r>
      <w:r w:rsidR="00F51062">
        <w:rPr>
          <w:rFonts w:ascii="Times New Roman" w:hAnsi="Times New Roman"/>
          <w:snapToGrid/>
          <w:sz w:val="24"/>
          <w:szCs w:val="24"/>
        </w:rPr>
        <w:t xml:space="preserve"> recipient </w:t>
      </w:r>
      <w:r>
        <w:rPr>
          <w:rFonts w:ascii="Times New Roman" w:hAnsi="Times New Roman"/>
          <w:snapToGrid/>
          <w:sz w:val="24"/>
          <w:szCs w:val="24"/>
        </w:rPr>
        <w:t>at $</w:t>
      </w:r>
      <w:r w:rsidR="005E17E7">
        <w:rPr>
          <w:rFonts w:ascii="Times New Roman" w:hAnsi="Times New Roman"/>
          <w:snapToGrid/>
          <w:sz w:val="24"/>
          <w:szCs w:val="24"/>
        </w:rPr>
        <w:t>45.46</w:t>
      </w:r>
      <w:r w:rsidR="00F51062">
        <w:rPr>
          <w:rFonts w:ascii="Times New Roman" w:hAnsi="Times New Roman"/>
          <w:snapToGrid/>
          <w:sz w:val="24"/>
          <w:szCs w:val="24"/>
        </w:rPr>
        <w:t xml:space="preserve"> </w:t>
      </w:r>
      <w:r>
        <w:rPr>
          <w:rFonts w:ascii="Times New Roman" w:hAnsi="Times New Roman"/>
          <w:snapToGrid/>
          <w:sz w:val="24"/>
          <w:szCs w:val="24"/>
        </w:rPr>
        <w:t>per hour (job code 19-3099 and wage data from May 20</w:t>
      </w:r>
      <w:r w:rsidR="00F51062">
        <w:rPr>
          <w:rFonts w:ascii="Times New Roman" w:hAnsi="Times New Roman"/>
          <w:snapToGrid/>
          <w:sz w:val="24"/>
          <w:szCs w:val="24"/>
        </w:rPr>
        <w:t>2</w:t>
      </w:r>
      <w:r w:rsidR="005E17E7">
        <w:rPr>
          <w:rFonts w:ascii="Times New Roman" w:hAnsi="Times New Roman"/>
          <w:snapToGrid/>
          <w:sz w:val="24"/>
          <w:szCs w:val="24"/>
        </w:rPr>
        <w:t>2</w:t>
      </w:r>
      <w:r w:rsidR="00F51062">
        <w:rPr>
          <w:rFonts w:ascii="Times New Roman" w:hAnsi="Times New Roman"/>
          <w:snapToGrid/>
          <w:sz w:val="24"/>
          <w:szCs w:val="24"/>
        </w:rPr>
        <w:t>)</w:t>
      </w:r>
      <w:r>
        <w:rPr>
          <w:rFonts w:ascii="Times New Roman" w:hAnsi="Times New Roman"/>
          <w:snapToGrid/>
          <w:sz w:val="24"/>
          <w:szCs w:val="24"/>
        </w:rPr>
        <w:t xml:space="preserve"> for an annual total of $</w:t>
      </w:r>
      <w:r w:rsidR="005E17E7">
        <w:rPr>
          <w:rFonts w:ascii="Times New Roman" w:hAnsi="Times New Roman"/>
          <w:snapToGrid/>
          <w:sz w:val="24"/>
          <w:szCs w:val="24"/>
        </w:rPr>
        <w:t>1,818.40</w:t>
      </w:r>
      <w:r>
        <w:rPr>
          <w:rFonts w:ascii="Times New Roman" w:hAnsi="Times New Roman"/>
          <w:snapToGrid/>
          <w:sz w:val="24"/>
          <w:szCs w:val="24"/>
        </w:rPr>
        <w:t>.  The annual cost to the federal government is $</w:t>
      </w:r>
      <w:r w:rsidRPr="00F51062" w:rsidR="00F51062">
        <w:rPr>
          <w:rFonts w:ascii="Times New Roman" w:hAnsi="Times New Roman"/>
          <w:snapToGrid/>
          <w:sz w:val="24"/>
          <w:szCs w:val="24"/>
        </w:rPr>
        <w:t>6,</w:t>
      </w:r>
      <w:r w:rsidR="005E17E7">
        <w:rPr>
          <w:rFonts w:ascii="Times New Roman" w:hAnsi="Times New Roman"/>
          <w:snapToGrid/>
          <w:sz w:val="24"/>
          <w:szCs w:val="24"/>
        </w:rPr>
        <w:t>891</w:t>
      </w:r>
      <w:r w:rsidR="00F51062">
        <w:rPr>
          <w:rFonts w:ascii="Times New Roman" w:hAnsi="Times New Roman"/>
          <w:snapToGrid/>
          <w:sz w:val="24"/>
          <w:szCs w:val="24"/>
        </w:rPr>
        <w:t>.</w:t>
      </w:r>
      <w:r w:rsidR="005E17E7">
        <w:rPr>
          <w:rFonts w:ascii="Times New Roman" w:hAnsi="Times New Roman"/>
          <w:snapToGrid/>
          <w:sz w:val="24"/>
          <w:szCs w:val="24"/>
        </w:rPr>
        <w:t>4</w:t>
      </w:r>
      <w:r w:rsidR="00F51062">
        <w:rPr>
          <w:rFonts w:ascii="Times New Roman" w:hAnsi="Times New Roman"/>
          <w:snapToGrid/>
          <w:sz w:val="24"/>
          <w:szCs w:val="24"/>
        </w:rPr>
        <w:t xml:space="preserve">0 </w:t>
      </w:r>
      <w:r>
        <w:rPr>
          <w:rFonts w:ascii="Times New Roman" w:hAnsi="Times New Roman"/>
          <w:snapToGrid/>
          <w:sz w:val="24"/>
          <w:szCs w:val="24"/>
        </w:rPr>
        <w:t>in staff time.</w:t>
      </w:r>
    </w:p>
    <w:bookmarkEnd w:id="0"/>
    <w:p w:rsidR="00405C10" w:rsidP="00DE529D" w14:paraId="1C0CE52C" w14:textId="77777777">
      <w:pPr>
        <w:widowControl/>
        <w:ind w:left="360"/>
        <w:rPr>
          <w:rFonts w:ascii="Times New Roman" w:hAnsi="Times New Roman"/>
          <w:snapToGrid/>
          <w:sz w:val="24"/>
          <w:szCs w:val="24"/>
        </w:rPr>
      </w:pPr>
    </w:p>
    <w:p w:rsidR="00DE529D" w:rsidRPr="004F7B95" w:rsidP="00DE529D" w14:paraId="35C07DCF" w14:textId="77777777">
      <w:pPr>
        <w:widowControl/>
        <w:ind w:left="360"/>
        <w:rPr>
          <w:rFonts w:ascii="Times New Roman" w:hAnsi="Times New Roman"/>
          <w:snapToGrid/>
          <w:sz w:val="24"/>
          <w:szCs w:val="24"/>
        </w:rPr>
      </w:pPr>
    </w:p>
    <w:p w:rsidR="002C3C4F" w:rsidRPr="00817E2B" w:rsidP="00817E2B"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0449E0" w:rsidRPr="00540554" w:rsidP="000449E0" w14:paraId="5103D4FE" w14:textId="77777777">
      <w:pPr>
        <w:widowControl/>
        <w:ind w:left="360"/>
        <w:rPr>
          <w:rFonts w:ascii="Times New Roman" w:hAnsi="Times New Roman"/>
          <w:snapToGrid/>
          <w:sz w:val="24"/>
          <w:szCs w:val="24"/>
        </w:rPr>
      </w:pPr>
      <w:r w:rsidRPr="00540554">
        <w:rPr>
          <w:rFonts w:ascii="Times New Roman" w:hAnsi="Times New Roman"/>
          <w:snapToGrid/>
          <w:sz w:val="24"/>
          <w:szCs w:val="24"/>
        </w:rPr>
        <w:t xml:space="preserve">This change request includes removal of the Training form and changes to the Outreach and Client Case Closure forms.  </w:t>
      </w:r>
    </w:p>
    <w:p w:rsidR="000449E0" w:rsidP="000449E0" w14:paraId="1B0EEE91" w14:textId="77777777">
      <w:pPr>
        <w:ind w:left="360"/>
        <w:rPr>
          <w:rFonts w:ascii="Times New Roman" w:hAnsi="Times New Roman"/>
          <w:snapToGrid/>
          <w:sz w:val="24"/>
          <w:szCs w:val="24"/>
        </w:rPr>
      </w:pPr>
    </w:p>
    <w:p w:rsidR="000449E0" w:rsidRPr="00973CB6" w:rsidP="000449E0" w14:paraId="26E2DF6F" w14:textId="77777777">
      <w:pPr>
        <w:ind w:left="360"/>
        <w:rPr>
          <w:rFonts w:ascii="Times New Roman" w:hAnsi="Times New Roman"/>
          <w:snapToGrid/>
          <w:sz w:val="24"/>
          <w:szCs w:val="24"/>
        </w:rPr>
      </w:pPr>
      <w:r w:rsidRPr="00973CB6">
        <w:rPr>
          <w:rFonts w:ascii="Times New Roman" w:hAnsi="Times New Roman"/>
          <w:snapToGrid/>
          <w:sz w:val="24"/>
          <w:szCs w:val="24"/>
        </w:rPr>
        <w:t>Th</w:t>
      </w:r>
      <w:r>
        <w:rPr>
          <w:rFonts w:ascii="Times New Roman" w:hAnsi="Times New Roman"/>
          <w:snapToGrid/>
          <w:sz w:val="24"/>
          <w:szCs w:val="24"/>
        </w:rPr>
        <w:t xml:space="preserve">is collection </w:t>
      </w:r>
      <w:r w:rsidRPr="00973CB6">
        <w:rPr>
          <w:rFonts w:ascii="Times New Roman" w:hAnsi="Times New Roman"/>
          <w:snapToGrid/>
          <w:sz w:val="24"/>
          <w:szCs w:val="24"/>
        </w:rPr>
        <w:t xml:space="preserve">captures information on </w:t>
      </w:r>
      <w:r>
        <w:rPr>
          <w:rFonts w:ascii="Times New Roman" w:hAnsi="Times New Roman"/>
          <w:snapToGrid/>
          <w:sz w:val="24"/>
          <w:szCs w:val="24"/>
        </w:rPr>
        <w:t>TVAP</w:t>
      </w:r>
      <w:r w:rsidRPr="00973CB6">
        <w:rPr>
          <w:rFonts w:ascii="Times New Roman" w:hAnsi="Times New Roman"/>
          <w:snapToGrid/>
          <w:sz w:val="24"/>
          <w:szCs w:val="24"/>
        </w:rPr>
        <w:t xml:space="preserve"> participant demographics (e.g., age, gender identity, race/ethnicity), type of trafficking experienced (sex, labor, or both), types of services and benefits provided, along with aggregate information on outreach activities </w:t>
      </w:r>
      <w:r w:rsidRPr="00973CB6">
        <w:rPr>
          <w:rFonts w:ascii="Times New Roman" w:hAnsi="Times New Roman"/>
          <w:snapToGrid/>
          <w:sz w:val="24"/>
          <w:szCs w:val="24"/>
        </w:rPr>
        <w:t>conducted</w:t>
      </w:r>
      <w:r>
        <w:rPr>
          <w:rFonts w:ascii="Times New Roman" w:hAnsi="Times New Roman"/>
          <w:snapToGrid/>
          <w:sz w:val="24"/>
          <w:szCs w:val="24"/>
        </w:rPr>
        <w:t xml:space="preserve"> and </w:t>
      </w:r>
      <w:r w:rsidRPr="00973CB6">
        <w:rPr>
          <w:rFonts w:ascii="Times New Roman" w:hAnsi="Times New Roman"/>
          <w:snapToGrid/>
          <w:sz w:val="24"/>
          <w:szCs w:val="24"/>
        </w:rPr>
        <w:t>subrecipients enrolled</w:t>
      </w:r>
      <w:r>
        <w:rPr>
          <w:rFonts w:ascii="Times New Roman" w:hAnsi="Times New Roman"/>
          <w:snapToGrid/>
          <w:sz w:val="24"/>
          <w:szCs w:val="24"/>
        </w:rPr>
        <w:t xml:space="preserve">. </w:t>
      </w:r>
      <w:r w:rsidRPr="00973CB6">
        <w:rPr>
          <w:rFonts w:ascii="Times New Roman" w:hAnsi="Times New Roman"/>
          <w:snapToGrid/>
          <w:sz w:val="24"/>
          <w:szCs w:val="24"/>
        </w:rPr>
        <w:t xml:space="preserve">Minor updates have been made to performance indicators under this collection in consultation with existing grant recipients and stakeholders, to reduce respondent burden </w:t>
      </w:r>
      <w:r>
        <w:rPr>
          <w:rFonts w:ascii="Times New Roman" w:hAnsi="Times New Roman"/>
          <w:snapToGrid/>
          <w:sz w:val="24"/>
          <w:szCs w:val="24"/>
        </w:rPr>
        <w:t>and to bring the collection into alignment with new programmatic requirements.</w:t>
      </w:r>
      <w:r w:rsidRPr="00973CB6">
        <w:rPr>
          <w:rFonts w:ascii="Times New Roman" w:hAnsi="Times New Roman"/>
          <w:snapToGrid/>
          <w:sz w:val="24"/>
          <w:szCs w:val="24"/>
        </w:rPr>
        <w:t xml:space="preserve"> </w:t>
      </w:r>
      <w:r>
        <w:rPr>
          <w:rFonts w:ascii="Times New Roman" w:hAnsi="Times New Roman"/>
          <w:snapToGrid/>
          <w:sz w:val="24"/>
          <w:szCs w:val="24"/>
        </w:rPr>
        <w:t>These updated requirements pertaining to allowable and required programmatic activities were made public through the most recent NOFOs and grant award processes and are already in effect. Additionally, a minor update has been made to a single data element on the</w:t>
      </w:r>
      <w:r w:rsidRPr="005E17E7">
        <w:rPr>
          <w:rFonts w:ascii="Times New Roman" w:hAnsi="Times New Roman"/>
          <w:snapToGrid/>
          <w:sz w:val="24"/>
          <w:szCs w:val="24"/>
        </w:rPr>
        <w:t xml:space="preserve"> Client Case Closure form </w:t>
      </w:r>
      <w:r>
        <w:rPr>
          <w:rFonts w:ascii="Times New Roman" w:hAnsi="Times New Roman"/>
          <w:snapToGrid/>
          <w:sz w:val="24"/>
          <w:szCs w:val="24"/>
        </w:rPr>
        <w:t xml:space="preserve">based on based on information about clients served during the most recent fiscal year. </w:t>
      </w:r>
    </w:p>
    <w:p w:rsidR="000449E0" w:rsidRPr="00973CB6" w:rsidP="000449E0" w14:paraId="68A265FC" w14:textId="77777777">
      <w:pPr>
        <w:widowControl/>
        <w:tabs>
          <w:tab w:val="num" w:pos="360"/>
        </w:tabs>
        <w:ind w:left="360"/>
        <w:rPr>
          <w:rFonts w:ascii="Times New Roman" w:hAnsi="Times New Roman"/>
          <w:snapToGrid/>
          <w:sz w:val="24"/>
          <w:szCs w:val="24"/>
        </w:rPr>
      </w:pPr>
    </w:p>
    <w:p w:rsidR="000449E0" w:rsidRPr="00973CB6" w:rsidP="000449E0" w14:paraId="392F6B62" w14:textId="77777777">
      <w:pPr>
        <w:widowControl/>
        <w:tabs>
          <w:tab w:val="num" w:pos="360"/>
        </w:tabs>
        <w:ind w:left="360"/>
        <w:rPr>
          <w:rFonts w:ascii="Times New Roman" w:hAnsi="Times New Roman"/>
          <w:snapToGrid/>
          <w:sz w:val="24"/>
          <w:szCs w:val="24"/>
        </w:rPr>
      </w:pPr>
      <w:r w:rsidRPr="00973CB6">
        <w:rPr>
          <w:rFonts w:ascii="Times New Roman" w:hAnsi="Times New Roman"/>
          <w:snapToGrid/>
          <w:sz w:val="24"/>
          <w:szCs w:val="24"/>
        </w:rPr>
        <w:t xml:space="preserve">The revisions made to this collection, as summarized in full below, </w:t>
      </w:r>
      <w:r>
        <w:rPr>
          <w:rFonts w:ascii="Times New Roman" w:hAnsi="Times New Roman"/>
          <w:snapToGrid/>
          <w:sz w:val="24"/>
          <w:szCs w:val="24"/>
        </w:rPr>
        <w:t>bring the collection into alignment with new programmatic requirements and allow for clients served to be more accurately represented in post-award reporting datasets.</w:t>
      </w:r>
    </w:p>
    <w:p w:rsidR="000449E0" w:rsidP="000449E0" w14:paraId="6B376B96" w14:textId="77777777">
      <w:pPr>
        <w:widowControl/>
        <w:tabs>
          <w:tab w:val="num" w:pos="360"/>
        </w:tabs>
        <w:ind w:left="360"/>
        <w:rPr>
          <w:rFonts w:ascii="Times New Roman" w:hAnsi="Times New Roman"/>
          <w:snapToGrid/>
          <w:sz w:val="24"/>
          <w:szCs w:val="24"/>
        </w:rPr>
      </w:pPr>
    </w:p>
    <w:p w:rsidR="000449E0" w:rsidRPr="00540554" w:rsidP="000449E0" w14:paraId="4827434A" w14:textId="77777777">
      <w:pPr>
        <w:widowControl/>
        <w:tabs>
          <w:tab w:val="num" w:pos="360"/>
        </w:tabs>
        <w:spacing w:after="120"/>
        <w:ind w:left="360"/>
        <w:rPr>
          <w:rFonts w:ascii="Times New Roman" w:hAnsi="Times New Roman"/>
          <w:b/>
          <w:i/>
          <w:iCs/>
          <w:snapToGrid/>
          <w:sz w:val="24"/>
          <w:szCs w:val="24"/>
        </w:rPr>
      </w:pPr>
      <w:r w:rsidRPr="00540554">
        <w:rPr>
          <w:rFonts w:ascii="Times New Roman" w:hAnsi="Times New Roman"/>
          <w:b/>
          <w:i/>
          <w:iCs/>
          <w:snapToGrid/>
          <w:sz w:val="24"/>
          <w:szCs w:val="24"/>
        </w:rPr>
        <w:t>Overview of Revisions</w:t>
      </w:r>
    </w:p>
    <w:p w:rsidR="000449E0" w:rsidP="000449E0" w14:paraId="254D5A02" w14:textId="77777777">
      <w:pPr>
        <w:widowControl/>
        <w:spacing w:after="60"/>
        <w:ind w:left="360"/>
        <w:rPr>
          <w:rFonts w:ascii="Times New Roman" w:hAnsi="Times New Roman"/>
          <w:snapToGrid/>
          <w:sz w:val="24"/>
          <w:szCs w:val="24"/>
        </w:rPr>
      </w:pPr>
      <w:r w:rsidRPr="00540554">
        <w:rPr>
          <w:rFonts w:ascii="Times New Roman" w:hAnsi="Times New Roman"/>
          <w:b/>
          <w:bCs/>
          <w:snapToGrid/>
          <w:sz w:val="24"/>
          <w:szCs w:val="24"/>
          <w:u w:val="single"/>
        </w:rPr>
        <w:t>Training form</w:t>
      </w:r>
      <w:r>
        <w:rPr>
          <w:rFonts w:ascii="Times New Roman" w:hAnsi="Times New Roman"/>
          <w:snapToGrid/>
          <w:sz w:val="24"/>
          <w:szCs w:val="24"/>
        </w:rPr>
        <w:t xml:space="preserve"> </w:t>
      </w:r>
    </w:p>
    <w:p w:rsidR="000449E0" w:rsidP="000449E0" w14:paraId="2382B653" w14:textId="77777777">
      <w:pPr>
        <w:widowControl/>
        <w:ind w:left="360"/>
        <w:rPr>
          <w:rFonts w:ascii="Times New Roman" w:hAnsi="Times New Roman"/>
          <w:snapToGrid/>
          <w:sz w:val="24"/>
          <w:szCs w:val="24"/>
        </w:rPr>
      </w:pPr>
      <w:r>
        <w:rPr>
          <w:rFonts w:ascii="Times New Roman" w:hAnsi="Times New Roman"/>
          <w:snapToGrid/>
          <w:sz w:val="24"/>
          <w:szCs w:val="24"/>
        </w:rPr>
        <w:t>To</w:t>
      </w:r>
      <w:r w:rsidRPr="00973CB6">
        <w:rPr>
          <w:rFonts w:ascii="Times New Roman" w:hAnsi="Times New Roman"/>
          <w:snapToGrid/>
          <w:sz w:val="24"/>
          <w:szCs w:val="24"/>
        </w:rPr>
        <w:t xml:space="preserve"> reduce burden</w:t>
      </w:r>
      <w:r>
        <w:rPr>
          <w:rFonts w:ascii="Times New Roman" w:hAnsi="Times New Roman"/>
          <w:snapToGrid/>
          <w:sz w:val="24"/>
          <w:szCs w:val="24"/>
        </w:rPr>
        <w:t xml:space="preserve"> and bring the collection into alignment with new programmatic requirements</w:t>
      </w:r>
      <w:r w:rsidRPr="00973CB6">
        <w:rPr>
          <w:rFonts w:ascii="Times New Roman" w:hAnsi="Times New Roman"/>
          <w:snapToGrid/>
          <w:sz w:val="24"/>
          <w:szCs w:val="24"/>
        </w:rPr>
        <w:t xml:space="preserve">, </w:t>
      </w:r>
      <w:r w:rsidRPr="00C02B78">
        <w:rPr>
          <w:rFonts w:ascii="Times New Roman" w:hAnsi="Times New Roman"/>
          <w:snapToGrid/>
          <w:sz w:val="24"/>
          <w:szCs w:val="24"/>
        </w:rPr>
        <w:t xml:space="preserve">OTIP is requesting to </w:t>
      </w:r>
      <w:r>
        <w:rPr>
          <w:rFonts w:ascii="Times New Roman" w:hAnsi="Times New Roman"/>
          <w:snapToGrid/>
          <w:sz w:val="24"/>
          <w:szCs w:val="24"/>
        </w:rPr>
        <w:t xml:space="preserve">discontinue use of and </w:t>
      </w:r>
      <w:r w:rsidRPr="00C02B78">
        <w:rPr>
          <w:rFonts w:ascii="Times New Roman" w:hAnsi="Times New Roman"/>
          <w:snapToGrid/>
          <w:sz w:val="24"/>
          <w:szCs w:val="24"/>
        </w:rPr>
        <w:t xml:space="preserve">remove the Training form </w:t>
      </w:r>
      <w:r>
        <w:rPr>
          <w:rFonts w:ascii="Times New Roman" w:hAnsi="Times New Roman"/>
          <w:snapToGrid/>
          <w:sz w:val="24"/>
          <w:szCs w:val="24"/>
        </w:rPr>
        <w:t xml:space="preserve">data elements. We have removed the Training form from the collection and updated the burden accordingly. </w:t>
      </w:r>
    </w:p>
    <w:p w:rsidR="000449E0" w:rsidP="000449E0" w14:paraId="68995F73" w14:textId="77777777">
      <w:pPr>
        <w:widowControl/>
        <w:ind w:left="360"/>
        <w:rPr>
          <w:rFonts w:ascii="Times New Roman" w:hAnsi="Times New Roman"/>
          <w:snapToGrid/>
          <w:sz w:val="24"/>
          <w:szCs w:val="24"/>
        </w:rPr>
      </w:pPr>
    </w:p>
    <w:p w:rsidR="000449E0" w:rsidRPr="00540554" w:rsidP="000449E0" w14:paraId="5EEF9BB0" w14:textId="77777777">
      <w:pPr>
        <w:pStyle w:val="ListParagraph"/>
        <w:widowControl/>
        <w:spacing w:after="60"/>
        <w:ind w:left="360"/>
        <w:rPr>
          <w:rFonts w:ascii="Times New Roman" w:hAnsi="Times New Roman"/>
          <w:b/>
          <w:bCs/>
          <w:snapToGrid/>
          <w:sz w:val="24"/>
          <w:szCs w:val="24"/>
          <w:u w:val="single"/>
        </w:rPr>
      </w:pPr>
      <w:r w:rsidRPr="00540554">
        <w:rPr>
          <w:rFonts w:ascii="Times New Roman" w:hAnsi="Times New Roman"/>
          <w:b/>
          <w:bCs/>
          <w:snapToGrid/>
          <w:sz w:val="24"/>
          <w:szCs w:val="24"/>
          <w:u w:val="single"/>
        </w:rPr>
        <w:t>Outreach form</w:t>
      </w:r>
    </w:p>
    <w:p w:rsidR="000449E0" w:rsidRPr="00B449E9" w:rsidP="000449E0" w14:paraId="293491C5" w14:textId="77777777">
      <w:pPr>
        <w:widowControl/>
        <w:ind w:left="360"/>
        <w:rPr>
          <w:rFonts w:ascii="Times New Roman" w:hAnsi="Times New Roman"/>
          <w:snapToGrid/>
          <w:sz w:val="24"/>
          <w:szCs w:val="24"/>
        </w:rPr>
      </w:pPr>
      <w:r w:rsidRPr="00B449E9">
        <w:rPr>
          <w:rFonts w:ascii="Times New Roman" w:hAnsi="Times New Roman"/>
          <w:snapToGrid/>
          <w:sz w:val="24"/>
          <w:szCs w:val="24"/>
        </w:rPr>
        <w:t>OTIP</w:t>
      </w:r>
      <w:r>
        <w:rPr>
          <w:rFonts w:ascii="Times New Roman" w:hAnsi="Times New Roman"/>
          <w:snapToGrid/>
          <w:sz w:val="24"/>
          <w:szCs w:val="24"/>
        </w:rPr>
        <w:t xml:space="preserve"> proposes to </w:t>
      </w:r>
      <w:r w:rsidRPr="00B449E9">
        <w:rPr>
          <w:rFonts w:ascii="Times New Roman" w:hAnsi="Times New Roman"/>
          <w:snapToGrid/>
          <w:sz w:val="24"/>
          <w:szCs w:val="24"/>
        </w:rPr>
        <w:t>add one indicator to the</w:t>
      </w:r>
      <w:r w:rsidRPr="00D63101">
        <w:rPr>
          <w:rFonts w:ascii="Times New Roman" w:hAnsi="Times New Roman"/>
          <w:snapToGrid/>
          <w:sz w:val="24"/>
          <w:szCs w:val="24"/>
        </w:rPr>
        <w:t xml:space="preserve"> </w:t>
      </w:r>
      <w:r w:rsidRPr="00B449E9">
        <w:rPr>
          <w:rFonts w:ascii="Times New Roman" w:hAnsi="Times New Roman"/>
          <w:snapToGrid/>
          <w:sz w:val="24"/>
          <w:szCs w:val="24"/>
        </w:rPr>
        <w:t>Outreach form</w:t>
      </w:r>
      <w:r>
        <w:rPr>
          <w:rFonts w:ascii="Times New Roman" w:hAnsi="Times New Roman"/>
          <w:snapToGrid/>
          <w:sz w:val="24"/>
          <w:szCs w:val="24"/>
        </w:rPr>
        <w:t xml:space="preserve">: </w:t>
      </w:r>
      <w:r w:rsidRPr="00B449E9">
        <w:rPr>
          <w:rFonts w:ascii="Times New Roman" w:hAnsi="Times New Roman"/>
          <w:bCs/>
          <w:iCs/>
          <w:snapToGrid/>
          <w:sz w:val="24"/>
          <w:szCs w:val="24"/>
        </w:rPr>
        <w:t>“Number of Public Awareness Activities Conducted”</w:t>
      </w:r>
      <w:r>
        <w:rPr>
          <w:rFonts w:ascii="Times New Roman" w:hAnsi="Times New Roman"/>
          <w:bCs/>
          <w:iCs/>
          <w:snapToGrid/>
          <w:sz w:val="24"/>
          <w:szCs w:val="24"/>
        </w:rPr>
        <w:t>.</w:t>
      </w:r>
      <w:r w:rsidRPr="00B449E9">
        <w:rPr>
          <w:rFonts w:ascii="Times New Roman" w:hAnsi="Times New Roman"/>
          <w:bCs/>
          <w:iCs/>
          <w:snapToGrid/>
          <w:sz w:val="24"/>
          <w:szCs w:val="24"/>
        </w:rPr>
        <w:t xml:space="preserve"> </w:t>
      </w:r>
      <w:r w:rsidRPr="00B449E9">
        <w:rPr>
          <w:rFonts w:ascii="Times New Roman" w:hAnsi="Times New Roman"/>
          <w:snapToGrid/>
          <w:sz w:val="24"/>
          <w:szCs w:val="24"/>
        </w:rPr>
        <w:t xml:space="preserve">The Lighthouse Demonstration Program </w:t>
      </w:r>
      <w:r>
        <w:rPr>
          <w:rFonts w:ascii="Times New Roman" w:hAnsi="Times New Roman"/>
          <w:snapToGrid/>
          <w:sz w:val="24"/>
          <w:szCs w:val="24"/>
        </w:rPr>
        <w:t xml:space="preserve">under TVAP </w:t>
      </w:r>
      <w:r w:rsidRPr="00B449E9">
        <w:rPr>
          <w:rFonts w:ascii="Times New Roman" w:hAnsi="Times New Roman"/>
          <w:snapToGrid/>
          <w:sz w:val="24"/>
          <w:szCs w:val="24"/>
        </w:rPr>
        <w:t xml:space="preserve">seeks to improve foreign national victim identification through service delivery and outreach and adds a necessary public awareness component to improve the general public’s understanding of labor trafficking. </w:t>
      </w:r>
      <w:r>
        <w:rPr>
          <w:rFonts w:ascii="Times New Roman" w:hAnsi="Times New Roman"/>
          <w:snapToGrid/>
          <w:sz w:val="24"/>
          <w:szCs w:val="24"/>
        </w:rPr>
        <w:t xml:space="preserve">The addition of </w:t>
      </w:r>
      <w:r w:rsidRPr="00B449E9">
        <w:rPr>
          <w:rFonts w:ascii="Times New Roman" w:hAnsi="Times New Roman"/>
          <w:snapToGrid/>
          <w:sz w:val="24"/>
          <w:szCs w:val="24"/>
        </w:rPr>
        <w:t>“</w:t>
      </w:r>
      <w:r w:rsidRPr="00B449E9">
        <w:rPr>
          <w:rFonts w:ascii="Times New Roman" w:hAnsi="Times New Roman"/>
          <w:bCs/>
          <w:iCs/>
          <w:snapToGrid/>
          <w:sz w:val="24"/>
          <w:szCs w:val="24"/>
        </w:rPr>
        <w:t xml:space="preserve">Number of Public Awareness Activities Conducted” to the Outreach Form </w:t>
      </w:r>
      <w:r>
        <w:rPr>
          <w:rFonts w:ascii="Times New Roman" w:hAnsi="Times New Roman"/>
          <w:bCs/>
          <w:iCs/>
          <w:snapToGrid/>
          <w:sz w:val="24"/>
          <w:szCs w:val="24"/>
        </w:rPr>
        <w:t>will</w:t>
      </w:r>
      <w:r w:rsidRPr="00B449E9">
        <w:rPr>
          <w:rFonts w:ascii="Times New Roman" w:hAnsi="Times New Roman"/>
          <w:snapToGrid/>
          <w:sz w:val="24"/>
          <w:szCs w:val="24"/>
        </w:rPr>
        <w:t xml:space="preserve"> bring the collection into alignment with revised TVAP requirements</w:t>
      </w:r>
      <w:r w:rsidRPr="00B449E9">
        <w:rPr>
          <w:rFonts w:ascii="Times New Roman" w:hAnsi="Times New Roman"/>
          <w:bCs/>
          <w:iCs/>
          <w:snapToGrid/>
          <w:sz w:val="24"/>
          <w:szCs w:val="24"/>
        </w:rPr>
        <w:t xml:space="preserve"> necessitating Lighthouse recipients to engage in public awareness</w:t>
      </w:r>
      <w:r>
        <w:rPr>
          <w:rFonts w:ascii="Times New Roman" w:hAnsi="Times New Roman"/>
          <w:bCs/>
          <w:iCs/>
          <w:snapToGrid/>
          <w:sz w:val="24"/>
          <w:szCs w:val="24"/>
          <w:vertAlign w:val="superscript"/>
        </w:rPr>
        <w:t xml:space="preserve"> </w:t>
      </w:r>
      <w:r w:rsidRPr="00B449E9">
        <w:rPr>
          <w:rFonts w:ascii="Times New Roman" w:hAnsi="Times New Roman"/>
          <w:bCs/>
          <w:iCs/>
          <w:snapToGrid/>
          <w:sz w:val="24"/>
          <w:szCs w:val="24"/>
        </w:rPr>
        <w:t>activities.</w:t>
      </w:r>
    </w:p>
    <w:p w:rsidR="000449E0" w:rsidP="000449E0" w14:paraId="60C8FC72" w14:textId="77777777">
      <w:pPr>
        <w:widowControl/>
        <w:ind w:left="360"/>
        <w:rPr>
          <w:rFonts w:ascii="Times New Roman" w:hAnsi="Times New Roman"/>
          <w:snapToGrid/>
          <w:sz w:val="24"/>
          <w:szCs w:val="24"/>
        </w:rPr>
      </w:pPr>
    </w:p>
    <w:p w:rsidR="000449E0" w:rsidRPr="00540554" w:rsidP="000449E0" w14:paraId="19897F01" w14:textId="77777777">
      <w:pPr>
        <w:pStyle w:val="ListParagraph"/>
        <w:widowControl/>
        <w:spacing w:after="60"/>
        <w:ind w:left="360"/>
        <w:rPr>
          <w:rFonts w:ascii="Times New Roman" w:hAnsi="Times New Roman"/>
          <w:b/>
          <w:bCs/>
          <w:snapToGrid/>
          <w:sz w:val="24"/>
          <w:szCs w:val="24"/>
          <w:u w:val="single"/>
        </w:rPr>
      </w:pPr>
      <w:r w:rsidRPr="00295554">
        <w:rPr>
          <w:rFonts w:ascii="Times New Roman" w:hAnsi="Times New Roman"/>
          <w:b/>
          <w:bCs/>
          <w:snapToGrid/>
          <w:sz w:val="24"/>
          <w:szCs w:val="24"/>
          <w:u w:val="single"/>
        </w:rPr>
        <w:t>Client Case Closure form</w:t>
      </w:r>
    </w:p>
    <w:p w:rsidR="000449E0" w:rsidP="000449E0" w14:paraId="4AD9F7D2" w14:textId="77777777">
      <w:pPr>
        <w:widowControl/>
        <w:ind w:left="360"/>
        <w:rPr>
          <w:rFonts w:ascii="Times New Roman" w:hAnsi="Times New Roman"/>
          <w:snapToGrid/>
          <w:sz w:val="24"/>
          <w:szCs w:val="24"/>
        </w:rPr>
      </w:pPr>
      <w:r w:rsidRPr="00B449E9">
        <w:rPr>
          <w:rFonts w:ascii="Times New Roman" w:hAnsi="Times New Roman"/>
          <w:snapToGrid/>
          <w:sz w:val="24"/>
          <w:szCs w:val="24"/>
        </w:rPr>
        <w:t>OTIP</w:t>
      </w:r>
      <w:r>
        <w:rPr>
          <w:rFonts w:ascii="Times New Roman" w:hAnsi="Times New Roman"/>
          <w:snapToGrid/>
          <w:sz w:val="24"/>
          <w:szCs w:val="24"/>
        </w:rPr>
        <w:t xml:space="preserve"> proposes to </w:t>
      </w:r>
      <w:r w:rsidRPr="00B449E9">
        <w:rPr>
          <w:rFonts w:ascii="Times New Roman" w:hAnsi="Times New Roman"/>
          <w:snapToGrid/>
          <w:sz w:val="24"/>
          <w:szCs w:val="24"/>
        </w:rPr>
        <w:t xml:space="preserve">add </w:t>
      </w:r>
      <w:r>
        <w:rPr>
          <w:rFonts w:ascii="Times New Roman" w:hAnsi="Times New Roman"/>
          <w:snapToGrid/>
          <w:sz w:val="24"/>
          <w:szCs w:val="24"/>
        </w:rPr>
        <w:t xml:space="preserve">back </w:t>
      </w:r>
      <w:r w:rsidRPr="00B449E9">
        <w:rPr>
          <w:rFonts w:ascii="Times New Roman" w:hAnsi="Times New Roman"/>
          <w:snapToGrid/>
          <w:sz w:val="24"/>
          <w:szCs w:val="24"/>
        </w:rPr>
        <w:t>one additional response option under</w:t>
      </w:r>
      <w:r w:rsidRPr="00B449E9">
        <w:rPr>
          <w:rFonts w:ascii="Times New Roman" w:hAnsi="Times New Roman"/>
          <w:bCs/>
          <w:iCs/>
          <w:snapToGrid/>
          <w:sz w:val="24"/>
          <w:szCs w:val="24"/>
        </w:rPr>
        <w:t xml:space="preserve"> the data element, “</w:t>
      </w:r>
      <w:r w:rsidRPr="00B449E9">
        <w:rPr>
          <w:rFonts w:ascii="Times New Roman" w:hAnsi="Times New Roman"/>
          <w:snapToGrid/>
          <w:sz w:val="24"/>
          <w:szCs w:val="24"/>
        </w:rPr>
        <w:t>Did the client obtain Continued Presence or a T Visa?”  on the Client Case Closure for</w:t>
      </w:r>
      <w:r>
        <w:rPr>
          <w:rFonts w:ascii="Times New Roman" w:hAnsi="Times New Roman"/>
          <w:snapToGrid/>
          <w:sz w:val="24"/>
          <w:szCs w:val="24"/>
        </w:rPr>
        <w:t xml:space="preserve">m: “Bona Fide T Visa”. The most recent revision request, submitted in October 2022 and approved in February 2023, included the following item: </w:t>
      </w:r>
    </w:p>
    <w:p w:rsidR="000449E0" w:rsidP="000449E0" w14:paraId="2704FE72" w14:textId="77777777">
      <w:pPr>
        <w:widowControl/>
        <w:ind w:left="360"/>
        <w:rPr>
          <w:rFonts w:ascii="Times New Roman" w:hAnsi="Times New Roman"/>
          <w:snapToGrid/>
          <w:sz w:val="24"/>
          <w:szCs w:val="24"/>
        </w:rPr>
      </w:pPr>
    </w:p>
    <w:p w:rsidR="000449E0" w:rsidRPr="00540554" w:rsidP="000449E0" w14:paraId="05A21603" w14:textId="5230F321">
      <w:pPr>
        <w:numPr>
          <w:ilvl w:val="0"/>
          <w:numId w:val="31"/>
        </w:numPr>
        <w:textAlignment w:val="center"/>
        <w:rPr>
          <w:rFonts w:ascii="Times New Roman" w:hAnsi="Times New Roman"/>
          <w:sz w:val="22"/>
          <w:szCs w:val="22"/>
        </w:rPr>
      </w:pPr>
      <w:r w:rsidRPr="00540554">
        <w:rPr>
          <w:rFonts w:ascii="Times New Roman" w:hAnsi="Times New Roman"/>
          <w:sz w:val="22"/>
          <w:szCs w:val="22"/>
        </w:rPr>
        <w:t>Did the client obtain Continued Presence or a T</w:t>
      </w:r>
      <w:r w:rsidR="00683974">
        <w:rPr>
          <w:rFonts w:ascii="Times New Roman" w:hAnsi="Times New Roman"/>
          <w:sz w:val="22"/>
          <w:szCs w:val="22"/>
        </w:rPr>
        <w:t xml:space="preserve"> </w:t>
      </w:r>
      <w:r w:rsidRPr="00540554">
        <w:rPr>
          <w:rFonts w:ascii="Times New Roman" w:hAnsi="Times New Roman"/>
          <w:sz w:val="22"/>
          <w:szCs w:val="22"/>
        </w:rPr>
        <w:t>Visa?</w:t>
      </w:r>
    </w:p>
    <w:p w:rsidR="000449E0" w:rsidRPr="00540554" w:rsidP="000449E0" w14:paraId="36332637" w14:textId="77777777">
      <w:pPr>
        <w:numPr>
          <w:ilvl w:val="1"/>
          <w:numId w:val="31"/>
        </w:numPr>
        <w:textAlignment w:val="center"/>
        <w:rPr>
          <w:rFonts w:ascii="Times New Roman" w:hAnsi="Times New Roman"/>
          <w:sz w:val="22"/>
          <w:szCs w:val="22"/>
        </w:rPr>
      </w:pPr>
      <w:r w:rsidRPr="00540554">
        <w:rPr>
          <w:rFonts w:ascii="Times New Roman" w:hAnsi="Times New Roman"/>
          <w:sz w:val="22"/>
          <w:szCs w:val="22"/>
        </w:rPr>
        <w:t>Continued Presence</w:t>
      </w:r>
    </w:p>
    <w:p w:rsidR="000449E0" w:rsidRPr="00540554" w:rsidP="000449E0" w14:paraId="634DDD80" w14:textId="5C7AE49D">
      <w:pPr>
        <w:numPr>
          <w:ilvl w:val="1"/>
          <w:numId w:val="31"/>
        </w:numPr>
        <w:textAlignment w:val="center"/>
        <w:rPr>
          <w:rFonts w:ascii="Times New Roman" w:hAnsi="Times New Roman"/>
          <w:sz w:val="22"/>
          <w:szCs w:val="22"/>
        </w:rPr>
      </w:pPr>
      <w:r w:rsidRPr="00540554">
        <w:rPr>
          <w:rFonts w:ascii="Times New Roman" w:hAnsi="Times New Roman"/>
          <w:sz w:val="22"/>
          <w:szCs w:val="22"/>
        </w:rPr>
        <w:t>T</w:t>
      </w:r>
      <w:r w:rsidR="00683974">
        <w:rPr>
          <w:rFonts w:ascii="Times New Roman" w:hAnsi="Times New Roman"/>
          <w:sz w:val="22"/>
          <w:szCs w:val="22"/>
        </w:rPr>
        <w:t xml:space="preserve"> </w:t>
      </w:r>
      <w:r w:rsidRPr="00540554">
        <w:rPr>
          <w:rFonts w:ascii="Times New Roman" w:hAnsi="Times New Roman"/>
          <w:sz w:val="22"/>
          <w:szCs w:val="22"/>
        </w:rPr>
        <w:t>Visa</w:t>
      </w:r>
    </w:p>
    <w:p w:rsidR="000449E0" w:rsidRPr="00540554" w:rsidP="000449E0" w14:paraId="3D376951" w14:textId="77777777">
      <w:pPr>
        <w:numPr>
          <w:ilvl w:val="1"/>
          <w:numId w:val="31"/>
        </w:numPr>
        <w:textAlignment w:val="center"/>
        <w:rPr>
          <w:rFonts w:ascii="Times New Roman" w:hAnsi="Times New Roman"/>
          <w:sz w:val="22"/>
          <w:szCs w:val="22"/>
        </w:rPr>
      </w:pPr>
      <w:r w:rsidRPr="00540554">
        <w:rPr>
          <w:rFonts w:ascii="Times New Roman" w:hAnsi="Times New Roman"/>
          <w:sz w:val="22"/>
          <w:szCs w:val="22"/>
        </w:rPr>
        <w:t>Unknown</w:t>
      </w:r>
    </w:p>
    <w:p w:rsidR="000449E0" w:rsidP="000449E0" w14:paraId="11D01EE5" w14:textId="77777777">
      <w:pPr>
        <w:widowControl/>
        <w:ind w:left="360"/>
        <w:rPr>
          <w:rFonts w:ascii="Times New Roman" w:hAnsi="Times New Roman"/>
          <w:snapToGrid/>
          <w:sz w:val="24"/>
          <w:szCs w:val="24"/>
        </w:rPr>
      </w:pPr>
    </w:p>
    <w:p w:rsidR="004E2CA4" w:rsidP="00540554" w14:paraId="2E30D7E3" w14:textId="41132744">
      <w:pPr>
        <w:widowControl/>
        <w:ind w:left="360"/>
        <w:rPr>
          <w:rFonts w:ascii="Times New Roman" w:hAnsi="Times New Roman"/>
          <w:snapToGrid/>
          <w:sz w:val="24"/>
          <w:szCs w:val="24"/>
        </w:rPr>
      </w:pPr>
      <w:r>
        <w:rPr>
          <w:rFonts w:ascii="Times New Roman" w:hAnsi="Times New Roman"/>
          <w:snapToGrid/>
          <w:sz w:val="24"/>
          <w:szCs w:val="24"/>
        </w:rPr>
        <w:t xml:space="preserve">Prior to this revision request, the item included an option for </w:t>
      </w:r>
      <w:r w:rsidRPr="00B449E9">
        <w:rPr>
          <w:rFonts w:ascii="Times New Roman" w:hAnsi="Times New Roman"/>
          <w:bCs/>
          <w:iCs/>
          <w:snapToGrid/>
          <w:sz w:val="24"/>
          <w:szCs w:val="24"/>
        </w:rPr>
        <w:t>“Bona Fide T Visa”</w:t>
      </w:r>
      <w:r>
        <w:rPr>
          <w:rFonts w:ascii="Times New Roman" w:hAnsi="Times New Roman"/>
          <w:bCs/>
          <w:iCs/>
          <w:snapToGrid/>
          <w:sz w:val="24"/>
          <w:szCs w:val="24"/>
        </w:rPr>
        <w:t>. B</w:t>
      </w:r>
      <w:r w:rsidRPr="00B449E9">
        <w:rPr>
          <w:rFonts w:ascii="Times New Roman" w:hAnsi="Times New Roman"/>
          <w:snapToGrid/>
          <w:sz w:val="24"/>
          <w:szCs w:val="24"/>
        </w:rPr>
        <w:t>ased on our analysis of historical data submitted by recipients under this program</w:t>
      </w:r>
      <w:r>
        <w:rPr>
          <w:rFonts w:ascii="Times New Roman" w:hAnsi="Times New Roman"/>
          <w:snapToGrid/>
          <w:sz w:val="24"/>
          <w:szCs w:val="24"/>
        </w:rPr>
        <w:t>,</w:t>
      </w:r>
      <w:r w:rsidRPr="00B449E9">
        <w:rPr>
          <w:rFonts w:ascii="Times New Roman" w:hAnsi="Times New Roman"/>
          <w:snapToGrid/>
          <w:sz w:val="24"/>
          <w:szCs w:val="24"/>
        </w:rPr>
        <w:t xml:space="preserve"> OTIP had not </w:t>
      </w:r>
      <w:r w:rsidRPr="00B449E9">
        <w:rPr>
          <w:rFonts w:ascii="Times New Roman" w:hAnsi="Times New Roman"/>
          <w:snapToGrid/>
          <w:sz w:val="24"/>
          <w:szCs w:val="24"/>
        </w:rPr>
        <w:t xml:space="preserve">served a client in receipt of a bona fide T </w:t>
      </w:r>
      <w:r w:rsidR="00683974">
        <w:rPr>
          <w:rFonts w:ascii="Times New Roman" w:hAnsi="Times New Roman"/>
          <w:snapToGrid/>
          <w:sz w:val="24"/>
          <w:szCs w:val="24"/>
        </w:rPr>
        <w:t>v</w:t>
      </w:r>
      <w:r w:rsidRPr="00B449E9">
        <w:rPr>
          <w:rFonts w:ascii="Times New Roman" w:hAnsi="Times New Roman"/>
          <w:snapToGrid/>
          <w:sz w:val="24"/>
          <w:szCs w:val="24"/>
        </w:rPr>
        <w:t>isa</w:t>
      </w:r>
      <w:r>
        <w:rPr>
          <w:rFonts w:ascii="Times New Roman" w:hAnsi="Times New Roman"/>
          <w:snapToGrid/>
          <w:sz w:val="24"/>
          <w:szCs w:val="24"/>
          <w:vertAlign w:val="superscript"/>
        </w:rPr>
        <w:footnoteReference w:id="5"/>
      </w:r>
      <w:r w:rsidRPr="00B449E9">
        <w:rPr>
          <w:rFonts w:ascii="Times New Roman" w:hAnsi="Times New Roman"/>
          <w:snapToGrid/>
          <w:sz w:val="24"/>
          <w:szCs w:val="24"/>
        </w:rPr>
        <w:t xml:space="preserve"> in more than ten years</w:t>
      </w:r>
      <w:r>
        <w:rPr>
          <w:rFonts w:ascii="Times New Roman" w:hAnsi="Times New Roman"/>
          <w:snapToGrid/>
          <w:sz w:val="24"/>
          <w:szCs w:val="24"/>
        </w:rPr>
        <w:t>. Therefore</w:t>
      </w:r>
      <w:r w:rsidRPr="00B449E9">
        <w:rPr>
          <w:rFonts w:ascii="Times New Roman" w:hAnsi="Times New Roman"/>
          <w:snapToGrid/>
          <w:sz w:val="24"/>
          <w:szCs w:val="24"/>
        </w:rPr>
        <w:t xml:space="preserve">, </w:t>
      </w:r>
      <w:r>
        <w:rPr>
          <w:rFonts w:ascii="Times New Roman" w:hAnsi="Times New Roman"/>
          <w:snapToGrid/>
          <w:sz w:val="24"/>
          <w:szCs w:val="24"/>
        </w:rPr>
        <w:t xml:space="preserve">the option was removed. </w:t>
      </w:r>
      <w:r w:rsidRPr="00F553E6">
        <w:rPr>
          <w:rFonts w:ascii="Times New Roman" w:hAnsi="Times New Roman"/>
          <w:snapToGrid/>
          <w:sz w:val="24"/>
          <w:szCs w:val="24"/>
        </w:rPr>
        <w:t>However, based on a fiscal year 2023 analysis of clients served in fiscal year 2022, an individual with this certification type was referred to our program</w:t>
      </w:r>
      <w:r>
        <w:rPr>
          <w:rFonts w:ascii="Times New Roman" w:hAnsi="Times New Roman"/>
          <w:snapToGrid/>
          <w:sz w:val="24"/>
          <w:szCs w:val="24"/>
        </w:rPr>
        <w:t xml:space="preserve">., </w:t>
      </w:r>
      <w:r w:rsidRPr="00B449E9">
        <w:rPr>
          <w:rFonts w:ascii="Times New Roman" w:hAnsi="Times New Roman"/>
          <w:snapToGrid/>
          <w:sz w:val="24"/>
          <w:szCs w:val="24"/>
        </w:rPr>
        <w:t xml:space="preserve">an individual with this certification type was referred to our program. Accordingly, OTIP is seeking to add this </w:t>
      </w:r>
      <w:r>
        <w:rPr>
          <w:rFonts w:ascii="Times New Roman" w:hAnsi="Times New Roman"/>
          <w:snapToGrid/>
          <w:sz w:val="24"/>
          <w:szCs w:val="24"/>
        </w:rPr>
        <w:t xml:space="preserve">back in </w:t>
      </w:r>
      <w:r w:rsidRPr="00B449E9">
        <w:rPr>
          <w:rFonts w:ascii="Times New Roman" w:hAnsi="Times New Roman"/>
          <w:snapToGrid/>
          <w:sz w:val="24"/>
          <w:szCs w:val="24"/>
        </w:rPr>
        <w:t xml:space="preserve">as a response category. </w:t>
      </w:r>
    </w:p>
    <w:p w:rsidR="000449E0" w:rsidP="00540554" w14:paraId="610494EC" w14:textId="77777777">
      <w:pPr>
        <w:widowControl/>
        <w:ind w:left="360"/>
        <w:rPr>
          <w:rFonts w:ascii="Times New Roman" w:hAnsi="Times New Roman"/>
          <w:snapToGrid/>
          <w:sz w:val="24"/>
          <w:szCs w:val="24"/>
        </w:rPr>
      </w:pPr>
    </w:p>
    <w:p w:rsidR="00D60543" w:rsidRPr="004F7B95" w:rsidP="004F7B95" w14:paraId="2982928D" w14:textId="77777777">
      <w:pPr>
        <w:widowControl/>
        <w:ind w:left="360"/>
        <w:rPr>
          <w:rFonts w:ascii="Times New Roman" w:hAnsi="Times New Roman"/>
          <w:snapToGrid/>
          <w:sz w:val="24"/>
          <w:szCs w:val="24"/>
        </w:rPr>
      </w:pPr>
    </w:p>
    <w:p w:rsidR="002C3C4F" w:rsidRPr="00817E2B" w:rsidP="00817E2B"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BE6980" w:rsidP="00BE6980" w14:paraId="36F0B7E1" w14:textId="5DD5797A">
      <w:pPr>
        <w:widowControl/>
        <w:ind w:left="360"/>
        <w:rPr>
          <w:rFonts w:ascii="Times New Roman" w:hAnsi="Times New Roman"/>
          <w:snapToGrid/>
          <w:sz w:val="24"/>
          <w:szCs w:val="24"/>
        </w:rPr>
      </w:pPr>
      <w:r>
        <w:rPr>
          <w:rFonts w:ascii="Times New Roman" w:hAnsi="Times New Roman"/>
          <w:snapToGrid/>
          <w:sz w:val="24"/>
          <w:szCs w:val="24"/>
        </w:rPr>
        <w:t>OTIP</w:t>
      </w:r>
      <w:r>
        <w:rPr>
          <w:rFonts w:ascii="Times New Roman" w:hAnsi="Times New Roman"/>
          <w:snapToGrid/>
          <w:sz w:val="24"/>
          <w:szCs w:val="24"/>
        </w:rPr>
        <w:t xml:space="preserve"> will conduct univariate analysis to describe the service population and ascertain patterns.  Summary findings will be presented in briefings, infographics, fact sheets, federal reports, responses to congressional inquiries or Freedom of Information Act requests, and presentations.</w:t>
      </w:r>
    </w:p>
    <w:p w:rsidR="00D60543" w:rsidP="00DE529D" w14:paraId="20669B59" w14:textId="77777777">
      <w:pPr>
        <w:widowControl/>
        <w:ind w:left="360"/>
        <w:rPr>
          <w:rFonts w:ascii="Times New Roman" w:hAnsi="Times New Roman"/>
          <w:snapToGrid/>
          <w:sz w:val="24"/>
          <w:szCs w:val="24"/>
        </w:rPr>
      </w:pPr>
    </w:p>
    <w:p w:rsidR="007935D5" w:rsidRPr="004F7B95" w:rsidP="00DE529D" w14:paraId="298DD100" w14:textId="77777777">
      <w:pPr>
        <w:widowControl/>
        <w:ind w:left="360"/>
        <w:rPr>
          <w:rFonts w:ascii="Times New Roman" w:hAnsi="Times New Roman"/>
          <w:snapToGrid/>
          <w:sz w:val="24"/>
          <w:szCs w:val="24"/>
        </w:rPr>
      </w:pPr>
    </w:p>
    <w:p w:rsidR="002C3C4F" w:rsidRPr="00817E2B" w:rsidP="00817E2B"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A04EF3" w:rsidP="00DE529D" w14:paraId="14F40E7C" w14:textId="65736EBA">
      <w:pPr>
        <w:widowControl/>
        <w:ind w:left="360" w:hanging="90"/>
        <w:rPr>
          <w:rFonts w:ascii="Times New Roman" w:hAnsi="Times New Roman"/>
          <w:snapToGrid/>
          <w:sz w:val="24"/>
          <w:szCs w:val="24"/>
        </w:rPr>
      </w:pPr>
      <w:r>
        <w:rPr>
          <w:rFonts w:ascii="Times New Roman" w:hAnsi="Times New Roman"/>
          <w:snapToGrid/>
          <w:sz w:val="24"/>
          <w:szCs w:val="24"/>
        </w:rPr>
        <w:t xml:space="preserve">Not applicable. </w:t>
      </w:r>
    </w:p>
    <w:p w:rsidR="00D60543" w:rsidP="00DE529D" w14:paraId="30989008" w14:textId="77777777">
      <w:pPr>
        <w:widowControl/>
        <w:ind w:left="360" w:hanging="90"/>
        <w:rPr>
          <w:rFonts w:ascii="Times New Roman" w:hAnsi="Times New Roman"/>
          <w:snapToGrid/>
          <w:sz w:val="24"/>
          <w:szCs w:val="24"/>
        </w:rPr>
      </w:pPr>
    </w:p>
    <w:p w:rsidR="00D60543" w:rsidRPr="004F7B95" w:rsidP="00DE529D" w14:paraId="3C11407F" w14:textId="77777777">
      <w:pPr>
        <w:widowControl/>
        <w:ind w:left="360" w:hanging="90"/>
        <w:rPr>
          <w:rFonts w:ascii="Times New Roman" w:hAnsi="Times New Roman"/>
          <w:snapToGrid/>
          <w:sz w:val="24"/>
          <w:szCs w:val="24"/>
        </w:rPr>
      </w:pPr>
    </w:p>
    <w:p w:rsidR="002C3C4F" w:rsidRPr="00817E2B" w:rsidP="00817E2B"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00597E7F" w:rsidP="00EB104A" w14:paraId="67CA458C" w14:textId="5B381520">
      <w:pPr>
        <w:widowControl/>
        <w:ind w:left="450" w:hanging="90"/>
        <w:rPr>
          <w:rFonts w:ascii="Times New Roman" w:hAnsi="Times New Roman"/>
          <w:b/>
          <w:bCs/>
          <w:sz w:val="24"/>
          <w:szCs w:val="24"/>
        </w:rPr>
      </w:pPr>
      <w:r>
        <w:rPr>
          <w:rFonts w:ascii="Times New Roman" w:hAnsi="Times New Roman"/>
          <w:snapToGrid/>
          <w:sz w:val="24"/>
          <w:szCs w:val="24"/>
        </w:rPr>
        <w:t>No exceptions are necessary for this information collection.</w:t>
      </w:r>
    </w:p>
    <w:sectPr w:rsidSect="00A918E4">
      <w:footerReference w:type="default" r:id="rId16"/>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F3C7D" w14:paraId="1D805B5F" w14:textId="77777777">
      <w:pPr>
        <w:spacing w:line="20" w:lineRule="exact"/>
        <w:rPr>
          <w:sz w:val="24"/>
        </w:rPr>
      </w:pPr>
    </w:p>
  </w:endnote>
  <w:endnote w:type="continuationSeparator" w:id="1">
    <w:p w:rsidR="007F3C7D" w14:paraId="48FB3896" w14:textId="77777777">
      <w:r>
        <w:rPr>
          <w:sz w:val="24"/>
        </w:rPr>
        <w:t xml:space="preserve"> </w:t>
      </w:r>
    </w:p>
  </w:endnote>
  <w:endnote w:type="continuationNotice" w:id="2">
    <w:p w:rsidR="007F3C7D" w14:paraId="429F2ED2"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F3C7D" w14:paraId="39300024" w14:textId="77777777">
      <w:r>
        <w:rPr>
          <w:sz w:val="24"/>
        </w:rPr>
        <w:separator/>
      </w:r>
    </w:p>
  </w:footnote>
  <w:footnote w:type="continuationSeparator" w:id="1">
    <w:p w:rsidR="007F3C7D" w14:paraId="7DAEA3CA" w14:textId="77777777">
      <w:r>
        <w:continuationSeparator/>
      </w:r>
    </w:p>
  </w:footnote>
  <w:footnote w:id="2">
    <w:p w:rsidR="00953D01" w:rsidRPr="003A1496" w:rsidP="00953D01" w14:paraId="0B286793" w14:textId="77777777">
      <w:pPr>
        <w:pStyle w:val="FootnoteText"/>
        <w:rPr>
          <w:rFonts w:ascii="Times New Roman" w:eastAsia="Tahoma" w:hAnsi="Times New Roman"/>
          <w:snapToGrid/>
          <w:kern w:val="1"/>
          <w:sz w:val="20"/>
        </w:rPr>
      </w:pPr>
      <w:r w:rsidRPr="00B449E9">
        <w:rPr>
          <w:rStyle w:val="FootnoteReference"/>
          <w:rFonts w:ascii="Times New Roman" w:eastAsia="Tahoma" w:hAnsi="Times New Roman"/>
          <w:snapToGrid/>
          <w:kern w:val="1"/>
          <w:sz w:val="16"/>
          <w:szCs w:val="16"/>
        </w:rPr>
        <w:footnoteRef/>
      </w:r>
      <w:r w:rsidRPr="00B449E9">
        <w:rPr>
          <w:rStyle w:val="FootnoteReference"/>
          <w:rFonts w:ascii="Times New Roman" w:eastAsia="Tahoma" w:hAnsi="Times New Roman"/>
          <w:snapToGrid/>
          <w:kern w:val="1"/>
          <w:sz w:val="16"/>
          <w:szCs w:val="16"/>
        </w:rPr>
        <w:t xml:space="preserve"> </w:t>
      </w:r>
      <w:r w:rsidRPr="00B449E9">
        <w:rPr>
          <w:rFonts w:ascii="Times New Roman" w:eastAsia="Tahoma" w:hAnsi="Times New Roman"/>
          <w:snapToGrid/>
          <w:kern w:val="1"/>
          <w:sz w:val="16"/>
          <w:szCs w:val="16"/>
        </w:rPr>
        <w:t>OTIP distinguishes between outreach and public awareness. Outreach is direct contact with individuals who may have experienced labor and/or sex trafficking or populations who are vulnerable for or are considered to be at a higher risk for human trafficking. Examples include street outreach, targeted online outreach, and human trafficking</w:t>
      </w:r>
      <w:r>
        <w:rPr>
          <w:rFonts w:ascii="Times New Roman" w:eastAsia="Tahoma" w:hAnsi="Times New Roman"/>
          <w:snapToGrid/>
          <w:kern w:val="1"/>
          <w:sz w:val="16"/>
          <w:szCs w:val="16"/>
        </w:rPr>
        <w:t xml:space="preserve"> </w:t>
      </w:r>
      <w:r w:rsidRPr="00B449E9">
        <w:rPr>
          <w:rFonts w:ascii="Times New Roman" w:eastAsia="Tahoma" w:hAnsi="Times New Roman"/>
          <w:snapToGrid/>
          <w:kern w:val="1"/>
          <w:sz w:val="16"/>
          <w:szCs w:val="16"/>
        </w:rPr>
        <w:t>screening carried out in court diversion programs, detention centers, community organizations, agricultural settings, hospitality industry, construction industry, restaurants, factories, domestic work settings, migrant health centers, and foster care settings. Public awareness includes education efforts aimed at the general public to increase awareness and understanding of labor trafficking of foreign national individuals. Examples include community awareness raising, newspaper articles, radio or television interviews, tabling at conferences, print media, electronic media, etc.</w:t>
      </w:r>
    </w:p>
  </w:footnote>
  <w:footnote w:id="3">
    <w:p w:rsidR="00393104" w:rsidP="00393104" w14:paraId="4B8A713B" w14:textId="77777777">
      <w:pPr>
        <w:pStyle w:val="FootnoteText"/>
      </w:pPr>
      <w:r w:rsidRPr="00B449E9">
        <w:rPr>
          <w:rStyle w:val="FootnoteReference"/>
          <w:rFonts w:ascii="Times New Roman" w:eastAsia="Tahoma" w:hAnsi="Times New Roman"/>
          <w:snapToGrid/>
          <w:kern w:val="1"/>
          <w:sz w:val="16"/>
          <w:szCs w:val="16"/>
        </w:rPr>
        <w:footnoteRef/>
      </w:r>
      <w:r w:rsidRPr="00B449E9">
        <w:rPr>
          <w:rStyle w:val="FootnoteReference"/>
          <w:rFonts w:ascii="Times New Roman" w:eastAsia="Tahoma" w:hAnsi="Times New Roman"/>
          <w:snapToGrid/>
          <w:kern w:val="1"/>
          <w:sz w:val="16"/>
          <w:szCs w:val="16"/>
        </w:rPr>
        <w:t xml:space="preserve"> </w:t>
      </w:r>
      <w:r w:rsidRPr="00B449E9">
        <w:rPr>
          <w:rFonts w:ascii="Times New Roman" w:eastAsia="Tahoma" w:hAnsi="Times New Roman"/>
          <w:snapToGrid/>
          <w:kern w:val="1"/>
          <w:sz w:val="16"/>
          <w:szCs w:val="16"/>
        </w:rPr>
        <w:t>TVAP is currently inclusive of three distinct award programs: the Trafficking Victim Assistance Program , Aspire: Child Trafficking Victim Assistance Demonstration Program, and Lighthouse: Services, Outreach, and Awareness for Labor Trafficking (Lighthouse) Demonstration Program. The performance indicators and data collection instruments under OMB #0970-0467 apply to all three TVAP programs.</w:t>
      </w:r>
    </w:p>
  </w:footnote>
  <w:footnote w:id="4">
    <w:p w:rsidR="005531B9" w:rsidRPr="00F31B3F" w:rsidP="005531B9" w14:paraId="36C62403" w14:textId="6E72A730">
      <w:pPr>
        <w:pStyle w:val="FootnoteText"/>
        <w:rPr>
          <w:rFonts w:ascii="Times New Roman" w:hAnsi="Times New Roman"/>
          <w:sz w:val="16"/>
          <w:szCs w:val="16"/>
        </w:rPr>
      </w:pPr>
      <w:r w:rsidRPr="00F31B3F">
        <w:rPr>
          <w:rStyle w:val="FootnoteReference"/>
          <w:rFonts w:ascii="Times New Roman" w:hAnsi="Times New Roman"/>
          <w:sz w:val="16"/>
          <w:szCs w:val="16"/>
        </w:rPr>
        <w:footnoteRef/>
      </w:r>
      <w:r w:rsidRPr="00F31B3F">
        <w:rPr>
          <w:rFonts w:ascii="Times New Roman" w:hAnsi="Times New Roman"/>
          <w:sz w:val="16"/>
          <w:szCs w:val="16"/>
        </w:rPr>
        <w:t xml:space="preserve"> The Council was established on May 29, 2015, in section 115 of the Justice for Victims of Trafficking Act of 2015, Pub. L. 114-22, also known as the Survivors of Human Trafficking Empowerment Act. In December 2019, June 2020, and January 2021, the President appointed members of the Council to provide advice and recommendations to the U.S. government, specifically the Senior Policy Operating Group (SPOG) and the P</w:t>
      </w:r>
      <w:r w:rsidR="007C6C97">
        <w:rPr>
          <w:rFonts w:ascii="Times New Roman" w:hAnsi="Times New Roman"/>
          <w:sz w:val="16"/>
          <w:szCs w:val="16"/>
        </w:rPr>
        <w:t>resident’s Interagency Task Force (PITF)</w:t>
      </w:r>
      <w:r w:rsidRPr="00F31B3F">
        <w:rPr>
          <w:rFonts w:ascii="Times New Roman" w:hAnsi="Times New Roman"/>
          <w:sz w:val="16"/>
          <w:szCs w:val="16"/>
        </w:rPr>
        <w:t xml:space="preserve">, to strengthen federal policy and programming efforts that reflect best practices in the anti-trafficking field; review federal U.S. government policy and programs intended to combat human trafficking, including programs relating to the provision of services for victims; serve as a point of contact for federal agencies reaching out to human trafficking survivors for input on anti-trafficking programming and policies in the United States; and represent the diverse population of human trafficking survivors across the United States, among other responsibilities. </w:t>
      </w:r>
    </w:p>
  </w:footnote>
  <w:footnote w:id="5">
    <w:p w:rsidR="000449E0" w:rsidRPr="00B449E9" w:rsidP="000449E0" w14:paraId="7DE70B2E" w14:textId="77777777">
      <w:pPr>
        <w:pStyle w:val="FootnoteText"/>
        <w:rPr>
          <w:rFonts w:ascii="Times New Roman" w:hAnsi="Times New Roman"/>
          <w:sz w:val="16"/>
          <w:szCs w:val="16"/>
        </w:rPr>
      </w:pPr>
      <w:r w:rsidRPr="00B449E9">
        <w:rPr>
          <w:rStyle w:val="FootnoteReference"/>
          <w:rFonts w:ascii="Times New Roman" w:hAnsi="Times New Roman"/>
          <w:sz w:val="16"/>
          <w:szCs w:val="16"/>
        </w:rPr>
        <w:footnoteRef/>
      </w:r>
      <w:r w:rsidRPr="00B449E9">
        <w:rPr>
          <w:rFonts w:ascii="Times New Roman" w:hAnsi="Times New Roman"/>
          <w:sz w:val="16"/>
          <w:szCs w:val="16"/>
        </w:rPr>
        <w:t xml:space="preserve"> A bona fide T visa application is different from an application receipt from USCIS/DHS. A bona fide T visa application is a formal notice from USCIS/DHS that the application has been through initial review and was found to be complete, properly filed, contains proper evidence, and is clear of fraud. An application receipt from USCIS/DHS does not make an individual eligible. A foreign national adult must have Continued Presence, a T Visa, or a bona fide T Visa application to request an HHS Certification letter. Additional information about bona fide determinations can be found on </w:t>
      </w:r>
      <w:hyperlink r:id="rId1" w:history="1">
        <w:r w:rsidRPr="00B449E9">
          <w:rPr>
            <w:rStyle w:val="Hyperlink"/>
            <w:rFonts w:ascii="Times New Roman" w:hAnsi="Times New Roman"/>
            <w:sz w:val="16"/>
            <w:szCs w:val="16"/>
          </w:rPr>
          <w:t>the USCIS website</w:t>
        </w:r>
      </w:hyperlink>
      <w:r w:rsidRPr="00B449E9">
        <w:rPr>
          <w:rFonts w:ascii="Times New Roman" w:hAnsi="Times New Roman"/>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0B4479"/>
    <w:multiLevelType w:val="hybridMultilevel"/>
    <w:tmpl w:val="4BB4C67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C6522C0"/>
    <w:multiLevelType w:val="hybridMultilevel"/>
    <w:tmpl w:val="9DE8718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1B1737A"/>
    <w:multiLevelType w:val="hybridMultilevel"/>
    <w:tmpl w:val="C172CCD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DB14303"/>
    <w:multiLevelType w:val="hybridMultilevel"/>
    <w:tmpl w:val="0E8A239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E31620E"/>
    <w:multiLevelType w:val="hybridMultilevel"/>
    <w:tmpl w:val="E4B6D96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246C7FC8"/>
    <w:multiLevelType w:val="hybridMultilevel"/>
    <w:tmpl w:val="E728998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51F4188"/>
    <w:multiLevelType w:val="multilevel"/>
    <w:tmpl w:val="A6827AE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Courier New" w:hint="default"/>
        <w:sz w:val="20"/>
      </w:rPr>
    </w:lvl>
    <w:lvl w:ilvl="2">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0">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D252DFC"/>
    <w:multiLevelType w:val="hybridMultilevel"/>
    <w:tmpl w:val="B03A48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52334818"/>
    <w:multiLevelType w:val="hybridMultilevel"/>
    <w:tmpl w:val="0170651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2">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73304017"/>
    <w:multiLevelType w:val="hybridMultilevel"/>
    <w:tmpl w:val="BFA497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511069992">
    <w:abstractNumId w:val="19"/>
  </w:num>
  <w:num w:numId="2" w16cid:durableId="659969074">
    <w:abstractNumId w:val="21"/>
  </w:num>
  <w:num w:numId="3" w16cid:durableId="415443585">
    <w:abstractNumId w:val="23"/>
  </w:num>
  <w:num w:numId="4" w16cid:durableId="2137940558">
    <w:abstractNumId w:val="13"/>
  </w:num>
  <w:num w:numId="5" w16cid:durableId="2125613965">
    <w:abstractNumId w:val="15"/>
  </w:num>
  <w:num w:numId="6" w16cid:durableId="415245434">
    <w:abstractNumId w:val="18"/>
  </w:num>
  <w:num w:numId="7" w16cid:durableId="255869168">
    <w:abstractNumId w:val="3"/>
  </w:num>
  <w:num w:numId="8" w16cid:durableId="1442799249">
    <w:abstractNumId w:val="17"/>
  </w:num>
  <w:num w:numId="9" w16cid:durableId="1584802606">
    <w:abstractNumId w:val="24"/>
  </w:num>
  <w:num w:numId="10" w16cid:durableId="30348657">
    <w:abstractNumId w:val="16"/>
  </w:num>
  <w:num w:numId="11" w16cid:durableId="797378184">
    <w:abstractNumId w:val="14"/>
  </w:num>
  <w:num w:numId="12" w16cid:durableId="1761490297">
    <w:abstractNumId w:val="0"/>
  </w:num>
  <w:num w:numId="13" w16cid:durableId="784663061">
    <w:abstractNumId w:val="27"/>
  </w:num>
  <w:num w:numId="14" w16cid:durableId="633558743">
    <w:abstractNumId w:val="1"/>
  </w:num>
  <w:num w:numId="15" w16cid:durableId="594822627">
    <w:abstractNumId w:val="10"/>
  </w:num>
  <w:num w:numId="16" w16cid:durableId="1348171755">
    <w:abstractNumId w:val="22"/>
  </w:num>
  <w:num w:numId="17" w16cid:durableId="2000880743">
    <w:abstractNumId w:val="28"/>
  </w:num>
  <w:num w:numId="18" w16cid:durableId="745878576">
    <w:abstractNumId w:val="11"/>
  </w:num>
  <w:num w:numId="19" w16cid:durableId="854998793">
    <w:abstractNumId w:val="30"/>
  </w:num>
  <w:num w:numId="20" w16cid:durableId="1796365964">
    <w:abstractNumId w:val="26"/>
  </w:num>
  <w:num w:numId="21" w16cid:durableId="1365256176">
    <w:abstractNumId w:val="6"/>
  </w:num>
  <w:num w:numId="22" w16cid:durableId="951976195">
    <w:abstractNumId w:val="29"/>
  </w:num>
  <w:num w:numId="23" w16cid:durableId="834686957">
    <w:abstractNumId w:val="2"/>
  </w:num>
  <w:num w:numId="24" w16cid:durableId="2021736158">
    <w:abstractNumId w:val="7"/>
  </w:num>
  <w:num w:numId="25" w16cid:durableId="292713439">
    <w:abstractNumId w:val="20"/>
  </w:num>
  <w:num w:numId="26" w16cid:durableId="676735184">
    <w:abstractNumId w:val="4"/>
  </w:num>
  <w:num w:numId="27" w16cid:durableId="1354070239">
    <w:abstractNumId w:val="5"/>
  </w:num>
  <w:num w:numId="28" w16cid:durableId="398524965">
    <w:abstractNumId w:val="25"/>
  </w:num>
  <w:num w:numId="29" w16cid:durableId="2098166829">
    <w:abstractNumId w:val="12"/>
  </w:num>
  <w:num w:numId="30" w16cid:durableId="1314673780">
    <w:abstractNumId w:val="8"/>
  </w:num>
  <w:num w:numId="31" w16cid:durableId="16310138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2A87"/>
    <w:rsid w:val="000048F8"/>
    <w:rsid w:val="000149D7"/>
    <w:rsid w:val="00022586"/>
    <w:rsid w:val="000449E0"/>
    <w:rsid w:val="00044B34"/>
    <w:rsid w:val="00052259"/>
    <w:rsid w:val="00055F10"/>
    <w:rsid w:val="00056C4B"/>
    <w:rsid w:val="000617B8"/>
    <w:rsid w:val="00075889"/>
    <w:rsid w:val="00082EE4"/>
    <w:rsid w:val="0009007E"/>
    <w:rsid w:val="00090B1A"/>
    <w:rsid w:val="00095E32"/>
    <w:rsid w:val="000A4104"/>
    <w:rsid w:val="000B577A"/>
    <w:rsid w:val="000B7A98"/>
    <w:rsid w:val="000D60D4"/>
    <w:rsid w:val="000E404E"/>
    <w:rsid w:val="000E4CCB"/>
    <w:rsid w:val="000F069F"/>
    <w:rsid w:val="00101269"/>
    <w:rsid w:val="00102200"/>
    <w:rsid w:val="001061F1"/>
    <w:rsid w:val="0010716D"/>
    <w:rsid w:val="0011065A"/>
    <w:rsid w:val="001239CE"/>
    <w:rsid w:val="001305F1"/>
    <w:rsid w:val="001337B5"/>
    <w:rsid w:val="00134E93"/>
    <w:rsid w:val="00134F28"/>
    <w:rsid w:val="0014145B"/>
    <w:rsid w:val="00160621"/>
    <w:rsid w:val="001706C0"/>
    <w:rsid w:val="00181D8B"/>
    <w:rsid w:val="00184451"/>
    <w:rsid w:val="00186385"/>
    <w:rsid w:val="00190869"/>
    <w:rsid w:val="001C483C"/>
    <w:rsid w:val="001C5506"/>
    <w:rsid w:val="001C5DCB"/>
    <w:rsid w:val="001C7FFE"/>
    <w:rsid w:val="001D1651"/>
    <w:rsid w:val="001F5A63"/>
    <w:rsid w:val="001F69F9"/>
    <w:rsid w:val="00211519"/>
    <w:rsid w:val="0021217D"/>
    <w:rsid w:val="0021229E"/>
    <w:rsid w:val="00222C7F"/>
    <w:rsid w:val="00226C42"/>
    <w:rsid w:val="00234235"/>
    <w:rsid w:val="00242434"/>
    <w:rsid w:val="002464EB"/>
    <w:rsid w:val="002509BD"/>
    <w:rsid w:val="00253BFA"/>
    <w:rsid w:val="00290A1C"/>
    <w:rsid w:val="00295554"/>
    <w:rsid w:val="0029589B"/>
    <w:rsid w:val="00296738"/>
    <w:rsid w:val="002A6418"/>
    <w:rsid w:val="002C3C4F"/>
    <w:rsid w:val="002C4F75"/>
    <w:rsid w:val="002E10D1"/>
    <w:rsid w:val="002E2976"/>
    <w:rsid w:val="002F6622"/>
    <w:rsid w:val="002F79E3"/>
    <w:rsid w:val="003031CB"/>
    <w:rsid w:val="00323519"/>
    <w:rsid w:val="003405A4"/>
    <w:rsid w:val="00354319"/>
    <w:rsid w:val="00355C99"/>
    <w:rsid w:val="0038209B"/>
    <w:rsid w:val="00393104"/>
    <w:rsid w:val="0039772D"/>
    <w:rsid w:val="003978E9"/>
    <w:rsid w:val="003A1496"/>
    <w:rsid w:val="003B7A50"/>
    <w:rsid w:val="003B7C69"/>
    <w:rsid w:val="003C0740"/>
    <w:rsid w:val="003C1D6E"/>
    <w:rsid w:val="003E6EA3"/>
    <w:rsid w:val="00402D24"/>
    <w:rsid w:val="00405C10"/>
    <w:rsid w:val="004110F5"/>
    <w:rsid w:val="004150DD"/>
    <w:rsid w:val="00422E1D"/>
    <w:rsid w:val="004311E0"/>
    <w:rsid w:val="00443964"/>
    <w:rsid w:val="00457F66"/>
    <w:rsid w:val="004602FE"/>
    <w:rsid w:val="00467954"/>
    <w:rsid w:val="004753BB"/>
    <w:rsid w:val="00476C1F"/>
    <w:rsid w:val="00480072"/>
    <w:rsid w:val="00482F36"/>
    <w:rsid w:val="0048701E"/>
    <w:rsid w:val="00490457"/>
    <w:rsid w:val="0049119A"/>
    <w:rsid w:val="004943E0"/>
    <w:rsid w:val="004C69E1"/>
    <w:rsid w:val="004D47FD"/>
    <w:rsid w:val="004E2CA4"/>
    <w:rsid w:val="004E73EF"/>
    <w:rsid w:val="004F45CE"/>
    <w:rsid w:val="004F7B95"/>
    <w:rsid w:val="0051278C"/>
    <w:rsid w:val="005205D7"/>
    <w:rsid w:val="00521F78"/>
    <w:rsid w:val="00522C18"/>
    <w:rsid w:val="005242CB"/>
    <w:rsid w:val="0053098A"/>
    <w:rsid w:val="00537028"/>
    <w:rsid w:val="00540554"/>
    <w:rsid w:val="00541E51"/>
    <w:rsid w:val="0054306F"/>
    <w:rsid w:val="005520C3"/>
    <w:rsid w:val="005531B9"/>
    <w:rsid w:val="00556056"/>
    <w:rsid w:val="00557510"/>
    <w:rsid w:val="00564BFA"/>
    <w:rsid w:val="00565708"/>
    <w:rsid w:val="00570FEC"/>
    <w:rsid w:val="00571FBA"/>
    <w:rsid w:val="00580198"/>
    <w:rsid w:val="005824BD"/>
    <w:rsid w:val="00583613"/>
    <w:rsid w:val="00585128"/>
    <w:rsid w:val="00591B16"/>
    <w:rsid w:val="00597E7F"/>
    <w:rsid w:val="005A6D3E"/>
    <w:rsid w:val="005B00FC"/>
    <w:rsid w:val="005B22D4"/>
    <w:rsid w:val="005B43A6"/>
    <w:rsid w:val="005C60F1"/>
    <w:rsid w:val="005C79DA"/>
    <w:rsid w:val="005D1B7E"/>
    <w:rsid w:val="005D274E"/>
    <w:rsid w:val="005D61DB"/>
    <w:rsid w:val="005E0299"/>
    <w:rsid w:val="005E0B35"/>
    <w:rsid w:val="005E17E7"/>
    <w:rsid w:val="005E3493"/>
    <w:rsid w:val="005F0ED4"/>
    <w:rsid w:val="005F1DFC"/>
    <w:rsid w:val="005F797B"/>
    <w:rsid w:val="00601253"/>
    <w:rsid w:val="00603498"/>
    <w:rsid w:val="006121D2"/>
    <w:rsid w:val="00616503"/>
    <w:rsid w:val="0062455B"/>
    <w:rsid w:val="006307B0"/>
    <w:rsid w:val="006335B7"/>
    <w:rsid w:val="00634E1D"/>
    <w:rsid w:val="00637E44"/>
    <w:rsid w:val="00640565"/>
    <w:rsid w:val="00651F0F"/>
    <w:rsid w:val="006529F9"/>
    <w:rsid w:val="0066070A"/>
    <w:rsid w:val="00681E38"/>
    <w:rsid w:val="006837D6"/>
    <w:rsid w:val="00683974"/>
    <w:rsid w:val="00683D1A"/>
    <w:rsid w:val="00694A6A"/>
    <w:rsid w:val="006965EA"/>
    <w:rsid w:val="006A1AE8"/>
    <w:rsid w:val="006B0393"/>
    <w:rsid w:val="006B062C"/>
    <w:rsid w:val="006B1006"/>
    <w:rsid w:val="006B2726"/>
    <w:rsid w:val="006B7CA0"/>
    <w:rsid w:val="006D1643"/>
    <w:rsid w:val="006D7189"/>
    <w:rsid w:val="006E21AE"/>
    <w:rsid w:val="006E6629"/>
    <w:rsid w:val="006F589F"/>
    <w:rsid w:val="006F68BE"/>
    <w:rsid w:val="00706813"/>
    <w:rsid w:val="00707AFB"/>
    <w:rsid w:val="00723320"/>
    <w:rsid w:val="00750769"/>
    <w:rsid w:val="0075353B"/>
    <w:rsid w:val="00762C40"/>
    <w:rsid w:val="007675E5"/>
    <w:rsid w:val="00786793"/>
    <w:rsid w:val="0078723F"/>
    <w:rsid w:val="00790D2C"/>
    <w:rsid w:val="007935D5"/>
    <w:rsid w:val="00795E5D"/>
    <w:rsid w:val="007A0FBE"/>
    <w:rsid w:val="007A4200"/>
    <w:rsid w:val="007A5ED4"/>
    <w:rsid w:val="007C25A0"/>
    <w:rsid w:val="007C6C97"/>
    <w:rsid w:val="007D6C88"/>
    <w:rsid w:val="007E076C"/>
    <w:rsid w:val="007E48CC"/>
    <w:rsid w:val="007E693F"/>
    <w:rsid w:val="007F3C7D"/>
    <w:rsid w:val="007F4A6C"/>
    <w:rsid w:val="0080325F"/>
    <w:rsid w:val="00813701"/>
    <w:rsid w:val="00817E2B"/>
    <w:rsid w:val="00835EF6"/>
    <w:rsid w:val="008364E2"/>
    <w:rsid w:val="00841BC2"/>
    <w:rsid w:val="00841BDF"/>
    <w:rsid w:val="00842EC9"/>
    <w:rsid w:val="0084444B"/>
    <w:rsid w:val="0084609A"/>
    <w:rsid w:val="00846E18"/>
    <w:rsid w:val="008529A6"/>
    <w:rsid w:val="008653B7"/>
    <w:rsid w:val="00880F04"/>
    <w:rsid w:val="008900A8"/>
    <w:rsid w:val="0089457A"/>
    <w:rsid w:val="008955AC"/>
    <w:rsid w:val="008A2CAF"/>
    <w:rsid w:val="008C5811"/>
    <w:rsid w:val="008D010D"/>
    <w:rsid w:val="008F7221"/>
    <w:rsid w:val="00903600"/>
    <w:rsid w:val="009113FF"/>
    <w:rsid w:val="0092150B"/>
    <w:rsid w:val="009229B4"/>
    <w:rsid w:val="009237E7"/>
    <w:rsid w:val="00926B4B"/>
    <w:rsid w:val="009348C7"/>
    <w:rsid w:val="00936A53"/>
    <w:rsid w:val="00940773"/>
    <w:rsid w:val="00941780"/>
    <w:rsid w:val="00942C50"/>
    <w:rsid w:val="009451B1"/>
    <w:rsid w:val="00945AD0"/>
    <w:rsid w:val="00945B72"/>
    <w:rsid w:val="00953D01"/>
    <w:rsid w:val="00957799"/>
    <w:rsid w:val="00961443"/>
    <w:rsid w:val="00961E1B"/>
    <w:rsid w:val="00962045"/>
    <w:rsid w:val="00966622"/>
    <w:rsid w:val="00973CB6"/>
    <w:rsid w:val="00995B8B"/>
    <w:rsid w:val="009A2F1D"/>
    <w:rsid w:val="009B206D"/>
    <w:rsid w:val="009B4687"/>
    <w:rsid w:val="009C2DE1"/>
    <w:rsid w:val="009C350B"/>
    <w:rsid w:val="009C50F3"/>
    <w:rsid w:val="009C5213"/>
    <w:rsid w:val="009C77E2"/>
    <w:rsid w:val="009D0E4E"/>
    <w:rsid w:val="009D2C4A"/>
    <w:rsid w:val="009D3EB2"/>
    <w:rsid w:val="009D789F"/>
    <w:rsid w:val="009E6157"/>
    <w:rsid w:val="009F297F"/>
    <w:rsid w:val="009F3BC8"/>
    <w:rsid w:val="009F4364"/>
    <w:rsid w:val="009F5543"/>
    <w:rsid w:val="009F5835"/>
    <w:rsid w:val="009F58E1"/>
    <w:rsid w:val="00A02C3D"/>
    <w:rsid w:val="00A04EF3"/>
    <w:rsid w:val="00A05B31"/>
    <w:rsid w:val="00A160B5"/>
    <w:rsid w:val="00A168E5"/>
    <w:rsid w:val="00A2523F"/>
    <w:rsid w:val="00A25B89"/>
    <w:rsid w:val="00A37A52"/>
    <w:rsid w:val="00A456D8"/>
    <w:rsid w:val="00A5296A"/>
    <w:rsid w:val="00A61AC0"/>
    <w:rsid w:val="00A77AC0"/>
    <w:rsid w:val="00A918E4"/>
    <w:rsid w:val="00A92A82"/>
    <w:rsid w:val="00A96445"/>
    <w:rsid w:val="00AA7B9B"/>
    <w:rsid w:val="00AB0DB8"/>
    <w:rsid w:val="00AC6554"/>
    <w:rsid w:val="00AC6F53"/>
    <w:rsid w:val="00AD1254"/>
    <w:rsid w:val="00AD3C69"/>
    <w:rsid w:val="00AD5ED7"/>
    <w:rsid w:val="00AD664F"/>
    <w:rsid w:val="00AE287F"/>
    <w:rsid w:val="00AE4BF3"/>
    <w:rsid w:val="00AF1746"/>
    <w:rsid w:val="00AF2391"/>
    <w:rsid w:val="00AF33A0"/>
    <w:rsid w:val="00AF399C"/>
    <w:rsid w:val="00AF4347"/>
    <w:rsid w:val="00AF5FE7"/>
    <w:rsid w:val="00B14349"/>
    <w:rsid w:val="00B20E24"/>
    <w:rsid w:val="00B24039"/>
    <w:rsid w:val="00B24519"/>
    <w:rsid w:val="00B26DA6"/>
    <w:rsid w:val="00B27347"/>
    <w:rsid w:val="00B277BF"/>
    <w:rsid w:val="00B449E9"/>
    <w:rsid w:val="00B573BD"/>
    <w:rsid w:val="00B57AB7"/>
    <w:rsid w:val="00B75A1A"/>
    <w:rsid w:val="00B84243"/>
    <w:rsid w:val="00B84BFD"/>
    <w:rsid w:val="00B90C94"/>
    <w:rsid w:val="00B95E91"/>
    <w:rsid w:val="00BA3EAB"/>
    <w:rsid w:val="00BD378C"/>
    <w:rsid w:val="00BE45B2"/>
    <w:rsid w:val="00BE46E8"/>
    <w:rsid w:val="00BE6980"/>
    <w:rsid w:val="00BF6B41"/>
    <w:rsid w:val="00C02282"/>
    <w:rsid w:val="00C02B78"/>
    <w:rsid w:val="00C13BA6"/>
    <w:rsid w:val="00C16763"/>
    <w:rsid w:val="00C22D3C"/>
    <w:rsid w:val="00C30F2D"/>
    <w:rsid w:val="00C605F3"/>
    <w:rsid w:val="00C71220"/>
    <w:rsid w:val="00C722D0"/>
    <w:rsid w:val="00C822D8"/>
    <w:rsid w:val="00C84ED2"/>
    <w:rsid w:val="00C87D2D"/>
    <w:rsid w:val="00CA56E6"/>
    <w:rsid w:val="00CA66BD"/>
    <w:rsid w:val="00CB1A12"/>
    <w:rsid w:val="00CC728B"/>
    <w:rsid w:val="00CE08E9"/>
    <w:rsid w:val="00CE467E"/>
    <w:rsid w:val="00CE53AB"/>
    <w:rsid w:val="00CE6182"/>
    <w:rsid w:val="00D02EF1"/>
    <w:rsid w:val="00D06F34"/>
    <w:rsid w:val="00D128B1"/>
    <w:rsid w:val="00D1657E"/>
    <w:rsid w:val="00D176EB"/>
    <w:rsid w:val="00D203FE"/>
    <w:rsid w:val="00D2557A"/>
    <w:rsid w:val="00D279CE"/>
    <w:rsid w:val="00D344B2"/>
    <w:rsid w:val="00D372F8"/>
    <w:rsid w:val="00D42914"/>
    <w:rsid w:val="00D449F2"/>
    <w:rsid w:val="00D47D9A"/>
    <w:rsid w:val="00D60543"/>
    <w:rsid w:val="00D6071E"/>
    <w:rsid w:val="00D63101"/>
    <w:rsid w:val="00D67D80"/>
    <w:rsid w:val="00D70298"/>
    <w:rsid w:val="00D7443D"/>
    <w:rsid w:val="00D806D3"/>
    <w:rsid w:val="00D82A95"/>
    <w:rsid w:val="00D9204C"/>
    <w:rsid w:val="00D9648C"/>
    <w:rsid w:val="00D9720E"/>
    <w:rsid w:val="00DA10CE"/>
    <w:rsid w:val="00DA4FB6"/>
    <w:rsid w:val="00DB2443"/>
    <w:rsid w:val="00DB2622"/>
    <w:rsid w:val="00DC1C23"/>
    <w:rsid w:val="00DC60C9"/>
    <w:rsid w:val="00DC7A6C"/>
    <w:rsid w:val="00DE529D"/>
    <w:rsid w:val="00DF2597"/>
    <w:rsid w:val="00DF5615"/>
    <w:rsid w:val="00E01B4E"/>
    <w:rsid w:val="00E13B9D"/>
    <w:rsid w:val="00E24CDC"/>
    <w:rsid w:val="00E26721"/>
    <w:rsid w:val="00E368FB"/>
    <w:rsid w:val="00E4168D"/>
    <w:rsid w:val="00E4383A"/>
    <w:rsid w:val="00E51F14"/>
    <w:rsid w:val="00E6513D"/>
    <w:rsid w:val="00E67B74"/>
    <w:rsid w:val="00E720F0"/>
    <w:rsid w:val="00E83BA5"/>
    <w:rsid w:val="00EB104A"/>
    <w:rsid w:val="00EB6D88"/>
    <w:rsid w:val="00EC26A5"/>
    <w:rsid w:val="00EC698B"/>
    <w:rsid w:val="00EC6B94"/>
    <w:rsid w:val="00ED28BE"/>
    <w:rsid w:val="00ED782E"/>
    <w:rsid w:val="00EF669B"/>
    <w:rsid w:val="00F02021"/>
    <w:rsid w:val="00F10AC8"/>
    <w:rsid w:val="00F10B17"/>
    <w:rsid w:val="00F210CA"/>
    <w:rsid w:val="00F31B3F"/>
    <w:rsid w:val="00F34E40"/>
    <w:rsid w:val="00F35740"/>
    <w:rsid w:val="00F51062"/>
    <w:rsid w:val="00F553E6"/>
    <w:rsid w:val="00F610F3"/>
    <w:rsid w:val="00F7342E"/>
    <w:rsid w:val="00F83116"/>
    <w:rsid w:val="00F92358"/>
    <w:rsid w:val="00FA5092"/>
    <w:rsid w:val="00FA53A3"/>
    <w:rsid w:val="00FB1A75"/>
    <w:rsid w:val="00FB4221"/>
    <w:rsid w:val="00FB7547"/>
    <w:rsid w:val="00FD5FB6"/>
    <w:rsid w:val="00FE0FDC"/>
    <w:rsid w:val="00FE2320"/>
    <w:rsid w:val="00FF7C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Pr>
      <w:sz w:val="24"/>
    </w:rPr>
  </w:style>
  <w:style w:type="character" w:styleId="EndnoteReference">
    <w:name w:val="endnote reference"/>
    <w:uiPriority w:val="99"/>
    <w:semiHidden/>
    <w:rPr>
      <w:vertAlign w:val="superscript"/>
    </w:rPr>
  </w:style>
  <w:style w:type="paragraph" w:styleId="FootnoteText">
    <w:name w:val="footnote text"/>
    <w:basedOn w:val="Normal"/>
    <w:link w:val="FootnoteTextChar"/>
    <w:uiPriority w:val="99"/>
    <w:rPr>
      <w:sz w:val="24"/>
    </w:rPr>
  </w:style>
  <w:style w:type="character" w:styleId="FootnoteReference">
    <w:name w:val="footnote reference"/>
    <w:uiPriority w:val="99"/>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uiPriority w:val="99"/>
    <w:rsid w:val="00790D2C"/>
    <w:rPr>
      <w:sz w:val="16"/>
      <w:szCs w:val="16"/>
    </w:rPr>
  </w:style>
  <w:style w:type="paragraph" w:styleId="CommentText">
    <w:name w:val="annotation text"/>
    <w:basedOn w:val="Normal"/>
    <w:link w:val="CommentTextChar"/>
    <w:uiPriority w:val="99"/>
    <w:rsid w:val="00790D2C"/>
  </w:style>
  <w:style w:type="character" w:customStyle="1" w:styleId="CommentTextChar">
    <w:name w:val="Comment Text Char"/>
    <w:link w:val="CommentText"/>
    <w:uiPriority w:val="99"/>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link w:val="ListParagraphChar"/>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UnresolvedMention">
    <w:name w:val="Unresolved Mention"/>
    <w:basedOn w:val="DefaultParagraphFont"/>
    <w:uiPriority w:val="99"/>
    <w:semiHidden/>
    <w:unhideWhenUsed/>
    <w:rsid w:val="00B90C94"/>
    <w:rPr>
      <w:color w:val="605E5C"/>
      <w:shd w:val="clear" w:color="auto" w:fill="E1DFDD"/>
    </w:rPr>
  </w:style>
  <w:style w:type="character" w:customStyle="1" w:styleId="ListParagraphChar">
    <w:name w:val="List Paragraph Char"/>
    <w:link w:val="ListParagraph"/>
    <w:uiPriority w:val="34"/>
    <w:locked/>
    <w:rsid w:val="008D010D"/>
    <w:rPr>
      <w:rFonts w:ascii="Courier New" w:hAnsi="Courier New"/>
      <w:snapToGrid w:val="0"/>
    </w:rPr>
  </w:style>
  <w:style w:type="character" w:customStyle="1" w:styleId="EndnoteTextChar">
    <w:name w:val="Endnote Text Char"/>
    <w:basedOn w:val="DefaultParagraphFont"/>
    <w:link w:val="EndnoteText"/>
    <w:uiPriority w:val="99"/>
    <w:semiHidden/>
    <w:rsid w:val="00CA56E6"/>
    <w:rPr>
      <w:rFonts w:ascii="Courier New" w:hAnsi="Courier New"/>
      <w:snapToGrid w:val="0"/>
      <w:sz w:val="24"/>
    </w:rPr>
  </w:style>
  <w:style w:type="paragraph" w:customStyle="1" w:styleId="m5565226157187300276msolistparagraph">
    <w:name w:val="m_5565226157187300276msolistparagraph"/>
    <w:basedOn w:val="Normal"/>
    <w:rsid w:val="00AD1254"/>
    <w:pPr>
      <w:widowControl/>
      <w:spacing w:before="100" w:beforeAutospacing="1" w:after="100" w:afterAutospacing="1"/>
    </w:pPr>
    <w:rPr>
      <w:rFonts w:ascii="Calibri" w:hAnsi="Calibri" w:eastAsiaTheme="minorHAnsi" w:cs="Calibri"/>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file://acffs03.itsc.hhs-itsc.local/opre/OD/PRA/ICs/ACF%20Information%20Collections/970-542/NonSub%20Change%20-%20SOGI%20Qs/acf.hhs.gov/otip/training/nhttac" TargetMode="External" /><Relationship Id="rId11" Type="http://schemas.openxmlformats.org/officeDocument/2006/relationships/hyperlink" Target="https://www.acf.hhs.gov/otip/training/nhttac/human-trafficking-leadership-academy" TargetMode="External" /><Relationship Id="rId12" Type="http://schemas.openxmlformats.org/officeDocument/2006/relationships/hyperlink" Target="https://nap.nationalacademies.org/read/26424/chapter/1" TargetMode="External" /><Relationship Id="rId13" Type="http://schemas.openxmlformats.org/officeDocument/2006/relationships/hyperlink" Target="https://www.state.gov/united-states-advisory-council-on-human-trafficking-annual-report-2021/" TargetMode="External" /><Relationship Id="rId14" Type="http://schemas.openxmlformats.org/officeDocument/2006/relationships/hyperlink" Target="https://www.state.gov/united-states-advisory-council-on-human-trafficking-annual-report-2022/" TargetMode="External" /><Relationship Id="rId15" Type="http://schemas.openxmlformats.org/officeDocument/2006/relationships/hyperlink" Target="https://www.bls.gov/oes/current/oes_stru.htm" TargetMode="Externa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uscis.gov/policy-manual/volume-3-part-c-chapter-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4" ma:contentTypeDescription="Create a new document." ma:contentTypeScope="" ma:versionID="c89e24a5d450660e153ef0923be5bf49">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cd5852d7f42fa5e780a4c6529a6cfd0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2.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E35FA16-FF5C-4FB4-A694-75C1840B7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010647-A343-4519-BBF8-466C8954E5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4100</Words>
  <Characters>23372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Soto, Vera J. (ACF)</cp:lastModifiedBy>
  <cp:revision>7</cp:revision>
  <dcterms:created xsi:type="dcterms:W3CDTF">2023-10-26T19:53:00Z</dcterms:created>
  <dcterms:modified xsi:type="dcterms:W3CDTF">2023-10-26T20:00:00Z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