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3A3276" w:rsidP="00A42C71" w14:paraId="273DC749" w14:textId="77777777">
      <w:pPr>
        <w:pStyle w:val="ReportCover-Title"/>
        <w:jc w:val="center"/>
        <w:rPr>
          <w:rFonts w:eastAsia="Arial Unicode MS" w:asciiTheme="minorHAnsi" w:hAnsiTheme="minorHAnsi" w:cstheme="minorHAnsi"/>
          <w:noProof/>
          <w:color w:val="auto"/>
        </w:rPr>
      </w:pPr>
    </w:p>
    <w:p w:rsidR="00595D0C" w:rsidRPr="003A3276" w:rsidP="00595D0C" w14:paraId="72333A05" w14:textId="1AC03D03">
      <w:pPr>
        <w:pStyle w:val="ReportCover-Title"/>
        <w:jc w:val="center"/>
        <w:rPr>
          <w:rFonts w:eastAsia="Arial Unicode MS" w:asciiTheme="minorHAnsi" w:hAnsiTheme="minorHAnsi" w:cstheme="minorHAnsi"/>
          <w:noProof/>
          <w:color w:val="auto"/>
        </w:rPr>
      </w:pPr>
      <w:r w:rsidRPr="003A3276">
        <w:rPr>
          <w:rFonts w:eastAsia="Arial Unicode MS" w:asciiTheme="minorHAnsi" w:hAnsiTheme="minorHAnsi" w:cstheme="minorHAnsi"/>
          <w:noProof/>
          <w:color w:val="auto"/>
        </w:rPr>
        <w:t>Sexual Risk Avoidance Education Program Performance Analysis Study</w:t>
      </w:r>
    </w:p>
    <w:p w:rsidR="00A42C71" w:rsidRPr="003A3276" w:rsidP="00595D0C" w14:paraId="7CB5189A" w14:textId="3245CA74">
      <w:pPr>
        <w:pStyle w:val="ReportCover-Title"/>
        <w:jc w:val="center"/>
        <w:rPr>
          <w:rFonts w:asciiTheme="minorHAnsi" w:hAnsiTheme="minorHAnsi" w:cstheme="minorHAnsi"/>
          <w:color w:val="auto"/>
        </w:rPr>
      </w:pPr>
      <w:r w:rsidRPr="003A3276">
        <w:rPr>
          <w:rFonts w:eastAsia="Arial Unicode MS" w:asciiTheme="minorHAnsi" w:hAnsiTheme="minorHAnsi" w:cstheme="minorHAnsi"/>
          <w:noProof/>
          <w:color w:val="auto"/>
        </w:rPr>
        <w:t>(SRAE PAS)</w:t>
      </w:r>
    </w:p>
    <w:p w:rsidR="00A42C71" w:rsidRPr="003A3276" w:rsidP="00A42C71" w14:paraId="4A7DBF2F" w14:textId="77777777">
      <w:pPr>
        <w:pStyle w:val="ReportCover-Title"/>
        <w:rPr>
          <w:rFonts w:asciiTheme="minorHAnsi" w:hAnsiTheme="minorHAnsi" w:cstheme="minorHAnsi"/>
          <w:color w:val="auto"/>
        </w:rPr>
      </w:pPr>
    </w:p>
    <w:p w:rsidR="00A42C71" w:rsidRPr="003A3276" w:rsidP="00A42C71" w14:paraId="551C5600" w14:textId="77777777">
      <w:pPr>
        <w:pStyle w:val="ReportCover-Title"/>
        <w:rPr>
          <w:rFonts w:asciiTheme="minorHAnsi" w:hAnsiTheme="minorHAnsi" w:cstheme="minorHAnsi"/>
          <w:color w:val="auto"/>
        </w:rPr>
      </w:pPr>
    </w:p>
    <w:p w:rsidR="00A42C71" w:rsidRPr="003A3276" w:rsidP="00A42C71" w14:paraId="3B1C155E" w14:textId="77777777">
      <w:pPr>
        <w:pStyle w:val="ReportCover-Title"/>
        <w:jc w:val="center"/>
        <w:rPr>
          <w:rFonts w:asciiTheme="minorHAnsi" w:hAnsiTheme="minorHAnsi" w:cstheme="minorHAnsi"/>
          <w:color w:val="auto"/>
          <w:sz w:val="32"/>
          <w:szCs w:val="32"/>
        </w:rPr>
      </w:pPr>
      <w:r w:rsidRPr="003A3276">
        <w:rPr>
          <w:rFonts w:asciiTheme="minorHAnsi" w:hAnsiTheme="minorHAnsi" w:cstheme="minorHAnsi"/>
          <w:color w:val="auto"/>
          <w:sz w:val="32"/>
          <w:szCs w:val="32"/>
        </w:rPr>
        <w:t>OMB Information Collection Request</w:t>
      </w:r>
    </w:p>
    <w:p w:rsidR="00A42C71" w:rsidRPr="003A3276" w:rsidP="00A42C71" w14:paraId="3F6C890C" w14:textId="1553743C">
      <w:pPr>
        <w:pStyle w:val="ReportCover-Title"/>
        <w:jc w:val="center"/>
        <w:rPr>
          <w:rFonts w:asciiTheme="minorHAnsi" w:hAnsiTheme="minorHAnsi" w:cstheme="minorHAnsi"/>
          <w:color w:val="auto"/>
          <w:sz w:val="32"/>
          <w:szCs w:val="32"/>
        </w:rPr>
      </w:pPr>
      <w:r w:rsidRPr="003A3276">
        <w:rPr>
          <w:rFonts w:asciiTheme="minorHAnsi" w:hAnsiTheme="minorHAnsi" w:cstheme="minorHAnsi"/>
          <w:color w:val="auto"/>
          <w:sz w:val="32"/>
          <w:szCs w:val="32"/>
        </w:rPr>
        <w:t>0970-</w:t>
      </w:r>
      <w:r w:rsidRPr="003A3276" w:rsidR="00595D0C">
        <w:rPr>
          <w:rFonts w:asciiTheme="minorHAnsi" w:hAnsiTheme="minorHAnsi" w:cstheme="minorHAnsi"/>
          <w:color w:val="auto"/>
          <w:sz w:val="32"/>
          <w:szCs w:val="32"/>
        </w:rPr>
        <w:t>0536</w:t>
      </w:r>
    </w:p>
    <w:p w:rsidR="00A42C71" w:rsidRPr="003A3276" w:rsidP="00A42C71" w14:paraId="41D2594A" w14:textId="77777777">
      <w:pPr>
        <w:spacing w:after="0"/>
        <w:rPr>
          <w:rFonts w:cstheme="minorHAnsi"/>
        </w:rPr>
      </w:pPr>
    </w:p>
    <w:p w:rsidR="00A42C71" w:rsidRPr="003A3276" w:rsidP="00A42C71" w14:paraId="3DB8541C" w14:textId="77777777">
      <w:pPr>
        <w:pStyle w:val="ReportCover-Date"/>
        <w:spacing w:after="0"/>
        <w:jc w:val="center"/>
        <w:rPr>
          <w:rFonts w:asciiTheme="minorHAnsi" w:hAnsiTheme="minorHAnsi" w:cstheme="minorHAnsi"/>
          <w:color w:val="auto"/>
        </w:rPr>
      </w:pPr>
    </w:p>
    <w:p w:rsidR="00A42C71" w:rsidRPr="003A3276" w:rsidP="00A42C71" w14:paraId="637F830C" w14:textId="77777777">
      <w:pPr>
        <w:pStyle w:val="ReportCover-Date"/>
        <w:spacing w:after="0"/>
        <w:jc w:val="center"/>
        <w:rPr>
          <w:rFonts w:asciiTheme="minorHAnsi" w:hAnsiTheme="minorHAnsi" w:cstheme="minorHAnsi"/>
          <w:color w:val="auto"/>
        </w:rPr>
      </w:pPr>
    </w:p>
    <w:p w:rsidR="00A42C71" w:rsidRPr="003A3276" w:rsidP="00A42C71" w14:paraId="2DD34B23" w14:textId="77777777">
      <w:pPr>
        <w:pStyle w:val="ReportCover-Date"/>
        <w:spacing w:after="0"/>
        <w:jc w:val="center"/>
        <w:rPr>
          <w:rFonts w:asciiTheme="minorHAnsi" w:hAnsiTheme="minorHAnsi" w:cstheme="minorHAnsi"/>
          <w:color w:val="auto"/>
        </w:rPr>
      </w:pPr>
    </w:p>
    <w:p w:rsidR="00A42C71" w:rsidRPr="003A327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3A3276">
        <w:rPr>
          <w:rFonts w:asciiTheme="minorHAnsi" w:hAnsiTheme="minorHAnsi" w:cstheme="minorHAnsi"/>
          <w:color w:val="auto"/>
          <w:sz w:val="48"/>
          <w:szCs w:val="48"/>
        </w:rPr>
        <w:t>Supporting Statement</w:t>
      </w:r>
    </w:p>
    <w:p w:rsidR="00A42C71" w:rsidRPr="003A327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3A3276">
        <w:rPr>
          <w:rFonts w:asciiTheme="minorHAnsi" w:hAnsiTheme="minorHAnsi" w:cstheme="minorHAnsi"/>
          <w:color w:val="auto"/>
          <w:sz w:val="48"/>
          <w:szCs w:val="48"/>
        </w:rPr>
        <w:t>Part B</w:t>
      </w:r>
    </w:p>
    <w:p w:rsidR="00A42C71"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B247CE" w:rsidRPr="00084D98" w:rsidP="00B247CE" w14:paraId="32D94413" w14:textId="77777777">
      <w:pPr>
        <w:jc w:val="center"/>
        <w:rPr>
          <w:rFonts w:ascii="Arial" w:hAnsi="Arial" w:cs="Arial"/>
          <w:b/>
          <w:bCs/>
          <w:sz w:val="32"/>
          <w:szCs w:val="32"/>
        </w:rPr>
      </w:pPr>
      <w:r w:rsidRPr="00084D98">
        <w:rPr>
          <w:rFonts w:ascii="Arial" w:hAnsi="Arial" w:cs="Arial"/>
          <w:b/>
          <w:bCs/>
          <w:sz w:val="32"/>
          <w:szCs w:val="32"/>
        </w:rPr>
        <w:t>Type of Request</w:t>
      </w:r>
      <w:r>
        <w:rPr>
          <w:rFonts w:ascii="Arial" w:hAnsi="Arial" w:cs="Arial"/>
          <w:b/>
          <w:bCs/>
          <w:sz w:val="32"/>
          <w:szCs w:val="32"/>
        </w:rPr>
        <w:t>:</w:t>
      </w:r>
      <w:r w:rsidRPr="00084D98">
        <w:rPr>
          <w:rFonts w:ascii="Arial" w:hAnsi="Arial" w:cs="Arial"/>
          <w:sz w:val="32"/>
          <w:szCs w:val="32"/>
        </w:rPr>
        <w:t xml:space="preserve"> Extension</w:t>
      </w:r>
    </w:p>
    <w:p w:rsidR="00A42C71" w:rsidRPr="003A327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06FF2" w:rsidRPr="009D4410" w:rsidP="00A06FF2" w14:paraId="69D9AD1C" w14:textId="77777777">
      <w:pPr>
        <w:spacing w:after="0" w:line="240" w:lineRule="auto"/>
        <w:jc w:val="center"/>
        <w:rPr>
          <w:rFonts w:ascii="Arial" w:hAnsi="Arial" w:cs="Arial"/>
          <w:sz w:val="28"/>
          <w:szCs w:val="28"/>
        </w:rPr>
      </w:pPr>
      <w:r>
        <w:rPr>
          <w:rFonts w:cstheme="minorHAnsi"/>
        </w:rPr>
        <w:t xml:space="preserve"> </w:t>
      </w:r>
      <w:r w:rsidRPr="009D4410">
        <w:rPr>
          <w:rFonts w:ascii="Arial" w:hAnsi="Arial" w:cs="Arial"/>
          <w:sz w:val="28"/>
          <w:szCs w:val="28"/>
        </w:rPr>
        <w:t>November 2024</w:t>
      </w:r>
    </w:p>
    <w:p w:rsidR="00A42C71" w:rsidRPr="003A3276" w:rsidP="00A42C71" w14:paraId="0850FD2E" w14:textId="77777777">
      <w:pPr>
        <w:pStyle w:val="ReportCover-Date"/>
        <w:spacing w:after="0"/>
        <w:jc w:val="center"/>
        <w:rPr>
          <w:rFonts w:asciiTheme="minorHAnsi" w:hAnsiTheme="minorHAnsi" w:cstheme="minorHAnsi"/>
          <w:color w:val="auto"/>
        </w:rPr>
      </w:pPr>
    </w:p>
    <w:p w:rsidR="00A42C71" w:rsidRPr="003A3276" w:rsidP="00A42C71" w14:paraId="3A5BBBCE" w14:textId="77777777">
      <w:pPr>
        <w:pStyle w:val="ReportCover-Date"/>
        <w:spacing w:after="0"/>
        <w:jc w:val="center"/>
        <w:rPr>
          <w:rFonts w:asciiTheme="minorHAnsi" w:hAnsiTheme="minorHAnsi" w:cstheme="minorHAnsi"/>
          <w:color w:val="auto"/>
        </w:rPr>
      </w:pPr>
    </w:p>
    <w:p w:rsidR="00A42C71" w:rsidRPr="003A3276" w:rsidP="00A42C71" w14:paraId="6C4099E3" w14:textId="77777777">
      <w:pPr>
        <w:pStyle w:val="ReportCover-Date"/>
        <w:spacing w:after="0"/>
        <w:jc w:val="center"/>
        <w:rPr>
          <w:rFonts w:asciiTheme="minorHAnsi" w:hAnsiTheme="minorHAnsi" w:cstheme="minorHAnsi"/>
          <w:color w:val="auto"/>
        </w:rPr>
      </w:pPr>
    </w:p>
    <w:p w:rsidR="00A42C71" w:rsidRPr="003A3276" w:rsidP="00A42C71" w14:paraId="055C8152" w14:textId="77777777">
      <w:pPr>
        <w:pStyle w:val="ReportCover-Date"/>
        <w:spacing w:after="0"/>
        <w:jc w:val="center"/>
        <w:rPr>
          <w:rFonts w:asciiTheme="minorHAnsi" w:hAnsiTheme="minorHAnsi" w:cstheme="minorHAnsi"/>
          <w:color w:val="auto"/>
        </w:rPr>
      </w:pPr>
    </w:p>
    <w:p w:rsidR="00A42C71" w:rsidRPr="003A3276" w:rsidP="00A42C71" w14:paraId="48D9D0F9" w14:textId="77777777">
      <w:pPr>
        <w:pStyle w:val="ReportCover-Date"/>
        <w:spacing w:after="0"/>
        <w:jc w:val="center"/>
        <w:rPr>
          <w:rFonts w:asciiTheme="minorHAnsi" w:hAnsiTheme="minorHAnsi" w:cstheme="minorHAnsi"/>
          <w:color w:val="auto"/>
        </w:rPr>
      </w:pPr>
    </w:p>
    <w:p w:rsidR="00A42C71" w:rsidRPr="003A3276" w:rsidP="00A42C71" w14:paraId="6732C469" w14:textId="77777777">
      <w:pPr>
        <w:pStyle w:val="ReportCover-Date"/>
        <w:spacing w:after="0"/>
        <w:jc w:val="center"/>
        <w:rPr>
          <w:rFonts w:asciiTheme="minorHAnsi" w:hAnsiTheme="minorHAnsi" w:cstheme="minorHAnsi"/>
          <w:color w:val="auto"/>
        </w:rPr>
      </w:pPr>
    </w:p>
    <w:p w:rsidR="00A42C71" w:rsidRPr="003A3276" w:rsidP="00A42C71" w14:paraId="21A5D5D3" w14:textId="77777777">
      <w:pPr>
        <w:spacing w:after="0" w:line="240" w:lineRule="auto"/>
        <w:jc w:val="center"/>
        <w:rPr>
          <w:rFonts w:cstheme="minorHAnsi"/>
        </w:rPr>
      </w:pPr>
    </w:p>
    <w:p w:rsidR="00A42C71" w:rsidRPr="003A3276" w:rsidP="00A42C71" w14:paraId="7208C5C8" w14:textId="77777777">
      <w:pPr>
        <w:spacing w:after="0" w:line="240" w:lineRule="auto"/>
        <w:jc w:val="center"/>
        <w:rPr>
          <w:rFonts w:cstheme="minorHAnsi"/>
        </w:rPr>
      </w:pPr>
      <w:r w:rsidRPr="003A3276">
        <w:rPr>
          <w:rFonts w:cstheme="minorHAnsi"/>
        </w:rPr>
        <w:t>Submitted By:</w:t>
      </w:r>
    </w:p>
    <w:p w:rsidR="00A42C71" w:rsidRPr="003A3276" w:rsidP="00A42C71" w14:paraId="55988A75" w14:textId="77777777">
      <w:pPr>
        <w:spacing w:after="0" w:line="240" w:lineRule="auto"/>
        <w:jc w:val="center"/>
        <w:rPr>
          <w:rFonts w:cstheme="minorHAnsi"/>
        </w:rPr>
      </w:pPr>
      <w:r w:rsidRPr="003A3276">
        <w:rPr>
          <w:rFonts w:cstheme="minorHAnsi"/>
        </w:rPr>
        <w:t>Office of Planning, Research, and Evaluation</w:t>
      </w:r>
    </w:p>
    <w:p w:rsidR="00A42C71" w:rsidRPr="003A3276" w:rsidP="00A42C71" w14:paraId="58048DA2" w14:textId="77777777">
      <w:pPr>
        <w:spacing w:after="0" w:line="240" w:lineRule="auto"/>
        <w:jc w:val="center"/>
        <w:rPr>
          <w:rFonts w:cstheme="minorHAnsi"/>
        </w:rPr>
      </w:pPr>
      <w:r w:rsidRPr="003A3276">
        <w:rPr>
          <w:rFonts w:cstheme="minorHAnsi"/>
        </w:rPr>
        <w:t xml:space="preserve">Administration for Children and Families </w:t>
      </w:r>
    </w:p>
    <w:p w:rsidR="00A42C71" w:rsidRPr="003A3276" w:rsidP="00A42C71" w14:paraId="41BA659B" w14:textId="77777777">
      <w:pPr>
        <w:spacing w:after="0" w:line="240" w:lineRule="auto"/>
        <w:jc w:val="center"/>
        <w:rPr>
          <w:rFonts w:cstheme="minorHAnsi"/>
        </w:rPr>
      </w:pPr>
      <w:r w:rsidRPr="003A3276">
        <w:rPr>
          <w:rFonts w:cstheme="minorHAnsi"/>
        </w:rPr>
        <w:t>U.S. Department of Health and Human Services</w:t>
      </w:r>
    </w:p>
    <w:p w:rsidR="00A42C71" w:rsidRPr="003A3276" w:rsidP="00A42C71" w14:paraId="26D8B869" w14:textId="77777777">
      <w:pPr>
        <w:spacing w:after="0" w:line="240" w:lineRule="auto"/>
        <w:jc w:val="center"/>
        <w:rPr>
          <w:rFonts w:cstheme="minorHAnsi"/>
        </w:rPr>
      </w:pPr>
    </w:p>
    <w:p w:rsidR="00A42C71" w:rsidRPr="003A3276" w:rsidP="00A42C71" w14:paraId="63276A76" w14:textId="77777777">
      <w:pPr>
        <w:spacing w:after="0" w:line="240" w:lineRule="auto"/>
        <w:jc w:val="center"/>
        <w:rPr>
          <w:rFonts w:cstheme="minorHAnsi"/>
        </w:rPr>
      </w:pPr>
      <w:r w:rsidRPr="003A3276">
        <w:rPr>
          <w:rFonts w:cstheme="minorHAnsi"/>
        </w:rPr>
        <w:t>4</w:t>
      </w:r>
      <w:r w:rsidRPr="003A3276">
        <w:rPr>
          <w:rFonts w:cstheme="minorHAnsi"/>
          <w:vertAlign w:val="superscript"/>
        </w:rPr>
        <w:t>th</w:t>
      </w:r>
      <w:r w:rsidRPr="003A3276">
        <w:rPr>
          <w:rFonts w:cstheme="minorHAnsi"/>
        </w:rPr>
        <w:t xml:space="preserve"> Floor, Mary E. Switzer Building</w:t>
      </w:r>
    </w:p>
    <w:p w:rsidR="00A42C71" w:rsidRPr="003A3276" w:rsidP="00A42C71" w14:paraId="7A2C144B" w14:textId="77777777">
      <w:pPr>
        <w:spacing w:after="0" w:line="240" w:lineRule="auto"/>
        <w:jc w:val="center"/>
        <w:rPr>
          <w:rFonts w:cstheme="minorHAnsi"/>
        </w:rPr>
      </w:pPr>
      <w:r w:rsidRPr="003A3276">
        <w:rPr>
          <w:rFonts w:cstheme="minorHAnsi"/>
        </w:rPr>
        <w:t>330 C Street, SW</w:t>
      </w:r>
    </w:p>
    <w:p w:rsidR="00A42C71" w:rsidRPr="003A3276" w:rsidP="00A42C71" w14:paraId="081382E0" w14:textId="77777777">
      <w:pPr>
        <w:spacing w:after="0" w:line="240" w:lineRule="auto"/>
        <w:jc w:val="center"/>
        <w:rPr>
          <w:rFonts w:cstheme="minorHAnsi"/>
        </w:rPr>
      </w:pPr>
      <w:r w:rsidRPr="003A3276">
        <w:rPr>
          <w:rFonts w:cstheme="minorHAnsi"/>
        </w:rPr>
        <w:t>Washington, D.C. 20201</w:t>
      </w:r>
    </w:p>
    <w:p w:rsidR="00A42C71" w:rsidRPr="003A3276" w:rsidP="00A42C71" w14:paraId="6F908824" w14:textId="77777777">
      <w:pPr>
        <w:spacing w:after="0" w:line="240" w:lineRule="auto"/>
        <w:jc w:val="center"/>
        <w:rPr>
          <w:rFonts w:cstheme="minorHAnsi"/>
        </w:rPr>
      </w:pPr>
    </w:p>
    <w:p w:rsidR="00A42C71" w:rsidRPr="003A3276" w:rsidP="00A42C71" w14:paraId="16C3B2D5" w14:textId="7DE686ED">
      <w:pPr>
        <w:spacing w:after="0" w:line="240" w:lineRule="auto"/>
        <w:jc w:val="center"/>
        <w:rPr>
          <w:rFonts w:cstheme="minorHAnsi"/>
        </w:rPr>
      </w:pPr>
      <w:r w:rsidRPr="003A3276">
        <w:rPr>
          <w:rFonts w:cstheme="minorHAnsi"/>
        </w:rPr>
        <w:t>Project Officers:</w:t>
      </w:r>
    </w:p>
    <w:p w:rsidR="009719C5" w:rsidRPr="003A3276" w:rsidP="00A42C71" w14:paraId="0FD31CCC" w14:textId="31048AC3">
      <w:pPr>
        <w:spacing w:after="0" w:line="240" w:lineRule="auto"/>
        <w:jc w:val="center"/>
        <w:rPr>
          <w:rFonts w:cstheme="minorHAnsi"/>
        </w:rPr>
      </w:pPr>
      <w:r w:rsidRPr="003A3276">
        <w:t>Caryn Blitz, Selma Caal</w:t>
      </w:r>
    </w:p>
    <w:p w:rsidR="003A3276" w14:paraId="6CB062A1" w14:textId="55179729">
      <w:pPr>
        <w:rPr>
          <w:rFonts w:cstheme="minorHAnsi"/>
          <w:b/>
        </w:rPr>
      </w:pPr>
      <w:r>
        <w:rPr>
          <w:rFonts w:cstheme="minorHAnsi"/>
          <w:b/>
        </w:rPr>
        <w:br w:type="page"/>
      </w:r>
    </w:p>
    <w:p w:rsidR="00A42C71" w:rsidRPr="003A3276" w:rsidP="00A42C71" w14:paraId="45C49EBE" w14:textId="3D580A57">
      <w:pPr>
        <w:spacing w:after="0"/>
        <w:jc w:val="center"/>
        <w:rPr>
          <w:rFonts w:cstheme="minorHAnsi"/>
          <w:b/>
          <w:sz w:val="32"/>
          <w:szCs w:val="32"/>
        </w:rPr>
      </w:pPr>
      <w:r w:rsidRPr="003A3276">
        <w:rPr>
          <w:rFonts w:cstheme="minorHAnsi"/>
          <w:b/>
          <w:sz w:val="32"/>
          <w:szCs w:val="32"/>
        </w:rPr>
        <w:t>Part B</w:t>
      </w:r>
    </w:p>
    <w:p w:rsidR="00A42C71" w:rsidRPr="003A3276" w:rsidP="00A42C71" w14:paraId="230ABA5D" w14:textId="77777777">
      <w:pPr>
        <w:spacing w:after="0" w:line="240" w:lineRule="auto"/>
        <w:rPr>
          <w:rFonts w:cstheme="minorHAnsi"/>
          <w:b/>
        </w:rPr>
      </w:pPr>
    </w:p>
    <w:p w:rsidR="00A42C71" w:rsidRPr="003A3276" w:rsidP="1BD656F7" w14:paraId="6D9C455E" w14:textId="3285119D">
      <w:pPr>
        <w:spacing w:after="120" w:line="240" w:lineRule="auto"/>
      </w:pPr>
      <w:r w:rsidRPr="1BD656F7">
        <w:rPr>
          <w:b/>
          <w:bCs/>
        </w:rPr>
        <w:t>B1.</w:t>
      </w:r>
      <w:r>
        <w:tab/>
      </w:r>
      <w:r w:rsidRPr="1BD656F7">
        <w:rPr>
          <w:b/>
          <w:bCs/>
        </w:rPr>
        <w:t>Objectives</w:t>
      </w:r>
    </w:p>
    <w:p w:rsidR="00A42C71" w:rsidRPr="003A3276" w:rsidP="00A42C71" w14:paraId="1F1E2135" w14:textId="77777777">
      <w:pPr>
        <w:spacing w:after="60" w:line="240" w:lineRule="auto"/>
        <w:rPr>
          <w:rFonts w:cstheme="minorHAnsi"/>
          <w:i/>
        </w:rPr>
      </w:pPr>
      <w:r w:rsidRPr="003A3276">
        <w:rPr>
          <w:rFonts w:cstheme="minorHAnsi"/>
          <w:i/>
        </w:rPr>
        <w:t>Study Objectives</w:t>
      </w:r>
    </w:p>
    <w:p w:rsidR="00A42C71" w:rsidRPr="003A3276" w:rsidP="00A42C71" w14:paraId="61ECC40C" w14:textId="3988FDA5">
      <w:pPr>
        <w:spacing w:after="0" w:line="240" w:lineRule="auto"/>
        <w:rPr>
          <w:rFonts w:cstheme="minorHAnsi"/>
        </w:rPr>
      </w:pPr>
      <w:r w:rsidRPr="003A3276">
        <w:rPr>
          <w:rFonts w:eastAsia="Times New Roman" w:cstheme="minorHAnsi"/>
          <w:szCs w:val="20"/>
        </w:rPr>
        <w:t xml:space="preserve">The objective of the Sexual Risk Avoidance Education (SRAE) Performance Analysis Study (PAS) is to document how SRAE-funded programs are operationalized in the field and assess program outcomes. </w:t>
      </w:r>
      <w:r w:rsidRPr="003A3276">
        <w:rPr>
          <w:rFonts w:eastAsia="Times New Roman" w:cstheme="minorHAnsi"/>
          <w:iCs/>
          <w:szCs w:val="20"/>
        </w:rPr>
        <w:t>The Family and Youth Services Bureau (FYSB) and Office of Planning, Research, and Evaluation (OPRE) in the Administration for Children and Families (ACF)</w:t>
      </w:r>
      <w:r w:rsidR="00242E3A">
        <w:rPr>
          <w:rFonts w:eastAsia="Times New Roman" w:cstheme="minorHAnsi"/>
          <w:iCs/>
          <w:szCs w:val="20"/>
        </w:rPr>
        <w:t>,</w:t>
      </w:r>
      <w:r w:rsidRPr="003A3276">
        <w:rPr>
          <w:rFonts w:eastAsia="Times New Roman" w:cstheme="minorHAnsi"/>
          <w:iCs/>
          <w:szCs w:val="20"/>
        </w:rPr>
        <w:t xml:space="preserve"> at the Department of Health and Human Services (HHS)</w:t>
      </w:r>
      <w:r w:rsidR="00242E3A">
        <w:rPr>
          <w:rFonts w:eastAsia="Times New Roman" w:cstheme="minorHAnsi"/>
          <w:iCs/>
          <w:szCs w:val="20"/>
        </w:rPr>
        <w:t>,</w:t>
      </w:r>
      <w:r w:rsidRPr="003A3276">
        <w:rPr>
          <w:rFonts w:eastAsia="Times New Roman" w:cstheme="minorHAnsi"/>
          <w:iCs/>
          <w:szCs w:val="20"/>
        </w:rPr>
        <w:t xml:space="preserve"> seek approval </w:t>
      </w:r>
      <w:r w:rsidR="00401398">
        <w:rPr>
          <w:rFonts w:eastAsia="Times New Roman" w:cstheme="minorHAnsi"/>
          <w:iCs/>
          <w:szCs w:val="20"/>
        </w:rPr>
        <w:t>for the</w:t>
      </w:r>
      <w:r w:rsidRPr="003A3276" w:rsidR="00401398">
        <w:rPr>
          <w:rFonts w:eastAsia="Times New Roman" w:cstheme="minorHAnsi"/>
          <w:iCs/>
          <w:szCs w:val="20"/>
        </w:rPr>
        <w:t xml:space="preserve"> </w:t>
      </w:r>
      <w:r w:rsidR="00EF1622">
        <w:rPr>
          <w:rFonts w:eastAsia="Times New Roman" w:cstheme="minorHAnsi"/>
          <w:iCs/>
          <w:szCs w:val="20"/>
        </w:rPr>
        <w:t xml:space="preserve">continued </w:t>
      </w:r>
      <w:r w:rsidRPr="003A3276">
        <w:rPr>
          <w:rFonts w:eastAsia="Times New Roman" w:cstheme="minorHAnsi"/>
          <w:iCs/>
          <w:szCs w:val="20"/>
        </w:rPr>
        <w:t>collect</w:t>
      </w:r>
      <w:r w:rsidR="00401398">
        <w:rPr>
          <w:rFonts w:eastAsia="Times New Roman" w:cstheme="minorHAnsi"/>
          <w:iCs/>
          <w:szCs w:val="20"/>
        </w:rPr>
        <w:t>ion of</w:t>
      </w:r>
      <w:r w:rsidRPr="003A3276">
        <w:rPr>
          <w:rFonts w:eastAsia="Times New Roman" w:cstheme="minorHAnsi"/>
          <w:szCs w:val="20"/>
        </w:rPr>
        <w:t xml:space="preserve"> performance measures data to (1) monitor the extent to which the programs meet SRAE implementation objectives and advance toward expected outcomes; (2) inform program improvement efforts; and (3) update ACF, </w:t>
      </w:r>
      <w:r>
        <w:rPr>
          <w:rFonts w:eastAsia="Times New Roman" w:cstheme="minorHAnsi"/>
          <w:szCs w:val="20"/>
        </w:rPr>
        <w:t>grant recipient</w:t>
      </w:r>
      <w:r w:rsidRPr="003A3276">
        <w:rPr>
          <w:rFonts w:eastAsia="Times New Roman" w:cstheme="minorHAnsi"/>
          <w:szCs w:val="20"/>
        </w:rPr>
        <w:t>s, and others on the program</w:t>
      </w:r>
      <w:r w:rsidR="00401398">
        <w:rPr>
          <w:rFonts w:eastAsia="Times New Roman" w:cstheme="minorHAnsi"/>
          <w:szCs w:val="20"/>
        </w:rPr>
        <w:t>’</w:t>
      </w:r>
      <w:r w:rsidRPr="003A3276">
        <w:rPr>
          <w:rFonts w:eastAsia="Times New Roman" w:cstheme="minorHAnsi"/>
          <w:szCs w:val="20"/>
        </w:rPr>
        <w:t>s status and progress.</w:t>
      </w:r>
    </w:p>
    <w:p w:rsidR="00A42C71" w:rsidRPr="003A3276" w:rsidP="00A42C71" w14:paraId="078509A0" w14:textId="77777777">
      <w:pPr>
        <w:spacing w:after="0" w:line="240" w:lineRule="auto"/>
        <w:rPr>
          <w:rFonts w:cstheme="minorHAnsi"/>
        </w:rPr>
      </w:pPr>
    </w:p>
    <w:p w:rsidR="00A42C71" w:rsidRPr="003A3276" w:rsidP="00A42C71" w14:paraId="15CEF91F" w14:textId="77777777">
      <w:pPr>
        <w:spacing w:after="60" w:line="240" w:lineRule="auto"/>
        <w:rPr>
          <w:rFonts w:cstheme="minorHAnsi"/>
        </w:rPr>
      </w:pPr>
      <w:r w:rsidRPr="003A3276">
        <w:rPr>
          <w:rFonts w:cstheme="minorHAnsi"/>
          <w:i/>
        </w:rPr>
        <w:t xml:space="preserve">Generalizability of Results </w:t>
      </w:r>
    </w:p>
    <w:p w:rsidR="00A42C71" w:rsidRPr="003A3276" w:rsidP="00A42C71" w14:paraId="3B40B647" w14:textId="577770CA">
      <w:pPr>
        <w:autoSpaceDE w:val="0"/>
        <w:autoSpaceDN w:val="0"/>
        <w:adjustRightInd w:val="0"/>
        <w:spacing w:after="0" w:line="240" w:lineRule="atLeast"/>
        <w:rPr>
          <w:rFonts w:eastAsia="Times New Roman" w:cstheme="minorHAnsi"/>
          <w:color w:val="000000"/>
        </w:rPr>
      </w:pPr>
      <w:r w:rsidRPr="003A3276">
        <w:t xml:space="preserve">This study is intended to present </w:t>
      </w:r>
      <w:r w:rsidR="00650B68">
        <w:t xml:space="preserve">an </w:t>
      </w:r>
      <w:r w:rsidRPr="003A3276">
        <w:t>internally</w:t>
      </w:r>
      <w:r w:rsidRPr="003A3276" w:rsidR="00366D14">
        <w:t xml:space="preserve"> </w:t>
      </w:r>
      <w:r w:rsidRPr="003A3276">
        <w:t xml:space="preserve">valid description of the SRAE </w:t>
      </w:r>
      <w:r w:rsidR="004F7430">
        <w:t>P</w:t>
      </w:r>
      <w:r w:rsidRPr="003A3276">
        <w:t>rogram, not to promote statistical generalization to other programs or populations.</w:t>
      </w:r>
      <w:r w:rsidRPr="003A3276" w:rsidR="005D1FDA">
        <w:t xml:space="preserve"> The study will </w:t>
      </w:r>
      <w:r w:rsidRPr="00AE597E" w:rsidR="00AE597E">
        <w:rPr>
          <w:iCs/>
        </w:rPr>
        <w:t>continue</w:t>
      </w:r>
      <w:r w:rsidR="00AE597E">
        <w:rPr>
          <w:iCs/>
        </w:rPr>
        <w:t xml:space="preserve"> to</w:t>
      </w:r>
      <w:r w:rsidRPr="00AE597E" w:rsidR="00AE597E">
        <w:rPr>
          <w:iCs/>
        </w:rPr>
        <w:t xml:space="preserve"> </w:t>
      </w:r>
      <w:r w:rsidRPr="003A3276" w:rsidR="005D1FDA">
        <w:t xml:space="preserve">include information on all SRAE </w:t>
      </w:r>
      <w:r>
        <w:t>grant recipient</w:t>
      </w:r>
      <w:r w:rsidRPr="003A3276" w:rsidR="005D1FDA">
        <w:t>s, subrecipient</w:t>
      </w:r>
      <w:r w:rsidRPr="003A3276" w:rsidR="001B72D6">
        <w:rPr>
          <w:rFonts w:eastAsia="Times New Roman" w:cstheme="minorHAnsi"/>
          <w:color w:val="000000"/>
        </w:rPr>
        <w:t xml:space="preserve"> </w:t>
      </w:r>
      <w:r w:rsidRPr="003A3276" w:rsidR="001B72D6">
        <w:t>program</w:t>
      </w:r>
      <w:r w:rsidRPr="003A3276" w:rsidR="005D1FDA">
        <w:t xml:space="preserve"> providers, and participants who respond to data collection.</w:t>
      </w:r>
    </w:p>
    <w:p w:rsidR="00A42C71" w:rsidRPr="003A3276" w:rsidP="00A42C71" w14:paraId="3C9D8A40" w14:textId="77777777">
      <w:pPr>
        <w:autoSpaceDE w:val="0"/>
        <w:autoSpaceDN w:val="0"/>
        <w:adjustRightInd w:val="0"/>
        <w:spacing w:after="0" w:line="240" w:lineRule="atLeast"/>
        <w:rPr>
          <w:rFonts w:eastAsia="Times New Roman" w:cstheme="minorHAnsi"/>
          <w:color w:val="000000"/>
        </w:rPr>
      </w:pPr>
    </w:p>
    <w:p w:rsidR="00A42C71" w:rsidRPr="003A3276" w:rsidP="00A42C71" w14:paraId="02CD8588" w14:textId="77777777">
      <w:pPr>
        <w:autoSpaceDE w:val="0"/>
        <w:autoSpaceDN w:val="0"/>
        <w:adjustRightInd w:val="0"/>
        <w:spacing w:after="60" w:line="240" w:lineRule="atLeast"/>
        <w:rPr>
          <w:rFonts w:eastAsia="Times New Roman" w:cstheme="minorHAnsi"/>
          <w:color w:val="000000"/>
        </w:rPr>
      </w:pPr>
      <w:r w:rsidRPr="003A3276">
        <w:rPr>
          <w:rFonts w:eastAsia="Times New Roman" w:cstheme="minorHAnsi"/>
          <w:i/>
          <w:color w:val="000000"/>
        </w:rPr>
        <w:t xml:space="preserve">Appropriateness of Study Design and Methods for Planned Uses </w:t>
      </w:r>
    </w:p>
    <w:p w:rsidR="00A42C71" w:rsidRPr="00A77075" w:rsidP="00A77075" w14:paraId="083526BA" w14:textId="0E24CB11">
      <w:pPr>
        <w:pStyle w:val="NormalWeb"/>
        <w:spacing w:before="0" w:beforeAutospacing="0" w:after="0" w:afterAutospacing="0"/>
        <w:rPr>
          <w:rFonts w:asciiTheme="minorHAnsi" w:hAnsiTheme="minorHAnsi" w:cstheme="minorHAnsi"/>
          <w:b/>
          <w:i/>
          <w:strike/>
          <w:sz w:val="22"/>
          <w:szCs w:val="22"/>
        </w:rPr>
      </w:pPr>
      <w:r w:rsidRPr="003A3276">
        <w:rPr>
          <w:rFonts w:asciiTheme="minorHAnsi" w:hAnsiTheme="minorHAnsi" w:cstheme="minorHAnsi"/>
          <w:sz w:val="22"/>
          <w:szCs w:val="22"/>
        </w:rPr>
        <w:t xml:space="preserve">The SRAE PAS is designed to describe the implementation and outcomes of the SRAE </w:t>
      </w:r>
      <w:r w:rsidR="004F7430">
        <w:rPr>
          <w:rFonts w:asciiTheme="minorHAnsi" w:hAnsiTheme="minorHAnsi" w:cstheme="minorHAnsi"/>
          <w:sz w:val="22"/>
          <w:szCs w:val="22"/>
        </w:rPr>
        <w:t>P</w:t>
      </w:r>
      <w:r w:rsidRPr="003A3276">
        <w:rPr>
          <w:rFonts w:asciiTheme="minorHAnsi" w:hAnsiTheme="minorHAnsi" w:cstheme="minorHAnsi"/>
          <w:sz w:val="22"/>
          <w:szCs w:val="22"/>
        </w:rPr>
        <w:t xml:space="preserve">rogram. The performance measures data collected through this descriptive study will </w:t>
      </w:r>
      <w:r w:rsidRPr="00AE597E" w:rsidR="00AE597E">
        <w:rPr>
          <w:rFonts w:asciiTheme="minorHAnsi" w:hAnsiTheme="minorHAnsi" w:cstheme="minorHAnsi"/>
          <w:iCs/>
          <w:sz w:val="22"/>
          <w:szCs w:val="22"/>
        </w:rPr>
        <w:t xml:space="preserve">continue to </w:t>
      </w:r>
      <w:r w:rsidRPr="003A3276">
        <w:rPr>
          <w:rFonts w:asciiTheme="minorHAnsi" w:hAnsiTheme="minorHAnsi" w:cstheme="minorHAnsi"/>
          <w:sz w:val="22"/>
          <w:szCs w:val="22"/>
        </w:rPr>
        <w:t xml:space="preserve">provide necessary information to ACF and </w:t>
      </w:r>
      <w:r>
        <w:rPr>
          <w:rFonts w:asciiTheme="minorHAnsi" w:hAnsiTheme="minorHAnsi" w:cstheme="minorHAnsi"/>
          <w:sz w:val="22"/>
          <w:szCs w:val="22"/>
        </w:rPr>
        <w:t>grant recipient</w:t>
      </w:r>
      <w:r w:rsidRPr="003A3276">
        <w:rPr>
          <w:rFonts w:asciiTheme="minorHAnsi" w:hAnsiTheme="minorHAnsi" w:cstheme="minorHAnsi"/>
          <w:sz w:val="22"/>
          <w:szCs w:val="22"/>
        </w:rPr>
        <w:t xml:space="preserve">s to effectively manage the programs. Entry and exit surveys of youth participating in SRAE are necessary to collect information on the demographic and behavioral characteristics of program participants, their responses to the program, and their perceptions of program effects. Administrative data from </w:t>
      </w:r>
      <w:r>
        <w:rPr>
          <w:rFonts w:asciiTheme="minorHAnsi" w:hAnsiTheme="minorHAnsi" w:cstheme="minorHAnsi"/>
          <w:sz w:val="22"/>
          <w:szCs w:val="22"/>
        </w:rPr>
        <w:t>grant recipient</w:t>
      </w:r>
      <w:r w:rsidRPr="003A3276">
        <w:rPr>
          <w:rFonts w:asciiTheme="minorHAnsi" w:hAnsiTheme="minorHAnsi" w:cstheme="minorHAnsi"/>
          <w:sz w:val="22"/>
          <w:szCs w:val="22"/>
        </w:rPr>
        <w:t>s and their sub</w:t>
      </w:r>
      <w:r w:rsidRPr="003A3276" w:rsidR="007111DD">
        <w:rPr>
          <w:rFonts w:asciiTheme="minorHAnsi" w:hAnsiTheme="minorHAnsi" w:cstheme="minorHAnsi"/>
          <w:sz w:val="22"/>
          <w:szCs w:val="22"/>
        </w:rPr>
        <w:t>recipient</w:t>
      </w:r>
      <w:r w:rsidRPr="003A3276">
        <w:rPr>
          <w:rFonts w:asciiTheme="minorHAnsi" w:hAnsiTheme="minorHAnsi" w:cstheme="minorHAnsi"/>
          <w:sz w:val="22"/>
          <w:szCs w:val="22"/>
        </w:rPr>
        <w:t xml:space="preserve"> program providers are needed to understand the structure and features of SRAE programs, participant numbers, implementation supports, and staff perceptions of quality challenges and needs for technical assistance. Because these are performance measures, data are required on the universe of </w:t>
      </w:r>
      <w:r>
        <w:rPr>
          <w:rFonts w:asciiTheme="minorHAnsi" w:hAnsiTheme="minorHAnsi" w:cstheme="minorHAnsi"/>
          <w:sz w:val="22"/>
          <w:szCs w:val="22"/>
        </w:rPr>
        <w:t>grant recipient</w:t>
      </w:r>
      <w:r w:rsidRPr="003A3276">
        <w:rPr>
          <w:rFonts w:asciiTheme="minorHAnsi" w:hAnsiTheme="minorHAnsi" w:cstheme="minorHAnsi"/>
          <w:sz w:val="22"/>
          <w:szCs w:val="22"/>
        </w:rPr>
        <w:t xml:space="preserve">s, programs, and participants. As noted in Supporting Statement A, this information is not intended to be used as the principal basis for public policy decisions and is not expected to meet the threshold of influential or highly influential scientific information.  </w:t>
      </w:r>
      <w:r w:rsidRPr="003A3276" w:rsidR="005D1FDA">
        <w:rPr>
          <w:rFonts w:cstheme="minorHAnsi"/>
          <w:szCs w:val="20"/>
        </w:rPr>
        <w:t xml:space="preserve"> </w:t>
      </w:r>
    </w:p>
    <w:p w:rsidR="00A42C71" w:rsidRPr="003A3276" w:rsidP="00A42C71" w14:paraId="7A1B7559" w14:textId="77777777">
      <w:pPr>
        <w:pStyle w:val="ListParagraph"/>
        <w:spacing w:after="0" w:line="240" w:lineRule="auto"/>
        <w:ind w:left="0"/>
        <w:rPr>
          <w:rFonts w:cstheme="minorHAnsi"/>
        </w:rPr>
      </w:pPr>
    </w:p>
    <w:p w:rsidR="00A42C71" w:rsidRPr="003A3276" w:rsidP="1BD656F7" w14:paraId="0A71D7FD" w14:textId="56134310">
      <w:pPr>
        <w:pStyle w:val="ListParagraph"/>
        <w:spacing w:after="120"/>
        <w:ind w:left="0"/>
        <w:rPr>
          <w:rFonts w:eastAsia="Times New Roman"/>
          <w:color w:val="000000"/>
        </w:rPr>
      </w:pPr>
      <w:r w:rsidRPr="1BD656F7">
        <w:rPr>
          <w:b/>
          <w:bCs/>
        </w:rPr>
        <w:t>B2.</w:t>
      </w:r>
      <w:r>
        <w:tab/>
      </w:r>
      <w:r w:rsidRPr="1BD656F7">
        <w:rPr>
          <w:rFonts w:eastAsia="Times New Roman"/>
          <w:b/>
          <w:bCs/>
          <w:color w:val="000000" w:themeColor="text1"/>
        </w:rPr>
        <w:t>Methods and Design</w:t>
      </w:r>
    </w:p>
    <w:p w:rsidR="00A42C71" w:rsidRPr="00AA488E" w:rsidP="00AA488E" w14:paraId="4C77B3BD" w14:textId="77777777">
      <w:pPr>
        <w:spacing w:after="60"/>
        <w:rPr>
          <w:i/>
          <w:iCs/>
        </w:rPr>
      </w:pPr>
      <w:r w:rsidRPr="00AA488E">
        <w:rPr>
          <w:i/>
          <w:iCs/>
        </w:rPr>
        <w:t xml:space="preserve">Target Population  </w:t>
      </w:r>
    </w:p>
    <w:p w:rsidR="00A42C71" w:rsidRPr="003A3276" w:rsidP="003D6F33" w14:paraId="273747A8" w14:textId="70524DC2">
      <w:pPr>
        <w:autoSpaceDE w:val="0"/>
        <w:autoSpaceDN w:val="0"/>
        <w:adjustRightInd w:val="0"/>
        <w:spacing w:after="120" w:line="240" w:lineRule="auto"/>
        <w:contextualSpacing/>
        <w:rPr>
          <w:rFonts w:eastAsia="Times New Roman" w:cstheme="minorHAnsi"/>
          <w:color w:val="000000"/>
        </w:rPr>
      </w:pPr>
      <w:bookmarkStart w:id="0" w:name="_Hlk147148480"/>
      <w:r w:rsidRPr="003A3276">
        <w:rPr>
          <w:rFonts w:cstheme="minorHAnsi"/>
        </w:rPr>
        <w:t>The target population for the SRAE PAS includes all 1</w:t>
      </w:r>
      <w:r w:rsidRPr="003A3276" w:rsidR="00E30270">
        <w:rPr>
          <w:rFonts w:cstheme="minorHAnsi"/>
        </w:rPr>
        <w:t>92</w:t>
      </w:r>
      <w:r w:rsidRPr="003A3276">
        <w:rPr>
          <w:rFonts w:cstheme="minorHAnsi"/>
        </w:rPr>
        <w:t xml:space="preserve"> SRAE </w:t>
      </w:r>
      <w:r>
        <w:rPr>
          <w:rFonts w:cstheme="minorHAnsi"/>
        </w:rPr>
        <w:t>grant recipient</w:t>
      </w:r>
      <w:r w:rsidRPr="003A3276">
        <w:rPr>
          <w:rFonts w:cstheme="minorHAnsi"/>
        </w:rPr>
        <w:t>s, their sub</w:t>
      </w:r>
      <w:r w:rsidRPr="003A3276" w:rsidR="007111DD">
        <w:rPr>
          <w:rFonts w:cstheme="minorHAnsi"/>
        </w:rPr>
        <w:t>recipient</w:t>
      </w:r>
      <w:r w:rsidRPr="003A3276">
        <w:rPr>
          <w:rFonts w:cstheme="minorHAnsi"/>
        </w:rPr>
        <w:t xml:space="preserve"> program providers, and youth participants. </w:t>
      </w:r>
      <w:bookmarkStart w:id="1" w:name="_Hlk147148430"/>
      <w:bookmarkEnd w:id="0"/>
      <w:r w:rsidRPr="003A3276">
        <w:t xml:space="preserve">The </w:t>
      </w:r>
      <w:r>
        <w:t>grant recipient</w:t>
      </w:r>
      <w:r w:rsidRPr="003A3276">
        <w:t xml:space="preserve">s include </w:t>
      </w:r>
      <w:r w:rsidRPr="003A3276" w:rsidR="001B72D6">
        <w:t>119</w:t>
      </w:r>
      <w:r w:rsidRPr="003A3276">
        <w:t xml:space="preserve"> </w:t>
      </w:r>
      <w:r w:rsidR="0061502F">
        <w:t xml:space="preserve">General </w:t>
      </w:r>
      <w:r w:rsidRPr="003A3276">
        <w:t>Departmental SRAE (</w:t>
      </w:r>
      <w:r w:rsidR="0061502F">
        <w:t>G</w:t>
      </w:r>
      <w:r w:rsidRPr="003A3276">
        <w:t xml:space="preserve">DSRAE), 39 State SRAE (SSRAE), and </w:t>
      </w:r>
      <w:r w:rsidRPr="003A3276" w:rsidR="001B72D6">
        <w:t>3</w:t>
      </w:r>
      <w:r w:rsidRPr="003A3276">
        <w:t>4 Competitive SRAE (CSRAE)</w:t>
      </w:r>
      <w:r w:rsidRPr="003A3276" w:rsidR="001676E8">
        <w:t xml:space="preserve"> </w:t>
      </w:r>
      <w:r>
        <w:t>grant recipient</w:t>
      </w:r>
      <w:r w:rsidRPr="003A3276" w:rsidR="001676E8">
        <w:t>s</w:t>
      </w:r>
      <w:bookmarkEnd w:id="1"/>
      <w:r w:rsidRPr="003A3276">
        <w:t xml:space="preserve">. </w:t>
      </w:r>
      <w:r w:rsidRPr="003A3276">
        <w:rPr>
          <w:rFonts w:cstheme="minorHAnsi"/>
        </w:rPr>
        <w:t xml:space="preserve">Based on </w:t>
      </w:r>
      <w:r w:rsidRPr="003A3276" w:rsidR="00E30270">
        <w:rPr>
          <w:rFonts w:cstheme="minorHAnsi"/>
        </w:rPr>
        <w:t>performance measures data from earlier rounds</w:t>
      </w:r>
      <w:r w:rsidR="004F7430">
        <w:rPr>
          <w:rFonts w:cstheme="minorHAnsi"/>
        </w:rPr>
        <w:t xml:space="preserve"> of data collection</w:t>
      </w:r>
      <w:r w:rsidRPr="003A3276">
        <w:rPr>
          <w:rFonts w:cstheme="minorHAnsi"/>
        </w:rPr>
        <w:t>, the number of subre</w:t>
      </w:r>
      <w:r w:rsidRPr="003A3276" w:rsidR="007111DD">
        <w:rPr>
          <w:rFonts w:cstheme="minorHAnsi"/>
        </w:rPr>
        <w:t>cipi</w:t>
      </w:r>
      <w:r w:rsidRPr="003A3276">
        <w:rPr>
          <w:rFonts w:cstheme="minorHAnsi"/>
        </w:rPr>
        <w:t>e</w:t>
      </w:r>
      <w:r w:rsidRPr="003A3276" w:rsidR="007111DD">
        <w:rPr>
          <w:rFonts w:cstheme="minorHAnsi"/>
        </w:rPr>
        <w:t>nt</w:t>
      </w:r>
      <w:r w:rsidRPr="003A3276">
        <w:rPr>
          <w:rFonts w:cstheme="minorHAnsi"/>
        </w:rPr>
        <w:t xml:space="preserve">s is estimated </w:t>
      </w:r>
      <w:r w:rsidR="004F7430">
        <w:rPr>
          <w:rFonts w:cstheme="minorHAnsi"/>
        </w:rPr>
        <w:t>at</w:t>
      </w:r>
      <w:r w:rsidRPr="003A3276">
        <w:rPr>
          <w:rFonts w:cstheme="minorHAnsi"/>
        </w:rPr>
        <w:t xml:space="preserve"> </w:t>
      </w:r>
      <w:r w:rsidRPr="003A3276" w:rsidR="00E30270">
        <w:rPr>
          <w:rFonts w:cstheme="minorHAnsi"/>
        </w:rPr>
        <w:t>741</w:t>
      </w:r>
      <w:r w:rsidRPr="003A3276">
        <w:rPr>
          <w:rFonts w:cstheme="minorHAnsi"/>
        </w:rPr>
        <w:t xml:space="preserve"> across all </w:t>
      </w:r>
      <w:r>
        <w:rPr>
          <w:rFonts w:cstheme="minorHAnsi"/>
        </w:rPr>
        <w:t>grant recipient</w:t>
      </w:r>
      <w:r w:rsidRPr="003A3276">
        <w:rPr>
          <w:rFonts w:cstheme="minorHAnsi"/>
        </w:rPr>
        <w:t xml:space="preserve">s. </w:t>
      </w:r>
      <w:r>
        <w:rPr>
          <w:rFonts w:eastAsia="Times New Roman" w:cstheme="minorHAnsi"/>
          <w:color w:val="000000"/>
        </w:rPr>
        <w:t>Grant recipient</w:t>
      </w:r>
      <w:r w:rsidRPr="003A3276">
        <w:rPr>
          <w:rFonts w:eastAsia="Times New Roman" w:cstheme="minorHAnsi"/>
          <w:color w:val="000000"/>
        </w:rPr>
        <w:t xml:space="preserve">s are expected to </w:t>
      </w:r>
      <w:r w:rsidRPr="003A3276">
        <w:t>serve</w:t>
      </w:r>
      <w:r w:rsidRPr="003A3276">
        <w:rPr>
          <w:rFonts w:eastAsia="Times New Roman" w:cstheme="minorHAnsi"/>
          <w:color w:val="000000"/>
        </w:rPr>
        <w:t xml:space="preserve"> an average of about </w:t>
      </w:r>
      <w:r w:rsidRPr="003A3276" w:rsidR="001B72D6">
        <w:t>488,315</w:t>
      </w:r>
      <w:r w:rsidRPr="003A3276">
        <w:rPr>
          <w:rFonts w:eastAsia="Times New Roman" w:cstheme="minorHAnsi"/>
          <w:color w:val="000000"/>
        </w:rPr>
        <w:t xml:space="preserve"> new participants per year. P</w:t>
      </w:r>
      <w:r w:rsidRPr="003A3276">
        <w:rPr>
          <w:szCs w:val="24"/>
        </w:rPr>
        <w:t>rogram participants are youth ages 1</w:t>
      </w:r>
      <w:r w:rsidRPr="003A3276" w:rsidR="001B72D6">
        <w:rPr>
          <w:szCs w:val="24"/>
        </w:rPr>
        <w:t>0</w:t>
      </w:r>
      <w:r w:rsidRPr="003A3276" w:rsidR="007F5243">
        <w:rPr>
          <w:szCs w:val="24"/>
        </w:rPr>
        <w:t>–</w:t>
      </w:r>
      <w:r w:rsidRPr="003A3276" w:rsidR="001B72D6">
        <w:rPr>
          <w:szCs w:val="24"/>
        </w:rPr>
        <w:t>20</w:t>
      </w:r>
      <w:r w:rsidRPr="003A3276">
        <w:rPr>
          <w:szCs w:val="24"/>
        </w:rPr>
        <w:t xml:space="preserve">. </w:t>
      </w:r>
      <w:r w:rsidRPr="003A3276">
        <w:rPr>
          <w:rFonts w:eastAsia="Times New Roman" w:cstheme="minorHAnsi"/>
          <w:color w:val="000000"/>
        </w:rPr>
        <w:t>The data collection instruments to be used by each target population are as follows:</w:t>
      </w:r>
    </w:p>
    <w:p w:rsidR="00ED6C28" w:rsidRPr="003A3276" w:rsidP="00ED6C28" w14:paraId="753A2EDD" w14:textId="5F1890E9">
      <w:pPr>
        <w:pStyle w:val="ListParagraph"/>
        <w:numPr>
          <w:ilvl w:val="0"/>
          <w:numId w:val="31"/>
        </w:numPr>
        <w:spacing w:after="240" w:line="240" w:lineRule="auto"/>
        <w:rPr>
          <w:rFonts w:eastAsia="Times New Roman" w:cstheme="minorHAnsi"/>
          <w:color w:val="000000"/>
        </w:rPr>
      </w:pPr>
      <w:r w:rsidRPr="003A3276">
        <w:rPr>
          <w:rFonts w:cs="Calibri"/>
          <w:b/>
        </w:rPr>
        <w:t>Instrument 1: Participant Entry Survey</w:t>
      </w:r>
      <w:r w:rsidRPr="003A3276">
        <w:rPr>
          <w:rFonts w:eastAsia="Times New Roman" w:cstheme="minorHAnsi"/>
          <w:color w:val="000000"/>
        </w:rPr>
        <w:t xml:space="preserve"> </w:t>
      </w:r>
      <w:r w:rsidRPr="003A3276" w:rsidR="00F3666A">
        <w:rPr>
          <w:rFonts w:eastAsia="Times New Roman" w:cstheme="minorHAnsi"/>
          <w:color w:val="000000"/>
        </w:rPr>
        <w:t>–</w:t>
      </w:r>
      <w:r w:rsidRPr="003A3276">
        <w:rPr>
          <w:rFonts w:eastAsia="Times New Roman" w:cstheme="minorHAnsi"/>
          <w:color w:val="000000"/>
        </w:rPr>
        <w:t xml:space="preserve"> youth participants </w:t>
      </w:r>
    </w:p>
    <w:p w:rsidR="00ED6C28" w:rsidRPr="003A3276" w:rsidP="00ED6C28" w14:paraId="5424D862" w14:textId="4C7C29B0">
      <w:pPr>
        <w:pStyle w:val="ListParagraph"/>
        <w:numPr>
          <w:ilvl w:val="0"/>
          <w:numId w:val="31"/>
        </w:numPr>
        <w:spacing w:after="240" w:line="240" w:lineRule="auto"/>
        <w:rPr>
          <w:rFonts w:eastAsia="Times New Roman" w:cstheme="minorHAnsi"/>
          <w:color w:val="000000"/>
        </w:rPr>
      </w:pPr>
      <w:r w:rsidRPr="003A3276">
        <w:rPr>
          <w:rFonts w:eastAsia="Times New Roman" w:cstheme="minorHAnsi"/>
          <w:b/>
          <w:color w:val="000000"/>
        </w:rPr>
        <w:t>Instrument 2: Participant Exit Survey</w:t>
      </w:r>
      <w:r w:rsidRPr="003A3276">
        <w:rPr>
          <w:rFonts w:eastAsia="Times New Roman" w:cstheme="minorHAnsi"/>
          <w:color w:val="000000"/>
        </w:rPr>
        <w:t xml:space="preserve"> </w:t>
      </w:r>
      <w:r w:rsidRPr="003A3276" w:rsidR="00F3666A">
        <w:rPr>
          <w:szCs w:val="24"/>
        </w:rPr>
        <w:t>–</w:t>
      </w:r>
      <w:r w:rsidRPr="003A3276">
        <w:rPr>
          <w:rFonts w:eastAsia="Times New Roman" w:cstheme="minorHAnsi"/>
          <w:color w:val="000000"/>
        </w:rPr>
        <w:t xml:space="preserve"> youth participants</w:t>
      </w:r>
    </w:p>
    <w:p w:rsidR="00ED6C28" w:rsidRPr="003A3276" w:rsidP="00ED6C28" w14:paraId="248E0A6F" w14:textId="207DF8B9">
      <w:pPr>
        <w:pStyle w:val="ListParagraph"/>
        <w:numPr>
          <w:ilvl w:val="0"/>
          <w:numId w:val="31"/>
        </w:numPr>
        <w:spacing w:after="240" w:line="240" w:lineRule="auto"/>
        <w:rPr>
          <w:rFonts w:eastAsia="Times New Roman" w:cstheme="minorHAnsi"/>
          <w:color w:val="000000"/>
        </w:rPr>
      </w:pPr>
      <w:r w:rsidRPr="003A3276">
        <w:rPr>
          <w:b/>
        </w:rPr>
        <w:t>Instrument 3: Performance Reporting System Data Entry Form</w:t>
      </w:r>
      <w:r w:rsidRPr="003A3276">
        <w:t xml:space="preserve"> – </w:t>
      </w:r>
      <w:r>
        <w:t>grant recipient</w:t>
      </w:r>
      <w:r w:rsidRPr="003A3276">
        <w:t>s</w:t>
      </w:r>
    </w:p>
    <w:p w:rsidR="00ED6C28" w:rsidRPr="003A3276" w:rsidP="00ED6C28" w14:paraId="78330E33" w14:textId="1ABB3D4B">
      <w:pPr>
        <w:pStyle w:val="ListParagraph"/>
        <w:numPr>
          <w:ilvl w:val="0"/>
          <w:numId w:val="31"/>
        </w:numPr>
        <w:spacing w:after="240" w:line="240" w:lineRule="auto"/>
        <w:rPr>
          <w:rFonts w:eastAsia="Times New Roman" w:cstheme="minorHAnsi"/>
          <w:color w:val="000000"/>
        </w:rPr>
      </w:pPr>
      <w:r w:rsidRPr="003A3276">
        <w:rPr>
          <w:b/>
        </w:rPr>
        <w:t>Instrument 4: Sub</w:t>
      </w:r>
      <w:r w:rsidRPr="003A3276" w:rsidR="00E30270">
        <w:rPr>
          <w:b/>
        </w:rPr>
        <w:t>recipient</w:t>
      </w:r>
      <w:r w:rsidRPr="003A3276">
        <w:rPr>
          <w:b/>
        </w:rPr>
        <w:t xml:space="preserve"> Data Collection and Reporting Form</w:t>
      </w:r>
      <w:r w:rsidRPr="003A3276">
        <w:t xml:space="preserve"> – sub</w:t>
      </w:r>
      <w:r w:rsidRPr="003A3276" w:rsidR="00E30270">
        <w:t>recipient</w:t>
      </w:r>
      <w:r w:rsidRPr="003A3276">
        <w:t xml:space="preserve"> program providers </w:t>
      </w:r>
    </w:p>
    <w:p w:rsidR="00A42C71" w:rsidRPr="00F77C0F" w:rsidP="00F77C0F" w14:paraId="242D83A5" w14:textId="77777777">
      <w:pPr>
        <w:spacing w:after="60"/>
        <w:rPr>
          <w:rFonts w:eastAsia="Times New Roman" w:cstheme="minorHAnsi"/>
          <w:i/>
          <w:color w:val="000000"/>
        </w:rPr>
      </w:pPr>
      <w:r w:rsidRPr="003A3276">
        <w:rPr>
          <w:rFonts w:eastAsia="Times New Roman" w:cstheme="minorHAnsi"/>
          <w:i/>
          <w:color w:val="000000"/>
        </w:rPr>
        <w:t>Sampling and Site Selection</w:t>
      </w:r>
    </w:p>
    <w:p w:rsidR="00A42C71" w:rsidRPr="00A77075" w:rsidP="003D6F33" w14:paraId="49BCF056" w14:textId="7452A1CD">
      <w:pPr>
        <w:autoSpaceDE w:val="0"/>
        <w:autoSpaceDN w:val="0"/>
        <w:adjustRightInd w:val="0"/>
        <w:spacing w:after="0" w:line="240" w:lineRule="auto"/>
        <w:contextualSpacing/>
        <w:rPr>
          <w:rFonts w:eastAsia="Times New Roman" w:cstheme="minorHAnsi"/>
          <w:color w:val="000000"/>
        </w:rPr>
      </w:pPr>
      <w:r w:rsidRPr="003A3276">
        <w:rPr>
          <w:rFonts w:eastAsia="Times New Roman" w:cstheme="minorHAnsi"/>
          <w:color w:val="000000"/>
        </w:rPr>
        <w:t>The SRAE PAS will</w:t>
      </w:r>
      <w:r w:rsidRPr="00AE597E" w:rsidR="00AE597E">
        <w:rPr>
          <w:iCs/>
        </w:rPr>
        <w:t xml:space="preserve"> </w:t>
      </w:r>
      <w:r w:rsidRPr="00AE597E" w:rsidR="00AE597E">
        <w:rPr>
          <w:rFonts w:eastAsia="Times New Roman" w:cstheme="minorHAnsi"/>
          <w:iCs/>
          <w:color w:val="000000"/>
        </w:rPr>
        <w:t>continue to</w:t>
      </w:r>
      <w:r w:rsidRPr="003A3276">
        <w:rPr>
          <w:rFonts w:eastAsia="Times New Roman" w:cstheme="minorHAnsi"/>
          <w:color w:val="000000"/>
        </w:rPr>
        <w:t xml:space="preserve"> include all SRAE </w:t>
      </w:r>
      <w:r>
        <w:rPr>
          <w:rFonts w:eastAsia="Times New Roman" w:cstheme="minorHAnsi"/>
          <w:color w:val="000000"/>
        </w:rPr>
        <w:t>grant recipient</w:t>
      </w:r>
      <w:r w:rsidRPr="003A3276">
        <w:rPr>
          <w:rFonts w:eastAsia="Times New Roman" w:cstheme="minorHAnsi"/>
          <w:color w:val="000000"/>
        </w:rPr>
        <w:t>s, sub</w:t>
      </w:r>
      <w:r w:rsidRPr="003A3276" w:rsidR="00E30270">
        <w:rPr>
          <w:rFonts w:eastAsia="Times New Roman" w:cstheme="minorHAnsi"/>
          <w:color w:val="000000"/>
        </w:rPr>
        <w:t>recipient</w:t>
      </w:r>
      <w:r w:rsidRPr="003A3276">
        <w:rPr>
          <w:rFonts w:eastAsia="Times New Roman" w:cstheme="minorHAnsi"/>
          <w:color w:val="000000"/>
        </w:rPr>
        <w:t xml:space="preserve"> program providers, and participants. ACF will use the performance measures data to monitor and report on progress in implementing SRAE programs</w:t>
      </w:r>
      <w:r w:rsidR="0023146B">
        <w:rPr>
          <w:rFonts w:eastAsia="Times New Roman" w:cstheme="minorHAnsi"/>
          <w:color w:val="000000"/>
        </w:rPr>
        <w:t xml:space="preserve">. </w:t>
      </w:r>
      <w:r w:rsidRPr="003A3276">
        <w:rPr>
          <w:rFonts w:eastAsia="Times New Roman" w:cstheme="minorHAnsi"/>
          <w:color w:val="000000"/>
        </w:rPr>
        <w:t xml:space="preserve">In addition, the information will be used </w:t>
      </w:r>
      <w:r w:rsidR="0023146B">
        <w:rPr>
          <w:rFonts w:eastAsia="Times New Roman" w:cstheme="minorHAnsi"/>
          <w:color w:val="000000"/>
        </w:rPr>
        <w:t>t</w:t>
      </w:r>
      <w:r w:rsidR="0023146B">
        <w:t xml:space="preserve">o </w:t>
      </w:r>
      <w:r w:rsidRPr="0023146B" w:rsidR="0023146B">
        <w:t xml:space="preserve">support continuous quality improvement </w:t>
      </w:r>
      <w:r w:rsidRPr="003A3276">
        <w:rPr>
          <w:rFonts w:eastAsia="Times New Roman" w:cstheme="minorHAnsi"/>
          <w:color w:val="000000"/>
        </w:rPr>
        <w:t xml:space="preserve">by </w:t>
      </w:r>
      <w:r w:rsidRPr="0023146B" w:rsidR="0023146B">
        <w:rPr>
          <w:rFonts w:eastAsia="Times New Roman" w:cstheme="minorHAnsi"/>
          <w:color w:val="000000"/>
        </w:rPr>
        <w:t>(1) the program office</w:t>
      </w:r>
      <w:r w:rsidR="0023146B">
        <w:rPr>
          <w:rFonts w:eastAsia="Times New Roman" w:cstheme="minorHAnsi"/>
          <w:color w:val="000000"/>
        </w:rPr>
        <w:t>,</w:t>
      </w:r>
      <w:r w:rsidRPr="0023146B" w:rsidR="0023146B">
        <w:rPr>
          <w:rFonts w:eastAsia="Times New Roman" w:cstheme="minorHAnsi"/>
          <w:color w:val="000000"/>
        </w:rPr>
        <w:t xml:space="preserve"> to improve the SRAE Program</w:t>
      </w:r>
      <w:r w:rsidR="0023146B">
        <w:rPr>
          <w:rFonts w:eastAsia="Times New Roman" w:cstheme="minorHAnsi"/>
          <w:color w:val="000000"/>
        </w:rPr>
        <w:t xml:space="preserve"> overall,</w:t>
      </w:r>
      <w:r w:rsidRPr="0023146B" w:rsidR="0023146B">
        <w:rPr>
          <w:rFonts w:eastAsia="Times New Roman" w:cstheme="minorHAnsi"/>
          <w:color w:val="000000"/>
        </w:rPr>
        <w:t xml:space="preserve"> </w:t>
      </w:r>
      <w:r w:rsidR="0023146B">
        <w:rPr>
          <w:rFonts w:eastAsia="Times New Roman" w:cstheme="minorHAnsi"/>
          <w:color w:val="000000"/>
        </w:rPr>
        <w:t xml:space="preserve">and (2) </w:t>
      </w:r>
      <w:r>
        <w:rPr>
          <w:rFonts w:eastAsia="Times New Roman" w:cstheme="minorHAnsi"/>
          <w:color w:val="000000"/>
        </w:rPr>
        <w:t>grant recipient</w:t>
      </w:r>
      <w:r w:rsidRPr="003A3276">
        <w:rPr>
          <w:rFonts w:eastAsia="Times New Roman" w:cstheme="minorHAnsi"/>
          <w:color w:val="000000"/>
        </w:rPr>
        <w:t>s</w:t>
      </w:r>
      <w:r w:rsidR="0023146B">
        <w:rPr>
          <w:rFonts w:eastAsia="Times New Roman" w:cstheme="minorHAnsi"/>
          <w:color w:val="000000"/>
        </w:rPr>
        <w:t>,</w:t>
      </w:r>
      <w:r w:rsidRPr="003A3276">
        <w:rPr>
          <w:rFonts w:eastAsia="Times New Roman" w:cstheme="minorHAnsi"/>
          <w:color w:val="000000"/>
        </w:rPr>
        <w:t xml:space="preserve"> to improve their </w:t>
      </w:r>
      <w:r w:rsidR="0023146B">
        <w:rPr>
          <w:rFonts w:eastAsia="Times New Roman" w:cstheme="minorHAnsi"/>
          <w:color w:val="000000"/>
        </w:rPr>
        <w:t xml:space="preserve">own </w:t>
      </w:r>
      <w:r w:rsidRPr="003A3276">
        <w:rPr>
          <w:rFonts w:eastAsia="Times New Roman" w:cstheme="minorHAnsi"/>
          <w:color w:val="000000"/>
        </w:rPr>
        <w:t xml:space="preserve">program(s). All SRAE </w:t>
      </w:r>
      <w:r>
        <w:rPr>
          <w:rFonts w:eastAsia="Times New Roman" w:cstheme="minorHAnsi"/>
          <w:color w:val="000000"/>
        </w:rPr>
        <w:t>grant recipient</w:t>
      </w:r>
      <w:r w:rsidRPr="003A3276">
        <w:rPr>
          <w:rFonts w:eastAsia="Times New Roman" w:cstheme="minorHAnsi"/>
          <w:color w:val="000000"/>
        </w:rPr>
        <w:t xml:space="preserve">s must be included in the study so that (1) the measures reflect the complete scope of the </w:t>
      </w:r>
      <w:r w:rsidR="004F7430">
        <w:rPr>
          <w:rFonts w:eastAsia="Times New Roman" w:cstheme="minorHAnsi"/>
          <w:color w:val="000000"/>
        </w:rPr>
        <w:t>SRAE P</w:t>
      </w:r>
      <w:r w:rsidRPr="003A3276">
        <w:rPr>
          <w:rFonts w:eastAsia="Times New Roman" w:cstheme="minorHAnsi"/>
          <w:color w:val="000000"/>
        </w:rPr>
        <w:t xml:space="preserve">rogram and (2) the data can be used to promote program improvement among all </w:t>
      </w:r>
      <w:r>
        <w:rPr>
          <w:rFonts w:eastAsia="Times New Roman" w:cstheme="minorHAnsi"/>
          <w:color w:val="000000"/>
        </w:rPr>
        <w:t>grant recipient</w:t>
      </w:r>
      <w:r w:rsidRPr="003A3276">
        <w:rPr>
          <w:rFonts w:eastAsia="Times New Roman" w:cstheme="minorHAnsi"/>
          <w:color w:val="000000"/>
        </w:rPr>
        <w:t>s.</w:t>
      </w:r>
    </w:p>
    <w:p w:rsidR="00A42C71" w:rsidRPr="003A3276" w:rsidP="00A42C71" w14:paraId="705CF94B" w14:textId="77777777">
      <w:pPr>
        <w:pStyle w:val="ListParagraph"/>
        <w:spacing w:after="0" w:line="240" w:lineRule="auto"/>
        <w:ind w:left="0"/>
        <w:rPr>
          <w:rFonts w:cstheme="minorHAnsi"/>
        </w:rPr>
      </w:pPr>
    </w:p>
    <w:p w:rsidR="00A42C71" w:rsidRPr="003A3276" w:rsidP="1BD656F7" w14:paraId="39D4A6AF" w14:textId="58963384">
      <w:pPr>
        <w:autoSpaceDE w:val="0"/>
        <w:autoSpaceDN w:val="0"/>
        <w:adjustRightInd w:val="0"/>
        <w:spacing w:after="120" w:line="240" w:lineRule="atLeast"/>
        <w:rPr>
          <w:rFonts w:eastAsia="Times New Roman"/>
          <w:color w:val="000000"/>
        </w:rPr>
      </w:pPr>
      <w:r w:rsidRPr="1BD656F7">
        <w:rPr>
          <w:rFonts w:eastAsia="Times New Roman"/>
          <w:b/>
          <w:bCs/>
          <w:color w:val="000000" w:themeColor="text1"/>
        </w:rPr>
        <w:t>B3.</w:t>
      </w:r>
      <w:r>
        <w:tab/>
      </w:r>
      <w:r w:rsidRPr="1BD656F7">
        <w:rPr>
          <w:rFonts w:eastAsia="Times New Roman"/>
          <w:b/>
          <w:bCs/>
          <w:color w:val="000000" w:themeColor="text1"/>
        </w:rPr>
        <w:t>Design of Data Collection Instruments</w:t>
      </w:r>
    </w:p>
    <w:p w:rsidR="00A42C71" w:rsidRPr="003A3276" w:rsidP="00A42C71" w14:paraId="2E0B6BE8" w14:textId="1C9C08F4">
      <w:pPr>
        <w:autoSpaceDE w:val="0"/>
        <w:autoSpaceDN w:val="0"/>
        <w:adjustRightInd w:val="0"/>
        <w:spacing w:after="60" w:line="240" w:lineRule="atLeast"/>
        <w:rPr>
          <w:rFonts w:eastAsia="Times New Roman" w:cstheme="minorHAnsi"/>
          <w:i/>
          <w:color w:val="000000"/>
        </w:rPr>
      </w:pPr>
      <w:r w:rsidRPr="003A3276">
        <w:rPr>
          <w:rFonts w:eastAsia="Times New Roman" w:cstheme="minorHAnsi"/>
          <w:i/>
          <w:color w:val="000000"/>
        </w:rPr>
        <w:t>Development of Data Collection Instruments</w:t>
      </w:r>
    </w:p>
    <w:p w:rsidR="00A42C71" w:rsidRPr="003A3276" w:rsidP="003D6F33" w14:paraId="07375F14" w14:textId="68502B0C">
      <w:pPr>
        <w:autoSpaceDE w:val="0"/>
        <w:autoSpaceDN w:val="0"/>
        <w:adjustRightInd w:val="0"/>
        <w:spacing w:after="0" w:line="240" w:lineRule="auto"/>
        <w:rPr>
          <w:rFonts w:eastAsia="Times New Roman" w:cstheme="minorHAnsi"/>
          <w:color w:val="000000"/>
          <w:szCs w:val="24"/>
        </w:rPr>
      </w:pPr>
      <w:r w:rsidRPr="003A3276">
        <w:rPr>
          <w:rFonts w:eastAsia="Times New Roman" w:cstheme="minorHAnsi"/>
          <w:color w:val="000000"/>
          <w:szCs w:val="24"/>
        </w:rPr>
        <w:t>The SRAE performance measures and data collection instruments were developed through a deliberative process over two years</w:t>
      </w:r>
      <w:r w:rsidRPr="003A3276" w:rsidR="001B72D6">
        <w:rPr>
          <w:rFonts w:eastAsia="Times New Roman" w:cstheme="minorHAnsi"/>
          <w:color w:val="000000"/>
          <w:szCs w:val="24"/>
        </w:rPr>
        <w:t xml:space="preserve"> and </w:t>
      </w:r>
      <w:r w:rsidRPr="003A3276" w:rsidR="00C513EE">
        <w:rPr>
          <w:rFonts w:eastAsia="Times New Roman" w:cstheme="minorHAnsi"/>
          <w:color w:val="000000"/>
          <w:szCs w:val="24"/>
        </w:rPr>
        <w:t xml:space="preserve">subsequently </w:t>
      </w:r>
      <w:r w:rsidRPr="003A3276" w:rsidR="001B72D6">
        <w:rPr>
          <w:rFonts w:eastAsia="Times New Roman" w:cstheme="minorHAnsi"/>
          <w:color w:val="000000"/>
          <w:szCs w:val="24"/>
        </w:rPr>
        <w:t>revised</w:t>
      </w:r>
      <w:r w:rsidRPr="003A3276" w:rsidR="00A12214">
        <w:rPr>
          <w:rFonts w:eastAsia="Times New Roman" w:cstheme="minorHAnsi"/>
          <w:color w:val="000000"/>
          <w:szCs w:val="24"/>
        </w:rPr>
        <w:t xml:space="preserve"> after data collection began</w:t>
      </w:r>
      <w:r w:rsidRPr="003A3276">
        <w:rPr>
          <w:rFonts w:eastAsia="Times New Roman" w:cstheme="minorHAnsi"/>
          <w:color w:val="000000"/>
          <w:szCs w:val="24"/>
        </w:rPr>
        <w:t xml:space="preserve">. Several documents informed the development of the data collection instruments, including: (1) data collection instruments used to collect performance measures information for other adolescent pregnancy prevention grant programs; (2) performance progress reports used to monitor previous FYSB grant programs that promoted refraining from nonmarital sex; and (3) documentation of measures used in other relevant data </w:t>
      </w:r>
      <w:r w:rsidRPr="003A3276">
        <w:t>collections</w:t>
      </w:r>
      <w:r w:rsidRPr="003A3276">
        <w:rPr>
          <w:rFonts w:eastAsia="Times New Roman" w:cstheme="minorHAnsi"/>
          <w:color w:val="000000"/>
          <w:szCs w:val="24"/>
        </w:rPr>
        <w:t>, including survey items from the Youth Risk Behavior Survey, the National Longitudinal Study of Adolescent to Adult Health, and the National Youth in Transition Database. In addition, ACF consulted with FYSB program staff (</w:t>
      </w:r>
      <w:r>
        <w:rPr>
          <w:rFonts w:eastAsia="Times New Roman" w:cstheme="minorHAnsi"/>
          <w:color w:val="000000"/>
          <w:szCs w:val="24"/>
        </w:rPr>
        <w:t>grant recipient</w:t>
      </w:r>
      <w:r w:rsidRPr="003A3276">
        <w:rPr>
          <w:rFonts w:eastAsia="Times New Roman" w:cstheme="minorHAnsi"/>
          <w:color w:val="000000"/>
          <w:szCs w:val="24"/>
        </w:rPr>
        <w:t xml:space="preserve">s’ project officers), select SRAE </w:t>
      </w:r>
      <w:r>
        <w:rPr>
          <w:rFonts w:eastAsia="Times New Roman" w:cstheme="minorHAnsi"/>
          <w:color w:val="000000"/>
          <w:szCs w:val="24"/>
        </w:rPr>
        <w:t>grant recipient</w:t>
      </w:r>
      <w:r w:rsidRPr="003A3276">
        <w:rPr>
          <w:rFonts w:eastAsia="Times New Roman" w:cstheme="minorHAnsi"/>
          <w:color w:val="000000"/>
          <w:szCs w:val="24"/>
        </w:rPr>
        <w:t>s, and ACF leadership to obtain their feedback on the proposed measures, processes, and instruments.</w:t>
      </w:r>
    </w:p>
    <w:p w:rsidR="00EC3A15" w:rsidRPr="003A3276" w:rsidP="003D6F33" w14:paraId="1408C0B2" w14:textId="77777777">
      <w:pPr>
        <w:autoSpaceDE w:val="0"/>
        <w:autoSpaceDN w:val="0"/>
        <w:adjustRightInd w:val="0"/>
        <w:spacing w:after="0" w:line="240" w:lineRule="auto"/>
        <w:rPr>
          <w:rFonts w:eastAsia="Times New Roman" w:cstheme="minorHAnsi"/>
          <w:color w:val="000000"/>
          <w:szCs w:val="24"/>
        </w:rPr>
      </w:pPr>
    </w:p>
    <w:p w:rsidR="00EC3A15" w:rsidP="003D6F33" w14:paraId="0A4D5396" w14:textId="29104C30">
      <w:pPr>
        <w:spacing w:after="0" w:line="240" w:lineRule="auto"/>
        <w:rPr>
          <w:rFonts w:eastAsia="Times New Roman" w:cstheme="minorHAnsi"/>
          <w:color w:val="000000"/>
          <w:szCs w:val="24"/>
        </w:rPr>
      </w:pPr>
      <w:r w:rsidRPr="003A3276">
        <w:rPr>
          <w:rFonts w:eastAsia="Times New Roman" w:cstheme="minorHAnsi"/>
          <w:color w:val="000000"/>
          <w:szCs w:val="24"/>
        </w:rPr>
        <w:t xml:space="preserve">Cognitive pretesting with nine youth ages 12 to 18 was conducted for the Participant Entry and Exit Surveys (Instruments 1 and 2). The cognitive pretest sample included males and females, as well as youth from a mix of racial and ethnic backgrounds. The survey questions were revised based on the results of these </w:t>
      </w:r>
      <w:r w:rsidR="00904297">
        <w:rPr>
          <w:rFonts w:eastAsia="Times New Roman" w:cstheme="minorHAnsi"/>
          <w:color w:val="000000"/>
          <w:szCs w:val="24"/>
        </w:rPr>
        <w:t>pre</w:t>
      </w:r>
      <w:r w:rsidRPr="003A3276">
        <w:rPr>
          <w:rFonts w:eastAsia="Times New Roman" w:cstheme="minorHAnsi"/>
          <w:color w:val="000000"/>
          <w:szCs w:val="24"/>
        </w:rPr>
        <w:t xml:space="preserve">tests. </w:t>
      </w:r>
      <w:r w:rsidR="000A6550">
        <w:rPr>
          <w:rFonts w:eastAsia="Times New Roman" w:cstheme="minorHAnsi"/>
          <w:color w:val="000000"/>
          <w:szCs w:val="24"/>
        </w:rPr>
        <w:t>These revisions were previously reviewed and approved by OMB and are reflected in the current submission</w:t>
      </w:r>
      <w:r w:rsidRPr="003A3276" w:rsidR="000A6550">
        <w:rPr>
          <w:rFonts w:eastAsia="Times New Roman" w:cstheme="minorHAnsi"/>
          <w:color w:val="000000"/>
          <w:szCs w:val="24"/>
        </w:rPr>
        <w:t>.</w:t>
      </w:r>
    </w:p>
    <w:p w:rsidR="003D6F33" w:rsidRPr="003A3276" w:rsidP="003D6F33" w14:paraId="29FA855F" w14:textId="77777777">
      <w:pPr>
        <w:spacing w:after="0" w:line="240" w:lineRule="auto"/>
        <w:rPr>
          <w:rFonts w:eastAsia="Times New Roman" w:cstheme="minorHAnsi"/>
          <w:color w:val="000000"/>
          <w:szCs w:val="24"/>
        </w:rPr>
      </w:pPr>
    </w:p>
    <w:p w:rsidR="00C513EE" w:rsidRPr="005914A4" w:rsidP="003D6F33" w14:paraId="4AC85E85" w14:textId="493F95BD">
      <w:pPr>
        <w:spacing w:after="0" w:line="240" w:lineRule="auto"/>
        <w:rPr>
          <w:rFonts w:eastAsia="Times New Roman" w:cstheme="minorHAnsi"/>
          <w:color w:val="000000"/>
          <w:szCs w:val="24"/>
        </w:rPr>
      </w:pPr>
      <w:r w:rsidRPr="003A3276">
        <w:rPr>
          <w:rFonts w:eastAsia="Times New Roman" w:cstheme="minorHAnsi"/>
          <w:color w:val="000000"/>
          <w:szCs w:val="24"/>
        </w:rPr>
        <w:t xml:space="preserve">During the initial years of SRAE performance measures data collection, the instruments were revised several times to (1) </w:t>
      </w:r>
      <w:r w:rsidRPr="003A3276" w:rsidR="00A12214">
        <w:rPr>
          <w:rFonts w:eastAsia="Times New Roman" w:cstheme="minorHAnsi"/>
          <w:color w:val="000000"/>
          <w:szCs w:val="24"/>
        </w:rPr>
        <w:t xml:space="preserve">address </w:t>
      </w:r>
      <w:r w:rsidRPr="003A3276" w:rsidR="008E0DEB">
        <w:rPr>
          <w:rFonts w:eastAsia="Times New Roman" w:cstheme="minorHAnsi"/>
          <w:color w:val="000000"/>
          <w:szCs w:val="24"/>
        </w:rPr>
        <w:t xml:space="preserve">comments from SRAE </w:t>
      </w:r>
      <w:r>
        <w:rPr>
          <w:rFonts w:eastAsia="Times New Roman" w:cstheme="minorHAnsi"/>
          <w:color w:val="000000"/>
          <w:szCs w:val="24"/>
        </w:rPr>
        <w:t>grant recipient</w:t>
      </w:r>
      <w:r w:rsidRPr="003A3276" w:rsidR="008E0DEB">
        <w:rPr>
          <w:rFonts w:eastAsia="Times New Roman" w:cstheme="minorHAnsi"/>
          <w:color w:val="000000"/>
          <w:szCs w:val="24"/>
        </w:rPr>
        <w:t>s</w:t>
      </w:r>
      <w:r w:rsidRPr="003A3276" w:rsidR="00A12214">
        <w:rPr>
          <w:rFonts w:eastAsia="Times New Roman" w:cstheme="minorHAnsi"/>
          <w:color w:val="000000"/>
          <w:szCs w:val="24"/>
        </w:rPr>
        <w:t xml:space="preserve"> on the data collection instruments</w:t>
      </w:r>
      <w:r w:rsidRPr="003A3276">
        <w:rPr>
          <w:rFonts w:eastAsia="Times New Roman" w:cstheme="minorHAnsi"/>
          <w:color w:val="000000"/>
          <w:szCs w:val="24"/>
        </w:rPr>
        <w:t xml:space="preserve">, (2) </w:t>
      </w:r>
      <w:r w:rsidRPr="003A3276" w:rsidR="008E0DEB">
        <w:rPr>
          <w:rFonts w:eastAsia="Times New Roman" w:cstheme="minorHAnsi"/>
          <w:color w:val="000000"/>
          <w:szCs w:val="24"/>
        </w:rPr>
        <w:t xml:space="preserve">streamline the </w:t>
      </w:r>
      <w:r w:rsidRPr="003A3276" w:rsidR="00A12214">
        <w:rPr>
          <w:rFonts w:eastAsia="Times New Roman" w:cstheme="minorHAnsi"/>
          <w:color w:val="000000"/>
          <w:szCs w:val="24"/>
        </w:rPr>
        <w:t>instruments</w:t>
      </w:r>
      <w:r w:rsidRPr="003A3276" w:rsidR="00827913">
        <w:t xml:space="preserve"> to ask only </w:t>
      </w:r>
      <w:r w:rsidRPr="003A3276" w:rsidR="00E552F2">
        <w:t xml:space="preserve">those </w:t>
      </w:r>
      <w:r w:rsidRPr="003A3276" w:rsidR="00827913">
        <w:t>questions necessary to achieve the objectives of the SRAE PAS</w:t>
      </w:r>
      <w:r w:rsidRPr="003A3276">
        <w:rPr>
          <w:rFonts w:eastAsia="Times New Roman" w:cstheme="minorHAnsi"/>
          <w:color w:val="000000"/>
          <w:szCs w:val="24"/>
        </w:rPr>
        <w:t>, and (3) include</w:t>
      </w:r>
      <w:r w:rsidRPr="003A3276" w:rsidR="00A12214">
        <w:rPr>
          <w:rFonts w:eastAsia="Times New Roman" w:cstheme="minorHAnsi"/>
          <w:color w:val="000000"/>
          <w:szCs w:val="24"/>
        </w:rPr>
        <w:t xml:space="preserve">—and later revise—measures </w:t>
      </w:r>
      <w:r w:rsidRPr="003A3276">
        <w:rPr>
          <w:rFonts w:eastAsia="Times New Roman" w:cstheme="minorHAnsi"/>
          <w:color w:val="000000"/>
          <w:szCs w:val="24"/>
        </w:rPr>
        <w:t>related to</w:t>
      </w:r>
      <w:r w:rsidRPr="003A3276" w:rsidR="00A12214">
        <w:rPr>
          <w:rFonts w:eastAsia="Times New Roman" w:cstheme="minorHAnsi"/>
          <w:color w:val="000000"/>
          <w:szCs w:val="24"/>
        </w:rPr>
        <w:t xml:space="preserve"> effects of the</w:t>
      </w:r>
      <w:r w:rsidRPr="003A3276">
        <w:rPr>
          <w:rFonts w:eastAsia="Times New Roman" w:cstheme="minorHAnsi"/>
          <w:color w:val="000000"/>
          <w:szCs w:val="24"/>
        </w:rPr>
        <w:t xml:space="preserve"> COVID-19 pandemic on SRAE program operations.</w:t>
      </w:r>
      <w:r w:rsidRPr="005914A4" w:rsidR="005914A4">
        <w:rPr>
          <w:rFonts w:eastAsia="Times New Roman" w:cstheme="minorHAnsi"/>
          <w:szCs w:val="24"/>
        </w:rPr>
        <w:t xml:space="preserve"> </w:t>
      </w:r>
      <w:r w:rsidR="005914A4">
        <w:rPr>
          <w:rFonts w:eastAsia="Times New Roman" w:cstheme="minorHAnsi"/>
          <w:szCs w:val="24"/>
        </w:rPr>
        <w:t>Some of these revisions resulted in the creation of alternate versions of</w:t>
      </w:r>
      <w:r w:rsidRPr="005914A4" w:rsidR="005914A4">
        <w:rPr>
          <w:rFonts w:eastAsia="Times New Roman" w:cstheme="minorHAnsi"/>
          <w:szCs w:val="24"/>
        </w:rPr>
        <w:t xml:space="preserve"> </w:t>
      </w:r>
      <w:r w:rsidR="005914A4">
        <w:rPr>
          <w:rFonts w:eastAsia="Times New Roman" w:cstheme="minorHAnsi"/>
          <w:szCs w:val="24"/>
        </w:rPr>
        <w:t xml:space="preserve">the </w:t>
      </w:r>
      <w:r w:rsidRPr="005E1206" w:rsidR="005914A4">
        <w:rPr>
          <w:rFonts w:eastAsia="Times New Roman" w:cstheme="minorHAnsi"/>
          <w:szCs w:val="24"/>
        </w:rPr>
        <w:t>entry and exit survey</w:t>
      </w:r>
      <w:r w:rsidR="005914A4">
        <w:rPr>
          <w:rFonts w:eastAsia="Times New Roman" w:cstheme="minorHAnsi"/>
          <w:szCs w:val="24"/>
        </w:rPr>
        <w:t xml:space="preserve"> i</w:t>
      </w:r>
      <w:r w:rsidRPr="005E1206" w:rsidR="005914A4">
        <w:rPr>
          <w:rFonts w:eastAsia="Times New Roman" w:cstheme="minorHAnsi"/>
          <w:szCs w:val="24"/>
        </w:rPr>
        <w:t>nstrument</w:t>
      </w:r>
      <w:r w:rsidR="005914A4">
        <w:rPr>
          <w:rFonts w:eastAsia="Times New Roman" w:cstheme="minorHAnsi"/>
          <w:szCs w:val="24"/>
        </w:rPr>
        <w:t>s</w:t>
      </w:r>
      <w:r w:rsidRPr="00A45DC0" w:rsidR="00A45DC0">
        <w:rPr>
          <w:rFonts w:eastAsia="Times New Roman"/>
        </w:rPr>
        <w:t xml:space="preserve"> </w:t>
      </w:r>
      <w:r w:rsidR="00A45DC0">
        <w:rPr>
          <w:rFonts w:eastAsia="Times New Roman"/>
        </w:rPr>
        <w:t xml:space="preserve">to meet the needs of different types of </w:t>
      </w:r>
      <w:r>
        <w:rPr>
          <w:rFonts w:eastAsia="Times New Roman"/>
        </w:rPr>
        <w:t>grant recipient</w:t>
      </w:r>
      <w:r w:rsidR="00A45DC0">
        <w:rPr>
          <w:rFonts w:eastAsia="Times New Roman"/>
        </w:rPr>
        <w:t>s and populations of youth</w:t>
      </w:r>
      <w:r w:rsidR="005914A4">
        <w:rPr>
          <w:rFonts w:eastAsia="Times New Roman" w:cstheme="minorHAnsi"/>
          <w:szCs w:val="24"/>
        </w:rPr>
        <w:t>.</w:t>
      </w:r>
      <w:r>
        <w:rPr>
          <w:rStyle w:val="FootnoteReference"/>
          <w:rFonts w:eastAsia="Times New Roman" w:cstheme="minorHAnsi"/>
          <w:szCs w:val="24"/>
        </w:rPr>
        <w:footnoteReference w:id="2"/>
      </w:r>
      <w:r w:rsidR="005914A4">
        <w:rPr>
          <w:rFonts w:eastAsia="Times New Roman" w:cstheme="minorHAnsi"/>
          <w:szCs w:val="24"/>
        </w:rPr>
        <w:t xml:space="preserve"> </w:t>
      </w:r>
      <w:r w:rsidR="00650B68">
        <w:rPr>
          <w:rFonts w:eastAsia="Times New Roman" w:cstheme="minorHAnsi"/>
          <w:color w:val="000000"/>
          <w:szCs w:val="24"/>
        </w:rPr>
        <w:t xml:space="preserve">These changes were previously reviewed and approved by OMB and </w:t>
      </w:r>
      <w:r w:rsidR="000A6550">
        <w:rPr>
          <w:rFonts w:eastAsia="Times New Roman" w:cstheme="minorHAnsi"/>
          <w:color w:val="000000"/>
          <w:szCs w:val="24"/>
        </w:rPr>
        <w:t>are reflected in the current submission</w:t>
      </w:r>
      <w:r w:rsidRPr="003A3276" w:rsidR="00650B68">
        <w:rPr>
          <w:rFonts w:eastAsia="Times New Roman" w:cstheme="minorHAnsi"/>
          <w:color w:val="000000"/>
          <w:szCs w:val="24"/>
        </w:rPr>
        <w:t>.</w:t>
      </w:r>
    </w:p>
    <w:p w:rsidR="00435AA5" w:rsidP="00EC3A15" w14:paraId="6113DC65" w14:textId="694997D7">
      <w:pPr>
        <w:autoSpaceDE w:val="0"/>
        <w:autoSpaceDN w:val="0"/>
        <w:adjustRightInd w:val="0"/>
        <w:spacing w:after="0" w:line="240" w:lineRule="atLeast"/>
        <w:rPr>
          <w:rFonts w:eastAsia="Times New Roman" w:cstheme="minorHAnsi"/>
          <w:color w:val="000000"/>
          <w:szCs w:val="24"/>
        </w:rPr>
      </w:pPr>
      <w:r>
        <w:rPr>
          <w:rFonts w:eastAsia="Times New Roman" w:cs="Times New Roman"/>
          <w:szCs w:val="24"/>
        </w:rPr>
        <w:t xml:space="preserve">We are currently engaged in efforts to improve the survey questions on </w:t>
      </w:r>
      <w:r w:rsidR="00F77C0F">
        <w:t>sexual orientation and gender identity (</w:t>
      </w:r>
      <w:r>
        <w:rPr>
          <w:rFonts w:cs="Times New Roman"/>
        </w:rPr>
        <w:t>SOGI</w:t>
      </w:r>
      <w:r w:rsidR="00F77C0F">
        <w:rPr>
          <w:rFonts w:cs="Times New Roman"/>
        </w:rPr>
        <w:t>)</w:t>
      </w:r>
      <w:r>
        <w:rPr>
          <w:rFonts w:cs="Times New Roman"/>
        </w:rPr>
        <w:t xml:space="preserve"> and </w:t>
      </w:r>
      <w:r>
        <w:rPr>
          <w:rFonts w:eastAsia="Times New Roman" w:cs="Times New Roman"/>
          <w:szCs w:val="24"/>
        </w:rPr>
        <w:t xml:space="preserve">race/ethnicity </w:t>
      </w:r>
      <w:r w:rsidRPr="00EE3651">
        <w:rPr>
          <w:rFonts w:cs="Times New Roman"/>
        </w:rPr>
        <w:t>to better represent the range of participants</w:t>
      </w:r>
      <w:r>
        <w:rPr>
          <w:rFonts w:cs="Times New Roman"/>
        </w:rPr>
        <w:t>, as well as to align with a White House Executive Order and guidance from OMB</w:t>
      </w:r>
      <w:r>
        <w:rPr>
          <w:rStyle w:val="FootnoteReference"/>
          <w:rFonts w:cs="Times New Roman"/>
        </w:rPr>
        <w:footnoteReference w:id="3"/>
      </w:r>
      <w:r>
        <w:rPr>
          <w:rFonts w:cs="Times New Roman"/>
        </w:rPr>
        <w:t xml:space="preserve">. </w:t>
      </w:r>
      <w:r>
        <w:t xml:space="preserve"> </w:t>
      </w:r>
      <w:r>
        <w:rPr>
          <w:rFonts w:cs="Times New Roman"/>
        </w:rPr>
        <w:t xml:space="preserve">As part of an agency-wide initiative to select SOGI items, ACF is beginning a process of pretesting potential SOGI </w:t>
      </w:r>
      <w:r>
        <w:rPr>
          <w:rFonts w:eastAsia="Times New Roman" w:cs="Times New Roman"/>
          <w:szCs w:val="24"/>
        </w:rPr>
        <w:t xml:space="preserve">questions </w:t>
      </w:r>
      <w:r>
        <w:rPr>
          <w:rFonts w:cs="Times New Roman"/>
        </w:rPr>
        <w:t xml:space="preserve">with youth, including youth participating in SRAE programs. </w:t>
      </w:r>
      <w:r w:rsidRPr="00DA709A">
        <w:rPr>
          <w:bCs/>
        </w:rPr>
        <w:t xml:space="preserve">When this process is complete, ACF plans to replace the current binary sex question in the SRAE PAS participant entry and exit surveys item with the new </w:t>
      </w:r>
      <w:r w:rsidRPr="00DA709A">
        <w:t xml:space="preserve">items. However, </w:t>
      </w:r>
      <w:r w:rsidRPr="00DA709A">
        <w:rPr>
          <w:bCs/>
        </w:rPr>
        <w:t xml:space="preserve">to allow time for the pretesting of the new items to be completed, we currently request an extension without change but with terms included to specify that </w:t>
      </w:r>
      <w:r w:rsidRPr="00DA709A">
        <w:t>once this work is completed, ACF will submit updated surveys to OMB for review and approval.</w:t>
      </w:r>
      <w:r w:rsidRPr="00102CD2">
        <w:t xml:space="preserve"> </w:t>
      </w:r>
    </w:p>
    <w:p w:rsidR="00435AA5" w:rsidP="00EC3A15" w14:paraId="61C57483" w14:textId="77777777">
      <w:pPr>
        <w:autoSpaceDE w:val="0"/>
        <w:autoSpaceDN w:val="0"/>
        <w:adjustRightInd w:val="0"/>
        <w:spacing w:after="0" w:line="240" w:lineRule="atLeast"/>
        <w:rPr>
          <w:rFonts w:eastAsia="Times New Roman" w:cstheme="minorHAnsi"/>
          <w:color w:val="000000"/>
          <w:szCs w:val="24"/>
        </w:rPr>
      </w:pPr>
    </w:p>
    <w:p w:rsidR="00EC3A15" w:rsidRPr="003A3276" w:rsidP="00EC3A15" w14:paraId="1FAEA71A" w14:textId="480E259B">
      <w:pPr>
        <w:autoSpaceDE w:val="0"/>
        <w:autoSpaceDN w:val="0"/>
        <w:adjustRightInd w:val="0"/>
        <w:spacing w:after="0" w:line="240" w:lineRule="atLeast"/>
        <w:rPr>
          <w:rFonts w:eastAsia="Times New Roman" w:cstheme="minorHAnsi"/>
          <w:color w:val="000000"/>
        </w:rPr>
      </w:pPr>
      <w:r w:rsidRPr="003A3276">
        <w:rPr>
          <w:rFonts w:eastAsia="Times New Roman" w:cstheme="minorHAnsi"/>
          <w:color w:val="000000"/>
          <w:szCs w:val="24"/>
        </w:rPr>
        <w:t>Each of the four data collection instrument</w:t>
      </w:r>
      <w:r w:rsidR="00401398">
        <w:rPr>
          <w:rFonts w:eastAsia="Times New Roman" w:cstheme="minorHAnsi"/>
          <w:color w:val="000000"/>
          <w:szCs w:val="24"/>
        </w:rPr>
        <w:t>s</w:t>
      </w:r>
      <w:r w:rsidRPr="003A3276">
        <w:rPr>
          <w:rFonts w:eastAsia="Times New Roman" w:cstheme="minorHAnsi"/>
          <w:color w:val="000000"/>
          <w:szCs w:val="24"/>
        </w:rPr>
        <w:t xml:space="preserve"> address</w:t>
      </w:r>
      <w:r w:rsidRPr="003A3276" w:rsidR="00827913">
        <w:rPr>
          <w:rFonts w:eastAsia="Times New Roman" w:cstheme="minorHAnsi"/>
          <w:color w:val="000000"/>
          <w:szCs w:val="24"/>
        </w:rPr>
        <w:t>es</w:t>
      </w:r>
      <w:r w:rsidRPr="003A3276">
        <w:rPr>
          <w:rFonts w:eastAsia="Times New Roman" w:cstheme="minorHAnsi"/>
          <w:color w:val="000000"/>
          <w:szCs w:val="24"/>
        </w:rPr>
        <w:t xml:space="preserve"> the study objectives described in Section B1 above. Instruments 1 and 2 capture information on the characteristics of the youth participating in the program and their perceptions of program effects, and Instruments 3 and 4 capture information on </w:t>
      </w:r>
      <w:r>
        <w:rPr>
          <w:rFonts w:eastAsia="Times New Roman" w:cstheme="minorHAnsi"/>
          <w:color w:val="000000"/>
          <w:szCs w:val="24"/>
        </w:rPr>
        <w:t>grant recipient</w:t>
      </w:r>
      <w:r w:rsidRPr="003A3276">
        <w:rPr>
          <w:rFonts w:eastAsia="Times New Roman" w:cstheme="minorHAnsi"/>
          <w:color w:val="000000"/>
          <w:szCs w:val="24"/>
        </w:rPr>
        <w:t>s’ and sub</w:t>
      </w:r>
      <w:r w:rsidRPr="003A3276" w:rsidR="007111DD">
        <w:rPr>
          <w:rFonts w:eastAsia="Times New Roman" w:cstheme="minorHAnsi"/>
          <w:color w:val="000000"/>
          <w:szCs w:val="24"/>
        </w:rPr>
        <w:t>recipient</w:t>
      </w:r>
      <w:r w:rsidRPr="003A3276">
        <w:rPr>
          <w:rFonts w:eastAsia="Times New Roman" w:cstheme="minorHAnsi"/>
          <w:color w:val="000000"/>
          <w:szCs w:val="24"/>
        </w:rPr>
        <w:t>s’ implementation of SRAE programs. Both types of data will be used to monitor program implementation and outcomes, inform program improvement, and provide status and progress updates.</w:t>
      </w:r>
    </w:p>
    <w:p w:rsidR="00A42C71" w:rsidRPr="003A3276" w:rsidP="00A42C71" w14:paraId="309ACF0F" w14:textId="77777777">
      <w:pPr>
        <w:autoSpaceDE w:val="0"/>
        <w:autoSpaceDN w:val="0"/>
        <w:adjustRightInd w:val="0"/>
        <w:spacing w:after="0" w:line="240" w:lineRule="atLeast"/>
        <w:rPr>
          <w:rFonts w:eastAsia="Times New Roman" w:cstheme="minorHAnsi"/>
          <w:color w:val="000000"/>
        </w:rPr>
      </w:pPr>
    </w:p>
    <w:p w:rsidR="00A42C71" w:rsidRPr="003A3276" w:rsidP="003A3276" w14:paraId="3E0643E6" w14:textId="77777777">
      <w:pPr>
        <w:keepNext/>
        <w:autoSpaceDE w:val="0"/>
        <w:autoSpaceDN w:val="0"/>
        <w:adjustRightInd w:val="0"/>
        <w:spacing w:after="120" w:line="240" w:lineRule="atLeast"/>
        <w:rPr>
          <w:rFonts w:eastAsia="Times New Roman" w:cstheme="minorHAnsi"/>
          <w:color w:val="000000"/>
        </w:rPr>
      </w:pPr>
      <w:r w:rsidRPr="003A3276">
        <w:rPr>
          <w:rFonts w:eastAsia="Times New Roman" w:cstheme="minorHAnsi"/>
          <w:b/>
          <w:bCs/>
          <w:color w:val="000000"/>
        </w:rPr>
        <w:t xml:space="preserve">B4. </w:t>
      </w:r>
      <w:r w:rsidRPr="003A3276">
        <w:rPr>
          <w:rFonts w:eastAsia="Times New Roman" w:cstheme="minorHAnsi"/>
          <w:b/>
          <w:bCs/>
          <w:color w:val="000000"/>
        </w:rPr>
        <w:tab/>
        <w:t>Collection of Data and Quality Control</w:t>
      </w:r>
    </w:p>
    <w:p w:rsidR="00EC3A15" w:rsidRPr="003A3276" w:rsidP="00EC3A15" w14:paraId="7776AE70" w14:textId="67938F27">
      <w:pPr>
        <w:spacing w:after="240" w:line="240" w:lineRule="auto"/>
        <w:rPr>
          <w:rFonts w:eastAsia="Times New Roman" w:cstheme="minorHAnsi"/>
          <w:szCs w:val="20"/>
        </w:rPr>
      </w:pPr>
      <w:r w:rsidRPr="003A3276">
        <w:rPr>
          <w:rFonts w:eastAsia="Times New Roman" w:cstheme="minorHAnsi"/>
          <w:b/>
          <w:iCs/>
          <w:szCs w:val="20"/>
        </w:rPr>
        <w:t>Instruments 1</w:t>
      </w:r>
      <w:r w:rsidRPr="003A3276" w:rsidR="00F2172B">
        <w:rPr>
          <w:b/>
          <w:bCs/>
          <w:szCs w:val="24"/>
        </w:rPr>
        <w:t>–</w:t>
      </w:r>
      <w:r w:rsidRPr="003A3276">
        <w:rPr>
          <w:rFonts w:eastAsia="Times New Roman" w:cstheme="minorHAnsi"/>
          <w:b/>
          <w:iCs/>
          <w:szCs w:val="20"/>
        </w:rPr>
        <w:t>2: Participant Entry and Exit Surveys.</w:t>
      </w:r>
      <w:r w:rsidRPr="003A3276">
        <w:rPr>
          <w:rFonts w:eastAsia="Times New Roman" w:cstheme="minorHAnsi"/>
          <w:iCs/>
          <w:szCs w:val="20"/>
        </w:rPr>
        <w:t xml:space="preserve"> </w:t>
      </w:r>
      <w:r w:rsidR="00AE597E">
        <w:rPr>
          <w:rFonts w:eastAsia="Times New Roman" w:cstheme="minorHAnsi"/>
          <w:iCs/>
          <w:szCs w:val="20"/>
        </w:rPr>
        <w:t xml:space="preserve">As in </w:t>
      </w:r>
      <w:r w:rsidR="00063B10">
        <w:rPr>
          <w:rFonts w:eastAsia="Times New Roman" w:cstheme="minorHAnsi"/>
          <w:iCs/>
          <w:szCs w:val="20"/>
        </w:rPr>
        <w:t>earlier</w:t>
      </w:r>
      <w:r w:rsidR="00AE597E">
        <w:rPr>
          <w:rFonts w:eastAsia="Times New Roman" w:cstheme="minorHAnsi"/>
          <w:iCs/>
          <w:szCs w:val="20"/>
        </w:rPr>
        <w:t xml:space="preserve"> rounds of </w:t>
      </w:r>
      <w:r w:rsidR="00063B10">
        <w:rPr>
          <w:rFonts w:eastAsia="Times New Roman" w:cstheme="minorHAnsi"/>
          <w:iCs/>
          <w:szCs w:val="20"/>
        </w:rPr>
        <w:t xml:space="preserve">SRAE performance measures </w:t>
      </w:r>
      <w:r w:rsidR="00AE597E">
        <w:rPr>
          <w:rFonts w:eastAsia="Times New Roman" w:cstheme="minorHAnsi"/>
          <w:iCs/>
          <w:szCs w:val="20"/>
        </w:rPr>
        <w:t>data collection,</w:t>
      </w:r>
      <w:r w:rsidRPr="00AE597E" w:rsidR="00AE597E">
        <w:rPr>
          <w:rFonts w:eastAsia="Times New Roman" w:cstheme="minorHAnsi"/>
          <w:iCs/>
          <w:szCs w:val="20"/>
        </w:rPr>
        <w:t xml:space="preserve"> </w:t>
      </w:r>
      <w:r w:rsidR="00AE597E">
        <w:rPr>
          <w:rFonts w:eastAsia="Times New Roman" w:cstheme="minorHAnsi"/>
          <w:iCs/>
          <w:szCs w:val="20"/>
        </w:rPr>
        <w:t>e</w:t>
      </w:r>
      <w:r w:rsidRPr="003A3276">
        <w:rPr>
          <w:rFonts w:eastAsia="Times New Roman" w:cstheme="minorHAnsi"/>
          <w:iCs/>
          <w:szCs w:val="20"/>
        </w:rPr>
        <w:t xml:space="preserve">ach </w:t>
      </w:r>
      <w:r>
        <w:rPr>
          <w:rFonts w:eastAsia="Times New Roman" w:cstheme="minorHAnsi"/>
          <w:iCs/>
          <w:szCs w:val="20"/>
        </w:rPr>
        <w:t>grant recipient</w:t>
      </w:r>
      <w:r w:rsidRPr="003A3276">
        <w:rPr>
          <w:rFonts w:eastAsia="Times New Roman" w:cstheme="minorHAnsi"/>
          <w:iCs/>
          <w:szCs w:val="20"/>
        </w:rPr>
        <w:t xml:space="preserve"> and its sub</w:t>
      </w:r>
      <w:r w:rsidRPr="003A3276" w:rsidR="007111DD">
        <w:rPr>
          <w:rFonts w:eastAsia="Times New Roman" w:cstheme="minorHAnsi"/>
          <w:iCs/>
          <w:szCs w:val="20"/>
        </w:rPr>
        <w:t>recipient</w:t>
      </w:r>
      <w:r w:rsidRPr="003A3276">
        <w:rPr>
          <w:rFonts w:eastAsia="Times New Roman" w:cstheme="minorHAnsi"/>
          <w:iCs/>
          <w:szCs w:val="20"/>
        </w:rPr>
        <w:t xml:space="preserve">s will make decisions regarding procedures for collecting the participant entry and exit surveys. Some </w:t>
      </w:r>
      <w:r>
        <w:rPr>
          <w:rFonts w:eastAsia="Times New Roman" w:cstheme="minorHAnsi"/>
          <w:iCs/>
          <w:szCs w:val="20"/>
        </w:rPr>
        <w:t>grant recipient</w:t>
      </w:r>
      <w:r w:rsidRPr="003A3276">
        <w:rPr>
          <w:rFonts w:eastAsia="Times New Roman" w:cstheme="minorHAnsi"/>
          <w:iCs/>
          <w:szCs w:val="20"/>
        </w:rPr>
        <w:t xml:space="preserve">s may have elected to work with local evaluators </w:t>
      </w:r>
      <w:r w:rsidR="00904297">
        <w:rPr>
          <w:rFonts w:eastAsia="Times New Roman" w:cstheme="minorHAnsi"/>
          <w:iCs/>
          <w:szCs w:val="20"/>
        </w:rPr>
        <w:t>who</w:t>
      </w:r>
      <w:r w:rsidRPr="003A3276" w:rsidR="00904297">
        <w:rPr>
          <w:rFonts w:eastAsia="Times New Roman" w:cstheme="minorHAnsi"/>
          <w:iCs/>
          <w:szCs w:val="20"/>
        </w:rPr>
        <w:t xml:space="preserve"> </w:t>
      </w:r>
      <w:r w:rsidRPr="003A3276">
        <w:rPr>
          <w:rFonts w:eastAsia="Times New Roman" w:cstheme="minorHAnsi"/>
          <w:iCs/>
          <w:szCs w:val="20"/>
        </w:rPr>
        <w:t xml:space="preserve">will administer the </w:t>
      </w:r>
      <w:r w:rsidR="00904297">
        <w:rPr>
          <w:rFonts w:eastAsia="Times New Roman" w:cstheme="minorHAnsi"/>
          <w:iCs/>
          <w:szCs w:val="20"/>
        </w:rPr>
        <w:t xml:space="preserve">performance measures </w:t>
      </w:r>
      <w:r w:rsidRPr="003A3276">
        <w:rPr>
          <w:rFonts w:eastAsia="Times New Roman" w:cstheme="minorHAnsi"/>
          <w:iCs/>
          <w:szCs w:val="20"/>
        </w:rPr>
        <w:t>surveys</w:t>
      </w:r>
      <w:r w:rsidRPr="003A3276" w:rsidR="00827913">
        <w:rPr>
          <w:rFonts w:eastAsia="Times New Roman" w:cstheme="minorHAnsi"/>
          <w:iCs/>
          <w:szCs w:val="20"/>
        </w:rPr>
        <w:t xml:space="preserve">. </w:t>
      </w:r>
      <w:r>
        <w:rPr>
          <w:rFonts w:eastAsia="Times New Roman" w:cstheme="minorHAnsi"/>
          <w:iCs/>
          <w:szCs w:val="20"/>
        </w:rPr>
        <w:t>Grant recipient</w:t>
      </w:r>
      <w:r w:rsidRPr="003A3276" w:rsidR="00827913">
        <w:rPr>
          <w:rFonts w:eastAsia="Times New Roman" w:cstheme="minorHAnsi"/>
          <w:iCs/>
          <w:szCs w:val="20"/>
        </w:rPr>
        <w:t>s and</w:t>
      </w:r>
      <w:r w:rsidRPr="003A3276">
        <w:rPr>
          <w:rFonts w:eastAsia="Times New Roman" w:cstheme="minorHAnsi"/>
          <w:iCs/>
          <w:szCs w:val="20"/>
        </w:rPr>
        <w:t xml:space="preserve"> local evaluators could decide to use paper-and-pencil or web-based surveys</w:t>
      </w:r>
      <w:r w:rsidRPr="003A3276">
        <w:rPr>
          <w:rFonts w:eastAsia="Times New Roman" w:cstheme="minorHAnsi"/>
          <w:szCs w:val="20"/>
        </w:rPr>
        <w:t xml:space="preserve"> in group or individual settings. </w:t>
      </w:r>
      <w:r>
        <w:rPr>
          <w:rFonts w:eastAsia="Times New Roman" w:cstheme="minorHAnsi"/>
          <w:szCs w:val="20"/>
        </w:rPr>
        <w:t>Grant recipient</w:t>
      </w:r>
      <w:r w:rsidRPr="003A3276">
        <w:rPr>
          <w:rFonts w:eastAsia="Times New Roman" w:cstheme="minorHAnsi"/>
          <w:szCs w:val="20"/>
        </w:rPr>
        <w:t>s will inform their</w:t>
      </w:r>
      <w:r w:rsidRPr="003A3276">
        <w:rPr>
          <w:rFonts w:eastAsia="Times New Roman" w:cstheme="minorHAnsi"/>
          <w:color w:val="FF0000"/>
          <w:szCs w:val="20"/>
        </w:rPr>
        <w:t xml:space="preserve"> </w:t>
      </w:r>
      <w:r w:rsidRPr="003A3276">
        <w:rPr>
          <w:rFonts w:eastAsia="Times New Roman" w:cstheme="minorHAnsi"/>
          <w:szCs w:val="20"/>
        </w:rPr>
        <w:t xml:space="preserve">individual program participants that participation is voluntary and that they may refuse to answer any or all of the questions in the entry and exit questionnaires. </w:t>
      </w:r>
    </w:p>
    <w:p w:rsidR="00EC3A15" w:rsidRPr="003A3276" w:rsidP="00500EC8" w14:paraId="1F0EFEF8" w14:textId="20C82D28">
      <w:pPr>
        <w:spacing w:after="240" w:line="240" w:lineRule="auto"/>
        <w:rPr>
          <w:rFonts w:eastAsia="Times New Roman" w:cstheme="minorHAnsi"/>
          <w:szCs w:val="20"/>
        </w:rPr>
      </w:pPr>
      <w:r w:rsidRPr="003A3276">
        <w:rPr>
          <w:rFonts w:eastAsia="Times New Roman" w:cstheme="minorHAnsi"/>
          <w:b/>
          <w:szCs w:val="20"/>
        </w:rPr>
        <w:t>Instruments 3</w:t>
      </w:r>
      <w:r w:rsidRPr="003A3276" w:rsidR="00F2172B">
        <w:rPr>
          <w:b/>
          <w:bCs/>
          <w:szCs w:val="24"/>
        </w:rPr>
        <w:t>–</w:t>
      </w:r>
      <w:r w:rsidRPr="003A3276">
        <w:rPr>
          <w:rFonts w:eastAsia="Times New Roman" w:cstheme="minorHAnsi"/>
          <w:b/>
          <w:szCs w:val="20"/>
        </w:rPr>
        <w:t>4: Performance Reporting System Data Entry Form and Sub</w:t>
      </w:r>
      <w:r w:rsidRPr="003A3276" w:rsidR="00E30270">
        <w:rPr>
          <w:rFonts w:eastAsia="Times New Roman" w:cstheme="minorHAnsi"/>
          <w:b/>
          <w:szCs w:val="20"/>
        </w:rPr>
        <w:t>recipient</w:t>
      </w:r>
      <w:r w:rsidRPr="003A3276">
        <w:rPr>
          <w:rFonts w:eastAsia="Times New Roman" w:cstheme="minorHAnsi"/>
          <w:b/>
          <w:szCs w:val="20"/>
        </w:rPr>
        <w:t xml:space="preserve"> Data Collection and Reporting Form.</w:t>
      </w:r>
      <w:r w:rsidRPr="003A3276">
        <w:rPr>
          <w:rFonts w:eastAsia="Times New Roman" w:cstheme="minorHAnsi"/>
          <w:szCs w:val="20"/>
        </w:rPr>
        <w:t xml:space="preserve"> </w:t>
      </w:r>
      <w:r>
        <w:rPr>
          <w:rFonts w:eastAsia="Times New Roman" w:cstheme="minorHAnsi"/>
          <w:szCs w:val="20"/>
        </w:rPr>
        <w:t>Grant recipient</w:t>
      </w:r>
      <w:r w:rsidRPr="003A3276">
        <w:rPr>
          <w:rFonts w:eastAsia="Times New Roman" w:cstheme="minorHAnsi"/>
          <w:szCs w:val="20"/>
        </w:rPr>
        <w:t xml:space="preserve">s will </w:t>
      </w:r>
      <w:r w:rsidRPr="00AE597E" w:rsidR="00AE597E">
        <w:rPr>
          <w:rFonts w:eastAsia="Times New Roman" w:cstheme="minorHAnsi"/>
          <w:iCs/>
          <w:szCs w:val="20"/>
        </w:rPr>
        <w:t xml:space="preserve">continue to </w:t>
      </w:r>
      <w:r w:rsidRPr="003A3276">
        <w:rPr>
          <w:rFonts w:eastAsia="Times New Roman" w:cstheme="minorHAnsi"/>
          <w:szCs w:val="20"/>
        </w:rPr>
        <w:t xml:space="preserve">report separately on levels of participant attendance, reach and dosage (see Figure 1). Data on these measures will </w:t>
      </w:r>
      <w:r w:rsidRPr="00AE597E" w:rsidR="00AE597E">
        <w:rPr>
          <w:rFonts w:eastAsia="Times New Roman" w:cstheme="minorHAnsi"/>
          <w:iCs/>
          <w:szCs w:val="20"/>
        </w:rPr>
        <w:t xml:space="preserve">continue to </w:t>
      </w:r>
      <w:r w:rsidRPr="003A3276">
        <w:rPr>
          <w:rFonts w:eastAsia="Times New Roman" w:cstheme="minorHAnsi"/>
          <w:szCs w:val="20"/>
        </w:rPr>
        <w:t>be collected by sub</w:t>
      </w:r>
      <w:r w:rsidRPr="003A3276" w:rsidR="00E30270">
        <w:rPr>
          <w:rFonts w:eastAsia="Times New Roman" w:cstheme="minorHAnsi"/>
          <w:szCs w:val="20"/>
        </w:rPr>
        <w:t>recipient</w:t>
      </w:r>
      <w:r w:rsidRPr="003A3276">
        <w:rPr>
          <w:rFonts w:eastAsia="Times New Roman" w:cstheme="minorHAnsi"/>
          <w:szCs w:val="20"/>
        </w:rPr>
        <w:t xml:space="preserve"> program providers (Instrument 4). Administrative data on program features and structure, allocation of funds, and staff perceptions of quality challenges will </w:t>
      </w:r>
      <w:r w:rsidRPr="00AE597E" w:rsidR="00AE597E">
        <w:rPr>
          <w:rFonts w:eastAsia="Times New Roman" w:cstheme="minorHAnsi"/>
          <w:iCs/>
          <w:szCs w:val="20"/>
        </w:rPr>
        <w:t xml:space="preserve">continue to </w:t>
      </w:r>
      <w:r w:rsidRPr="003A3276">
        <w:rPr>
          <w:rFonts w:eastAsia="Times New Roman" w:cstheme="minorHAnsi"/>
          <w:szCs w:val="20"/>
        </w:rPr>
        <w:t xml:space="preserve">be collected by </w:t>
      </w:r>
      <w:r>
        <w:rPr>
          <w:rFonts w:eastAsia="Times New Roman" w:cstheme="minorHAnsi"/>
          <w:szCs w:val="20"/>
        </w:rPr>
        <w:t>grant recipient</w:t>
      </w:r>
      <w:r w:rsidRPr="003A3276">
        <w:rPr>
          <w:rFonts w:eastAsia="Times New Roman" w:cstheme="minorHAnsi"/>
          <w:szCs w:val="20"/>
        </w:rPr>
        <w:t>s and sub</w:t>
      </w:r>
      <w:r w:rsidRPr="003A3276" w:rsidR="007111DD">
        <w:rPr>
          <w:rFonts w:eastAsia="Times New Roman" w:cstheme="minorHAnsi"/>
          <w:szCs w:val="20"/>
        </w:rPr>
        <w:t>recipient</w:t>
      </w:r>
      <w:r w:rsidRPr="003A3276">
        <w:rPr>
          <w:rFonts w:eastAsia="Times New Roman" w:cstheme="minorHAnsi"/>
          <w:szCs w:val="20"/>
        </w:rPr>
        <w:t xml:space="preserve">s (Instruments 3 and 4). </w:t>
      </w:r>
      <w:r>
        <w:rPr>
          <w:rFonts w:eastAsia="Times New Roman" w:cstheme="minorHAnsi"/>
          <w:bCs/>
          <w:color w:val="000000"/>
          <w:szCs w:val="20"/>
        </w:rPr>
        <w:t>Grant recipient</w:t>
      </w:r>
      <w:r w:rsidRPr="003A3276">
        <w:rPr>
          <w:rFonts w:eastAsia="Times New Roman" w:cstheme="minorHAnsi"/>
          <w:bCs/>
          <w:color w:val="000000"/>
          <w:szCs w:val="20"/>
        </w:rPr>
        <w:t xml:space="preserve">s will </w:t>
      </w:r>
      <w:r w:rsidRPr="00AE597E" w:rsidR="00AE597E">
        <w:rPr>
          <w:rFonts w:eastAsia="Times New Roman" w:cstheme="minorHAnsi"/>
          <w:bCs/>
          <w:iCs/>
          <w:color w:val="000000"/>
          <w:szCs w:val="20"/>
        </w:rPr>
        <w:t xml:space="preserve">continue to </w:t>
      </w:r>
      <w:r w:rsidRPr="003A3276">
        <w:rPr>
          <w:rFonts w:eastAsia="Times New Roman" w:cstheme="minorHAnsi"/>
          <w:bCs/>
          <w:color w:val="000000"/>
          <w:szCs w:val="20"/>
        </w:rPr>
        <w:t>p</w:t>
      </w:r>
      <w:r w:rsidRPr="003A3276">
        <w:rPr>
          <w:rFonts w:eastAsia="Times New Roman" w:cstheme="minorHAnsi"/>
          <w:szCs w:val="20"/>
        </w:rPr>
        <w:t xml:space="preserve">repare and submit their final data to ACF through the SRAE </w:t>
      </w:r>
      <w:r w:rsidRPr="003A3276" w:rsidR="00D91369">
        <w:rPr>
          <w:rFonts w:eastAsia="Times New Roman" w:cstheme="minorHAnsi"/>
          <w:szCs w:val="20"/>
        </w:rPr>
        <w:t>P</w:t>
      </w:r>
      <w:r w:rsidRPr="003A3276">
        <w:rPr>
          <w:rFonts w:eastAsia="Times New Roman" w:cstheme="minorHAnsi"/>
          <w:szCs w:val="20"/>
        </w:rPr>
        <w:t xml:space="preserve">erformance </w:t>
      </w:r>
      <w:r w:rsidRPr="003A3276" w:rsidR="00D91369">
        <w:rPr>
          <w:rFonts w:eastAsia="Times New Roman" w:cstheme="minorHAnsi"/>
          <w:szCs w:val="20"/>
        </w:rPr>
        <w:t>M</w:t>
      </w:r>
      <w:r w:rsidRPr="003A3276">
        <w:rPr>
          <w:rFonts w:eastAsia="Times New Roman" w:cstheme="minorHAnsi"/>
          <w:szCs w:val="20"/>
        </w:rPr>
        <w:t xml:space="preserve">easures </w:t>
      </w:r>
      <w:r w:rsidRPr="003A3276" w:rsidR="00D91369">
        <w:t>D</w:t>
      </w:r>
      <w:r w:rsidRPr="003A3276">
        <w:t xml:space="preserve">ata </w:t>
      </w:r>
      <w:r w:rsidRPr="003A3276" w:rsidR="007111DD">
        <w:t>Portal</w:t>
      </w:r>
      <w:r w:rsidRPr="003A3276">
        <w:rPr>
          <w:rFonts w:eastAsia="Times New Roman" w:cstheme="minorHAnsi"/>
          <w:szCs w:val="20"/>
        </w:rPr>
        <w:t xml:space="preserve">. The Performance Reporting System Data Entry Form (Instrument 3) contains the list of all data elements </w:t>
      </w:r>
      <w:r>
        <w:rPr>
          <w:rFonts w:eastAsia="Times New Roman" w:cstheme="minorHAnsi"/>
          <w:szCs w:val="20"/>
        </w:rPr>
        <w:t>grant recipient</w:t>
      </w:r>
      <w:r w:rsidRPr="003A3276">
        <w:rPr>
          <w:rFonts w:eastAsia="Times New Roman" w:cstheme="minorHAnsi"/>
          <w:szCs w:val="20"/>
        </w:rPr>
        <w:t xml:space="preserve">s will </w:t>
      </w:r>
      <w:r w:rsidRPr="0053474C" w:rsidR="0053474C">
        <w:rPr>
          <w:rFonts w:eastAsia="Times New Roman" w:cstheme="minorHAnsi"/>
          <w:szCs w:val="20"/>
        </w:rPr>
        <w:t>submi</w:t>
      </w:r>
      <w:r w:rsidRPr="003A3276">
        <w:rPr>
          <w:rFonts w:eastAsia="Times New Roman" w:cstheme="minorHAnsi"/>
          <w:szCs w:val="20"/>
        </w:rPr>
        <w:t>t, collected from among their sub</w:t>
      </w:r>
      <w:r w:rsidRPr="003A3276" w:rsidR="007111DD">
        <w:rPr>
          <w:rFonts w:eastAsia="Times New Roman" w:cstheme="minorHAnsi"/>
          <w:szCs w:val="20"/>
        </w:rPr>
        <w:t>recipient</w:t>
      </w:r>
      <w:r w:rsidRPr="003A3276">
        <w:rPr>
          <w:rFonts w:eastAsia="Times New Roman" w:cstheme="minorHAnsi"/>
          <w:szCs w:val="20"/>
        </w:rPr>
        <w:t xml:space="preserve">s. </w:t>
      </w:r>
    </w:p>
    <w:p w:rsidR="00D95627" w:rsidP="00EC3A15" w14:paraId="2D94DA7F" w14:textId="4A4744D6">
      <w:pPr>
        <w:autoSpaceDE w:val="0"/>
        <w:autoSpaceDN w:val="0"/>
        <w:adjustRightInd w:val="0"/>
        <w:spacing w:after="240" w:line="240" w:lineRule="auto"/>
        <w:rPr>
          <w:rFonts w:eastAsia="Times New Roman" w:cstheme="minorHAnsi"/>
          <w:szCs w:val="20"/>
        </w:rPr>
      </w:pPr>
      <w:r w:rsidRPr="003A3276">
        <w:rPr>
          <w:rFonts w:eastAsia="Times New Roman" w:cstheme="minorHAnsi"/>
          <w:szCs w:val="20"/>
        </w:rPr>
        <w:t xml:space="preserve">The timing of participant survey data collections will be customized for each site depending upon the start and end dates of each cohort of participants. Administrative performance measurement data will </w:t>
      </w:r>
      <w:r w:rsidRPr="00063B10" w:rsidR="00063B10">
        <w:rPr>
          <w:rFonts w:eastAsia="Times New Roman" w:cstheme="minorHAnsi"/>
          <w:iCs/>
          <w:szCs w:val="20"/>
        </w:rPr>
        <w:t xml:space="preserve">continue to </w:t>
      </w:r>
      <w:r w:rsidRPr="003A3276">
        <w:rPr>
          <w:rFonts w:eastAsia="Times New Roman" w:cstheme="minorHAnsi"/>
          <w:szCs w:val="20"/>
        </w:rPr>
        <w:t xml:space="preserve">be submitted to ACF once a year, and participant information will </w:t>
      </w:r>
      <w:r w:rsidRPr="00063B10" w:rsidR="00063B10">
        <w:rPr>
          <w:rFonts w:eastAsia="Times New Roman" w:cstheme="minorHAnsi"/>
          <w:iCs/>
          <w:szCs w:val="20"/>
        </w:rPr>
        <w:t xml:space="preserve">continue to </w:t>
      </w:r>
      <w:r w:rsidRPr="003A3276">
        <w:rPr>
          <w:rFonts w:eastAsia="Times New Roman" w:cstheme="minorHAnsi"/>
          <w:szCs w:val="20"/>
        </w:rPr>
        <w:t xml:space="preserve">be submitted to ACF twice a year. </w:t>
      </w:r>
    </w:p>
    <w:p w:rsidR="00681D84" w:rsidP="00DF49AB" w14:paraId="72DD12BC" w14:textId="45E01DB2">
      <w:pPr>
        <w:spacing w:after="0"/>
        <w:rPr>
          <w:rFonts w:eastAsia="Times New Roman" w:cstheme="minorHAnsi"/>
          <w:i/>
          <w:iCs/>
          <w:szCs w:val="20"/>
        </w:rPr>
      </w:pPr>
    </w:p>
    <w:p w:rsidR="00A164B0" w:rsidRPr="00500EC8" w:rsidP="00500EC8" w14:paraId="2B2897CA" w14:textId="6B067C57">
      <w:pPr>
        <w:autoSpaceDE w:val="0"/>
        <w:autoSpaceDN w:val="0"/>
        <w:adjustRightInd w:val="0"/>
        <w:spacing w:after="60" w:line="240" w:lineRule="auto"/>
        <w:rPr>
          <w:rFonts w:eastAsia="Times New Roman" w:cstheme="minorHAnsi"/>
          <w:i/>
          <w:iCs/>
          <w:szCs w:val="20"/>
        </w:rPr>
      </w:pPr>
      <w:r>
        <w:rPr>
          <w:rFonts w:eastAsia="Times New Roman" w:cstheme="minorHAnsi"/>
          <w:i/>
          <w:iCs/>
          <w:szCs w:val="20"/>
        </w:rPr>
        <w:t>Experiences to Date</w:t>
      </w:r>
    </w:p>
    <w:p w:rsidR="00A164B0" w:rsidP="00500EC8" w14:paraId="2D82F5D5" w14:textId="26249D53">
      <w:pPr>
        <w:autoSpaceDE w:val="0"/>
        <w:autoSpaceDN w:val="0"/>
        <w:adjustRightInd w:val="0"/>
        <w:spacing w:after="120" w:line="240" w:lineRule="auto"/>
      </w:pPr>
      <w:r>
        <w:rPr>
          <w:rFonts w:eastAsia="Times New Roman" w:cstheme="minorHAnsi"/>
          <w:szCs w:val="20"/>
        </w:rPr>
        <w:t xml:space="preserve">SRAE grant recipients have </w:t>
      </w:r>
      <w:r w:rsidRPr="0010265C">
        <w:t xml:space="preserve">been collecting </w:t>
      </w:r>
      <w:r w:rsidRPr="00D95627">
        <w:t xml:space="preserve">performance measures </w:t>
      </w:r>
      <w:r w:rsidRPr="0010265C">
        <w:t>data since January 2020</w:t>
      </w:r>
      <w:r>
        <w:t>, including participant entry and exit survey since September 2020</w:t>
      </w:r>
      <w:r w:rsidR="002B5D6A">
        <w:t>.</w:t>
      </w:r>
      <w:r w:rsidR="000166BF">
        <w:t xml:space="preserve"> </w:t>
      </w:r>
      <w:r>
        <w:t xml:space="preserve">Throughout this time, there have been a number of circumstances that have impacted data collection. </w:t>
      </w:r>
    </w:p>
    <w:p w:rsidR="00A164B0" w:rsidRPr="00500EC8" w:rsidP="00A164B0" w14:paraId="212D5FF8" w14:textId="5520356D">
      <w:pPr>
        <w:pStyle w:val="ListParagraph"/>
        <w:numPr>
          <w:ilvl w:val="0"/>
          <w:numId w:val="37"/>
        </w:numPr>
        <w:autoSpaceDE w:val="0"/>
        <w:autoSpaceDN w:val="0"/>
        <w:adjustRightInd w:val="0"/>
        <w:spacing w:after="240" w:line="240" w:lineRule="auto"/>
        <w:rPr>
          <w:rFonts w:eastAsia="Times New Roman" w:cstheme="minorHAnsi"/>
          <w:szCs w:val="20"/>
        </w:rPr>
      </w:pPr>
      <w:r w:rsidRPr="000166BF">
        <w:t xml:space="preserve">SRAE </w:t>
      </w:r>
      <w:r>
        <w:t>grant recipient</w:t>
      </w:r>
      <w:r w:rsidRPr="000166BF">
        <w:t xml:space="preserve">s </w:t>
      </w:r>
      <w:r>
        <w:t xml:space="preserve">were </w:t>
      </w:r>
      <w:r w:rsidRPr="000166BF">
        <w:t>not required to collect and submit data</w:t>
      </w:r>
      <w:r w:rsidRPr="00DB75A3" w:rsidR="00DB75A3">
        <w:t xml:space="preserve"> prior to 2020</w:t>
      </w:r>
      <w:r w:rsidRPr="000166BF">
        <w:t>, which may have impacted initial data quality</w:t>
      </w:r>
      <w:r>
        <w:t xml:space="preserve">. </w:t>
      </w:r>
    </w:p>
    <w:p w:rsidR="00A164B0" w:rsidRPr="00500EC8" w:rsidP="00500EC8" w14:paraId="52D8AFCB" w14:textId="36373759">
      <w:pPr>
        <w:pStyle w:val="ListParagraph"/>
        <w:numPr>
          <w:ilvl w:val="0"/>
          <w:numId w:val="37"/>
        </w:numPr>
        <w:autoSpaceDE w:val="0"/>
        <w:autoSpaceDN w:val="0"/>
        <w:adjustRightInd w:val="0"/>
        <w:spacing w:after="120" w:line="240" w:lineRule="auto"/>
        <w:rPr>
          <w:rFonts w:eastAsia="Times New Roman" w:cstheme="minorHAnsi"/>
          <w:szCs w:val="20"/>
        </w:rPr>
      </w:pPr>
      <w:r>
        <w:t>Since initial approval in 2020</w:t>
      </w:r>
      <w:r w:rsidR="000166BF">
        <w:t xml:space="preserve">, there have been several rounds of revisions to the measures, including </w:t>
      </w:r>
      <w:r w:rsidRPr="000166BF" w:rsidR="000166BF">
        <w:t>revisions requested by the previous administration</w:t>
      </w:r>
      <w:r w:rsidR="000166BF">
        <w:t xml:space="preserve">, which </w:t>
      </w:r>
      <w:r w:rsidRPr="000166BF" w:rsidR="000166BF">
        <w:t xml:space="preserve">delayed obtaining a uniform set of performance measures, and </w:t>
      </w:r>
      <w:r w:rsidR="000166BF">
        <w:t xml:space="preserve">later </w:t>
      </w:r>
      <w:r w:rsidRPr="000166BF" w:rsidR="000166BF">
        <w:t>revis</w:t>
      </w:r>
      <w:r w:rsidR="000166BF">
        <w:t>ions due to the COVID-19</w:t>
      </w:r>
      <w:r w:rsidRPr="000166BF" w:rsidR="000166BF">
        <w:t xml:space="preserve"> pandemic</w:t>
      </w:r>
      <w:r w:rsidR="000166BF">
        <w:t xml:space="preserve">. </w:t>
      </w:r>
      <w:r w:rsidR="00D95627">
        <w:t xml:space="preserve"> </w:t>
      </w:r>
    </w:p>
    <w:p w:rsidR="00EC3A15" w:rsidRPr="00500EC8" w:rsidP="00A164B0" w14:paraId="1D582260" w14:textId="5F8F7062">
      <w:pPr>
        <w:pStyle w:val="ListParagraph"/>
        <w:numPr>
          <w:ilvl w:val="0"/>
          <w:numId w:val="37"/>
        </w:numPr>
        <w:autoSpaceDE w:val="0"/>
        <w:autoSpaceDN w:val="0"/>
        <w:adjustRightInd w:val="0"/>
        <w:spacing w:after="240" w:line="240" w:lineRule="auto"/>
        <w:rPr>
          <w:rFonts w:eastAsia="Times New Roman" w:cstheme="minorHAnsi"/>
          <w:szCs w:val="20"/>
        </w:rPr>
      </w:pPr>
      <w:r>
        <w:t>S</w:t>
      </w:r>
      <w:r w:rsidRPr="001911AD">
        <w:t xml:space="preserve">ubstantially </w:t>
      </w:r>
      <w:r>
        <w:t>fewe</w:t>
      </w:r>
      <w:r w:rsidR="002B5D6A">
        <w:t xml:space="preserve">r surveys </w:t>
      </w:r>
      <w:r>
        <w:t xml:space="preserve">have been </w:t>
      </w:r>
      <w:r w:rsidR="002B5D6A">
        <w:t>administered than initially anticipated</w:t>
      </w:r>
      <w:r w:rsidR="00067EF1">
        <w:t>,</w:t>
      </w:r>
      <w:r w:rsidR="002B5D6A">
        <w:t xml:space="preserve"> </w:t>
      </w:r>
      <w:r w:rsidR="001128ED">
        <w:t>due</w:t>
      </w:r>
      <w:r w:rsidR="002B5D6A">
        <w:t xml:space="preserve"> </w:t>
      </w:r>
      <w:r w:rsidR="003652FC">
        <w:t xml:space="preserve">in part </w:t>
      </w:r>
      <w:r w:rsidR="002B5D6A">
        <w:t xml:space="preserve">to the </w:t>
      </w:r>
      <w:r w:rsidR="00067EF1">
        <w:t xml:space="preserve">COVID-19 </w:t>
      </w:r>
      <w:r w:rsidR="002B5D6A">
        <w:t>pandemic</w:t>
      </w:r>
      <w:r w:rsidR="001128ED">
        <w:t xml:space="preserve">. The </w:t>
      </w:r>
      <w:r w:rsidRPr="002D510A" w:rsidR="002D510A">
        <w:t>pandemic</w:t>
      </w:r>
      <w:r w:rsidR="002D510A">
        <w:t>-related</w:t>
      </w:r>
      <w:r w:rsidRPr="002D510A" w:rsidR="002D510A">
        <w:t xml:space="preserve"> </w:t>
      </w:r>
      <w:r w:rsidR="001128ED">
        <w:t>disruptions in</w:t>
      </w:r>
      <w:r w:rsidR="00517B99">
        <w:t xml:space="preserve"> data collection</w:t>
      </w:r>
      <w:r w:rsidR="001128ED">
        <w:t xml:space="preserve"> and </w:t>
      </w:r>
      <w:r w:rsidR="00517B99">
        <w:t>SRAE programming</w:t>
      </w:r>
      <w:r w:rsidR="001128ED">
        <w:t xml:space="preserve"> include</w:t>
      </w:r>
      <w:r w:rsidR="003652FC">
        <w:t>d</w:t>
      </w:r>
      <w:r w:rsidRPr="002D510A" w:rsidR="002D510A">
        <w:t xml:space="preserve"> halting programming </w:t>
      </w:r>
      <w:r w:rsidR="002D510A">
        <w:t>(</w:t>
      </w:r>
      <w:r w:rsidRPr="002D510A" w:rsidR="002D510A">
        <w:t>and data collection</w:t>
      </w:r>
      <w:r w:rsidR="002D510A">
        <w:t>)</w:t>
      </w:r>
      <w:r w:rsidRPr="002D510A" w:rsidR="002D510A">
        <w:t xml:space="preserve"> entirely </w:t>
      </w:r>
      <w:r w:rsidR="002D510A">
        <w:t>when</w:t>
      </w:r>
      <w:r w:rsidRPr="002D510A" w:rsidR="002D510A">
        <w:t xml:space="preserve"> sites shut down due the pandemic</w:t>
      </w:r>
      <w:r w:rsidR="002D510A">
        <w:t xml:space="preserve">; shifting to virtual programming, which made data collection more difficult </w:t>
      </w:r>
      <w:r w:rsidR="00615C66">
        <w:t>(</w:t>
      </w:r>
      <w:r w:rsidR="002D510A">
        <w:t>and sometimes</w:t>
      </w:r>
      <w:r w:rsidRPr="00615C66" w:rsidR="00615C66">
        <w:t xml:space="preserve"> required</w:t>
      </w:r>
      <w:r w:rsidR="00615C66">
        <w:t xml:space="preserve"> a change in mode of data collection, which take</w:t>
      </w:r>
      <w:r w:rsidR="00464C49">
        <w:t>s</w:t>
      </w:r>
      <w:r w:rsidR="00615C66">
        <w:t xml:space="preserve"> time to </w:t>
      </w:r>
      <w:r w:rsidR="00464C49">
        <w:t>develop</w:t>
      </w:r>
      <w:r w:rsidR="00615C66">
        <w:t>)</w:t>
      </w:r>
      <w:r w:rsidR="002D510A">
        <w:t xml:space="preserve">; and </w:t>
      </w:r>
      <w:r w:rsidRPr="00615C66" w:rsidR="00615C66">
        <w:t>staff</w:t>
      </w:r>
      <w:r w:rsidR="00615C66">
        <w:t>ing challenges, when some programming or data collection staff were unavailable due to the pandemic</w:t>
      </w:r>
      <w:r w:rsidR="00067EF1">
        <w:t>.</w:t>
      </w:r>
      <w:r w:rsidR="003652FC">
        <w:t xml:space="preserve"> Since</w:t>
      </w:r>
      <w:r w:rsidR="000A2514">
        <w:t xml:space="preserve"> then, participation has increased.</w:t>
      </w:r>
      <w:r w:rsidR="003652FC">
        <w:t xml:space="preserve"> </w:t>
      </w:r>
      <w:r w:rsidR="000166BF">
        <w:t xml:space="preserve"> </w:t>
      </w:r>
      <w:r w:rsidRPr="0076363E" w:rsidR="0076363E">
        <w:t xml:space="preserve"> </w:t>
      </w:r>
      <w:r w:rsidR="0076363E">
        <w:t>The number of youth completing the participant entry and exit surveys more than doubled from the 2020–2021 program year to the 2021–2022</w:t>
      </w:r>
      <w:r w:rsidRPr="0076363E" w:rsidR="0076363E">
        <w:t xml:space="preserve"> </w:t>
      </w:r>
      <w:r w:rsidR="0076363E">
        <w:t>program year, and continue</w:t>
      </w:r>
      <w:r w:rsidR="00BC7384">
        <w:t>d at about the same level</w:t>
      </w:r>
      <w:r w:rsidRPr="00BC7384" w:rsidR="00BC7384">
        <w:t xml:space="preserve"> </w:t>
      </w:r>
      <w:r w:rsidR="00BC7384">
        <w:t>in the 2022–2023</w:t>
      </w:r>
      <w:r w:rsidRPr="0076363E" w:rsidR="00BC7384">
        <w:t xml:space="preserve"> </w:t>
      </w:r>
      <w:r w:rsidR="00BC7384">
        <w:t>program year</w:t>
      </w:r>
      <w:r w:rsidR="0076363E">
        <w:t xml:space="preserve">. </w:t>
      </w:r>
    </w:p>
    <w:p w:rsidR="00A164B0" w:rsidRPr="00500EC8" w:rsidP="00500EC8" w14:paraId="14B174AD" w14:textId="7301D05E">
      <w:pPr>
        <w:autoSpaceDE w:val="0"/>
        <w:autoSpaceDN w:val="0"/>
        <w:adjustRightInd w:val="0"/>
        <w:spacing w:after="120" w:line="240" w:lineRule="auto"/>
        <w:rPr>
          <w:rFonts w:eastAsia="Times New Roman" w:cstheme="minorHAnsi"/>
          <w:szCs w:val="20"/>
        </w:rPr>
      </w:pPr>
      <w:r>
        <w:rPr>
          <w:rFonts w:eastAsia="Times New Roman" w:cstheme="minorHAnsi"/>
          <w:szCs w:val="20"/>
        </w:rPr>
        <w:t xml:space="preserve">With the requirement of performance measures as part of the funding award process and a final uniform set of performance measures, this information collection is now collecting uniform data </w:t>
      </w:r>
      <w:r w:rsidR="00500EC8">
        <w:rPr>
          <w:rFonts w:eastAsia="Times New Roman" w:cstheme="minorHAnsi"/>
          <w:szCs w:val="20"/>
        </w:rPr>
        <w:t xml:space="preserve">of great </w:t>
      </w:r>
      <w:r>
        <w:rPr>
          <w:rFonts w:eastAsia="Times New Roman" w:cstheme="minorHAnsi"/>
          <w:szCs w:val="20"/>
        </w:rPr>
        <w:t xml:space="preserve">utility to the government. We are </w:t>
      </w:r>
      <w:r w:rsidR="00BC7384">
        <w:rPr>
          <w:rFonts w:eastAsia="Times New Roman" w:cstheme="minorHAnsi"/>
          <w:szCs w:val="20"/>
        </w:rPr>
        <w:t>continu</w:t>
      </w:r>
      <w:r>
        <w:rPr>
          <w:rFonts w:eastAsia="Times New Roman" w:cstheme="minorHAnsi"/>
          <w:szCs w:val="20"/>
        </w:rPr>
        <w:t xml:space="preserve">ing to address administration issues </w:t>
      </w:r>
      <w:r w:rsidR="00500EC8">
        <w:rPr>
          <w:rFonts w:eastAsia="Times New Roman" w:cstheme="minorHAnsi"/>
          <w:szCs w:val="20"/>
        </w:rPr>
        <w:t>experienced by</w:t>
      </w:r>
      <w:r>
        <w:rPr>
          <w:rFonts w:eastAsia="Times New Roman" w:cstheme="minorHAnsi"/>
          <w:szCs w:val="20"/>
        </w:rPr>
        <w:t xml:space="preserve"> grant recipients</w:t>
      </w:r>
      <w:r w:rsidR="00500EC8">
        <w:rPr>
          <w:rFonts w:eastAsia="Times New Roman" w:cstheme="minorHAnsi"/>
          <w:szCs w:val="20"/>
        </w:rPr>
        <w:t xml:space="preserve"> through </w:t>
      </w:r>
      <w:r>
        <w:rPr>
          <w:rFonts w:eastAsia="Times New Roman" w:cstheme="minorHAnsi"/>
          <w:szCs w:val="20"/>
        </w:rPr>
        <w:t xml:space="preserve">targeted </w:t>
      </w:r>
      <w:r w:rsidRPr="003A3276">
        <w:rPr>
          <w:rFonts w:eastAsia="Times New Roman" w:cstheme="minorHAnsi"/>
          <w:szCs w:val="20"/>
        </w:rPr>
        <w:t>training and technical assistance</w:t>
      </w:r>
      <w:r>
        <w:rPr>
          <w:rFonts w:eastAsia="Times New Roman" w:cstheme="minorHAnsi"/>
          <w:szCs w:val="20"/>
        </w:rPr>
        <w:t xml:space="preserve"> (T/TA). </w:t>
      </w:r>
    </w:p>
    <w:p w:rsidR="00A42C71" w:rsidRPr="00A77075" w:rsidP="00A42C71" w14:paraId="4D80C138" w14:textId="2E638018">
      <w:pPr>
        <w:pStyle w:val="ListParagraph"/>
        <w:numPr>
          <w:ilvl w:val="0"/>
          <w:numId w:val="38"/>
        </w:numPr>
        <w:autoSpaceDE w:val="0"/>
        <w:autoSpaceDN w:val="0"/>
        <w:adjustRightInd w:val="0"/>
        <w:spacing w:after="0" w:line="240" w:lineRule="atLeast"/>
        <w:rPr>
          <w:rFonts w:eastAsia="Times New Roman" w:cstheme="minorHAnsi"/>
          <w:color w:val="000000"/>
        </w:rPr>
      </w:pPr>
      <w:r w:rsidRPr="00500EC8">
        <w:rPr>
          <w:rFonts w:eastAsia="Times New Roman" w:cstheme="minorHAnsi"/>
          <w:bCs/>
          <w:szCs w:val="20"/>
        </w:rPr>
        <w:t xml:space="preserve">ACF’s </w:t>
      </w:r>
      <w:r w:rsidRPr="00500EC8">
        <w:rPr>
          <w:rFonts w:eastAsia="Times New Roman" w:cstheme="minorHAnsi"/>
          <w:szCs w:val="20"/>
        </w:rPr>
        <w:t xml:space="preserve">contractor will </w:t>
      </w:r>
      <w:r w:rsidRPr="00500EC8" w:rsidR="00063B10">
        <w:rPr>
          <w:rFonts w:eastAsia="Times New Roman" w:cstheme="minorHAnsi"/>
          <w:iCs/>
          <w:szCs w:val="20"/>
        </w:rPr>
        <w:t xml:space="preserve">continue to </w:t>
      </w:r>
      <w:r w:rsidRPr="00500EC8">
        <w:rPr>
          <w:rFonts w:eastAsia="Times New Roman" w:cstheme="minorHAnsi"/>
          <w:szCs w:val="20"/>
        </w:rPr>
        <w:t xml:space="preserve">provide training and technical assistance to ensure that </w:t>
      </w:r>
      <w:r>
        <w:rPr>
          <w:rFonts w:eastAsia="Times New Roman" w:cstheme="minorHAnsi"/>
          <w:szCs w:val="20"/>
        </w:rPr>
        <w:t>grant recipient</w:t>
      </w:r>
      <w:r w:rsidRPr="00500EC8">
        <w:rPr>
          <w:rFonts w:eastAsia="Times New Roman" w:cstheme="minorHAnsi"/>
          <w:szCs w:val="20"/>
        </w:rPr>
        <w:t>s and program providers understand the measures, instruments, and data collection processes. Later rounds of technical assistance will reflect data quality checks conducted on earlier data and focus on areas of potential error.</w:t>
      </w:r>
      <w:r w:rsidRPr="00500EC8" w:rsidR="00D95627">
        <w:rPr>
          <w:rFonts w:eastAsia="Times New Roman" w:cstheme="minorHAnsi"/>
          <w:szCs w:val="20"/>
        </w:rPr>
        <w:t xml:space="preserve"> For example, outliers in the measure of hours delivered suggest that some </w:t>
      </w:r>
      <w:r>
        <w:rPr>
          <w:rFonts w:eastAsia="Times New Roman" w:cstheme="minorHAnsi"/>
          <w:szCs w:val="20"/>
        </w:rPr>
        <w:t>grant recipient</w:t>
      </w:r>
      <w:r w:rsidRPr="00500EC8" w:rsidR="00D95627">
        <w:rPr>
          <w:rFonts w:eastAsia="Times New Roman" w:cstheme="minorHAnsi"/>
          <w:szCs w:val="20"/>
        </w:rPr>
        <w:t xml:space="preserve">s have misunderstood what this measure is intended to capture, so the contractor highlighted this issue during </w:t>
      </w:r>
      <w:r w:rsidR="00BC7384">
        <w:rPr>
          <w:rFonts w:eastAsia="Times New Roman" w:cstheme="minorHAnsi"/>
          <w:szCs w:val="20"/>
        </w:rPr>
        <w:t>subsequent</w:t>
      </w:r>
      <w:r w:rsidRPr="00500EC8" w:rsidR="00D95627">
        <w:rPr>
          <w:rFonts w:eastAsia="Times New Roman" w:cstheme="minorHAnsi"/>
          <w:szCs w:val="20"/>
        </w:rPr>
        <w:t xml:space="preserve"> webinar</w:t>
      </w:r>
      <w:r w:rsidR="00BC7384">
        <w:rPr>
          <w:rFonts w:eastAsia="Times New Roman" w:cstheme="minorHAnsi"/>
          <w:szCs w:val="20"/>
        </w:rPr>
        <w:t>s</w:t>
      </w:r>
      <w:r w:rsidRPr="00500EC8" w:rsidR="00D95627">
        <w:rPr>
          <w:rFonts w:eastAsia="Times New Roman" w:cstheme="minorHAnsi"/>
          <w:szCs w:val="20"/>
        </w:rPr>
        <w:t>.</w:t>
      </w:r>
    </w:p>
    <w:p w:rsidR="00A42C71" w:rsidRPr="003A3276" w:rsidP="00A42C71" w14:paraId="5F817256" w14:textId="77777777">
      <w:pPr>
        <w:autoSpaceDE w:val="0"/>
        <w:autoSpaceDN w:val="0"/>
        <w:adjustRightInd w:val="0"/>
        <w:spacing w:after="0" w:line="240" w:lineRule="atLeast"/>
        <w:rPr>
          <w:rFonts w:eastAsia="Times New Roman" w:cstheme="minorHAnsi"/>
          <w:color w:val="000000"/>
        </w:rPr>
      </w:pPr>
    </w:p>
    <w:p w:rsidR="00A42C71" w:rsidRPr="003A3276" w:rsidP="00A42C71" w14:paraId="040C23CA" w14:textId="77777777">
      <w:pPr>
        <w:autoSpaceDE w:val="0"/>
        <w:autoSpaceDN w:val="0"/>
        <w:adjustRightInd w:val="0"/>
        <w:spacing w:after="120" w:line="240" w:lineRule="atLeast"/>
        <w:rPr>
          <w:rFonts w:eastAsia="Times New Roman" w:cstheme="minorHAnsi"/>
          <w:color w:val="000000"/>
        </w:rPr>
      </w:pPr>
      <w:r w:rsidRPr="003A3276">
        <w:rPr>
          <w:rFonts w:eastAsia="Times New Roman" w:cstheme="minorHAnsi"/>
          <w:b/>
          <w:color w:val="000000"/>
        </w:rPr>
        <w:t>B5.</w:t>
      </w:r>
      <w:r w:rsidRPr="003A3276">
        <w:rPr>
          <w:rFonts w:eastAsia="Times New Roman" w:cstheme="minorHAnsi"/>
          <w:b/>
          <w:color w:val="000000"/>
        </w:rPr>
        <w:tab/>
        <w:t>Response Rates and Potential Nonresponse Bias</w:t>
      </w:r>
    </w:p>
    <w:p w:rsidR="00A42C71" w:rsidRPr="003A3276" w:rsidP="00A42C71" w14:paraId="60C5A7FD" w14:textId="77777777">
      <w:pPr>
        <w:autoSpaceDE w:val="0"/>
        <w:autoSpaceDN w:val="0"/>
        <w:adjustRightInd w:val="0"/>
        <w:spacing w:after="60" w:line="240" w:lineRule="atLeast"/>
        <w:rPr>
          <w:rFonts w:eastAsia="Times New Roman" w:cstheme="minorHAnsi"/>
          <w:i/>
          <w:color w:val="000000"/>
        </w:rPr>
      </w:pPr>
      <w:r w:rsidRPr="003A3276">
        <w:rPr>
          <w:rFonts w:eastAsia="Times New Roman" w:cstheme="minorHAnsi"/>
          <w:i/>
          <w:color w:val="000000"/>
        </w:rPr>
        <w:t>Response Rates</w:t>
      </w:r>
    </w:p>
    <w:p w:rsidR="00EC3A15" w:rsidRPr="003A3276" w:rsidP="00EC3A15" w14:paraId="7407FF03" w14:textId="77777777">
      <w:pPr>
        <w:autoSpaceDE w:val="0"/>
        <w:autoSpaceDN w:val="0"/>
        <w:adjustRightInd w:val="0"/>
        <w:spacing w:after="240" w:line="240" w:lineRule="auto"/>
        <w:rPr>
          <w:rFonts w:eastAsia="Times New Roman" w:cstheme="minorHAnsi"/>
          <w:i/>
          <w:color w:val="000000"/>
        </w:rPr>
      </w:pPr>
      <w:r w:rsidRPr="003A3276">
        <w:t>Table B5.1 describes the respondents and expected response rates associated with the performance measures data collection.</w:t>
      </w:r>
    </w:p>
    <w:p w:rsidR="00EC3A15" w:rsidRPr="00D0779F" w:rsidP="00EC3A15" w14:paraId="71CF1611" w14:textId="71B16B96">
      <w:pPr>
        <w:pStyle w:val="NormalSS"/>
        <w:ind w:firstLine="0"/>
        <w:rPr>
          <w:rFonts w:asciiTheme="minorHAnsi" w:hAnsiTheme="minorHAnsi" w:cstheme="minorHAnsi"/>
          <w:sz w:val="22"/>
          <w:szCs w:val="22"/>
        </w:rPr>
      </w:pPr>
      <w:r w:rsidRPr="003A3276">
        <w:rPr>
          <w:rFonts w:asciiTheme="minorHAnsi" w:hAnsiTheme="minorHAnsi" w:cstheme="minorHAnsi"/>
          <w:b/>
          <w:iCs/>
          <w:sz w:val="22"/>
        </w:rPr>
        <w:t>Instruments 1</w:t>
      </w:r>
      <w:r w:rsidRPr="003A3276" w:rsidR="00544B72">
        <w:rPr>
          <w:b/>
          <w:bCs/>
          <w:szCs w:val="24"/>
        </w:rPr>
        <w:t>–</w:t>
      </w:r>
      <w:r w:rsidRPr="003A3276">
        <w:rPr>
          <w:rFonts w:asciiTheme="minorHAnsi" w:hAnsiTheme="minorHAnsi" w:cstheme="minorHAnsi"/>
          <w:b/>
          <w:iCs/>
          <w:sz w:val="22"/>
        </w:rPr>
        <w:t>2: Participant Entry and Exit Surveys.</w:t>
      </w:r>
      <w:r w:rsidRPr="003A3276">
        <w:rPr>
          <w:rFonts w:asciiTheme="minorHAnsi" w:hAnsiTheme="minorHAnsi" w:cstheme="minorHAnsi"/>
          <w:sz w:val="22"/>
        </w:rPr>
        <w:t xml:space="preserve"> </w:t>
      </w:r>
      <w:bookmarkStart w:id="3" w:name="_Hlk152333634"/>
      <w:r w:rsidR="0072499D">
        <w:rPr>
          <w:rFonts w:asciiTheme="minorHAnsi" w:hAnsiTheme="minorHAnsi" w:cstheme="minorHAnsi"/>
          <w:sz w:val="22"/>
        </w:rPr>
        <w:t xml:space="preserve"> </w:t>
      </w:r>
      <w:bookmarkStart w:id="4" w:name="_Hlk152335206"/>
      <w:r w:rsidR="0072499D">
        <w:rPr>
          <w:rFonts w:asciiTheme="minorHAnsi" w:hAnsiTheme="minorHAnsi" w:cstheme="minorHAnsi"/>
          <w:sz w:val="22"/>
        </w:rPr>
        <w:t xml:space="preserve">For the entry survey, the goal is </w:t>
      </w:r>
      <w:r w:rsidR="00D21671">
        <w:rPr>
          <w:rFonts w:asciiTheme="minorHAnsi" w:hAnsiTheme="minorHAnsi" w:cstheme="minorHAnsi"/>
          <w:sz w:val="22"/>
        </w:rPr>
        <w:t xml:space="preserve">for </w:t>
      </w:r>
      <w:r w:rsidRPr="003A3276">
        <w:rPr>
          <w:rFonts w:asciiTheme="minorHAnsi" w:hAnsiTheme="minorHAnsi" w:cstheme="minorHAnsi"/>
          <w:sz w:val="22"/>
        </w:rPr>
        <w:t xml:space="preserve">95 percent of youth participants, or approximately </w:t>
      </w:r>
      <w:r w:rsidRPr="003A3276" w:rsidR="008E0DEB">
        <w:rPr>
          <w:rFonts w:asciiTheme="minorHAnsi" w:hAnsiTheme="minorHAnsi" w:cstheme="minorHAnsi"/>
          <w:sz w:val="22"/>
          <w:szCs w:val="22"/>
        </w:rPr>
        <w:t>463,899</w:t>
      </w:r>
      <w:r w:rsidRPr="003A3276">
        <w:rPr>
          <w:rFonts w:asciiTheme="minorHAnsi" w:hAnsiTheme="minorHAnsi" w:cstheme="minorHAnsi"/>
          <w:sz w:val="22"/>
        </w:rPr>
        <w:t xml:space="preserve"> participants (</w:t>
      </w:r>
      <w:r w:rsidRPr="003A3276" w:rsidR="003E0809">
        <w:rPr>
          <w:rFonts w:asciiTheme="minorHAnsi" w:hAnsiTheme="minorHAnsi" w:cstheme="minorHAnsi"/>
          <w:sz w:val="22"/>
        </w:rPr>
        <w:t>488,315</w:t>
      </w:r>
      <w:r w:rsidRPr="003A3276">
        <w:rPr>
          <w:rFonts w:asciiTheme="minorHAnsi" w:hAnsiTheme="minorHAnsi" w:cstheme="minorHAnsi"/>
          <w:sz w:val="22"/>
        </w:rPr>
        <w:t xml:space="preserve"> x </w:t>
      </w:r>
      <w:r w:rsidRPr="003A3276" w:rsidR="00934FCD">
        <w:rPr>
          <w:rFonts w:asciiTheme="minorHAnsi" w:hAnsiTheme="minorHAnsi" w:cstheme="minorHAnsi"/>
          <w:sz w:val="22"/>
        </w:rPr>
        <w:t>0</w:t>
      </w:r>
      <w:r w:rsidRPr="003A3276">
        <w:rPr>
          <w:rFonts w:asciiTheme="minorHAnsi" w:hAnsiTheme="minorHAnsi" w:cstheme="minorHAnsi"/>
          <w:sz w:val="22"/>
        </w:rPr>
        <w:t>.95), complete the participant entry survey each year.</w:t>
      </w:r>
      <w:r>
        <w:rPr>
          <w:rStyle w:val="FootnoteReference"/>
          <w:rFonts w:asciiTheme="minorHAnsi" w:hAnsiTheme="minorHAnsi" w:cstheme="minorHAnsi"/>
          <w:sz w:val="22"/>
        </w:rPr>
        <w:footnoteReference w:id="4"/>
      </w:r>
      <w:r w:rsidRPr="003A3276">
        <w:rPr>
          <w:rFonts w:asciiTheme="minorHAnsi" w:hAnsiTheme="minorHAnsi" w:cstheme="minorHAnsi"/>
          <w:sz w:val="22"/>
        </w:rPr>
        <w:t xml:space="preserve"> </w:t>
      </w:r>
      <w:bookmarkEnd w:id="4"/>
      <w:r w:rsidRPr="003A3276">
        <w:rPr>
          <w:rFonts w:asciiTheme="minorHAnsi" w:hAnsiTheme="minorHAnsi" w:cstheme="minorHAnsi"/>
          <w:sz w:val="22"/>
          <w:szCs w:val="22"/>
        </w:rPr>
        <w:t>Based on our experience with similar performance analysis studies, we</w:t>
      </w:r>
      <w:r w:rsidRPr="003A3276">
        <w:rPr>
          <w:rFonts w:asciiTheme="minorHAnsi" w:hAnsiTheme="minorHAnsi" w:cstheme="minorHAnsi"/>
          <w:sz w:val="22"/>
        </w:rPr>
        <w:t xml:space="preserve"> estimate that about 20 percent of the participants will drop out of the program prior to completion, leaving </w:t>
      </w:r>
      <w:r w:rsidRPr="003A3276">
        <w:rPr>
          <w:rFonts w:asciiTheme="minorHAnsi" w:hAnsiTheme="minorHAnsi" w:cstheme="minorHAnsi"/>
          <w:sz w:val="22"/>
          <w:szCs w:val="22"/>
        </w:rPr>
        <w:t xml:space="preserve">approximately </w:t>
      </w:r>
      <w:r w:rsidRPr="003A3276" w:rsidR="003E0809">
        <w:rPr>
          <w:rFonts w:asciiTheme="minorHAnsi" w:hAnsiTheme="minorHAnsi" w:cstheme="minorHAnsi"/>
          <w:sz w:val="22"/>
          <w:szCs w:val="22"/>
        </w:rPr>
        <w:t>390,652</w:t>
      </w:r>
      <w:r w:rsidRPr="003A3276">
        <w:rPr>
          <w:rFonts w:asciiTheme="minorHAnsi" w:hAnsiTheme="minorHAnsi" w:cstheme="minorHAnsi"/>
          <w:sz w:val="22"/>
          <w:szCs w:val="22"/>
        </w:rPr>
        <w:t xml:space="preserve"> (</w:t>
      </w:r>
      <w:r w:rsidRPr="003A3276" w:rsidR="003E0809">
        <w:rPr>
          <w:rFonts w:asciiTheme="minorHAnsi" w:hAnsiTheme="minorHAnsi" w:cstheme="minorHAnsi"/>
          <w:sz w:val="22"/>
          <w:szCs w:val="22"/>
        </w:rPr>
        <w:t>488,315</w:t>
      </w:r>
      <w:r w:rsidRPr="003A3276">
        <w:rPr>
          <w:rFonts w:asciiTheme="minorHAnsi" w:hAnsiTheme="minorHAnsi" w:cstheme="minorHAnsi"/>
          <w:sz w:val="22"/>
          <w:szCs w:val="22"/>
        </w:rPr>
        <w:t xml:space="preserve"> x </w:t>
      </w:r>
      <w:r w:rsidRPr="003A3276" w:rsidR="00934FCD">
        <w:rPr>
          <w:rFonts w:asciiTheme="minorHAnsi" w:hAnsiTheme="minorHAnsi" w:cstheme="minorHAnsi"/>
          <w:sz w:val="22"/>
          <w:szCs w:val="22"/>
        </w:rPr>
        <w:t>0</w:t>
      </w:r>
      <w:r w:rsidRPr="003A3276">
        <w:rPr>
          <w:rFonts w:asciiTheme="minorHAnsi" w:hAnsiTheme="minorHAnsi" w:cstheme="minorHAnsi"/>
          <w:sz w:val="22"/>
          <w:szCs w:val="22"/>
        </w:rPr>
        <w:t xml:space="preserve">.80) participants at the end of the program annually. Of those, we expect 95 percent, or approximately </w:t>
      </w:r>
      <w:r w:rsidRPr="003A3276" w:rsidR="003E0809">
        <w:rPr>
          <w:rFonts w:asciiTheme="minorHAnsi" w:hAnsiTheme="minorHAnsi" w:cstheme="minorHAnsi"/>
          <w:sz w:val="22"/>
          <w:szCs w:val="22"/>
        </w:rPr>
        <w:t>371,119</w:t>
      </w:r>
      <w:r w:rsidRPr="003A3276">
        <w:rPr>
          <w:rFonts w:asciiTheme="minorHAnsi" w:hAnsiTheme="minorHAnsi" w:cstheme="minorHAnsi"/>
          <w:sz w:val="22"/>
        </w:rPr>
        <w:t xml:space="preserve"> participants, will complete the participant exit survey each year.</w:t>
      </w:r>
      <w:r w:rsidR="00D0779F">
        <w:rPr>
          <w:rFonts w:asciiTheme="minorHAnsi" w:hAnsiTheme="minorHAnsi" w:cstheme="minorHAnsi"/>
          <w:sz w:val="22"/>
        </w:rPr>
        <w:t xml:space="preserve"> (These estimates are b</w:t>
      </w:r>
      <w:r w:rsidRPr="00D0779F" w:rsidR="00D0779F">
        <w:rPr>
          <w:rFonts w:asciiTheme="minorHAnsi" w:hAnsiTheme="minorHAnsi" w:cstheme="minorHAnsi"/>
          <w:sz w:val="22"/>
        </w:rPr>
        <w:t>ased on our experience with similar performance analysis studies</w:t>
      </w:r>
      <w:r w:rsidRPr="00D0779F" w:rsidR="00D0779F">
        <w:rPr>
          <w:rFonts w:asciiTheme="minorHAnsi" w:hAnsiTheme="minorHAnsi" w:cstheme="minorHAnsi"/>
          <w:sz w:val="22"/>
          <w:szCs w:val="22"/>
        </w:rPr>
        <w:t>.)</w:t>
      </w:r>
      <w:bookmarkEnd w:id="3"/>
    </w:p>
    <w:p w:rsidR="00EC3A15" w:rsidRPr="003A3276" w:rsidP="00EC3A15" w14:paraId="308E6D4F" w14:textId="1C042933">
      <w:pPr>
        <w:pStyle w:val="NormalSS"/>
        <w:ind w:firstLine="0"/>
        <w:rPr>
          <w:rFonts w:asciiTheme="minorHAnsi" w:hAnsiTheme="minorHAnsi" w:cstheme="minorHAnsi"/>
          <w:sz w:val="22"/>
        </w:rPr>
      </w:pPr>
      <w:r w:rsidRPr="00063B10">
        <w:rPr>
          <w:rFonts w:asciiTheme="minorHAnsi" w:hAnsiTheme="minorHAnsi" w:cstheme="minorHAnsi"/>
          <w:iCs/>
          <w:sz w:val="22"/>
        </w:rPr>
        <w:t xml:space="preserve">As in earlier rounds of SRAE performance measures data collection, </w:t>
      </w:r>
      <w:r>
        <w:rPr>
          <w:rFonts w:asciiTheme="minorHAnsi" w:hAnsiTheme="minorHAnsi" w:cstheme="minorHAnsi"/>
          <w:iCs/>
          <w:sz w:val="22"/>
        </w:rPr>
        <w:t>r</w:t>
      </w:r>
      <w:r w:rsidRPr="003A3276">
        <w:rPr>
          <w:rFonts w:asciiTheme="minorHAnsi" w:hAnsiTheme="minorHAnsi" w:cstheme="minorHAnsi"/>
          <w:sz w:val="22"/>
        </w:rPr>
        <w:t xml:space="preserve">esponse rates for participant surveys will be maximized through the administration of entry surveys to all participants at enrollment and administration of the exit surveys during final program sessions. </w:t>
      </w:r>
      <w:r w:rsidR="0078779B">
        <w:rPr>
          <w:rFonts w:asciiTheme="minorHAnsi" w:hAnsiTheme="minorHAnsi" w:cstheme="minorHAnsi"/>
          <w:sz w:val="22"/>
        </w:rPr>
        <w:t>For participants who are absent at program exit when exit surveys are administered, the exit surveys will be administered to them</w:t>
      </w:r>
      <w:r w:rsidR="00655ED1">
        <w:rPr>
          <w:rFonts w:asciiTheme="minorHAnsi" w:hAnsiTheme="minorHAnsi" w:cstheme="minorHAnsi"/>
          <w:sz w:val="22"/>
        </w:rPr>
        <w:t xml:space="preserve"> as soon as possible</w:t>
      </w:r>
      <w:r w:rsidR="0078779B">
        <w:rPr>
          <w:rFonts w:asciiTheme="minorHAnsi" w:hAnsiTheme="minorHAnsi" w:cstheme="minorHAnsi"/>
          <w:sz w:val="22"/>
        </w:rPr>
        <w:t xml:space="preserve"> </w:t>
      </w:r>
      <w:r w:rsidR="00655ED1">
        <w:rPr>
          <w:rFonts w:asciiTheme="minorHAnsi" w:hAnsiTheme="minorHAnsi" w:cstheme="minorHAnsi"/>
          <w:sz w:val="22"/>
        </w:rPr>
        <w:t>individually or in a small group</w:t>
      </w:r>
      <w:r w:rsidRPr="003A3276">
        <w:rPr>
          <w:rFonts w:asciiTheme="minorHAnsi" w:hAnsiTheme="minorHAnsi" w:cstheme="minorHAnsi"/>
          <w:sz w:val="22"/>
        </w:rPr>
        <w:t xml:space="preserve">. </w:t>
      </w:r>
    </w:p>
    <w:p w:rsidR="00EC3A15" w:rsidRPr="003A3276" w:rsidP="00EC3A15" w14:paraId="63042F29" w14:textId="5D394943">
      <w:pPr>
        <w:pStyle w:val="NormalSS"/>
        <w:ind w:firstLine="0"/>
        <w:rPr>
          <w:rFonts w:asciiTheme="minorHAnsi" w:hAnsiTheme="minorHAnsi" w:cstheme="minorHAnsi"/>
          <w:b/>
          <w:sz w:val="22"/>
        </w:rPr>
      </w:pPr>
      <w:r w:rsidRPr="003A3276">
        <w:rPr>
          <w:rFonts w:asciiTheme="minorHAnsi" w:hAnsiTheme="minorHAnsi" w:cstheme="minorHAnsi"/>
          <w:b/>
          <w:sz w:val="22"/>
        </w:rPr>
        <w:t>Instruments 3</w:t>
      </w:r>
      <w:r w:rsidRPr="003A3276" w:rsidR="001765E4">
        <w:rPr>
          <w:b/>
          <w:bCs/>
          <w:szCs w:val="24"/>
        </w:rPr>
        <w:t>–</w:t>
      </w:r>
      <w:r w:rsidRPr="003A3276">
        <w:rPr>
          <w:rFonts w:asciiTheme="minorHAnsi" w:hAnsiTheme="minorHAnsi" w:cstheme="minorHAnsi"/>
          <w:b/>
          <w:sz w:val="22"/>
        </w:rPr>
        <w:t>4: Performance Reporting System Data Entry Form and Sub</w:t>
      </w:r>
      <w:r w:rsidRPr="003A3276" w:rsidR="00E30270">
        <w:rPr>
          <w:rFonts w:asciiTheme="minorHAnsi" w:hAnsiTheme="minorHAnsi" w:cstheme="minorHAnsi"/>
          <w:b/>
          <w:sz w:val="22"/>
        </w:rPr>
        <w:t>recipient</w:t>
      </w:r>
      <w:r w:rsidRPr="003A3276">
        <w:rPr>
          <w:rFonts w:asciiTheme="minorHAnsi" w:hAnsiTheme="minorHAnsi" w:cstheme="minorHAnsi"/>
          <w:b/>
          <w:sz w:val="22"/>
        </w:rPr>
        <w:t xml:space="preserve"> Data Collection Reporting Form. </w:t>
      </w:r>
      <w:r w:rsidRPr="003A3276">
        <w:rPr>
          <w:rFonts w:asciiTheme="minorHAnsi" w:hAnsiTheme="minorHAnsi" w:cstheme="minorHAnsi"/>
          <w:sz w:val="22"/>
        </w:rPr>
        <w:t xml:space="preserve">Because collecting and </w:t>
      </w:r>
      <w:r w:rsidRPr="0053474C" w:rsidR="0053474C">
        <w:rPr>
          <w:rFonts w:asciiTheme="minorHAnsi" w:hAnsiTheme="minorHAnsi" w:cstheme="minorHAnsi"/>
          <w:sz w:val="22"/>
        </w:rPr>
        <w:t>submi</w:t>
      </w:r>
      <w:r w:rsidR="0053474C">
        <w:rPr>
          <w:rFonts w:asciiTheme="minorHAnsi" w:hAnsiTheme="minorHAnsi" w:cstheme="minorHAnsi"/>
          <w:sz w:val="22"/>
        </w:rPr>
        <w:t>t</w:t>
      </w:r>
      <w:r w:rsidRPr="003A3276">
        <w:rPr>
          <w:rFonts w:asciiTheme="minorHAnsi" w:hAnsiTheme="minorHAnsi" w:cstheme="minorHAnsi"/>
          <w:sz w:val="22"/>
        </w:rPr>
        <w:t xml:space="preserve">ting data for performance measures is a funding requirement of all SRAE grants, the </w:t>
      </w:r>
      <w:r>
        <w:rPr>
          <w:rFonts w:asciiTheme="minorHAnsi" w:hAnsiTheme="minorHAnsi" w:cstheme="minorHAnsi"/>
          <w:sz w:val="22"/>
        </w:rPr>
        <w:t>grant recipient</w:t>
      </w:r>
      <w:r w:rsidRPr="003A3276">
        <w:rPr>
          <w:rFonts w:asciiTheme="minorHAnsi" w:hAnsiTheme="minorHAnsi" w:cstheme="minorHAnsi"/>
          <w:sz w:val="22"/>
        </w:rPr>
        <w:t xml:space="preserve"> and sub</w:t>
      </w:r>
      <w:r w:rsidRPr="003A3276" w:rsidR="00E30270">
        <w:rPr>
          <w:rFonts w:asciiTheme="minorHAnsi" w:hAnsiTheme="minorHAnsi" w:cstheme="minorHAnsi"/>
          <w:sz w:val="22"/>
        </w:rPr>
        <w:t>recipient</w:t>
      </w:r>
      <w:r w:rsidRPr="003A3276">
        <w:rPr>
          <w:rFonts w:asciiTheme="minorHAnsi" w:hAnsiTheme="minorHAnsi" w:cstheme="minorHAnsi"/>
          <w:sz w:val="22"/>
        </w:rPr>
        <w:t xml:space="preserve"> response rates are expected to be 100 percent.</w:t>
      </w:r>
      <w:r w:rsidRPr="003A3276">
        <w:rPr>
          <w:rFonts w:asciiTheme="minorHAnsi" w:hAnsiTheme="minorHAnsi" w:cstheme="minorHAnsi"/>
          <w:b/>
          <w:sz w:val="22"/>
        </w:rPr>
        <w:t xml:space="preserve"> </w:t>
      </w:r>
    </w:p>
    <w:p w:rsidR="00EC3A15" w:rsidRPr="003A3276" w:rsidP="00EC3A15" w14:paraId="32923254" w14:textId="4FD35093">
      <w:pPr>
        <w:pStyle w:val="NormalSS"/>
        <w:ind w:firstLine="0"/>
        <w:rPr>
          <w:rFonts w:asciiTheme="minorHAnsi" w:hAnsiTheme="minorHAnsi" w:cstheme="minorHAnsi"/>
          <w:sz w:val="22"/>
        </w:rPr>
      </w:pPr>
      <w:r w:rsidRPr="003A3276">
        <w:rPr>
          <w:rFonts w:asciiTheme="minorHAnsi" w:hAnsiTheme="minorHAnsi" w:cstheme="minorHAnsi"/>
          <w:sz w:val="22"/>
        </w:rPr>
        <w:t xml:space="preserve">To reduce </w:t>
      </w:r>
      <w:r>
        <w:rPr>
          <w:rFonts w:asciiTheme="minorHAnsi" w:hAnsiTheme="minorHAnsi" w:cstheme="minorHAnsi"/>
          <w:sz w:val="22"/>
        </w:rPr>
        <w:t>grant recipient</w:t>
      </w:r>
      <w:r w:rsidRPr="003A3276">
        <w:rPr>
          <w:rFonts w:asciiTheme="minorHAnsi" w:hAnsiTheme="minorHAnsi" w:cstheme="minorHAnsi"/>
          <w:sz w:val="22"/>
        </w:rPr>
        <w:t xml:space="preserve"> burden and maximize </w:t>
      </w:r>
      <w:r>
        <w:rPr>
          <w:rFonts w:asciiTheme="minorHAnsi" w:hAnsiTheme="minorHAnsi" w:cstheme="minorHAnsi"/>
          <w:sz w:val="22"/>
        </w:rPr>
        <w:t>grant recipient</w:t>
      </w:r>
      <w:r w:rsidRPr="003A3276">
        <w:rPr>
          <w:rFonts w:asciiTheme="minorHAnsi" w:hAnsiTheme="minorHAnsi" w:cstheme="minorHAnsi"/>
          <w:sz w:val="22"/>
        </w:rPr>
        <w:t xml:space="preserve"> response rates, ACF will </w:t>
      </w:r>
      <w:r w:rsidR="00D515B2">
        <w:rPr>
          <w:rFonts w:asciiTheme="minorHAnsi" w:hAnsiTheme="minorHAnsi" w:cstheme="minorHAnsi"/>
          <w:sz w:val="22"/>
        </w:rPr>
        <w:t xml:space="preserve">continue to </w:t>
      </w:r>
      <w:r w:rsidRPr="003A3276">
        <w:rPr>
          <w:rFonts w:asciiTheme="minorHAnsi" w:hAnsiTheme="minorHAnsi" w:cstheme="minorHAnsi"/>
          <w:sz w:val="22"/>
        </w:rPr>
        <w:t>provide common data element</w:t>
      </w:r>
      <w:r w:rsidR="00655ED1">
        <w:rPr>
          <w:rFonts w:asciiTheme="minorHAnsi" w:hAnsiTheme="minorHAnsi" w:cstheme="minorHAnsi"/>
          <w:sz w:val="22"/>
        </w:rPr>
        <w:t>s</w:t>
      </w:r>
      <w:r w:rsidRPr="003A3276">
        <w:rPr>
          <w:rFonts w:asciiTheme="minorHAnsi" w:hAnsiTheme="minorHAnsi" w:cstheme="minorHAnsi"/>
          <w:sz w:val="22"/>
        </w:rPr>
        <w:t xml:space="preserve"> definitions across program models and </w:t>
      </w:r>
      <w:r w:rsidR="00655ED1">
        <w:rPr>
          <w:rFonts w:asciiTheme="minorHAnsi" w:hAnsiTheme="minorHAnsi" w:cstheme="minorHAnsi"/>
          <w:sz w:val="22"/>
        </w:rPr>
        <w:t>obtain</w:t>
      </w:r>
      <w:r w:rsidRPr="003A3276" w:rsidR="00655ED1">
        <w:rPr>
          <w:rFonts w:asciiTheme="minorHAnsi" w:hAnsiTheme="minorHAnsi" w:cstheme="minorHAnsi"/>
          <w:sz w:val="22"/>
        </w:rPr>
        <w:t xml:space="preserve"> </w:t>
      </w:r>
      <w:r w:rsidRPr="003A3276">
        <w:rPr>
          <w:rFonts w:asciiTheme="minorHAnsi" w:hAnsiTheme="minorHAnsi" w:cstheme="minorHAnsi"/>
          <w:sz w:val="22"/>
        </w:rPr>
        <w:t xml:space="preserve">these data in a uniform manner through the SRAE </w:t>
      </w:r>
      <w:r w:rsidRPr="003A3276" w:rsidR="00D91369">
        <w:rPr>
          <w:rFonts w:asciiTheme="minorHAnsi" w:hAnsiTheme="minorHAnsi" w:cstheme="minorHAnsi"/>
          <w:sz w:val="22"/>
        </w:rPr>
        <w:t>P</w:t>
      </w:r>
      <w:r w:rsidRPr="003A3276">
        <w:rPr>
          <w:rFonts w:asciiTheme="minorHAnsi" w:hAnsiTheme="minorHAnsi" w:cstheme="minorHAnsi"/>
          <w:sz w:val="22"/>
        </w:rPr>
        <w:t xml:space="preserve">erformance </w:t>
      </w:r>
      <w:r w:rsidRPr="003A3276" w:rsidR="00D91369">
        <w:rPr>
          <w:rFonts w:asciiTheme="minorHAnsi" w:hAnsiTheme="minorHAnsi" w:cstheme="minorHAnsi"/>
          <w:sz w:val="22"/>
        </w:rPr>
        <w:t>M</w:t>
      </w:r>
      <w:r w:rsidRPr="003A3276">
        <w:rPr>
          <w:rFonts w:asciiTheme="minorHAnsi" w:hAnsiTheme="minorHAnsi" w:cstheme="minorHAnsi"/>
          <w:sz w:val="22"/>
        </w:rPr>
        <w:t xml:space="preserve">easures </w:t>
      </w:r>
      <w:r w:rsidRPr="003A3276" w:rsidR="00D91369">
        <w:rPr>
          <w:rFonts w:asciiTheme="minorHAnsi" w:hAnsiTheme="minorHAnsi" w:cstheme="minorHAnsi"/>
          <w:sz w:val="22"/>
        </w:rPr>
        <w:t>D</w:t>
      </w:r>
      <w:r w:rsidRPr="003A3276">
        <w:rPr>
          <w:rFonts w:asciiTheme="minorHAnsi" w:hAnsiTheme="minorHAnsi" w:cstheme="minorHAnsi"/>
          <w:sz w:val="22"/>
        </w:rPr>
        <w:t xml:space="preserve">ata </w:t>
      </w:r>
      <w:r w:rsidRPr="003A3276" w:rsidR="007111DD">
        <w:rPr>
          <w:rFonts w:asciiTheme="minorHAnsi" w:hAnsiTheme="minorHAnsi" w:cstheme="minorHAnsi"/>
          <w:sz w:val="22"/>
        </w:rPr>
        <w:t>Portal</w:t>
      </w:r>
      <w:r w:rsidRPr="003A3276">
        <w:rPr>
          <w:rFonts w:asciiTheme="minorHAnsi" w:hAnsiTheme="minorHAnsi" w:cstheme="minorHAnsi"/>
          <w:sz w:val="22"/>
        </w:rPr>
        <w:t xml:space="preserve"> </w:t>
      </w:r>
      <w:r w:rsidR="00D0539A">
        <w:rPr>
          <w:rFonts w:asciiTheme="minorHAnsi" w:hAnsiTheme="minorHAnsi" w:cstheme="minorHAnsi"/>
          <w:iCs/>
          <w:sz w:val="22"/>
        </w:rPr>
        <w:t>developed for earlier</w:t>
      </w:r>
      <w:r w:rsidRPr="00D0539A" w:rsidR="00D0539A">
        <w:rPr>
          <w:rFonts w:asciiTheme="minorHAnsi" w:hAnsiTheme="minorHAnsi" w:cstheme="minorHAnsi"/>
          <w:iCs/>
          <w:sz w:val="22"/>
        </w:rPr>
        <w:t xml:space="preserve"> rounds of SRAE performance measures data</w:t>
      </w:r>
      <w:r w:rsidR="00D0539A">
        <w:rPr>
          <w:rFonts w:asciiTheme="minorHAnsi" w:hAnsiTheme="minorHAnsi" w:cstheme="minorHAnsi"/>
          <w:iCs/>
          <w:sz w:val="22"/>
        </w:rPr>
        <w:t xml:space="preserve"> submiss</w:t>
      </w:r>
      <w:r w:rsidRPr="00D0539A" w:rsidR="00D0539A">
        <w:rPr>
          <w:rFonts w:asciiTheme="minorHAnsi" w:hAnsiTheme="minorHAnsi" w:cstheme="minorHAnsi"/>
          <w:iCs/>
          <w:sz w:val="22"/>
        </w:rPr>
        <w:t xml:space="preserve">ion </w:t>
      </w:r>
      <w:r w:rsidRPr="003A3276">
        <w:rPr>
          <w:rFonts w:asciiTheme="minorHAnsi" w:hAnsiTheme="minorHAnsi" w:cstheme="minorHAnsi"/>
          <w:sz w:val="22"/>
        </w:rPr>
        <w:t>(see Instruments 3</w:t>
      </w:r>
      <w:r w:rsidRPr="003A3276" w:rsidR="00D51D47">
        <w:rPr>
          <w:rFonts w:asciiTheme="minorHAnsi" w:hAnsiTheme="minorHAnsi" w:cstheme="minorHAnsi"/>
          <w:sz w:val="22"/>
        </w:rPr>
        <w:t>–</w:t>
      </w:r>
      <w:r w:rsidRPr="003A3276">
        <w:rPr>
          <w:rFonts w:asciiTheme="minorHAnsi" w:hAnsiTheme="minorHAnsi" w:cstheme="minorHAnsi"/>
          <w:sz w:val="22"/>
        </w:rPr>
        <w:t xml:space="preserve">4). Because the submission of the performance measures data is a grant requirement, except in the cases when waivers are extended for the sensitive questions on the participant entry and exit surveys, ACF does not expect problems with non-response. </w:t>
      </w:r>
    </w:p>
    <w:p w:rsidR="00EC3A15" w:rsidRPr="00681D84" w:rsidP="00EC3A15" w14:paraId="2DA192B7" w14:textId="77777777">
      <w:pPr>
        <w:keepNext/>
        <w:spacing w:after="60" w:line="240" w:lineRule="auto"/>
        <w:rPr>
          <w:rFonts w:eastAsia="Times New Roman" w:cstheme="minorHAnsi"/>
          <w:b/>
          <w:color w:val="000000"/>
        </w:rPr>
      </w:pPr>
      <w:bookmarkStart w:id="5" w:name="_Toc326754180"/>
      <w:bookmarkStart w:id="6" w:name="_Toc484166511"/>
      <w:r w:rsidRPr="00681D84">
        <w:rPr>
          <w:rFonts w:eastAsia="Times New Roman" w:cstheme="minorHAnsi"/>
          <w:b/>
          <w:color w:val="000000"/>
        </w:rPr>
        <w:t xml:space="preserve">Table B5.1. Annual </w:t>
      </w:r>
      <w:r w:rsidRPr="00681D84">
        <w:rPr>
          <w:rFonts w:eastAsia="Times New Roman" w:cstheme="minorHAnsi"/>
          <w:b/>
        </w:rPr>
        <w:t>Respondent Universe and Expected Response Rates for the Study of Performance Measures</w:t>
      </w:r>
      <w:bookmarkEnd w:id="5"/>
      <w:bookmarkEnd w:id="6"/>
    </w:p>
    <w:tbl>
      <w:tblPr>
        <w:tblW w:w="5000" w:type="pct"/>
        <w:tblBorders>
          <w:bottom w:val="single" w:sz="4" w:space="0" w:color="auto"/>
        </w:tblBorders>
        <w:tblLook w:val="04A0"/>
      </w:tblPr>
      <w:tblGrid>
        <w:gridCol w:w="3235"/>
        <w:gridCol w:w="1606"/>
        <w:gridCol w:w="1631"/>
        <w:gridCol w:w="1344"/>
        <w:gridCol w:w="1544"/>
      </w:tblGrid>
      <w:tr w14:paraId="75944F28" w14:textId="77777777" w:rsidTr="003E0809">
        <w:tblPrEx>
          <w:tblW w:w="5000" w:type="pct"/>
          <w:tblBorders>
            <w:bottom w:val="single" w:sz="4" w:space="0" w:color="auto"/>
          </w:tblBorders>
          <w:tblLook w:val="04A0"/>
        </w:tblPrEx>
        <w:tc>
          <w:tcPr>
            <w:tcW w:w="1728" w:type="pct"/>
            <w:shd w:val="clear" w:color="auto" w:fill="6C6F70"/>
            <w:vAlign w:val="bottom"/>
          </w:tcPr>
          <w:p w:rsidR="00EC3A15" w:rsidRPr="003A3276" w:rsidP="00BD34E8" w14:paraId="2A8633EC" w14:textId="1BD393F4">
            <w:pPr>
              <w:spacing w:before="120" w:after="60" w:line="240" w:lineRule="auto"/>
              <w:rPr>
                <w:rFonts w:ascii="Arial" w:eastAsia="Times New Roman" w:hAnsi="Arial" w:cs="Times New Roman"/>
                <w:b/>
                <w:color w:val="FFFFFF" w:themeColor="background1"/>
                <w:sz w:val="18"/>
                <w:szCs w:val="20"/>
              </w:rPr>
            </w:pPr>
            <w:r w:rsidRPr="003A3276">
              <w:rPr>
                <w:rFonts w:ascii="Arial" w:eastAsia="Times New Roman" w:hAnsi="Arial" w:cs="Times New Roman"/>
                <w:b/>
                <w:color w:val="FFFFFF" w:themeColor="background1"/>
                <w:sz w:val="18"/>
                <w:szCs w:val="20"/>
              </w:rPr>
              <w:t xml:space="preserve">Data </w:t>
            </w:r>
            <w:r w:rsidRPr="003A3276" w:rsidR="0059346E">
              <w:rPr>
                <w:rFonts w:ascii="Arial" w:eastAsia="Times New Roman" w:hAnsi="Arial" w:cs="Times New Roman"/>
                <w:b/>
                <w:color w:val="FFFFFF" w:themeColor="background1"/>
                <w:sz w:val="18"/>
                <w:szCs w:val="20"/>
              </w:rPr>
              <w:t>Collection</w:t>
            </w:r>
          </w:p>
        </w:tc>
        <w:tc>
          <w:tcPr>
            <w:tcW w:w="858" w:type="pct"/>
            <w:shd w:val="clear" w:color="auto" w:fill="6C6F70"/>
            <w:vAlign w:val="bottom"/>
          </w:tcPr>
          <w:p w:rsidR="00EC3A15" w:rsidRPr="003A3276" w:rsidP="00BD34E8" w14:paraId="7982BC79" w14:textId="089FCDF3">
            <w:pPr>
              <w:spacing w:before="120" w:after="60" w:line="240" w:lineRule="auto"/>
              <w:jc w:val="center"/>
              <w:rPr>
                <w:rFonts w:ascii="Arial" w:eastAsia="Times New Roman" w:hAnsi="Arial" w:cs="Times New Roman"/>
                <w:b/>
                <w:color w:val="FFFFFF" w:themeColor="background1"/>
                <w:sz w:val="18"/>
                <w:szCs w:val="20"/>
              </w:rPr>
            </w:pPr>
            <w:r w:rsidRPr="003A3276">
              <w:rPr>
                <w:rFonts w:ascii="Arial" w:eastAsia="Times New Roman" w:hAnsi="Arial" w:cs="Times New Roman"/>
                <w:b/>
                <w:color w:val="FFFFFF" w:themeColor="background1"/>
                <w:sz w:val="18"/>
                <w:szCs w:val="20"/>
              </w:rPr>
              <w:t xml:space="preserve">Type of </w:t>
            </w:r>
            <w:r w:rsidRPr="003A3276" w:rsidR="0059346E">
              <w:rPr>
                <w:rFonts w:ascii="Arial" w:eastAsia="Times New Roman" w:hAnsi="Arial" w:cs="Times New Roman"/>
                <w:b/>
                <w:color w:val="FFFFFF" w:themeColor="background1"/>
                <w:sz w:val="18"/>
                <w:szCs w:val="20"/>
              </w:rPr>
              <w:t>Respondent</w:t>
            </w:r>
          </w:p>
        </w:tc>
        <w:tc>
          <w:tcPr>
            <w:tcW w:w="871" w:type="pct"/>
            <w:shd w:val="clear" w:color="auto" w:fill="6C6F70"/>
            <w:vAlign w:val="bottom"/>
          </w:tcPr>
          <w:p w:rsidR="00EC3A15" w:rsidRPr="003A3276" w:rsidP="00BD34E8" w14:paraId="278562B2" w14:textId="77777777">
            <w:pPr>
              <w:spacing w:before="120" w:after="60" w:line="240" w:lineRule="auto"/>
              <w:jc w:val="center"/>
              <w:rPr>
                <w:rFonts w:ascii="Arial" w:eastAsia="Times New Roman" w:hAnsi="Arial" w:cs="Times New Roman"/>
                <w:b/>
                <w:color w:val="FFFFFF" w:themeColor="background1"/>
                <w:sz w:val="18"/>
                <w:szCs w:val="20"/>
              </w:rPr>
            </w:pPr>
            <w:r w:rsidRPr="003A3276">
              <w:rPr>
                <w:rFonts w:ascii="Arial" w:eastAsia="Times New Roman" w:hAnsi="Arial" w:cs="Times New Roman"/>
                <w:b/>
                <w:color w:val="FFFFFF" w:themeColor="background1"/>
                <w:sz w:val="18"/>
                <w:szCs w:val="20"/>
              </w:rPr>
              <w:t>Number of</w:t>
            </w:r>
            <w:r w:rsidRPr="003A3276">
              <w:rPr>
                <w:rFonts w:ascii="Arial" w:eastAsia="Times New Roman" w:hAnsi="Arial" w:cs="Times New Roman"/>
                <w:b/>
                <w:color w:val="FFFFFF" w:themeColor="background1"/>
                <w:sz w:val="18"/>
                <w:szCs w:val="20"/>
              </w:rPr>
              <w:br/>
              <w:t>Potential Respondents</w:t>
            </w:r>
          </w:p>
        </w:tc>
        <w:tc>
          <w:tcPr>
            <w:tcW w:w="718" w:type="pct"/>
            <w:shd w:val="clear" w:color="auto" w:fill="6C6F70"/>
            <w:vAlign w:val="bottom"/>
          </w:tcPr>
          <w:p w:rsidR="00EC3A15" w:rsidRPr="003A3276" w:rsidP="00BD34E8" w14:paraId="43282081" w14:textId="797677E7">
            <w:pPr>
              <w:spacing w:before="120" w:after="60" w:line="240" w:lineRule="auto"/>
              <w:jc w:val="center"/>
              <w:rPr>
                <w:rFonts w:ascii="Arial" w:eastAsia="Times New Roman" w:hAnsi="Arial" w:cs="Times New Roman"/>
                <w:b/>
                <w:color w:val="FFFFFF" w:themeColor="background1"/>
                <w:sz w:val="18"/>
                <w:szCs w:val="20"/>
              </w:rPr>
            </w:pPr>
            <w:r w:rsidRPr="003A3276">
              <w:rPr>
                <w:rFonts w:ascii="Arial" w:eastAsia="Times New Roman" w:hAnsi="Arial" w:cs="Times New Roman"/>
                <w:b/>
                <w:color w:val="FFFFFF" w:themeColor="background1"/>
                <w:sz w:val="18"/>
                <w:szCs w:val="20"/>
              </w:rPr>
              <w:t xml:space="preserve">Expected </w:t>
            </w:r>
            <w:r w:rsidRPr="003A3276" w:rsidR="0059346E">
              <w:rPr>
                <w:rFonts w:ascii="Arial" w:eastAsia="Times New Roman" w:hAnsi="Arial" w:cs="Times New Roman"/>
                <w:b/>
                <w:color w:val="FFFFFF" w:themeColor="background1"/>
                <w:sz w:val="18"/>
                <w:szCs w:val="20"/>
              </w:rPr>
              <w:t>Response Rate</w:t>
            </w:r>
          </w:p>
        </w:tc>
        <w:tc>
          <w:tcPr>
            <w:tcW w:w="825" w:type="pct"/>
            <w:shd w:val="clear" w:color="auto" w:fill="6C6F70"/>
            <w:vAlign w:val="bottom"/>
          </w:tcPr>
          <w:p w:rsidR="00EC3A15" w:rsidRPr="003A3276" w:rsidP="00BD34E8" w14:paraId="7573C688" w14:textId="28575B88">
            <w:pPr>
              <w:spacing w:before="120" w:after="60" w:line="240" w:lineRule="auto"/>
              <w:jc w:val="center"/>
              <w:rPr>
                <w:rFonts w:ascii="Arial" w:eastAsia="Times New Roman" w:hAnsi="Arial" w:cs="Times New Roman"/>
                <w:b/>
                <w:color w:val="FFFFFF" w:themeColor="background1"/>
                <w:sz w:val="18"/>
                <w:szCs w:val="20"/>
              </w:rPr>
            </w:pPr>
            <w:r w:rsidRPr="003A3276">
              <w:rPr>
                <w:rFonts w:ascii="Arial" w:eastAsia="Times New Roman" w:hAnsi="Arial" w:cs="Times New Roman"/>
                <w:b/>
                <w:color w:val="FFFFFF" w:themeColor="background1"/>
                <w:sz w:val="18"/>
                <w:szCs w:val="20"/>
              </w:rPr>
              <w:t xml:space="preserve">Total </w:t>
            </w:r>
            <w:r w:rsidRPr="003A3276" w:rsidR="0059346E">
              <w:rPr>
                <w:rFonts w:ascii="Arial" w:eastAsia="Times New Roman" w:hAnsi="Arial" w:cs="Times New Roman"/>
                <w:b/>
                <w:color w:val="FFFFFF" w:themeColor="background1"/>
                <w:sz w:val="18"/>
                <w:szCs w:val="20"/>
              </w:rPr>
              <w:t>Expected Responses</w:t>
            </w:r>
          </w:p>
        </w:tc>
      </w:tr>
      <w:tr w14:paraId="4406A033" w14:textId="77777777" w:rsidTr="003E0809">
        <w:tblPrEx>
          <w:tblW w:w="5000" w:type="pct"/>
          <w:tblLook w:val="04A0"/>
        </w:tblPrEx>
        <w:tc>
          <w:tcPr>
            <w:tcW w:w="1728" w:type="pct"/>
          </w:tcPr>
          <w:p w:rsidR="003E0809" w:rsidRPr="003A3276" w:rsidP="003E0809" w14:paraId="55ADA632" w14:textId="77777777">
            <w:pPr>
              <w:spacing w:before="60" w:after="40" w:line="240" w:lineRule="auto"/>
              <w:rPr>
                <w:rFonts w:ascii="Arial" w:eastAsia="Times New Roman" w:hAnsi="Arial" w:cs="Times New Roman"/>
                <w:sz w:val="18"/>
                <w:szCs w:val="20"/>
              </w:rPr>
            </w:pPr>
            <w:r w:rsidRPr="003A3276">
              <w:rPr>
                <w:rFonts w:ascii="Arial" w:eastAsia="Times New Roman" w:hAnsi="Arial" w:cs="Times New Roman"/>
                <w:sz w:val="18"/>
                <w:szCs w:val="20"/>
              </w:rPr>
              <w:t xml:space="preserve">Instrument 1: Participant Entry Survey </w:t>
            </w:r>
          </w:p>
        </w:tc>
        <w:tc>
          <w:tcPr>
            <w:tcW w:w="858" w:type="pct"/>
          </w:tcPr>
          <w:p w:rsidR="003E0809" w:rsidRPr="003A3276" w:rsidP="003E0809" w14:paraId="01CD9EF7" w14:textId="77777777">
            <w:pPr>
              <w:spacing w:before="60" w:after="40" w:line="240" w:lineRule="auto"/>
              <w:jc w:val="center"/>
              <w:rPr>
                <w:rFonts w:ascii="Arial" w:eastAsia="Times New Roman" w:hAnsi="Arial" w:cs="Times New Roman"/>
                <w:sz w:val="18"/>
                <w:szCs w:val="20"/>
              </w:rPr>
            </w:pPr>
            <w:r w:rsidRPr="003A3276">
              <w:rPr>
                <w:rFonts w:ascii="Arial" w:eastAsia="Times New Roman" w:hAnsi="Arial" w:cs="Times New Roman"/>
                <w:sz w:val="18"/>
                <w:szCs w:val="20"/>
              </w:rPr>
              <w:t>Youth participant</w:t>
            </w:r>
          </w:p>
        </w:tc>
        <w:tc>
          <w:tcPr>
            <w:tcW w:w="871" w:type="pct"/>
          </w:tcPr>
          <w:p w:rsidR="003E0809" w:rsidRPr="003A3276" w:rsidP="003E0809" w14:paraId="48581231" w14:textId="7DD0E7AC">
            <w:pPr>
              <w:tabs>
                <w:tab w:val="decimal" w:pos="966"/>
              </w:tabs>
              <w:spacing w:before="60" w:after="40" w:line="240" w:lineRule="auto"/>
              <w:ind w:right="40"/>
              <w:rPr>
                <w:rFonts w:ascii="Arial" w:eastAsia="Times New Roman" w:hAnsi="Arial" w:cs="Arial"/>
                <w:sz w:val="18"/>
                <w:szCs w:val="18"/>
              </w:rPr>
            </w:pPr>
            <w:r w:rsidRPr="003A3276">
              <w:rPr>
                <w:rFonts w:ascii="Arial" w:hAnsi="Arial" w:cs="Arial"/>
                <w:sz w:val="18"/>
                <w:szCs w:val="18"/>
              </w:rPr>
              <w:t>488,315</w:t>
            </w:r>
          </w:p>
        </w:tc>
        <w:tc>
          <w:tcPr>
            <w:tcW w:w="718" w:type="pct"/>
          </w:tcPr>
          <w:p w:rsidR="003E0809" w:rsidRPr="003A3276" w:rsidP="003E0809" w14:paraId="75BEBEF0" w14:textId="77777777">
            <w:pPr>
              <w:tabs>
                <w:tab w:val="decimal" w:pos="696"/>
              </w:tabs>
              <w:spacing w:before="60" w:after="40" w:line="240" w:lineRule="auto"/>
              <w:rPr>
                <w:rFonts w:ascii="Arial" w:eastAsia="Times New Roman" w:hAnsi="Arial" w:cs="Arial"/>
                <w:sz w:val="18"/>
                <w:szCs w:val="18"/>
              </w:rPr>
            </w:pPr>
            <w:r w:rsidRPr="003A3276">
              <w:rPr>
                <w:rFonts w:ascii="Arial" w:eastAsia="Times New Roman" w:hAnsi="Arial" w:cs="Arial"/>
                <w:sz w:val="18"/>
                <w:szCs w:val="18"/>
              </w:rPr>
              <w:t>95%</w:t>
            </w:r>
          </w:p>
        </w:tc>
        <w:tc>
          <w:tcPr>
            <w:tcW w:w="825" w:type="pct"/>
          </w:tcPr>
          <w:p w:rsidR="003E0809" w:rsidRPr="003A3276" w:rsidP="003E0809" w14:paraId="31AFE590" w14:textId="5254AC71">
            <w:pPr>
              <w:tabs>
                <w:tab w:val="decimal" w:pos="1004"/>
              </w:tabs>
              <w:spacing w:before="60" w:after="40" w:line="240" w:lineRule="auto"/>
              <w:rPr>
                <w:rFonts w:ascii="Arial" w:eastAsia="Times New Roman" w:hAnsi="Arial" w:cs="Arial"/>
                <w:sz w:val="18"/>
                <w:szCs w:val="18"/>
              </w:rPr>
            </w:pPr>
            <w:r w:rsidRPr="003A3276">
              <w:rPr>
                <w:rFonts w:ascii="Arial" w:hAnsi="Arial" w:cs="Arial"/>
                <w:sz w:val="18"/>
                <w:szCs w:val="18"/>
              </w:rPr>
              <w:t>463,899</w:t>
            </w:r>
          </w:p>
        </w:tc>
      </w:tr>
      <w:tr w14:paraId="302DC538" w14:textId="77777777" w:rsidTr="003E0809">
        <w:tblPrEx>
          <w:tblW w:w="5000" w:type="pct"/>
          <w:tblLook w:val="04A0"/>
        </w:tblPrEx>
        <w:tc>
          <w:tcPr>
            <w:tcW w:w="1728" w:type="pct"/>
          </w:tcPr>
          <w:p w:rsidR="003E0809" w:rsidRPr="003A3276" w:rsidP="003E0809" w14:paraId="4D3CAB07" w14:textId="77777777">
            <w:pPr>
              <w:spacing w:before="60" w:after="40" w:line="240" w:lineRule="auto"/>
              <w:rPr>
                <w:rFonts w:ascii="Arial" w:eastAsia="Times New Roman" w:hAnsi="Arial" w:cs="Times New Roman"/>
                <w:sz w:val="18"/>
                <w:szCs w:val="20"/>
              </w:rPr>
            </w:pPr>
            <w:r w:rsidRPr="003A3276">
              <w:rPr>
                <w:rFonts w:ascii="Arial" w:eastAsia="Times New Roman" w:hAnsi="Arial" w:cs="Times New Roman"/>
                <w:sz w:val="18"/>
                <w:szCs w:val="20"/>
              </w:rPr>
              <w:t xml:space="preserve">Instrument 2: Participant Exit Survey </w:t>
            </w:r>
          </w:p>
        </w:tc>
        <w:tc>
          <w:tcPr>
            <w:tcW w:w="858" w:type="pct"/>
          </w:tcPr>
          <w:p w:rsidR="003E0809" w:rsidRPr="003A3276" w:rsidP="003E0809" w14:paraId="2B7A17F7" w14:textId="77777777">
            <w:pPr>
              <w:spacing w:before="60" w:after="40" w:line="240" w:lineRule="auto"/>
              <w:jc w:val="center"/>
              <w:rPr>
                <w:rFonts w:ascii="Arial" w:eastAsia="Times New Roman" w:hAnsi="Arial" w:cs="Times New Roman"/>
                <w:sz w:val="18"/>
                <w:szCs w:val="20"/>
              </w:rPr>
            </w:pPr>
            <w:r w:rsidRPr="003A3276">
              <w:rPr>
                <w:rFonts w:ascii="Arial" w:eastAsia="Times New Roman" w:hAnsi="Arial" w:cs="Times New Roman"/>
                <w:sz w:val="18"/>
                <w:szCs w:val="20"/>
              </w:rPr>
              <w:t>Youth participant</w:t>
            </w:r>
          </w:p>
        </w:tc>
        <w:tc>
          <w:tcPr>
            <w:tcW w:w="871" w:type="pct"/>
          </w:tcPr>
          <w:p w:rsidR="003E0809" w:rsidRPr="003A3276" w:rsidP="003E0809" w14:paraId="05F63234" w14:textId="156847BD">
            <w:pPr>
              <w:tabs>
                <w:tab w:val="decimal" w:pos="966"/>
              </w:tabs>
              <w:spacing w:before="60" w:after="40" w:line="240" w:lineRule="auto"/>
              <w:ind w:right="40"/>
              <w:rPr>
                <w:rFonts w:ascii="Arial" w:eastAsia="Times New Roman" w:hAnsi="Arial" w:cs="Arial"/>
                <w:sz w:val="18"/>
                <w:szCs w:val="18"/>
              </w:rPr>
            </w:pPr>
            <w:r w:rsidRPr="003A3276">
              <w:rPr>
                <w:rFonts w:ascii="Arial" w:hAnsi="Arial" w:cs="Arial"/>
                <w:sz w:val="18"/>
                <w:szCs w:val="18"/>
              </w:rPr>
              <w:t>390,652</w:t>
            </w:r>
          </w:p>
        </w:tc>
        <w:tc>
          <w:tcPr>
            <w:tcW w:w="718" w:type="pct"/>
          </w:tcPr>
          <w:p w:rsidR="003E0809" w:rsidRPr="003A3276" w:rsidP="003E0809" w14:paraId="50F0B5B4" w14:textId="77777777">
            <w:pPr>
              <w:tabs>
                <w:tab w:val="decimal" w:pos="696"/>
              </w:tabs>
              <w:spacing w:before="60" w:after="40" w:line="240" w:lineRule="auto"/>
              <w:rPr>
                <w:rFonts w:ascii="Arial" w:eastAsia="Times New Roman" w:hAnsi="Arial" w:cs="Arial"/>
                <w:sz w:val="18"/>
                <w:szCs w:val="18"/>
              </w:rPr>
            </w:pPr>
            <w:r w:rsidRPr="003A3276">
              <w:rPr>
                <w:rFonts w:ascii="Arial" w:eastAsia="Times New Roman" w:hAnsi="Arial" w:cs="Arial"/>
                <w:sz w:val="18"/>
                <w:szCs w:val="18"/>
              </w:rPr>
              <w:t>95%</w:t>
            </w:r>
          </w:p>
        </w:tc>
        <w:tc>
          <w:tcPr>
            <w:tcW w:w="825" w:type="pct"/>
          </w:tcPr>
          <w:p w:rsidR="003E0809" w:rsidRPr="003A3276" w:rsidP="003E0809" w14:paraId="3D7798CD" w14:textId="5C94EB96">
            <w:pPr>
              <w:tabs>
                <w:tab w:val="decimal" w:pos="1004"/>
              </w:tabs>
              <w:spacing w:before="60" w:after="40" w:line="240" w:lineRule="auto"/>
              <w:rPr>
                <w:rFonts w:ascii="Arial" w:eastAsia="Times New Roman" w:hAnsi="Arial" w:cs="Arial"/>
                <w:sz w:val="18"/>
                <w:szCs w:val="18"/>
              </w:rPr>
            </w:pPr>
            <w:r w:rsidRPr="003A3276">
              <w:rPr>
                <w:rFonts w:ascii="Arial" w:hAnsi="Arial" w:cs="Arial"/>
                <w:sz w:val="18"/>
                <w:szCs w:val="18"/>
              </w:rPr>
              <w:t>371,119</w:t>
            </w:r>
          </w:p>
        </w:tc>
      </w:tr>
      <w:tr w14:paraId="3EB9BF8E" w14:textId="77777777" w:rsidTr="003E0809">
        <w:tblPrEx>
          <w:tblW w:w="5000" w:type="pct"/>
          <w:tblLook w:val="04A0"/>
        </w:tblPrEx>
        <w:tc>
          <w:tcPr>
            <w:tcW w:w="1728" w:type="pct"/>
          </w:tcPr>
          <w:p w:rsidR="003E0809" w:rsidRPr="003A3276" w:rsidP="003E0809" w14:paraId="66F3B987" w14:textId="77777777">
            <w:pPr>
              <w:spacing w:before="60" w:after="40" w:line="240" w:lineRule="auto"/>
              <w:rPr>
                <w:rFonts w:ascii="Arial" w:eastAsia="Times New Roman" w:hAnsi="Arial" w:cs="Times New Roman"/>
                <w:sz w:val="18"/>
                <w:szCs w:val="20"/>
              </w:rPr>
            </w:pPr>
            <w:r w:rsidRPr="003A3276">
              <w:rPr>
                <w:rFonts w:ascii="Arial" w:eastAsia="Times New Roman" w:hAnsi="Arial" w:cs="Times New Roman"/>
                <w:sz w:val="18"/>
                <w:szCs w:val="20"/>
              </w:rPr>
              <w:t>Instrument 3: Performance Reporting System Data Entry Form</w:t>
            </w:r>
          </w:p>
        </w:tc>
        <w:tc>
          <w:tcPr>
            <w:tcW w:w="858" w:type="pct"/>
          </w:tcPr>
          <w:p w:rsidR="003E0809" w:rsidRPr="003A3276" w:rsidP="003E0809" w14:paraId="2F21551F" w14:textId="77777777">
            <w:pPr>
              <w:spacing w:before="60" w:after="40" w:line="240" w:lineRule="auto"/>
              <w:jc w:val="center"/>
              <w:rPr>
                <w:rFonts w:ascii="Arial" w:eastAsia="Times New Roman" w:hAnsi="Arial" w:cs="Times New Roman"/>
                <w:sz w:val="18"/>
                <w:szCs w:val="20"/>
              </w:rPr>
            </w:pPr>
            <w:r w:rsidRPr="003A3276">
              <w:rPr>
                <w:rFonts w:ascii="Arial" w:eastAsia="Times New Roman" w:hAnsi="Arial" w:cs="Times New Roman"/>
                <w:sz w:val="18"/>
                <w:szCs w:val="20"/>
              </w:rPr>
              <w:t>Grantee Administrator</w:t>
            </w:r>
          </w:p>
        </w:tc>
        <w:tc>
          <w:tcPr>
            <w:tcW w:w="871" w:type="pct"/>
          </w:tcPr>
          <w:p w:rsidR="003E0809" w:rsidRPr="003A3276" w:rsidP="003E0809" w14:paraId="2CCB6160" w14:textId="581EAFBC">
            <w:pPr>
              <w:tabs>
                <w:tab w:val="decimal" w:pos="966"/>
              </w:tabs>
              <w:spacing w:before="60" w:after="40" w:line="240" w:lineRule="auto"/>
              <w:ind w:right="40"/>
              <w:rPr>
                <w:rFonts w:ascii="Arial" w:eastAsia="Times New Roman" w:hAnsi="Arial" w:cs="Arial"/>
                <w:sz w:val="18"/>
                <w:szCs w:val="18"/>
              </w:rPr>
            </w:pPr>
            <w:r w:rsidRPr="003A3276">
              <w:rPr>
                <w:rFonts w:ascii="Arial" w:hAnsi="Arial" w:cs="Arial"/>
                <w:sz w:val="18"/>
                <w:szCs w:val="18"/>
              </w:rPr>
              <w:t>192</w:t>
            </w:r>
          </w:p>
        </w:tc>
        <w:tc>
          <w:tcPr>
            <w:tcW w:w="718" w:type="pct"/>
          </w:tcPr>
          <w:p w:rsidR="003E0809" w:rsidRPr="003A3276" w:rsidP="003E0809" w14:paraId="116374EC" w14:textId="77777777">
            <w:pPr>
              <w:tabs>
                <w:tab w:val="decimal" w:pos="696"/>
              </w:tabs>
              <w:spacing w:before="60" w:after="40" w:line="240" w:lineRule="auto"/>
              <w:rPr>
                <w:rFonts w:ascii="Arial" w:eastAsia="Times New Roman" w:hAnsi="Arial" w:cs="Arial"/>
                <w:sz w:val="18"/>
                <w:szCs w:val="18"/>
              </w:rPr>
            </w:pPr>
            <w:r w:rsidRPr="003A3276">
              <w:rPr>
                <w:rFonts w:ascii="Arial" w:eastAsia="Times New Roman" w:hAnsi="Arial" w:cs="Arial"/>
                <w:sz w:val="18"/>
                <w:szCs w:val="18"/>
              </w:rPr>
              <w:t>100%</w:t>
            </w:r>
          </w:p>
        </w:tc>
        <w:tc>
          <w:tcPr>
            <w:tcW w:w="825" w:type="pct"/>
          </w:tcPr>
          <w:p w:rsidR="003E0809" w:rsidRPr="003A3276" w:rsidP="003E0809" w14:paraId="2F893B6E" w14:textId="2C489BC3">
            <w:pPr>
              <w:tabs>
                <w:tab w:val="decimal" w:pos="1004"/>
              </w:tabs>
              <w:spacing w:before="60" w:after="40" w:line="240" w:lineRule="auto"/>
              <w:rPr>
                <w:rFonts w:ascii="Arial" w:eastAsia="Times New Roman" w:hAnsi="Arial" w:cs="Arial"/>
                <w:sz w:val="18"/>
                <w:szCs w:val="18"/>
              </w:rPr>
            </w:pPr>
            <w:r w:rsidRPr="003A3276">
              <w:rPr>
                <w:rFonts w:ascii="Arial" w:hAnsi="Arial" w:cs="Arial"/>
                <w:sz w:val="18"/>
                <w:szCs w:val="18"/>
              </w:rPr>
              <w:t>192</w:t>
            </w:r>
          </w:p>
        </w:tc>
      </w:tr>
      <w:tr w14:paraId="31FE95BB" w14:textId="77777777" w:rsidTr="003E0809">
        <w:tblPrEx>
          <w:tblW w:w="5000" w:type="pct"/>
          <w:tblLook w:val="04A0"/>
        </w:tblPrEx>
        <w:tc>
          <w:tcPr>
            <w:tcW w:w="1728" w:type="pct"/>
          </w:tcPr>
          <w:p w:rsidR="003E0809" w:rsidRPr="003A3276" w:rsidP="003E0809" w14:paraId="76F68732" w14:textId="788C40DB">
            <w:pPr>
              <w:spacing w:before="60" w:after="40" w:line="240" w:lineRule="auto"/>
              <w:rPr>
                <w:rFonts w:ascii="Arial" w:eastAsia="Times New Roman" w:hAnsi="Arial" w:cs="Times New Roman"/>
                <w:sz w:val="18"/>
                <w:szCs w:val="20"/>
              </w:rPr>
            </w:pPr>
            <w:r w:rsidRPr="003A3276">
              <w:rPr>
                <w:rFonts w:ascii="Arial" w:eastAsia="Times New Roman" w:hAnsi="Arial" w:cs="Times New Roman"/>
                <w:sz w:val="18"/>
                <w:szCs w:val="20"/>
              </w:rPr>
              <w:t>Instrument 4: Subrecipient Data Collection and Reporting Form</w:t>
            </w:r>
          </w:p>
        </w:tc>
        <w:tc>
          <w:tcPr>
            <w:tcW w:w="858" w:type="pct"/>
          </w:tcPr>
          <w:p w:rsidR="003E0809" w:rsidRPr="003A3276" w:rsidP="003E0809" w14:paraId="6AAD767B" w14:textId="37A11A87">
            <w:pPr>
              <w:spacing w:before="60" w:after="40" w:line="240" w:lineRule="auto"/>
              <w:jc w:val="center"/>
              <w:rPr>
                <w:rFonts w:ascii="Arial" w:eastAsia="Times New Roman" w:hAnsi="Arial" w:cs="Times New Roman"/>
                <w:sz w:val="18"/>
                <w:szCs w:val="20"/>
              </w:rPr>
            </w:pPr>
            <w:r w:rsidRPr="003A3276">
              <w:rPr>
                <w:rFonts w:ascii="Arial" w:eastAsia="Times New Roman" w:hAnsi="Arial" w:cs="Times New Roman"/>
                <w:sz w:val="18"/>
                <w:szCs w:val="20"/>
              </w:rPr>
              <w:t>Subrecipient Administrator</w:t>
            </w:r>
          </w:p>
        </w:tc>
        <w:tc>
          <w:tcPr>
            <w:tcW w:w="871" w:type="pct"/>
          </w:tcPr>
          <w:p w:rsidR="003E0809" w:rsidRPr="003A3276" w:rsidP="003E0809" w14:paraId="1BA74D7D" w14:textId="3A838862">
            <w:pPr>
              <w:tabs>
                <w:tab w:val="decimal" w:pos="966"/>
              </w:tabs>
              <w:spacing w:before="60" w:after="40" w:line="240" w:lineRule="auto"/>
              <w:ind w:right="40"/>
              <w:rPr>
                <w:rFonts w:ascii="Arial" w:eastAsia="Times New Roman" w:hAnsi="Arial" w:cs="Arial"/>
                <w:sz w:val="18"/>
                <w:szCs w:val="18"/>
              </w:rPr>
            </w:pPr>
            <w:r w:rsidRPr="003A3276">
              <w:rPr>
                <w:rFonts w:ascii="Arial" w:hAnsi="Arial" w:cs="Arial"/>
                <w:sz w:val="18"/>
                <w:szCs w:val="18"/>
              </w:rPr>
              <w:t>741</w:t>
            </w:r>
          </w:p>
        </w:tc>
        <w:tc>
          <w:tcPr>
            <w:tcW w:w="718" w:type="pct"/>
          </w:tcPr>
          <w:p w:rsidR="003E0809" w:rsidRPr="003A3276" w:rsidP="003E0809" w14:paraId="7C547119" w14:textId="77777777">
            <w:pPr>
              <w:tabs>
                <w:tab w:val="decimal" w:pos="696"/>
              </w:tabs>
              <w:spacing w:before="60" w:after="40" w:line="240" w:lineRule="auto"/>
              <w:rPr>
                <w:rFonts w:ascii="Arial" w:eastAsia="Times New Roman" w:hAnsi="Arial" w:cs="Arial"/>
                <w:sz w:val="18"/>
                <w:szCs w:val="18"/>
              </w:rPr>
            </w:pPr>
            <w:r w:rsidRPr="003A3276">
              <w:rPr>
                <w:rFonts w:ascii="Arial" w:eastAsia="Times New Roman" w:hAnsi="Arial" w:cs="Arial"/>
                <w:sz w:val="18"/>
                <w:szCs w:val="18"/>
              </w:rPr>
              <w:t>100%</w:t>
            </w:r>
          </w:p>
        </w:tc>
        <w:tc>
          <w:tcPr>
            <w:tcW w:w="825" w:type="pct"/>
          </w:tcPr>
          <w:p w:rsidR="003E0809" w:rsidRPr="003A3276" w:rsidP="003E0809" w14:paraId="4E83D13B" w14:textId="6313DB2F">
            <w:pPr>
              <w:tabs>
                <w:tab w:val="decimal" w:pos="1004"/>
              </w:tabs>
              <w:spacing w:before="60" w:after="40" w:line="240" w:lineRule="auto"/>
              <w:rPr>
                <w:rFonts w:ascii="Arial" w:eastAsia="Times New Roman" w:hAnsi="Arial" w:cs="Arial"/>
                <w:sz w:val="18"/>
                <w:szCs w:val="18"/>
              </w:rPr>
            </w:pPr>
            <w:r w:rsidRPr="003A3276">
              <w:rPr>
                <w:rFonts w:ascii="Arial" w:hAnsi="Arial" w:cs="Arial"/>
                <w:sz w:val="18"/>
                <w:szCs w:val="18"/>
              </w:rPr>
              <w:t>741</w:t>
            </w:r>
          </w:p>
        </w:tc>
      </w:tr>
    </w:tbl>
    <w:p w:rsidR="00EC3A15" w:rsidRPr="003A3276" w:rsidP="00EC3A15" w14:paraId="0EC303D9" w14:textId="77777777">
      <w:pPr>
        <w:spacing w:after="0" w:line="240" w:lineRule="auto"/>
        <w:ind w:firstLine="432"/>
        <w:rPr>
          <w:rFonts w:ascii="Times New Roman" w:eastAsia="Times New Roman" w:hAnsi="Times New Roman" w:cs="Times New Roman"/>
          <w:b/>
          <w:sz w:val="24"/>
          <w:szCs w:val="20"/>
        </w:rPr>
      </w:pPr>
    </w:p>
    <w:p w:rsidR="00A42C71" w:rsidRPr="003A3276" w:rsidP="00A42C71" w14:paraId="7D020F8F" w14:textId="77777777">
      <w:pPr>
        <w:autoSpaceDE w:val="0"/>
        <w:autoSpaceDN w:val="0"/>
        <w:adjustRightInd w:val="0"/>
        <w:spacing w:after="60" w:line="240" w:lineRule="atLeast"/>
        <w:rPr>
          <w:rFonts w:eastAsia="Times New Roman" w:cstheme="minorHAnsi"/>
          <w:i/>
          <w:color w:val="000000"/>
        </w:rPr>
      </w:pPr>
      <w:r w:rsidRPr="003A3276">
        <w:rPr>
          <w:rFonts w:eastAsia="Times New Roman" w:cstheme="minorHAnsi"/>
          <w:i/>
          <w:color w:val="000000"/>
        </w:rPr>
        <w:t>NonResponse</w:t>
      </w:r>
    </w:p>
    <w:p w:rsidR="00A42C71" w:rsidRPr="003A3276" w:rsidP="00A42C71" w14:paraId="531BE280" w14:textId="661E8F7B">
      <w:pPr>
        <w:autoSpaceDE w:val="0"/>
        <w:autoSpaceDN w:val="0"/>
        <w:adjustRightInd w:val="0"/>
        <w:spacing w:after="0" w:line="240" w:lineRule="atLeast"/>
        <w:rPr>
          <w:rFonts w:eastAsia="Times New Roman" w:cstheme="minorHAnsi"/>
          <w:b/>
          <w:bCs/>
          <w:color w:val="000000"/>
        </w:rPr>
      </w:pPr>
      <w:r w:rsidRPr="00D0539A">
        <w:rPr>
          <w:rFonts w:eastAsia="Times New Roman" w:cstheme="minorHAnsi"/>
          <w:iCs/>
          <w:color w:val="000000"/>
        </w:rPr>
        <w:t xml:space="preserve">As </w:t>
      </w:r>
      <w:r>
        <w:rPr>
          <w:rFonts w:eastAsia="Times New Roman" w:cstheme="minorHAnsi"/>
          <w:iCs/>
          <w:color w:val="000000"/>
        </w:rPr>
        <w:t>in</w:t>
      </w:r>
      <w:r w:rsidRPr="00D0539A">
        <w:rPr>
          <w:rFonts w:eastAsia="Times New Roman" w:cstheme="minorHAnsi"/>
          <w:iCs/>
          <w:color w:val="000000"/>
        </w:rPr>
        <w:t xml:space="preserve"> earlier rounds of SRAE performance measures data, </w:t>
      </w:r>
      <w:r>
        <w:rPr>
          <w:rFonts w:eastAsia="Times New Roman" w:cstheme="minorHAnsi"/>
          <w:iCs/>
          <w:color w:val="000000"/>
        </w:rPr>
        <w:t>a</w:t>
      </w:r>
      <w:r w:rsidRPr="003A3276" w:rsidR="00EC3A15">
        <w:rPr>
          <w:rFonts w:eastAsia="Times New Roman" w:cstheme="minorHAnsi"/>
          <w:color w:val="000000"/>
        </w:rPr>
        <w:t>nalyses will be conducted based on respondents</w:t>
      </w:r>
      <w:r w:rsidR="00655ED1">
        <w:rPr>
          <w:rFonts w:eastAsia="Times New Roman" w:cstheme="minorHAnsi"/>
          <w:color w:val="000000"/>
        </w:rPr>
        <w:t>’ submission of</w:t>
      </w:r>
      <w:r w:rsidRPr="003A3276" w:rsidR="00EC3A15">
        <w:rPr>
          <w:rFonts w:eastAsia="Times New Roman" w:cstheme="minorHAnsi"/>
          <w:color w:val="000000"/>
        </w:rPr>
        <w:t xml:space="preserve"> data for a given measure, with no imputation or weight adjustments to address missing data. Because we expect high response rates to all components of the data collection, we do not plan any nonresponse bias analysis.</w:t>
      </w:r>
    </w:p>
    <w:p w:rsidR="00A42C71" w:rsidRPr="003A3276" w:rsidP="00A42C71" w14:paraId="2C017166" w14:textId="77777777">
      <w:pPr>
        <w:autoSpaceDE w:val="0"/>
        <w:autoSpaceDN w:val="0"/>
        <w:adjustRightInd w:val="0"/>
        <w:spacing w:after="0" w:line="240" w:lineRule="atLeast"/>
        <w:rPr>
          <w:rFonts w:eastAsia="Times New Roman" w:cstheme="minorHAnsi"/>
          <w:b/>
          <w:bCs/>
          <w:color w:val="000000"/>
        </w:rPr>
      </w:pPr>
    </w:p>
    <w:p w:rsidR="00A42C71" w:rsidRPr="003A3276" w:rsidP="00A42C71" w14:paraId="4E6826E7" w14:textId="0372180C">
      <w:pPr>
        <w:spacing w:after="120" w:line="240" w:lineRule="auto"/>
        <w:rPr>
          <w:rFonts w:eastAsia="Times New Roman" w:cstheme="minorHAnsi"/>
        </w:rPr>
      </w:pPr>
      <w:r w:rsidRPr="003A3276">
        <w:rPr>
          <w:rFonts w:eastAsia="Times New Roman" w:cstheme="minorHAnsi"/>
          <w:b/>
          <w:bCs/>
        </w:rPr>
        <w:t>B6.  Production of Estimates and Projections</w:t>
      </w:r>
      <w:r w:rsidRPr="003A3276">
        <w:rPr>
          <w:rFonts w:eastAsia="Times New Roman" w:cstheme="minorHAnsi"/>
        </w:rPr>
        <w:t xml:space="preserve"> </w:t>
      </w:r>
    </w:p>
    <w:p w:rsidR="004F7E98" w:rsidRPr="003A3276" w:rsidP="004F7E98" w14:paraId="7D0A74EC" w14:textId="4C2B2A32">
      <w:pPr>
        <w:spacing w:after="240" w:line="240" w:lineRule="auto"/>
        <w:rPr>
          <w:rFonts w:eastAsia="Times New Roman" w:cstheme="minorHAnsi"/>
          <w:szCs w:val="24"/>
        </w:rPr>
      </w:pPr>
      <w:r w:rsidRPr="003A3276">
        <w:rPr>
          <w:rFonts w:eastAsia="Times New Roman" w:cstheme="minorHAnsi"/>
          <w:szCs w:val="24"/>
        </w:rPr>
        <w:t xml:space="preserve">The performance measures data will </w:t>
      </w:r>
      <w:r w:rsidR="00D0539A">
        <w:rPr>
          <w:rFonts w:eastAsia="Times New Roman" w:cstheme="minorHAnsi"/>
          <w:szCs w:val="24"/>
        </w:rPr>
        <w:t xml:space="preserve">continue to </w:t>
      </w:r>
      <w:r w:rsidRPr="003A3276">
        <w:rPr>
          <w:rFonts w:eastAsia="Times New Roman" w:cstheme="minorHAnsi"/>
          <w:szCs w:val="24"/>
        </w:rPr>
        <w:t xml:space="preserve">primarily be used internally by ACF and SRAE </w:t>
      </w:r>
      <w:r>
        <w:rPr>
          <w:rFonts w:eastAsia="Times New Roman" w:cstheme="minorHAnsi"/>
          <w:szCs w:val="24"/>
        </w:rPr>
        <w:t>grant recipient</w:t>
      </w:r>
      <w:r w:rsidRPr="003A3276">
        <w:rPr>
          <w:rFonts w:eastAsia="Times New Roman" w:cstheme="minorHAnsi"/>
          <w:szCs w:val="24"/>
        </w:rPr>
        <w:t xml:space="preserve">s but will also be used to inform other stakeholders. For example, performance measures data will inform ACF’s annual reporting to </w:t>
      </w:r>
      <w:r w:rsidRPr="00450354" w:rsidR="00450354">
        <w:rPr>
          <w:rFonts w:eastAsia="Times New Roman" w:cstheme="minorHAnsi"/>
          <w:szCs w:val="24"/>
        </w:rPr>
        <w:t xml:space="preserve">the </w:t>
      </w:r>
      <w:r w:rsidR="00C97FAD">
        <w:rPr>
          <w:rFonts w:eastAsia="Times New Roman" w:cstheme="minorHAnsi"/>
          <w:szCs w:val="24"/>
        </w:rPr>
        <w:t xml:space="preserve">OMB </w:t>
      </w:r>
      <w:r w:rsidRPr="003A3276">
        <w:rPr>
          <w:rFonts w:eastAsia="Times New Roman" w:cstheme="minorHAnsi"/>
          <w:szCs w:val="24"/>
        </w:rPr>
        <w:t xml:space="preserve">on the progress of the SRAE </w:t>
      </w:r>
      <w:r w:rsidR="00655ED1">
        <w:rPr>
          <w:rFonts w:eastAsia="Times New Roman" w:cstheme="minorHAnsi"/>
          <w:szCs w:val="24"/>
        </w:rPr>
        <w:t>P</w:t>
      </w:r>
      <w:r w:rsidRPr="003A3276">
        <w:rPr>
          <w:rFonts w:eastAsia="Times New Roman" w:cstheme="minorHAnsi"/>
          <w:szCs w:val="24"/>
        </w:rPr>
        <w:t xml:space="preserve">rogram and end-of-cohort reports will be made available to the public. </w:t>
      </w:r>
    </w:p>
    <w:p w:rsidR="00A42C71" w:rsidRPr="003A3276" w:rsidP="004F7E98" w14:paraId="0CA94563" w14:textId="059FCC7D">
      <w:pPr>
        <w:spacing w:after="0" w:line="240" w:lineRule="auto"/>
        <w:rPr>
          <w:rFonts w:eastAsia="Times New Roman" w:cstheme="minorHAnsi"/>
        </w:rPr>
      </w:pPr>
      <w:r w:rsidRPr="003A3276">
        <w:rPr>
          <w:rFonts w:eastAsia="Times New Roman" w:cstheme="minorHAnsi"/>
          <w:szCs w:val="24"/>
        </w:rPr>
        <w:t xml:space="preserve">The performance measures data </w:t>
      </w:r>
      <w:r w:rsidR="00655ED1">
        <w:rPr>
          <w:rFonts w:eastAsia="Times New Roman" w:cstheme="minorHAnsi"/>
          <w:szCs w:val="24"/>
        </w:rPr>
        <w:t xml:space="preserve">will </w:t>
      </w:r>
      <w:r w:rsidRPr="00D0539A" w:rsidR="00D0539A">
        <w:rPr>
          <w:rFonts w:eastAsia="Times New Roman" w:cstheme="minorHAnsi"/>
          <w:szCs w:val="24"/>
        </w:rPr>
        <w:t xml:space="preserve">continue to </w:t>
      </w:r>
      <w:r w:rsidR="00655ED1">
        <w:rPr>
          <w:rFonts w:eastAsia="Times New Roman" w:cstheme="minorHAnsi"/>
          <w:szCs w:val="24"/>
        </w:rPr>
        <w:t>be submitted by</w:t>
      </w:r>
      <w:r w:rsidRPr="003A3276">
        <w:rPr>
          <w:rFonts w:eastAsia="Times New Roman" w:cstheme="minorHAnsi"/>
          <w:szCs w:val="24"/>
        </w:rPr>
        <w:t xml:space="preserve"> all SRAE </w:t>
      </w:r>
      <w:r>
        <w:rPr>
          <w:rFonts w:eastAsia="Times New Roman" w:cstheme="minorHAnsi"/>
          <w:szCs w:val="24"/>
        </w:rPr>
        <w:t>grant recipient</w:t>
      </w:r>
      <w:r w:rsidRPr="003A3276">
        <w:rPr>
          <w:rFonts w:eastAsia="Times New Roman" w:cstheme="minorHAnsi"/>
          <w:szCs w:val="24"/>
        </w:rPr>
        <w:t>s, program providers, and youth participants. The analyses will include computation of statistics such as percentages and means based on the respondents; we will not produce estimates intended to apply to any broader population.</w:t>
      </w:r>
    </w:p>
    <w:p w:rsidR="000A6550" w:rsidRPr="003A3276" w:rsidP="00A42C71" w14:paraId="00EF0574" w14:textId="77777777">
      <w:pPr>
        <w:spacing w:after="0" w:line="240" w:lineRule="auto"/>
        <w:rPr>
          <w:rFonts w:eastAsia="Times New Roman" w:cstheme="minorHAnsi"/>
        </w:rPr>
      </w:pPr>
    </w:p>
    <w:p w:rsidR="00A42C71" w:rsidRPr="003A3276" w:rsidP="00A42C71" w14:paraId="5A639760" w14:textId="77777777">
      <w:pPr>
        <w:autoSpaceDE w:val="0"/>
        <w:autoSpaceDN w:val="0"/>
        <w:adjustRightInd w:val="0"/>
        <w:spacing w:after="120" w:line="240" w:lineRule="atLeast"/>
        <w:rPr>
          <w:rFonts w:eastAsia="Times New Roman" w:cstheme="minorHAnsi"/>
          <w:b/>
          <w:bCs/>
          <w:color w:val="000000"/>
        </w:rPr>
      </w:pPr>
      <w:r w:rsidRPr="003A3276">
        <w:rPr>
          <w:rFonts w:eastAsia="Times New Roman" w:cstheme="minorHAnsi"/>
          <w:b/>
          <w:bCs/>
          <w:color w:val="000000"/>
        </w:rPr>
        <w:t>B7.</w:t>
      </w:r>
      <w:r w:rsidRPr="003A3276">
        <w:rPr>
          <w:rFonts w:eastAsia="Times New Roman" w:cstheme="minorHAnsi"/>
          <w:color w:val="000000"/>
        </w:rPr>
        <w:t xml:space="preserve">  </w:t>
      </w:r>
      <w:r w:rsidRPr="003A3276">
        <w:rPr>
          <w:rFonts w:eastAsia="Times New Roman" w:cstheme="minorHAnsi"/>
          <w:b/>
          <w:bCs/>
          <w:color w:val="000000"/>
        </w:rPr>
        <w:t>Data Handling and Analysis</w:t>
      </w:r>
    </w:p>
    <w:p w:rsidR="00A42C71" w:rsidRPr="003A3276" w:rsidP="00A42C71" w14:paraId="39B31B50" w14:textId="77777777">
      <w:pPr>
        <w:autoSpaceDE w:val="0"/>
        <w:autoSpaceDN w:val="0"/>
        <w:adjustRightInd w:val="0"/>
        <w:spacing w:after="60" w:line="240" w:lineRule="atLeast"/>
        <w:rPr>
          <w:rFonts w:eastAsia="Times New Roman" w:cstheme="minorHAnsi"/>
          <w:bCs/>
          <w:i/>
          <w:color w:val="000000"/>
        </w:rPr>
      </w:pPr>
      <w:r w:rsidRPr="003A3276">
        <w:rPr>
          <w:rFonts w:eastAsia="Times New Roman" w:cstheme="minorHAnsi"/>
          <w:bCs/>
          <w:i/>
          <w:color w:val="000000"/>
        </w:rPr>
        <w:t>Data Handling</w:t>
      </w:r>
    </w:p>
    <w:p w:rsidR="004F7E98" w:rsidRPr="003A3276" w:rsidP="004F7E98" w14:paraId="3B13C9F1" w14:textId="38CFEED3">
      <w:pPr>
        <w:spacing w:after="240" w:line="240" w:lineRule="auto"/>
        <w:rPr>
          <w:rFonts w:eastAsia="Times New Roman" w:cstheme="minorHAnsi"/>
          <w:bCs/>
          <w:color w:val="000000"/>
        </w:rPr>
      </w:pPr>
      <w:r>
        <w:rPr>
          <w:rFonts w:eastAsia="Times New Roman" w:cstheme="minorHAnsi"/>
          <w:bCs/>
          <w:color w:val="000000"/>
        </w:rPr>
        <w:t>P</w:t>
      </w:r>
      <w:r w:rsidRPr="003A3276">
        <w:rPr>
          <w:rFonts w:eastAsia="Times New Roman" w:cstheme="minorHAnsi"/>
          <w:bCs/>
          <w:color w:val="000000"/>
        </w:rPr>
        <w:t xml:space="preserve">erformance measures </w:t>
      </w:r>
      <w:r>
        <w:rPr>
          <w:rFonts w:eastAsia="Times New Roman" w:cstheme="minorHAnsi"/>
          <w:bCs/>
          <w:color w:val="000000"/>
        </w:rPr>
        <w:t xml:space="preserve">data </w:t>
      </w:r>
      <w:r w:rsidRPr="003A3276">
        <w:rPr>
          <w:rFonts w:eastAsia="Times New Roman" w:cstheme="minorHAnsi"/>
          <w:bCs/>
          <w:color w:val="000000"/>
        </w:rPr>
        <w:t xml:space="preserve">will </w:t>
      </w:r>
      <w:r w:rsidRPr="00D0539A" w:rsidR="00D0539A">
        <w:rPr>
          <w:rFonts w:eastAsia="Times New Roman" w:cstheme="minorHAnsi"/>
          <w:bCs/>
          <w:color w:val="000000"/>
        </w:rPr>
        <w:t xml:space="preserve">continue to </w:t>
      </w:r>
      <w:r w:rsidRPr="003A3276">
        <w:rPr>
          <w:rFonts w:eastAsia="Times New Roman" w:cstheme="minorHAnsi"/>
          <w:bCs/>
          <w:color w:val="000000"/>
        </w:rPr>
        <w:t xml:space="preserve">be collected by </w:t>
      </w:r>
      <w:r>
        <w:rPr>
          <w:rFonts w:eastAsia="Times New Roman" w:cstheme="minorHAnsi"/>
          <w:bCs/>
          <w:color w:val="000000"/>
        </w:rPr>
        <w:t>grant recipient</w:t>
      </w:r>
      <w:r w:rsidRPr="003A3276">
        <w:rPr>
          <w:rFonts w:eastAsia="Times New Roman" w:cstheme="minorHAnsi"/>
          <w:bCs/>
          <w:color w:val="000000"/>
        </w:rPr>
        <w:t>s and their sub</w:t>
      </w:r>
      <w:r w:rsidRPr="003A3276" w:rsidR="007111DD">
        <w:rPr>
          <w:rFonts w:eastAsia="Times New Roman" w:cstheme="minorHAnsi"/>
          <w:bCs/>
          <w:color w:val="000000"/>
        </w:rPr>
        <w:t>recipient</w:t>
      </w:r>
      <w:r w:rsidRPr="003A3276">
        <w:rPr>
          <w:rFonts w:eastAsia="Times New Roman" w:cstheme="minorHAnsi"/>
          <w:bCs/>
          <w:color w:val="000000"/>
        </w:rPr>
        <w:t xml:space="preserve">s. In some cases, </w:t>
      </w:r>
      <w:r>
        <w:rPr>
          <w:rFonts w:eastAsia="Times New Roman" w:cstheme="minorHAnsi"/>
          <w:bCs/>
          <w:color w:val="000000"/>
        </w:rPr>
        <w:t>grant recipient</w:t>
      </w:r>
      <w:r w:rsidRPr="003A3276">
        <w:rPr>
          <w:rFonts w:eastAsia="Times New Roman" w:cstheme="minorHAnsi"/>
          <w:bCs/>
          <w:color w:val="000000"/>
        </w:rPr>
        <w:t>s m</w:t>
      </w:r>
      <w:r>
        <w:rPr>
          <w:rFonts w:eastAsia="Times New Roman" w:cstheme="minorHAnsi"/>
          <w:bCs/>
          <w:color w:val="000000"/>
        </w:rPr>
        <w:t>ay</w:t>
      </w:r>
      <w:r w:rsidRPr="003A3276">
        <w:rPr>
          <w:rFonts w:eastAsia="Times New Roman" w:cstheme="minorHAnsi"/>
          <w:bCs/>
          <w:color w:val="000000"/>
        </w:rPr>
        <w:t xml:space="preserve"> have engaged local evaluators </w:t>
      </w:r>
      <w:r>
        <w:rPr>
          <w:rFonts w:eastAsia="Times New Roman" w:cstheme="minorHAnsi"/>
          <w:bCs/>
          <w:color w:val="000000"/>
        </w:rPr>
        <w:t>to</w:t>
      </w:r>
      <w:r w:rsidRPr="003A3276">
        <w:rPr>
          <w:rFonts w:eastAsia="Times New Roman" w:cstheme="minorHAnsi"/>
          <w:bCs/>
          <w:color w:val="000000"/>
        </w:rPr>
        <w:t xml:space="preserve"> assist them </w:t>
      </w:r>
      <w:r>
        <w:rPr>
          <w:rFonts w:eastAsia="Times New Roman" w:cstheme="minorHAnsi"/>
          <w:bCs/>
          <w:color w:val="000000"/>
        </w:rPr>
        <w:t xml:space="preserve">with </w:t>
      </w:r>
      <w:r w:rsidRPr="003A3276">
        <w:rPr>
          <w:rFonts w:eastAsia="Times New Roman" w:cstheme="minorHAnsi"/>
          <w:bCs/>
          <w:color w:val="000000"/>
        </w:rPr>
        <w:t xml:space="preserve">data collection. </w:t>
      </w:r>
    </w:p>
    <w:p w:rsidR="004F7E98" w:rsidRPr="003A3276" w:rsidP="004F7E98" w14:paraId="0136E9BD" w14:textId="4B4C0E6C">
      <w:pPr>
        <w:spacing w:after="240" w:line="240" w:lineRule="auto"/>
        <w:rPr>
          <w:rFonts w:eastAsia="Times New Roman" w:cstheme="minorHAnsi"/>
          <w:bCs/>
          <w:color w:val="000000"/>
        </w:rPr>
      </w:pPr>
      <w:r>
        <w:rPr>
          <w:rFonts w:eastAsia="Times New Roman" w:cstheme="minorHAnsi"/>
          <w:bCs/>
          <w:color w:val="000000"/>
        </w:rPr>
        <w:t>Grant recipient</w:t>
      </w:r>
      <w:r w:rsidRPr="003A3276">
        <w:rPr>
          <w:rFonts w:eastAsia="Times New Roman" w:cstheme="minorHAnsi"/>
          <w:bCs/>
          <w:color w:val="000000"/>
        </w:rPr>
        <w:t>s will</w:t>
      </w:r>
      <w:r w:rsidRPr="00D0539A" w:rsidR="00D0539A">
        <w:rPr>
          <w:rFonts w:eastAsia="Times New Roman" w:cstheme="minorHAnsi"/>
          <w:szCs w:val="24"/>
        </w:rPr>
        <w:t xml:space="preserve"> </w:t>
      </w:r>
      <w:r w:rsidRPr="00D0539A" w:rsidR="00D0539A">
        <w:rPr>
          <w:rFonts w:eastAsia="Times New Roman" w:cstheme="minorHAnsi"/>
          <w:bCs/>
          <w:color w:val="000000"/>
        </w:rPr>
        <w:t>continue to</w:t>
      </w:r>
      <w:r w:rsidRPr="003A3276">
        <w:rPr>
          <w:rFonts w:eastAsia="Times New Roman" w:cstheme="minorHAnsi"/>
          <w:bCs/>
          <w:color w:val="000000"/>
        </w:rPr>
        <w:t xml:space="preserve"> enter performance measures data into the </w:t>
      </w:r>
      <w:r w:rsidRPr="003A3276" w:rsidR="00D91369">
        <w:rPr>
          <w:rFonts w:eastAsia="Times New Roman" w:cstheme="minorHAnsi"/>
          <w:bCs/>
          <w:color w:val="000000"/>
        </w:rPr>
        <w:t>SRAE Performance Measures D</w:t>
      </w:r>
      <w:r w:rsidRPr="003A3276">
        <w:rPr>
          <w:rFonts w:eastAsia="Times New Roman" w:cstheme="minorHAnsi"/>
          <w:bCs/>
          <w:color w:val="000000"/>
        </w:rPr>
        <w:t xml:space="preserve">ata </w:t>
      </w:r>
      <w:r w:rsidRPr="003A3276" w:rsidR="007111DD">
        <w:rPr>
          <w:rFonts w:eastAsia="Times New Roman" w:cstheme="minorHAnsi"/>
          <w:bCs/>
          <w:color w:val="000000"/>
        </w:rPr>
        <w:t>Portal</w:t>
      </w:r>
      <w:r w:rsidRPr="003A3276">
        <w:rPr>
          <w:rFonts w:eastAsia="Times New Roman" w:cstheme="minorHAnsi"/>
          <w:bCs/>
          <w:color w:val="000000"/>
        </w:rPr>
        <w:t xml:space="preserve"> maintained by ACF’s contractor. The entry screens of the </w:t>
      </w:r>
      <w:r w:rsidRPr="003A3276" w:rsidR="007111DD">
        <w:rPr>
          <w:rFonts w:eastAsia="Times New Roman" w:cstheme="minorHAnsi"/>
          <w:bCs/>
          <w:color w:val="000000"/>
        </w:rPr>
        <w:t>Portal</w:t>
      </w:r>
      <w:r w:rsidRPr="003A3276">
        <w:rPr>
          <w:rFonts w:eastAsia="Times New Roman" w:cstheme="minorHAnsi"/>
          <w:bCs/>
          <w:color w:val="000000"/>
        </w:rPr>
        <w:t xml:space="preserve"> include a series of automated validity checks to identify some types of errors as the data are entered. Error messages </w:t>
      </w:r>
      <w:r w:rsidR="00655ED1">
        <w:rPr>
          <w:rFonts w:eastAsia="Times New Roman" w:cstheme="minorHAnsi"/>
          <w:bCs/>
          <w:color w:val="000000"/>
        </w:rPr>
        <w:t xml:space="preserve">will </w:t>
      </w:r>
      <w:r w:rsidRPr="00D0539A" w:rsidR="00D0539A">
        <w:rPr>
          <w:rFonts w:eastAsia="Times New Roman" w:cstheme="minorHAnsi"/>
          <w:bCs/>
          <w:color w:val="000000"/>
        </w:rPr>
        <w:t xml:space="preserve">continue to </w:t>
      </w:r>
      <w:r w:rsidRPr="003A3276">
        <w:rPr>
          <w:rFonts w:eastAsia="Times New Roman" w:cstheme="minorHAnsi"/>
          <w:bCs/>
          <w:color w:val="000000"/>
        </w:rPr>
        <w:t xml:space="preserve">alert </w:t>
      </w:r>
      <w:r>
        <w:rPr>
          <w:rFonts w:eastAsia="Times New Roman" w:cstheme="minorHAnsi"/>
          <w:bCs/>
          <w:color w:val="000000"/>
        </w:rPr>
        <w:t>grant recipient</w:t>
      </w:r>
      <w:r w:rsidRPr="003A3276">
        <w:rPr>
          <w:rFonts w:eastAsia="Times New Roman" w:cstheme="minorHAnsi"/>
          <w:bCs/>
          <w:color w:val="000000"/>
        </w:rPr>
        <w:t xml:space="preserve">s to inconsistencies between data elements, values beyond the expected range, and similar issues, and provide </w:t>
      </w:r>
      <w:r>
        <w:rPr>
          <w:rFonts w:eastAsia="Times New Roman" w:cstheme="minorHAnsi"/>
          <w:bCs/>
          <w:color w:val="000000"/>
        </w:rPr>
        <w:t>grant recipient</w:t>
      </w:r>
      <w:r w:rsidR="00655ED1">
        <w:rPr>
          <w:rFonts w:eastAsia="Times New Roman" w:cstheme="minorHAnsi"/>
          <w:bCs/>
          <w:color w:val="000000"/>
        </w:rPr>
        <w:t xml:space="preserve">s </w:t>
      </w:r>
      <w:r w:rsidRPr="003A3276">
        <w:rPr>
          <w:rFonts w:eastAsia="Times New Roman" w:cstheme="minorHAnsi"/>
          <w:bCs/>
          <w:color w:val="000000"/>
        </w:rPr>
        <w:t>an opportunity to correct such errors before the data are submitted. For example, an error message w</w:t>
      </w:r>
      <w:r w:rsidR="00655ED1">
        <w:rPr>
          <w:rFonts w:eastAsia="Times New Roman" w:cstheme="minorHAnsi"/>
          <w:bCs/>
          <w:color w:val="000000"/>
        </w:rPr>
        <w:t>ill</w:t>
      </w:r>
      <w:r w:rsidRPr="003A3276">
        <w:rPr>
          <w:rFonts w:eastAsia="Times New Roman" w:cstheme="minorHAnsi"/>
          <w:bCs/>
          <w:color w:val="000000"/>
        </w:rPr>
        <w:t xml:space="preserve"> appear if the number of facilitators reported to have received training or been observed for quality monitoring during the period exceeds the total number of facilitators reported for the period. The system will also </w:t>
      </w:r>
      <w:r w:rsidRPr="00D0539A" w:rsidR="00D0539A">
        <w:rPr>
          <w:rFonts w:eastAsia="Times New Roman" w:cstheme="minorHAnsi"/>
          <w:bCs/>
          <w:color w:val="000000"/>
        </w:rPr>
        <w:t xml:space="preserve">continue to </w:t>
      </w:r>
      <w:r w:rsidRPr="003A3276">
        <w:rPr>
          <w:rFonts w:eastAsia="Times New Roman" w:cstheme="minorHAnsi"/>
          <w:bCs/>
          <w:color w:val="000000"/>
        </w:rPr>
        <w:t>conduct automated checks to ensure that the full set of performance measures are entered (e.g.</w:t>
      </w:r>
      <w:r w:rsidRPr="003A3276" w:rsidR="00F2172B">
        <w:rPr>
          <w:rFonts w:eastAsia="Times New Roman" w:cstheme="minorHAnsi"/>
          <w:bCs/>
          <w:color w:val="000000"/>
        </w:rPr>
        <w:t>,</w:t>
      </w:r>
      <w:r w:rsidRPr="003A3276">
        <w:rPr>
          <w:rFonts w:eastAsia="Times New Roman" w:cstheme="minorHAnsi"/>
          <w:bCs/>
          <w:color w:val="000000"/>
        </w:rPr>
        <w:t xml:space="preserve"> the </w:t>
      </w:r>
      <w:r>
        <w:rPr>
          <w:rFonts w:eastAsia="Times New Roman" w:cstheme="minorHAnsi"/>
          <w:bCs/>
          <w:color w:val="000000"/>
        </w:rPr>
        <w:t>grant recipient</w:t>
      </w:r>
      <w:r w:rsidRPr="003A3276">
        <w:rPr>
          <w:rFonts w:eastAsia="Times New Roman" w:cstheme="minorHAnsi"/>
          <w:bCs/>
          <w:color w:val="000000"/>
        </w:rPr>
        <w:t xml:space="preserve"> entered survey </w:t>
      </w:r>
      <w:r w:rsidRPr="003A3276">
        <w:rPr>
          <w:rFonts w:eastAsia="Times New Roman" w:cstheme="minorHAnsi"/>
          <w:szCs w:val="20"/>
        </w:rPr>
        <w:t>data</w:t>
      </w:r>
      <w:r w:rsidRPr="003A3276">
        <w:rPr>
          <w:rFonts w:eastAsia="Times New Roman" w:cstheme="minorHAnsi"/>
          <w:bCs/>
          <w:color w:val="000000"/>
        </w:rPr>
        <w:t xml:space="preserve"> for each program that served youth). </w:t>
      </w:r>
    </w:p>
    <w:p w:rsidR="00A42C71" w:rsidRPr="003A3276" w:rsidP="004F7E98" w14:paraId="272B92F2" w14:textId="5289B651">
      <w:pPr>
        <w:autoSpaceDE w:val="0"/>
        <w:autoSpaceDN w:val="0"/>
        <w:adjustRightInd w:val="0"/>
        <w:spacing w:after="0" w:line="240" w:lineRule="atLeast"/>
        <w:rPr>
          <w:rFonts w:eastAsia="Times New Roman" w:cstheme="minorHAnsi"/>
          <w:bCs/>
          <w:color w:val="000000"/>
        </w:rPr>
      </w:pPr>
      <w:r w:rsidRPr="003A3276">
        <w:rPr>
          <w:rFonts w:eastAsia="Times New Roman" w:cstheme="minorHAnsi"/>
          <w:bCs/>
          <w:color w:val="000000"/>
        </w:rPr>
        <w:t>Once submitted, ACF’s contractor will conduct additional quality checks to identify remaining issues</w:t>
      </w:r>
      <w:r w:rsidR="00D0539A">
        <w:rPr>
          <w:rFonts w:eastAsia="Times New Roman" w:cstheme="minorHAnsi"/>
          <w:bCs/>
          <w:color w:val="000000"/>
        </w:rPr>
        <w:t>,</w:t>
      </w:r>
      <w:r w:rsidRPr="00D0539A" w:rsidR="00D0539A">
        <w:rPr>
          <w:rFonts w:eastAsia="Times New Roman" w:cstheme="minorHAnsi"/>
          <w:iCs/>
          <w:color w:val="000000"/>
        </w:rPr>
        <w:t xml:space="preserve"> </w:t>
      </w:r>
      <w:r w:rsidR="00D0539A">
        <w:rPr>
          <w:rFonts w:eastAsia="Times New Roman" w:cstheme="minorHAnsi"/>
          <w:iCs/>
          <w:color w:val="000000"/>
        </w:rPr>
        <w:t>a</w:t>
      </w:r>
      <w:r w:rsidRPr="00D0539A" w:rsidR="00D0539A">
        <w:rPr>
          <w:rFonts w:eastAsia="Times New Roman" w:cstheme="minorHAnsi"/>
          <w:bCs/>
          <w:iCs/>
          <w:color w:val="000000"/>
        </w:rPr>
        <w:t>s in earlier rounds of SRAE performance measures data</w:t>
      </w:r>
      <w:r w:rsidRPr="003A3276">
        <w:rPr>
          <w:rFonts w:eastAsia="Times New Roman" w:cstheme="minorHAnsi"/>
          <w:bCs/>
          <w:color w:val="000000"/>
        </w:rPr>
        <w:t xml:space="preserve">. Cases with unresolved data issues may be omitted from analyses that rely on the problematic data elements. If suspect data are included in any tabulations, caveats will be included alongside the reported data. </w:t>
      </w:r>
    </w:p>
    <w:p w:rsidR="00A42C71" w:rsidRPr="003A3276" w:rsidP="00A42C71" w14:paraId="1F57B3E9" w14:textId="77777777">
      <w:pPr>
        <w:autoSpaceDE w:val="0"/>
        <w:autoSpaceDN w:val="0"/>
        <w:adjustRightInd w:val="0"/>
        <w:spacing w:after="0" w:line="240" w:lineRule="atLeast"/>
        <w:rPr>
          <w:rFonts w:eastAsia="Times New Roman" w:cstheme="minorHAnsi"/>
          <w:bCs/>
          <w:color w:val="000000"/>
        </w:rPr>
      </w:pPr>
    </w:p>
    <w:p w:rsidR="00A42C71" w:rsidRPr="003A3276" w:rsidP="00A42C71" w14:paraId="029DADD1" w14:textId="77777777">
      <w:pPr>
        <w:autoSpaceDE w:val="0"/>
        <w:autoSpaceDN w:val="0"/>
        <w:adjustRightInd w:val="0"/>
        <w:spacing w:after="60" w:line="240" w:lineRule="atLeast"/>
        <w:rPr>
          <w:rFonts w:eastAsia="Times New Roman" w:cstheme="minorHAnsi"/>
          <w:bCs/>
          <w:i/>
          <w:color w:val="000000"/>
        </w:rPr>
      </w:pPr>
      <w:r w:rsidRPr="003A3276">
        <w:rPr>
          <w:rFonts w:eastAsia="Times New Roman" w:cstheme="minorHAnsi"/>
          <w:bCs/>
          <w:i/>
          <w:color w:val="000000"/>
        </w:rPr>
        <w:t>Data Analysis</w:t>
      </w:r>
    </w:p>
    <w:p w:rsidR="00A42C71" w:rsidRPr="003A3276" w:rsidP="00A42C71" w14:paraId="0B8C1089" w14:textId="24D2B3AF">
      <w:pPr>
        <w:autoSpaceDE w:val="0"/>
        <w:autoSpaceDN w:val="0"/>
        <w:adjustRightInd w:val="0"/>
        <w:spacing w:after="0" w:line="240" w:lineRule="atLeast"/>
        <w:rPr>
          <w:rFonts w:eastAsia="Times New Roman" w:cstheme="minorHAnsi"/>
          <w:bCs/>
          <w:color w:val="000000"/>
        </w:rPr>
      </w:pPr>
      <w:r w:rsidRPr="00D0539A">
        <w:rPr>
          <w:rFonts w:eastAsia="Times New Roman" w:cstheme="minorHAnsi"/>
          <w:bCs/>
          <w:iCs/>
          <w:color w:val="000000"/>
        </w:rPr>
        <w:t>As in earlier rounds of SRAE performance measures data</w:t>
      </w:r>
      <w:r>
        <w:rPr>
          <w:rFonts w:eastAsia="Times New Roman" w:cstheme="minorHAnsi"/>
          <w:bCs/>
          <w:iCs/>
          <w:color w:val="000000"/>
        </w:rPr>
        <w:t>,</w:t>
      </w:r>
      <w:r w:rsidRPr="00D0539A">
        <w:rPr>
          <w:rFonts w:eastAsia="Times New Roman" w:cstheme="minorHAnsi"/>
          <w:bCs/>
          <w:color w:val="000000"/>
        </w:rPr>
        <w:t xml:space="preserve"> </w:t>
      </w:r>
      <w:r>
        <w:rPr>
          <w:rFonts w:eastAsia="Times New Roman" w:cstheme="minorHAnsi"/>
          <w:bCs/>
          <w:color w:val="000000"/>
        </w:rPr>
        <w:t>t</w:t>
      </w:r>
      <w:r w:rsidRPr="003A3276" w:rsidR="004F7E98">
        <w:rPr>
          <w:rFonts w:eastAsia="Times New Roman" w:cstheme="minorHAnsi"/>
          <w:bCs/>
          <w:color w:val="000000"/>
        </w:rPr>
        <w:t xml:space="preserve">he contractor will analyze SRAE performance data to generate performance measurement reports for ACF and other audiences. Core analyses will include computing means and sums of continuous numeric measures (such as number of participants served) and producing frequency distributions of categorical and character variables (such as program models implemented). Cross-tabulations will be used to explore potential relationships between variables, such as whether perceptions of program effects differ by participant’s age or other characteristics. </w:t>
      </w:r>
      <w:r w:rsidR="00A239F6">
        <w:rPr>
          <w:rFonts w:eastAsia="Times New Roman" w:cstheme="minorHAnsi"/>
          <w:bCs/>
          <w:color w:val="000000"/>
        </w:rPr>
        <w:t>W</w:t>
      </w:r>
      <w:r w:rsidRPr="003A3276" w:rsidR="004F7E98">
        <w:rPr>
          <w:rFonts w:eastAsia="Times New Roman" w:cstheme="minorHAnsi"/>
          <w:bCs/>
          <w:color w:val="000000"/>
        </w:rPr>
        <w:t xml:space="preserve">e will examine changes in the performance measures data over time. Analyses will </w:t>
      </w:r>
      <w:r w:rsidR="00A239F6">
        <w:rPr>
          <w:rFonts w:eastAsia="Times New Roman" w:cstheme="minorHAnsi"/>
          <w:bCs/>
          <w:color w:val="000000"/>
        </w:rPr>
        <w:t xml:space="preserve">continue to </w:t>
      </w:r>
      <w:r w:rsidRPr="003A3276" w:rsidR="004F7E98">
        <w:rPr>
          <w:rFonts w:eastAsia="Times New Roman" w:cstheme="minorHAnsi"/>
          <w:bCs/>
          <w:color w:val="000000"/>
        </w:rPr>
        <w:t xml:space="preserve">be conducted separately for each of the SRAE </w:t>
      </w:r>
      <w:r w:rsidR="00CA1EB4">
        <w:rPr>
          <w:rFonts w:eastAsia="Times New Roman" w:cstheme="minorHAnsi"/>
          <w:bCs/>
          <w:color w:val="000000"/>
        </w:rPr>
        <w:t>P</w:t>
      </w:r>
      <w:r w:rsidRPr="003A3276" w:rsidR="004F7E98">
        <w:rPr>
          <w:rFonts w:eastAsia="Times New Roman" w:cstheme="minorHAnsi"/>
          <w:bCs/>
          <w:color w:val="000000"/>
        </w:rPr>
        <w:t>rogram’s three funding streams (</w:t>
      </w:r>
      <w:r w:rsidR="00A77075">
        <w:rPr>
          <w:rFonts w:eastAsia="Times New Roman" w:cstheme="minorHAnsi"/>
          <w:bCs/>
          <w:color w:val="000000"/>
        </w:rPr>
        <w:t>G</w:t>
      </w:r>
      <w:r w:rsidRPr="003A3276" w:rsidR="004F7E98">
        <w:rPr>
          <w:rFonts w:eastAsia="Times New Roman" w:cstheme="minorHAnsi"/>
          <w:bCs/>
          <w:color w:val="000000"/>
        </w:rPr>
        <w:t>DSRAE, SSRAE, and CSRAE). Where feasible, we will obtain comparable measures for the youth population nationwide for comparison.</w:t>
      </w:r>
    </w:p>
    <w:p w:rsidR="00A42C71" w:rsidRPr="003A3276" w:rsidP="00A42C71" w14:paraId="17631BBB" w14:textId="77777777">
      <w:pPr>
        <w:autoSpaceDE w:val="0"/>
        <w:autoSpaceDN w:val="0"/>
        <w:adjustRightInd w:val="0"/>
        <w:spacing w:after="0" w:line="240" w:lineRule="atLeast"/>
        <w:rPr>
          <w:rFonts w:eastAsia="Times New Roman" w:cstheme="minorHAnsi"/>
          <w:bCs/>
          <w:color w:val="000000"/>
        </w:rPr>
      </w:pPr>
    </w:p>
    <w:p w:rsidR="00A42C71" w:rsidRPr="003A3276" w:rsidP="00A42C71" w14:paraId="502BA51B" w14:textId="77777777">
      <w:pPr>
        <w:autoSpaceDE w:val="0"/>
        <w:autoSpaceDN w:val="0"/>
        <w:adjustRightInd w:val="0"/>
        <w:spacing w:after="60" w:line="240" w:lineRule="atLeast"/>
        <w:rPr>
          <w:rFonts w:eastAsia="Times New Roman" w:cstheme="minorHAnsi"/>
          <w:i/>
          <w:color w:val="000000"/>
        </w:rPr>
      </w:pPr>
      <w:r w:rsidRPr="003A3276">
        <w:rPr>
          <w:rFonts w:eastAsia="Times New Roman" w:cstheme="minorHAnsi"/>
          <w:bCs/>
          <w:i/>
          <w:color w:val="000000"/>
        </w:rPr>
        <w:t>Data Use</w:t>
      </w:r>
    </w:p>
    <w:p w:rsidR="00A42C71" w:rsidRPr="003A3276" w:rsidP="00A42C71" w14:paraId="3569E449" w14:textId="2079906E">
      <w:pPr>
        <w:spacing w:after="0" w:line="240" w:lineRule="auto"/>
        <w:rPr>
          <w:rFonts w:eastAsia="Times New Roman" w:cstheme="minorHAnsi"/>
        </w:rPr>
      </w:pPr>
      <w:r w:rsidRPr="000507A6">
        <w:rPr>
          <w:rFonts w:eastAsia="Times New Roman" w:cstheme="minorHAnsi"/>
        </w:rPr>
        <w:t xml:space="preserve">ACF uses information </w:t>
      </w:r>
      <w:r>
        <w:rPr>
          <w:rFonts w:eastAsia="Times New Roman" w:cstheme="minorHAnsi"/>
        </w:rPr>
        <w:t xml:space="preserve">from </w:t>
      </w:r>
      <w:r w:rsidRPr="000507A6">
        <w:rPr>
          <w:rFonts w:eastAsia="Times New Roman" w:cstheme="minorHAnsi"/>
        </w:rPr>
        <w:t xml:space="preserve">the performance measures to fulfill reporting requirements to </w:t>
      </w:r>
      <w:r w:rsidR="00C97FAD">
        <w:rPr>
          <w:rFonts w:eastAsia="Times New Roman" w:cstheme="minorHAnsi"/>
        </w:rPr>
        <w:t>OMB</w:t>
      </w:r>
      <w:r w:rsidRPr="000507A6">
        <w:rPr>
          <w:rFonts w:eastAsia="Times New Roman" w:cstheme="minorHAnsi"/>
        </w:rPr>
        <w:t xml:space="preserve"> concerning the SRAE initiative.</w:t>
      </w:r>
      <w:r>
        <w:rPr>
          <w:rFonts w:eastAsia="Times New Roman" w:cstheme="minorHAnsi"/>
        </w:rPr>
        <w:t xml:space="preserve"> </w:t>
      </w:r>
      <w:r w:rsidRPr="003A3276" w:rsidR="004F7E98">
        <w:rPr>
          <w:rFonts w:eastAsia="Times New Roman" w:cstheme="minorHAnsi"/>
        </w:rPr>
        <w:t>In addition, the performance measures data will be used to develop end-of-cohort reports</w:t>
      </w:r>
      <w:r w:rsidR="008F5361">
        <w:rPr>
          <w:rFonts w:eastAsia="Times New Roman" w:cstheme="minorHAnsi"/>
        </w:rPr>
        <w:t xml:space="preserve"> and briefs</w:t>
      </w:r>
      <w:r w:rsidRPr="003A3276" w:rsidR="004F7E98">
        <w:rPr>
          <w:rFonts w:eastAsia="Times New Roman" w:cstheme="minorHAnsi"/>
        </w:rPr>
        <w:t>, which will synthesize performance measures data across years. These reports will include summaries of the data collection and analysis methods as well as appropriate caveats and data limitations.</w:t>
      </w:r>
      <w:r w:rsidR="00A239F6">
        <w:rPr>
          <w:rFonts w:eastAsia="Times New Roman" w:cstheme="minorHAnsi"/>
        </w:rPr>
        <w:t xml:space="preserve"> Each year, the contractor </w:t>
      </w:r>
      <w:r w:rsidRPr="00A239F6" w:rsidR="00A239F6">
        <w:rPr>
          <w:rFonts w:eastAsia="Times New Roman" w:cstheme="minorHAnsi"/>
        </w:rPr>
        <w:t xml:space="preserve">will prepare </w:t>
      </w:r>
      <w:r w:rsidR="00A239F6">
        <w:rPr>
          <w:rFonts w:eastAsia="Times New Roman" w:cstheme="minorHAnsi"/>
        </w:rPr>
        <w:t xml:space="preserve">a brief </w:t>
      </w:r>
      <w:r w:rsidR="00CA1EB4">
        <w:rPr>
          <w:rFonts w:eastAsia="Times New Roman" w:cstheme="minorHAnsi"/>
        </w:rPr>
        <w:t xml:space="preserve">public-facing </w:t>
      </w:r>
      <w:r w:rsidR="00A239F6">
        <w:rPr>
          <w:rFonts w:eastAsia="Times New Roman" w:cstheme="minorHAnsi"/>
        </w:rPr>
        <w:t xml:space="preserve">fact sheet that highlights key </w:t>
      </w:r>
      <w:r w:rsidR="00CA1EB4">
        <w:rPr>
          <w:rFonts w:eastAsia="Times New Roman" w:cstheme="minorHAnsi"/>
        </w:rPr>
        <w:t xml:space="preserve">findings based on the performance </w:t>
      </w:r>
      <w:r w:rsidR="00A239F6">
        <w:rPr>
          <w:rFonts w:eastAsia="Times New Roman" w:cstheme="minorHAnsi"/>
        </w:rPr>
        <w:t>measures</w:t>
      </w:r>
      <w:r w:rsidR="00D462A3">
        <w:rPr>
          <w:rFonts w:eastAsia="Times New Roman" w:cstheme="minorHAnsi"/>
        </w:rPr>
        <w:t xml:space="preserve"> for the previous reporting year.</w:t>
      </w:r>
      <w:r w:rsidRPr="000507A6">
        <w:rPr>
          <w:rFonts w:eastAsia="Times New Roman" w:cstheme="minorHAnsi"/>
          <w:szCs w:val="20"/>
        </w:rPr>
        <w:t xml:space="preserve"> </w:t>
      </w:r>
      <w:r>
        <w:rPr>
          <w:rFonts w:eastAsia="Times New Roman" w:cstheme="minorHAnsi"/>
          <w:szCs w:val="20"/>
        </w:rPr>
        <w:t xml:space="preserve">The first report and fact sheet are expected to be available </w:t>
      </w:r>
      <w:r w:rsidR="003D2B11">
        <w:rPr>
          <w:rFonts w:eastAsia="Times New Roman" w:cstheme="minorHAnsi"/>
          <w:szCs w:val="20"/>
        </w:rPr>
        <w:t xml:space="preserve">by the end of October </w:t>
      </w:r>
      <w:r>
        <w:rPr>
          <w:rFonts w:eastAsia="Times New Roman" w:cstheme="minorHAnsi"/>
          <w:szCs w:val="20"/>
        </w:rPr>
        <w:t>202</w:t>
      </w:r>
      <w:r w:rsidR="00DD202A">
        <w:rPr>
          <w:rFonts w:eastAsia="Times New Roman" w:cstheme="minorHAnsi"/>
          <w:szCs w:val="20"/>
        </w:rPr>
        <w:t>4</w:t>
      </w:r>
      <w:r>
        <w:rPr>
          <w:rFonts w:eastAsia="Times New Roman" w:cstheme="minorHAnsi"/>
          <w:szCs w:val="20"/>
        </w:rPr>
        <w:t>.</w:t>
      </w:r>
    </w:p>
    <w:p w:rsidR="00A42C71" w:rsidRPr="003A3276" w:rsidP="00A42C71" w14:paraId="334FEB50" w14:textId="77777777">
      <w:pPr>
        <w:spacing w:after="0" w:line="240" w:lineRule="auto"/>
        <w:rPr>
          <w:rFonts w:eastAsia="Times New Roman" w:cstheme="minorHAnsi"/>
        </w:rPr>
      </w:pPr>
    </w:p>
    <w:p w:rsidR="00A42C71" w:rsidRPr="003A3276" w:rsidP="00A42C71" w14:paraId="1C0321C0" w14:textId="77777777">
      <w:pPr>
        <w:spacing w:after="120" w:line="240" w:lineRule="auto"/>
        <w:rPr>
          <w:rFonts w:eastAsia="Times New Roman" w:cstheme="minorHAnsi"/>
        </w:rPr>
      </w:pPr>
      <w:r w:rsidRPr="003A3276">
        <w:rPr>
          <w:rFonts w:eastAsia="Times New Roman" w:cstheme="minorHAnsi"/>
          <w:b/>
          <w:bCs/>
        </w:rPr>
        <w:t>B8.  Contact Person(s)</w:t>
      </w:r>
      <w:r w:rsidRPr="003A3276">
        <w:rPr>
          <w:rFonts w:eastAsia="Times New Roman" w:cstheme="minorHAnsi"/>
        </w:rPr>
        <w:t xml:space="preserve">  </w:t>
      </w:r>
    </w:p>
    <w:p w:rsidR="004F7E98" w:rsidRPr="003A3276" w:rsidP="004F7E98" w14:paraId="0960A816" w14:textId="77777777">
      <w:pPr>
        <w:pStyle w:val="ListParagraph"/>
        <w:numPr>
          <w:ilvl w:val="0"/>
          <w:numId w:val="32"/>
        </w:numPr>
        <w:spacing w:after="0" w:line="240" w:lineRule="auto"/>
        <w:rPr>
          <w:rFonts w:cstheme="minorHAnsi"/>
        </w:rPr>
      </w:pPr>
      <w:r w:rsidRPr="003A3276">
        <w:rPr>
          <w:rFonts w:cstheme="minorHAnsi"/>
        </w:rPr>
        <w:t xml:space="preserve">Caryn Blitz, OPRE, ACF, </w:t>
      </w:r>
      <w:hyperlink r:id="rId9" w:history="1">
        <w:r w:rsidRPr="003A3276">
          <w:rPr>
            <w:rStyle w:val="Hyperlink"/>
            <w:rFonts w:ascii="Calibri" w:eastAsia="Times New Roman" w:hAnsi="Calibri" w:cs="Calibri"/>
          </w:rPr>
          <w:t>Caryn.Blitz@acf.hhs.gov</w:t>
        </w:r>
      </w:hyperlink>
    </w:p>
    <w:p w:rsidR="008F5361" w:rsidP="004F7E98" w14:paraId="42C65C0B" w14:textId="032C26A3">
      <w:pPr>
        <w:pStyle w:val="ListParagraph"/>
        <w:numPr>
          <w:ilvl w:val="0"/>
          <w:numId w:val="32"/>
        </w:numPr>
        <w:spacing w:after="0" w:line="240" w:lineRule="auto"/>
        <w:rPr>
          <w:rFonts w:cstheme="minorHAnsi"/>
        </w:rPr>
      </w:pPr>
      <w:r>
        <w:rPr>
          <w:rFonts w:cstheme="minorHAnsi"/>
        </w:rPr>
        <w:t xml:space="preserve">Selma Caal, OPRE, ACF, </w:t>
      </w:r>
      <w:hyperlink r:id="rId10" w:history="1">
        <w:r w:rsidRPr="00C51C39">
          <w:rPr>
            <w:rStyle w:val="Hyperlink"/>
            <w:rFonts w:cstheme="minorHAnsi"/>
          </w:rPr>
          <w:t>Selma.Caal@acf.hhs.gov</w:t>
        </w:r>
      </w:hyperlink>
    </w:p>
    <w:p w:rsidR="004F7E98" w:rsidP="004F7E98" w14:paraId="635AB9BE" w14:textId="6D44382B">
      <w:pPr>
        <w:pStyle w:val="ListParagraph"/>
        <w:numPr>
          <w:ilvl w:val="0"/>
          <w:numId w:val="32"/>
        </w:numPr>
        <w:spacing w:after="0" w:line="240" w:lineRule="auto"/>
        <w:rPr>
          <w:rFonts w:cstheme="minorHAnsi"/>
        </w:rPr>
      </w:pPr>
      <w:r w:rsidRPr="003A3276">
        <w:rPr>
          <w:rFonts w:cstheme="minorHAnsi"/>
        </w:rPr>
        <w:t xml:space="preserve">Lara Hulsey, Mathematica (contractor), </w:t>
      </w:r>
      <w:hyperlink r:id="rId11" w:history="1">
        <w:r w:rsidRPr="0077789E" w:rsidR="0023701B">
          <w:rPr>
            <w:rStyle w:val="Hyperlink"/>
            <w:rFonts w:cstheme="minorHAnsi"/>
          </w:rPr>
          <w:t>LHulsey@mathematica-mpr.com</w:t>
        </w:r>
      </w:hyperlink>
    </w:p>
    <w:p w:rsidR="0023701B" w:rsidRPr="0023701B" w:rsidP="0023701B" w14:paraId="650AE67C" w14:textId="7749C353">
      <w:pPr>
        <w:pStyle w:val="ListParagraph"/>
        <w:numPr>
          <w:ilvl w:val="0"/>
          <w:numId w:val="32"/>
        </w:numPr>
        <w:spacing w:after="0" w:line="240" w:lineRule="auto"/>
        <w:rPr>
          <w:rFonts w:cstheme="minorHAnsi"/>
        </w:rPr>
      </w:pPr>
      <w:r w:rsidRPr="0023701B">
        <w:rPr>
          <w:rFonts w:cstheme="minorHAnsi"/>
        </w:rPr>
        <w:t xml:space="preserve">Melissa Thomas, Mathematica (contractor), </w:t>
      </w:r>
      <w:hyperlink r:id="rId12" w:history="1">
        <w:r w:rsidRPr="00FE634F" w:rsidR="00A13896">
          <w:rPr>
            <w:rStyle w:val="Hyperlink"/>
            <w:rFonts w:cstheme="minorHAnsi"/>
          </w:rPr>
          <w:t>MThomas@mathematica-mpr.com</w:t>
        </w:r>
      </w:hyperlink>
      <w:r w:rsidR="00A13896">
        <w:rPr>
          <w:rFonts w:cstheme="minorHAnsi"/>
        </w:rPr>
        <w:t xml:space="preserve"> </w:t>
      </w:r>
    </w:p>
    <w:p w:rsidR="00A42C71" w:rsidRPr="003A3276" w:rsidP="00A42C71" w14:paraId="2E8E7A92" w14:textId="77777777">
      <w:pPr>
        <w:spacing w:after="0" w:line="240" w:lineRule="auto"/>
        <w:rPr>
          <w:rFonts w:cstheme="minorHAnsi"/>
          <w:b/>
        </w:rPr>
      </w:pPr>
    </w:p>
    <w:p w:rsidR="00A42C71" w:rsidRPr="003A3276" w:rsidP="00A42C71" w14:paraId="2B00F308" w14:textId="77777777">
      <w:pPr>
        <w:spacing w:after="120" w:line="240" w:lineRule="auto"/>
        <w:rPr>
          <w:rFonts w:cstheme="minorHAnsi"/>
          <w:b/>
        </w:rPr>
      </w:pPr>
      <w:r w:rsidRPr="003A3276">
        <w:rPr>
          <w:rFonts w:cstheme="minorHAnsi"/>
          <w:b/>
        </w:rPr>
        <w:t>Attachments</w:t>
      </w:r>
    </w:p>
    <w:p w:rsidR="00C66C9B" w:rsidRPr="0010265C" w:rsidP="00C66C9B" w14:paraId="7652BC31" w14:textId="77777777">
      <w:pPr>
        <w:pStyle w:val="ListParagraph"/>
        <w:numPr>
          <w:ilvl w:val="0"/>
          <w:numId w:val="33"/>
        </w:numPr>
        <w:spacing w:after="0" w:line="240" w:lineRule="auto"/>
      </w:pPr>
      <w:r w:rsidRPr="003A3276">
        <w:t xml:space="preserve">Instrument 1: Participant </w:t>
      </w:r>
      <w:r w:rsidRPr="003A3276" w:rsidR="008A0E09">
        <w:t>E</w:t>
      </w:r>
      <w:r w:rsidRPr="003A3276" w:rsidR="00EA02FA">
        <w:t xml:space="preserve">ntry </w:t>
      </w:r>
      <w:r w:rsidRPr="003A3276" w:rsidR="008A0E09">
        <w:t>S</w:t>
      </w:r>
      <w:r w:rsidRPr="003A3276">
        <w:t xml:space="preserve">urvey </w:t>
      </w:r>
      <w:r w:rsidRPr="0095317A">
        <w:rPr>
          <w:rFonts w:eastAsia="Times New Roman" w:cstheme="minorHAnsi"/>
        </w:rPr>
        <w:t>for high school and older youth</w:t>
      </w:r>
    </w:p>
    <w:p w:rsidR="00C66C9B" w:rsidRPr="009B6C3E" w:rsidP="00C66C9B" w14:paraId="5F0A9E88" w14:textId="77777777">
      <w:pPr>
        <w:pStyle w:val="ListParagraph"/>
        <w:numPr>
          <w:ilvl w:val="0"/>
          <w:numId w:val="33"/>
        </w:numPr>
      </w:pPr>
      <w:r w:rsidRPr="009B6C3E">
        <w:t>Instrument 1</w:t>
      </w:r>
      <w:r>
        <w:t>a</w:t>
      </w:r>
      <w:r w:rsidRPr="009B6C3E">
        <w:t xml:space="preserve">: Participant Entry Survey for </w:t>
      </w:r>
      <w:r w:rsidRPr="0095317A">
        <w:rPr>
          <w:rFonts w:cstheme="minorHAnsi"/>
        </w:rPr>
        <w:t>middle school youth</w:t>
      </w:r>
    </w:p>
    <w:p w:rsidR="00C66C9B" w:rsidRPr="00F95FA0" w:rsidP="00C66C9B" w14:paraId="3570B5A0" w14:textId="179EB975">
      <w:pPr>
        <w:pStyle w:val="ListParagraph"/>
        <w:numPr>
          <w:ilvl w:val="0"/>
          <w:numId w:val="33"/>
        </w:numPr>
      </w:pPr>
      <w:r w:rsidRPr="00F95FA0">
        <w:t>Instrument 1</w:t>
      </w:r>
      <w:r>
        <w:t>b</w:t>
      </w:r>
      <w:r w:rsidRPr="00F95FA0">
        <w:t>: Participant Entry Survey for high school and older youth</w:t>
      </w:r>
      <w:r w:rsidRPr="00F95FA0">
        <w:rPr>
          <w:rFonts w:cstheme="minorHAnsi"/>
        </w:rPr>
        <w:t xml:space="preserve"> </w:t>
      </w:r>
      <w:r w:rsidRPr="0095317A">
        <w:rPr>
          <w:rFonts w:cstheme="minorHAnsi"/>
        </w:rPr>
        <w:t>in programs with impact evaluations</w:t>
      </w:r>
    </w:p>
    <w:p w:rsidR="0061509A" w:rsidP="0061509A" w14:paraId="1B6D6F85" w14:textId="027B91B2">
      <w:pPr>
        <w:pStyle w:val="ListParagraph"/>
        <w:numPr>
          <w:ilvl w:val="0"/>
          <w:numId w:val="33"/>
        </w:numPr>
        <w:spacing w:after="0" w:line="240" w:lineRule="auto"/>
      </w:pPr>
      <w:r w:rsidRPr="00F95FA0">
        <w:t>Instrument 1</w:t>
      </w:r>
      <w:r>
        <w:t>c</w:t>
      </w:r>
      <w:r w:rsidRPr="00F95FA0">
        <w:t>: Participant Entry Survey for middle school youth</w:t>
      </w:r>
      <w:r w:rsidRPr="00F95FA0">
        <w:rPr>
          <w:rFonts w:cstheme="minorHAnsi"/>
        </w:rPr>
        <w:t xml:space="preserve"> </w:t>
      </w:r>
      <w:r w:rsidRPr="0095317A">
        <w:rPr>
          <w:rFonts w:cstheme="minorHAnsi"/>
        </w:rPr>
        <w:t>in programs with impact evaluations</w:t>
      </w:r>
    </w:p>
    <w:p w:rsidR="00C66C9B" w:rsidRPr="0010265C" w:rsidP="00C66C9B" w14:paraId="751793A8" w14:textId="38BF3BFF">
      <w:pPr>
        <w:pStyle w:val="ListParagraph"/>
        <w:numPr>
          <w:ilvl w:val="0"/>
          <w:numId w:val="33"/>
        </w:numPr>
        <w:spacing w:after="0" w:line="240" w:lineRule="auto"/>
      </w:pPr>
      <w:r w:rsidRPr="003A3276">
        <w:t xml:space="preserve">Instrument 2: Participant </w:t>
      </w:r>
      <w:r w:rsidRPr="003A3276" w:rsidR="008A0E09">
        <w:t>E</w:t>
      </w:r>
      <w:r w:rsidRPr="003A3276" w:rsidR="00EA02FA">
        <w:t xml:space="preserve">xit </w:t>
      </w:r>
      <w:r w:rsidRPr="003A3276" w:rsidR="008A0E09">
        <w:t>S</w:t>
      </w:r>
      <w:r w:rsidRPr="003A3276">
        <w:t xml:space="preserve">urvey </w:t>
      </w:r>
      <w:r w:rsidRPr="0095317A">
        <w:rPr>
          <w:rFonts w:eastAsia="Times New Roman" w:cstheme="minorHAnsi"/>
        </w:rPr>
        <w:t>for high school and older youth</w:t>
      </w:r>
    </w:p>
    <w:p w:rsidR="00545733" w:rsidRPr="003A3276" w:rsidP="00C66C9B" w14:paraId="79FD8CFC" w14:textId="24887E0F">
      <w:pPr>
        <w:pStyle w:val="ListParagraph"/>
        <w:numPr>
          <w:ilvl w:val="0"/>
          <w:numId w:val="33"/>
        </w:numPr>
        <w:spacing w:after="0" w:line="240" w:lineRule="auto"/>
      </w:pPr>
      <w:r w:rsidRPr="009B6C3E">
        <w:t>Instrument 2</w:t>
      </w:r>
      <w:r>
        <w:t>a</w:t>
      </w:r>
      <w:r w:rsidRPr="009B6C3E">
        <w:t xml:space="preserve">: Participant Exit Survey for </w:t>
      </w:r>
      <w:r>
        <w:t>middle</w:t>
      </w:r>
      <w:r w:rsidRPr="009B6C3E">
        <w:t xml:space="preserve"> school youth</w:t>
      </w:r>
    </w:p>
    <w:p w:rsidR="00545733" w:rsidRPr="003A3276" w:rsidP="00545733" w14:paraId="0F1697CF" w14:textId="77777777">
      <w:pPr>
        <w:pStyle w:val="ListParagraph"/>
        <w:numPr>
          <w:ilvl w:val="0"/>
          <w:numId w:val="33"/>
        </w:numPr>
        <w:spacing w:after="0" w:line="240" w:lineRule="auto"/>
      </w:pPr>
      <w:r w:rsidRPr="003A3276">
        <w:t>Instrument 3: Performance Reporting System Data Entry Form</w:t>
      </w:r>
    </w:p>
    <w:p w:rsidR="00083227" w:rsidRPr="003A3276" w:rsidP="00BD34E8" w14:paraId="1E574BF6" w14:textId="36D8073E">
      <w:pPr>
        <w:pStyle w:val="ListParagraph"/>
        <w:numPr>
          <w:ilvl w:val="0"/>
          <w:numId w:val="33"/>
        </w:numPr>
        <w:spacing w:after="0" w:line="240" w:lineRule="auto"/>
      </w:pPr>
      <w:r w:rsidRPr="003A3276">
        <w:t>Instrument 4: Subrecipient Data Collection and Reporting Form</w:t>
      </w:r>
    </w:p>
    <w:sectPr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rsidP="003A3276" w14:paraId="04723F22" w14:textId="34A597BB">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4DCE" w:rsidP="0004063C" w14:paraId="215C6855" w14:textId="77777777">
      <w:pPr>
        <w:spacing w:after="0" w:line="240" w:lineRule="auto"/>
      </w:pPr>
      <w:r>
        <w:separator/>
      </w:r>
    </w:p>
  </w:footnote>
  <w:footnote w:type="continuationSeparator" w:id="1">
    <w:p w:rsidR="00F84DCE" w:rsidP="0004063C" w14:paraId="3D30E284" w14:textId="77777777">
      <w:pPr>
        <w:spacing w:after="0" w:line="240" w:lineRule="auto"/>
      </w:pPr>
      <w:r>
        <w:continuationSeparator/>
      </w:r>
    </w:p>
  </w:footnote>
  <w:footnote w:id="2">
    <w:p w:rsidR="00454498" w14:paraId="6EA27F3A" w14:textId="7C81A340">
      <w:pPr>
        <w:pStyle w:val="FootnoteText"/>
      </w:pPr>
      <w:r>
        <w:rPr>
          <w:rStyle w:val="FootnoteReference"/>
        </w:rPr>
        <w:footnoteRef/>
      </w:r>
      <w:r>
        <w:t xml:space="preserve"> </w:t>
      </w:r>
      <w:r>
        <w:rPr>
          <w:rFonts w:eastAsia="Times New Roman" w:cstheme="minorHAnsi"/>
          <w:szCs w:val="24"/>
        </w:rPr>
        <w:t xml:space="preserve">Grant recipients use the original versions of the </w:t>
      </w:r>
      <w:r w:rsidRPr="005E1206">
        <w:rPr>
          <w:rFonts w:eastAsia="Times New Roman" w:cstheme="minorHAnsi"/>
          <w:szCs w:val="24"/>
        </w:rPr>
        <w:t>entry survey (Instrument 1</w:t>
      </w:r>
      <w:r>
        <w:rPr>
          <w:rFonts w:eastAsia="Times New Roman" w:cstheme="minorHAnsi"/>
          <w:szCs w:val="24"/>
        </w:rPr>
        <w:t>)</w:t>
      </w:r>
      <w:r w:rsidRPr="005E1206">
        <w:rPr>
          <w:rFonts w:eastAsia="Times New Roman" w:cstheme="minorHAnsi"/>
          <w:szCs w:val="24"/>
        </w:rPr>
        <w:t xml:space="preserve"> and the exit survey (Instrument 2)</w:t>
      </w:r>
      <w:r>
        <w:rPr>
          <w:rFonts w:eastAsia="Times New Roman" w:cstheme="minorHAnsi"/>
          <w:szCs w:val="24"/>
        </w:rPr>
        <w:t xml:space="preserve"> with high school and older youth. </w:t>
      </w:r>
      <w:r w:rsidRPr="00454498">
        <w:rPr>
          <w:rFonts w:eastAsia="Times New Roman" w:cstheme="minorHAnsi"/>
        </w:rPr>
        <w:t xml:space="preserve">Alternative versions (Instruments 1a and Instrument 2a) were developed for use with middle school youth; these versions </w:t>
      </w:r>
      <w:r w:rsidRPr="00454498">
        <w:rPr>
          <w:rFonts w:cstheme="minorHAnsi"/>
        </w:rPr>
        <w:t>exclude some of the more sensitive items</w:t>
      </w:r>
      <w:r w:rsidRPr="00454498">
        <w:rPr>
          <w:rFonts w:eastAsia="Times New Roman" w:cstheme="minorHAnsi"/>
        </w:rPr>
        <w:t xml:space="preserve">. Later, </w:t>
      </w:r>
      <w:r w:rsidRPr="00454498">
        <w:rPr>
          <w:rFonts w:cstheme="minorHAnsi"/>
        </w:rPr>
        <w:t>additional alternate versions of the entry survey were developed (Instrument 1b for high school and older youth and 1c for middle school youth) for</w:t>
      </w:r>
      <w:r w:rsidR="00A45DC0">
        <w:rPr>
          <w:rFonts w:cstheme="minorHAnsi"/>
        </w:rPr>
        <w:t xml:space="preserve"> use by</w:t>
      </w:r>
      <w:r w:rsidRPr="00454498">
        <w:rPr>
          <w:rFonts w:cstheme="minorHAnsi"/>
        </w:rPr>
        <w:t xml:space="preserve"> </w:t>
      </w:r>
      <w:r>
        <w:rPr>
          <w:rFonts w:cstheme="minorHAnsi"/>
        </w:rPr>
        <w:t>grant recipient</w:t>
      </w:r>
      <w:r w:rsidRPr="00454498">
        <w:rPr>
          <w:rFonts w:cstheme="minorHAnsi"/>
        </w:rPr>
        <w:t xml:space="preserve">s participating in impact evaluation studies; these versions </w:t>
      </w:r>
      <w:bookmarkStart w:id="2" w:name="_Hlk105767612"/>
      <w:r w:rsidRPr="00454498">
        <w:rPr>
          <w:rFonts w:cstheme="minorHAnsi"/>
        </w:rPr>
        <w:t xml:space="preserve">include a limited number of questions to decrease burden due to </w:t>
      </w:r>
      <w:r>
        <w:rPr>
          <w:rFonts w:cstheme="minorHAnsi"/>
        </w:rPr>
        <w:t>grant recipient</w:t>
      </w:r>
      <w:r w:rsidRPr="00454498">
        <w:rPr>
          <w:rFonts w:cstheme="minorHAnsi"/>
        </w:rPr>
        <w:t>s’ participation in other studies that often include extensive surveys</w:t>
      </w:r>
      <w:bookmarkEnd w:id="2"/>
      <w:r w:rsidRPr="00454498">
        <w:rPr>
          <w:rFonts w:cstheme="minorHAnsi"/>
        </w:rPr>
        <w:t>.</w:t>
      </w:r>
      <w:r w:rsidR="0068513E">
        <w:rPr>
          <w:rFonts w:cstheme="minorHAnsi"/>
        </w:rPr>
        <w:t xml:space="preserve"> </w:t>
      </w:r>
      <w:r w:rsidR="00AA488E">
        <w:rPr>
          <w:rFonts w:cs="Times New Roman"/>
        </w:rPr>
        <w:t xml:space="preserve">Previously there was a </w:t>
      </w:r>
      <w:r w:rsidRPr="00C641A3" w:rsidR="00AA488E">
        <w:rPr>
          <w:rFonts w:cs="Times New Roman"/>
        </w:rPr>
        <w:t>version of the e</w:t>
      </w:r>
      <w:r w:rsidR="00AA488E">
        <w:rPr>
          <w:rFonts w:cs="Times New Roman"/>
        </w:rPr>
        <w:t>xi</w:t>
      </w:r>
      <w:r w:rsidRPr="00C641A3" w:rsidR="00AA488E">
        <w:rPr>
          <w:rFonts w:cs="Times New Roman"/>
        </w:rPr>
        <w:t xml:space="preserve">t survey for programs conducting impact studies </w:t>
      </w:r>
      <w:r w:rsidR="00AA488E">
        <w:rPr>
          <w:rFonts w:cs="Times New Roman"/>
        </w:rPr>
        <w:t>but use of those w</w:t>
      </w:r>
      <w:r w:rsidRPr="00C641A3" w:rsidR="00AA488E">
        <w:rPr>
          <w:rFonts w:cs="Times New Roman"/>
        </w:rPr>
        <w:t xml:space="preserve">as </w:t>
      </w:r>
      <w:r w:rsidR="00AA488E">
        <w:rPr>
          <w:rFonts w:cs="Times New Roman"/>
        </w:rPr>
        <w:t xml:space="preserve">discontinued prior to </w:t>
      </w:r>
      <w:r w:rsidRPr="00C641A3" w:rsidR="00AA488E">
        <w:rPr>
          <w:rFonts w:cs="Times New Roman"/>
        </w:rPr>
        <w:t>the last OMB approval</w:t>
      </w:r>
      <w:r w:rsidR="00AA488E">
        <w:rPr>
          <w:rFonts w:cs="Times New Roman"/>
        </w:rPr>
        <w:t xml:space="preserve"> in 2022.</w:t>
      </w:r>
    </w:p>
  </w:footnote>
  <w:footnote w:id="3">
    <w:p w:rsidR="00F77C0F" w:rsidP="00F77C0F" w14:paraId="47530479" w14:textId="6D86B05E">
      <w:pPr>
        <w:pStyle w:val="FootnoteText"/>
      </w:pPr>
      <w:r>
        <w:rPr>
          <w:rStyle w:val="FootnoteReference"/>
        </w:rPr>
        <w:footnoteRef/>
      </w:r>
      <w:r>
        <w:t xml:space="preserve"> </w:t>
      </w:r>
      <w:r w:rsidRPr="00F77C0F">
        <w:rPr>
          <w:i/>
          <w:iCs/>
        </w:rPr>
        <w:t xml:space="preserve">Statistical Policy Directive 15: Standards for Maintaining, Collecting, and Presenting Federal Data on Race and Ethnicity </w:t>
      </w:r>
      <w:r w:rsidRPr="00F77C0F">
        <w:t>(SPD 15)</w:t>
      </w:r>
      <w:r>
        <w:t xml:space="preserve"> (</w:t>
      </w:r>
      <w:r w:rsidRPr="00F77C0F">
        <w:t>89 FR 22182</w:t>
      </w:r>
      <w:r>
        <w:t xml:space="preserve">). </w:t>
      </w:r>
    </w:p>
  </w:footnote>
  <w:footnote w:id="4">
    <w:p w:rsidR="00DA5013" w14:paraId="36F39C31" w14:textId="4DF4633E">
      <w:pPr>
        <w:pStyle w:val="FootnoteText"/>
      </w:pPr>
      <w:r>
        <w:rPr>
          <w:rStyle w:val="FootnoteReference"/>
        </w:rPr>
        <w:footnoteRef/>
      </w:r>
      <w:r>
        <w:t xml:space="preserve"> Response rates for 2021-2022 were lower than 95 percent however, we </w:t>
      </w:r>
      <w:r w:rsidR="00D21671">
        <w:t xml:space="preserve">expect </w:t>
      </w:r>
      <w:r>
        <w:t xml:space="preserve">response rates will </w:t>
      </w:r>
      <w:r w:rsidR="0072499D">
        <w:t xml:space="preserve">continue to </w:t>
      </w:r>
      <w:r>
        <w:t>improve</w:t>
      </w:r>
      <w:r w:rsidR="0072499D">
        <w:t xml:space="preserve"> so </w:t>
      </w:r>
      <w:r>
        <w:t>the estimated burden is based on the target response rate of 95 percent</w:t>
      </w:r>
      <w:r w:rsidR="00D21671">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1D73A3C"/>
    <w:multiLevelType w:val="hybridMultilevel"/>
    <w:tmpl w:val="81A28E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6B1B68"/>
    <w:multiLevelType w:val="hybridMultilevel"/>
    <w:tmpl w:val="16F618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661B30"/>
    <w:multiLevelType w:val="hybridMultilevel"/>
    <w:tmpl w:val="5B6CB0B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9">
    <w:nsid w:val="45EA5B75"/>
    <w:multiLevelType w:val="hybridMultilevel"/>
    <w:tmpl w:val="B90A434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D987A2C"/>
    <w:multiLevelType w:val="hybridMultilevel"/>
    <w:tmpl w:val="137A6C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88E7AB4"/>
    <w:multiLevelType w:val="hybridMultilevel"/>
    <w:tmpl w:val="4FB2E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F2E30AC"/>
    <w:multiLevelType w:val="hybridMultilevel"/>
    <w:tmpl w:val="DC0C7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B07034"/>
    <w:multiLevelType w:val="hybridMultilevel"/>
    <w:tmpl w:val="87DC7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3FD7D0E"/>
    <w:multiLevelType w:val="hybridMultilevel"/>
    <w:tmpl w:val="ABEE66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59246242">
    <w:abstractNumId w:val="6"/>
  </w:num>
  <w:num w:numId="2" w16cid:durableId="1754622827">
    <w:abstractNumId w:val="21"/>
  </w:num>
  <w:num w:numId="3" w16cid:durableId="2106614315">
    <w:abstractNumId w:val="5"/>
  </w:num>
  <w:num w:numId="4" w16cid:durableId="2139184044">
    <w:abstractNumId w:val="30"/>
  </w:num>
  <w:num w:numId="5" w16cid:durableId="314535806">
    <w:abstractNumId w:val="13"/>
  </w:num>
  <w:num w:numId="6" w16cid:durableId="449933494">
    <w:abstractNumId w:val="37"/>
  </w:num>
  <w:num w:numId="7" w16cid:durableId="1123496884">
    <w:abstractNumId w:val="4"/>
  </w:num>
  <w:num w:numId="8" w16cid:durableId="475147434">
    <w:abstractNumId w:val="9"/>
  </w:num>
  <w:num w:numId="9" w16cid:durableId="1476029494">
    <w:abstractNumId w:val="12"/>
  </w:num>
  <w:num w:numId="10" w16cid:durableId="1656178195">
    <w:abstractNumId w:val="36"/>
  </w:num>
  <w:num w:numId="11" w16cid:durableId="253167219">
    <w:abstractNumId w:val="39"/>
  </w:num>
  <w:num w:numId="12" w16cid:durableId="1085879364">
    <w:abstractNumId w:val="32"/>
  </w:num>
  <w:num w:numId="13" w16cid:durableId="2115862446">
    <w:abstractNumId w:val="28"/>
  </w:num>
  <w:num w:numId="14" w16cid:durableId="1086344012">
    <w:abstractNumId w:val="35"/>
  </w:num>
  <w:num w:numId="15" w16cid:durableId="557596423">
    <w:abstractNumId w:val="15"/>
  </w:num>
  <w:num w:numId="16" w16cid:durableId="2069374902">
    <w:abstractNumId w:val="27"/>
  </w:num>
  <w:num w:numId="17" w16cid:durableId="842938246">
    <w:abstractNumId w:val="11"/>
  </w:num>
  <w:num w:numId="18" w16cid:durableId="1973749963">
    <w:abstractNumId w:val="8"/>
  </w:num>
  <w:num w:numId="19" w16cid:durableId="1836266724">
    <w:abstractNumId w:val="7"/>
  </w:num>
  <w:num w:numId="20" w16cid:durableId="1803116329">
    <w:abstractNumId w:val="24"/>
  </w:num>
  <w:num w:numId="21" w16cid:durableId="1945575477">
    <w:abstractNumId w:val="0"/>
  </w:num>
  <w:num w:numId="22" w16cid:durableId="59790006">
    <w:abstractNumId w:val="2"/>
  </w:num>
  <w:num w:numId="23" w16cid:durableId="837890205">
    <w:abstractNumId w:val="17"/>
  </w:num>
  <w:num w:numId="24" w16cid:durableId="1801074717">
    <w:abstractNumId w:val="3"/>
  </w:num>
  <w:num w:numId="25" w16cid:durableId="640039573">
    <w:abstractNumId w:val="10"/>
  </w:num>
  <w:num w:numId="26" w16cid:durableId="469791920">
    <w:abstractNumId w:val="23"/>
  </w:num>
  <w:num w:numId="27" w16cid:durableId="1949847039">
    <w:abstractNumId w:val="38"/>
  </w:num>
  <w:num w:numId="28" w16cid:durableId="2042516031">
    <w:abstractNumId w:val="31"/>
  </w:num>
  <w:num w:numId="29" w16cid:durableId="20323899">
    <w:abstractNumId w:val="20"/>
  </w:num>
  <w:num w:numId="30" w16cid:durableId="1710031276">
    <w:abstractNumId w:val="25"/>
  </w:num>
  <w:num w:numId="31" w16cid:durableId="1064714886">
    <w:abstractNumId w:val="18"/>
  </w:num>
  <w:num w:numId="32" w16cid:durableId="1987512977">
    <w:abstractNumId w:val="22"/>
  </w:num>
  <w:num w:numId="33" w16cid:durableId="638726837">
    <w:abstractNumId w:val="26"/>
  </w:num>
  <w:num w:numId="34" w16cid:durableId="93257760">
    <w:abstractNumId w:val="33"/>
  </w:num>
  <w:num w:numId="35" w16cid:durableId="86006041">
    <w:abstractNumId w:val="16"/>
  </w:num>
  <w:num w:numId="36" w16cid:durableId="1304501518">
    <w:abstractNumId w:val="14"/>
  </w:num>
  <w:num w:numId="37" w16cid:durableId="1487238872">
    <w:abstractNumId w:val="1"/>
  </w:num>
  <w:num w:numId="38" w16cid:durableId="459154559">
    <w:abstractNumId w:val="29"/>
  </w:num>
  <w:num w:numId="39" w16cid:durableId="1586037252">
    <w:abstractNumId w:val="34"/>
  </w:num>
  <w:num w:numId="40" w16cid:durableId="194662040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66BF"/>
    <w:rsid w:val="00026AB3"/>
    <w:rsid w:val="00027E79"/>
    <w:rsid w:val="0004063C"/>
    <w:rsid w:val="0004247F"/>
    <w:rsid w:val="00045DCB"/>
    <w:rsid w:val="000507A6"/>
    <w:rsid w:val="00062AFB"/>
    <w:rsid w:val="00063B10"/>
    <w:rsid w:val="000655DD"/>
    <w:rsid w:val="00067EF1"/>
    <w:rsid w:val="00071F79"/>
    <w:rsid w:val="0007251B"/>
    <w:rsid w:val="00072624"/>
    <w:rsid w:val="000733A5"/>
    <w:rsid w:val="00082C5B"/>
    <w:rsid w:val="00083227"/>
    <w:rsid w:val="00084D98"/>
    <w:rsid w:val="00086CBE"/>
    <w:rsid w:val="00090812"/>
    <w:rsid w:val="000921F0"/>
    <w:rsid w:val="00097560"/>
    <w:rsid w:val="000A012A"/>
    <w:rsid w:val="000A2514"/>
    <w:rsid w:val="000A6550"/>
    <w:rsid w:val="000B7429"/>
    <w:rsid w:val="000D4E9A"/>
    <w:rsid w:val="000D7D44"/>
    <w:rsid w:val="000F1E4A"/>
    <w:rsid w:val="00100D34"/>
    <w:rsid w:val="00100E34"/>
    <w:rsid w:val="0010265C"/>
    <w:rsid w:val="00102CD2"/>
    <w:rsid w:val="00103EFD"/>
    <w:rsid w:val="00107D87"/>
    <w:rsid w:val="001128ED"/>
    <w:rsid w:val="001253F4"/>
    <w:rsid w:val="00130637"/>
    <w:rsid w:val="001562D2"/>
    <w:rsid w:val="00157482"/>
    <w:rsid w:val="00164615"/>
    <w:rsid w:val="00164C05"/>
    <w:rsid w:val="001676E8"/>
    <w:rsid w:val="001707D8"/>
    <w:rsid w:val="001765E4"/>
    <w:rsid w:val="001778CF"/>
    <w:rsid w:val="00177EB6"/>
    <w:rsid w:val="00181EFA"/>
    <w:rsid w:val="00184598"/>
    <w:rsid w:val="001911AD"/>
    <w:rsid w:val="001938C0"/>
    <w:rsid w:val="00196A24"/>
    <w:rsid w:val="001A337E"/>
    <w:rsid w:val="001B0A76"/>
    <w:rsid w:val="001B3136"/>
    <w:rsid w:val="001B72D6"/>
    <w:rsid w:val="001C2516"/>
    <w:rsid w:val="001C50D2"/>
    <w:rsid w:val="001C52C1"/>
    <w:rsid w:val="001F26D9"/>
    <w:rsid w:val="001F36CB"/>
    <w:rsid w:val="001F57F5"/>
    <w:rsid w:val="0020401C"/>
    <w:rsid w:val="0020629A"/>
    <w:rsid w:val="00206E11"/>
    <w:rsid w:val="00206FE3"/>
    <w:rsid w:val="00207554"/>
    <w:rsid w:val="00211261"/>
    <w:rsid w:val="002306D0"/>
    <w:rsid w:val="0023146B"/>
    <w:rsid w:val="0023701B"/>
    <w:rsid w:val="00242E3A"/>
    <w:rsid w:val="00246AA8"/>
    <w:rsid w:val="002517BB"/>
    <w:rsid w:val="00256E24"/>
    <w:rsid w:val="00265491"/>
    <w:rsid w:val="00266D0A"/>
    <w:rsid w:val="00271A38"/>
    <w:rsid w:val="00276CE2"/>
    <w:rsid w:val="00287AF1"/>
    <w:rsid w:val="002922BB"/>
    <w:rsid w:val="00295F94"/>
    <w:rsid w:val="002A1A58"/>
    <w:rsid w:val="002A41C6"/>
    <w:rsid w:val="002B5D6A"/>
    <w:rsid w:val="002B785B"/>
    <w:rsid w:val="002D510A"/>
    <w:rsid w:val="002E6CCF"/>
    <w:rsid w:val="002F33D0"/>
    <w:rsid w:val="00300722"/>
    <w:rsid w:val="0030316D"/>
    <w:rsid w:val="003122CB"/>
    <w:rsid w:val="0032232F"/>
    <w:rsid w:val="00337BB0"/>
    <w:rsid w:val="00345467"/>
    <w:rsid w:val="00364E16"/>
    <w:rsid w:val="003652FC"/>
    <w:rsid w:val="00366D14"/>
    <w:rsid w:val="00373D2F"/>
    <w:rsid w:val="00390F85"/>
    <w:rsid w:val="003943B6"/>
    <w:rsid w:val="003A3276"/>
    <w:rsid w:val="003A7774"/>
    <w:rsid w:val="003C7358"/>
    <w:rsid w:val="003C78E1"/>
    <w:rsid w:val="003D2B11"/>
    <w:rsid w:val="003D6F33"/>
    <w:rsid w:val="003E0809"/>
    <w:rsid w:val="003E61F6"/>
    <w:rsid w:val="003F277D"/>
    <w:rsid w:val="00401398"/>
    <w:rsid w:val="0040423D"/>
    <w:rsid w:val="00407537"/>
    <w:rsid w:val="004165BD"/>
    <w:rsid w:val="0042220D"/>
    <w:rsid w:val="00425CD4"/>
    <w:rsid w:val="00427F9B"/>
    <w:rsid w:val="0043377A"/>
    <w:rsid w:val="0043377F"/>
    <w:rsid w:val="00435AA5"/>
    <w:rsid w:val="00437489"/>
    <w:rsid w:val="004379B6"/>
    <w:rsid w:val="0044428E"/>
    <w:rsid w:val="004449EE"/>
    <w:rsid w:val="00446465"/>
    <w:rsid w:val="00450354"/>
    <w:rsid w:val="00454498"/>
    <w:rsid w:val="00454A69"/>
    <w:rsid w:val="00455AD8"/>
    <w:rsid w:val="00460D54"/>
    <w:rsid w:val="00461D3E"/>
    <w:rsid w:val="004642C2"/>
    <w:rsid w:val="00464C49"/>
    <w:rsid w:val="004706CC"/>
    <w:rsid w:val="00480BD5"/>
    <w:rsid w:val="00482FA0"/>
    <w:rsid w:val="0049020F"/>
    <w:rsid w:val="00497430"/>
    <w:rsid w:val="004A008F"/>
    <w:rsid w:val="004A3673"/>
    <w:rsid w:val="004B75AC"/>
    <w:rsid w:val="004C3644"/>
    <w:rsid w:val="004D12DD"/>
    <w:rsid w:val="004E5778"/>
    <w:rsid w:val="004E7ED8"/>
    <w:rsid w:val="004F7430"/>
    <w:rsid w:val="004F7E98"/>
    <w:rsid w:val="00500EC8"/>
    <w:rsid w:val="0050376D"/>
    <w:rsid w:val="00503FDF"/>
    <w:rsid w:val="00512C25"/>
    <w:rsid w:val="00517B99"/>
    <w:rsid w:val="00521529"/>
    <w:rsid w:val="005302CB"/>
    <w:rsid w:val="00531ADF"/>
    <w:rsid w:val="00533FDB"/>
    <w:rsid w:val="0053474C"/>
    <w:rsid w:val="005368AC"/>
    <w:rsid w:val="00544B72"/>
    <w:rsid w:val="00545733"/>
    <w:rsid w:val="00550DB3"/>
    <w:rsid w:val="00552575"/>
    <w:rsid w:val="0055434C"/>
    <w:rsid w:val="00557701"/>
    <w:rsid w:val="0056357C"/>
    <w:rsid w:val="005663D3"/>
    <w:rsid w:val="00591283"/>
    <w:rsid w:val="005914A4"/>
    <w:rsid w:val="0059346E"/>
    <w:rsid w:val="00595D0C"/>
    <w:rsid w:val="005A61CE"/>
    <w:rsid w:val="005A7E5A"/>
    <w:rsid w:val="005B1285"/>
    <w:rsid w:val="005B1410"/>
    <w:rsid w:val="005D1FDA"/>
    <w:rsid w:val="005D4310"/>
    <w:rsid w:val="005D4A40"/>
    <w:rsid w:val="005D5DDE"/>
    <w:rsid w:val="005E1206"/>
    <w:rsid w:val="005E493B"/>
    <w:rsid w:val="005E5514"/>
    <w:rsid w:val="005F25A3"/>
    <w:rsid w:val="005F2951"/>
    <w:rsid w:val="00604CAC"/>
    <w:rsid w:val="0061502F"/>
    <w:rsid w:val="0061509A"/>
    <w:rsid w:val="00615C66"/>
    <w:rsid w:val="00624DDC"/>
    <w:rsid w:val="006253B6"/>
    <w:rsid w:val="006257ED"/>
    <w:rsid w:val="0062686E"/>
    <w:rsid w:val="00630B30"/>
    <w:rsid w:val="0063314C"/>
    <w:rsid w:val="00633E4A"/>
    <w:rsid w:val="006416D9"/>
    <w:rsid w:val="006445D4"/>
    <w:rsid w:val="00646ADE"/>
    <w:rsid w:val="00650B68"/>
    <w:rsid w:val="00651FF6"/>
    <w:rsid w:val="00655ED1"/>
    <w:rsid w:val="00661A7C"/>
    <w:rsid w:val="00671B66"/>
    <w:rsid w:val="00681D84"/>
    <w:rsid w:val="0068303E"/>
    <w:rsid w:val="0068383E"/>
    <w:rsid w:val="0068513E"/>
    <w:rsid w:val="00692F6B"/>
    <w:rsid w:val="006A4D02"/>
    <w:rsid w:val="006B1BF9"/>
    <w:rsid w:val="006B31DA"/>
    <w:rsid w:val="006B53F1"/>
    <w:rsid w:val="006B6037"/>
    <w:rsid w:val="006B6E12"/>
    <w:rsid w:val="006C0E56"/>
    <w:rsid w:val="006E4F82"/>
    <w:rsid w:val="006E5A1B"/>
    <w:rsid w:val="007024BC"/>
    <w:rsid w:val="00703E31"/>
    <w:rsid w:val="00706C9C"/>
    <w:rsid w:val="007111DD"/>
    <w:rsid w:val="007150FB"/>
    <w:rsid w:val="00716419"/>
    <w:rsid w:val="00717BDC"/>
    <w:rsid w:val="00723765"/>
    <w:rsid w:val="00723A28"/>
    <w:rsid w:val="0072499D"/>
    <w:rsid w:val="00736B62"/>
    <w:rsid w:val="00750D45"/>
    <w:rsid w:val="0076363E"/>
    <w:rsid w:val="00764C85"/>
    <w:rsid w:val="007733D5"/>
    <w:rsid w:val="00773F13"/>
    <w:rsid w:val="007744B7"/>
    <w:rsid w:val="007746D9"/>
    <w:rsid w:val="00775A9B"/>
    <w:rsid w:val="007769EB"/>
    <w:rsid w:val="0077789E"/>
    <w:rsid w:val="0078779B"/>
    <w:rsid w:val="00792AC0"/>
    <w:rsid w:val="00793E3E"/>
    <w:rsid w:val="007A09E1"/>
    <w:rsid w:val="007A29C5"/>
    <w:rsid w:val="007A5D1A"/>
    <w:rsid w:val="007C7B4B"/>
    <w:rsid w:val="007E408B"/>
    <w:rsid w:val="007F5243"/>
    <w:rsid w:val="00800874"/>
    <w:rsid w:val="00811057"/>
    <w:rsid w:val="00823428"/>
    <w:rsid w:val="00827913"/>
    <w:rsid w:val="00831FF6"/>
    <w:rsid w:val="008369BA"/>
    <w:rsid w:val="008402FA"/>
    <w:rsid w:val="00840D32"/>
    <w:rsid w:val="00843933"/>
    <w:rsid w:val="00845ADF"/>
    <w:rsid w:val="0084670F"/>
    <w:rsid w:val="008520EE"/>
    <w:rsid w:val="008553BA"/>
    <w:rsid w:val="00863536"/>
    <w:rsid w:val="00864C1F"/>
    <w:rsid w:val="00864DCA"/>
    <w:rsid w:val="00870FA1"/>
    <w:rsid w:val="0087484F"/>
    <w:rsid w:val="00875220"/>
    <w:rsid w:val="00876252"/>
    <w:rsid w:val="00877D6E"/>
    <w:rsid w:val="00883622"/>
    <w:rsid w:val="00891CD9"/>
    <w:rsid w:val="00894CDA"/>
    <w:rsid w:val="008A0E09"/>
    <w:rsid w:val="008B2E88"/>
    <w:rsid w:val="008D5A5E"/>
    <w:rsid w:val="008E0239"/>
    <w:rsid w:val="008E0500"/>
    <w:rsid w:val="008E0DEB"/>
    <w:rsid w:val="008E1C3E"/>
    <w:rsid w:val="008E4718"/>
    <w:rsid w:val="008F2446"/>
    <w:rsid w:val="008F5361"/>
    <w:rsid w:val="00901040"/>
    <w:rsid w:val="00904297"/>
    <w:rsid w:val="00917833"/>
    <w:rsid w:val="00923F25"/>
    <w:rsid w:val="00924854"/>
    <w:rsid w:val="00934FCD"/>
    <w:rsid w:val="00953050"/>
    <w:rsid w:val="0095317A"/>
    <w:rsid w:val="00963503"/>
    <w:rsid w:val="00965DBD"/>
    <w:rsid w:val="00971944"/>
    <w:rsid w:val="009719C5"/>
    <w:rsid w:val="009815C6"/>
    <w:rsid w:val="009912A0"/>
    <w:rsid w:val="00996201"/>
    <w:rsid w:val="009A39E1"/>
    <w:rsid w:val="009A3AD8"/>
    <w:rsid w:val="009A6EE8"/>
    <w:rsid w:val="009A75C5"/>
    <w:rsid w:val="009B0F58"/>
    <w:rsid w:val="009B40EA"/>
    <w:rsid w:val="009B6C3E"/>
    <w:rsid w:val="009C3380"/>
    <w:rsid w:val="009D4410"/>
    <w:rsid w:val="009E0A7E"/>
    <w:rsid w:val="009E2935"/>
    <w:rsid w:val="009E4D5D"/>
    <w:rsid w:val="009E7E38"/>
    <w:rsid w:val="009F265B"/>
    <w:rsid w:val="009F482C"/>
    <w:rsid w:val="009F68DB"/>
    <w:rsid w:val="00A03E3F"/>
    <w:rsid w:val="00A06FF2"/>
    <w:rsid w:val="00A1108E"/>
    <w:rsid w:val="00A12214"/>
    <w:rsid w:val="00A13896"/>
    <w:rsid w:val="00A164B0"/>
    <w:rsid w:val="00A239F6"/>
    <w:rsid w:val="00A25395"/>
    <w:rsid w:val="00A27CD0"/>
    <w:rsid w:val="00A30717"/>
    <w:rsid w:val="00A362B6"/>
    <w:rsid w:val="00A37F6B"/>
    <w:rsid w:val="00A42A5D"/>
    <w:rsid w:val="00A42C71"/>
    <w:rsid w:val="00A45DC0"/>
    <w:rsid w:val="00A54107"/>
    <w:rsid w:val="00A67DFF"/>
    <w:rsid w:val="00A71475"/>
    <w:rsid w:val="00A714DC"/>
    <w:rsid w:val="00A7179C"/>
    <w:rsid w:val="00A761CB"/>
    <w:rsid w:val="00A77075"/>
    <w:rsid w:val="00A85701"/>
    <w:rsid w:val="00AA2BC9"/>
    <w:rsid w:val="00AA488E"/>
    <w:rsid w:val="00AC37D9"/>
    <w:rsid w:val="00AC7718"/>
    <w:rsid w:val="00AD3261"/>
    <w:rsid w:val="00AD4355"/>
    <w:rsid w:val="00AE3F5F"/>
    <w:rsid w:val="00AE597E"/>
    <w:rsid w:val="00B0482A"/>
    <w:rsid w:val="00B13DC4"/>
    <w:rsid w:val="00B143BA"/>
    <w:rsid w:val="00B15438"/>
    <w:rsid w:val="00B17B7C"/>
    <w:rsid w:val="00B23277"/>
    <w:rsid w:val="00B245AD"/>
    <w:rsid w:val="00B247CE"/>
    <w:rsid w:val="00B40ED2"/>
    <w:rsid w:val="00B4182B"/>
    <w:rsid w:val="00B4358D"/>
    <w:rsid w:val="00B55E54"/>
    <w:rsid w:val="00B56589"/>
    <w:rsid w:val="00B64D05"/>
    <w:rsid w:val="00B671A4"/>
    <w:rsid w:val="00B70460"/>
    <w:rsid w:val="00B72C64"/>
    <w:rsid w:val="00B73625"/>
    <w:rsid w:val="00B9441B"/>
    <w:rsid w:val="00B95ADD"/>
    <w:rsid w:val="00BA06BD"/>
    <w:rsid w:val="00BA2B2B"/>
    <w:rsid w:val="00BA4A3B"/>
    <w:rsid w:val="00BA5034"/>
    <w:rsid w:val="00BA7010"/>
    <w:rsid w:val="00BB4BF8"/>
    <w:rsid w:val="00BC4744"/>
    <w:rsid w:val="00BC7384"/>
    <w:rsid w:val="00BD34E8"/>
    <w:rsid w:val="00BD5D7D"/>
    <w:rsid w:val="00BD702B"/>
    <w:rsid w:val="00BD7B78"/>
    <w:rsid w:val="00BE45BC"/>
    <w:rsid w:val="00BE670A"/>
    <w:rsid w:val="00BE773B"/>
    <w:rsid w:val="00C014A7"/>
    <w:rsid w:val="00C05352"/>
    <w:rsid w:val="00C1304E"/>
    <w:rsid w:val="00C32404"/>
    <w:rsid w:val="00C32C8A"/>
    <w:rsid w:val="00C462ED"/>
    <w:rsid w:val="00C513EE"/>
    <w:rsid w:val="00C51C39"/>
    <w:rsid w:val="00C61365"/>
    <w:rsid w:val="00C641A3"/>
    <w:rsid w:val="00C66C9B"/>
    <w:rsid w:val="00C73360"/>
    <w:rsid w:val="00C73B2F"/>
    <w:rsid w:val="00C80A9D"/>
    <w:rsid w:val="00C8176F"/>
    <w:rsid w:val="00C83B4A"/>
    <w:rsid w:val="00C86CB2"/>
    <w:rsid w:val="00C91C71"/>
    <w:rsid w:val="00C95126"/>
    <w:rsid w:val="00C97FAD"/>
    <w:rsid w:val="00CA0B45"/>
    <w:rsid w:val="00CA1C53"/>
    <w:rsid w:val="00CA1EB4"/>
    <w:rsid w:val="00CA72A5"/>
    <w:rsid w:val="00CB0D41"/>
    <w:rsid w:val="00CB2E07"/>
    <w:rsid w:val="00CC07BF"/>
    <w:rsid w:val="00CC4651"/>
    <w:rsid w:val="00CC6120"/>
    <w:rsid w:val="00CD15E6"/>
    <w:rsid w:val="00CE018E"/>
    <w:rsid w:val="00CE7A4A"/>
    <w:rsid w:val="00CF6B39"/>
    <w:rsid w:val="00D04C57"/>
    <w:rsid w:val="00D0539A"/>
    <w:rsid w:val="00D0779F"/>
    <w:rsid w:val="00D10F2C"/>
    <w:rsid w:val="00D1343F"/>
    <w:rsid w:val="00D13AA8"/>
    <w:rsid w:val="00D21671"/>
    <w:rsid w:val="00D239B5"/>
    <w:rsid w:val="00D32655"/>
    <w:rsid w:val="00D32B72"/>
    <w:rsid w:val="00D3389D"/>
    <w:rsid w:val="00D4033C"/>
    <w:rsid w:val="00D45504"/>
    <w:rsid w:val="00D462A3"/>
    <w:rsid w:val="00D515B2"/>
    <w:rsid w:val="00D51D47"/>
    <w:rsid w:val="00D5346A"/>
    <w:rsid w:val="00D55767"/>
    <w:rsid w:val="00D71BA0"/>
    <w:rsid w:val="00D749DF"/>
    <w:rsid w:val="00D81DE6"/>
    <w:rsid w:val="00D82743"/>
    <w:rsid w:val="00D82755"/>
    <w:rsid w:val="00D82E67"/>
    <w:rsid w:val="00D831AC"/>
    <w:rsid w:val="00D87E56"/>
    <w:rsid w:val="00D91369"/>
    <w:rsid w:val="00D95627"/>
    <w:rsid w:val="00D95E35"/>
    <w:rsid w:val="00D97926"/>
    <w:rsid w:val="00DA1280"/>
    <w:rsid w:val="00DA3557"/>
    <w:rsid w:val="00DA4701"/>
    <w:rsid w:val="00DA49A5"/>
    <w:rsid w:val="00DA5013"/>
    <w:rsid w:val="00DA709A"/>
    <w:rsid w:val="00DB75A3"/>
    <w:rsid w:val="00DC65F2"/>
    <w:rsid w:val="00DC7876"/>
    <w:rsid w:val="00DC7DD5"/>
    <w:rsid w:val="00DD202A"/>
    <w:rsid w:val="00DE3ED7"/>
    <w:rsid w:val="00DF1291"/>
    <w:rsid w:val="00DF2BF8"/>
    <w:rsid w:val="00DF49AB"/>
    <w:rsid w:val="00E1392C"/>
    <w:rsid w:val="00E13E4E"/>
    <w:rsid w:val="00E221AB"/>
    <w:rsid w:val="00E22AC6"/>
    <w:rsid w:val="00E24830"/>
    <w:rsid w:val="00E30270"/>
    <w:rsid w:val="00E318A6"/>
    <w:rsid w:val="00E41C62"/>
    <w:rsid w:val="00E41EE9"/>
    <w:rsid w:val="00E461D4"/>
    <w:rsid w:val="00E552F2"/>
    <w:rsid w:val="00E62285"/>
    <w:rsid w:val="00E62819"/>
    <w:rsid w:val="00E6747F"/>
    <w:rsid w:val="00E71E25"/>
    <w:rsid w:val="00E76C02"/>
    <w:rsid w:val="00E83D83"/>
    <w:rsid w:val="00E9045F"/>
    <w:rsid w:val="00EA02FA"/>
    <w:rsid w:val="00EA0D4F"/>
    <w:rsid w:val="00EA3AA7"/>
    <w:rsid w:val="00EA405B"/>
    <w:rsid w:val="00EB4988"/>
    <w:rsid w:val="00EB4C26"/>
    <w:rsid w:val="00EB6134"/>
    <w:rsid w:val="00EC1A6C"/>
    <w:rsid w:val="00EC3A15"/>
    <w:rsid w:val="00EC4A12"/>
    <w:rsid w:val="00ED6C28"/>
    <w:rsid w:val="00ED7509"/>
    <w:rsid w:val="00EE3651"/>
    <w:rsid w:val="00EE38AF"/>
    <w:rsid w:val="00EF1622"/>
    <w:rsid w:val="00EF1F8F"/>
    <w:rsid w:val="00EF254B"/>
    <w:rsid w:val="00EF4FF2"/>
    <w:rsid w:val="00F071DE"/>
    <w:rsid w:val="00F13A02"/>
    <w:rsid w:val="00F1562E"/>
    <w:rsid w:val="00F2172B"/>
    <w:rsid w:val="00F3666A"/>
    <w:rsid w:val="00F42246"/>
    <w:rsid w:val="00F51C01"/>
    <w:rsid w:val="00F57CC4"/>
    <w:rsid w:val="00F61893"/>
    <w:rsid w:val="00F674C8"/>
    <w:rsid w:val="00F74630"/>
    <w:rsid w:val="00F750E7"/>
    <w:rsid w:val="00F77C0F"/>
    <w:rsid w:val="00F8032D"/>
    <w:rsid w:val="00F84DCE"/>
    <w:rsid w:val="00F9122A"/>
    <w:rsid w:val="00F95FA0"/>
    <w:rsid w:val="00FA6D2C"/>
    <w:rsid w:val="00FB0926"/>
    <w:rsid w:val="00FB5BF6"/>
    <w:rsid w:val="00FC779A"/>
    <w:rsid w:val="00FE2219"/>
    <w:rsid w:val="00FE634F"/>
    <w:rsid w:val="00FF5C51"/>
    <w:rsid w:val="00FF66FF"/>
    <w:rsid w:val="09754030"/>
    <w:rsid w:val="1BD656F7"/>
    <w:rsid w:val="6360471D"/>
    <w:rsid w:val="66A8FC87"/>
    <w:rsid w:val="76F005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91172190-1066-408A-BF48-715216B6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customStyle="1" w:styleId="Heading3NoTOC">
    <w:name w:val="Heading 3_No TOC"/>
    <w:basedOn w:val="Normal"/>
    <w:next w:val="Normal"/>
    <w:semiHidden/>
    <w:qFormat/>
    <w:rsid w:val="00595D0C"/>
    <w:pPr>
      <w:keepNext/>
      <w:spacing w:after="120" w:line="240" w:lineRule="auto"/>
      <w:ind w:left="432" w:hanging="432"/>
    </w:pPr>
    <w:rPr>
      <w:rFonts w:ascii="Arial Black" w:eastAsia="Times New Roman" w:hAnsi="Arial Black" w:cs="Times New Roman"/>
      <w:szCs w:val="20"/>
    </w:rPr>
  </w:style>
  <w:style w:type="paragraph" w:customStyle="1" w:styleId="NormalSS">
    <w:name w:val="NormalSS"/>
    <w:basedOn w:val="Normal"/>
    <w:link w:val="NormalSSChar"/>
    <w:qFormat/>
    <w:rsid w:val="00EC3A15"/>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EC3A15"/>
    <w:rPr>
      <w:rFonts w:ascii="Times New Roman" w:eastAsia="Times New Roman" w:hAnsi="Times New Roman" w:cs="Times New Roman"/>
      <w:sz w:val="24"/>
      <w:szCs w:val="20"/>
    </w:rPr>
  </w:style>
  <w:style w:type="paragraph" w:customStyle="1" w:styleId="TableText">
    <w:name w:val="Table Text"/>
    <w:basedOn w:val="Normal"/>
    <w:qFormat/>
    <w:rsid w:val="003E0809"/>
    <w:pPr>
      <w:spacing w:after="0" w:line="240" w:lineRule="auto"/>
    </w:pPr>
    <w:rPr>
      <w:rFonts w:ascii="Arial" w:eastAsia="Times New Roman" w:hAnsi="Arial" w:cs="Times New Roman"/>
      <w:sz w:val="18"/>
      <w:szCs w:val="20"/>
    </w:rPr>
  </w:style>
  <w:style w:type="character" w:styleId="UnresolvedMention">
    <w:name w:val="Unresolved Mention"/>
    <w:basedOn w:val="DefaultParagraphFont"/>
    <w:uiPriority w:val="99"/>
    <w:semiHidden/>
    <w:unhideWhenUsed/>
    <w:rsid w:val="008F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elma.Caal@acf.hhs.gov" TargetMode="External" /><Relationship Id="rId11" Type="http://schemas.openxmlformats.org/officeDocument/2006/relationships/hyperlink" Target="mailto:LHulsey@mathematica-mpr.com" TargetMode="External" /><Relationship Id="rId12" Type="http://schemas.openxmlformats.org/officeDocument/2006/relationships/hyperlink" Target="mailto:MThomas@mathematica-mpr.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aryn.Blitz@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744EB95DC9E94CB0718560C16963E0" ma:contentTypeVersion="6" ma:contentTypeDescription="Create a new document." ma:contentTypeScope="" ma:versionID="7a0b67b4c0f0c966d8d5972a4c2c8de4">
  <xsd:schema xmlns:xsd="http://www.w3.org/2001/XMLSchema" xmlns:xs="http://www.w3.org/2001/XMLSchema" xmlns:p="http://schemas.microsoft.com/office/2006/metadata/properties" xmlns:ns2="934ff4d0-098a-467e-a6e4-07af1c46bfd8" xmlns:ns3="454f18bd-3f0a-4afd-bd84-6150e729151d" targetNamespace="http://schemas.microsoft.com/office/2006/metadata/properties" ma:root="true" ma:fieldsID="566f167d5e6d393d00c19be52b2fc87e" ns2:_="" ns3:_="">
    <xsd:import namespace="934ff4d0-098a-467e-a6e4-07af1c46bfd8"/>
    <xsd:import namespace="454f18bd-3f0a-4afd-bd84-6150e7291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ff4d0-098a-467e-a6e4-07af1c46b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4f18bd-3f0a-4afd-bd84-6150e7291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2.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customXml/itemProps4.xml><?xml version="1.0" encoding="utf-8"?>
<ds:datastoreItem xmlns:ds="http://schemas.openxmlformats.org/officeDocument/2006/customXml" ds:itemID="{85F044CD-EE3A-489F-AADA-CDA0E7A8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ff4d0-098a-467e-a6e4-07af1c46bfd8"/>
    <ds:schemaRef ds:uri="454f18bd-3f0a-4afd-bd84-6150e7291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Hulsey</dc:creator>
  <cp:lastModifiedBy>ACF PRA</cp:lastModifiedBy>
  <cp:revision>3</cp:revision>
  <dcterms:created xsi:type="dcterms:W3CDTF">2024-11-14T18:18:00Z</dcterms:created>
  <dcterms:modified xsi:type="dcterms:W3CDTF">2024-11-14T18:19:00Z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0x01010076744EB95DC9E94CB0718560C16963E0</vt:lpwstr>
  </property>
</Properties>
</file>