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15E9" w:rsidRPr="007215E9" w:rsidP="007215E9" w14:paraId="17DC716D" w14:textId="42601670">
      <w:pPr>
        <w:pBdr>
          <w:bottom w:val="single" w:sz="4" w:space="1" w:color="auto"/>
        </w:pBdr>
        <w:jc w:val="center"/>
        <w:rPr>
          <w:b/>
          <w:bCs/>
        </w:rPr>
      </w:pPr>
      <w:r w:rsidRPr="29F01331">
        <w:rPr>
          <w:b/>
          <w:bCs/>
        </w:rPr>
        <w:t>SUPPORTING STATEMENT</w:t>
      </w:r>
    </w:p>
    <w:p w:rsidR="00DB1C42" w:rsidRPr="00D83BAC" w:rsidP="6943E6E0" w14:paraId="09F124E9" w14:textId="17EF746B">
      <w:pPr>
        <w:pBdr>
          <w:bottom w:val="single" w:sz="4" w:space="1" w:color="auto"/>
        </w:pBdr>
        <w:jc w:val="center"/>
        <w:rPr>
          <w:rFonts w:cs="Arial"/>
          <w:b/>
          <w:bCs/>
        </w:rPr>
      </w:pPr>
      <w:r w:rsidRPr="6943E6E0">
        <w:rPr>
          <w:rFonts w:cs="Arial"/>
          <w:b/>
          <w:bCs/>
        </w:rPr>
        <w:t xml:space="preserve">ATTESTATION FOR EMPLOYERS SEEKING TO EMPLOY H-2B NONIMMIGRANT WORKERS </w:t>
      </w:r>
      <w:r w:rsidRPr="00667C16">
        <w:rPr>
          <w:rFonts w:cs="Arial"/>
          <w:b/>
          <w:bCs/>
        </w:rPr>
        <w:t xml:space="preserve">UNDER SECTION </w:t>
      </w:r>
      <w:r w:rsidRPr="00667C16" w:rsidR="35A6FA18">
        <w:rPr>
          <w:rFonts w:cs="Arial"/>
          <w:b/>
          <w:bCs/>
        </w:rPr>
        <w:t>105</w:t>
      </w:r>
      <w:r w:rsidRPr="00667C16" w:rsidR="007B484A">
        <w:rPr>
          <w:rFonts w:cs="Arial"/>
          <w:b/>
          <w:bCs/>
        </w:rPr>
        <w:t xml:space="preserve"> </w:t>
      </w:r>
      <w:r w:rsidRPr="00667C16">
        <w:rPr>
          <w:rFonts w:cs="Arial"/>
          <w:b/>
          <w:bCs/>
        </w:rPr>
        <w:t xml:space="preserve">OF DIVISION </w:t>
      </w:r>
      <w:r w:rsidRPr="00667C16" w:rsidR="2F08E3D2">
        <w:rPr>
          <w:rFonts w:cs="Arial"/>
          <w:b/>
          <w:bCs/>
        </w:rPr>
        <w:t>G</w:t>
      </w:r>
      <w:r w:rsidRPr="6943E6E0" w:rsidR="00914178">
        <w:rPr>
          <w:rFonts w:cs="Arial"/>
          <w:b/>
          <w:bCs/>
        </w:rPr>
        <w:t>, TITLE I</w:t>
      </w:r>
      <w:r w:rsidRPr="00667C16" w:rsidR="006C6026">
        <w:rPr>
          <w:rFonts w:cs="Arial"/>
          <w:b/>
          <w:bCs/>
        </w:rPr>
        <w:t xml:space="preserve"> OF THE</w:t>
      </w:r>
      <w:r w:rsidRPr="6943E6E0" w:rsidR="006C6026">
        <w:rPr>
          <w:rFonts w:cs="Arial"/>
          <w:b/>
          <w:bCs/>
        </w:rPr>
        <w:t xml:space="preserve"> </w:t>
      </w:r>
      <w:r w:rsidRPr="6943E6E0" w:rsidR="000975E4">
        <w:rPr>
          <w:rFonts w:cs="Arial"/>
          <w:b/>
          <w:bCs/>
        </w:rPr>
        <w:t>FURTHER</w:t>
      </w:r>
      <w:r w:rsidRPr="00667C16" w:rsidR="006C6026">
        <w:rPr>
          <w:rFonts w:cs="Arial"/>
          <w:b/>
          <w:bCs/>
        </w:rPr>
        <w:t xml:space="preserve"> </w:t>
      </w:r>
      <w:r w:rsidRPr="6943E6E0" w:rsidR="000975E4">
        <w:rPr>
          <w:rFonts w:cs="Arial"/>
          <w:b/>
          <w:bCs/>
        </w:rPr>
        <w:t>CONSOLIDATED</w:t>
      </w:r>
      <w:r w:rsidRPr="00667C16" w:rsidR="000975E4">
        <w:rPr>
          <w:rFonts w:cs="Arial"/>
          <w:b/>
          <w:bCs/>
        </w:rPr>
        <w:t xml:space="preserve"> </w:t>
      </w:r>
      <w:r w:rsidRPr="00667C16" w:rsidR="006C6026">
        <w:rPr>
          <w:rFonts w:cs="Arial"/>
          <w:b/>
          <w:bCs/>
        </w:rPr>
        <w:t xml:space="preserve">APPROPRIATIONS ACT, </w:t>
      </w:r>
      <w:r w:rsidRPr="00667C16" w:rsidR="005F4434">
        <w:rPr>
          <w:rFonts w:cs="Arial"/>
          <w:b/>
          <w:bCs/>
        </w:rPr>
        <w:t>202</w:t>
      </w:r>
      <w:r w:rsidRPr="6943E6E0" w:rsidR="00FC467B">
        <w:rPr>
          <w:rFonts w:cs="Arial"/>
          <w:b/>
          <w:bCs/>
        </w:rPr>
        <w:t>4</w:t>
      </w:r>
      <w:r w:rsidRPr="00667C16" w:rsidR="006C6026">
        <w:rPr>
          <w:rFonts w:cs="Arial"/>
          <w:b/>
          <w:bCs/>
        </w:rPr>
        <w:t xml:space="preserve">, PUBLIC LAW </w:t>
      </w:r>
      <w:r w:rsidRPr="00667C16" w:rsidR="152A48E1">
        <w:rPr>
          <w:rFonts w:cs="Arial"/>
          <w:b/>
          <w:bCs/>
        </w:rPr>
        <w:t>118-47</w:t>
      </w:r>
      <w:r w:rsidRPr="00667C16" w:rsidR="00B14CCD">
        <w:rPr>
          <w:rFonts w:cs="Arial"/>
          <w:b/>
          <w:bCs/>
        </w:rPr>
        <w:t>,</w:t>
      </w:r>
      <w:r w:rsidRPr="00667C16" w:rsidR="13DD95C9">
        <w:rPr>
          <w:rFonts w:cs="Arial"/>
          <w:b/>
          <w:bCs/>
        </w:rPr>
        <w:t xml:space="preserve"> </w:t>
      </w:r>
      <w:r w:rsidRPr="00667C16" w:rsidR="00193902">
        <w:rPr>
          <w:rFonts w:cs="Arial"/>
          <w:b/>
          <w:bCs/>
        </w:rPr>
        <w:t>AS EXTENDED BY SECTION 101(6)</w:t>
      </w:r>
      <w:r w:rsidRPr="00667C16" w:rsidR="008D5F4C">
        <w:rPr>
          <w:rFonts w:cs="Arial"/>
          <w:b/>
          <w:bCs/>
        </w:rPr>
        <w:t xml:space="preserve"> </w:t>
      </w:r>
      <w:r w:rsidRPr="6943E6E0" w:rsidR="13DD95C9">
        <w:rPr>
          <w:rFonts w:cs="Arial"/>
          <w:b/>
          <w:bCs/>
        </w:rPr>
        <w:t xml:space="preserve">AND </w:t>
      </w:r>
      <w:r w:rsidRPr="6943E6E0" w:rsidR="008D5F4C">
        <w:rPr>
          <w:rFonts w:cs="Arial"/>
          <w:b/>
          <w:bCs/>
        </w:rPr>
        <w:t xml:space="preserve">106 OF </w:t>
      </w:r>
      <w:r w:rsidRPr="00667C16" w:rsidR="008D5F4C">
        <w:rPr>
          <w:rFonts w:cs="Arial"/>
          <w:b/>
          <w:bCs/>
        </w:rPr>
        <w:t>DIVISION A</w:t>
      </w:r>
      <w:r w:rsidRPr="6943E6E0" w:rsidR="00E603A8">
        <w:rPr>
          <w:rFonts w:cs="Arial"/>
          <w:b/>
          <w:bCs/>
        </w:rPr>
        <w:t>, TITLE I</w:t>
      </w:r>
      <w:r w:rsidRPr="00667C16" w:rsidR="008D5F4C">
        <w:rPr>
          <w:rFonts w:cs="Arial"/>
          <w:b/>
          <w:bCs/>
        </w:rPr>
        <w:t xml:space="preserve"> OF THE CONTINUING </w:t>
      </w:r>
      <w:r w:rsidRPr="6943E6E0" w:rsidR="000975E4">
        <w:rPr>
          <w:rFonts w:cs="Arial"/>
          <w:b/>
          <w:bCs/>
        </w:rPr>
        <w:t>APPROPRIATIONS</w:t>
      </w:r>
      <w:r w:rsidRPr="00667C16" w:rsidR="000975E4">
        <w:rPr>
          <w:rFonts w:cs="Arial"/>
          <w:b/>
          <w:bCs/>
        </w:rPr>
        <w:t xml:space="preserve"> </w:t>
      </w:r>
      <w:r w:rsidRPr="00667C16" w:rsidR="38CBA67C">
        <w:rPr>
          <w:rFonts w:cs="Arial"/>
          <w:b/>
          <w:bCs/>
        </w:rPr>
        <w:t>AND EXTENSION</w:t>
      </w:r>
      <w:r w:rsidRPr="6943E6E0" w:rsidR="00E603A8">
        <w:rPr>
          <w:rFonts w:cs="Arial"/>
          <w:b/>
          <w:bCs/>
        </w:rPr>
        <w:t>S</w:t>
      </w:r>
      <w:r w:rsidRPr="00667C16" w:rsidR="38CBA67C">
        <w:rPr>
          <w:rFonts w:cs="Arial"/>
          <w:b/>
          <w:bCs/>
        </w:rPr>
        <w:t xml:space="preserve"> </w:t>
      </w:r>
      <w:r w:rsidRPr="00667C16" w:rsidR="008D5F4C">
        <w:rPr>
          <w:rFonts w:cs="Arial"/>
          <w:b/>
          <w:bCs/>
        </w:rPr>
        <w:t>ACT,</w:t>
      </w:r>
      <w:r w:rsidRPr="6943E6E0" w:rsidR="008D5F4C">
        <w:rPr>
          <w:rFonts w:cs="Arial"/>
          <w:b/>
          <w:bCs/>
        </w:rPr>
        <w:t xml:space="preserve"> </w:t>
      </w:r>
      <w:r w:rsidRPr="6943E6E0" w:rsidR="00445CA5">
        <w:rPr>
          <w:rFonts w:cs="Arial"/>
          <w:b/>
          <w:bCs/>
        </w:rPr>
        <w:t>2025</w:t>
      </w:r>
      <w:r w:rsidR="00F32E2E">
        <w:rPr>
          <w:rFonts w:cs="Arial"/>
          <w:b/>
          <w:bCs/>
        </w:rPr>
        <w:t>,</w:t>
      </w:r>
      <w:r w:rsidRPr="00667C16" w:rsidR="008D5F4C">
        <w:rPr>
          <w:rFonts w:cs="Arial"/>
          <w:b/>
          <w:bCs/>
        </w:rPr>
        <w:t xml:space="preserve"> </w:t>
      </w:r>
      <w:r w:rsidRPr="00667C16" w:rsidR="13DD95C9">
        <w:rPr>
          <w:rFonts w:cs="Arial"/>
          <w:b/>
          <w:bCs/>
        </w:rPr>
        <w:t xml:space="preserve">PUBLIC LAW </w:t>
      </w:r>
      <w:r w:rsidRPr="00667C16" w:rsidR="008D5F4C">
        <w:rPr>
          <w:rFonts w:cs="Arial"/>
          <w:b/>
          <w:bCs/>
        </w:rPr>
        <w:t>118</w:t>
      </w:r>
      <w:r w:rsidRPr="00667C16" w:rsidR="00E56C31">
        <w:rPr>
          <w:rFonts w:cs="Arial"/>
          <w:b/>
          <w:bCs/>
        </w:rPr>
        <w:t>-</w:t>
      </w:r>
      <w:r w:rsidRPr="00667C16" w:rsidR="536BF384">
        <w:rPr>
          <w:rFonts w:cs="Arial"/>
          <w:b/>
          <w:bCs/>
        </w:rPr>
        <w:t>83</w:t>
      </w:r>
      <w:r w:rsidRPr="6943E6E0" w:rsidR="00D83BAC">
        <w:rPr>
          <w:rFonts w:cs="Arial"/>
          <w:b/>
          <w:bCs/>
        </w:rPr>
        <w:t>, FORM ETA-9142-B-CAA-9</w:t>
      </w:r>
    </w:p>
    <w:p w:rsidR="00135F26" w:rsidRPr="007215E9" w:rsidP="00D30DE3" w14:paraId="468DE665" w14:textId="0EBF7A4B">
      <w:pPr>
        <w:autoSpaceDE w:val="0"/>
        <w:autoSpaceDN w:val="0"/>
        <w:adjustRightInd w:val="0"/>
        <w:rPr>
          <w:color w:val="000000" w:themeColor="text1"/>
          <w:highlight w:val="yellow"/>
        </w:rPr>
      </w:pPr>
    </w:p>
    <w:p w:rsidR="00135F26" w:rsidRPr="007215E9" w:rsidP="00135F26" w14:paraId="4CCC9A57" w14:textId="77777777">
      <w:pPr>
        <w:tabs>
          <w:tab w:val="left" w:pos="540"/>
        </w:tabs>
        <w:autoSpaceDE w:val="0"/>
        <w:autoSpaceDN w:val="0"/>
        <w:adjustRightInd w:val="0"/>
        <w:rPr>
          <w:b/>
        </w:rPr>
      </w:pPr>
      <w:r w:rsidRPr="007215E9">
        <w:rPr>
          <w:b/>
        </w:rPr>
        <w:t xml:space="preserve">A. </w:t>
      </w:r>
      <w:r w:rsidRPr="007215E9">
        <w:rPr>
          <w:b/>
        </w:rPr>
        <w:tab/>
      </w:r>
      <w:r w:rsidRPr="00135F26">
        <w:rPr>
          <w:b/>
          <w:u w:val="single"/>
        </w:rPr>
        <w:t>Justification</w:t>
      </w:r>
      <w:r>
        <w:rPr>
          <w:b/>
          <w:u w:val="single"/>
        </w:rPr>
        <w:t>.</w:t>
      </w:r>
    </w:p>
    <w:p w:rsidR="00BA6848" w:rsidRPr="00BA6848" w:rsidP="00135F26" w14:paraId="6049D9CA" w14:textId="77777777">
      <w:pPr>
        <w:autoSpaceDE w:val="0"/>
        <w:autoSpaceDN w:val="0"/>
        <w:adjustRightInd w:val="0"/>
        <w:rPr>
          <w:b/>
          <w:i/>
        </w:rPr>
      </w:pPr>
    </w:p>
    <w:p w:rsidR="0E21FCA2" w:rsidP="700A7497" w14:paraId="627108CC" w14:textId="77718FE7">
      <w:r w:rsidRPr="700A7497">
        <w:rPr>
          <w:color w:val="000000" w:themeColor="text1"/>
        </w:rPr>
        <w:t>This information collection request (ICR) seeks an Extension of a currently approved ICR.</w:t>
      </w:r>
    </w:p>
    <w:p w:rsidR="700A7497" w14:paraId="31F0C429" w14:textId="54746F72"/>
    <w:p w:rsidR="0029478C" w:rsidRPr="00046FF1" w:rsidP="700A7497" w14:paraId="12872732" w14:textId="38A61D8F">
      <w:pPr>
        <w:autoSpaceDE w:val="0"/>
        <w:autoSpaceDN w:val="0"/>
        <w:adjustRightInd w:val="0"/>
      </w:pPr>
      <w:r>
        <w:t>This ICR supports the</w:t>
      </w:r>
      <w:r w:rsidR="006C6026">
        <w:t xml:space="preserve"> Temporary Final Rule</w:t>
      </w:r>
      <w:r w:rsidR="00A806A7">
        <w:t xml:space="preserve"> (TFR)</w:t>
      </w:r>
      <w:r w:rsidR="006C6026">
        <w:t>,</w:t>
      </w:r>
      <w:r>
        <w:t xml:space="preserve"> </w:t>
      </w:r>
      <w:r w:rsidRPr="700A7497" w:rsidR="00EC408D">
        <w:rPr>
          <w:i/>
          <w:iCs/>
        </w:rPr>
        <w:t xml:space="preserve">Exercise of Time-Limited Authority to Increase the Numerical Limitation for </w:t>
      </w:r>
      <w:r w:rsidRPr="700A7497" w:rsidR="00B47191">
        <w:rPr>
          <w:i/>
          <w:iCs/>
        </w:rPr>
        <w:t xml:space="preserve">Fiscal Year </w:t>
      </w:r>
      <w:r w:rsidRPr="700A7497" w:rsidR="001453B9">
        <w:rPr>
          <w:i/>
          <w:iCs/>
        </w:rPr>
        <w:t xml:space="preserve">2025 </w:t>
      </w:r>
      <w:r w:rsidRPr="700A7497" w:rsidR="00EC408D">
        <w:rPr>
          <w:i/>
          <w:iCs/>
        </w:rPr>
        <w:t xml:space="preserve">for H-2B Temporary Nonagricultural Worker Program and Portability Flexibility for H-2B Workers Seeking </w:t>
      </w:r>
      <w:r w:rsidRPr="700A7497" w:rsidR="00EC408D">
        <w:rPr>
          <w:i/>
          <w:iCs/>
        </w:rPr>
        <w:t>To</w:t>
      </w:r>
      <w:r w:rsidRPr="700A7497" w:rsidR="00EC408D">
        <w:rPr>
          <w:i/>
          <w:iCs/>
        </w:rPr>
        <w:t xml:space="preserve"> Change Employers</w:t>
      </w:r>
      <w:r w:rsidR="006C6026">
        <w:t>,</w:t>
      </w:r>
      <w:r>
        <w:t xml:space="preserve"> </w:t>
      </w:r>
      <w:r w:rsidR="006C6026">
        <w:t xml:space="preserve">which is </w:t>
      </w:r>
      <w:r>
        <w:t xml:space="preserve">being promulgated by the Department of Labor (DOL or Department) and the Department of Homeland Security (DHS) (collectively, the Departments).  The regulatory requirements </w:t>
      </w:r>
      <w:r w:rsidR="7A2CDD76">
        <w:t>are</w:t>
      </w:r>
      <w:r>
        <w:t xml:space="preserve"> codified at 8 CFR part 214 and 20 CFR part 655.  The ICR includes a form, </w:t>
      </w:r>
      <w:r w:rsidRPr="700A7497">
        <w:rPr>
          <w:i/>
          <w:iCs/>
        </w:rPr>
        <w:t xml:space="preserve">Attestation for Employers Seeking to Employ H-2B Nonimmigrant Workers </w:t>
      </w:r>
      <w:r w:rsidRPr="700A7497" w:rsidR="0048658B">
        <w:rPr>
          <w:i/>
          <w:iCs/>
        </w:rPr>
        <w:t xml:space="preserve">under </w:t>
      </w:r>
      <w:r w:rsidRPr="700A7497" w:rsidR="2DD10D17">
        <w:rPr>
          <w:color w:val="000000" w:themeColor="text1"/>
        </w:rPr>
        <w:t xml:space="preserve"> </w:t>
      </w:r>
      <w:r w:rsidRPr="700A7497" w:rsidR="2DD10D17">
        <w:rPr>
          <w:i/>
          <w:iCs/>
          <w:color w:val="000000" w:themeColor="text1"/>
        </w:rPr>
        <w:t xml:space="preserve">Section 105 of Division G, Title I of the </w:t>
      </w:r>
      <w:r w:rsidRPr="700A7497" w:rsidR="00C10EE9">
        <w:rPr>
          <w:i/>
          <w:iCs/>
          <w:color w:val="000000" w:themeColor="text1"/>
        </w:rPr>
        <w:t xml:space="preserve">Further </w:t>
      </w:r>
      <w:r w:rsidRPr="700A7497" w:rsidR="2DD10D17">
        <w:rPr>
          <w:i/>
          <w:iCs/>
        </w:rPr>
        <w:t>Consolidated Appropriations Act, 2024</w:t>
      </w:r>
      <w:r w:rsidRPr="700A7497" w:rsidR="2DD10D17">
        <w:rPr>
          <w:i/>
          <w:iCs/>
          <w:color w:val="000000" w:themeColor="text1"/>
        </w:rPr>
        <w:t>, Public Law 118-47</w:t>
      </w:r>
      <w:r w:rsidRPr="700A7497" w:rsidR="007B5E76">
        <w:rPr>
          <w:i/>
          <w:iCs/>
          <w:color w:val="000000" w:themeColor="text1"/>
        </w:rPr>
        <w:t xml:space="preserve"> </w:t>
      </w:r>
      <w:r w:rsidRPr="700A7497" w:rsidR="00942F56">
        <w:rPr>
          <w:i/>
          <w:iCs/>
          <w:color w:val="000000" w:themeColor="text1"/>
        </w:rPr>
        <w:t>(FY 2024 Omnibus)</w:t>
      </w:r>
      <w:r w:rsidRPr="700A7497" w:rsidR="2DD10D17">
        <w:rPr>
          <w:i/>
          <w:iCs/>
          <w:color w:val="000000" w:themeColor="text1"/>
        </w:rPr>
        <w:t xml:space="preserve">, as extended by section 101(6) </w:t>
      </w:r>
      <w:r w:rsidRPr="700A7497" w:rsidR="000A5495">
        <w:rPr>
          <w:i/>
          <w:iCs/>
          <w:color w:val="000000" w:themeColor="text1"/>
        </w:rPr>
        <w:t>and 106</w:t>
      </w:r>
      <w:r w:rsidRPr="700A7497" w:rsidR="2DD10D17">
        <w:rPr>
          <w:i/>
          <w:iCs/>
          <w:color w:val="000000" w:themeColor="text1"/>
        </w:rPr>
        <w:t xml:space="preserve"> of Division A</w:t>
      </w:r>
      <w:r w:rsidRPr="700A7497" w:rsidR="000A5495">
        <w:rPr>
          <w:i/>
          <w:iCs/>
          <w:color w:val="000000" w:themeColor="text1"/>
        </w:rPr>
        <w:t>, Title I</w:t>
      </w:r>
      <w:r w:rsidRPr="700A7497" w:rsidR="2DD10D17">
        <w:rPr>
          <w:i/>
          <w:iCs/>
          <w:color w:val="000000" w:themeColor="text1"/>
        </w:rPr>
        <w:t xml:space="preserve"> of the Continuing Appropriations and Extensions Act, </w:t>
      </w:r>
      <w:r w:rsidRPr="700A7497" w:rsidR="00493919">
        <w:rPr>
          <w:i/>
          <w:iCs/>
          <w:color w:val="000000" w:themeColor="text1"/>
        </w:rPr>
        <w:t>2025</w:t>
      </w:r>
      <w:r w:rsidR="008B7540">
        <w:rPr>
          <w:i/>
          <w:iCs/>
          <w:color w:val="000000" w:themeColor="text1"/>
        </w:rPr>
        <w:t>,</w:t>
      </w:r>
      <w:r w:rsidRPr="700A7497" w:rsidR="00493919">
        <w:rPr>
          <w:i/>
          <w:iCs/>
          <w:color w:val="000000" w:themeColor="text1"/>
        </w:rPr>
        <w:t xml:space="preserve"> </w:t>
      </w:r>
      <w:r w:rsidRPr="700A7497" w:rsidR="2DD10D17">
        <w:rPr>
          <w:i/>
          <w:iCs/>
          <w:color w:val="000000" w:themeColor="text1"/>
        </w:rPr>
        <w:t>Public Law 118</w:t>
      </w:r>
      <w:r w:rsidRPr="700A7497" w:rsidR="000A5495">
        <w:rPr>
          <w:i/>
          <w:iCs/>
          <w:color w:val="000000" w:themeColor="text1"/>
        </w:rPr>
        <w:t>-83</w:t>
      </w:r>
      <w:r>
        <w:t>, Form ETA-9142</w:t>
      </w:r>
      <w:r w:rsidR="00EC408D">
        <w:t>-</w:t>
      </w:r>
      <w:r>
        <w:t>B-CAA-</w:t>
      </w:r>
      <w:r w:rsidR="001453B9">
        <w:t xml:space="preserve">9 </w:t>
      </w:r>
      <w:r>
        <w:t>(Form ETA-9142</w:t>
      </w:r>
      <w:r w:rsidR="00EC408D">
        <w:t>-</w:t>
      </w:r>
      <w:r>
        <w:t>B-CAA-</w:t>
      </w:r>
      <w:r w:rsidR="001453B9">
        <w:t>9</w:t>
      </w:r>
      <w:r>
        <w:t>)</w:t>
      </w:r>
      <w:r w:rsidR="0CA1301E">
        <w:t xml:space="preserve">, </w:t>
      </w:r>
      <w:r w:rsidRPr="700A7497" w:rsidR="0CA1301E">
        <w:rPr>
          <w:color w:val="000000" w:themeColor="text1"/>
        </w:rPr>
        <w:t>along with other requirements (</w:t>
      </w:r>
      <w:r w:rsidRPr="700A7497" w:rsidR="0CA1301E">
        <w:rPr>
          <w:i/>
          <w:iCs/>
          <w:color w:val="000000" w:themeColor="text1"/>
        </w:rPr>
        <w:t>e.g.</w:t>
      </w:r>
      <w:r w:rsidRPr="700A7497" w:rsidR="0CA1301E">
        <w:rPr>
          <w:color w:val="000000" w:themeColor="text1"/>
        </w:rPr>
        <w:t>, recruitment efforts; recordkeeping requirements), which are covered under Office of Management and Budget (OMB) Control Number 1205-05</w:t>
      </w:r>
      <w:r w:rsidR="006B72FF">
        <w:rPr>
          <w:color w:val="000000" w:themeColor="text1"/>
        </w:rPr>
        <w:t>63</w:t>
      </w:r>
      <w:r w:rsidRPr="700A7497" w:rsidR="0CA1301E">
        <w:rPr>
          <w:color w:val="000000" w:themeColor="text1"/>
        </w:rPr>
        <w:t xml:space="preserve"> (OMB 1205-0563).</w:t>
      </w:r>
    </w:p>
    <w:p w:rsidR="00682F58" w:rsidP="00EA78D2" w14:paraId="68644B0A" w14:textId="77777777">
      <w:pPr>
        <w:autoSpaceDE w:val="0"/>
        <w:autoSpaceDN w:val="0"/>
        <w:adjustRightInd w:val="0"/>
        <w:rPr>
          <w:b/>
        </w:rPr>
      </w:pPr>
    </w:p>
    <w:p w:rsidR="00782731" w:rsidRPr="00046FF1" w:rsidP="0036017E" w14:paraId="728F1B49" w14:textId="07C0354D">
      <w:pPr>
        <w:rPr>
          <w:b/>
        </w:rPr>
      </w:pPr>
      <w:r w:rsidRPr="00046FF1">
        <w:rPr>
          <w:b/>
        </w:rPr>
        <w:t>Background Information and General Instructions</w:t>
      </w:r>
      <w:r w:rsidRPr="00046FF1" w:rsidR="0036017E">
        <w:rPr>
          <w:b/>
        </w:rPr>
        <w:t>:</w:t>
      </w:r>
    </w:p>
    <w:p w:rsidR="00782731" w:rsidP="00C744CD" w14:paraId="2B5AE360" w14:textId="77777777">
      <w:pPr>
        <w:autoSpaceDE w:val="0"/>
        <w:autoSpaceDN w:val="0"/>
        <w:adjustRightInd w:val="0"/>
      </w:pPr>
    </w:p>
    <w:p w:rsidR="00C744CD" w:rsidRPr="00C744CD" w:rsidP="001C53F2" w14:paraId="51404268" w14:textId="4F3DB8B3">
      <w:pPr>
        <w:autoSpaceDE w:val="0"/>
        <w:autoSpaceDN w:val="0"/>
        <w:adjustRightInd w:val="0"/>
      </w:pPr>
      <w:r>
        <w:t>S</w:t>
      </w:r>
      <w:r w:rsidRPr="00C744CD">
        <w:t xml:space="preserve">ince FY 2017, Congress has enacted a series of public laws providing the Secretary of Homeland Security with the discretionary authority to increase the H-2B cap beyond the annual numerical limitation set forth in section 214 of the </w:t>
      </w:r>
      <w:r w:rsidR="7EE5E2F0">
        <w:t>Immigration and Nationality Act</w:t>
      </w:r>
      <w:r>
        <w:t xml:space="preserve"> </w:t>
      </w:r>
      <w:r w:rsidR="5A6A1998">
        <w:t>(</w:t>
      </w:r>
      <w:r w:rsidRPr="00C744CD">
        <w:t>INA</w:t>
      </w:r>
      <w:r w:rsidR="5D204259">
        <w:t>)</w:t>
      </w:r>
      <w:r>
        <w:t>.</w:t>
      </w:r>
      <w:r w:rsidRPr="00C744CD">
        <w:t xml:space="preserve"> The previous statutory provisions were materially identical to section 105 of the FY 2024 Omnibus, which is the same authority provided for FY 2025 by the recent continuing resolution. During each fiscal year from FY 2017 through FY 2019, and FY 2021 through FY 2024, the Secretary of Homeland Security, after consulting with the Secretary of Labor, determined that some American businesses could not satisfy their needs in </w:t>
      </w:r>
      <w:r w:rsidR="00F60737">
        <w:t xml:space="preserve">a particular </w:t>
      </w:r>
      <w:r w:rsidRPr="00C744CD">
        <w:t xml:space="preserve">year with U.S. workers who were willing, qualified, and able to perform temporary nonagricultural labor. On the basis of these determinations, on July 19, 2017, and May 31, 2018, DHS and DOL jointly published </w:t>
      </w:r>
      <w:r w:rsidR="00503398">
        <w:t>TFRs</w:t>
      </w:r>
      <w:r w:rsidRPr="00C744CD">
        <w:t xml:space="preserve"> for FY 2017 and FY 2018, respectively, each of which allowed an increase of up to 15,000 additional H-2B visas for those businesses that attested that if they did not receive all of the workers requested on the Petition for a Nonimmigrant Worker (Form I-129), they were likely to suffer irreparable harm, in other words, suffer a permanent and severe financial loss.</w:t>
      </w:r>
      <w:r w:rsidRPr="00C744CD" w:rsidR="007B2E12">
        <w:t xml:space="preserve"> </w:t>
      </w:r>
    </w:p>
    <w:p w:rsidR="00C744CD" w:rsidRPr="00C744CD" w:rsidP="00C744CD" w14:paraId="294080DA" w14:textId="0DE38758">
      <w:pPr>
        <w:spacing w:before="100" w:beforeAutospacing="1" w:after="100" w:afterAutospacing="1"/>
      </w:pPr>
      <w:r w:rsidRPr="00C744CD">
        <w:t xml:space="preserve">On May 8, 2019, DHS and DOL jointly published a </w:t>
      </w:r>
      <w:r w:rsidR="00503398">
        <w:t>TFR</w:t>
      </w:r>
      <w:r w:rsidRPr="00C744CD">
        <w:t xml:space="preserve"> authorizing an increase of up to 30,000 additional H-2B visas for the remainder of FY 2019.</w:t>
      </w:r>
      <w:r w:rsidRPr="00C744CD" w:rsidR="007B2E12">
        <w:t xml:space="preserve"> </w:t>
      </w:r>
      <w:r w:rsidRPr="00C744CD">
        <w:t>The additional visas were limited to returning workers who had been counted against the H-2B cap or were otherwise granted H-2B status in the previous three fiscal years, and for those businesses that attested to a level of need such that, if they did not receive all of the workers requested on the Form I-129, they were likely to suffer irreparable harm, in other words, suffer a permanent and severe financial loss.</w:t>
      </w:r>
      <w:r w:rsidRPr="00C744CD">
        <w:rPr>
          <w:vertAlign w:val="superscript"/>
        </w:rPr>
        <w:t xml:space="preserve"> </w:t>
      </w:r>
      <w:r w:rsidRPr="00C744CD">
        <w:t xml:space="preserve">The Secretary determined that limiting returning workers to those who were issued an H-2B visa or granted H-2B status in the past 3 fiscal years was appropriate, as it mirrored the standard that Congress designated in previous returning worker provisions. </w:t>
      </w:r>
    </w:p>
    <w:p w:rsidR="00C744CD" w:rsidRPr="00C744CD" w:rsidP="00C744CD" w14:paraId="2A9BE258" w14:textId="2B76C33B">
      <w:pPr>
        <w:spacing w:before="100" w:beforeAutospacing="1" w:after="100" w:afterAutospacing="1"/>
      </w:pPr>
      <w:r w:rsidRPr="00C744CD">
        <w:t>Although Congress provided the Secretary of Homeland Security with the discretionary authority to increase the H-2B cap in FY 2020, the Secretary did not exercise that authority. DHS initially intended to exercise its authority and, on March 4, 2020, announced that it would make available 35,000 supplemental H-2B visas for the second half of the fiscal year.</w:t>
      </w:r>
      <w:r w:rsidRPr="00C744CD">
        <w:rPr>
          <w:vertAlign w:val="superscript"/>
        </w:rPr>
        <w:t xml:space="preserve"> </w:t>
      </w:r>
      <w:r w:rsidRPr="00C744CD">
        <w:t>On March 13, 2020, President Trump declared a National Emergency concerning COVID-19, a communicable disease caused by the coronavirus SARS-CoV-2.</w:t>
      </w:r>
      <w:r w:rsidRPr="00C744CD" w:rsidR="007B2E12">
        <w:t xml:space="preserve"> </w:t>
      </w:r>
      <w:r w:rsidRPr="00C744CD">
        <w:t>On April 2, 2020, DHS announced that the rule to increase the H-2B cap was on hold due to economic circumstances, and that DHS would not release additional H-2B visas until further notice.</w:t>
      </w:r>
      <w:r w:rsidRPr="00C744CD">
        <w:rPr>
          <w:vertAlign w:val="superscript"/>
        </w:rPr>
        <w:t xml:space="preserve"> </w:t>
      </w:r>
      <w:r w:rsidRPr="00C744CD">
        <w:t>DHS also noted that the Department of State had suspended routine visa services.</w:t>
      </w:r>
      <w:r w:rsidRPr="00C744CD" w:rsidR="007B2E12">
        <w:t xml:space="preserve"> </w:t>
      </w:r>
    </w:p>
    <w:p w:rsidR="00C744CD" w:rsidRPr="00C744CD" w:rsidP="00C744CD" w14:paraId="394717D2" w14:textId="6CCBE60D">
      <w:pPr>
        <w:spacing w:before="100" w:beforeAutospacing="1" w:after="100" w:afterAutospacing="1"/>
      </w:pPr>
      <w:r w:rsidRPr="00C744CD">
        <w:t xml:space="preserve">In FY 2021, DHS in consultation with DOL determined it was appropriate to increase the H-2B cap for FY 2021 coupled with additional protections (for example, post-adjudication audits, investigations, and compliance checks), based on the demand for H-2B workers in the second half of FY 2021, continuing economic growth, the improving job market, and increased visa processing capacity by the Department of State. Accordingly, on May 25, 2021, DHS and DOL jointly published a </w:t>
      </w:r>
      <w:r w:rsidR="00503398">
        <w:t>TFR</w:t>
      </w:r>
      <w:r w:rsidRPr="00C744CD">
        <w:t xml:space="preserve"> authorizing an increase of up to 22,000 additional H-2B visas for the remainder of FY 2021.</w:t>
      </w:r>
      <w:r w:rsidRPr="00C744CD" w:rsidR="007B2E12">
        <w:t xml:space="preserve"> </w:t>
      </w:r>
      <w:r w:rsidRPr="00C744CD">
        <w:t xml:space="preserve">The supplemental visas were available only to employers that attested they were likely to suffer irreparable harm without the additional workers. The allocation of 22,000 additional H-2B visas under that rule consisted of 16,000 visas available only to H-2B returning workers from one of the last three fiscal years (FY 2018, 2019, or 2020) and 6,000 visas that were initially reserved for nationals of the Northern Central American countries of El Salvador, Guatemala, and Honduras, who were exempt from the returning worker requirement. </w:t>
      </w:r>
    </w:p>
    <w:p w:rsidR="00C744CD" w:rsidRPr="00C744CD" w:rsidP="00C744CD" w14:paraId="7769A28F" w14:textId="65456B92">
      <w:pPr>
        <w:spacing w:before="100" w:beforeAutospacing="1" w:after="100" w:afterAutospacing="1"/>
      </w:pPr>
      <w:r w:rsidRPr="00C744CD">
        <w:t xml:space="preserve">On January 28, 2022, DHS and DOL jointly published a </w:t>
      </w:r>
      <w:r w:rsidR="00503398">
        <w:t>TFR</w:t>
      </w:r>
      <w:r w:rsidRPr="00C744CD">
        <w:t xml:space="preserve"> authorizing an increase of up to 20,000 additional H-2B visas for FY 2022 positions with start dates on or before March 31, 2022.</w:t>
      </w:r>
      <w:r w:rsidRPr="00C744CD" w:rsidR="00540B1A">
        <w:t xml:space="preserve"> </w:t>
      </w:r>
      <w:r w:rsidRPr="00C744CD">
        <w:t xml:space="preserve">These supplemental visas were available only to employers that attested they were suffering or would suffer impending irreparable harm without the additional workers. The allocation of 20,000 additional H-2B visas under that rule consisted of 13,500 visas available only to H-2B returning workers from one of the last three fiscal years (FY 2019, 2020, or 2021) and 6,500 visas reserved for Salvadoran, Guatemalan, Honduran, and Haitian nationals, who were exempted from the returning worker requirement. </w:t>
      </w:r>
    </w:p>
    <w:p w:rsidR="00C744CD" w:rsidRPr="00C744CD" w:rsidP="00C744CD" w14:paraId="2A8E4EE6" w14:textId="333C9AC7">
      <w:pPr>
        <w:spacing w:before="100" w:beforeAutospacing="1" w:after="100" w:afterAutospacing="1"/>
      </w:pPr>
      <w:r w:rsidRPr="00C744CD">
        <w:t xml:space="preserve">For the second half of FY 2022, DHS in consultation with DOL determined it was appropriate to increase the H-2B cap for FY 2022 positions with start dates beginning on April 1, 2022 through </w:t>
      </w:r>
      <w:r w:rsidRPr="00C744CD">
        <w:t xml:space="preserve">September 30, 2022, based on the continued demand for H-2B workers for the remainder of FY 2022, continuing economic growth, increased labor demand, and increased visa processing capacity by the Department of State. Accordingly, on May 18, 2022, DHS and DOL jointly published a </w:t>
      </w:r>
      <w:r w:rsidR="00503398">
        <w:t>TFR</w:t>
      </w:r>
      <w:r w:rsidRPr="00C744CD">
        <w:t xml:space="preserve"> authorizing an increase of no more than 35,000 additional H-2B visas for the second half of FY 2022.</w:t>
      </w:r>
      <w:r w:rsidRPr="00C744CD">
        <w:rPr>
          <w:vertAlign w:val="superscript"/>
        </w:rPr>
        <w:t xml:space="preserve"> </w:t>
      </w:r>
      <w:r w:rsidRPr="00C744CD">
        <w:t>As in the January 2022 TFR, the supplemental visas were available only to employers that attested they were suffering or would suffer impending irreparable harm without the additional workers. The allocation of 35,000 additional H-2B visas under the rule applicable to the second half of FY 2022 consisted of 23,500 visas available only to H-2B returning workers from one of the last three fiscal years (FY 2019, 2020, or 2021) and 11,500 visas reserved for Salvadoran, Guatemalan, Honduran, and Haitian nationals, who were exempted from the returning worker requirement.</w:t>
      </w:r>
      <w:r w:rsidRPr="00C744CD" w:rsidR="008A7D03">
        <w:t xml:space="preserve"> </w:t>
      </w:r>
    </w:p>
    <w:p w:rsidR="00C744CD" w:rsidRPr="00C744CD" w:rsidP="00C744CD" w14:paraId="30758647" w14:textId="370A9CDC">
      <w:pPr>
        <w:spacing w:before="100" w:beforeAutospacing="1" w:after="100" w:afterAutospacing="1"/>
      </w:pPr>
      <w:r w:rsidRPr="00C744CD">
        <w:t xml:space="preserve">On December 15, 2022, DHS and DOL jointly published a </w:t>
      </w:r>
      <w:r w:rsidR="00503398">
        <w:t>TFR</w:t>
      </w:r>
      <w:r w:rsidRPr="00C744CD">
        <w:t xml:space="preserve"> authorizing an increase of up to 64,716 additional H-2B visas for the entirety of FY 2023.</w:t>
      </w:r>
      <w:r w:rsidRPr="00C744CD">
        <w:rPr>
          <w:vertAlign w:val="superscript"/>
        </w:rPr>
        <w:t xml:space="preserve"> </w:t>
      </w:r>
      <w:r w:rsidRPr="00C744CD">
        <w:t xml:space="preserve">As in the FY 2022 TFRs, the additional visas were available only to employers that attested they were suffering or would suffer impending irreparable harm without the additional workers. The 64,716 additional visas included 44,716 reserved for returning workers from one of the last three fiscal years (FY 2020, 2021, or 2022), which were distributed in several allocations based on date of employer need: 18,216 for employers with requested employment start dates on or before March 31, 2023; 16,500 for employers with requested employment start dates from April 1, 2023, to May 14, 2023 (early second half allocation); and 10,000 for employers with requested employment start dates from May 15, 2023, to Sept. 30, 2023 (late second half allocation). The remaining 20,000 visas were available for the entirety of FY 2023, and were set aside for nationals of El Salvador, Guatemala, Honduras, and Haiti, who were exempt from the returning worker requirement. </w:t>
      </w:r>
    </w:p>
    <w:p w:rsidR="00C744CD" w:rsidRPr="00C744CD" w:rsidP="00C744CD" w14:paraId="27AD1887" w14:textId="2D307239">
      <w:r w:rsidRPr="00C744CD">
        <w:t xml:space="preserve">On November 17, 2023, DHS and DOL jointly published a </w:t>
      </w:r>
      <w:r w:rsidR="00503398">
        <w:t>TFR</w:t>
      </w:r>
      <w:r w:rsidRPr="00C744CD">
        <w:t xml:space="preserve"> authorizing an increase of up to 64,716 additional H-2B visas for the entirety of FY 2024.</w:t>
      </w:r>
      <w:r w:rsidRPr="00C744CD">
        <w:rPr>
          <w:vertAlign w:val="superscript"/>
        </w:rPr>
        <w:t xml:space="preserve"> </w:t>
      </w:r>
      <w:r w:rsidRPr="00C744CD">
        <w:t xml:space="preserve">As in the FY 2023 TFR, the additional visas were available only to employers that attested they were suffering or would suffer impending irreparable harm without the additional workers. The 64,716 additional visas included 44,716 reserved for returning workers from one of the last three fiscal years (FY 2021, 2022, or 2023), which were distributed in several allocations based on date of employer need: 20,716 for employers with requested employment start dates on or before March 31, 2024; 19,000 for employers with requested employment start dates from April 1, 2024, to May 14, 2024 (early second half allocation); and 5,000 for employers with requested employment start dates from May 15, 2024, to September 30, 2024 (late second half allocation). The remaining 20,000 visas were available for the entirety of FY 2024, and were set aside for nationals of El Salvador, Guatemala, Honduras, Haiti, Colombia, Ecuador, and Costa Rica, who were exempt from the returning worker requirement. </w:t>
      </w:r>
    </w:p>
    <w:p w:rsidR="2598FA26" w14:paraId="770D9157" w14:textId="7CF38F5B"/>
    <w:p w:rsidR="54D78DC0" w14:paraId="4C6DD0F2" w14:textId="56C78983">
      <w:r>
        <w:t>On March 23, 2024,</w:t>
      </w:r>
      <w:r w:rsidR="00BE0318">
        <w:t xml:space="preserve"> </w:t>
      </w:r>
      <w:r>
        <w:t xml:space="preserve">the FY 2024 </w:t>
      </w:r>
      <w:r w:rsidR="77FCB287">
        <w:t xml:space="preserve">Consolidated </w:t>
      </w:r>
      <w:r w:rsidR="00DB58A0">
        <w:t>Appropriations</w:t>
      </w:r>
      <w:r w:rsidR="77FCB287">
        <w:t xml:space="preserve"> Act (CAA) was enacted into law.  The CAA</w:t>
      </w:r>
      <w:r>
        <w:t xml:space="preserve"> contains a provision, section 105 of Division G, Title I, </w:t>
      </w:r>
      <w:r w:rsidR="775E58A4">
        <w:t xml:space="preserve">which </w:t>
      </w:r>
      <w:r>
        <w:t>permit</w:t>
      </w:r>
      <w:r w:rsidR="77F558B3">
        <w:t>s</w:t>
      </w:r>
      <w:r>
        <w:t xml:space="preserve"> the Secretary of Homeland Security, under certain circumstances and after consultation with the Secretary of Labor, to increase the number of H-2B visas available to U.S. employers, notwithstanding the otherwise-established statutory numerical limitation set forth in the INA.  Specifically, section </w:t>
      </w:r>
      <w:r>
        <w:t xml:space="preserve">105 provides that “the Secretary of Homeland Security, after consultation with the Secretary of Labor, and upon determining that the needs of American businesses cannot be satisfied in [FY] 2024 with United States workers who are willing, qualified, and able to perform temporary nonagricultural labor,” may increase the total number of noncitizens who may receive an H-2B visa in FY 2024 by the highest number of H-2B nonimmigrants who participated in the H-2B returning worker program in any fiscal year in which returning workers were exempt from the H-2B numerical limitation.   </w:t>
      </w:r>
    </w:p>
    <w:p w:rsidR="700A7497" w14:paraId="368F2188" w14:textId="471F3EC5"/>
    <w:p w:rsidR="54D78DC0" w:rsidP="2598FA26" w14:paraId="40714A5E" w14:textId="016A0565">
      <w:r>
        <w:t>On September 25, 2024, Congress passed the FY 2025 Authority, Public Law 118-83.  This law extend</w:t>
      </w:r>
      <w:r w:rsidR="00420A04">
        <w:t>ed</w:t>
      </w:r>
      <w:r>
        <w:t xml:space="preserve"> </w:t>
      </w:r>
      <w:r w:rsidR="0064018A">
        <w:t>the</w:t>
      </w:r>
      <w:r>
        <w:t xml:space="preserve"> authorization under the same terms and conditions provided in section 105 of Division G, Title I of the FY 2024 </w:t>
      </w:r>
      <w:r w:rsidRPr="002F4C0A" w:rsidR="5DB25FE0">
        <w:t>CAA</w:t>
      </w:r>
      <w:r>
        <w:t xml:space="preserve"> permitting the Secretary of Homeland Security to increase the number of H-2B visas available to U.S. employers in FY 2025</w:t>
      </w:r>
      <w:r w:rsidR="009C64C0">
        <w:t>.</w:t>
      </w:r>
      <w:r>
        <w:t xml:space="preserve"> Public Law 118-83 permits the Secretary of Homeland Security, after consultation with the Secretary of Labor, to provide up to 64,716 additional H-2B visas for FY 2025, notwithstanding the otherwise</w:t>
      </w:r>
      <w:r w:rsidR="005E2593">
        <w:t xml:space="preserve"> </w:t>
      </w:r>
      <w:r>
        <w:t xml:space="preserve">established statutory numerical limitation set forth in the INA, for eligible employers whose employment needs for FY 2025 cannot be met. Under Public Law 118-83 authority, </w:t>
      </w:r>
      <w:r w:rsidR="1C563711">
        <w:t xml:space="preserve">DHS and DOL jointly </w:t>
      </w:r>
      <w:r w:rsidR="001574FF">
        <w:t xml:space="preserve">published </w:t>
      </w:r>
      <w:r w:rsidR="1C563711">
        <w:t xml:space="preserve">this </w:t>
      </w:r>
      <w:r w:rsidR="00503398">
        <w:t>TFR</w:t>
      </w:r>
      <w:r w:rsidR="1C563711">
        <w:t xml:space="preserve"> to authorize the issuance of no more than 64,716 additional visas for FY 2025 to those businesses that </w:t>
      </w:r>
      <w:r w:rsidR="00F963AC">
        <w:t xml:space="preserve">were or are </w:t>
      </w:r>
      <w:r w:rsidR="1C563711">
        <w:t xml:space="preserve">suffering irreparable harm or </w:t>
      </w:r>
      <w:r w:rsidR="00DB1575">
        <w:t xml:space="preserve">would have or </w:t>
      </w:r>
      <w:r w:rsidR="1C563711">
        <w:t>will suffer impending irreparable harm, as attested by the employer on a new attestation form.  The authority to approve H-2B petitions under this FY 2025 supplemental cap expires at the end of that fiscal year</w:t>
      </w:r>
      <w:r w:rsidR="00DB1575">
        <w:t xml:space="preserve"> (FY 2025)</w:t>
      </w:r>
      <w:r w:rsidR="1C563711">
        <w:t xml:space="preserve">.  Therefore, USCIS will not approve H-2B petitions filed in connection with this FY 2025 supplemental cap authority on or after October 1, 2025.  </w:t>
      </w:r>
    </w:p>
    <w:p w:rsidR="00C12CF8" w:rsidP="00A86669" w14:paraId="72A46DC5" w14:textId="77777777">
      <w:pPr>
        <w:autoSpaceDE w:val="0"/>
        <w:autoSpaceDN w:val="0"/>
        <w:adjustRightInd w:val="0"/>
      </w:pPr>
    </w:p>
    <w:p w:rsidR="00A86669" w:rsidRPr="00A86669" w:rsidP="00A86669" w14:paraId="056A0B4D" w14:textId="12F81198">
      <w:pPr>
        <w:autoSpaceDE w:val="0"/>
        <w:autoSpaceDN w:val="0"/>
        <w:adjustRightInd w:val="0"/>
      </w:pPr>
      <w:r w:rsidRPr="00A86669">
        <w:t xml:space="preserve">As with the previous </w:t>
      </w:r>
      <w:r w:rsidR="000F7133">
        <w:t xml:space="preserve">H-2B </w:t>
      </w:r>
      <w:r w:rsidRPr="00A86669">
        <w:t xml:space="preserve">supplemental </w:t>
      </w:r>
      <w:r w:rsidR="00FD20C3">
        <w:t xml:space="preserve">cap </w:t>
      </w:r>
      <w:r w:rsidRPr="00A86669">
        <w:t>rules, the Secretary</w:t>
      </w:r>
      <w:r w:rsidR="00691974">
        <w:t xml:space="preserve"> of Homeland Security</w:t>
      </w:r>
      <w:r w:rsidRPr="00A86669">
        <w:t xml:space="preserve"> determined that the additional visas will only be available for returning workers, that is workers who were issued H-2B visas or otherwise granted H-2B status in FY </w:t>
      </w:r>
      <w:r w:rsidRPr="00A86669" w:rsidR="004B41E7">
        <w:t>20</w:t>
      </w:r>
      <w:r w:rsidR="004B41E7">
        <w:t>22</w:t>
      </w:r>
      <w:r w:rsidRPr="00A86669">
        <w:t xml:space="preserve">, </w:t>
      </w:r>
      <w:r w:rsidRPr="00A86669" w:rsidR="004B41E7">
        <w:t>20</w:t>
      </w:r>
      <w:r w:rsidR="004B41E7">
        <w:t>23</w:t>
      </w:r>
      <w:r w:rsidRPr="00A86669">
        <w:t xml:space="preserve">, or </w:t>
      </w:r>
      <w:r w:rsidRPr="00A86669" w:rsidR="004B41E7">
        <w:t>20</w:t>
      </w:r>
      <w:r w:rsidR="004B41E7">
        <w:t>24</w:t>
      </w:r>
      <w:r w:rsidRPr="00A86669">
        <w:t xml:space="preserve">, </w:t>
      </w:r>
      <w:r w:rsidR="00DB2379">
        <w:t>with the exception that</w:t>
      </w:r>
      <w:r w:rsidRPr="00A86669">
        <w:t xml:space="preserve"> </w:t>
      </w:r>
      <w:r w:rsidR="00813D71">
        <w:t xml:space="preserve">up </w:t>
      </w:r>
      <w:r w:rsidRPr="00FC3210" w:rsidR="00813D71">
        <w:t xml:space="preserve">to </w:t>
      </w:r>
      <w:r w:rsidR="008440A6">
        <w:t>20,000</w:t>
      </w:r>
      <w:r w:rsidRPr="00FC3210">
        <w:t xml:space="preserve"> </w:t>
      </w:r>
      <w:r w:rsidRPr="00FC3210" w:rsidR="00DB2379">
        <w:t>visas</w:t>
      </w:r>
      <w:r w:rsidR="00DB2379">
        <w:t xml:space="preserve"> will be exempt from the returning worker requirement and will be reserved for </w:t>
      </w:r>
      <w:r w:rsidRPr="00A86669">
        <w:t xml:space="preserve">nationals of </w:t>
      </w:r>
      <w:r w:rsidR="00433F3C">
        <w:t xml:space="preserve">El Salvador, </w:t>
      </w:r>
      <w:r w:rsidRPr="008F7D17" w:rsidR="00433F3C">
        <w:t xml:space="preserve">Guatemala, </w:t>
      </w:r>
      <w:r w:rsidR="00D67DE8">
        <w:t>and</w:t>
      </w:r>
      <w:r w:rsidRPr="008F7D17" w:rsidR="008F7D17">
        <w:t xml:space="preserve"> </w:t>
      </w:r>
      <w:r w:rsidRPr="008F7D17" w:rsidR="00433F3C">
        <w:t>Honduras</w:t>
      </w:r>
      <w:r w:rsidRPr="008F7D17">
        <w:t xml:space="preserve"> </w:t>
      </w:r>
      <w:r w:rsidRPr="008F7D17" w:rsidR="00433F3C">
        <w:t>(</w:t>
      </w:r>
      <w:r w:rsidRPr="008F7D17">
        <w:t>Northern Triangle countries</w:t>
      </w:r>
      <w:r w:rsidRPr="008F7D17" w:rsidR="00433F3C">
        <w:t>)</w:t>
      </w:r>
      <w:r w:rsidR="00DB2379">
        <w:t xml:space="preserve">, </w:t>
      </w:r>
      <w:r w:rsidR="007C7618">
        <w:t xml:space="preserve">and Haiti, </w:t>
      </w:r>
      <w:r w:rsidR="00DB2379">
        <w:t xml:space="preserve">as well as for nationals of </w:t>
      </w:r>
      <w:r w:rsidRPr="007C7618" w:rsidR="007C7618">
        <w:t>Ecuador, Colombia, and Costa Rica</w:t>
      </w:r>
      <w:r w:rsidRPr="008F7D17">
        <w:t xml:space="preserve">.  </w:t>
      </w:r>
    </w:p>
    <w:p w:rsidR="007020C1" w:rsidP="0036017E" w14:paraId="50404165" w14:textId="77777777">
      <w:pPr>
        <w:autoSpaceDE w:val="0"/>
        <w:autoSpaceDN w:val="0"/>
        <w:adjustRightInd w:val="0"/>
      </w:pPr>
    </w:p>
    <w:p w:rsidR="007020C1" w:rsidP="0036017E" w14:paraId="4C1990EA" w14:textId="38FD731F">
      <w:pPr>
        <w:autoSpaceDE w:val="0"/>
        <w:autoSpaceDN w:val="0"/>
        <w:adjustRightInd w:val="0"/>
      </w:pPr>
      <w:r>
        <w:t xml:space="preserve">The </w:t>
      </w:r>
      <w:r w:rsidR="00813D71">
        <w:t>TFR</w:t>
      </w:r>
      <w:r w:rsidR="1D2C925F">
        <w:t xml:space="preserve"> </w:t>
      </w:r>
      <w:r w:rsidR="629714E9">
        <w:t>sought</w:t>
      </w:r>
      <w:r w:rsidR="003568D8">
        <w:t xml:space="preserve"> </w:t>
      </w:r>
      <w:r w:rsidR="1D2C925F">
        <w:t xml:space="preserve">to </w:t>
      </w:r>
      <w:r w:rsidR="00813D71">
        <w:t xml:space="preserve">mitigate or </w:t>
      </w:r>
      <w:r w:rsidR="1D2C925F">
        <w:t>prevent</w:t>
      </w:r>
      <w:r w:rsidR="007E3522">
        <w:t xml:space="preserve"> </w:t>
      </w:r>
      <w:r w:rsidR="000E01FC">
        <w:t xml:space="preserve">irreparable harm to </w:t>
      </w:r>
      <w:r w:rsidR="1D2C925F">
        <w:t xml:space="preserve">certain U.S. </w:t>
      </w:r>
      <w:r w:rsidR="000F7133">
        <w:t xml:space="preserve">employers </w:t>
      </w:r>
      <w:r w:rsidR="1D2C925F">
        <w:t xml:space="preserve">by allowing them to hire additional H-2B workers within FY </w:t>
      </w:r>
      <w:r w:rsidR="007C7618">
        <w:t>202</w:t>
      </w:r>
      <w:r w:rsidR="004B41E7">
        <w:t>5</w:t>
      </w:r>
      <w:r w:rsidR="1D2C925F">
        <w:t>.  This increase in the</w:t>
      </w:r>
      <w:r w:rsidR="00B0026D">
        <w:t xml:space="preserve"> </w:t>
      </w:r>
      <w:r w:rsidR="1D2C925F">
        <w:t xml:space="preserve">FY </w:t>
      </w:r>
      <w:r w:rsidR="004B41E7">
        <w:t xml:space="preserve">2025 </w:t>
      </w:r>
      <w:r w:rsidR="1D2C925F">
        <w:t xml:space="preserve">H-2B </w:t>
      </w:r>
      <w:r w:rsidR="00FD20C3">
        <w:t xml:space="preserve">visa </w:t>
      </w:r>
      <w:r w:rsidR="1D2C925F">
        <w:t xml:space="preserve">cap is based on a time-limited statutory authority and does not affect the H-2B program in future fiscal years. </w:t>
      </w:r>
      <w:r>
        <w:t xml:space="preserve"> </w:t>
      </w:r>
      <w:r w:rsidR="1D2C925F">
        <w:t xml:space="preserve">The exigency created by the </w:t>
      </w:r>
      <w:r w:rsidR="004C021E">
        <w:t>FY</w:t>
      </w:r>
      <w:r w:rsidR="007010B4">
        <w:t xml:space="preserve"> </w:t>
      </w:r>
      <w:r w:rsidR="00015F0A">
        <w:t>202</w:t>
      </w:r>
      <w:r w:rsidR="00CE7565">
        <w:t>4</w:t>
      </w:r>
      <w:r w:rsidR="00D1361D">
        <w:t xml:space="preserve"> </w:t>
      </w:r>
      <w:r w:rsidR="007E40DA">
        <w:t>Omnibus</w:t>
      </w:r>
      <w:r w:rsidR="00CC48B0">
        <w:t xml:space="preserve"> and Public Law </w:t>
      </w:r>
      <w:r w:rsidR="000535C1">
        <w:t>118</w:t>
      </w:r>
      <w:r w:rsidR="00245EA1">
        <w:t>-</w:t>
      </w:r>
      <w:r w:rsidR="00CE7565">
        <w:t>83</w:t>
      </w:r>
      <w:r w:rsidR="000535C1">
        <w:t xml:space="preserve"> </w:t>
      </w:r>
      <w:r w:rsidR="1D2C925F">
        <w:t xml:space="preserve">to meet the high demand by </w:t>
      </w:r>
      <w:r w:rsidR="00235B07">
        <w:t>U.S. employers</w:t>
      </w:r>
      <w:r w:rsidR="1D2C925F">
        <w:t xml:space="preserve"> for H-2B workers, to </w:t>
      </w:r>
      <w:r w:rsidR="002B13C7">
        <w:t xml:space="preserve">mitigate or </w:t>
      </w:r>
      <w:r w:rsidR="1D2C925F">
        <w:t>avoid</w:t>
      </w:r>
      <w:r w:rsidR="00813D71">
        <w:t xml:space="preserve"> irreparable harm to their businesses</w:t>
      </w:r>
      <w:r w:rsidR="1D2C925F">
        <w:t xml:space="preserve">, requires initial clearance using </w:t>
      </w:r>
      <w:r w:rsidR="000F7133">
        <w:t>emergency procedures</w:t>
      </w:r>
      <w:r w:rsidR="1D2C925F">
        <w:t xml:space="preserve">.  </w:t>
      </w:r>
      <w:r w:rsidR="00EF581E">
        <w:t>The regulations at 8 CFR 214.2(h)(6)(</w:t>
      </w:r>
      <w:r w:rsidR="004A5CB9">
        <w:t>xv</w:t>
      </w:r>
      <w:r w:rsidR="00EF581E">
        <w:t>)</w:t>
      </w:r>
      <w:r w:rsidR="002B13C7">
        <w:t>(C)</w:t>
      </w:r>
      <w:r w:rsidR="00EF581E">
        <w:t xml:space="preserve"> provide</w:t>
      </w:r>
      <w:r w:rsidR="002B13C7">
        <w:t xml:space="preserve"> that U.S. Citizenship and Immigration Services (</w:t>
      </w:r>
      <w:r w:rsidR="00EF581E">
        <w:t>USCIS</w:t>
      </w:r>
      <w:r w:rsidR="002B13C7">
        <w:t>)</w:t>
      </w:r>
      <w:r w:rsidR="00EF581E">
        <w:t xml:space="preserve"> will reject petitions filed pursuant to</w:t>
      </w:r>
      <w:r w:rsidR="002B13C7">
        <w:t xml:space="preserve"> the TFR</w:t>
      </w:r>
      <w:r w:rsidR="00EF581E">
        <w:t xml:space="preserve"> that are received after the numerical limitation has been reached or after </w:t>
      </w:r>
      <w:r w:rsidR="00CE7565">
        <w:t>October 1, 2025</w:t>
      </w:r>
      <w:r w:rsidR="00EF581E">
        <w:t xml:space="preserve">, whichever is sooner.  </w:t>
      </w:r>
    </w:p>
    <w:p w:rsidR="00682F58" w:rsidP="00E139DA" w14:paraId="0BD936F4" w14:textId="77777777">
      <w:pPr>
        <w:autoSpaceDE w:val="0"/>
        <w:autoSpaceDN w:val="0"/>
        <w:adjustRightInd w:val="0"/>
      </w:pPr>
    </w:p>
    <w:p w:rsidR="003134D8" w:rsidRPr="00D56365" w:rsidP="00E139DA" w14:paraId="271DEF3B" w14:textId="1D2F2484">
      <w:pPr>
        <w:autoSpaceDE w:val="0"/>
        <w:autoSpaceDN w:val="0"/>
        <w:adjustRightInd w:val="0"/>
        <w:rPr>
          <w:rFonts w:eastAsia="Calibri"/>
        </w:rPr>
      </w:pPr>
      <w:r w:rsidRPr="007E3522">
        <w:t xml:space="preserve">An employer </w:t>
      </w:r>
      <w:r>
        <w:t xml:space="preserve">seeking authorization to employ H-2B workers under this time-limited authority </w:t>
      </w:r>
      <w:r w:rsidR="00EF581E">
        <w:t>that submits</w:t>
      </w:r>
      <w:r w:rsidRPr="007E3522">
        <w:t xml:space="preserve"> the Form ETA-9142B-CAA-</w:t>
      </w:r>
      <w:r w:rsidR="004B41E7">
        <w:t xml:space="preserve">9 </w:t>
      </w:r>
      <w:r w:rsidRPr="007E3522" w:rsidR="00A94152">
        <w:t xml:space="preserve">and </w:t>
      </w:r>
      <w:r w:rsidRPr="007E3522">
        <w:t xml:space="preserve">the </w:t>
      </w:r>
      <w:r w:rsidR="00A937BE">
        <w:t xml:space="preserve">Form </w:t>
      </w:r>
      <w:r w:rsidRPr="007E3522">
        <w:t xml:space="preserve">I-129 petition </w:t>
      </w:r>
      <w:r w:rsidR="00EF581E">
        <w:t xml:space="preserve">to USCIS </w:t>
      </w:r>
      <w:r w:rsidR="00CC5918">
        <w:t>30</w:t>
      </w:r>
      <w:r w:rsidRPr="00FC3210" w:rsidR="00CC5918">
        <w:t xml:space="preserve"> </w:t>
      </w:r>
      <w:r w:rsidRPr="00FC3210">
        <w:t>or more day</w:t>
      </w:r>
      <w:r w:rsidR="00A77F5F">
        <w:t xml:space="preserve"> </w:t>
      </w:r>
      <w:r w:rsidRPr="00FC3210">
        <w:t xml:space="preserve">after the certified start date of work, as shown on </w:t>
      </w:r>
      <w:r w:rsidRPr="00FC3210" w:rsidR="00FD20C3">
        <w:t>the employer’s</w:t>
      </w:r>
      <w:r w:rsidRPr="00FC3210">
        <w:t xml:space="preserve"> approved </w:t>
      </w:r>
      <w:r w:rsidRPr="00FC3210">
        <w:rPr>
          <w:i/>
        </w:rPr>
        <w:t xml:space="preserve">Application for </w:t>
      </w:r>
      <w:r w:rsidRPr="00FC3210">
        <w:rPr>
          <w:i/>
        </w:rPr>
        <w:t>Temporary Employment</w:t>
      </w:r>
      <w:r w:rsidRPr="00FC3210" w:rsidR="002B13C7">
        <w:rPr>
          <w:i/>
        </w:rPr>
        <w:t xml:space="preserve"> Certification</w:t>
      </w:r>
      <w:r w:rsidRPr="007E3522">
        <w:t xml:space="preserve">, </w:t>
      </w:r>
      <w:r w:rsidR="00EF581E">
        <w:t>is</w:t>
      </w:r>
      <w:r w:rsidR="1D2C925F">
        <w:t xml:space="preserve"> required to </w:t>
      </w:r>
      <w:r w:rsidR="005D4AC5">
        <w:t>conduct additional recruitment</w:t>
      </w:r>
      <w:r w:rsidRPr="003568D8" w:rsidR="003568D8">
        <w:t xml:space="preserve"> to confirm that there are no qualified U.S. workers available for the positions</w:t>
      </w:r>
      <w:r w:rsidR="003568D8">
        <w:t>.</w:t>
      </w:r>
      <w:r w:rsidR="1D2C925F">
        <w:t xml:space="preserve">  </w:t>
      </w:r>
    </w:p>
    <w:p w:rsidR="00E74803" w:rsidP="00E139DA" w14:paraId="426F73F0" w14:textId="77777777">
      <w:pPr>
        <w:autoSpaceDE w:val="0"/>
        <w:autoSpaceDN w:val="0"/>
        <w:adjustRightInd w:val="0"/>
      </w:pPr>
    </w:p>
    <w:p w:rsidR="00EF581E" w:rsidP="1D2C925F" w14:paraId="4F3BF7CA" w14:textId="42F3E38B">
      <w:r>
        <w:rPr>
          <w:lang w:val="en"/>
        </w:rPr>
        <w:t>Employers are also required to</w:t>
      </w:r>
      <w:r w:rsidR="1D2C925F">
        <w:t xml:space="preserve"> maintain the records associated with the filing of Form ETA-9142-B-CAA-</w:t>
      </w:r>
      <w:r w:rsidR="004B41E7">
        <w:t>9</w:t>
      </w:r>
      <w:r w:rsidR="00EE25AB">
        <w:t xml:space="preserve">, </w:t>
      </w:r>
      <w:r w:rsidR="00460B04">
        <w:t>including</w:t>
      </w:r>
      <w:r w:rsidR="00EE25AB">
        <w:t xml:space="preserve"> those related to the additional recruitment efforts</w:t>
      </w:r>
      <w:r w:rsidR="00B63F5E">
        <w:t xml:space="preserve"> and </w:t>
      </w:r>
      <w:r w:rsidRPr="005E468A" w:rsidR="005E468A">
        <w:t>detailed written statement</w:t>
      </w:r>
      <w:r w:rsidR="004866B2">
        <w:t xml:space="preserve"> explaining how they meet the irreparable harm standard</w:t>
      </w:r>
      <w:r w:rsidR="00EE25AB">
        <w:t>,</w:t>
      </w:r>
      <w:r w:rsidR="1D2C925F">
        <w:t xml:space="preserve"> for three years from the date DOL certified the </w:t>
      </w:r>
      <w:r w:rsidRPr="00766241" w:rsidR="002B13C7">
        <w:rPr>
          <w:i/>
        </w:rPr>
        <w:t>Application for Temporary Employment Certification</w:t>
      </w:r>
      <w:r w:rsidR="1D2C925F">
        <w:t xml:space="preserve">.  </w:t>
      </w:r>
    </w:p>
    <w:p w:rsidR="00EF581E" w:rsidP="1D2C925F" w14:paraId="03A433D1" w14:textId="77777777"/>
    <w:p w:rsidR="0033424B" w:rsidP="1D2C925F" w14:paraId="48BF9F4B" w14:textId="4938B1CF">
      <w:r w:rsidRPr="006571EA">
        <w:t>Lastly, DOL sought public comments in connection with Form ETA 9142-B-CAA-</w:t>
      </w:r>
      <w:r>
        <w:t>9</w:t>
      </w:r>
      <w:r w:rsidRPr="006571EA">
        <w:t xml:space="preserve"> and associated requirements to revise and extend the information collection, as appropriate, using notice and comment processes under the Paperwork Reduction Act (PRA), via a 60-day notice that was included in the TFR.</w:t>
      </w:r>
      <w:r w:rsidR="1D2C925F">
        <w:t xml:space="preserve">  </w:t>
      </w:r>
    </w:p>
    <w:p w:rsidR="00EA78D2" w:rsidRPr="007215E9" w:rsidP="1D2C925F" w14:paraId="7A4EE9AB" w14:textId="77777777"/>
    <w:p w:rsidR="00EA78D2" w:rsidRPr="007215E9" w:rsidP="0052176B" w14:paraId="406734C4" w14:textId="77777777">
      <w:pPr>
        <w:tabs>
          <w:tab w:val="right" w:pos="360"/>
        </w:tabs>
        <w:autoSpaceDE w:val="0"/>
        <w:autoSpaceDN w:val="0"/>
        <w:adjustRightInd w:val="0"/>
        <w:ind w:left="540" w:hanging="540"/>
        <w:rPr>
          <w:i/>
        </w:rPr>
      </w:pPr>
      <w:r w:rsidRPr="007215E9">
        <w:rPr>
          <w:i/>
        </w:rPr>
        <w:tab/>
        <w:t>1.</w:t>
      </w:r>
      <w:r w:rsidRPr="007215E9">
        <w:rPr>
          <w:i/>
        </w:rPr>
        <w:tab/>
        <w:t>Explain the circumstances that make the collection of information necessary</w:t>
      </w:r>
      <w:r w:rsidRPr="007215E9" w:rsidR="00F25EFF">
        <w:rPr>
          <w:i/>
        </w:rPr>
        <w:t xml:space="preserve">.  </w:t>
      </w:r>
      <w:r w:rsidRPr="007215E9">
        <w:rPr>
          <w:i/>
        </w:rPr>
        <w:t xml:space="preserve">Identify any legal or administrative requirements that necessitate the collection. </w:t>
      </w:r>
      <w:r w:rsidRPr="007215E9" w:rsidR="001C050B">
        <w:rPr>
          <w:i/>
        </w:rPr>
        <w:t xml:space="preserve"> </w:t>
      </w:r>
      <w:r w:rsidRPr="007215E9">
        <w:rPr>
          <w:i/>
        </w:rPr>
        <w:t>Attach a copy of the appropriate section of each statute and regulation mandating or authorizing the collection of information.</w:t>
      </w:r>
    </w:p>
    <w:p w:rsidR="00EA78D2" w:rsidRPr="007215E9" w:rsidP="00EA78D2" w14:paraId="52600F8E" w14:textId="77777777">
      <w:pPr>
        <w:autoSpaceDE w:val="0"/>
        <w:autoSpaceDN w:val="0"/>
        <w:adjustRightInd w:val="0"/>
      </w:pPr>
    </w:p>
    <w:p w:rsidR="00D21F2A" w:rsidRPr="00D21F2A" w:rsidP="00D21F2A" w14:paraId="4A4197F2" w14:textId="646DAB9F">
      <w:pPr>
        <w:widowControl w:val="0"/>
        <w:autoSpaceDE w:val="0"/>
        <w:autoSpaceDN w:val="0"/>
        <w:adjustRightInd w:val="0"/>
      </w:pPr>
      <w:r>
        <w:t xml:space="preserve">This </w:t>
      </w:r>
      <w:r w:rsidR="1D2C925F">
        <w:t>information collection is required by regulations exercising author</w:t>
      </w:r>
      <w:r>
        <w:t>ity delegated to the Secretary</w:t>
      </w:r>
      <w:r w:rsidR="1D2C925F">
        <w:t xml:space="preserve"> of Homeland Security and </w:t>
      </w:r>
      <w:r>
        <w:t xml:space="preserve">the Secretary of </w:t>
      </w:r>
      <w:r w:rsidR="1D2C925F">
        <w:t xml:space="preserve">Labor under the </w:t>
      </w:r>
      <w:r w:rsidRPr="00136570" w:rsidR="1D2C925F">
        <w:t>FY</w:t>
      </w:r>
      <w:r w:rsidRPr="00136570" w:rsidR="007010B4">
        <w:t xml:space="preserve"> </w:t>
      </w:r>
      <w:r w:rsidRPr="00136570" w:rsidR="00622EB2">
        <w:t>202</w:t>
      </w:r>
      <w:r w:rsidRPr="00667C16" w:rsidR="00136570">
        <w:t>4</w:t>
      </w:r>
      <w:r w:rsidRPr="00136570" w:rsidR="00622EB2">
        <w:t xml:space="preserve"> </w:t>
      </w:r>
      <w:r w:rsidRPr="00136570" w:rsidR="007010B4">
        <w:t>Omnibus</w:t>
      </w:r>
      <w:r w:rsidRPr="00136570" w:rsidR="00622EB2">
        <w:t xml:space="preserve"> and Public Law 118-</w:t>
      </w:r>
      <w:r w:rsidRPr="00667C16" w:rsidR="00136570">
        <w:t>83</w:t>
      </w:r>
      <w:r w:rsidRPr="00136570" w:rsidR="1D2C925F">
        <w:t xml:space="preserve">.  The H-2B program generally is governed by a range of statutory authorities, including sections 101(a)(15)(H)(ii)(b) and 214(c) of the Immigration and Nationality Act (INA) (8 U.S.C. 1011(a)(15)(H)(ii)(b) and 1184(c)), as well as regulatory authorities appearing at 8 CFR parts 103 and 214, 20 CFR part 655, and 29 CFR part 503.  In general, before an employer may petition for temporary nonagricultural foreign workers, it must </w:t>
      </w:r>
      <w:r w:rsidRPr="00136570" w:rsidR="1D2C925F">
        <w:t>submit a</w:t>
      </w:r>
      <w:r w:rsidRPr="00136570" w:rsidR="002B13C7">
        <w:t>n</w:t>
      </w:r>
      <w:r w:rsidRPr="00136570" w:rsidR="1D2C925F">
        <w:t xml:space="preserve"> </w:t>
      </w:r>
      <w:r w:rsidRPr="00136570" w:rsidR="002B13C7">
        <w:rPr>
          <w:i/>
        </w:rPr>
        <w:t>Application</w:t>
      </w:r>
      <w:r w:rsidRPr="00136570" w:rsidR="002B13C7">
        <w:rPr>
          <w:i/>
        </w:rPr>
        <w:t xml:space="preserve"> for Temporary Employment Certification</w:t>
      </w:r>
      <w:r w:rsidRPr="00136570" w:rsidR="1D2C925F">
        <w:t xml:space="preserve"> to the Secretary of Labor</w:t>
      </w:r>
      <w:r w:rsidR="1D2C925F">
        <w:t xml:space="preserve"> </w:t>
      </w:r>
      <w:r w:rsidR="002B13C7">
        <w:t>satisfying</w:t>
      </w:r>
      <w:r w:rsidR="1D2C925F">
        <w:t xml:space="preserve"> the elements prescribed by the INA and implementing regulations. </w:t>
      </w:r>
    </w:p>
    <w:p w:rsidR="003B384D" w:rsidP="00D21F2A" w14:paraId="516F0531" w14:textId="77777777">
      <w:pPr>
        <w:widowControl w:val="0"/>
        <w:autoSpaceDE w:val="0"/>
        <w:autoSpaceDN w:val="0"/>
        <w:adjustRightInd w:val="0"/>
      </w:pPr>
    </w:p>
    <w:p w:rsidR="00EF581E" w:rsidP="00D21F2A" w14:paraId="4EEC4E04" w14:textId="10D9373C">
      <w:pPr>
        <w:widowControl w:val="0"/>
        <w:autoSpaceDE w:val="0"/>
        <w:autoSpaceDN w:val="0"/>
        <w:adjustRightInd w:val="0"/>
      </w:pPr>
      <w:r w:rsidRPr="00C10ABA">
        <w:t xml:space="preserve">The regulations at 8 CFR part 214 and 20 CFR part 655 require a form for employers to submit to USCIS.  </w:t>
      </w:r>
      <w:r w:rsidR="007A75EF">
        <w:t>Under 8 CFR 214.2(h)(6</w:t>
      </w:r>
      <w:r w:rsidRPr="000A6C8D" w:rsidR="007A75EF">
        <w:t>)(</w:t>
      </w:r>
      <w:r w:rsidRPr="000A6C8D" w:rsidR="006A47E2">
        <w:t>xv</w:t>
      </w:r>
      <w:r w:rsidRPr="000A6C8D" w:rsidR="007A75EF">
        <w:t>)(B)(</w:t>
      </w:r>
      <w:r w:rsidRPr="000A6C8D" w:rsidR="007A75EF">
        <w:rPr>
          <w:i/>
        </w:rPr>
        <w:t>2</w:t>
      </w:r>
      <w:r w:rsidRPr="000A6C8D" w:rsidR="007A75EF">
        <w:t>), t</w:t>
      </w:r>
      <w:r w:rsidRPr="000A6C8D">
        <w:t>he</w:t>
      </w:r>
      <w:r w:rsidRPr="00C10ABA">
        <w:t xml:space="preserve"> employer is required to file the Form ETA-9142B-CAA-</w:t>
      </w:r>
      <w:r w:rsidR="004B41E7">
        <w:t>9</w:t>
      </w:r>
      <w:r w:rsidRPr="00C10ABA" w:rsidR="004B41E7">
        <w:t xml:space="preserve"> </w:t>
      </w:r>
      <w:r w:rsidRPr="00C10ABA">
        <w:t>with USCIS as part of its Form I-129 petition</w:t>
      </w:r>
      <w:r>
        <w:t xml:space="preserve">.  </w:t>
      </w:r>
      <w:r w:rsidR="007A75EF">
        <w:t>T</w:t>
      </w:r>
      <w:r>
        <w:t>hrough the</w:t>
      </w:r>
      <w:r w:rsidR="1D2C925F">
        <w:t xml:space="preserve"> Form ETA-9142-B-CAA-</w:t>
      </w:r>
      <w:r w:rsidR="004B41E7">
        <w:t>9</w:t>
      </w:r>
      <w:r w:rsidR="1D2C925F">
        <w:t xml:space="preserve">, </w:t>
      </w:r>
      <w:r w:rsidR="007A75EF">
        <w:t xml:space="preserve">the Departments collect information necessary to ensure that employers seeking to hire </w:t>
      </w:r>
      <w:r w:rsidR="00924EE6">
        <w:t>H-2B workers under the supplemental cap</w:t>
      </w:r>
      <w:r w:rsidR="007A75EF">
        <w:t xml:space="preserve"> meet all requirements</w:t>
      </w:r>
      <w:r w:rsidR="00520F11">
        <w:t xml:space="preserve"> to hire H-2B wo</w:t>
      </w:r>
      <w:r w:rsidR="00924EE6">
        <w:t>rkers provided in the TFR</w:t>
      </w:r>
      <w:r w:rsidR="007A75EF">
        <w:t>.</w:t>
      </w:r>
      <w:r w:rsidR="1D2C925F">
        <w:t xml:space="preserve">  </w:t>
      </w:r>
      <w:r w:rsidR="00783AE3">
        <w:t xml:space="preserve">Specifically, through this form, employers must attest that they meet the irreparable harm standard, and that they seek to hire either returning workers or workers from the Northern Triangle countries </w:t>
      </w:r>
      <w:r w:rsidR="39B95BB3">
        <w:t>of El Salvador, Guatemala, and Honduras</w:t>
      </w:r>
      <w:r w:rsidR="00783AE3">
        <w:t xml:space="preserve"> or Haiti, </w:t>
      </w:r>
      <w:r w:rsidR="00400495">
        <w:t>Ecuador, Colombia</w:t>
      </w:r>
      <w:r w:rsidR="008C1F3B">
        <w:t>, or</w:t>
      </w:r>
      <w:r w:rsidR="00400495">
        <w:t xml:space="preserve"> Costa Rica, </w:t>
      </w:r>
      <w:r w:rsidR="00783AE3">
        <w:t xml:space="preserve">as well as other program requirements.  </w:t>
      </w:r>
      <w:r w:rsidR="007A75EF">
        <w:t>Employers that submit the form and</w:t>
      </w:r>
      <w:r w:rsidR="00F91901">
        <w:t xml:space="preserve"> the Form</w:t>
      </w:r>
      <w:r w:rsidR="007A75EF">
        <w:t xml:space="preserve"> I-129 petition to USCIS </w:t>
      </w:r>
      <w:r w:rsidR="007010B4">
        <w:t xml:space="preserve">30 </w:t>
      </w:r>
      <w:r w:rsidR="007A75EF">
        <w:t>or more days after the start date of</w:t>
      </w:r>
      <w:r w:rsidR="00924EE6">
        <w:t xml:space="preserve"> work must also </w:t>
      </w:r>
      <w:r w:rsidR="007A75EF">
        <w:t>attest</w:t>
      </w:r>
      <w:r w:rsidR="00924EE6">
        <w:t>, through this form,</w:t>
      </w:r>
      <w:r w:rsidR="007A75EF">
        <w:t xml:space="preserve"> that they will complete a new as</w:t>
      </w:r>
      <w:r w:rsidR="00520F11">
        <w:t>sessment of the labor market by</w:t>
      </w:r>
      <w:r w:rsidR="007A75EF">
        <w:t xml:space="preserve"> taking certain enumerated recruitment steps.</w:t>
      </w:r>
      <w:r w:rsidR="004B76E4">
        <w:t xml:space="preserve"> </w:t>
      </w:r>
    </w:p>
    <w:p w:rsidR="00EF581E" w:rsidP="00D21F2A" w14:paraId="2758F3B9" w14:textId="77777777">
      <w:pPr>
        <w:widowControl w:val="0"/>
        <w:autoSpaceDE w:val="0"/>
        <w:autoSpaceDN w:val="0"/>
        <w:adjustRightInd w:val="0"/>
      </w:pPr>
    </w:p>
    <w:p w:rsidR="00F94C9C" w:rsidRPr="00F94C9C" w:rsidP="00667C16" w14:paraId="217FBCBC" w14:textId="5A615EAB">
      <w:pPr>
        <w:widowControl w:val="0"/>
        <w:autoSpaceDE w:val="0"/>
        <w:autoSpaceDN w:val="0"/>
        <w:adjustRightInd w:val="0"/>
      </w:pPr>
      <w:r>
        <w:t xml:space="preserve">Finally, the employer is required to retain documents and records </w:t>
      </w:r>
      <w:r w:rsidR="004B76E4">
        <w:t>demonstrating</w:t>
      </w:r>
      <w:r>
        <w:t xml:space="preserve"> compliance with the </w:t>
      </w:r>
      <w:r w:rsidR="00783AE3">
        <w:t>TFR</w:t>
      </w:r>
      <w:r w:rsidR="00DF31D4">
        <w:t xml:space="preserve">, including a </w:t>
      </w:r>
      <w:r w:rsidRPr="6444CBB5" w:rsidR="00DF31D4">
        <w:t>detailed written statement</w:t>
      </w:r>
      <w:r w:rsidR="00DF31D4">
        <w:t xml:space="preserve"> explaining how it meets the irreparable harm standard,</w:t>
      </w:r>
      <w:r>
        <w:t xml:space="preserve"> and must provide the documents and records to DHS </w:t>
      </w:r>
      <w:r w:rsidR="004B76E4">
        <w:t>or</w:t>
      </w:r>
      <w:r>
        <w:t xml:space="preserve"> DOL upon request</w:t>
      </w:r>
      <w:r w:rsidR="004B76E4">
        <w:t>.</w:t>
      </w:r>
      <w:r>
        <w:t xml:space="preserve"> </w:t>
      </w:r>
      <w:r w:rsidR="004B76E4">
        <w:t xml:space="preserve"> </w:t>
      </w:r>
      <w:r>
        <w:t xml:space="preserve">The </w:t>
      </w:r>
      <w:r>
        <w:t>retention of Form ETA-9142-B-CAA-</w:t>
      </w:r>
      <w:r w:rsidR="004B41E7">
        <w:t xml:space="preserve">9 </w:t>
      </w:r>
      <w:r>
        <w:t xml:space="preserve">and supporting documentation is required by regulations at 20 CFR </w:t>
      </w:r>
      <w:r w:rsidR="00783AE3">
        <w:t>p</w:t>
      </w:r>
      <w:r>
        <w:t xml:space="preserve">art </w:t>
      </w:r>
      <w:r w:rsidRPr="00196645">
        <w:t>655</w:t>
      </w:r>
      <w:r w:rsidRPr="00196645" w:rsidR="0058539B">
        <w:t>.</w:t>
      </w:r>
      <w:r w:rsidRPr="00196645" w:rsidR="00D97108">
        <w:t>6</w:t>
      </w:r>
      <w:r w:rsidRPr="00667C16" w:rsidR="00C22876">
        <w:t>8</w:t>
      </w:r>
      <w:r>
        <w:t xml:space="preserve">.  </w:t>
      </w:r>
      <w:r w:rsidR="00520F11">
        <w:t>The Departments intend to conduct</w:t>
      </w:r>
      <w:r w:rsidR="006A5982">
        <w:t xml:space="preserve"> a minimum</w:t>
      </w:r>
      <w:r w:rsidR="002055E0">
        <w:t xml:space="preserve"> of</w:t>
      </w:r>
      <w:r w:rsidR="00520F11">
        <w:t xml:space="preserve"> </w:t>
      </w:r>
      <w:r w:rsidR="00B97E8A">
        <w:t>250</w:t>
      </w:r>
      <w:r w:rsidR="006A5982">
        <w:t xml:space="preserve"> </w:t>
      </w:r>
      <w:r w:rsidR="00520F11">
        <w:t>audits</w:t>
      </w:r>
      <w:r w:rsidR="001111F5">
        <w:t xml:space="preserve"> of employers </w:t>
      </w:r>
      <w:r w:rsidR="004F63D5">
        <w:t>hiring H</w:t>
      </w:r>
      <w:r w:rsidR="001729C1">
        <w:t>2</w:t>
      </w:r>
      <w:r w:rsidR="004F63D5">
        <w:t>B workers under this TFR</w:t>
      </w:r>
      <w:r w:rsidR="00FB20F0">
        <w:t xml:space="preserve"> </w:t>
      </w:r>
      <w:r w:rsidRPr="003D3A1C" w:rsidR="00FB20F0">
        <w:t>focusing on irreparable harm</w:t>
      </w:r>
      <w:r w:rsidR="00FB20F0">
        <w:t>, additional recruitment efforts, when applicable, record keeping compliance,</w:t>
      </w:r>
      <w:r w:rsidRPr="003D3A1C" w:rsidR="00FB20F0">
        <w:t xml:space="preserve"> </w:t>
      </w:r>
      <w:r w:rsidR="00FB20F0">
        <w:t xml:space="preserve">general program requirements, </w:t>
      </w:r>
      <w:r w:rsidRPr="003D3A1C" w:rsidR="00FB20F0">
        <w:t>and other worker protection provisions</w:t>
      </w:r>
      <w:r w:rsidR="004F63D5">
        <w:t xml:space="preserve">. </w:t>
      </w:r>
      <w:r w:rsidR="00E42542">
        <w:t>The requirement to retain the form and supporting documentation</w:t>
      </w:r>
      <w:r w:rsidR="0A73D484">
        <w:t>, as with other prior rules,</w:t>
      </w:r>
      <w:r w:rsidR="00E42542">
        <w:t xml:space="preserve"> will assist the Departments in assessing </w:t>
      </w:r>
      <w:r w:rsidR="00AB3A7A">
        <w:t>an employer’s</w:t>
      </w:r>
      <w:r w:rsidR="00E42542">
        <w:t xml:space="preserve"> compliance with the TFR’s requirements. </w:t>
      </w:r>
      <w:r w:rsidR="005242B6">
        <w:t xml:space="preserve">DHS will also </w:t>
      </w:r>
      <w:r w:rsidR="00DF6C15">
        <w:t>routinely conduct at least 150 target</w:t>
      </w:r>
      <w:r w:rsidR="00B732D4">
        <w:t>ed</w:t>
      </w:r>
      <w:r w:rsidR="00DF6C15">
        <w:t xml:space="preserve"> </w:t>
      </w:r>
      <w:r w:rsidR="00BE4773">
        <w:t xml:space="preserve">site </w:t>
      </w:r>
      <w:r w:rsidR="00DF6C15">
        <w:t>visits</w:t>
      </w:r>
      <w:r w:rsidR="00F97087">
        <w:t xml:space="preserve"> annually</w:t>
      </w:r>
      <w:r w:rsidR="00140735">
        <w:t xml:space="preserve"> to </w:t>
      </w:r>
      <w:r w:rsidRPr="005E6C48" w:rsidR="00140735">
        <w:t>determine compliance with H-2B program requirements</w:t>
      </w:r>
      <w:r w:rsidR="00140735">
        <w:t xml:space="preserve"> overall</w:t>
      </w:r>
      <w:r w:rsidR="00520F11">
        <w:t xml:space="preserve">. </w:t>
      </w:r>
    </w:p>
    <w:p w:rsidR="00242E36" w:rsidRPr="00F94C9C" w:rsidP="00667C16" w14:paraId="71812136" w14:textId="77777777">
      <w:pPr>
        <w:widowControl w:val="0"/>
        <w:autoSpaceDE w:val="0"/>
        <w:autoSpaceDN w:val="0"/>
        <w:adjustRightInd w:val="0"/>
      </w:pPr>
    </w:p>
    <w:p w:rsidR="00EA78D2" w:rsidRPr="00667C16" w:rsidP="00EA78D2" w14:paraId="3C784579" w14:textId="37AE4A20">
      <w:pPr>
        <w:autoSpaceDE w:val="0"/>
        <w:autoSpaceDN w:val="0"/>
        <w:adjustRightInd w:val="0"/>
      </w:pPr>
      <w:r w:rsidRPr="00FA3A2D">
        <w:rPr>
          <w:b/>
        </w:rPr>
        <w:t xml:space="preserve">Authority: </w:t>
      </w:r>
      <w:r>
        <w:t xml:space="preserve">8 CFR </w:t>
      </w:r>
      <w:r w:rsidR="0030102D">
        <w:t>P</w:t>
      </w:r>
      <w:r w:rsidR="00CD3B9F">
        <w:t>art</w:t>
      </w:r>
      <w:r w:rsidR="00491D0A">
        <w:t>s</w:t>
      </w:r>
      <w:r w:rsidR="0030102D">
        <w:t xml:space="preserve"> </w:t>
      </w:r>
      <w:r w:rsidR="00CD3B9F">
        <w:t xml:space="preserve">103 and </w:t>
      </w:r>
      <w:r>
        <w:t>214</w:t>
      </w:r>
      <w:r w:rsidR="004C4378">
        <w:t xml:space="preserve">; </w:t>
      </w:r>
      <w:r w:rsidR="00946FB2">
        <w:t>20 CFR</w:t>
      </w:r>
      <w:r w:rsidR="00CD3B9F">
        <w:t xml:space="preserve"> </w:t>
      </w:r>
      <w:r w:rsidR="0030102D">
        <w:t xml:space="preserve">Part </w:t>
      </w:r>
      <w:r w:rsidR="00946FB2">
        <w:t>655</w:t>
      </w:r>
      <w:r w:rsidR="00DC75F7">
        <w:t>, subpart A</w:t>
      </w:r>
      <w:r w:rsidR="00FF2050">
        <w:t>;</w:t>
      </w:r>
      <w:r w:rsidR="00946FB2">
        <w:t xml:space="preserve"> </w:t>
      </w:r>
      <w:r w:rsidR="00CD3B9F">
        <w:t xml:space="preserve">29 CFR </w:t>
      </w:r>
      <w:r w:rsidR="0030102D">
        <w:t>Part 503</w:t>
      </w:r>
      <w:r w:rsidRPr="001160DF" w:rsidR="0030102D">
        <w:t xml:space="preserve">; </w:t>
      </w:r>
      <w:r w:rsidRPr="001160DF" w:rsidR="00CD3B9F">
        <w:t xml:space="preserve">Sections </w:t>
      </w:r>
      <w:r w:rsidRPr="001160DF" w:rsidR="00E06D72">
        <w:t>101(a)(15)(H)(ii)(b)</w:t>
      </w:r>
      <w:r w:rsidRPr="001160DF" w:rsidR="00007B45">
        <w:t>, 103(a)(6),</w:t>
      </w:r>
      <w:r w:rsidRPr="001160DF" w:rsidR="00E06D72">
        <w:t xml:space="preserve"> and 214</w:t>
      </w:r>
      <w:r w:rsidRPr="001160DF" w:rsidR="00CD3B9F">
        <w:t xml:space="preserve"> of the INA</w:t>
      </w:r>
      <w:r w:rsidRPr="001160DF" w:rsidR="00924EE6">
        <w:t>,</w:t>
      </w:r>
      <w:r w:rsidRPr="001160DF" w:rsidR="00E06D72">
        <w:t xml:space="preserve"> </w:t>
      </w:r>
      <w:r w:rsidRPr="001160DF" w:rsidR="004C4378">
        <w:t>8 U</w:t>
      </w:r>
      <w:r w:rsidRPr="001160DF" w:rsidR="0030102D">
        <w:t>.</w:t>
      </w:r>
      <w:r w:rsidRPr="001160DF" w:rsidR="004C4378">
        <w:t>S</w:t>
      </w:r>
      <w:r w:rsidRPr="001160DF" w:rsidR="0030102D">
        <w:t>.</w:t>
      </w:r>
      <w:r w:rsidRPr="001160DF" w:rsidR="004C4378">
        <w:t>C</w:t>
      </w:r>
      <w:r w:rsidRPr="001160DF" w:rsidR="0030102D">
        <w:t>.</w:t>
      </w:r>
      <w:r w:rsidRPr="001160DF" w:rsidR="00946FB2">
        <w:t xml:space="preserve"> </w:t>
      </w:r>
      <w:r w:rsidRPr="001160DF" w:rsidR="00CD3B9F">
        <w:t>1</w:t>
      </w:r>
      <w:r w:rsidRPr="001160DF" w:rsidR="00F65DFD">
        <w:t>1</w:t>
      </w:r>
      <w:r w:rsidRPr="001160DF" w:rsidR="00CD3B9F">
        <w:t>01,</w:t>
      </w:r>
      <w:r w:rsidRPr="001160DF" w:rsidR="00946FB2">
        <w:t xml:space="preserve"> </w:t>
      </w:r>
      <w:r w:rsidRPr="001160DF" w:rsidR="00B30EE4">
        <w:t>1</w:t>
      </w:r>
      <w:r w:rsidRPr="001160DF" w:rsidR="00007B45">
        <w:t xml:space="preserve">103(a)(6), </w:t>
      </w:r>
      <w:r w:rsidRPr="001160DF" w:rsidR="00946FB2">
        <w:t>11</w:t>
      </w:r>
      <w:r w:rsidRPr="001160DF" w:rsidR="00E06D72">
        <w:t>84</w:t>
      </w:r>
      <w:r w:rsidRPr="001160DF" w:rsidR="004C4378">
        <w:t>;</w:t>
      </w:r>
      <w:r w:rsidR="00667C16">
        <w:t xml:space="preserve"> Pub. L. 118-47</w:t>
      </w:r>
      <w:r w:rsidRPr="00667C16" w:rsidR="00F538F9">
        <w:t xml:space="preserve">; and Pub. L. </w:t>
      </w:r>
      <w:r w:rsidRPr="00667C16" w:rsidR="00C8516F">
        <w:t>118</w:t>
      </w:r>
      <w:r w:rsidRPr="00667C16" w:rsidR="00F538F9">
        <w:t>-</w:t>
      </w:r>
      <w:r w:rsidRPr="00667C16" w:rsidR="003410E2">
        <w:t>83</w:t>
      </w:r>
      <w:r w:rsidRPr="00667C16" w:rsidR="002A5370">
        <w:t>.</w:t>
      </w:r>
    </w:p>
    <w:p w:rsidR="00EA78D2" w:rsidRPr="00667C16" w:rsidP="00EA78D2" w14:paraId="6D0E103E" w14:textId="77777777">
      <w:pPr>
        <w:autoSpaceDE w:val="0"/>
        <w:autoSpaceDN w:val="0"/>
        <w:adjustRightInd w:val="0"/>
      </w:pPr>
    </w:p>
    <w:p w:rsidR="00EA78D2" w:rsidRPr="00667C16" w:rsidP="006C133A" w14:paraId="4F91F9D5" w14:textId="77777777">
      <w:pPr>
        <w:tabs>
          <w:tab w:val="right" w:pos="360"/>
        </w:tabs>
        <w:autoSpaceDE w:val="0"/>
        <w:autoSpaceDN w:val="0"/>
        <w:adjustRightInd w:val="0"/>
        <w:ind w:left="540" w:hanging="540"/>
        <w:rPr>
          <w:i/>
        </w:rPr>
      </w:pPr>
      <w:r w:rsidRPr="00667C16">
        <w:rPr>
          <w:i/>
        </w:rPr>
        <w:tab/>
        <w:t xml:space="preserve">2. </w:t>
      </w:r>
      <w:r w:rsidRPr="00667C16">
        <w:rPr>
          <w:i/>
        </w:rPr>
        <w:tab/>
        <w:t xml:space="preserve">Indicate how, by whom, and for what purpose the information is to be used. </w:t>
      </w:r>
      <w:r w:rsidRPr="00667C16" w:rsidR="00B10FD7">
        <w:rPr>
          <w:i/>
        </w:rPr>
        <w:t xml:space="preserve"> </w:t>
      </w:r>
      <w:r w:rsidRPr="00667C16">
        <w:rPr>
          <w:i/>
        </w:rPr>
        <w:t>Except for a new collection, indicate the actual use the agency has made of the information received from the current collection.</w:t>
      </w:r>
    </w:p>
    <w:p w:rsidR="00EA78D2" w:rsidRPr="00667C16" w:rsidP="00EA78D2" w14:paraId="2E2A3C05" w14:textId="77777777">
      <w:pPr>
        <w:autoSpaceDE w:val="0"/>
        <w:autoSpaceDN w:val="0"/>
        <w:adjustRightInd w:val="0"/>
      </w:pPr>
    </w:p>
    <w:p w:rsidR="00F94C9C" w:rsidP="001C53F2" w14:paraId="254D44EA" w14:textId="7828A839">
      <w:pPr>
        <w:spacing w:line="259" w:lineRule="auto"/>
      </w:pPr>
      <w:r w:rsidRPr="00667C16">
        <w:t xml:space="preserve">The information collection is necessary to implement the temporary cap increase authorized by </w:t>
      </w:r>
      <w:r w:rsidR="00667C16">
        <w:t>the FY 2024</w:t>
      </w:r>
      <w:r w:rsidR="7FAEC117">
        <w:t>CAA</w:t>
      </w:r>
      <w:r w:rsidR="00667C16">
        <w:t xml:space="preserve"> and </w:t>
      </w:r>
      <w:r w:rsidRPr="00667C16" w:rsidR="00FE4317">
        <w:t>P</w:t>
      </w:r>
      <w:r w:rsidRPr="00196645" w:rsidR="00FE4317">
        <w:t xml:space="preserve">ublic Law </w:t>
      </w:r>
      <w:r w:rsidRPr="00196645" w:rsidR="00C8516F">
        <w:t>118</w:t>
      </w:r>
      <w:r w:rsidRPr="00196645" w:rsidR="00FE4317">
        <w:t>-</w:t>
      </w:r>
      <w:r w:rsidR="00375E68">
        <w:t>83</w:t>
      </w:r>
      <w:r w:rsidRPr="001160DF">
        <w:t xml:space="preserve">.  </w:t>
      </w:r>
      <w:r w:rsidRPr="001160DF" w:rsidR="00460B04">
        <w:t xml:space="preserve">After </w:t>
      </w:r>
      <w:r w:rsidRPr="001160DF">
        <w:t>obtain</w:t>
      </w:r>
      <w:r w:rsidRPr="001160DF" w:rsidR="00460B04">
        <w:t>ing</w:t>
      </w:r>
      <w:r w:rsidRPr="001160DF">
        <w:t xml:space="preserve"> a temporary labor certification (TLC)</w:t>
      </w:r>
      <w:r w:rsidRPr="001160DF" w:rsidR="00460B04">
        <w:t>, employers</w:t>
      </w:r>
      <w:r w:rsidRPr="001160DF">
        <w:t xml:space="preserve"> </w:t>
      </w:r>
      <w:r w:rsidRPr="001160DF" w:rsidR="002B728C">
        <w:t xml:space="preserve">must </w:t>
      </w:r>
      <w:r w:rsidRPr="001160DF">
        <w:t xml:space="preserve">complete and </w:t>
      </w:r>
      <w:r w:rsidRPr="001160DF" w:rsidR="00FA3A2D">
        <w:t xml:space="preserve">submit </w:t>
      </w:r>
      <w:r w:rsidRPr="001160DF" w:rsidR="007C66EB">
        <w:t xml:space="preserve">a </w:t>
      </w:r>
      <w:r w:rsidRPr="001160DF" w:rsidR="00FA3A2D">
        <w:t xml:space="preserve">signed attestation </w:t>
      </w:r>
      <w:r w:rsidRPr="001160DF" w:rsidR="0052038A">
        <w:t>(</w:t>
      </w:r>
      <w:r w:rsidRPr="001160DF" w:rsidR="002B728C">
        <w:t>Form ETA-9142-B-CAA-</w:t>
      </w:r>
      <w:r w:rsidR="004B41E7">
        <w:t>9</w:t>
      </w:r>
      <w:r w:rsidRPr="001160DF" w:rsidR="0052038A">
        <w:t>)</w:t>
      </w:r>
      <w:r w:rsidRPr="001160DF" w:rsidR="00FA3A2D">
        <w:t xml:space="preserve"> to </w:t>
      </w:r>
      <w:r w:rsidRPr="001160DF" w:rsidR="00BC3019">
        <w:t xml:space="preserve">USCIS </w:t>
      </w:r>
      <w:r w:rsidRPr="001160DF" w:rsidR="00FA3A2D">
        <w:t xml:space="preserve">and </w:t>
      </w:r>
      <w:r w:rsidRPr="001160DF" w:rsidR="007C66EB">
        <w:t xml:space="preserve">retain </w:t>
      </w:r>
      <w:r w:rsidRPr="001160DF" w:rsidR="002B728C">
        <w:t xml:space="preserve">that </w:t>
      </w:r>
      <w:r w:rsidRPr="001160DF" w:rsidR="00491D0A">
        <w:t>form</w:t>
      </w:r>
      <w:r w:rsidRPr="001160DF" w:rsidR="002B728C">
        <w:t>, along with</w:t>
      </w:r>
      <w:r w:rsidRPr="001160DF" w:rsidR="00491D0A">
        <w:t xml:space="preserve"> the </w:t>
      </w:r>
      <w:r w:rsidRPr="001160DF" w:rsidR="00FA3A2D">
        <w:t xml:space="preserve">required </w:t>
      </w:r>
      <w:r w:rsidRPr="001160DF">
        <w:t>supporting documentation</w:t>
      </w:r>
      <w:r w:rsidRPr="001160DF" w:rsidR="002B728C">
        <w:t>,</w:t>
      </w:r>
      <w:r w:rsidRPr="001160DF">
        <w:t xml:space="preserve"> for three years</w:t>
      </w:r>
      <w:r w:rsidR="002B728C">
        <w:t>,</w:t>
      </w:r>
      <w:r>
        <w:t xml:space="preserve"> from the date the TLC </w:t>
      </w:r>
      <w:r w:rsidR="002B728C">
        <w:t xml:space="preserve">is </w:t>
      </w:r>
      <w:r>
        <w:t xml:space="preserve">issued.  Retaining these records for the specified </w:t>
      </w:r>
      <w:r>
        <w:t>period of time</w:t>
      </w:r>
      <w:r>
        <w:t xml:space="preserve"> allows </w:t>
      </w:r>
      <w:r w:rsidR="0093388E">
        <w:t xml:space="preserve">federal </w:t>
      </w:r>
      <w:r>
        <w:t xml:space="preserve">agencies </w:t>
      </w:r>
      <w:r w:rsidR="00912C45">
        <w:t xml:space="preserve">to assess compliance </w:t>
      </w:r>
      <w:r>
        <w:t>with applicable regulatory standards.</w:t>
      </w:r>
    </w:p>
    <w:p w:rsidR="00EA78D2" w:rsidRPr="007215E9" w:rsidP="00EA78D2" w14:paraId="20598839" w14:textId="77777777">
      <w:pPr>
        <w:autoSpaceDE w:val="0"/>
        <w:autoSpaceDN w:val="0"/>
        <w:adjustRightInd w:val="0"/>
      </w:pPr>
    </w:p>
    <w:p w:rsidR="00EA78D2" w:rsidRPr="007215E9" w:rsidP="006C133A" w14:paraId="25CBA390" w14:textId="77777777">
      <w:pPr>
        <w:tabs>
          <w:tab w:val="right" w:pos="360"/>
        </w:tabs>
        <w:autoSpaceDE w:val="0"/>
        <w:autoSpaceDN w:val="0"/>
        <w:adjustRightInd w:val="0"/>
        <w:ind w:left="540" w:hanging="540"/>
        <w:rPr>
          <w:i/>
        </w:rPr>
      </w:pPr>
      <w:r w:rsidRPr="007215E9">
        <w:rPr>
          <w:i/>
        </w:rPr>
        <w:tab/>
        <w:t>3.</w:t>
      </w:r>
      <w:r w:rsidRPr="007215E9">
        <w:rPr>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7215E9" w:rsidR="00910252">
        <w:rPr>
          <w:i/>
        </w:rPr>
        <w:t xml:space="preserve"> </w:t>
      </w:r>
      <w:r w:rsidRPr="007215E9">
        <w:rPr>
          <w:i/>
        </w:rPr>
        <w:t>Also</w:t>
      </w:r>
      <w:r w:rsidRPr="007215E9" w:rsidR="00910252">
        <w:rPr>
          <w:i/>
        </w:rPr>
        <w:t>,</w:t>
      </w:r>
      <w:r w:rsidRPr="007215E9">
        <w:rPr>
          <w:i/>
        </w:rPr>
        <w:t xml:space="preserve"> describe any consideration of using information technology to reduce burden.</w:t>
      </w:r>
    </w:p>
    <w:p w:rsidR="00EA78D2" w:rsidRPr="007215E9" w:rsidP="00EA78D2" w14:paraId="104E8F47" w14:textId="77777777">
      <w:pPr>
        <w:autoSpaceDE w:val="0"/>
        <w:autoSpaceDN w:val="0"/>
        <w:adjustRightInd w:val="0"/>
      </w:pPr>
    </w:p>
    <w:p w:rsidR="009C0439" w:rsidP="009C0439" w14:paraId="30DB409B" w14:textId="4ACA9216">
      <w:r>
        <w:t>T</w:t>
      </w:r>
      <w:r w:rsidRPr="00417BE8">
        <w:t>his form</w:t>
      </w:r>
      <w:r w:rsidR="00D62767">
        <w:t xml:space="preserve"> and its</w:t>
      </w:r>
      <w:r w:rsidR="00775E99">
        <w:t xml:space="preserve"> </w:t>
      </w:r>
      <w:r>
        <w:t xml:space="preserve">instructions </w:t>
      </w:r>
      <w:r w:rsidR="00A57EA3">
        <w:t xml:space="preserve">will be made </w:t>
      </w:r>
      <w:r w:rsidR="00BF2A59">
        <w:t xml:space="preserve">available </w:t>
      </w:r>
      <w:r w:rsidRPr="00417BE8">
        <w:t xml:space="preserve">via the </w:t>
      </w:r>
      <w:r>
        <w:t>i</w:t>
      </w:r>
      <w:r w:rsidRPr="00417BE8">
        <w:t>nternet</w:t>
      </w:r>
      <w:r w:rsidR="00A57EA3">
        <w:t xml:space="preserve"> </w:t>
      </w:r>
      <w:r w:rsidRPr="00D62767" w:rsidR="00146907">
        <w:t>(</w:t>
      </w:r>
      <w:r w:rsidRPr="00B60B25" w:rsidR="00B60B25">
        <w:t>https://www.dol.gov/agencies/eta/foreign-labor/forms</w:t>
      </w:r>
      <w:r w:rsidRPr="00D62767" w:rsidR="00146907">
        <w:t>)</w:t>
      </w:r>
      <w:r w:rsidRPr="00D62767" w:rsidR="001C1EE9">
        <w:t xml:space="preserve">. </w:t>
      </w:r>
      <w:r w:rsidRPr="00D62767" w:rsidR="00146907">
        <w:t xml:space="preserve"> </w:t>
      </w:r>
      <w:r w:rsidRPr="00D62767" w:rsidR="00A57EA3">
        <w:t xml:space="preserve">The form, once fully completed and signed, must be submitted to </w:t>
      </w:r>
      <w:r w:rsidRPr="00D62767" w:rsidR="00BC3019">
        <w:t>USCIS</w:t>
      </w:r>
      <w:r w:rsidRPr="00D62767" w:rsidR="00A57EA3">
        <w:t>.</w:t>
      </w:r>
      <w:r w:rsidRPr="00DA2B8F" w:rsidR="00A57EA3">
        <w:t xml:space="preserve"> </w:t>
      </w:r>
      <w:r w:rsidRPr="00DA2B8F" w:rsidR="001D5B9F">
        <w:t xml:space="preserve"> </w:t>
      </w:r>
      <w:r w:rsidR="00520F11">
        <w:t>The employer must retain a</w:t>
      </w:r>
      <w:r w:rsidRPr="00DA2B8F" w:rsidR="005C59BA">
        <w:t xml:space="preserve"> copy of the </w:t>
      </w:r>
      <w:r w:rsidRPr="00DA2B8F" w:rsidR="00B649E9">
        <w:t>form</w:t>
      </w:r>
      <w:r w:rsidRPr="00DA2B8F" w:rsidR="00A57EA3">
        <w:t>, as</w:t>
      </w:r>
      <w:r w:rsidR="00A57EA3">
        <w:t xml:space="preserve"> it is</w:t>
      </w:r>
      <w:r w:rsidR="00BC3019">
        <w:t xml:space="preserve"> </w:t>
      </w:r>
      <w:r w:rsidR="00B649E9">
        <w:t>submitted</w:t>
      </w:r>
      <w:r w:rsidR="00E6267F">
        <w:t xml:space="preserve"> to </w:t>
      </w:r>
      <w:r w:rsidR="00BC3019">
        <w:t>USCIS</w:t>
      </w:r>
      <w:r w:rsidR="005C59BA">
        <w:t xml:space="preserve">, along with </w:t>
      </w:r>
      <w:r w:rsidR="00DA2B8F">
        <w:t xml:space="preserve">all necessary </w:t>
      </w:r>
      <w:r w:rsidR="005C59BA">
        <w:t xml:space="preserve">supporting documentation, for three years from the date </w:t>
      </w:r>
      <w:r w:rsidR="00DA2B8F">
        <w:t xml:space="preserve">DOL issues the </w:t>
      </w:r>
      <w:r w:rsidR="005C59BA">
        <w:t>TLC</w:t>
      </w:r>
      <w:r w:rsidR="00B649E9">
        <w:t>.</w:t>
      </w:r>
    </w:p>
    <w:p w:rsidR="006D6614" w:rsidP="009C0439" w14:paraId="22CF786C" w14:textId="61CACB8C"/>
    <w:p w:rsidR="006D6614" w:rsidP="009C0439" w14:paraId="3BEFB617" w14:textId="5D038FEB">
      <w:r>
        <w:t>The employer may sign the Form ETA-9142-B-CAA-</w:t>
      </w:r>
      <w:r w:rsidR="004B41E7">
        <w:t xml:space="preserve">9 </w:t>
      </w:r>
      <w:r>
        <w:t xml:space="preserve">attestation form electronically using digital signatures that </w:t>
      </w:r>
      <w:r w:rsidR="00FD4146">
        <w:t>meet OMB requirements</w:t>
      </w:r>
      <w:r>
        <w:t>; alternatively, the employer may also use a wet ink signature on the attestation form.</w:t>
      </w:r>
      <w:r w:rsidR="00FD4146">
        <w:t xml:space="preserve"> </w:t>
      </w:r>
    </w:p>
    <w:p w:rsidR="00FD4146" w:rsidP="009C0439" w14:paraId="5E94D70D" w14:textId="0DC29200"/>
    <w:p w:rsidR="00FD4146" w:rsidRPr="00417BE8" w:rsidP="009C0439" w14:paraId="7C67BD19" w14:textId="785832CF">
      <w:r>
        <w:t>The Form ETA-9142-B-CAA-</w:t>
      </w:r>
      <w:r w:rsidR="004B41E7">
        <w:t xml:space="preserve">9 </w:t>
      </w:r>
      <w:r>
        <w:t>has been created as a fillable .pdf.</w:t>
      </w:r>
      <w:r w:rsidR="008E39F5">
        <w:t xml:space="preserve">  The Form ETA-9142-B-CAA-</w:t>
      </w:r>
      <w:r w:rsidR="004B41E7">
        <w:t xml:space="preserve">9 </w:t>
      </w:r>
      <w:r w:rsidR="008E39F5">
        <w:t>is not electronically fileable.  The form is to be attached to the I-129 petition the employer submits to USCIS.</w:t>
      </w:r>
    </w:p>
    <w:p w:rsidR="00EA78D2" w:rsidRPr="007215E9" w:rsidP="00EA78D2" w14:paraId="664A3B6B" w14:textId="77777777">
      <w:pPr>
        <w:autoSpaceDE w:val="0"/>
        <w:autoSpaceDN w:val="0"/>
        <w:adjustRightInd w:val="0"/>
      </w:pPr>
    </w:p>
    <w:p w:rsidR="00EA78D2" w:rsidRPr="007215E9" w:rsidP="006C133A" w14:paraId="48D67227" w14:textId="77777777">
      <w:pPr>
        <w:tabs>
          <w:tab w:val="right" w:pos="360"/>
          <w:tab w:val="left" w:pos="540"/>
        </w:tabs>
        <w:autoSpaceDE w:val="0"/>
        <w:autoSpaceDN w:val="0"/>
        <w:adjustRightInd w:val="0"/>
        <w:ind w:left="540" w:hanging="540"/>
        <w:rPr>
          <w:i/>
        </w:rPr>
      </w:pPr>
      <w:r w:rsidRPr="007215E9">
        <w:rPr>
          <w:i/>
        </w:rPr>
        <w:tab/>
        <w:t>4.</w:t>
      </w:r>
      <w:r w:rsidRPr="007215E9">
        <w:rPr>
          <w:i/>
        </w:rPr>
        <w:tab/>
        <w:t xml:space="preserve">Describe efforts to identify duplication. </w:t>
      </w:r>
      <w:r w:rsidRPr="007215E9" w:rsidR="00910252">
        <w:rPr>
          <w:i/>
        </w:rPr>
        <w:t xml:space="preserve"> </w:t>
      </w:r>
      <w:r w:rsidRPr="007215E9">
        <w:rPr>
          <w:i/>
        </w:rPr>
        <w:t>Show specifically why any similar information already available cannot be used or modified for use for the purposes described in Item 2 above.</w:t>
      </w:r>
    </w:p>
    <w:p w:rsidR="00EA78D2" w:rsidRPr="007215E9" w:rsidP="00EA78D2" w14:paraId="65E62CCA" w14:textId="77777777">
      <w:pPr>
        <w:autoSpaceDE w:val="0"/>
        <w:autoSpaceDN w:val="0"/>
        <w:adjustRightInd w:val="0"/>
      </w:pPr>
    </w:p>
    <w:p w:rsidR="009C0439" w:rsidRPr="00417BE8" w:rsidP="009C0439" w14:paraId="4A512D6E" w14:textId="08B652D4">
      <w:r w:rsidRPr="00417BE8">
        <w:t xml:space="preserve">The procedures and documentation requirements are sufficiently </w:t>
      </w:r>
      <w:r w:rsidR="00DA2B8F">
        <w:t>distinct</w:t>
      </w:r>
      <w:r w:rsidRPr="00417BE8">
        <w:t xml:space="preserve"> to avoid duplication of </w:t>
      </w:r>
      <w:r w:rsidR="00946FB2">
        <w:t xml:space="preserve">collection </w:t>
      </w:r>
      <w:r w:rsidRPr="00417BE8">
        <w:t>activities.  The information collection</w:t>
      </w:r>
      <w:r>
        <w:t xml:space="preserve">s covered by this request apply only to employers who </w:t>
      </w:r>
      <w:r w:rsidR="002A5370">
        <w:t xml:space="preserve">seek </w:t>
      </w:r>
      <w:r>
        <w:t xml:space="preserve">H-2B workers </w:t>
      </w:r>
      <w:r w:rsidR="00520F11">
        <w:t>under the TFR</w:t>
      </w:r>
      <w:r>
        <w:t>; consequently, there is no duplication of the information collection requirements.</w:t>
      </w:r>
    </w:p>
    <w:p w:rsidR="00135F26" w:rsidRPr="007215E9" w:rsidP="00EA78D2" w14:paraId="2748ABF4" w14:textId="77777777">
      <w:pPr>
        <w:autoSpaceDE w:val="0"/>
        <w:autoSpaceDN w:val="0"/>
        <w:adjustRightInd w:val="0"/>
      </w:pPr>
    </w:p>
    <w:p w:rsidR="00EA78D2" w:rsidRPr="007215E9" w:rsidP="006C133A" w14:paraId="29F98510" w14:textId="77777777">
      <w:pPr>
        <w:tabs>
          <w:tab w:val="right" w:pos="360"/>
          <w:tab w:val="left" w:pos="540"/>
        </w:tabs>
        <w:autoSpaceDE w:val="0"/>
        <w:autoSpaceDN w:val="0"/>
        <w:adjustRightInd w:val="0"/>
        <w:ind w:left="540" w:hanging="540"/>
        <w:rPr>
          <w:i/>
        </w:rPr>
      </w:pPr>
      <w:r w:rsidRPr="007215E9">
        <w:rPr>
          <w:i/>
        </w:rPr>
        <w:tab/>
        <w:t>5.</w:t>
      </w:r>
      <w:r w:rsidRPr="007215E9">
        <w:rPr>
          <w:i/>
        </w:rPr>
        <w:tab/>
        <w:t>If the collection of information impacts small businesses or other small entities, describe any methods used to minimize burden.</w:t>
      </w:r>
    </w:p>
    <w:p w:rsidR="00EA78D2" w:rsidRPr="007215E9" w:rsidP="00EA78D2" w14:paraId="64726CFC" w14:textId="77777777">
      <w:pPr>
        <w:autoSpaceDE w:val="0"/>
        <w:autoSpaceDN w:val="0"/>
        <w:adjustRightInd w:val="0"/>
      </w:pPr>
    </w:p>
    <w:p w:rsidR="009C0439" w:rsidRPr="00417BE8" w:rsidP="009C0439" w14:paraId="14CBE5E7" w14:textId="2B7ADDDA">
      <w:r w:rsidRPr="00417BE8">
        <w:t xml:space="preserve">The </w:t>
      </w:r>
      <w:r>
        <w:t xml:space="preserve">requirements </w:t>
      </w:r>
      <w:r w:rsidR="00DA2B8F">
        <w:t xml:space="preserve">associated with this information collection </w:t>
      </w:r>
      <w:r>
        <w:t xml:space="preserve">apply to some </w:t>
      </w:r>
      <w:r w:rsidRPr="00417BE8">
        <w:t xml:space="preserve">small businesses </w:t>
      </w:r>
      <w:r w:rsidR="00241E77">
        <w:t>that</w:t>
      </w:r>
      <w:r w:rsidRPr="00417BE8" w:rsidR="00241E77">
        <w:t xml:space="preserve"> </w:t>
      </w:r>
      <w:r w:rsidR="00BC3019">
        <w:t xml:space="preserve">will </w:t>
      </w:r>
      <w:r w:rsidR="00431F3D">
        <w:t>submit applications</w:t>
      </w:r>
      <w:r>
        <w:t xml:space="preserve"> </w:t>
      </w:r>
      <w:r w:rsidRPr="00417BE8">
        <w:t xml:space="preserve">to </w:t>
      </w:r>
      <w:r>
        <w:t>hire</w:t>
      </w:r>
      <w:r w:rsidRPr="00417BE8">
        <w:t xml:space="preserve"> </w:t>
      </w:r>
      <w:r>
        <w:t>H-2B workers under the cap increase</w:t>
      </w:r>
      <w:r w:rsidRPr="00417BE8">
        <w:t xml:space="preserve">.  </w:t>
      </w:r>
      <w:r>
        <w:t>R</w:t>
      </w:r>
      <w:r w:rsidRPr="00417BE8">
        <w:t>ecordkeeping requirements</w:t>
      </w:r>
      <w:r w:rsidR="00DA2B8F">
        <w:t>, for example,</w:t>
      </w:r>
      <w:r w:rsidRPr="00417BE8">
        <w:t xml:space="preserve"> </w:t>
      </w:r>
      <w:r>
        <w:t>may be satisfied in part by using</w:t>
      </w:r>
      <w:r w:rsidRPr="00417BE8">
        <w:t xml:space="preserve"> information that already exists in payroll and other records kept by most employers for other </w:t>
      </w:r>
      <w:r>
        <w:t xml:space="preserve">general employment </w:t>
      </w:r>
      <w:r w:rsidR="00007B45">
        <w:t xml:space="preserve">or business </w:t>
      </w:r>
      <w:r w:rsidRPr="00417BE8">
        <w:t xml:space="preserve">purposes.  </w:t>
      </w:r>
    </w:p>
    <w:p w:rsidR="009C0439" w:rsidRPr="00417BE8" w:rsidP="009C0439" w14:paraId="6D3F8709" w14:textId="77777777"/>
    <w:p w:rsidR="009C0439" w:rsidRPr="00417BE8" w:rsidP="009C0439" w14:paraId="392C6659" w14:textId="34BEE253">
      <w:pPr>
        <w:autoSpaceDE w:val="0"/>
        <w:autoSpaceDN w:val="0"/>
        <w:adjustRightInd w:val="0"/>
        <w:rPr>
          <w:color w:val="000000"/>
        </w:rPr>
      </w:pPr>
      <w:r>
        <w:rPr>
          <w:color w:val="000000"/>
        </w:rPr>
        <w:t>DOL considered</w:t>
      </w:r>
      <w:r w:rsidRPr="00417BE8">
        <w:rPr>
          <w:color w:val="000000"/>
        </w:rPr>
        <w:t xml:space="preserve"> the memorandum issued to all heads of departments and agencies by </w:t>
      </w:r>
      <w:r>
        <w:rPr>
          <w:color w:val="000000"/>
        </w:rPr>
        <w:t>OMB</w:t>
      </w:r>
      <w:r w:rsidRPr="00417BE8">
        <w:rPr>
          <w:color w:val="000000"/>
        </w:rPr>
        <w:t xml:space="preserve"> on June 22, 2012</w:t>
      </w:r>
      <w:r w:rsidR="00AF5C63">
        <w:rPr>
          <w:color w:val="000000"/>
        </w:rPr>
        <w:t>,</w:t>
      </w:r>
      <w:r>
        <w:rPr>
          <w:rStyle w:val="FootnoteReference"/>
          <w:color w:val="000000"/>
        </w:rPr>
        <w:footnoteReference w:id="3"/>
      </w:r>
      <w:r w:rsidRPr="00417BE8">
        <w:rPr>
          <w:color w:val="000000"/>
        </w:rPr>
        <w:t xml:space="preserve"> about Reducing Reporting and Paperwork Burdens.  </w:t>
      </w:r>
      <w:r>
        <w:rPr>
          <w:color w:val="000000"/>
        </w:rPr>
        <w:t>It would not be appropriate to include</w:t>
      </w:r>
      <w:r w:rsidRPr="00417BE8">
        <w:rPr>
          <w:color w:val="000000"/>
        </w:rPr>
        <w:t xml:space="preserve"> exemptions for small entities (including small businesses) </w:t>
      </w:r>
      <w:r w:rsidR="00DA2B8F">
        <w:rPr>
          <w:color w:val="000000"/>
        </w:rPr>
        <w:t xml:space="preserve">from the requirements under </w:t>
      </w:r>
      <w:r w:rsidR="00520F11">
        <w:rPr>
          <w:color w:val="000000"/>
        </w:rPr>
        <w:t>the TFR</w:t>
      </w:r>
      <w:r w:rsidRPr="00417BE8">
        <w:rPr>
          <w:color w:val="000000"/>
        </w:rPr>
        <w:t xml:space="preserve">.  The </w:t>
      </w:r>
      <w:r>
        <w:rPr>
          <w:color w:val="000000"/>
        </w:rPr>
        <w:t>requirements are</w:t>
      </w:r>
      <w:r w:rsidRPr="00417BE8">
        <w:rPr>
          <w:color w:val="000000"/>
        </w:rPr>
        <w:t xml:space="preserve"> not disproportionately more burdensome for small entities than large ones</w:t>
      </w:r>
      <w:r>
        <w:rPr>
          <w:color w:val="000000"/>
        </w:rPr>
        <w:t>.</w:t>
      </w:r>
      <w:r w:rsidRPr="00417BE8">
        <w:rPr>
          <w:color w:val="000000"/>
        </w:rPr>
        <w:t xml:space="preserve"> </w:t>
      </w:r>
    </w:p>
    <w:p w:rsidR="00EA78D2" w:rsidRPr="007215E9" w:rsidP="00EA78D2" w14:paraId="775F2465" w14:textId="77777777">
      <w:pPr>
        <w:autoSpaceDE w:val="0"/>
        <w:autoSpaceDN w:val="0"/>
        <w:adjustRightInd w:val="0"/>
      </w:pPr>
    </w:p>
    <w:p w:rsidR="00EA78D2" w:rsidRPr="007215E9" w:rsidP="006C133A" w14:paraId="18041C26" w14:textId="77777777">
      <w:pPr>
        <w:tabs>
          <w:tab w:val="right" w:pos="360"/>
          <w:tab w:val="left" w:pos="540"/>
        </w:tabs>
        <w:autoSpaceDE w:val="0"/>
        <w:autoSpaceDN w:val="0"/>
        <w:adjustRightInd w:val="0"/>
        <w:ind w:left="540" w:hanging="540"/>
        <w:rPr>
          <w:i/>
        </w:rPr>
      </w:pPr>
      <w:r w:rsidRPr="007215E9">
        <w:rPr>
          <w:i/>
        </w:rPr>
        <w:tab/>
        <w:t>6.</w:t>
      </w:r>
      <w:r w:rsidRPr="007215E9">
        <w:rPr>
          <w:i/>
        </w:rPr>
        <w:tab/>
        <w:t>Describe the consequence to Federal program or policy activities if the collection is not conducted or is conducted less frequently, as well as any technical or legal obstacles to reducing burden.</w:t>
      </w:r>
    </w:p>
    <w:p w:rsidR="00EA78D2" w:rsidRPr="007215E9" w:rsidP="00EA78D2" w14:paraId="70B88F2E" w14:textId="77777777">
      <w:pPr>
        <w:autoSpaceDE w:val="0"/>
        <w:autoSpaceDN w:val="0"/>
        <w:adjustRightInd w:val="0"/>
      </w:pPr>
    </w:p>
    <w:p w:rsidR="001F226A" w:rsidP="001F226A" w14:paraId="77674D60" w14:textId="19FD5A67">
      <w:r w:rsidRPr="001F226A">
        <w:t>In the absence of this information collection, DOL</w:t>
      </w:r>
      <w:r>
        <w:t xml:space="preserve"> and DHS</w:t>
      </w:r>
      <w:r w:rsidRPr="001F226A">
        <w:t xml:space="preserve"> would be unable to enforce compliance with the terms of the attestation, and DHS would be unable to ensure that visas made available by the temporary H-2B cap increase are reserved for those businesses that </w:t>
      </w:r>
      <w:r w:rsidR="00520F11">
        <w:t>meet the irreparable harm standard</w:t>
      </w:r>
      <w:r w:rsidRPr="001F226A">
        <w:t xml:space="preserve">.  </w:t>
      </w:r>
    </w:p>
    <w:p w:rsidR="001F226A" w:rsidRPr="001F226A" w:rsidP="001F226A" w14:paraId="051B1318" w14:textId="77777777"/>
    <w:p w:rsidR="00EA78D2" w:rsidRPr="007215E9" w:rsidP="006C133A" w14:paraId="7D4D4C24" w14:textId="77777777">
      <w:pPr>
        <w:tabs>
          <w:tab w:val="right" w:pos="360"/>
          <w:tab w:val="left" w:pos="540"/>
        </w:tabs>
        <w:autoSpaceDE w:val="0"/>
        <w:autoSpaceDN w:val="0"/>
        <w:adjustRightInd w:val="0"/>
        <w:ind w:left="540" w:hanging="540"/>
        <w:rPr>
          <w:i/>
        </w:rPr>
      </w:pPr>
      <w:r w:rsidRPr="007215E9">
        <w:rPr>
          <w:i/>
        </w:rPr>
        <w:tab/>
        <w:t>7.</w:t>
      </w:r>
      <w:r w:rsidRPr="007215E9">
        <w:rPr>
          <w:i/>
        </w:rPr>
        <w:tab/>
        <w:t>Explain any special circumstances that would cause an information collecti</w:t>
      </w:r>
      <w:r w:rsidR="00135F26">
        <w:rPr>
          <w:i/>
        </w:rPr>
        <w:t xml:space="preserve">on to be conducted in a manner </w:t>
      </w:r>
      <w:r w:rsidRPr="00135F26" w:rsidR="00135F26">
        <w:rPr>
          <w:i/>
        </w:rPr>
        <w:t>that requires further explanation pursuant to regulations 5 CFR 1320.5.</w:t>
      </w:r>
    </w:p>
    <w:p w:rsidR="00EA78D2" w:rsidRPr="00135F26" w:rsidP="00135F26" w14:paraId="196F07CD" w14:textId="77777777">
      <w:pPr>
        <w:autoSpaceDE w:val="0"/>
        <w:autoSpaceDN w:val="0"/>
        <w:adjustRightInd w:val="0"/>
        <w:ind w:left="720" w:hanging="180"/>
        <w:rPr>
          <w:i/>
        </w:rPr>
      </w:pPr>
    </w:p>
    <w:p w:rsidR="009C0439" w:rsidRPr="00417BE8" w:rsidP="009C0439" w14:paraId="538B0DBA" w14:textId="77777777">
      <w:pPr>
        <w:pStyle w:val="BodyText"/>
        <w:jc w:val="left"/>
        <w:rPr>
          <w:rFonts w:ascii="Times New Roman" w:hAnsi="Times New Roman"/>
          <w:sz w:val="24"/>
          <w:szCs w:val="24"/>
        </w:rPr>
      </w:pPr>
      <w:r w:rsidRPr="00417BE8">
        <w:rPr>
          <w:rFonts w:ascii="Times New Roman" w:hAnsi="Times New Roman"/>
          <w:sz w:val="24"/>
          <w:szCs w:val="24"/>
        </w:rPr>
        <w:t>These data collection efforts do not involve any special circumstances.</w:t>
      </w:r>
    </w:p>
    <w:p w:rsidR="00EA78D2" w:rsidRPr="007215E9" w:rsidP="00EA78D2" w14:paraId="189A72A3" w14:textId="77777777">
      <w:pPr>
        <w:autoSpaceDE w:val="0"/>
        <w:autoSpaceDN w:val="0"/>
        <w:adjustRightInd w:val="0"/>
      </w:pPr>
    </w:p>
    <w:p w:rsidR="00EA78D2" w:rsidP="00973CD5" w14:paraId="782C976D" w14:textId="77777777">
      <w:pPr>
        <w:tabs>
          <w:tab w:val="right" w:pos="360"/>
          <w:tab w:val="left" w:pos="540"/>
        </w:tabs>
        <w:autoSpaceDE w:val="0"/>
        <w:autoSpaceDN w:val="0"/>
        <w:adjustRightInd w:val="0"/>
        <w:ind w:left="540" w:hanging="540"/>
        <w:rPr>
          <w:i/>
        </w:rPr>
      </w:pPr>
      <w:r w:rsidRPr="007215E9">
        <w:rPr>
          <w:i/>
        </w:rPr>
        <w:tab/>
        <w:t>8.</w:t>
      </w:r>
      <w:r w:rsidRPr="007215E9">
        <w:rPr>
          <w:i/>
        </w:rPr>
        <w:tab/>
        <w:t xml:space="preserve">If applicable, provide a copy and identify the date and page number of </w:t>
      </w:r>
      <w:r w:rsidRPr="007215E9">
        <w:rPr>
          <w:i/>
        </w:rPr>
        <w:t>publication</w:t>
      </w:r>
      <w:r w:rsidRPr="007215E9">
        <w:rPr>
          <w:i/>
        </w:rPr>
        <w:t xml:space="preserve"> in the Federal Register of the agency's notice, required by 5 CFR 1320.8(d), soliciting comments on the information collection prior to submission to OMB. </w:t>
      </w:r>
      <w:r w:rsidRPr="007215E9" w:rsidR="001C050B">
        <w:rPr>
          <w:i/>
        </w:rPr>
        <w:t xml:space="preserve"> </w:t>
      </w:r>
      <w:r w:rsidRPr="007215E9">
        <w:rPr>
          <w:i/>
        </w:rPr>
        <w:t>Summarize public comments received in response to that notice and describe actions taken by the agency in response to these comments</w:t>
      </w:r>
      <w:r w:rsidRPr="007215E9" w:rsidR="00F25EFF">
        <w:rPr>
          <w:i/>
        </w:rPr>
        <w:t xml:space="preserve">.  </w:t>
      </w:r>
      <w:r w:rsidRPr="007215E9">
        <w:rPr>
          <w:i/>
        </w:rPr>
        <w:t xml:space="preserve">Specifically address comments received on cost and hour burden. </w:t>
      </w:r>
    </w:p>
    <w:p w:rsidR="00135F26" w:rsidRPr="007215E9" w:rsidP="00973CD5" w14:paraId="61BA23FC" w14:textId="77777777">
      <w:pPr>
        <w:tabs>
          <w:tab w:val="right" w:pos="360"/>
          <w:tab w:val="left" w:pos="540"/>
        </w:tabs>
        <w:autoSpaceDE w:val="0"/>
        <w:autoSpaceDN w:val="0"/>
        <w:adjustRightInd w:val="0"/>
        <w:ind w:left="540" w:hanging="540"/>
        <w:rPr>
          <w:i/>
        </w:rPr>
      </w:pPr>
    </w:p>
    <w:p w:rsidR="00EA78D2" w:rsidRPr="007215E9" w:rsidP="00973CD5" w14:paraId="3D037042" w14:textId="77777777">
      <w:pPr>
        <w:autoSpaceDE w:val="0"/>
        <w:autoSpaceDN w:val="0"/>
        <w:adjustRightInd w:val="0"/>
        <w:ind w:left="540"/>
        <w:rPr>
          <w:i/>
        </w:rPr>
      </w:pPr>
      <w:r w:rsidRPr="007215E9">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7215E9" w:rsidR="001C050B">
        <w:rPr>
          <w:i/>
        </w:rPr>
        <w:t>corded, disclosed, or reported.</w:t>
      </w:r>
    </w:p>
    <w:p w:rsidR="00904938" w:rsidRPr="007215E9" w:rsidP="00973CD5" w14:paraId="47F67B87" w14:textId="77777777">
      <w:pPr>
        <w:autoSpaceDE w:val="0"/>
        <w:autoSpaceDN w:val="0"/>
        <w:adjustRightInd w:val="0"/>
        <w:ind w:left="540"/>
        <w:rPr>
          <w:i/>
        </w:rPr>
      </w:pPr>
    </w:p>
    <w:p w:rsidR="00EA78D2" w:rsidRPr="007215E9" w:rsidP="00973CD5" w14:paraId="55EDC4EE" w14:textId="77777777">
      <w:pPr>
        <w:autoSpaceDE w:val="0"/>
        <w:autoSpaceDN w:val="0"/>
        <w:adjustRightInd w:val="0"/>
        <w:ind w:left="540"/>
        <w:rPr>
          <w:i/>
        </w:rPr>
      </w:pPr>
      <w:r w:rsidRPr="007215E9">
        <w:rPr>
          <w:i/>
        </w:rPr>
        <w:t>Consultation with representatives of those from whom information is to be obtained or those who must compile records should occur at least once every 3 years</w:t>
      </w:r>
      <w:r w:rsidRPr="007215E9" w:rsidR="002221A7">
        <w:rPr>
          <w:i/>
        </w:rPr>
        <w:t>—</w:t>
      </w:r>
      <w:r w:rsidRPr="007215E9">
        <w:rPr>
          <w:i/>
        </w:rPr>
        <w:t xml:space="preserve">even if the collection of information activity is the same as in prior periods. </w:t>
      </w:r>
      <w:r w:rsidRPr="007215E9" w:rsidR="00DC5B18">
        <w:rPr>
          <w:i/>
        </w:rPr>
        <w:t xml:space="preserve"> </w:t>
      </w:r>
      <w:r w:rsidRPr="007215E9">
        <w:rPr>
          <w:i/>
        </w:rPr>
        <w:t xml:space="preserve">There may be circumstances that may preclude consultation in a specific situation. </w:t>
      </w:r>
      <w:r w:rsidRPr="007215E9" w:rsidR="00DC5B18">
        <w:rPr>
          <w:i/>
        </w:rPr>
        <w:t xml:space="preserve"> </w:t>
      </w:r>
      <w:r w:rsidRPr="007215E9">
        <w:rPr>
          <w:i/>
        </w:rPr>
        <w:t>These circumstances should be explained.</w:t>
      </w:r>
    </w:p>
    <w:p w:rsidR="009C0439" w:rsidP="009C0439" w14:paraId="1DA8C4F7" w14:textId="77777777">
      <w:pPr>
        <w:outlineLvl w:val="1"/>
      </w:pPr>
      <w:bookmarkStart w:id="0" w:name="_Toc486874655"/>
    </w:p>
    <w:p w:rsidR="00451B6E" w:rsidP="00B47191" w14:paraId="7A4F2785" w14:textId="15659FE7">
      <w:pPr>
        <w:outlineLvl w:val="1"/>
      </w:pPr>
      <w:r>
        <w:t>The TFR published in the Federal Register</w:t>
      </w:r>
      <w:r w:rsidR="002133B6">
        <w:t xml:space="preserve"> on December 2, 2024,</w:t>
      </w:r>
      <w:r>
        <w:t xml:space="preserve"> </w:t>
      </w:r>
      <w:r w:rsidR="06D112C2">
        <w:t xml:space="preserve">at 89 FR </w:t>
      </w:r>
      <w:r w:rsidR="00976D99">
        <w:t>956</w:t>
      </w:r>
      <w:r w:rsidR="00CA0BC2">
        <w:t>26</w:t>
      </w:r>
      <w:r w:rsidR="002133B6">
        <w:t>,</w:t>
      </w:r>
      <w:r>
        <w:t xml:space="preserve"> invite</w:t>
      </w:r>
      <w:r w:rsidR="002133B6">
        <w:t>d</w:t>
      </w:r>
      <w:r>
        <w:t xml:space="preserve"> public comments on the information collection </w:t>
      </w:r>
      <w:r w:rsidR="00CF0864">
        <w:t xml:space="preserve">Form ETA–9142B–CAA–9 </w:t>
      </w:r>
      <w:r>
        <w:t xml:space="preserve">for a period lasting 60 days.  </w:t>
      </w:r>
      <w:r w:rsidR="007E6CC5">
        <w:t>The Department received a total of 39 comments</w:t>
      </w:r>
      <w:r w:rsidR="00651057">
        <w:t>.</w:t>
      </w:r>
      <w:r w:rsidR="006E6649">
        <w:t xml:space="preserve"> </w:t>
      </w:r>
      <w:r w:rsidR="00F64B1E">
        <w:t xml:space="preserve"> </w:t>
      </w:r>
      <w:r w:rsidR="006E6649">
        <w:t xml:space="preserve">All comments can be found under the rule’s docket at </w:t>
      </w:r>
      <w:r w:rsidRPr="00C4316D" w:rsidR="009607AE">
        <w:t>https://www.regulations.gov/docket/ETA-2024-0002/comments</w:t>
      </w:r>
      <w:r w:rsidR="00483C1F">
        <w:t xml:space="preserve">. </w:t>
      </w:r>
      <w:r w:rsidR="00651057">
        <w:t xml:space="preserve"> </w:t>
      </w:r>
      <w:r>
        <w:t>Out of</w:t>
      </w:r>
      <w:r w:rsidR="00E219C3">
        <w:t xml:space="preserve"> the 39 comments received, only </w:t>
      </w:r>
      <w:r w:rsidR="00B04874">
        <w:t>three (3)</w:t>
      </w:r>
      <w:r w:rsidR="00E219C3">
        <w:t xml:space="preserve"> </w:t>
      </w:r>
      <w:r w:rsidR="00E8455D">
        <w:t xml:space="preserve">were </w:t>
      </w:r>
      <w:r w:rsidR="00651057">
        <w:t xml:space="preserve">deemed </w:t>
      </w:r>
      <w:r>
        <w:t xml:space="preserve">to be </w:t>
      </w:r>
      <w:r w:rsidR="00651057">
        <w:t>substantive</w:t>
      </w:r>
      <w:r w:rsidR="009B52DC">
        <w:t>.</w:t>
      </w:r>
      <w:r w:rsidR="00290D3F">
        <w:t xml:space="preserve"> However, only two of the three substantive comments</w:t>
      </w:r>
      <w:r w:rsidR="00E219C3">
        <w:t xml:space="preserve"> </w:t>
      </w:r>
      <w:r>
        <w:t>address</w:t>
      </w:r>
      <w:r w:rsidR="00A4531B">
        <w:t>ed</w:t>
      </w:r>
      <w:r>
        <w:t xml:space="preserve"> the form</w:t>
      </w:r>
      <w:r w:rsidR="00651057">
        <w:t xml:space="preserve">. </w:t>
      </w:r>
      <w:r w:rsidR="08E30BF7">
        <w:t>One of the three substantive comments was deemed to be out of scope as it does not address the form</w:t>
      </w:r>
      <w:r w:rsidR="00753838">
        <w:t>. The Department is only addressing the substantive comments on the form in this supporting statement</w:t>
      </w:r>
      <w:r w:rsidR="08E30BF7">
        <w:t>.</w:t>
      </w:r>
      <w:r w:rsidR="00651057">
        <w:t xml:space="preserve"> </w:t>
      </w:r>
    </w:p>
    <w:p w:rsidR="00451B6E" w:rsidP="00B47191" w14:paraId="35A64E49" w14:textId="77777777">
      <w:pPr>
        <w:outlineLvl w:val="1"/>
      </w:pPr>
    </w:p>
    <w:p w:rsidR="007A0529" w:rsidP="00B47191" w14:paraId="2508E79C" w14:textId="641CD6F8">
      <w:pPr>
        <w:outlineLvl w:val="1"/>
      </w:pPr>
      <w:r>
        <w:t xml:space="preserve">One </w:t>
      </w:r>
      <w:r w:rsidR="004F2D9A">
        <w:t xml:space="preserve">of the </w:t>
      </w:r>
      <w:r w:rsidR="008B007D">
        <w:t xml:space="preserve">substantive </w:t>
      </w:r>
      <w:r>
        <w:t>commenter</w:t>
      </w:r>
      <w:r w:rsidR="00451B6E">
        <w:t>s</w:t>
      </w:r>
      <w:r>
        <w:t xml:space="preserve"> </w:t>
      </w:r>
      <w:r w:rsidR="006E6649">
        <w:t xml:space="preserve">was in favor of the form and stated </w:t>
      </w:r>
      <w:r w:rsidR="00451B6E">
        <w:t xml:space="preserve">in its submission </w:t>
      </w:r>
      <w:r w:rsidR="006E6649">
        <w:t>that</w:t>
      </w:r>
      <w:r>
        <w:t xml:space="preserve"> it “</w:t>
      </w:r>
      <w:r w:rsidRPr="007A0529">
        <w:t>supports the introduction of Form ETA-9142-B</w:t>
      </w:r>
      <w:r>
        <w:t>-</w:t>
      </w:r>
      <w:r w:rsidRPr="007A0529">
        <w:t>CAA-9 to implement the attestation requirements of the rule</w:t>
      </w:r>
      <w:r w:rsidR="008D737B">
        <w:t>.</w:t>
      </w:r>
      <w:r>
        <w:t xml:space="preserve">” </w:t>
      </w:r>
      <w:bookmarkEnd w:id="0"/>
      <w:r w:rsidR="00BF05BE">
        <w:t xml:space="preserve">The Department appreciates the </w:t>
      </w:r>
      <w:r w:rsidR="00127C5E">
        <w:t xml:space="preserve">input from the commenter. </w:t>
      </w:r>
    </w:p>
    <w:p w:rsidR="007A0529" w:rsidP="00B47191" w14:paraId="0CFE5BE2" w14:textId="77777777">
      <w:pPr>
        <w:outlineLvl w:val="1"/>
      </w:pPr>
    </w:p>
    <w:p w:rsidR="002E445D" w:rsidP="00B47191" w14:paraId="6E98FDC9" w14:textId="40DA3826">
      <w:pPr>
        <w:outlineLvl w:val="1"/>
      </w:pPr>
      <w:r>
        <w:t>T</w:t>
      </w:r>
      <w:r w:rsidR="004F2D9A">
        <w:t xml:space="preserve">he other </w:t>
      </w:r>
      <w:r>
        <w:t xml:space="preserve">substantive </w:t>
      </w:r>
      <w:r w:rsidR="004F2D9A">
        <w:t xml:space="preserve">commenter disfavored </w:t>
      </w:r>
      <w:r w:rsidR="00661ECE">
        <w:t>the</w:t>
      </w:r>
      <w:r w:rsidR="00451B6E">
        <w:t xml:space="preserve"> use of the</w:t>
      </w:r>
      <w:r w:rsidR="00661ECE">
        <w:t xml:space="preserve"> form </w:t>
      </w:r>
      <w:r w:rsidR="0029323A">
        <w:t>by stating that “…</w:t>
      </w:r>
      <w:r w:rsidRPr="0029323A" w:rsidR="0029323A">
        <w:t xml:space="preserve">this form is overly burdensome and may discourage employer participation even when noncitizen workers are needed to address labor shortages. </w:t>
      </w:r>
      <w:r w:rsidR="0029323A">
        <w:t>[The commenter]</w:t>
      </w:r>
      <w:r w:rsidRPr="0029323A" w:rsidR="0029323A">
        <w:t xml:space="preserve"> believes that, in addition to filling out the three-page Form ETA-9142-B-CAA-9 and the 38-page Form I-129 (note the page counts do not include additional paperwork that may be needed to accurately complete these forms), the DHS’s new attestation form is duplicative and </w:t>
      </w:r>
      <w:r w:rsidR="0029323A">
        <w:t>unnecessary</w:t>
      </w:r>
      <w:r w:rsidRPr="0029323A" w:rsidR="0029323A">
        <w:t>. If petitioners invest resources into seeking a temporary labor certification from DOL and submitting Form I-129 and other documentation, the Departments should recognize within these efforts the implied need for H-2B workers. Therefore, we urge the Departments to remove this requirement as part of this notice and exclude the attestation form from subsequent rulemakings</w:t>
      </w:r>
      <w:r w:rsidR="0029323A">
        <w:t>.”</w:t>
      </w:r>
    </w:p>
    <w:p w:rsidR="008F6988" w:rsidP="00B47191" w14:paraId="00A8E318" w14:textId="77777777">
      <w:pPr>
        <w:outlineLvl w:val="1"/>
      </w:pPr>
    </w:p>
    <w:p w:rsidR="008F6988" w:rsidP="00B47191" w14:paraId="024CBD07" w14:textId="6E57BAD0">
      <w:pPr>
        <w:outlineLvl w:val="1"/>
      </w:pPr>
      <w:r>
        <w:t>In response to this comment, a</w:t>
      </w:r>
      <w:r w:rsidR="000E694C">
        <w:t xml:space="preserve">s the Departments stated in the rule, </w:t>
      </w:r>
      <w:r w:rsidR="00BC76C4">
        <w:t>t</w:t>
      </w:r>
      <w:r w:rsidRPr="008F6988">
        <w:t xml:space="preserve">o file any H-2B petition under this rule, </w:t>
      </w:r>
      <w:r w:rsidR="00E123DF">
        <w:t>the employers, who are the petitioners,</w:t>
      </w:r>
      <w:r w:rsidRPr="008F6988">
        <w:t xml:space="preserve"> must meet all existing H-2B eligibility requirements, including having an approved, valid, and unexpired </w:t>
      </w:r>
      <w:r>
        <w:t xml:space="preserve">temporary labor certification </w:t>
      </w:r>
      <w:r>
        <w:t>(</w:t>
      </w:r>
      <w:r w:rsidRPr="008F6988">
        <w:t>TLC</w:t>
      </w:r>
      <w:r>
        <w:t>)</w:t>
      </w:r>
      <w:r w:rsidRPr="008F6988">
        <w:t xml:space="preserve">. </w:t>
      </w:r>
      <w:r w:rsidRPr="008F6988">
        <w:rPr>
          <w:i/>
          <w:iCs/>
        </w:rPr>
        <w:t>See</w:t>
      </w:r>
      <w:r w:rsidRPr="282BB0AE" w:rsidR="00897EC2">
        <w:rPr>
          <w:i/>
          <w:iCs/>
        </w:rPr>
        <w:t xml:space="preserve"> </w:t>
      </w:r>
      <w:r w:rsidRPr="00C4316D" w:rsidR="009607AE">
        <w:t>8 CFR 214.2(h)(6)</w:t>
      </w:r>
      <w:r w:rsidRPr="008F6988">
        <w:t xml:space="preserve"> and </w:t>
      </w:r>
      <w:r w:rsidRPr="00C4316D" w:rsidR="009607AE">
        <w:t>20 CFR part 655, subpart A</w:t>
      </w:r>
      <w:r w:rsidRPr="008F6988">
        <w:t>. The TLC process focuses on establishing whether a petitioner has a temporary need for workers and whether there are U.S. workers who are able, willing, qualified, and available to perform the temporary service or labor</w:t>
      </w:r>
      <w:r w:rsidR="02C6D5A2">
        <w:t>.  It</w:t>
      </w:r>
      <w:r w:rsidRPr="008F6988">
        <w:t xml:space="preserve"> does not address the harm a petitioner is facing or will face </w:t>
      </w:r>
      <w:r>
        <w:t>i</w:t>
      </w:r>
      <w:r w:rsidR="5B97A485">
        <w:t>f it is unable to receive the H-2B workers for which it has been certified, which is a requirement to access supplemental H-2B visas</w:t>
      </w:r>
      <w:r>
        <w:t>.</w:t>
      </w:r>
      <w:r w:rsidRPr="008F6988">
        <w:t xml:space="preserve"> </w:t>
      </w:r>
      <w:r w:rsidR="00E123DF">
        <w:t>The petitioner</w:t>
      </w:r>
      <w:r w:rsidRPr="008F6988">
        <w:t xml:space="preserve"> must submit an attestation to USCIS in which the petitioner affirms, under penalty of perjury, that it meets the business need standard—that they are suffering irreparable harm or will suffer impending irreparable harm (that is, permanent and severe financial loss) without the ability to employ </w:t>
      </w:r>
      <w:r w:rsidRPr="008F6988">
        <w:t>all of</w:t>
      </w:r>
      <w:r w:rsidRPr="008F6988">
        <w:t xml:space="preserve"> the H-2B workers requested on their petition.</w:t>
      </w:r>
      <w:r w:rsidRPr="008F6988">
        <w:rPr>
          <w:vertAlign w:val="superscript"/>
        </w:rPr>
        <w:t xml:space="preserve"> </w:t>
      </w:r>
      <w:r w:rsidRPr="008F6988">
        <w:t xml:space="preserve">In addition to asserting that it meets the business need standard, the employer must attest that, by the time of submission of the petition to USCIS, they have prepared and retained a detailed written statement describing how the evidence gathered in support of their petition demonstrates that irreparable harm is occurring or impending. The employer must also attest that, upon request, it will provide to DHS and/or DOL </w:t>
      </w:r>
      <w:r w:rsidRPr="008F6988">
        <w:t>all of</w:t>
      </w:r>
      <w:r w:rsidRPr="008F6988">
        <w:t xml:space="preserve"> the types of documentary evidence it selected in the attestation form that support its claim of irreparable harm, along with the detailed written statement </w:t>
      </w:r>
      <w:r w:rsidR="0B56026B">
        <w:t>supporting its claim of Irreparable Harm</w:t>
      </w:r>
      <w:r w:rsidR="2186BE08">
        <w:t>, which an employer must</w:t>
      </w:r>
      <w:r w:rsidR="305BFA7A">
        <w:t xml:space="preserve"> have</w:t>
      </w:r>
      <w:r w:rsidRPr="008F6988">
        <w:t xml:space="preserve"> prepared </w:t>
      </w:r>
      <w:r w:rsidR="2186BE08">
        <w:t>pri</w:t>
      </w:r>
      <w:r w:rsidR="4D15EE51">
        <w:t xml:space="preserve">or to </w:t>
      </w:r>
      <w:r w:rsidRPr="008F6988">
        <w:t xml:space="preserve">submitting </w:t>
      </w:r>
      <w:r w:rsidR="2186BE08">
        <w:t>a request for supplemental workers</w:t>
      </w:r>
      <w:r w:rsidRPr="008F6988">
        <w:t xml:space="preserve"> to USCIS</w:t>
      </w:r>
      <w:r>
        <w:t>.</w:t>
      </w:r>
      <w:r w:rsidRPr="008F6988">
        <w:t xml:space="preserve"> The petitioner must submit the attestation directly to USCIS, together with Form I-129, the approved and valid TLC,</w:t>
      </w:r>
      <w:r w:rsidRPr="008F6988">
        <w:rPr>
          <w:vertAlign w:val="superscript"/>
        </w:rPr>
        <w:t xml:space="preserve"> </w:t>
      </w:r>
      <w:r w:rsidRPr="008F6988">
        <w:t>and any other necessary documentation.</w:t>
      </w:r>
      <w:r w:rsidR="009D252E">
        <w:t xml:space="preserve"> </w:t>
      </w:r>
      <w:r w:rsidR="00981FDC">
        <w:t>As</w:t>
      </w:r>
      <w:r w:rsidR="00972073">
        <w:t xml:space="preserve"> explained above</w:t>
      </w:r>
      <w:r w:rsidR="009D252E">
        <w:t>, the TLC process</w:t>
      </w:r>
      <w:r w:rsidR="00CC740A">
        <w:t xml:space="preserve">, with its focus on </w:t>
      </w:r>
      <w:r w:rsidR="00D73161">
        <w:t>whether a petitioner has a temporary need for workers,</w:t>
      </w:r>
      <w:r w:rsidR="00CC740A">
        <w:t xml:space="preserve"> and the Form </w:t>
      </w:r>
      <w:r w:rsidR="00981FDC">
        <w:t>ETA-9142-B-CAA-9</w:t>
      </w:r>
      <w:r w:rsidR="00020A18">
        <w:t xml:space="preserve">, which </w:t>
      </w:r>
      <w:r w:rsidR="00A73D09">
        <w:t>relates to whether a petitioner has met the business need standard,</w:t>
      </w:r>
      <w:r w:rsidR="00981FDC">
        <w:t xml:space="preserve"> serve different purposes</w:t>
      </w:r>
      <w:r w:rsidR="006F67ED">
        <w:t xml:space="preserve"> such that</w:t>
      </w:r>
      <w:r w:rsidR="00981FDC">
        <w:t xml:space="preserve"> the attestation form is </w:t>
      </w:r>
      <w:r w:rsidR="006F6A64">
        <w:t>neither</w:t>
      </w:r>
      <w:r w:rsidR="00981FDC">
        <w:t xml:space="preserve"> </w:t>
      </w:r>
      <w:r w:rsidR="00A41DEE">
        <w:t xml:space="preserve">duplicative </w:t>
      </w:r>
      <w:r w:rsidR="006F6A64">
        <w:t>of the TLC process nor</w:t>
      </w:r>
      <w:r w:rsidR="00A41DEE">
        <w:t xml:space="preserve"> unnecessary. </w:t>
      </w:r>
    </w:p>
    <w:p w:rsidR="00E123DF" w:rsidP="00B47191" w14:paraId="7243EE97" w14:textId="77777777">
      <w:pPr>
        <w:outlineLvl w:val="1"/>
      </w:pPr>
    </w:p>
    <w:p w:rsidR="00E123DF" w:rsidP="00B47191" w14:paraId="6104D843" w14:textId="7DC1E1CB">
      <w:pPr>
        <w:outlineLvl w:val="1"/>
      </w:pPr>
      <w:r>
        <w:t xml:space="preserve">Moreover, </w:t>
      </w:r>
      <w:r w:rsidR="00880AA1">
        <w:t xml:space="preserve">as the rule states, </w:t>
      </w:r>
      <w:r w:rsidR="00CB3790">
        <w:t xml:space="preserve">it is the petitioner’s burden to establish that it meets the irreparable harm standard because </w:t>
      </w:r>
      <w:r w:rsidRPr="00880AA1" w:rsidR="00880AA1">
        <w:t xml:space="preserve">the burden rests with the petitioner to prove eligibility </w:t>
      </w:r>
      <w:r w:rsidR="5117732B">
        <w:t>by a preponderance of the evidence</w:t>
      </w:r>
      <w:r w:rsidR="00880AA1">
        <w:t xml:space="preserve"> </w:t>
      </w:r>
      <w:r w:rsidRPr="00880AA1" w:rsidR="00880AA1">
        <w:t>for supplemental H-2B visas</w:t>
      </w:r>
      <w:r w:rsidR="7E08E384">
        <w:t>.</w:t>
      </w:r>
      <w:r w:rsidRPr="00880AA1" w:rsidR="00880AA1">
        <w:t xml:space="preserve"> INA sec. 291, </w:t>
      </w:r>
      <w:r w:rsidRPr="00C4316D" w:rsidR="00697940">
        <w:t>8 U.S.C. 1361</w:t>
      </w:r>
      <w:r w:rsidRPr="00880AA1" w:rsidR="00880AA1">
        <w:t xml:space="preserve">; </w:t>
      </w:r>
      <w:r w:rsidRPr="00880AA1" w:rsidR="00880AA1">
        <w:rPr>
          <w:i/>
          <w:iCs/>
        </w:rPr>
        <w:t xml:space="preserve">Matter of </w:t>
      </w:r>
      <w:r w:rsidRPr="00880AA1" w:rsidR="00880AA1">
        <w:rPr>
          <w:i/>
          <w:iCs/>
        </w:rPr>
        <w:t>Chawathe</w:t>
      </w:r>
      <w:r w:rsidRPr="00880AA1" w:rsidR="00880AA1">
        <w:rPr>
          <w:i/>
          <w:iCs/>
        </w:rPr>
        <w:t>,</w:t>
      </w:r>
      <w:r w:rsidRPr="00880AA1" w:rsidR="00880AA1">
        <w:t xml:space="preserve"> 25 I&amp;N Dec. 369, 375-76 (AAO 2010). The attestation form will serve as prima facie initial evidence to DHS that the </w:t>
      </w:r>
      <w:r w:rsidR="00880AA1">
        <w:t>petitioner</w:t>
      </w:r>
      <w:r w:rsidR="005A7101">
        <w:t>’</w:t>
      </w:r>
      <w:r w:rsidR="00880AA1">
        <w:t>s</w:t>
      </w:r>
      <w:r w:rsidRPr="00880AA1" w:rsidR="00880AA1">
        <w:t xml:space="preserve"> business is suffering irreparable harm or will suffer impending irreparable harm. USCIS will reject in accordance with </w:t>
      </w:r>
      <w:r w:rsidRPr="00C4316D" w:rsidR="00697940">
        <w:t>8 CFR 103.2(a)(7)(ii)</w:t>
      </w:r>
      <w:r w:rsidRPr="00880AA1" w:rsidR="00880AA1">
        <w:t xml:space="preserve"> or may deny in accordance with </w:t>
      </w:r>
      <w:r w:rsidRPr="00C4316D" w:rsidR="00697940">
        <w:t>8 CFR 103.2(b)(8)(ii)</w:t>
      </w:r>
      <w:r w:rsidRPr="00880AA1" w:rsidR="00880AA1">
        <w:t>, as applicable, any petition requesting H-2B workers under this FY 2025 supplemental cap that is lacking the requisite attestation form. Although this rule does not require submission of the evidence selected in the attestation and/or a detailed written statement at the time of filing of the petition, other than an attestation, the employer must have the evidence selected in the attestation and the accompanying detailed written statement on hand and ready to present to DHS and/or DOL at any time starting with the date of filing the I-129 petition, through the prescribed document retention period discussed below.</w:t>
      </w:r>
    </w:p>
    <w:p w:rsidR="004B47D2" w:rsidP="00B47191" w14:paraId="0AC9C6A8" w14:textId="77777777">
      <w:pPr>
        <w:outlineLvl w:val="1"/>
      </w:pPr>
    </w:p>
    <w:p w:rsidR="004B47D2" w:rsidP="00B47191" w14:paraId="34431A84" w14:textId="120015D8">
      <w:pPr>
        <w:outlineLvl w:val="1"/>
      </w:pPr>
      <w:r>
        <w:t xml:space="preserve">Finally, </w:t>
      </w:r>
      <w:r w:rsidR="001C77F3">
        <w:t>the rule also explained that</w:t>
      </w:r>
      <w:r w:rsidRPr="004B47D2">
        <w:t xml:space="preserve"> the Secretaries of Homeland Security and Labor </w:t>
      </w:r>
      <w:r w:rsidR="001C77F3">
        <w:t>considered “</w:t>
      </w:r>
      <w:r w:rsidRPr="004B47D2">
        <w:t xml:space="preserve">that requiring a post-TLC attestation to USCIS is the most practical approach to applying the eligibility requirements of this rule without causing undue delays in the filing or adjudication processes for those employers with start dates in the first half of the fiscal year, many of whom will have already begun or completed the TLC application process. The Departments have determined that, if such employers were required to submit the attestation form to DOL before </w:t>
      </w:r>
      <w:r w:rsidRPr="004B47D2">
        <w:t xml:space="preserve">filing a petition with DHS, the attendant delays would negatively impact the ability of American businesses to timely get the help that they need given TLC processing timeframes. For consistency and to avoid confusion, the Departments will also maintain the post-TLC attestation process for employers with start dates in the second half of the fiscal year that seek supplemental H-2B visas under this rule. This approach, in conjunction with additional integrity safeguards, has been used consistently in prior supplemental H-2B </w:t>
      </w:r>
      <w:r w:rsidR="00503398">
        <w:t>TFRs</w:t>
      </w:r>
      <w:r w:rsidRPr="004B47D2">
        <w:t>, and the Departments will continue to monitor its effectiveness and sufficiency.</w:t>
      </w:r>
      <w:r w:rsidR="001C77F3">
        <w:t>”</w:t>
      </w:r>
    </w:p>
    <w:p w:rsidR="005C5868" w:rsidP="00B47191" w14:paraId="207CE712" w14:textId="77777777">
      <w:pPr>
        <w:outlineLvl w:val="1"/>
      </w:pPr>
    </w:p>
    <w:p w:rsidR="005C5868" w:rsidP="00B47191" w14:paraId="4F79F480" w14:textId="7570A555">
      <w:pPr>
        <w:outlineLvl w:val="1"/>
      </w:pPr>
      <w:r>
        <w:t xml:space="preserve">The requirement to complete and submit the attestation form, as well as the other requirements associated with </w:t>
      </w:r>
      <w:r w:rsidR="009672AA">
        <w:t>the rule cannot be amended or eliminated in connection with a PRA action</w:t>
      </w:r>
      <w:r w:rsidR="00C475FD">
        <w:t xml:space="preserve">. </w:t>
      </w:r>
      <w:r w:rsidR="00BF05BE">
        <w:t xml:space="preserve">While the Department </w:t>
      </w:r>
      <w:r w:rsidR="00014A21">
        <w:t xml:space="preserve">appreciates and </w:t>
      </w:r>
      <w:r w:rsidR="00880CA3">
        <w:t xml:space="preserve">has </w:t>
      </w:r>
      <w:r w:rsidR="003C26D0">
        <w:t xml:space="preserve">carefully </w:t>
      </w:r>
      <w:r w:rsidR="00880CA3">
        <w:t>considered the second commenter’s concerns</w:t>
      </w:r>
      <w:r w:rsidR="00C475FD">
        <w:t xml:space="preserve">, the attestation form is necessary </w:t>
      </w:r>
      <w:r w:rsidR="00C475FD">
        <w:t>in order to</w:t>
      </w:r>
      <w:r w:rsidR="00C475FD">
        <w:t xml:space="preserve"> implement the requirements stipulated in the rule</w:t>
      </w:r>
      <w:r w:rsidR="00D23D7F">
        <w:t xml:space="preserve"> for the reasons stated above</w:t>
      </w:r>
      <w:r w:rsidR="00C475FD">
        <w:t xml:space="preserve">.  The Department </w:t>
      </w:r>
      <w:r w:rsidR="0098334D">
        <w:t xml:space="preserve">will move forward to request the extension of the information collection before OMB, as required by law. </w:t>
      </w:r>
    </w:p>
    <w:p w:rsidR="002E445D" w:rsidP="009C0439" w14:paraId="7E4D01D9" w14:textId="77777777">
      <w:pPr>
        <w:outlineLvl w:val="1"/>
      </w:pPr>
    </w:p>
    <w:p w:rsidR="00EA78D2" w:rsidRPr="007215E9" w:rsidP="00973CD5" w14:paraId="6B4CEF85" w14:textId="77777777">
      <w:pPr>
        <w:tabs>
          <w:tab w:val="right" w:pos="360"/>
          <w:tab w:val="left" w:pos="540"/>
        </w:tabs>
        <w:autoSpaceDE w:val="0"/>
        <w:autoSpaceDN w:val="0"/>
        <w:adjustRightInd w:val="0"/>
        <w:ind w:left="540" w:hanging="540"/>
        <w:rPr>
          <w:i/>
        </w:rPr>
      </w:pPr>
      <w:r w:rsidRPr="007215E9">
        <w:rPr>
          <w:i/>
        </w:rPr>
        <w:tab/>
        <w:t>9.</w:t>
      </w:r>
      <w:r w:rsidRPr="007215E9">
        <w:rPr>
          <w:i/>
        </w:rPr>
        <w:tab/>
        <w:t>Explain any decision to provide any payment or gift to respondents, other than remuneration of contractors or grantees.</w:t>
      </w:r>
    </w:p>
    <w:p w:rsidR="00EA78D2" w:rsidRPr="007215E9" w:rsidP="00EA78D2" w14:paraId="018DADBE" w14:textId="77777777">
      <w:pPr>
        <w:autoSpaceDE w:val="0"/>
        <w:autoSpaceDN w:val="0"/>
        <w:adjustRightInd w:val="0"/>
      </w:pPr>
    </w:p>
    <w:p w:rsidR="009C0439" w:rsidRPr="00417BE8" w:rsidP="009C0439" w14:paraId="334EFF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17BE8">
        <w:t>There is no payment or gift to respondents involved with this information collection.</w:t>
      </w:r>
    </w:p>
    <w:p w:rsidR="00F52F68" w:rsidRPr="007215E9" w:rsidP="00EA78D2" w14:paraId="78A15C09" w14:textId="77777777">
      <w:pPr>
        <w:autoSpaceDE w:val="0"/>
        <w:autoSpaceDN w:val="0"/>
        <w:adjustRightInd w:val="0"/>
      </w:pPr>
    </w:p>
    <w:p w:rsidR="00EA78D2" w:rsidRPr="007215E9" w:rsidP="00973CD5" w14:paraId="6154AB0F" w14:textId="77777777">
      <w:pPr>
        <w:tabs>
          <w:tab w:val="right" w:pos="360"/>
          <w:tab w:val="left" w:pos="540"/>
        </w:tabs>
        <w:autoSpaceDE w:val="0"/>
        <w:autoSpaceDN w:val="0"/>
        <w:adjustRightInd w:val="0"/>
        <w:ind w:left="540" w:hanging="540"/>
        <w:rPr>
          <w:i/>
        </w:rPr>
      </w:pPr>
      <w:r w:rsidRPr="007215E9">
        <w:rPr>
          <w:i/>
        </w:rPr>
        <w:tab/>
        <w:t>10.</w:t>
      </w:r>
      <w:r w:rsidRPr="007215E9">
        <w:rPr>
          <w:i/>
        </w:rPr>
        <w:tab/>
        <w:t>Describe any assurance of confidentiality provided to respondents and the basis for the assurance in statute, regulation, or agency policy.</w:t>
      </w:r>
    </w:p>
    <w:p w:rsidR="00EA78D2" w:rsidRPr="007215E9" w:rsidP="00EA78D2" w14:paraId="08334255" w14:textId="77777777">
      <w:pPr>
        <w:autoSpaceDE w:val="0"/>
        <w:autoSpaceDN w:val="0"/>
        <w:adjustRightInd w:val="0"/>
      </w:pPr>
    </w:p>
    <w:p w:rsidR="009C0439" w:rsidP="009C0439" w14:paraId="31846F3A" w14:textId="596F9013">
      <w:r w:rsidRPr="003F5518">
        <w:t xml:space="preserve">No assurances of confidentiality </w:t>
      </w:r>
      <w:r w:rsidRPr="00FF65D4">
        <w:t>or privacy</w:t>
      </w:r>
      <w:r>
        <w:t xml:space="preserve"> </w:t>
      </w:r>
      <w:r w:rsidRPr="003F5518">
        <w:t>are provided</w:t>
      </w:r>
      <w:r w:rsidRPr="00DC7E0C">
        <w:t xml:space="preserve">.  </w:t>
      </w:r>
      <w:r w:rsidRPr="006B2F31" w:rsidR="006B2F31">
        <w:t>The information collected is not submitted to the Department</w:t>
      </w:r>
      <w:r w:rsidR="004D73F4">
        <w:t>s</w:t>
      </w:r>
      <w:r w:rsidRPr="006B2F31" w:rsidR="006B2F31">
        <w:t xml:space="preserve"> unless requested.  As a practical matter, information from an investigation file would be disclosed </w:t>
      </w:r>
      <w:r w:rsidRPr="006B2F31" w:rsidR="00AF688D">
        <w:t xml:space="preserve">only </w:t>
      </w:r>
      <w:r w:rsidRPr="006B2F31" w:rsidR="006B2F31">
        <w:t>in accordance with the Freedom of Information Act.</w:t>
      </w:r>
    </w:p>
    <w:p w:rsidR="00EA78D2" w:rsidRPr="007215E9" w:rsidP="00EA78D2" w14:paraId="40ABCE53" w14:textId="77777777">
      <w:pPr>
        <w:autoSpaceDE w:val="0"/>
        <w:autoSpaceDN w:val="0"/>
        <w:adjustRightInd w:val="0"/>
      </w:pPr>
    </w:p>
    <w:p w:rsidR="00EA78D2" w:rsidRPr="007215E9" w:rsidP="00973CD5" w14:paraId="1A172038" w14:textId="77777777">
      <w:pPr>
        <w:tabs>
          <w:tab w:val="right" w:pos="360"/>
          <w:tab w:val="left" w:pos="540"/>
        </w:tabs>
        <w:autoSpaceDE w:val="0"/>
        <w:autoSpaceDN w:val="0"/>
        <w:adjustRightInd w:val="0"/>
        <w:ind w:left="540" w:hanging="540"/>
        <w:rPr>
          <w:i/>
        </w:rPr>
      </w:pPr>
      <w:r w:rsidRPr="007215E9">
        <w:rPr>
          <w:i/>
        </w:rPr>
        <w:tab/>
        <w:t>11.</w:t>
      </w:r>
      <w:r w:rsidRPr="007215E9">
        <w:rPr>
          <w:i/>
        </w:rPr>
        <w:tab/>
        <w:t xml:space="preserve">Provide additional justification for any questions of a sensitive nature, such as sexual behavior and attitudes, religious beliefs, and other matters that are commonly considered private. </w:t>
      </w:r>
      <w:r w:rsidRPr="007215E9" w:rsidR="00904938">
        <w:rPr>
          <w:i/>
        </w:rPr>
        <w:t xml:space="preserve"> </w:t>
      </w:r>
      <w:r w:rsidRPr="007215E9">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RPr="007215E9" w:rsidP="00EA78D2" w14:paraId="043BC490" w14:textId="77777777">
      <w:pPr>
        <w:autoSpaceDE w:val="0"/>
        <w:autoSpaceDN w:val="0"/>
        <w:adjustRightInd w:val="0"/>
      </w:pPr>
    </w:p>
    <w:p w:rsidR="00EA78D2" w:rsidRPr="007215E9" w:rsidP="00EA78D2" w14:paraId="03F06EFB" w14:textId="77777777">
      <w:pPr>
        <w:autoSpaceDE w:val="0"/>
        <w:autoSpaceDN w:val="0"/>
        <w:adjustRightInd w:val="0"/>
      </w:pPr>
      <w:r w:rsidRPr="00425082">
        <w:t>Th</w:t>
      </w:r>
      <w:r w:rsidRPr="00856870">
        <w:t>is information collection does not involve sensitive matters</w:t>
      </w:r>
      <w:r>
        <w:t>.</w:t>
      </w:r>
    </w:p>
    <w:p w:rsidR="00EA78D2" w:rsidRPr="007215E9" w:rsidP="00EA78D2" w14:paraId="39DE3C2C" w14:textId="77777777">
      <w:pPr>
        <w:autoSpaceDE w:val="0"/>
        <w:autoSpaceDN w:val="0"/>
        <w:adjustRightInd w:val="0"/>
      </w:pPr>
    </w:p>
    <w:p w:rsidR="00EA78D2" w:rsidP="002E445D" w14:paraId="1DB7252D" w14:textId="77777777">
      <w:pPr>
        <w:tabs>
          <w:tab w:val="right" w:pos="360"/>
        </w:tabs>
        <w:autoSpaceDE w:val="0"/>
        <w:autoSpaceDN w:val="0"/>
        <w:adjustRightInd w:val="0"/>
        <w:ind w:left="540" w:hanging="540"/>
        <w:rPr>
          <w:i/>
        </w:rPr>
      </w:pPr>
      <w:r w:rsidRPr="007215E9">
        <w:rPr>
          <w:i/>
        </w:rPr>
        <w:tab/>
        <w:t>12.</w:t>
      </w:r>
      <w:r w:rsidRPr="007215E9">
        <w:rPr>
          <w:i/>
        </w:rPr>
        <w:tab/>
        <w:t xml:space="preserve">Provide estimates of the hour burden of the collection of information. </w:t>
      </w:r>
    </w:p>
    <w:p w:rsidR="002E445D" w:rsidRPr="002E445D" w:rsidP="002E445D" w14:paraId="1619E3E0" w14:textId="77777777">
      <w:pPr>
        <w:tabs>
          <w:tab w:val="right" w:pos="360"/>
        </w:tabs>
        <w:autoSpaceDE w:val="0"/>
        <w:autoSpaceDN w:val="0"/>
        <w:adjustRightInd w:val="0"/>
        <w:ind w:left="540" w:hanging="540"/>
        <w:rPr>
          <w:i/>
        </w:rPr>
      </w:pPr>
    </w:p>
    <w:p w:rsidR="002B2C9A" w:rsidRPr="00FC3210" w:rsidP="0566EC41" w14:paraId="2EE43603" w14:textId="6844BB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T</w:t>
      </w:r>
      <w:r w:rsidR="00BA0D7C">
        <w:t xml:space="preserve">he </w:t>
      </w:r>
      <w:r w:rsidRPr="002B2C9A">
        <w:t xml:space="preserve">attestation form </w:t>
      </w:r>
      <w:r w:rsidRPr="002B2C9A" w:rsidR="006F484C">
        <w:t>include</w:t>
      </w:r>
      <w:r>
        <w:t>s</w:t>
      </w:r>
      <w:r w:rsidRPr="002B2C9A" w:rsidR="006F484C">
        <w:t xml:space="preserve"> </w:t>
      </w:r>
      <w:r w:rsidR="004D73F4">
        <w:t xml:space="preserve">attestations, including an attestation that the employer meets the </w:t>
      </w:r>
      <w:r w:rsidRPr="002B2C9A">
        <w:t>irreparable harm standard</w:t>
      </w:r>
      <w:r w:rsidR="004D73F4">
        <w:t>,</w:t>
      </w:r>
      <w:r w:rsidRPr="002B2C9A">
        <w:t xml:space="preserve"> and document retention obligations</w:t>
      </w:r>
      <w:r w:rsidR="00793C8C">
        <w:t xml:space="preserve"> spelled out in the </w:t>
      </w:r>
      <w:r w:rsidR="004D73F4">
        <w:t>TFR</w:t>
      </w:r>
      <w:r w:rsidR="00793C8C">
        <w:t xml:space="preserve"> </w:t>
      </w:r>
      <w:r w:rsidR="004D73F4">
        <w:t>and described</w:t>
      </w:r>
      <w:r w:rsidR="00793C8C">
        <w:t xml:space="preserve"> above</w:t>
      </w:r>
      <w:r w:rsidRPr="002B2C9A">
        <w:t xml:space="preserve">.  DOL </w:t>
      </w:r>
      <w:r w:rsidRPr="002B2C9A" w:rsidR="006F484C">
        <w:t>estimate</w:t>
      </w:r>
      <w:r>
        <w:t>s</w:t>
      </w:r>
      <w:r w:rsidRPr="002B2C9A" w:rsidR="006F484C">
        <w:t xml:space="preserve"> </w:t>
      </w:r>
      <w:r w:rsidRPr="002B2C9A">
        <w:t xml:space="preserve">the time burden for completing and signing the form </w:t>
      </w:r>
      <w:r w:rsidR="006F484C">
        <w:t>to be</w:t>
      </w:r>
      <w:r w:rsidRPr="002B2C9A" w:rsidR="006F484C">
        <w:t xml:space="preserve"> </w:t>
      </w:r>
      <w:r w:rsidRPr="002B2C9A">
        <w:t>0.25 hour</w:t>
      </w:r>
      <w:r w:rsidR="005750CA">
        <w:t>s</w:t>
      </w:r>
      <w:r w:rsidRPr="002B2C9A">
        <w:t xml:space="preserve"> and 0.</w:t>
      </w:r>
      <w:r w:rsidR="00C3385E">
        <w:t>7</w:t>
      </w:r>
      <w:r w:rsidRPr="002B2C9A">
        <w:t>5 hour</w:t>
      </w:r>
      <w:r w:rsidR="005750CA">
        <w:t>s</w:t>
      </w:r>
      <w:r w:rsidRPr="002B2C9A">
        <w:t xml:space="preserve"> for notifying third parties and retaining records relating to the returning worker requirements.  Using the total </w:t>
      </w:r>
      <w:r w:rsidR="005750CA">
        <w:t>hourly</w:t>
      </w:r>
      <w:r w:rsidRPr="002B2C9A">
        <w:t xml:space="preserve"> wage for an HR </w:t>
      </w:r>
      <w:r w:rsidRPr="00FC3210">
        <w:t>specialist (</w:t>
      </w:r>
      <w:r w:rsidRPr="00196645">
        <w:t>$</w:t>
      </w:r>
      <w:r w:rsidRPr="00667C16" w:rsidR="1BDB33CB">
        <w:t>53.03</w:t>
      </w:r>
      <w:r w:rsidRPr="00FC3210">
        <w:t xml:space="preserve">), the </w:t>
      </w:r>
      <w:r w:rsidRPr="00FC3210" w:rsidR="00BA0D7C">
        <w:t xml:space="preserve">estimated </w:t>
      </w:r>
      <w:r w:rsidRPr="00FC3210">
        <w:t>opportunity cost of time for an HR specialist to complete the attestation form</w:t>
      </w:r>
      <w:r w:rsidRPr="00FC3210" w:rsidR="00E61233">
        <w:t>,</w:t>
      </w:r>
      <w:r w:rsidRPr="00FC3210">
        <w:t xml:space="preserve"> notify third parties</w:t>
      </w:r>
      <w:r w:rsidRPr="00FC3210" w:rsidR="00035B75">
        <w:t>,</w:t>
      </w:r>
      <w:r w:rsidRPr="00FC3210">
        <w:t xml:space="preserve"> and retain records relating to the returning worker requirements, is </w:t>
      </w:r>
      <w:r w:rsidRPr="00667C16" w:rsidR="39862090">
        <w:t>$</w:t>
      </w:r>
      <w:r w:rsidRPr="00667C16" w:rsidR="1A5C7C4D">
        <w:t>53.03</w:t>
      </w:r>
      <w:r w:rsidRPr="00FC3210" w:rsidR="00165724">
        <w:t xml:space="preserve"> per response</w:t>
      </w:r>
      <w:r w:rsidRPr="00FC3210">
        <w:t>.</w:t>
      </w:r>
      <w:r>
        <w:rPr>
          <w:vertAlign w:val="superscript"/>
        </w:rPr>
        <w:footnoteReference w:id="4"/>
      </w:r>
      <w:r w:rsidRPr="00FC3210">
        <w:t xml:space="preserve"> </w:t>
      </w:r>
    </w:p>
    <w:p w:rsidR="00032663" w:rsidRPr="00FC3210" w:rsidP="0566EC41" w14:paraId="26FB0E6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2B2C9A" w:rsidRPr="00FC3210" w:rsidP="002B2C9A" w14:paraId="03F8E4A4" w14:textId="12FB75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FC3210">
        <w:t xml:space="preserve">Additionally, </w:t>
      </w:r>
      <w:r w:rsidRPr="00FC3210" w:rsidR="00912C45">
        <w:t xml:space="preserve">employers </w:t>
      </w:r>
      <w:r w:rsidRPr="00FC3210" w:rsidR="00551117">
        <w:t xml:space="preserve">are </w:t>
      </w:r>
      <w:r w:rsidRPr="00FC3210" w:rsidR="006F484C">
        <w:t>required to</w:t>
      </w:r>
      <w:r w:rsidRPr="00FC3210">
        <w:t xml:space="preserve"> assess and document supporting evidence for meeting the irreparable harm standard</w:t>
      </w:r>
      <w:r w:rsidRPr="00FC3210" w:rsidR="00A15CE8">
        <w:t>. Employers are also required to</w:t>
      </w:r>
      <w:r w:rsidRPr="00FC3210">
        <w:t xml:space="preserve"> retain </w:t>
      </w:r>
      <w:r w:rsidRPr="00FC3210" w:rsidR="00A15CE8">
        <w:t>all</w:t>
      </w:r>
      <w:r w:rsidRPr="00FC3210">
        <w:t xml:space="preserve"> records</w:t>
      </w:r>
      <w:r w:rsidRPr="00FC3210" w:rsidR="00A15CE8">
        <w:t xml:space="preserve"> associated with these attestations and with their requests for H-2B workers </w:t>
      </w:r>
      <w:r w:rsidRPr="00FC3210" w:rsidR="004D73F4">
        <w:t>pursuant to the TFR</w:t>
      </w:r>
      <w:r w:rsidRPr="00FC3210" w:rsidR="00793C8C">
        <w:t>.</w:t>
      </w:r>
      <w:r w:rsidRPr="00FC3210">
        <w:t xml:space="preserve"> </w:t>
      </w:r>
      <w:r w:rsidRPr="00FC3210" w:rsidR="00793C8C">
        <w:t xml:space="preserve"> </w:t>
      </w:r>
      <w:r w:rsidRPr="00FC3210">
        <w:t>DOL estimate</w:t>
      </w:r>
      <w:r w:rsidRPr="00FC3210" w:rsidR="00551117">
        <w:t>s</w:t>
      </w:r>
      <w:r w:rsidRPr="00FC3210">
        <w:t xml:space="preserve"> the </w:t>
      </w:r>
      <w:r w:rsidRPr="00FC3210" w:rsidR="00A15CE8">
        <w:t xml:space="preserve">average </w:t>
      </w:r>
      <w:r w:rsidRPr="00FC3210">
        <w:t xml:space="preserve">time burden </w:t>
      </w:r>
      <w:r w:rsidRPr="00FC3210" w:rsidR="000A34E0">
        <w:t>for complying with the recordkeeping requirement is approximately 0.</w:t>
      </w:r>
      <w:r w:rsidRPr="00FC3210" w:rsidR="00A15CE8">
        <w:t xml:space="preserve">25 </w:t>
      </w:r>
      <w:r w:rsidRPr="00FC3210" w:rsidR="000A34E0">
        <w:t>hour (</w:t>
      </w:r>
      <w:r w:rsidRPr="00FC3210" w:rsidR="00A15CE8">
        <w:t xml:space="preserve">15 </w:t>
      </w:r>
      <w:r w:rsidRPr="00FC3210" w:rsidR="000A34E0">
        <w:t>minutes)</w:t>
      </w:r>
      <w:r w:rsidRPr="00FC3210" w:rsidR="00AF688D">
        <w:t>.</w:t>
      </w:r>
    </w:p>
    <w:p w:rsidR="002B2C9A" w:rsidRPr="00FC3210" w:rsidP="002B2C9A" w14:paraId="7E6808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2B2C9A" w:rsidRPr="00FC3210" w:rsidP="00667C16" w14:paraId="782DF8EC" w14:textId="18543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59" w:lineRule="auto"/>
      </w:pPr>
      <w:r>
        <w:t xml:space="preserve">DOL believes that </w:t>
      </w:r>
      <w:r w:rsidR="002B3B7C">
        <w:t xml:space="preserve">an </w:t>
      </w:r>
      <w:r>
        <w:t xml:space="preserve">estimated </w:t>
      </w:r>
      <w:r w:rsidR="00E47DB8">
        <w:t>4,3</w:t>
      </w:r>
      <w:r w:rsidR="59B26211">
        <w:t>73</w:t>
      </w:r>
      <w:r w:rsidR="00DE3ED1">
        <w:t xml:space="preserve"> </w:t>
      </w:r>
      <w:r>
        <w:t xml:space="preserve">remaining unfilled certifications for FY </w:t>
      </w:r>
      <w:r w:rsidR="004B41E7">
        <w:t xml:space="preserve">2025 </w:t>
      </w:r>
      <w:r w:rsidR="002B3B7C">
        <w:t xml:space="preserve">will </w:t>
      </w:r>
      <w:r>
        <w:t xml:space="preserve">include all potential employers </w:t>
      </w:r>
      <w:r w:rsidR="00AF688D">
        <w:t xml:space="preserve">that </w:t>
      </w:r>
      <w:r>
        <w:t>might request to employ H-2B workers under th</w:t>
      </w:r>
      <w:r w:rsidR="00004579">
        <w:t>e</w:t>
      </w:r>
      <w:r>
        <w:t xml:space="preserve"> TFR.  This number of certifications is a reasonable proxy for the </w:t>
      </w:r>
      <w:r w:rsidR="00A15CE8">
        <w:t xml:space="preserve">estimated </w:t>
      </w:r>
      <w:r>
        <w:t xml:space="preserve">number of employers </w:t>
      </w:r>
      <w:r w:rsidR="00AF688D">
        <w:t xml:space="preserve">that </w:t>
      </w:r>
      <w:r w:rsidR="000E1B06">
        <w:t xml:space="preserve">will need </w:t>
      </w:r>
      <w:r>
        <w:t>to review and sign the attestation</w:t>
      </w:r>
      <w:r w:rsidR="002B3B7C">
        <w:t xml:space="preserve"> based on the average number of workers requested on each H-2B </w:t>
      </w:r>
      <w:r w:rsidRPr="70DCDC99">
        <w:rPr>
          <w:i/>
          <w:iCs/>
        </w:rPr>
        <w:t>Application for Temporary Employment Certification</w:t>
      </w:r>
      <w:r>
        <w:t>.  Using this estimate for the total number of certifications, DOL estimates that the cost for HR specialists</w:t>
      </w:r>
      <w:r w:rsidR="001D1679">
        <w:t xml:space="preserve"> conducting the recordkeeping activities</w:t>
      </w:r>
      <w:r>
        <w:t xml:space="preserve"> is </w:t>
      </w:r>
      <w:r w:rsidRPr="00196645">
        <w:t>$</w:t>
      </w:r>
      <w:r w:rsidR="7038E8C3">
        <w:t>57,975</w:t>
      </w:r>
      <w:r w:rsidRPr="00196645">
        <w:t>.</w:t>
      </w:r>
      <w:r>
        <w:t xml:space="preserve">  </w:t>
      </w:r>
    </w:p>
    <w:p w:rsidR="002B2C9A" w:rsidRPr="00FC3210" w:rsidP="003A5B19" w14:paraId="16B371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rsidR="003B03B9" w:rsidP="003B03B9" w14:paraId="7D0E11F3" w14:textId="77777777">
      <w:r w:rsidRPr="00FC3210">
        <w:t>The burden for this ICR is summarized in the following table:</w:t>
      </w:r>
    </w:p>
    <w:p w:rsidR="003B03B9" w:rsidP="003B03B9" w14:paraId="1FD390F7" w14:textId="77777777"/>
    <w:p w:rsidR="003A5B19" w:rsidRPr="003A5B19" w:rsidP="001C1EE9" w14:paraId="126D069C" w14:textId="057A74BF">
      <w:pPr>
        <w:jc w:val="center"/>
        <w:rPr>
          <w:i/>
          <w:sz w:val="18"/>
        </w:rPr>
      </w:pPr>
      <w:r w:rsidRPr="003A5B19">
        <w:rPr>
          <w:rFonts w:eastAsia="Calibri"/>
          <w:b/>
        </w:rPr>
        <w:t>E</w:t>
      </w:r>
      <w:r w:rsidRPr="003A5B19">
        <w:rPr>
          <w:rFonts w:eastAsia="Calibri"/>
          <w:b/>
          <w:bCs/>
        </w:rPr>
        <w:t xml:space="preserve">stimated Annualized Respondent Hour and Cost Burdens </w:t>
      </w:r>
    </w:p>
    <w:p w:rsidR="003A5B19" w:rsidRPr="003A5B19" w:rsidP="003A5B19" w14:paraId="7BA34EF5" w14:textId="45DD7D4E">
      <w:pPr>
        <w:rPr>
          <w:i/>
          <w:sz w:val="18"/>
        </w:rPr>
      </w:pPr>
    </w:p>
    <w:p w:rsidR="004034DE" w:rsidRPr="004034DE" w:rsidP="004034DE" w14:paraId="4319075D" w14:textId="115E41BC">
      <w:pPr>
        <w:rPr>
          <w:i/>
          <w:sz w:val="18"/>
        </w:rPr>
      </w:pPr>
    </w:p>
    <w:tbl>
      <w:tblPr>
        <w:tblW w:w="9980" w:type="dxa"/>
        <w:tblLayout w:type="fixed"/>
        <w:tblCellMar>
          <w:left w:w="0" w:type="dxa"/>
          <w:right w:w="0" w:type="dxa"/>
        </w:tblCellMar>
        <w:tblLook w:val="04A0"/>
      </w:tblPr>
      <w:tblGrid>
        <w:gridCol w:w="1430"/>
        <w:gridCol w:w="1350"/>
        <w:gridCol w:w="1170"/>
        <w:gridCol w:w="1440"/>
        <w:gridCol w:w="1080"/>
        <w:gridCol w:w="900"/>
        <w:gridCol w:w="990"/>
        <w:gridCol w:w="1620"/>
      </w:tblGrid>
      <w:tr w14:paraId="2918BD79" w14:textId="46B1344E" w:rsidTr="003B6892">
        <w:tblPrEx>
          <w:tblW w:w="9980" w:type="dxa"/>
          <w:tblLayout w:type="fixed"/>
          <w:tblCellMar>
            <w:left w:w="0" w:type="dxa"/>
            <w:right w:w="0" w:type="dxa"/>
          </w:tblCellMar>
          <w:tblLook w:val="04A0"/>
        </w:tblPrEx>
        <w:trPr>
          <w:trHeight w:val="944"/>
        </w:trPr>
        <w:tc>
          <w:tcPr>
            <w:tcW w:w="143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323C4617" w14:textId="41131580">
            <w:pPr>
              <w:spacing w:line="276" w:lineRule="auto"/>
              <w:jc w:val="center"/>
              <w:rPr>
                <w:rFonts w:eastAsia="Calibri"/>
                <w:b/>
                <w:bCs/>
                <w:sz w:val="20"/>
                <w:szCs w:val="20"/>
              </w:rPr>
            </w:pPr>
            <w:r w:rsidRPr="0033241D">
              <w:rPr>
                <w:b/>
                <w:bCs/>
                <w:sz w:val="20"/>
                <w:szCs w:val="20"/>
              </w:rPr>
              <w:t>Forms</w:t>
            </w:r>
          </w:p>
        </w:tc>
        <w:tc>
          <w:tcPr>
            <w:tcW w:w="135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4D59A8E3" w14:textId="0FAB88D1">
            <w:pPr>
              <w:spacing w:line="276" w:lineRule="auto"/>
              <w:jc w:val="center"/>
              <w:rPr>
                <w:rFonts w:eastAsia="Calibri"/>
                <w:b/>
                <w:bCs/>
                <w:sz w:val="20"/>
                <w:szCs w:val="20"/>
              </w:rPr>
            </w:pPr>
            <w:r w:rsidRPr="0033241D">
              <w:rPr>
                <w:b/>
                <w:bCs/>
                <w:sz w:val="20"/>
                <w:szCs w:val="20"/>
              </w:rPr>
              <w:t>Number</w:t>
            </w:r>
          </w:p>
          <w:p w:rsidR="004034DE" w:rsidRPr="0033241D" w:rsidP="0033241D" w14:paraId="03B0DFB7" w14:textId="6C60D4EA">
            <w:pPr>
              <w:spacing w:line="276" w:lineRule="auto"/>
              <w:jc w:val="center"/>
              <w:rPr>
                <w:rFonts w:eastAsia="Calibri"/>
                <w:b/>
                <w:bCs/>
                <w:sz w:val="20"/>
                <w:szCs w:val="20"/>
              </w:rPr>
            </w:pPr>
            <w:r w:rsidRPr="0033241D">
              <w:rPr>
                <w:b/>
                <w:bCs/>
                <w:sz w:val="20"/>
                <w:szCs w:val="20"/>
              </w:rPr>
              <w:t>of Respondents</w:t>
            </w:r>
          </w:p>
        </w:tc>
        <w:tc>
          <w:tcPr>
            <w:tcW w:w="117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33831B64" w14:textId="5CD55ECC">
            <w:pPr>
              <w:spacing w:line="276" w:lineRule="auto"/>
              <w:jc w:val="center"/>
              <w:rPr>
                <w:rFonts w:eastAsia="Calibri"/>
                <w:b/>
                <w:bCs/>
                <w:sz w:val="20"/>
                <w:szCs w:val="20"/>
              </w:rPr>
            </w:pPr>
            <w:r w:rsidRPr="0033241D">
              <w:rPr>
                <w:b/>
                <w:bCs/>
                <w:sz w:val="20"/>
                <w:szCs w:val="20"/>
              </w:rPr>
              <w:t>Frequency</w:t>
            </w:r>
          </w:p>
        </w:tc>
        <w:tc>
          <w:tcPr>
            <w:tcW w:w="144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47BE8FBD" w14:textId="162FD1EF">
            <w:pPr>
              <w:spacing w:line="276" w:lineRule="auto"/>
              <w:jc w:val="center"/>
              <w:rPr>
                <w:rFonts w:eastAsia="Calibri"/>
                <w:b/>
                <w:bCs/>
                <w:sz w:val="20"/>
                <w:szCs w:val="20"/>
              </w:rPr>
            </w:pPr>
            <w:r w:rsidRPr="0033241D">
              <w:rPr>
                <w:b/>
                <w:bCs/>
                <w:sz w:val="20"/>
                <w:szCs w:val="20"/>
              </w:rPr>
              <w:t xml:space="preserve">Total Number </w:t>
            </w:r>
            <w:r w:rsidRPr="0033241D" w:rsidR="00A910EB">
              <w:rPr>
                <w:b/>
                <w:bCs/>
                <w:sz w:val="20"/>
                <w:szCs w:val="20"/>
              </w:rPr>
              <w:t>of Responses</w:t>
            </w:r>
          </w:p>
        </w:tc>
        <w:tc>
          <w:tcPr>
            <w:tcW w:w="108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749D1947" w14:textId="164D0978">
            <w:pPr>
              <w:spacing w:line="276" w:lineRule="auto"/>
              <w:jc w:val="center"/>
              <w:rPr>
                <w:rFonts w:eastAsia="Calibri"/>
                <w:b/>
                <w:bCs/>
                <w:sz w:val="20"/>
                <w:szCs w:val="20"/>
              </w:rPr>
            </w:pPr>
            <w:r w:rsidRPr="0033241D">
              <w:rPr>
                <w:b/>
                <w:bCs/>
                <w:sz w:val="20"/>
                <w:szCs w:val="20"/>
              </w:rPr>
              <w:t>Time Per Response</w:t>
            </w:r>
          </w:p>
          <w:p w:rsidR="004034DE" w:rsidRPr="0033241D" w:rsidP="0033241D" w14:paraId="49DFADE8" w14:textId="38BD2E40">
            <w:pPr>
              <w:spacing w:line="276" w:lineRule="auto"/>
              <w:jc w:val="center"/>
              <w:rPr>
                <w:rFonts w:eastAsia="Calibri"/>
                <w:b/>
                <w:bCs/>
                <w:sz w:val="20"/>
                <w:szCs w:val="20"/>
              </w:rPr>
            </w:pPr>
            <w:r w:rsidRPr="0033241D">
              <w:rPr>
                <w:b/>
                <w:bCs/>
                <w:sz w:val="20"/>
                <w:szCs w:val="20"/>
              </w:rPr>
              <w:t>(In Hours)</w:t>
            </w:r>
          </w:p>
        </w:tc>
        <w:tc>
          <w:tcPr>
            <w:tcW w:w="90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251F7387" w14:textId="4C9F9B84">
            <w:pPr>
              <w:spacing w:line="276" w:lineRule="auto"/>
              <w:jc w:val="center"/>
              <w:rPr>
                <w:rFonts w:eastAsia="Calibri"/>
                <w:b/>
                <w:bCs/>
                <w:sz w:val="20"/>
                <w:szCs w:val="20"/>
              </w:rPr>
            </w:pPr>
            <w:r w:rsidRPr="0033241D">
              <w:rPr>
                <w:b/>
                <w:bCs/>
                <w:sz w:val="20"/>
                <w:szCs w:val="20"/>
              </w:rPr>
              <w:t>Total  Burden</w:t>
            </w:r>
            <w:r w:rsidRPr="0033241D">
              <w:rPr>
                <w:b/>
                <w:bCs/>
                <w:sz w:val="20"/>
                <w:szCs w:val="20"/>
              </w:rPr>
              <w:t xml:space="preserve"> Hours</w:t>
            </w:r>
          </w:p>
        </w:tc>
        <w:tc>
          <w:tcPr>
            <w:tcW w:w="99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429FB824" w14:textId="7155314C">
            <w:pPr>
              <w:spacing w:line="276" w:lineRule="auto"/>
              <w:jc w:val="center"/>
              <w:rPr>
                <w:rFonts w:eastAsia="Calibri"/>
                <w:b/>
                <w:bCs/>
                <w:sz w:val="20"/>
                <w:szCs w:val="20"/>
              </w:rPr>
            </w:pPr>
            <w:r w:rsidRPr="0033241D">
              <w:rPr>
                <w:b/>
                <w:bCs/>
                <w:sz w:val="20"/>
                <w:szCs w:val="20"/>
              </w:rPr>
              <w:t>Hourly Wage Rate*</w:t>
            </w:r>
          </w:p>
        </w:tc>
        <w:tc>
          <w:tcPr>
            <w:tcW w:w="162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vAlign w:val="center"/>
            <w:hideMark/>
          </w:tcPr>
          <w:p w:rsidR="004034DE" w:rsidRPr="0033241D" w:rsidP="0033241D" w14:paraId="04681C77" w14:textId="2470EF47">
            <w:pPr>
              <w:spacing w:line="276" w:lineRule="auto"/>
              <w:jc w:val="center"/>
              <w:rPr>
                <w:rFonts w:eastAsia="Calibri"/>
                <w:b/>
                <w:bCs/>
                <w:sz w:val="20"/>
                <w:szCs w:val="20"/>
              </w:rPr>
            </w:pPr>
            <w:r w:rsidRPr="0033241D">
              <w:rPr>
                <w:b/>
                <w:bCs/>
                <w:sz w:val="20"/>
                <w:szCs w:val="20"/>
              </w:rPr>
              <w:t>Total Burden Costs</w:t>
            </w:r>
          </w:p>
        </w:tc>
      </w:tr>
      <w:tr w14:paraId="4302509C" w14:textId="59750142" w:rsidTr="003B6892">
        <w:tblPrEx>
          <w:tblW w:w="9980" w:type="dxa"/>
          <w:tblLayout w:type="fixed"/>
          <w:tblCellMar>
            <w:left w:w="0" w:type="dxa"/>
            <w:right w:w="0" w:type="dxa"/>
          </w:tblCellMar>
          <w:tblLook w:val="04A0"/>
        </w:tblPrEx>
        <w:tc>
          <w:tcPr>
            <w:tcW w:w="1430"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rsidR="001E0301" w:rsidRPr="0033241D" w:rsidP="001E0301" w14:paraId="3529A64C" w14:textId="41B3A7B5">
            <w:pPr>
              <w:spacing w:line="276" w:lineRule="auto"/>
              <w:jc w:val="center"/>
              <w:rPr>
                <w:rFonts w:eastAsia="Calibri"/>
                <w:sz w:val="20"/>
                <w:szCs w:val="20"/>
              </w:rPr>
            </w:pPr>
            <w:r w:rsidRPr="00BF0076">
              <w:rPr>
                <w:color w:val="000000"/>
                <w:sz w:val="20"/>
                <w:szCs w:val="20"/>
              </w:rPr>
              <w:t>Completing Form ETA-9142-B-CAA-</w:t>
            </w:r>
            <w:r w:rsidRPr="00BF0076" w:rsidR="004B41E7">
              <w:rPr>
                <w:color w:val="000000"/>
                <w:sz w:val="20"/>
                <w:szCs w:val="20"/>
              </w:rPr>
              <w:t>9</w:t>
            </w:r>
          </w:p>
        </w:tc>
        <w:tc>
          <w:tcPr>
            <w:tcW w:w="13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4B41E7" w14:paraId="19DD7533" w14:textId="24359337">
            <w:pPr>
              <w:spacing w:line="276" w:lineRule="auto"/>
              <w:jc w:val="center"/>
            </w:pPr>
            <w:r w:rsidRPr="00667C16">
              <w:t>4,373</w:t>
            </w:r>
          </w:p>
        </w:tc>
        <w:tc>
          <w:tcPr>
            <w:tcW w:w="117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1E0301" w:rsidRPr="0033241D" w:rsidP="001E0301" w14:paraId="5FE5D2DB" w14:textId="51AFBA46">
            <w:pPr>
              <w:spacing w:line="276" w:lineRule="auto"/>
              <w:jc w:val="center"/>
              <w:rPr>
                <w:rFonts w:eastAsiaTheme="minorEastAsia"/>
                <w:sz w:val="20"/>
                <w:szCs w:val="20"/>
              </w:rPr>
            </w:pPr>
            <w:r w:rsidRPr="00C7028C">
              <w:t>1</w:t>
            </w:r>
          </w:p>
        </w:tc>
        <w:tc>
          <w:tcPr>
            <w:tcW w:w="14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667C16" w:rsidP="001E0301" w14:paraId="0ED717A5" w14:textId="365D61E6">
            <w:pPr>
              <w:spacing w:line="276" w:lineRule="auto"/>
              <w:jc w:val="center"/>
              <w:rPr>
                <w:rFonts w:eastAsiaTheme="minorEastAsia"/>
              </w:rPr>
            </w:pPr>
            <w:r w:rsidRPr="00667C16">
              <w:t>4,373</w:t>
            </w:r>
          </w:p>
        </w:tc>
        <w:tc>
          <w:tcPr>
            <w:tcW w:w="108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rsidR="001E0301" w:rsidRPr="0033241D" w:rsidP="001E0301" w14:paraId="6CB2C09F" w14:textId="116D2F38">
            <w:pPr>
              <w:spacing w:line="276" w:lineRule="auto"/>
              <w:jc w:val="center"/>
              <w:rPr>
                <w:rFonts w:eastAsiaTheme="minorEastAsia"/>
                <w:sz w:val="20"/>
                <w:szCs w:val="20"/>
              </w:rPr>
            </w:pPr>
            <w:r w:rsidRPr="00C7028C">
              <w:t>0.25</w:t>
            </w:r>
          </w:p>
        </w:tc>
        <w:tc>
          <w:tcPr>
            <w:tcW w:w="9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667C16" w:rsidP="001E0301" w14:paraId="20948FFF" w14:textId="378181E2">
            <w:pPr>
              <w:spacing w:line="276" w:lineRule="auto"/>
              <w:jc w:val="center"/>
              <w:rPr>
                <w:rFonts w:eastAsiaTheme="minorEastAsia"/>
                <w:sz w:val="20"/>
                <w:szCs w:val="20"/>
              </w:rPr>
            </w:pPr>
            <w:r w:rsidRPr="00196645">
              <w:t>1,</w:t>
            </w:r>
            <w:r w:rsidRPr="00196645" w:rsidR="00331699">
              <w:t>09</w:t>
            </w:r>
            <w:r w:rsidRPr="00667C16" w:rsidR="111455BF">
              <w:t>3</w:t>
            </w:r>
          </w:p>
        </w:tc>
        <w:tc>
          <w:tcPr>
            <w:tcW w:w="99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667C16" w:rsidP="001E0301" w14:paraId="7E64E367" w14:textId="5719D76F">
            <w:pPr>
              <w:spacing w:line="276" w:lineRule="auto"/>
              <w:jc w:val="center"/>
              <w:rPr>
                <w:rFonts w:eastAsiaTheme="minorEastAsia"/>
                <w:sz w:val="20"/>
                <w:szCs w:val="20"/>
              </w:rPr>
            </w:pPr>
            <w:r w:rsidRPr="00196645">
              <w:t>$5</w:t>
            </w:r>
            <w:r w:rsidRPr="00667C16" w:rsidR="4CD5661A">
              <w:t>3.03</w:t>
            </w:r>
          </w:p>
        </w:tc>
        <w:tc>
          <w:tcPr>
            <w:tcW w:w="16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667C16" w:rsidP="001E0301" w14:paraId="7F74E857" w14:textId="359D7346">
            <w:pPr>
              <w:spacing w:line="276" w:lineRule="auto"/>
              <w:jc w:val="center"/>
              <w:rPr>
                <w:rFonts w:eastAsiaTheme="minorEastAsia"/>
                <w:sz w:val="20"/>
                <w:szCs w:val="20"/>
              </w:rPr>
            </w:pPr>
            <w:r w:rsidRPr="00196645">
              <w:t>$</w:t>
            </w:r>
            <w:r w:rsidRPr="00667C16" w:rsidR="2BFED7C3">
              <w:t>57,962</w:t>
            </w:r>
          </w:p>
        </w:tc>
      </w:tr>
      <w:tr w14:paraId="58513C03" w14:textId="5E120B87" w:rsidTr="00137D8D">
        <w:tblPrEx>
          <w:tblW w:w="9980" w:type="dxa"/>
          <w:tblLayout w:type="fixed"/>
          <w:tblCellMar>
            <w:left w:w="0" w:type="dxa"/>
            <w:right w:w="0" w:type="dxa"/>
          </w:tblCellMar>
          <w:tblLook w:val="04A0"/>
        </w:tblPrEx>
        <w:trPr>
          <w:trHeight w:val="656"/>
        </w:trPr>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90325" w:rsidRPr="00BF0076" w:rsidP="00A90325" w14:paraId="22DD0592" w14:textId="2345155C">
            <w:pPr>
              <w:spacing w:line="276" w:lineRule="auto"/>
              <w:jc w:val="center"/>
              <w:rPr>
                <w:sz w:val="20"/>
                <w:szCs w:val="20"/>
              </w:rPr>
            </w:pPr>
            <w:r w:rsidRPr="00BF0076">
              <w:t>Recruitment efforts</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A90325" w:rsidRPr="004B41E7" w:rsidP="00A90325" w14:paraId="142B7C25" w14:textId="745C22E9">
            <w:pPr>
              <w:spacing w:line="276" w:lineRule="auto"/>
              <w:jc w:val="center"/>
              <w:rPr>
                <w:rFonts w:eastAsiaTheme="minorEastAsia"/>
              </w:rPr>
            </w:pPr>
            <w:r w:rsidRPr="00667C16">
              <w:t>1,400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A90325" w:rsidRPr="0033241D" w:rsidP="00A90325" w14:paraId="63466391" w14:textId="36E78C47">
            <w:pPr>
              <w:spacing w:line="276" w:lineRule="auto"/>
              <w:jc w:val="center"/>
              <w:rPr>
                <w:rFonts w:eastAsiaTheme="minorEastAsia"/>
                <w:sz w:val="20"/>
                <w:szCs w:val="20"/>
              </w:rPr>
            </w:pPr>
            <w:r w:rsidRPr="00C7028C">
              <w:t>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A90325" w:rsidRPr="00667C16" w:rsidP="00A90325" w14:paraId="1E66A07F" w14:textId="0DB446B9">
            <w:pPr>
              <w:spacing w:line="276" w:lineRule="auto"/>
              <w:jc w:val="center"/>
              <w:rPr>
                <w:rFonts w:eastAsiaTheme="minorEastAsia"/>
                <w:sz w:val="20"/>
                <w:szCs w:val="20"/>
              </w:rPr>
            </w:pPr>
            <w:r w:rsidRPr="00667C16">
              <w:t>1,400</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A90325" w:rsidRPr="0033241D" w:rsidP="00A90325" w14:paraId="6227F469" w14:textId="62581728">
            <w:pPr>
              <w:spacing w:line="276" w:lineRule="auto"/>
              <w:jc w:val="center"/>
              <w:rPr>
                <w:rFonts w:eastAsiaTheme="minorEastAsia"/>
                <w:sz w:val="20"/>
                <w:szCs w:val="20"/>
              </w:rPr>
            </w:pPr>
            <w:r w:rsidRPr="00C7028C">
              <w:t>3</w:t>
            </w:r>
          </w:p>
        </w:tc>
        <w:tc>
          <w:tcPr>
            <w:tcW w:w="9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A90325" w:rsidRPr="00667C16" w:rsidP="00A90325" w14:paraId="31D85CE7" w14:textId="5809E745">
            <w:pPr>
              <w:spacing w:line="276" w:lineRule="auto"/>
              <w:jc w:val="center"/>
              <w:rPr>
                <w:rFonts w:eastAsiaTheme="minorEastAsia"/>
              </w:rPr>
            </w:pPr>
            <w:r w:rsidRPr="00196645">
              <w:t>4,</w:t>
            </w:r>
            <w:r w:rsidRPr="00667C16" w:rsidR="3C8C2DC8">
              <w:t>200</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A90325" w:rsidRPr="00667C16" w:rsidP="00A90325" w14:paraId="5470CDF4" w14:textId="2DCAF0E9">
            <w:pPr>
              <w:spacing w:line="276" w:lineRule="auto"/>
              <w:jc w:val="center"/>
              <w:rPr>
                <w:rFonts w:eastAsiaTheme="minorEastAsia"/>
                <w:sz w:val="20"/>
                <w:szCs w:val="20"/>
              </w:rPr>
            </w:pPr>
            <w:r w:rsidRPr="00196645">
              <w:t>$5</w:t>
            </w:r>
            <w:r w:rsidRPr="00667C16" w:rsidR="5335DB86">
              <w:t>3.03</w:t>
            </w:r>
            <w:r w:rsidRPr="00196645">
              <w:t xml:space="preserve"> </w:t>
            </w:r>
          </w:p>
        </w:tc>
        <w:tc>
          <w:tcPr>
            <w:tcW w:w="16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A90325" w:rsidRPr="00667C16" w:rsidP="00A90325" w14:paraId="0699E0C9" w14:textId="5D88DB15">
            <w:pPr>
              <w:spacing w:line="276" w:lineRule="auto"/>
              <w:jc w:val="center"/>
              <w:rPr>
                <w:rFonts w:eastAsiaTheme="minorEastAsia"/>
                <w:sz w:val="20"/>
                <w:szCs w:val="20"/>
              </w:rPr>
            </w:pPr>
            <w:r w:rsidRPr="00196645">
              <w:t>$</w:t>
            </w:r>
            <w:r w:rsidRPr="00667C16" w:rsidR="0EDF8D39">
              <w:t>222,726</w:t>
            </w:r>
            <w:r w:rsidRPr="00196645">
              <w:t xml:space="preserve"> </w:t>
            </w:r>
          </w:p>
        </w:tc>
      </w:tr>
      <w:tr w14:paraId="0B7CF334" w14:textId="2ED5EB14" w:rsidTr="00137D8D">
        <w:tblPrEx>
          <w:tblW w:w="9980" w:type="dxa"/>
          <w:tblLayout w:type="fixed"/>
          <w:tblCellMar>
            <w:left w:w="0" w:type="dxa"/>
            <w:right w:w="0" w:type="dxa"/>
          </w:tblCellMar>
          <w:tblLook w:val="04A0"/>
        </w:tblPrEx>
        <w:trPr>
          <w:trHeight w:val="656"/>
        </w:trPr>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0301" w:rsidRPr="00BF0076" w:rsidP="001E0301" w14:paraId="7CD7799A" w14:textId="1EE6C40A">
            <w:pPr>
              <w:spacing w:line="276" w:lineRule="auto"/>
              <w:jc w:val="center"/>
              <w:rPr>
                <w:sz w:val="20"/>
                <w:szCs w:val="20"/>
              </w:rPr>
            </w:pPr>
            <w:r w:rsidRPr="00BF0076">
              <w:rPr>
                <w:color w:val="000000"/>
                <w:sz w:val="20"/>
                <w:szCs w:val="20"/>
              </w:rPr>
              <w:t>Record keeping</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1E0301" w:rsidRPr="004B41E7" w:rsidP="001E0301" w14:paraId="71610E64" w14:textId="6649968F">
            <w:pPr>
              <w:spacing w:line="276" w:lineRule="auto"/>
              <w:jc w:val="center"/>
              <w:rPr>
                <w:rFonts w:eastAsiaTheme="minorEastAsia"/>
              </w:rPr>
            </w:pPr>
            <w:r w:rsidRPr="00667C16">
              <w:t>4,373</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E0301" w:rsidRPr="0033241D" w:rsidP="001E0301" w14:paraId="3371FF80" w14:textId="0EACAFEA">
            <w:pPr>
              <w:spacing w:line="276" w:lineRule="auto"/>
              <w:jc w:val="center"/>
              <w:rPr>
                <w:rFonts w:eastAsiaTheme="minorEastAsia"/>
                <w:sz w:val="20"/>
                <w:szCs w:val="20"/>
              </w:rPr>
            </w:pPr>
            <w:r w:rsidRPr="00C7028C">
              <w:t>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1E0301" w:rsidRPr="00667C16" w:rsidP="001E0301" w14:paraId="37639E01" w14:textId="3021D54D">
            <w:pPr>
              <w:spacing w:line="276" w:lineRule="auto"/>
              <w:jc w:val="center"/>
              <w:rPr>
                <w:rFonts w:eastAsiaTheme="minorEastAsia"/>
              </w:rPr>
            </w:pPr>
            <w:r w:rsidRPr="00667C16">
              <w:t>4,373</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E0301" w:rsidRPr="0033241D" w:rsidP="001E0301" w14:paraId="03B1514D" w14:textId="277F3488">
            <w:pPr>
              <w:spacing w:line="276" w:lineRule="auto"/>
              <w:jc w:val="center"/>
              <w:rPr>
                <w:rFonts w:eastAsiaTheme="minorEastAsia"/>
                <w:sz w:val="20"/>
                <w:szCs w:val="20"/>
              </w:rPr>
            </w:pPr>
            <w:r w:rsidRPr="00C7028C">
              <w:t>0.25</w:t>
            </w:r>
          </w:p>
        </w:tc>
        <w:tc>
          <w:tcPr>
            <w:tcW w:w="9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667C16" w:rsidP="001E0301" w14:paraId="4488AEA5" w14:textId="1D00AD49">
            <w:pPr>
              <w:spacing w:line="276" w:lineRule="auto"/>
              <w:jc w:val="center"/>
              <w:rPr>
                <w:rFonts w:eastAsiaTheme="minorEastAsia"/>
                <w:sz w:val="20"/>
                <w:szCs w:val="20"/>
              </w:rPr>
            </w:pPr>
            <w:r w:rsidRPr="00196645">
              <w:t>1,0</w:t>
            </w:r>
            <w:r w:rsidRPr="00196645" w:rsidR="00331699">
              <w:t>9</w:t>
            </w:r>
            <w:r w:rsidRPr="00667C16" w:rsidR="7C8BD04E">
              <w:t>3</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E0301" w:rsidRPr="00667C16" w:rsidP="001E0301" w14:paraId="4AA0C835" w14:textId="518EC284">
            <w:pPr>
              <w:spacing w:line="276" w:lineRule="auto"/>
              <w:jc w:val="center"/>
              <w:rPr>
                <w:rFonts w:eastAsiaTheme="minorEastAsia"/>
                <w:sz w:val="20"/>
                <w:szCs w:val="20"/>
              </w:rPr>
            </w:pPr>
            <w:r w:rsidRPr="00196645">
              <w:t>$5</w:t>
            </w:r>
            <w:r w:rsidRPr="00667C16" w:rsidR="0CE632A1">
              <w:t>3.03</w:t>
            </w:r>
          </w:p>
        </w:tc>
        <w:tc>
          <w:tcPr>
            <w:tcW w:w="16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667C16" w:rsidP="001E0301" w14:paraId="152D720C" w14:textId="7DDC82A4">
            <w:pPr>
              <w:spacing w:line="276" w:lineRule="auto"/>
              <w:jc w:val="center"/>
              <w:rPr>
                <w:rFonts w:eastAsiaTheme="minorEastAsia"/>
                <w:sz w:val="20"/>
                <w:szCs w:val="20"/>
              </w:rPr>
            </w:pPr>
            <w:r w:rsidRPr="00196645">
              <w:t>$</w:t>
            </w:r>
            <w:r w:rsidRPr="00667C16" w:rsidR="4E160B23">
              <w:t>57,962</w:t>
            </w:r>
          </w:p>
        </w:tc>
      </w:tr>
      <w:tr w14:paraId="17984CF2" w14:textId="425CB6EC" w:rsidTr="00137D8D">
        <w:tblPrEx>
          <w:tblW w:w="9980" w:type="dxa"/>
          <w:tblLayout w:type="fixed"/>
          <w:tblCellMar>
            <w:left w:w="0" w:type="dxa"/>
            <w:right w:w="0" w:type="dxa"/>
          </w:tblCellMar>
          <w:tblLook w:val="04A0"/>
        </w:tblPrEx>
        <w:trPr>
          <w:trHeight w:val="656"/>
        </w:trPr>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E0301" w:rsidRPr="00BF0076" w:rsidP="001E0301" w14:paraId="4ADB4604" w14:textId="47E0EFB2">
            <w:pPr>
              <w:spacing w:line="276" w:lineRule="auto"/>
              <w:jc w:val="center"/>
              <w:rPr>
                <w:sz w:val="20"/>
                <w:szCs w:val="20"/>
              </w:rPr>
            </w:pPr>
            <w:r w:rsidRPr="00BF0076">
              <w:rPr>
                <w:color w:val="000000"/>
                <w:sz w:val="20"/>
                <w:szCs w:val="20"/>
              </w:rPr>
              <w:t>Returning Workers’ attestation</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1E0301" w:rsidRPr="00667C16" w:rsidP="001E0301" w14:paraId="5919DD05" w14:textId="0F8CD906">
            <w:pPr>
              <w:spacing w:line="276" w:lineRule="auto"/>
              <w:jc w:val="center"/>
              <w:rPr>
                <w:rFonts w:eastAsiaTheme="minorEastAsia"/>
              </w:rPr>
            </w:pPr>
            <w:r w:rsidRPr="00667C16">
              <w:t>4,373</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rsidR="001E0301" w:rsidRPr="0033241D" w:rsidP="001E0301" w14:paraId="5040F34A" w14:textId="0FFDE31D">
            <w:pPr>
              <w:spacing w:line="276" w:lineRule="auto"/>
              <w:jc w:val="center"/>
              <w:rPr>
                <w:rFonts w:eastAsiaTheme="minorEastAsia"/>
                <w:sz w:val="20"/>
                <w:szCs w:val="20"/>
              </w:rPr>
            </w:pPr>
            <w:r w:rsidRPr="00C7028C">
              <w:t>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1E0301" w:rsidRPr="00667C16" w:rsidP="001E0301" w14:paraId="66C23BFE" w14:textId="296E7001">
            <w:pPr>
              <w:spacing w:line="276" w:lineRule="auto"/>
              <w:jc w:val="center"/>
              <w:rPr>
                <w:rFonts w:eastAsiaTheme="minorEastAsia"/>
              </w:rPr>
            </w:pPr>
            <w:r w:rsidRPr="00667C16">
              <w:t>4,373</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rsidR="001E0301" w:rsidRPr="0033241D" w:rsidP="001E0301" w14:paraId="44845E82" w14:textId="5436F8C9">
            <w:pPr>
              <w:spacing w:line="276" w:lineRule="auto"/>
              <w:jc w:val="center"/>
              <w:rPr>
                <w:rFonts w:eastAsiaTheme="minorEastAsia"/>
                <w:sz w:val="20"/>
                <w:szCs w:val="20"/>
              </w:rPr>
            </w:pPr>
            <w:r w:rsidRPr="00C7028C">
              <w:t>0.5</w:t>
            </w:r>
          </w:p>
        </w:tc>
        <w:tc>
          <w:tcPr>
            <w:tcW w:w="9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667C16" w:rsidP="001E0301" w14:paraId="252A75E6" w14:textId="0CCBB261">
            <w:pPr>
              <w:spacing w:line="276" w:lineRule="auto"/>
              <w:jc w:val="center"/>
              <w:rPr>
                <w:rFonts w:eastAsiaTheme="minorEastAsia"/>
                <w:sz w:val="20"/>
                <w:szCs w:val="20"/>
              </w:rPr>
            </w:pPr>
            <w:r w:rsidRPr="00196645">
              <w:t>2,1</w:t>
            </w:r>
            <w:r w:rsidRPr="00196645" w:rsidR="00331699">
              <w:t>8</w:t>
            </w:r>
            <w:r w:rsidRPr="00667C16" w:rsidR="26B263DF">
              <w:t>7</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E0301" w:rsidRPr="00667C16" w:rsidP="001E0301" w14:paraId="68F9B5C5" w14:textId="3B9E4888">
            <w:pPr>
              <w:spacing w:line="276" w:lineRule="auto"/>
              <w:jc w:val="center"/>
              <w:rPr>
                <w:rFonts w:eastAsiaTheme="minorEastAsia"/>
                <w:sz w:val="20"/>
                <w:szCs w:val="20"/>
              </w:rPr>
            </w:pPr>
            <w:r w:rsidRPr="00196645">
              <w:t>$5</w:t>
            </w:r>
            <w:r w:rsidRPr="00667C16" w:rsidR="4C2155AB">
              <w:t>3.03</w:t>
            </w:r>
          </w:p>
        </w:tc>
        <w:tc>
          <w:tcPr>
            <w:tcW w:w="16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667C16" w:rsidP="2C783F6D" w14:paraId="4EBF2FC4" w14:textId="52CEAD36">
            <w:pPr>
              <w:spacing w:line="276" w:lineRule="auto"/>
              <w:jc w:val="center"/>
              <w:rPr>
                <w:rFonts w:eastAsiaTheme="minorEastAsia"/>
                <w:sz w:val="20"/>
                <w:szCs w:val="20"/>
              </w:rPr>
            </w:pPr>
            <w:r w:rsidRPr="00196645">
              <w:t>$</w:t>
            </w:r>
            <w:r w:rsidRPr="00667C16" w:rsidR="6B59F94F">
              <w:t>115,977</w:t>
            </w:r>
          </w:p>
        </w:tc>
      </w:tr>
      <w:tr w14:paraId="7CEEFDA4" w14:textId="721D760F" w:rsidTr="00137D8D">
        <w:tblPrEx>
          <w:tblW w:w="9980" w:type="dxa"/>
          <w:tblLayout w:type="fixed"/>
          <w:tblCellMar>
            <w:left w:w="0" w:type="dxa"/>
            <w:right w:w="0" w:type="dxa"/>
          </w:tblCellMar>
          <w:tblLook w:val="04A0"/>
        </w:tblPrEx>
        <w:trPr>
          <w:trHeight w:val="656"/>
        </w:trPr>
        <w:tc>
          <w:tcPr>
            <w:tcW w:w="14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E0301" w:rsidRPr="00BF0076" w:rsidP="001E0301" w14:paraId="48CC921E" w14:textId="3FAC5668">
            <w:pPr>
              <w:spacing w:line="276" w:lineRule="auto"/>
              <w:jc w:val="center"/>
              <w:rPr>
                <w:rFonts w:eastAsia="Calibri"/>
                <w:sz w:val="20"/>
                <w:szCs w:val="20"/>
              </w:rPr>
            </w:pPr>
            <w:r w:rsidRPr="00BF0076">
              <w:rPr>
                <w:color w:val="000000"/>
                <w:sz w:val="20"/>
                <w:szCs w:val="20"/>
              </w:rPr>
              <w:t>Irreparable harm step</w:t>
            </w: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rsidR="001E0301" w:rsidRPr="00667C16" w:rsidP="001E0301" w14:paraId="6B0E5732" w14:textId="5DD7E235">
            <w:pPr>
              <w:spacing w:line="276" w:lineRule="auto"/>
              <w:jc w:val="center"/>
              <w:rPr>
                <w:rFonts w:eastAsiaTheme="minorEastAsia"/>
                <w:sz w:val="20"/>
                <w:szCs w:val="20"/>
              </w:rPr>
            </w:pPr>
            <w:r w:rsidRPr="00667C16">
              <w:t>4,373</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rsidR="001E0301" w:rsidRPr="0033241D" w:rsidP="001E0301" w14:paraId="20341240" w14:textId="038C8719">
            <w:pPr>
              <w:spacing w:line="276" w:lineRule="auto"/>
              <w:jc w:val="center"/>
              <w:rPr>
                <w:rFonts w:eastAsiaTheme="minorEastAsia"/>
                <w:sz w:val="20"/>
                <w:szCs w:val="20"/>
              </w:rPr>
            </w:pPr>
            <w:r w:rsidRPr="00C7028C">
              <w:t>1</w:t>
            </w:r>
          </w:p>
        </w:tc>
        <w:tc>
          <w:tcPr>
            <w:tcW w:w="1440" w:type="dxa"/>
            <w:tcBorders>
              <w:top w:val="nil"/>
              <w:left w:val="nil"/>
              <w:bottom w:val="single" w:sz="8" w:space="0" w:color="auto"/>
              <w:right w:val="single" w:sz="8" w:space="0" w:color="auto"/>
            </w:tcBorders>
            <w:tcMar>
              <w:top w:w="0" w:type="dxa"/>
              <w:left w:w="108" w:type="dxa"/>
              <w:bottom w:w="0" w:type="dxa"/>
              <w:right w:w="108" w:type="dxa"/>
            </w:tcMar>
          </w:tcPr>
          <w:p w:rsidR="001E0301" w:rsidRPr="00667C16" w:rsidP="001E0301" w14:paraId="08ACE91C" w14:textId="3E0DF32E">
            <w:pPr>
              <w:spacing w:line="276" w:lineRule="auto"/>
              <w:jc w:val="center"/>
              <w:rPr>
                <w:rFonts w:eastAsiaTheme="minorEastAsia"/>
              </w:rPr>
            </w:pPr>
            <w:r w:rsidRPr="00667C16">
              <w:t>4,373</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rsidR="001E0301" w:rsidRPr="0033241D" w:rsidP="001E0301" w14:paraId="6C779210" w14:textId="227BCEF6">
            <w:pPr>
              <w:spacing w:line="276" w:lineRule="auto"/>
              <w:jc w:val="center"/>
              <w:rPr>
                <w:rFonts w:eastAsiaTheme="minorEastAsia"/>
                <w:sz w:val="20"/>
                <w:szCs w:val="20"/>
              </w:rPr>
            </w:pPr>
            <w:r w:rsidRPr="00C7028C">
              <w:t>5</w:t>
            </w:r>
          </w:p>
        </w:tc>
        <w:tc>
          <w:tcPr>
            <w:tcW w:w="90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667C16" w:rsidP="001E0301" w14:paraId="422B672C" w14:textId="38370314">
            <w:pPr>
              <w:spacing w:line="276" w:lineRule="auto"/>
              <w:jc w:val="center"/>
              <w:rPr>
                <w:rFonts w:eastAsiaTheme="minorEastAsia"/>
                <w:sz w:val="20"/>
                <w:szCs w:val="20"/>
              </w:rPr>
            </w:pPr>
            <w:r w:rsidRPr="00196645">
              <w:t>21,</w:t>
            </w:r>
            <w:r w:rsidRPr="00667C16" w:rsidR="7DE4CE0A">
              <w:t>865</w:t>
            </w:r>
          </w:p>
        </w:tc>
        <w:tc>
          <w:tcPr>
            <w:tcW w:w="990" w:type="dxa"/>
            <w:tcBorders>
              <w:top w:val="nil"/>
              <w:left w:val="nil"/>
              <w:bottom w:val="single" w:sz="8" w:space="0" w:color="auto"/>
              <w:right w:val="single" w:sz="8" w:space="0" w:color="auto"/>
            </w:tcBorders>
            <w:tcMar>
              <w:top w:w="0" w:type="dxa"/>
              <w:left w:w="108" w:type="dxa"/>
              <w:bottom w:w="0" w:type="dxa"/>
              <w:right w:w="108" w:type="dxa"/>
            </w:tcMar>
          </w:tcPr>
          <w:p w:rsidR="001E0301" w:rsidRPr="00667C16" w:rsidP="001E0301" w14:paraId="1621EA77" w14:textId="46405B30">
            <w:pPr>
              <w:spacing w:line="276" w:lineRule="auto"/>
              <w:jc w:val="center"/>
              <w:rPr>
                <w:rFonts w:eastAsiaTheme="minorEastAsia"/>
                <w:sz w:val="20"/>
                <w:szCs w:val="20"/>
              </w:rPr>
            </w:pPr>
            <w:r w:rsidRPr="00196645">
              <w:t>$7</w:t>
            </w:r>
            <w:r w:rsidRPr="00667C16" w:rsidR="11BC0E47">
              <w:t>8.74</w:t>
            </w:r>
          </w:p>
        </w:tc>
        <w:tc>
          <w:tcPr>
            <w:tcW w:w="162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rsidR="001E0301" w:rsidRPr="00667C16" w:rsidP="001E0301" w14:paraId="2E2C84CA" w14:textId="2DF728AA">
            <w:pPr>
              <w:spacing w:line="276" w:lineRule="auto"/>
              <w:jc w:val="center"/>
              <w:rPr>
                <w:rFonts w:eastAsiaTheme="minorEastAsia"/>
                <w:sz w:val="20"/>
                <w:szCs w:val="20"/>
              </w:rPr>
            </w:pPr>
            <w:r w:rsidRPr="00196645">
              <w:t>$</w:t>
            </w:r>
            <w:r w:rsidRPr="00667C16" w:rsidR="270CC8C6">
              <w:t>1,721,541</w:t>
            </w:r>
          </w:p>
        </w:tc>
      </w:tr>
      <w:tr w14:paraId="39B2661C" w14:textId="77777777" w:rsidTr="00137D8D">
        <w:tblPrEx>
          <w:tblW w:w="9980" w:type="dxa"/>
          <w:tblLayout w:type="fixed"/>
          <w:tblCellMar>
            <w:left w:w="0" w:type="dxa"/>
            <w:right w:w="0" w:type="dxa"/>
          </w:tblCellMar>
          <w:tblLook w:val="04A0"/>
        </w:tblPrEx>
        <w:trPr>
          <w:trHeight w:val="656"/>
        </w:trPr>
        <w:tc>
          <w:tcPr>
            <w:tcW w:w="143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1E0301" w:rsidRPr="00BF0076" w:rsidP="001E0301" w14:paraId="794108D3" w14:textId="0DD78895">
            <w:pPr>
              <w:spacing w:line="276" w:lineRule="auto"/>
              <w:jc w:val="center"/>
              <w:rPr>
                <w:sz w:val="20"/>
                <w:szCs w:val="20"/>
              </w:rPr>
            </w:pPr>
            <w:r w:rsidRPr="00BF0076">
              <w:rPr>
                <w:sz w:val="20"/>
                <w:szCs w:val="20"/>
              </w:rPr>
              <w:t>Union Notification</w:t>
            </w:r>
          </w:p>
          <w:p w:rsidR="001E0301" w:rsidRPr="00BF0076" w:rsidP="001E0301" w14:paraId="7BFF84B1" w14:textId="23CF6D93">
            <w:pPr>
              <w:spacing w:line="276" w:lineRule="auto"/>
              <w:jc w:val="center"/>
              <w:rPr>
                <w:sz w:val="20"/>
                <w:szCs w:val="20"/>
              </w:rPr>
            </w:pPr>
            <w:r w:rsidRPr="00BF0076">
              <w:rPr>
                <w:sz w:val="20"/>
                <w:szCs w:val="20"/>
              </w:rPr>
              <w:t>Requirement</w:t>
            </w:r>
          </w:p>
        </w:tc>
        <w:tc>
          <w:tcPr>
            <w:tcW w:w="135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E0301" w:rsidRPr="00667C16" w:rsidP="001E0301" w14:paraId="1492671A" w14:textId="7DDFCEA1">
            <w:pPr>
              <w:spacing w:line="276" w:lineRule="auto"/>
              <w:jc w:val="center"/>
              <w:rPr>
                <w:rFonts w:eastAsiaTheme="minorEastAsia"/>
                <w:b/>
                <w:sz w:val="20"/>
                <w:szCs w:val="20"/>
              </w:rPr>
            </w:pPr>
            <w:r w:rsidRPr="00667C16">
              <w:t>4,373</w:t>
            </w:r>
          </w:p>
        </w:tc>
        <w:tc>
          <w:tcPr>
            <w:tcW w:w="117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E0301" w:rsidRPr="0033241D" w:rsidP="001E0301" w14:paraId="4F89FA08" w14:textId="4276CFED">
            <w:pPr>
              <w:spacing w:line="276" w:lineRule="auto"/>
              <w:jc w:val="center"/>
              <w:rPr>
                <w:rFonts w:eastAsiaTheme="minorEastAsia"/>
                <w:b/>
                <w:bCs/>
                <w:i/>
                <w:iCs/>
                <w:sz w:val="20"/>
                <w:szCs w:val="20"/>
              </w:rPr>
            </w:pPr>
            <w:r w:rsidRPr="00C7028C">
              <w:t>1</w:t>
            </w:r>
          </w:p>
        </w:tc>
        <w:tc>
          <w:tcPr>
            <w:tcW w:w="144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E0301" w:rsidRPr="00667C16" w:rsidP="001E0301" w14:paraId="7B49D779" w14:textId="0E0704A1">
            <w:pPr>
              <w:spacing w:line="276" w:lineRule="auto"/>
              <w:jc w:val="center"/>
              <w:rPr>
                <w:rFonts w:eastAsiaTheme="minorEastAsia"/>
              </w:rPr>
            </w:pPr>
            <w:r w:rsidRPr="00667C16">
              <w:t>4,373</w:t>
            </w:r>
          </w:p>
        </w:tc>
        <w:tc>
          <w:tcPr>
            <w:tcW w:w="10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E0301" w:rsidRPr="0033241D" w:rsidP="001E0301" w14:paraId="5ADC439A" w14:textId="028383A7">
            <w:pPr>
              <w:spacing w:line="276" w:lineRule="auto"/>
              <w:jc w:val="center"/>
              <w:rPr>
                <w:rFonts w:eastAsiaTheme="minorEastAsia"/>
                <w:b/>
                <w:bCs/>
                <w:i/>
                <w:iCs/>
                <w:sz w:val="20"/>
                <w:szCs w:val="20"/>
              </w:rPr>
            </w:pPr>
            <w:r w:rsidRPr="00C7028C">
              <w:t>0.17</w:t>
            </w:r>
          </w:p>
        </w:tc>
        <w:tc>
          <w:tcPr>
            <w:tcW w:w="9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E0301" w:rsidRPr="00667C16" w:rsidP="001E0301" w14:paraId="4F1A5485" w14:textId="1FA7BA62">
            <w:pPr>
              <w:spacing w:line="276" w:lineRule="auto"/>
              <w:jc w:val="center"/>
              <w:rPr>
                <w:rFonts w:eastAsiaTheme="minorEastAsia"/>
                <w:b/>
                <w:bCs/>
                <w:i/>
                <w:iCs/>
                <w:sz w:val="20"/>
                <w:szCs w:val="20"/>
              </w:rPr>
            </w:pPr>
            <w:r w:rsidRPr="00196645">
              <w:t>7</w:t>
            </w:r>
            <w:r w:rsidRPr="00196645" w:rsidR="00945A98">
              <w:t>4</w:t>
            </w:r>
            <w:r w:rsidRPr="00667C16" w:rsidR="066BC5C4">
              <w:t>3</w:t>
            </w:r>
          </w:p>
        </w:tc>
        <w:tc>
          <w:tcPr>
            <w:tcW w:w="99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E0301" w:rsidRPr="00667C16" w:rsidP="001E0301" w14:paraId="40294989" w14:textId="7C0DB709">
            <w:pPr>
              <w:spacing w:line="276" w:lineRule="auto"/>
              <w:jc w:val="center"/>
              <w:rPr>
                <w:rFonts w:eastAsiaTheme="minorEastAsia"/>
                <w:b/>
                <w:bCs/>
                <w:i/>
                <w:iCs/>
                <w:sz w:val="20"/>
                <w:szCs w:val="20"/>
              </w:rPr>
            </w:pPr>
            <w:r w:rsidRPr="00196645">
              <w:t>$5</w:t>
            </w:r>
            <w:r w:rsidRPr="00667C16" w:rsidR="36C9C1D8">
              <w:t>3.03</w:t>
            </w:r>
          </w:p>
        </w:tc>
        <w:tc>
          <w:tcPr>
            <w:tcW w:w="1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1E0301" w:rsidRPr="00667C16" w:rsidP="001E0301" w14:paraId="0AF6D0BC" w14:textId="3533C6D6">
            <w:pPr>
              <w:spacing w:line="276" w:lineRule="auto"/>
              <w:jc w:val="center"/>
              <w:rPr>
                <w:rFonts w:eastAsiaTheme="minorEastAsia"/>
                <w:b/>
                <w:bCs/>
                <w:i/>
                <w:iCs/>
                <w:sz w:val="20"/>
                <w:szCs w:val="20"/>
              </w:rPr>
            </w:pPr>
            <w:r w:rsidRPr="00196645">
              <w:t>$3</w:t>
            </w:r>
            <w:r w:rsidRPr="00667C16" w:rsidR="3D0A4EFF">
              <w:t>9,401</w:t>
            </w:r>
          </w:p>
        </w:tc>
      </w:tr>
      <w:tr w14:paraId="06C9B62A" w14:textId="77777777" w:rsidTr="00137D8D">
        <w:tblPrEx>
          <w:tblW w:w="9980" w:type="dxa"/>
          <w:tblLayout w:type="fixed"/>
          <w:tblCellMar>
            <w:left w:w="0" w:type="dxa"/>
            <w:right w:w="0" w:type="dxa"/>
          </w:tblCellMar>
          <w:tblLook w:val="04A0"/>
        </w:tblPrEx>
        <w:trPr>
          <w:trHeight w:val="656"/>
        </w:trPr>
        <w:tc>
          <w:tcPr>
            <w:tcW w:w="143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rsidR="00895B8D" w:rsidRPr="00BF0076" w:rsidP="00895B8D" w14:paraId="34ACBC0F" w14:textId="3CCF51C3">
            <w:pPr>
              <w:spacing w:line="276" w:lineRule="auto"/>
              <w:jc w:val="center"/>
              <w:rPr>
                <w:sz w:val="20"/>
                <w:szCs w:val="20"/>
              </w:rPr>
            </w:pPr>
            <w:r w:rsidRPr="00BF0076">
              <w:rPr>
                <w:sz w:val="20"/>
                <w:szCs w:val="20"/>
              </w:rPr>
              <w:t>Notify Current Employees</w:t>
            </w:r>
          </w:p>
        </w:tc>
        <w:tc>
          <w:tcPr>
            <w:tcW w:w="135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667C16" w:rsidP="00895B8D" w14:paraId="61B74C43" w14:textId="1E5FDAC8">
            <w:pPr>
              <w:spacing w:line="276" w:lineRule="auto"/>
              <w:jc w:val="center"/>
              <w:rPr>
                <w:color w:val="000000"/>
                <w:sz w:val="20"/>
                <w:szCs w:val="20"/>
              </w:rPr>
            </w:pPr>
            <w:r w:rsidRPr="00667C16">
              <w:t>1,400</w:t>
            </w:r>
          </w:p>
        </w:tc>
        <w:tc>
          <w:tcPr>
            <w:tcW w:w="117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A922A0" w:rsidP="00895B8D" w14:paraId="4FF584C0" w14:textId="55216442">
            <w:pPr>
              <w:spacing w:line="276" w:lineRule="auto"/>
              <w:jc w:val="center"/>
              <w:rPr>
                <w:color w:val="000000"/>
                <w:sz w:val="20"/>
                <w:szCs w:val="20"/>
              </w:rPr>
            </w:pPr>
            <w:r w:rsidRPr="00C7028C">
              <w:t>1</w:t>
            </w:r>
          </w:p>
        </w:tc>
        <w:tc>
          <w:tcPr>
            <w:tcW w:w="144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667C16" w:rsidP="00895B8D" w14:paraId="18F28E7F" w14:textId="5E58F8BB">
            <w:pPr>
              <w:spacing w:line="276" w:lineRule="auto"/>
              <w:jc w:val="center"/>
              <w:rPr>
                <w:color w:val="000000"/>
                <w:sz w:val="20"/>
                <w:szCs w:val="20"/>
              </w:rPr>
            </w:pPr>
            <w:r w:rsidRPr="00667C16">
              <w:t>1,400</w:t>
            </w:r>
          </w:p>
        </w:tc>
        <w:tc>
          <w:tcPr>
            <w:tcW w:w="10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A922A0" w:rsidP="00895B8D" w14:paraId="2C516253" w14:textId="6F682F7D">
            <w:pPr>
              <w:spacing w:line="276" w:lineRule="auto"/>
              <w:jc w:val="center"/>
              <w:rPr>
                <w:color w:val="000000"/>
                <w:sz w:val="20"/>
                <w:szCs w:val="20"/>
              </w:rPr>
            </w:pPr>
            <w:r w:rsidRPr="00C7028C">
              <w:t>0.5</w:t>
            </w:r>
          </w:p>
        </w:tc>
        <w:tc>
          <w:tcPr>
            <w:tcW w:w="9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4B41E7" w:rsidP="00895B8D" w14:paraId="4935C8DE" w14:textId="164B021E">
            <w:pPr>
              <w:spacing w:line="276" w:lineRule="auto"/>
              <w:jc w:val="center"/>
            </w:pPr>
            <w:r w:rsidRPr="00667C16">
              <w:t>700</w:t>
            </w:r>
          </w:p>
        </w:tc>
        <w:tc>
          <w:tcPr>
            <w:tcW w:w="99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667C16" w:rsidP="00895B8D" w14:paraId="2F67C7C3" w14:textId="5C4D5A3F">
            <w:pPr>
              <w:spacing w:line="276" w:lineRule="auto"/>
              <w:jc w:val="center"/>
              <w:rPr>
                <w:color w:val="000000"/>
                <w:sz w:val="20"/>
                <w:szCs w:val="20"/>
              </w:rPr>
            </w:pPr>
            <w:r w:rsidRPr="00196645">
              <w:t>$5</w:t>
            </w:r>
            <w:r w:rsidRPr="00667C16" w:rsidR="46A2B8FA">
              <w:t>3.03</w:t>
            </w:r>
            <w:r w:rsidRPr="00196645">
              <w:t xml:space="preserve"> </w:t>
            </w:r>
          </w:p>
        </w:tc>
        <w:tc>
          <w:tcPr>
            <w:tcW w:w="1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667C16" w:rsidP="00895B8D" w14:paraId="3B6758E2" w14:textId="446CD066">
            <w:pPr>
              <w:spacing w:line="276" w:lineRule="auto"/>
              <w:jc w:val="center"/>
              <w:rPr>
                <w:color w:val="000000"/>
                <w:sz w:val="20"/>
                <w:szCs w:val="20"/>
              </w:rPr>
            </w:pPr>
            <w:r w:rsidRPr="00196645">
              <w:t>$3</w:t>
            </w:r>
            <w:r w:rsidRPr="00667C16" w:rsidR="0B8F1161">
              <w:t>7,121</w:t>
            </w:r>
          </w:p>
        </w:tc>
      </w:tr>
      <w:tr w14:paraId="60B1270F" w14:textId="77777777" w:rsidTr="00137D8D">
        <w:tblPrEx>
          <w:tblW w:w="9980" w:type="dxa"/>
          <w:tblLayout w:type="fixed"/>
          <w:tblCellMar>
            <w:left w:w="0" w:type="dxa"/>
            <w:right w:w="0" w:type="dxa"/>
          </w:tblCellMar>
          <w:tblLook w:val="04A0"/>
        </w:tblPrEx>
        <w:trPr>
          <w:trHeight w:val="656"/>
        </w:trPr>
        <w:tc>
          <w:tcPr>
            <w:tcW w:w="143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895B8D" w:rsidRPr="0033241D" w:rsidP="00895B8D" w14:paraId="2AE47507" w14:textId="30789D44">
            <w:pPr>
              <w:spacing w:line="276" w:lineRule="auto"/>
              <w:jc w:val="center"/>
              <w:rPr>
                <w:sz w:val="20"/>
                <w:szCs w:val="20"/>
              </w:rPr>
            </w:pPr>
            <w:r w:rsidRPr="00BF0076">
              <w:rPr>
                <w:sz w:val="20"/>
                <w:szCs w:val="20"/>
              </w:rPr>
              <w:t>Post Job Openings in Company Website</w:t>
            </w:r>
          </w:p>
        </w:tc>
        <w:tc>
          <w:tcPr>
            <w:tcW w:w="135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667C16" w:rsidP="00895B8D" w14:paraId="196A63DD" w14:textId="1D83AFE6">
            <w:pPr>
              <w:spacing w:line="276" w:lineRule="auto"/>
              <w:jc w:val="center"/>
              <w:rPr>
                <w:color w:val="000000"/>
                <w:sz w:val="20"/>
                <w:szCs w:val="20"/>
              </w:rPr>
            </w:pPr>
            <w:r w:rsidRPr="00667C16">
              <w:t>1,400</w:t>
            </w:r>
          </w:p>
        </w:tc>
        <w:tc>
          <w:tcPr>
            <w:tcW w:w="117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A922A0" w:rsidP="00895B8D" w14:paraId="2185D25B" w14:textId="63C1BC23">
            <w:pPr>
              <w:spacing w:line="276" w:lineRule="auto"/>
              <w:jc w:val="center"/>
              <w:rPr>
                <w:color w:val="000000"/>
                <w:sz w:val="20"/>
                <w:szCs w:val="20"/>
              </w:rPr>
            </w:pPr>
            <w:r w:rsidRPr="00C7028C">
              <w:t>1</w:t>
            </w:r>
          </w:p>
        </w:tc>
        <w:tc>
          <w:tcPr>
            <w:tcW w:w="144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4B41E7" w:rsidP="00895B8D" w14:paraId="25E3A1F6" w14:textId="5FFFD209">
            <w:pPr>
              <w:spacing w:line="276" w:lineRule="auto"/>
              <w:jc w:val="center"/>
            </w:pPr>
            <w:r w:rsidRPr="00667C16">
              <w:t>1,400</w:t>
            </w:r>
          </w:p>
        </w:tc>
        <w:tc>
          <w:tcPr>
            <w:tcW w:w="108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A922A0" w:rsidP="00895B8D" w14:paraId="28C916FC" w14:textId="404CE053">
            <w:pPr>
              <w:spacing w:line="276" w:lineRule="auto"/>
              <w:jc w:val="center"/>
              <w:rPr>
                <w:color w:val="000000"/>
                <w:sz w:val="20"/>
                <w:szCs w:val="20"/>
              </w:rPr>
            </w:pPr>
            <w:r w:rsidRPr="00C7028C">
              <w:t>0.5</w:t>
            </w:r>
          </w:p>
        </w:tc>
        <w:tc>
          <w:tcPr>
            <w:tcW w:w="90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4B41E7" w:rsidP="00895B8D" w14:paraId="4583995D" w14:textId="7429880C">
            <w:pPr>
              <w:spacing w:line="276" w:lineRule="auto"/>
              <w:jc w:val="center"/>
            </w:pPr>
            <w:r w:rsidRPr="00667C16">
              <w:t>700</w:t>
            </w:r>
          </w:p>
        </w:tc>
        <w:tc>
          <w:tcPr>
            <w:tcW w:w="99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667C16" w:rsidP="00895B8D" w14:paraId="649F5A20" w14:textId="73D1D7E4">
            <w:pPr>
              <w:spacing w:line="276" w:lineRule="auto"/>
              <w:jc w:val="center"/>
              <w:rPr>
                <w:color w:val="000000"/>
                <w:sz w:val="20"/>
                <w:szCs w:val="20"/>
              </w:rPr>
            </w:pPr>
            <w:r w:rsidRPr="00196645">
              <w:t>$5</w:t>
            </w:r>
            <w:r w:rsidRPr="00667C16" w:rsidR="04D4AE68">
              <w:t>3.03</w:t>
            </w:r>
            <w:r w:rsidRPr="00196645">
              <w:t xml:space="preserve"> </w:t>
            </w:r>
          </w:p>
        </w:tc>
        <w:tc>
          <w:tcPr>
            <w:tcW w:w="1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rsidR="00895B8D" w:rsidRPr="00667C16" w:rsidP="00895B8D" w14:paraId="5051798E" w14:textId="40C76A60">
            <w:pPr>
              <w:spacing w:line="276" w:lineRule="auto"/>
              <w:jc w:val="center"/>
              <w:rPr>
                <w:color w:val="000000"/>
                <w:sz w:val="20"/>
                <w:szCs w:val="20"/>
              </w:rPr>
            </w:pPr>
            <w:r w:rsidRPr="00196645">
              <w:t>$3</w:t>
            </w:r>
            <w:r w:rsidRPr="00667C16" w:rsidR="60CE59D4">
              <w:t>7,121</w:t>
            </w:r>
            <w:r w:rsidRPr="00196645">
              <w:t xml:space="preserve"> </w:t>
            </w:r>
          </w:p>
        </w:tc>
      </w:tr>
      <w:tr w14:paraId="4B65A097" w14:textId="48A1E834" w:rsidTr="003B6892">
        <w:tblPrEx>
          <w:tblW w:w="9980" w:type="dxa"/>
          <w:tblLayout w:type="fixed"/>
          <w:tblCellMar>
            <w:left w:w="0" w:type="dxa"/>
            <w:right w:w="0" w:type="dxa"/>
          </w:tblCellMar>
          <w:tblLook w:val="04A0"/>
        </w:tblPrEx>
        <w:trPr>
          <w:trHeight w:val="656"/>
        </w:trPr>
        <w:tc>
          <w:tcPr>
            <w:tcW w:w="1430" w:type="dxa"/>
            <w:tcBorders>
              <w:top w:val="single" w:sz="4" w:space="0" w:color="auto"/>
              <w:left w:val="single" w:sz="4" w:space="0" w:color="auto"/>
              <w:bottom w:val="single" w:sz="4" w:space="0" w:color="auto"/>
              <w:right w:val="single" w:sz="8" w:space="0" w:color="auto"/>
            </w:tcBorders>
            <w:shd w:val="clear" w:color="auto" w:fill="5B9BD5" w:themeFill="accent1"/>
            <w:tcMar>
              <w:top w:w="0" w:type="dxa"/>
              <w:left w:w="108" w:type="dxa"/>
              <w:bottom w:w="0" w:type="dxa"/>
              <w:right w:w="108" w:type="dxa"/>
            </w:tcMar>
            <w:vAlign w:val="center"/>
            <w:hideMark/>
          </w:tcPr>
          <w:p w:rsidR="001E0301" w:rsidRPr="0033241D" w:rsidP="001E0301" w14:paraId="7785689F" w14:textId="16662020">
            <w:pPr>
              <w:spacing w:line="276" w:lineRule="auto"/>
              <w:jc w:val="center"/>
              <w:rPr>
                <w:rFonts w:eastAsia="Calibri"/>
                <w:b/>
                <w:bCs/>
                <w:i/>
                <w:iCs/>
                <w:sz w:val="20"/>
                <w:szCs w:val="20"/>
              </w:rPr>
            </w:pPr>
            <w:r w:rsidRPr="0033241D">
              <w:rPr>
                <w:b/>
                <w:bCs/>
                <w:i/>
                <w:iCs/>
                <w:sz w:val="20"/>
                <w:szCs w:val="20"/>
              </w:rPr>
              <w:t>Unduplicated Totals</w:t>
            </w:r>
          </w:p>
        </w:tc>
        <w:tc>
          <w:tcPr>
            <w:tcW w:w="135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tcPr>
          <w:p w:rsidR="001E0301" w:rsidRPr="00667C16" w:rsidP="001E0301" w14:paraId="540B9944" w14:textId="2C0268DC">
            <w:pPr>
              <w:spacing w:line="276" w:lineRule="auto"/>
              <w:jc w:val="center"/>
              <w:rPr>
                <w:rFonts w:eastAsiaTheme="minorEastAsia"/>
              </w:rPr>
            </w:pPr>
            <w:r>
              <w:t>26,065</w:t>
            </w:r>
          </w:p>
        </w:tc>
        <w:tc>
          <w:tcPr>
            <w:tcW w:w="117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hideMark/>
          </w:tcPr>
          <w:p w:rsidR="001E0301" w:rsidRPr="0033241D" w:rsidP="001E0301" w14:paraId="5C03A922" w14:textId="7A54498E">
            <w:pPr>
              <w:spacing w:line="276" w:lineRule="auto"/>
              <w:jc w:val="center"/>
              <w:rPr>
                <w:rFonts w:eastAsiaTheme="minorEastAsia"/>
                <w:b/>
                <w:bCs/>
                <w:i/>
                <w:iCs/>
                <w:sz w:val="20"/>
                <w:szCs w:val="20"/>
              </w:rPr>
            </w:pPr>
            <w:r w:rsidRPr="00C7028C">
              <w:t>1</w:t>
            </w:r>
          </w:p>
        </w:tc>
        <w:tc>
          <w:tcPr>
            <w:tcW w:w="144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tcPr>
          <w:p w:rsidR="001E0301" w:rsidRPr="00667C16" w:rsidP="001E0301" w14:paraId="137C589E" w14:textId="086CB2CB">
            <w:pPr>
              <w:spacing w:line="276" w:lineRule="auto"/>
              <w:jc w:val="center"/>
              <w:rPr>
                <w:rFonts w:eastAsiaTheme="minorEastAsia"/>
                <w:b/>
                <w:bCs/>
                <w:sz w:val="20"/>
                <w:szCs w:val="20"/>
              </w:rPr>
            </w:pPr>
            <w:r>
              <w:t>26,065</w:t>
            </w:r>
          </w:p>
        </w:tc>
        <w:tc>
          <w:tcPr>
            <w:tcW w:w="108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hideMark/>
          </w:tcPr>
          <w:p w:rsidR="001E0301" w:rsidRPr="0033241D" w:rsidP="001E0301" w14:paraId="24606204" w14:textId="187C984E">
            <w:pPr>
              <w:spacing w:line="276" w:lineRule="auto"/>
              <w:jc w:val="center"/>
              <w:rPr>
                <w:rFonts w:eastAsiaTheme="minorEastAsia"/>
                <w:b/>
                <w:bCs/>
                <w:i/>
                <w:iCs/>
                <w:sz w:val="20"/>
                <w:szCs w:val="20"/>
              </w:rPr>
            </w:pPr>
            <w:r>
              <w:t>Varies</w:t>
            </w:r>
          </w:p>
        </w:tc>
        <w:tc>
          <w:tcPr>
            <w:tcW w:w="90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tcPr>
          <w:p w:rsidR="001E0301" w:rsidRPr="00667C16" w:rsidP="001E0301" w14:paraId="209D0B45" w14:textId="11D0DB0D">
            <w:pPr>
              <w:spacing w:line="276" w:lineRule="auto"/>
              <w:jc w:val="center"/>
              <w:rPr>
                <w:rFonts w:eastAsiaTheme="minorEastAsia"/>
                <w:b/>
                <w:bCs/>
                <w:i/>
                <w:iCs/>
                <w:sz w:val="20"/>
                <w:szCs w:val="20"/>
              </w:rPr>
            </w:pPr>
            <w:r w:rsidRPr="00196645">
              <w:t>32,</w:t>
            </w:r>
            <w:r w:rsidRPr="00667C16" w:rsidR="3B6ACDFD">
              <w:t>581</w:t>
            </w:r>
          </w:p>
        </w:tc>
        <w:tc>
          <w:tcPr>
            <w:tcW w:w="990" w:type="dxa"/>
            <w:tcBorders>
              <w:top w:val="single" w:sz="4" w:space="0" w:color="auto"/>
              <w:left w:val="nil"/>
              <w:bottom w:val="single" w:sz="4" w:space="0" w:color="auto"/>
              <w:right w:val="single" w:sz="8" w:space="0" w:color="auto"/>
            </w:tcBorders>
            <w:shd w:val="clear" w:color="auto" w:fill="5B9BD5" w:themeFill="accent1"/>
            <w:tcMar>
              <w:top w:w="0" w:type="dxa"/>
              <w:left w:w="108" w:type="dxa"/>
              <w:bottom w:w="0" w:type="dxa"/>
              <w:right w:w="108" w:type="dxa"/>
            </w:tcMar>
            <w:hideMark/>
          </w:tcPr>
          <w:p w:rsidR="001E0301" w:rsidRPr="00667C16" w:rsidP="001E0301" w14:paraId="43C62B69" w14:textId="72F117B1">
            <w:pPr>
              <w:spacing w:line="276" w:lineRule="auto"/>
              <w:jc w:val="center"/>
              <w:rPr>
                <w:rFonts w:eastAsiaTheme="minorEastAsia"/>
                <w:b/>
                <w:bCs/>
                <w:i/>
                <w:iCs/>
                <w:sz w:val="20"/>
                <w:szCs w:val="20"/>
              </w:rPr>
            </w:pPr>
            <w:r w:rsidRPr="00C7028C">
              <w:t>Various</w:t>
            </w:r>
          </w:p>
        </w:tc>
        <w:tc>
          <w:tcPr>
            <w:tcW w:w="1620" w:type="dxa"/>
            <w:tcBorders>
              <w:top w:val="single" w:sz="4" w:space="0" w:color="auto"/>
              <w:left w:val="nil"/>
              <w:bottom w:val="single" w:sz="4" w:space="0" w:color="auto"/>
              <w:right w:val="single" w:sz="4" w:space="0" w:color="auto"/>
            </w:tcBorders>
            <w:shd w:val="clear" w:color="auto" w:fill="5B9BD5" w:themeFill="accent1"/>
            <w:tcMar>
              <w:top w:w="0" w:type="dxa"/>
              <w:left w:w="108" w:type="dxa"/>
              <w:bottom w:w="0" w:type="dxa"/>
              <w:right w:w="108" w:type="dxa"/>
            </w:tcMar>
          </w:tcPr>
          <w:p w:rsidR="001E0301" w:rsidRPr="00667C16" w:rsidP="001E0301" w14:paraId="247C30B7" w14:textId="30B2ABD2">
            <w:pPr>
              <w:spacing w:line="276" w:lineRule="auto"/>
              <w:jc w:val="center"/>
              <w:rPr>
                <w:rFonts w:eastAsiaTheme="minorEastAsia"/>
                <w:b/>
                <w:bCs/>
                <w:i/>
                <w:iCs/>
                <w:sz w:val="20"/>
                <w:szCs w:val="20"/>
              </w:rPr>
            </w:pPr>
            <w:r w:rsidRPr="00196645">
              <w:t>$2,</w:t>
            </w:r>
            <w:r w:rsidRPr="00667C16" w:rsidR="299C2865">
              <w:t>289,811</w:t>
            </w:r>
          </w:p>
        </w:tc>
      </w:tr>
    </w:tbl>
    <w:p w:rsidR="004034DE" w:rsidRPr="00667C16" w:rsidP="004034DE" w14:paraId="14CE9EF8" w14:textId="03E30C33">
      <w:pPr>
        <w:rPr>
          <w:rFonts w:eastAsia="Calibri"/>
          <w:sz w:val="18"/>
          <w:szCs w:val="18"/>
        </w:rPr>
      </w:pPr>
      <w:r w:rsidRPr="00D751CB">
        <w:rPr>
          <w:rFonts w:eastAsia="Calibri"/>
          <w:i/>
          <w:iCs/>
          <w:sz w:val="18"/>
          <w:szCs w:val="18"/>
        </w:rPr>
        <w:t xml:space="preserve">* </w:t>
      </w:r>
      <w:r w:rsidRPr="00D751CB">
        <w:rPr>
          <w:rFonts w:eastAsia="Calibri"/>
          <w:sz w:val="18"/>
          <w:szCs w:val="18"/>
        </w:rPr>
        <w:t>Bureau of Labor Statistics.  U.S. Department of Labor, Bureau of Labor Statistics, Occupational Employment Statistics</w:t>
      </w:r>
      <w:r w:rsidRPr="00667C16" w:rsidR="00667C16">
        <w:t xml:space="preserve"> </w:t>
      </w:r>
      <w:r w:rsidRPr="00667C16" w:rsidR="00667C16">
        <w:rPr>
          <w:rFonts w:eastAsia="Calibri"/>
          <w:sz w:val="18"/>
          <w:szCs w:val="18"/>
        </w:rPr>
        <w:t>May 2022, Financial Analysts: https://www.bls.gov/oes/current/oes132051.htm</w:t>
      </w:r>
      <w:r w:rsidRPr="00D751CB">
        <w:rPr>
          <w:rFonts w:eastAsia="Calibri"/>
          <w:sz w:val="18"/>
          <w:szCs w:val="18"/>
          <w:u w:val="single"/>
        </w:rPr>
        <w:t xml:space="preserve"> </w:t>
      </w:r>
    </w:p>
    <w:p w:rsidR="004034DE" w:rsidRPr="00D751CB" w:rsidP="004034DE" w14:paraId="55B548F7" w14:textId="31CB3A5E">
      <w:pPr>
        <w:rPr>
          <w:rFonts w:eastAsia="Calibri" w:cs="Arial"/>
          <w:sz w:val="20"/>
          <w:szCs w:val="20"/>
        </w:rPr>
      </w:pPr>
      <w:r w:rsidRPr="00667C16">
        <w:rPr>
          <w:rFonts w:eastAsia="Calibri"/>
          <w:sz w:val="18"/>
          <w:szCs w:val="18"/>
        </w:rPr>
        <w:t>**</w:t>
      </w:r>
      <w:r w:rsidRPr="00667C16">
        <w:rPr>
          <w:rFonts w:eastAsia="Calibri" w:cs="Arial"/>
          <w:sz w:val="20"/>
          <w:szCs w:val="20"/>
        </w:rPr>
        <w:t>Calculation:  $</w:t>
      </w:r>
      <w:r w:rsidRPr="00667C16" w:rsidR="00667C16">
        <w:rPr>
          <w:rFonts w:eastAsia="Calibri" w:cs="Arial"/>
          <w:sz w:val="20"/>
          <w:szCs w:val="20"/>
        </w:rPr>
        <w:t>53.03 ($36.57 mean hourly wage * 1.45 benefits-to-wage multiplier = $53.03) x 0.75 (time burden for the new attestation form and notifying third parties and retaining records related to the returning worker requirements.) = $38.21</w:t>
      </w:r>
      <w:r w:rsidR="00667C16">
        <w:rPr>
          <w:rFonts w:eastAsia="Calibri" w:cs="Arial"/>
          <w:sz w:val="20"/>
          <w:szCs w:val="20"/>
        </w:rPr>
        <w:t>.</w:t>
      </w:r>
      <w:r w:rsidRPr="00D751CB">
        <w:rPr>
          <w:rFonts w:eastAsia="Calibri" w:cs="Arial"/>
          <w:sz w:val="20"/>
          <w:szCs w:val="20"/>
        </w:rPr>
        <w:t xml:space="preserve"> </w:t>
      </w:r>
    </w:p>
    <w:p w:rsidR="0007411D" w:rsidRPr="00D751CB" w:rsidP="0007411D" w14:paraId="30FF3A0A" w14:textId="267DE06B">
      <w:pPr>
        <w:spacing w:after="120"/>
        <w:rPr>
          <w:rFonts w:eastAsia="Calibri" w:cs="Arial"/>
          <w:sz w:val="20"/>
          <w:szCs w:val="20"/>
          <w:vertAlign w:val="superscript"/>
        </w:rPr>
      </w:pPr>
      <w:r w:rsidRPr="00D751CB">
        <w:rPr>
          <w:rFonts w:eastAsia="Calibri" w:cs="Arial"/>
          <w:sz w:val="20"/>
          <w:szCs w:val="20"/>
          <w:vertAlign w:val="superscript"/>
        </w:rPr>
        <w:t>***</w:t>
      </w:r>
      <w:r w:rsidRPr="00D751CB">
        <w:rPr>
          <w:rFonts w:eastAsia="Calibri" w:cs="Arial"/>
          <w:sz w:val="20"/>
          <w:szCs w:val="20"/>
        </w:rPr>
        <w:t>Calculation:  $</w:t>
      </w:r>
      <w:r w:rsidRPr="2598FA26">
        <w:rPr>
          <w:rFonts w:eastAsia="Calibri" w:cs="Arial"/>
          <w:sz w:val="20"/>
          <w:szCs w:val="20"/>
        </w:rPr>
        <w:t>5</w:t>
      </w:r>
      <w:r w:rsidRPr="2598FA26" w:rsidR="1C214AEF">
        <w:rPr>
          <w:rFonts w:eastAsia="Calibri" w:cs="Arial"/>
          <w:sz w:val="20"/>
          <w:szCs w:val="20"/>
        </w:rPr>
        <w:t>4</w:t>
      </w:r>
      <w:r w:rsidRPr="00D751CB">
        <w:rPr>
          <w:rFonts w:eastAsia="Calibri" w:cs="Arial"/>
          <w:sz w:val="20"/>
          <w:szCs w:val="20"/>
        </w:rPr>
        <w:t>.30 (average per hour wage for a financial analyst, based on BLS wages) x 1.45 (benefits-to-wage multiplier) = $7</w:t>
      </w:r>
      <w:r w:rsidRPr="2598FA26" w:rsidR="53079A63">
        <w:rPr>
          <w:rFonts w:eastAsia="Calibri" w:cs="Arial"/>
          <w:sz w:val="20"/>
          <w:szCs w:val="20"/>
        </w:rPr>
        <w:t>8.84</w:t>
      </w:r>
      <w:r w:rsidRPr="00D751CB">
        <w:rPr>
          <w:rFonts w:eastAsia="Calibri" w:cs="Arial"/>
          <w:sz w:val="20"/>
          <w:szCs w:val="20"/>
        </w:rPr>
        <w:t xml:space="preserve"> (fully loaded hourly wage for a financial analyst) x 5 hours (time burden for assessing, documenting and retention of supporting evidence demonstrating the employer is likely to suffer irreparable harm) = $3</w:t>
      </w:r>
      <w:r w:rsidRPr="2598FA26" w:rsidR="50F0B45F">
        <w:rPr>
          <w:rFonts w:eastAsia="Calibri" w:cs="Arial"/>
          <w:sz w:val="20"/>
          <w:szCs w:val="20"/>
        </w:rPr>
        <w:t>93.68</w:t>
      </w:r>
    </w:p>
    <w:p w:rsidR="001160DF" w:rsidP="002E445D" w14:paraId="6F937B03" w14:textId="46171E4C">
      <w:pPr>
        <w:tabs>
          <w:tab w:val="right" w:pos="360"/>
        </w:tabs>
        <w:autoSpaceDE w:val="0"/>
        <w:autoSpaceDN w:val="0"/>
        <w:adjustRightInd w:val="0"/>
        <w:ind w:left="540" w:hanging="540"/>
        <w:rPr>
          <w:i/>
        </w:rPr>
      </w:pPr>
      <w:r w:rsidRPr="00D751CB">
        <w:rPr>
          <w:rFonts w:eastAsia="Calibri" w:cs="Arial"/>
          <w:sz w:val="20"/>
          <w:szCs w:val="20"/>
        </w:rPr>
        <w:t>†This estimate cannot be aggregated; DOL estimates that approximately 4,</w:t>
      </w:r>
      <w:r w:rsidRPr="2598FA26">
        <w:rPr>
          <w:rFonts w:eastAsia="Calibri" w:cs="Arial"/>
          <w:sz w:val="20"/>
          <w:szCs w:val="20"/>
        </w:rPr>
        <w:t>3</w:t>
      </w:r>
      <w:r w:rsidRPr="2598FA26" w:rsidR="4DEE8407">
        <w:rPr>
          <w:rFonts w:eastAsia="Calibri" w:cs="Arial"/>
          <w:sz w:val="20"/>
          <w:szCs w:val="20"/>
        </w:rPr>
        <w:t>73</w:t>
      </w:r>
      <w:r w:rsidRPr="00D751CB">
        <w:rPr>
          <w:rFonts w:eastAsia="Calibri" w:cs="Arial"/>
          <w:sz w:val="20"/>
          <w:szCs w:val="20"/>
        </w:rPr>
        <w:t xml:space="preserve"> will file this attestation form and comply with all requirements.</w:t>
      </w:r>
      <w:r w:rsidR="004171B6">
        <w:tab/>
      </w:r>
    </w:p>
    <w:p w:rsidR="001160DF" w:rsidP="002E445D" w14:paraId="5BDC71B3" w14:textId="77777777">
      <w:pPr>
        <w:tabs>
          <w:tab w:val="right" w:pos="360"/>
        </w:tabs>
        <w:autoSpaceDE w:val="0"/>
        <w:autoSpaceDN w:val="0"/>
        <w:adjustRightInd w:val="0"/>
        <w:ind w:left="540" w:hanging="540"/>
        <w:rPr>
          <w:i/>
        </w:rPr>
      </w:pPr>
    </w:p>
    <w:p w:rsidR="001160DF" w:rsidP="002E445D" w14:paraId="6DF871B3" w14:textId="77777777">
      <w:pPr>
        <w:tabs>
          <w:tab w:val="right" w:pos="360"/>
        </w:tabs>
        <w:autoSpaceDE w:val="0"/>
        <w:autoSpaceDN w:val="0"/>
        <w:adjustRightInd w:val="0"/>
        <w:ind w:left="540" w:hanging="540"/>
        <w:rPr>
          <w:i/>
        </w:rPr>
      </w:pPr>
    </w:p>
    <w:p w:rsidR="00EA78D2" w:rsidRPr="007215E9" w:rsidP="002E445D" w14:paraId="164E2C0E" w14:textId="5C8B7AF2">
      <w:pPr>
        <w:tabs>
          <w:tab w:val="right" w:pos="360"/>
        </w:tabs>
        <w:autoSpaceDE w:val="0"/>
        <w:autoSpaceDN w:val="0"/>
        <w:adjustRightInd w:val="0"/>
        <w:ind w:left="540" w:hanging="540"/>
        <w:rPr>
          <w:i/>
        </w:rPr>
      </w:pPr>
      <w:r w:rsidRPr="007215E9">
        <w:rPr>
          <w:i/>
        </w:rPr>
        <w:t>13.</w:t>
      </w:r>
      <w:r w:rsidRPr="007215E9">
        <w:rPr>
          <w:i/>
        </w:rPr>
        <w:tab/>
        <w:t>Provide an estimate for the total annual cost burden to respondents or record keepers resulting from the collection of information.  (Do not include the cost of any hour burden already reflected on the burden worksheet).</w:t>
      </w:r>
    </w:p>
    <w:p w:rsidR="00EA78D2" w:rsidRPr="007215E9" w:rsidP="00EA78D2" w14:paraId="4FFCC976" w14:textId="77777777">
      <w:pPr>
        <w:autoSpaceDE w:val="0"/>
        <w:autoSpaceDN w:val="0"/>
        <w:adjustRightInd w:val="0"/>
      </w:pPr>
    </w:p>
    <w:p w:rsidR="00060F24" w:rsidRPr="00417BE8" w:rsidP="00060F24" w14:paraId="2FC98C6F" w14:textId="77777777">
      <w:pPr>
        <w:widowControl w:val="0"/>
        <w:numPr>
          <w:ilvl w:val="0"/>
          <w:numId w:val="2"/>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417BE8">
        <w:t xml:space="preserve">Start-up/capital costs:  There are no start-up costs. </w:t>
      </w:r>
    </w:p>
    <w:p w:rsidR="00060F24" w:rsidRPr="00417BE8" w:rsidP="00060F24" w14:paraId="621D4C9F" w14:textId="77777777">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rsidR="00046FF1" w:rsidP="000057B0" w14:paraId="191168D9" w14:textId="2A930F00">
      <w:pPr>
        <w:pStyle w:val="ListParagraph"/>
        <w:widowControl w:val="0"/>
        <w:numPr>
          <w:ilvl w:val="0"/>
          <w:numId w:val="2"/>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0157AA">
        <w:t xml:space="preserve">Maintenance and operations costs:  </w:t>
      </w:r>
      <w:r w:rsidR="002A3032">
        <w:t>None</w:t>
      </w:r>
      <w:r>
        <w:t xml:space="preserve"> </w:t>
      </w:r>
    </w:p>
    <w:p w:rsidR="00EA78D2" w:rsidRPr="007215E9" w:rsidP="00EA78D2" w14:paraId="4BF014B0" w14:textId="795AE8C3">
      <w:pPr>
        <w:autoSpaceDE w:val="0"/>
        <w:autoSpaceDN w:val="0"/>
        <w:adjustRightInd w:val="0"/>
      </w:pPr>
    </w:p>
    <w:p w:rsidR="00EA78D2" w:rsidRPr="007215E9" w:rsidP="007F12A0" w14:paraId="54568532" w14:textId="77777777">
      <w:pPr>
        <w:tabs>
          <w:tab w:val="right" w:pos="360"/>
        </w:tabs>
        <w:autoSpaceDE w:val="0"/>
        <w:autoSpaceDN w:val="0"/>
        <w:adjustRightInd w:val="0"/>
        <w:ind w:left="540" w:hanging="540"/>
        <w:rPr>
          <w:i/>
        </w:rPr>
      </w:pPr>
      <w:r w:rsidRPr="007215E9">
        <w:rPr>
          <w:i/>
        </w:rPr>
        <w:tab/>
        <w:t>14.</w:t>
      </w:r>
      <w:r w:rsidRPr="007215E9" w:rsidR="004B774D">
        <w:rPr>
          <w:i/>
        </w:rPr>
        <w:tab/>
      </w:r>
      <w:r w:rsidRPr="007215E9">
        <w:rPr>
          <w:i/>
        </w:rPr>
        <w:t xml:space="preserve">Provide estimates of annualized costs to the Federal government. </w:t>
      </w:r>
      <w:r w:rsidRPr="007215E9" w:rsidR="007F12A0">
        <w:rPr>
          <w:i/>
        </w:rPr>
        <w:t xml:space="preserve"> </w:t>
      </w:r>
      <w:r w:rsidRPr="007215E9">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7215E9" w:rsidR="007F12A0">
        <w:rPr>
          <w:i/>
        </w:rPr>
        <w:t xml:space="preserve">  </w:t>
      </w:r>
      <w:r w:rsidRPr="007215E9">
        <w:rPr>
          <w:i/>
        </w:rPr>
        <w:t>Agencies may also aggregate cost estimates from Items 12, 13, and 14 in a single table.</w:t>
      </w:r>
    </w:p>
    <w:p w:rsidR="00EA78D2" w:rsidRPr="007215E9" w:rsidP="00EA78D2" w14:paraId="1640A02A" w14:textId="77777777">
      <w:pPr>
        <w:autoSpaceDE w:val="0"/>
        <w:autoSpaceDN w:val="0"/>
        <w:adjustRightInd w:val="0"/>
      </w:pPr>
    </w:p>
    <w:p w:rsidR="00060F24" w:rsidRPr="00417BE8" w:rsidP="00060F24" w14:paraId="484D2C4C" w14:textId="43784D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DOL</w:t>
      </w:r>
      <w:r w:rsidR="00775E99">
        <w:t xml:space="preserve"> </w:t>
      </w:r>
      <w:r>
        <w:t xml:space="preserve">anticipates some additional costs </w:t>
      </w:r>
      <w:r w:rsidR="002B2C9A">
        <w:t>will be incurred</w:t>
      </w:r>
      <w:r w:rsidR="00962C2C">
        <w:t xml:space="preserve"> by DHS in </w:t>
      </w:r>
      <w:r>
        <w:t>adjudicating the Form ETA-9142-B-CAA-</w:t>
      </w:r>
      <w:r w:rsidR="00E0451F">
        <w:t>9</w:t>
      </w:r>
      <w:r w:rsidR="00FD6CEC">
        <w:t>.</w:t>
      </w:r>
      <w:r w:rsidR="00A20393">
        <w:t xml:space="preserve"> </w:t>
      </w:r>
      <w:r>
        <w:t>DOL</w:t>
      </w:r>
      <w:r w:rsidR="00775E99">
        <w:t>, however,</w:t>
      </w:r>
      <w:r>
        <w:t xml:space="preserve"> expects these costs </w:t>
      </w:r>
      <w:r w:rsidR="009D692A">
        <w:t xml:space="preserve">will be </w:t>
      </w:r>
      <w:r>
        <w:t xml:space="preserve">covered by the fees associated with </w:t>
      </w:r>
      <w:r w:rsidR="00A84688">
        <w:t>f</w:t>
      </w:r>
      <w:r>
        <w:t>orms filed with USCIS in support of a</w:t>
      </w:r>
      <w:r w:rsidR="001E5025">
        <w:t xml:space="preserve"> </w:t>
      </w:r>
      <w:r>
        <w:t>petition</w:t>
      </w:r>
      <w:r w:rsidR="001E5025">
        <w:t xml:space="preserve"> for H-2B workers</w:t>
      </w:r>
      <w:r>
        <w:t xml:space="preserve">.  </w:t>
      </w:r>
      <w:r w:rsidR="00AF378E">
        <w:t xml:space="preserve">DOL will not incur government costs associated with the employers’ retention of the necessary information associated with this collection. </w:t>
      </w:r>
    </w:p>
    <w:p w:rsidR="00904938" w:rsidRPr="007215E9" w:rsidP="00EA78D2" w14:paraId="53A92C8F" w14:textId="77777777">
      <w:pPr>
        <w:autoSpaceDE w:val="0"/>
        <w:autoSpaceDN w:val="0"/>
        <w:adjustRightInd w:val="0"/>
      </w:pPr>
    </w:p>
    <w:p w:rsidR="00EA78D2" w:rsidRPr="007215E9" w:rsidP="007F12A0" w14:paraId="1C1F58B2" w14:textId="77777777">
      <w:pPr>
        <w:tabs>
          <w:tab w:val="right" w:pos="360"/>
        </w:tabs>
        <w:autoSpaceDE w:val="0"/>
        <w:autoSpaceDN w:val="0"/>
        <w:adjustRightInd w:val="0"/>
        <w:ind w:left="540" w:hanging="540"/>
        <w:rPr>
          <w:i/>
        </w:rPr>
      </w:pPr>
      <w:r w:rsidRPr="007215E9">
        <w:rPr>
          <w:i/>
        </w:rPr>
        <w:tab/>
        <w:t>15.</w:t>
      </w:r>
      <w:r w:rsidRPr="007215E9">
        <w:rPr>
          <w:i/>
        </w:rPr>
        <w:tab/>
        <w:t>Explain the reasons for any program changes or adjustments reported on the burden worksheet.</w:t>
      </w:r>
    </w:p>
    <w:p w:rsidR="00EA78D2" w:rsidRPr="007215E9" w:rsidP="00EA78D2" w14:paraId="799A69F8" w14:textId="77777777">
      <w:pPr>
        <w:autoSpaceDE w:val="0"/>
        <w:autoSpaceDN w:val="0"/>
        <w:adjustRightInd w:val="0"/>
      </w:pPr>
    </w:p>
    <w:p w:rsidR="004A1161" w:rsidP="00EA78D2" w14:paraId="33E04FF9" w14:textId="3EA639CB">
      <w:pPr>
        <w:autoSpaceDE w:val="0"/>
        <w:autoSpaceDN w:val="0"/>
        <w:adjustRightInd w:val="0"/>
      </w:pPr>
      <w:r>
        <w:t xml:space="preserve">No </w:t>
      </w:r>
      <w:r w:rsidR="00804109">
        <w:t xml:space="preserve">programmatic changes or adjustments are reported. </w:t>
      </w:r>
    </w:p>
    <w:p w:rsidR="000A34E0" w:rsidRPr="007215E9" w:rsidP="00EA78D2" w14:paraId="3F68C71E" w14:textId="77777777">
      <w:pPr>
        <w:autoSpaceDE w:val="0"/>
        <w:autoSpaceDN w:val="0"/>
        <w:adjustRightInd w:val="0"/>
      </w:pPr>
    </w:p>
    <w:p w:rsidR="00EA78D2" w:rsidRPr="007215E9" w:rsidP="00030FA0" w14:paraId="31ABA490" w14:textId="77777777">
      <w:pPr>
        <w:tabs>
          <w:tab w:val="right" w:pos="360"/>
        </w:tabs>
        <w:autoSpaceDE w:val="0"/>
        <w:autoSpaceDN w:val="0"/>
        <w:adjustRightInd w:val="0"/>
        <w:ind w:left="540" w:hanging="540"/>
        <w:rPr>
          <w:i/>
        </w:rPr>
      </w:pPr>
      <w:r w:rsidRPr="007215E9">
        <w:rPr>
          <w:i/>
        </w:rPr>
        <w:tab/>
        <w:t>16.</w:t>
      </w:r>
      <w:r w:rsidRPr="007215E9">
        <w:rPr>
          <w:i/>
        </w:rPr>
        <w:tab/>
        <w:t>For collections of information whose results will be published, outline plans for tabulation and publication</w:t>
      </w:r>
      <w:r w:rsidRPr="007215E9" w:rsidR="00F25EFF">
        <w:rPr>
          <w:i/>
        </w:rPr>
        <w:t xml:space="preserve">.  </w:t>
      </w:r>
      <w:r w:rsidRPr="007215E9">
        <w:rPr>
          <w:i/>
        </w:rPr>
        <w:t xml:space="preserve">Address any complex analytical techniques that will be used. </w:t>
      </w:r>
      <w:r w:rsidRPr="007215E9" w:rsidR="00216406">
        <w:rPr>
          <w:i/>
        </w:rPr>
        <w:t xml:space="preserve"> </w:t>
      </w:r>
      <w:r w:rsidRPr="007215E9">
        <w:rPr>
          <w:i/>
        </w:rPr>
        <w:t>Provide the time schedule for the entire project, including beginning and ending dates of the collection of information, completion of report, publication dates, and other actions.</w:t>
      </w:r>
    </w:p>
    <w:p w:rsidR="00EA78D2" w:rsidRPr="007215E9" w:rsidP="00EA78D2" w14:paraId="20D4F9E9" w14:textId="77777777">
      <w:pPr>
        <w:autoSpaceDE w:val="0"/>
        <w:autoSpaceDN w:val="0"/>
        <w:adjustRightInd w:val="0"/>
      </w:pPr>
    </w:p>
    <w:p w:rsidR="00060F24" w:rsidRPr="00417BE8" w:rsidP="0566EC41" w14:paraId="25843211" w14:textId="4118850B">
      <w:pPr>
        <w:tabs>
          <w:tab w:val="left" w:pos="2880"/>
          <w:tab w:val="left" w:pos="3600"/>
          <w:tab w:val="left" w:pos="4320"/>
          <w:tab w:val="left" w:pos="5040"/>
          <w:tab w:val="left" w:pos="5760"/>
          <w:tab w:val="left" w:pos="6480"/>
          <w:tab w:val="left" w:pos="7200"/>
          <w:tab w:val="left" w:pos="7920"/>
          <w:tab w:val="left" w:pos="8640"/>
        </w:tabs>
      </w:pPr>
      <w:r>
        <w:t>The information on Form ETA-9142-B-CAA-</w:t>
      </w:r>
      <w:r w:rsidR="004B41E7">
        <w:t xml:space="preserve">9 </w:t>
      </w:r>
      <w:r>
        <w:t>will not be published</w:t>
      </w:r>
      <w:r w:rsidR="00E51EFD">
        <w:t>;</w:t>
      </w:r>
      <w:r>
        <w:t xml:space="preserve"> however</w:t>
      </w:r>
      <w:r w:rsidR="00F47932">
        <w:t>,</w:t>
      </w:r>
      <w:r>
        <w:t xml:space="preserve"> DHS</w:t>
      </w:r>
      <w:r w:rsidR="00BF379E">
        <w:t xml:space="preserve"> and DOL</w:t>
      </w:r>
      <w:r>
        <w:t xml:space="preserve"> may publicly disclose information regarding the H-2B program consistent with applicable law and regulations.</w:t>
      </w:r>
    </w:p>
    <w:p w:rsidR="004A1161" w:rsidRPr="007215E9" w:rsidP="00EA78D2" w14:paraId="5B818885" w14:textId="77777777">
      <w:pPr>
        <w:autoSpaceDE w:val="0"/>
        <w:autoSpaceDN w:val="0"/>
        <w:adjustRightInd w:val="0"/>
      </w:pPr>
    </w:p>
    <w:p w:rsidR="00EA78D2" w:rsidRPr="007215E9" w:rsidP="004B774D" w14:paraId="135F4810" w14:textId="77777777">
      <w:pPr>
        <w:tabs>
          <w:tab w:val="right" w:pos="360"/>
        </w:tabs>
        <w:autoSpaceDE w:val="0"/>
        <w:autoSpaceDN w:val="0"/>
        <w:adjustRightInd w:val="0"/>
        <w:ind w:left="540" w:hanging="540"/>
        <w:rPr>
          <w:i/>
        </w:rPr>
      </w:pPr>
      <w:r w:rsidRPr="007215E9">
        <w:rPr>
          <w:i/>
        </w:rPr>
        <w:tab/>
        <w:t>17.</w:t>
      </w:r>
      <w:r w:rsidRPr="007215E9">
        <w:rPr>
          <w:i/>
        </w:rPr>
        <w:tab/>
        <w:t xml:space="preserve">If seeking approval </w:t>
      </w:r>
      <w:r w:rsidRPr="007215E9" w:rsidR="00F25EFF">
        <w:rPr>
          <w:i/>
        </w:rPr>
        <w:t xml:space="preserve">not </w:t>
      </w:r>
      <w:r w:rsidRPr="007215E9">
        <w:rPr>
          <w:i/>
        </w:rPr>
        <w:t xml:space="preserve">to display the expiration date for OMB approval of the information collection, explain the reasons that display would be inappropriate. </w:t>
      </w:r>
    </w:p>
    <w:p w:rsidR="00EA78D2" w:rsidRPr="007215E9" w:rsidP="00EA78D2" w14:paraId="495C36F3" w14:textId="77777777">
      <w:pPr>
        <w:autoSpaceDE w:val="0"/>
        <w:autoSpaceDN w:val="0"/>
        <w:adjustRightInd w:val="0"/>
      </w:pPr>
    </w:p>
    <w:p w:rsidR="00060F24" w:rsidRPr="00417BE8" w:rsidP="00060F24" w14:paraId="71B4D766" w14:textId="77777777">
      <w:r w:rsidRPr="00417BE8">
        <w:t xml:space="preserve">ETA </w:t>
      </w:r>
      <w:r>
        <w:t xml:space="preserve">will display </w:t>
      </w:r>
      <w:r w:rsidRPr="00417BE8">
        <w:t>the OMB approval number and expiration date.</w:t>
      </w:r>
    </w:p>
    <w:p w:rsidR="004A1161" w:rsidRPr="007215E9" w:rsidP="00EA78D2" w14:paraId="41B85D10" w14:textId="77777777">
      <w:pPr>
        <w:autoSpaceDE w:val="0"/>
        <w:autoSpaceDN w:val="0"/>
        <w:adjustRightInd w:val="0"/>
      </w:pPr>
    </w:p>
    <w:p w:rsidR="003F4C38" w:rsidRPr="007215E9" w:rsidP="003F4C38" w14:paraId="58D71623" w14:textId="77777777">
      <w:pPr>
        <w:tabs>
          <w:tab w:val="right" w:pos="360"/>
        </w:tabs>
        <w:ind w:left="540" w:hanging="540"/>
        <w:rPr>
          <w:i/>
        </w:rPr>
      </w:pPr>
      <w:r w:rsidRPr="007215E9">
        <w:rPr>
          <w:i/>
        </w:rPr>
        <w:tab/>
      </w:r>
      <w:r w:rsidRPr="007215E9" w:rsidR="00EA78D2">
        <w:rPr>
          <w:i/>
        </w:rPr>
        <w:t>18.</w:t>
      </w:r>
      <w:r w:rsidRPr="007215E9">
        <w:rPr>
          <w:i/>
        </w:rPr>
        <w:tab/>
      </w:r>
      <w:r w:rsidRPr="007215E9" w:rsidR="00EA78D2">
        <w:rPr>
          <w:i/>
        </w:rPr>
        <w:t>Explain each exception to the topics of the certification statement identified in “Certification for Paperwork Reduction Act Submissions</w:t>
      </w:r>
      <w:r w:rsidR="00DA78FD">
        <w:rPr>
          <w:i/>
        </w:rPr>
        <w:t>.</w:t>
      </w:r>
      <w:r w:rsidRPr="007215E9" w:rsidR="00EA78D2">
        <w:rPr>
          <w:i/>
        </w:rPr>
        <w:t>”</w:t>
      </w:r>
    </w:p>
    <w:p w:rsidR="003F4C38" w:rsidP="003F4C38" w14:paraId="4E792910" w14:textId="77777777">
      <w:pPr>
        <w:tabs>
          <w:tab w:val="right" w:pos="360"/>
        </w:tabs>
        <w:ind w:left="540" w:hanging="540"/>
        <w:rPr>
          <w:i/>
        </w:rPr>
      </w:pPr>
    </w:p>
    <w:p w:rsidR="00DA78FD" w:rsidRPr="00BD0BD5" w:rsidP="003F4C38" w14:paraId="19291751" w14:textId="77777777">
      <w:pPr>
        <w:tabs>
          <w:tab w:val="right" w:pos="360"/>
        </w:tabs>
        <w:ind w:left="540" w:hanging="540"/>
      </w:pPr>
      <w:r>
        <w:t xml:space="preserve">DOL is not seeking any exception to the certification requirements.  </w:t>
      </w:r>
    </w:p>
    <w:p w:rsidR="00391D5E" w:rsidRPr="007215E9" w:rsidP="003F4C38" w14:paraId="65D4FE74" w14:textId="77777777">
      <w:pPr>
        <w:tabs>
          <w:tab w:val="right" w:pos="360"/>
        </w:tabs>
        <w:ind w:left="540" w:hanging="540"/>
        <w:rPr>
          <w:i/>
        </w:rPr>
      </w:pPr>
    </w:p>
    <w:p w:rsidR="003F4C38" w:rsidRPr="007215E9" w:rsidP="003F4C38" w14:paraId="3732A6C5" w14:textId="77777777">
      <w:pPr>
        <w:tabs>
          <w:tab w:val="right" w:pos="360"/>
        </w:tabs>
        <w:ind w:left="540" w:hanging="540"/>
        <w:rPr>
          <w:i/>
        </w:rPr>
      </w:pPr>
      <w:r w:rsidRPr="007215E9">
        <w:rPr>
          <w:b/>
        </w:rPr>
        <w:t xml:space="preserve">B. </w:t>
      </w:r>
      <w:r w:rsidRPr="007215E9">
        <w:rPr>
          <w:b/>
        </w:rPr>
        <w:tab/>
      </w:r>
      <w:r w:rsidRPr="007215E9" w:rsidR="00C45047">
        <w:rPr>
          <w:b/>
        </w:rPr>
        <w:t>Collections of Information Employing Statistical Methods</w:t>
      </w:r>
    </w:p>
    <w:p w:rsidR="004A1161" w:rsidRPr="007215E9" w:rsidP="00EA78D2" w14:paraId="2D34AC5C" w14:textId="77777777"/>
    <w:p w:rsidR="004A1161" w:rsidP="00EA78D2" w14:paraId="58C50243" w14:textId="77777777">
      <w:r w:rsidRPr="007215E9">
        <w:t>This information col</w:t>
      </w:r>
      <w:r>
        <w:t>lection does not employ statistical methods.</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0C3" w14:paraId="7651BD4B" w14:textId="0C9B4F41">
    <w:pPr>
      <w:pStyle w:val="Footer"/>
      <w:jc w:val="center"/>
    </w:pPr>
    <w:r w:rsidRPr="00667C16">
      <w:rPr>
        <w:color w:val="2B579A"/>
        <w:shd w:val="clear" w:color="auto" w:fill="E6E6E6"/>
      </w:rPr>
      <w:fldChar w:fldCharType="begin"/>
    </w:r>
    <w:r w:rsidRPr="00667C16">
      <w:instrText xml:space="preserve"> PAGE   \* MERGEFORMAT </w:instrText>
    </w:r>
    <w:r w:rsidRPr="00667C16">
      <w:rPr>
        <w:color w:val="2B579A"/>
        <w:shd w:val="clear" w:color="auto" w:fill="E6E6E6"/>
      </w:rPr>
      <w:fldChar w:fldCharType="separate"/>
    </w:r>
    <w:r w:rsidRPr="00667C16" w:rsidR="00550C7E">
      <w:rPr>
        <w:noProof/>
      </w:rPr>
      <w:t>8</w:t>
    </w:r>
    <w:r w:rsidRPr="00667C16">
      <w:rPr>
        <w:color w:val="2B579A"/>
        <w:shd w:val="clear" w:color="auto" w:fill="E6E6E6"/>
      </w:rPr>
      <w:fldChar w:fldCharType="end"/>
    </w:r>
  </w:p>
  <w:p w:rsidR="00FD20C3" w14:paraId="38D7E9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57D8" w:rsidP="00910252" w14:paraId="6129AF29" w14:textId="77777777">
      <w:r>
        <w:separator/>
      </w:r>
    </w:p>
  </w:footnote>
  <w:footnote w:type="continuationSeparator" w:id="1">
    <w:p w:rsidR="00C957D8" w:rsidP="00910252" w14:paraId="64296589" w14:textId="77777777">
      <w:r>
        <w:continuationSeparator/>
      </w:r>
    </w:p>
  </w:footnote>
  <w:footnote w:type="continuationNotice" w:id="2">
    <w:p w:rsidR="00C957D8" w14:paraId="7C791CC9" w14:textId="77777777"/>
  </w:footnote>
  <w:footnote w:id="3">
    <w:p w:rsidR="00FD20C3" w14:paraId="5ED1E571" w14:textId="2852C4EE">
      <w:pPr>
        <w:pStyle w:val="FootnoteText"/>
      </w:pPr>
      <w:r>
        <w:rPr>
          <w:rStyle w:val="FootnoteReference"/>
        </w:rPr>
        <w:footnoteRef/>
      </w:r>
      <w:r>
        <w:t xml:space="preserve"> Office of Management and Budget Memorandum “Reducing Reporting and Paperwork Burden” (June 22, 2012), </w:t>
      </w:r>
      <w:r w:rsidRPr="00C4316D" w:rsidR="009607AE">
        <w:t>https://obamawhitehouse.archives.gov/sites/default/files/omb/inforeg/memos/reducing-reporting-and-paperwork-burdens.pdf</w:t>
      </w:r>
      <w:r>
        <w:t xml:space="preserve">. </w:t>
      </w:r>
    </w:p>
  </w:footnote>
  <w:footnote w:id="4">
    <w:p w:rsidR="00FD20C3" w:rsidRPr="006973A9" w:rsidP="002B2C9A" w14:paraId="355BFFCF" w14:textId="05CB29CB">
      <w:pPr>
        <w:pStyle w:val="FootnoteText"/>
        <w:spacing w:after="120"/>
      </w:pPr>
      <w:r w:rsidRPr="009F4FF6">
        <w:rPr>
          <w:rStyle w:val="FootnoteReference"/>
        </w:rPr>
        <w:footnoteRef/>
      </w:r>
      <w:r w:rsidRPr="006973A9" w:rsidR="2C783F6D">
        <w:t xml:space="preserve"> </w:t>
      </w:r>
      <w:r w:rsidRPr="00FC3210" w:rsidR="2C783F6D">
        <w:t>Calculation</w:t>
      </w:r>
      <w:r w:rsidRPr="00196645" w:rsidR="2C783F6D">
        <w:t>:  $50.94</w:t>
      </w:r>
      <w:r w:rsidRPr="00FC3210" w:rsidR="2C783F6D">
        <w:t xml:space="preserve"> (average per hour wage for an HR specialist) × </w:t>
      </w:r>
      <w:r w:rsidR="2C783F6D">
        <w:t>1</w:t>
      </w:r>
      <w:r w:rsidRPr="00FC3210" w:rsidR="2C783F6D">
        <w:t xml:space="preserve"> (time burden for the new attestation form and notifying third parties and retaining records related to the returning worker requirements (</w:t>
      </w:r>
      <w:r w:rsidR="2C783F6D">
        <w:t>0.25 +</w:t>
      </w:r>
      <w:r w:rsidRPr="00FC3210" w:rsidR="2C783F6D">
        <w:t xml:space="preserve"> 0.75)</w:t>
      </w:r>
      <w:r w:rsidRPr="2C783F6D" w:rsidR="2C783F6D">
        <w:t xml:space="preserve">) = </w:t>
      </w:r>
      <w:r w:rsidRPr="00196645" w:rsidR="2C783F6D">
        <w:t>$</w:t>
      </w:r>
      <w:r w:rsidRPr="00667C16" w:rsidR="2C783F6D">
        <w:t>50.94</w:t>
      </w:r>
      <w:r w:rsidRPr="006973A9" w:rsidR="2C783F6D">
        <w:t>.</w:t>
      </w:r>
      <w:r w:rsidR="2C783F6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20C3" w:rsidP="007215E9" w14:paraId="56AD9D39" w14:textId="344C2EF8">
    <w:pPr>
      <w:tabs>
        <w:tab w:val="center" w:pos="4680"/>
        <w:tab w:val="right" w:pos="9360"/>
      </w:tabs>
      <w:rPr>
        <w:rFonts w:cs="Arial"/>
        <w:sz w:val="20"/>
        <w:szCs w:val="20"/>
      </w:rPr>
    </w:pPr>
    <w:r w:rsidRPr="007215E9">
      <w:rPr>
        <w:rFonts w:cs="Arial"/>
        <w:sz w:val="20"/>
        <w:szCs w:val="20"/>
      </w:rPr>
      <w:t xml:space="preserve">Attestation for Employers Seeking to Employ H-2B Nonimmigrant </w:t>
    </w:r>
    <w:r w:rsidRPr="00667C16" w:rsidR="00462FF1">
      <w:rPr>
        <w:color w:val="000000" w:themeColor="text1"/>
        <w:sz w:val="20"/>
        <w:szCs w:val="20"/>
      </w:rPr>
      <w:t>Section 105 of Division G</w:t>
    </w:r>
    <w:r w:rsidRPr="6943E6E0" w:rsidR="6943E6E0">
      <w:rPr>
        <w:color w:val="000000" w:themeColor="text1"/>
        <w:sz w:val="20"/>
        <w:szCs w:val="20"/>
      </w:rPr>
      <w:t>, Title I</w:t>
    </w:r>
    <w:r w:rsidRPr="00667C16" w:rsidR="6943E6E0">
      <w:rPr>
        <w:color w:val="000000" w:themeColor="text1"/>
        <w:sz w:val="20"/>
        <w:szCs w:val="20"/>
      </w:rPr>
      <w:t xml:space="preserve"> of the </w:t>
    </w:r>
    <w:r w:rsidRPr="6943E6E0" w:rsidR="6943E6E0">
      <w:rPr>
        <w:color w:val="000000" w:themeColor="text1"/>
        <w:sz w:val="20"/>
        <w:szCs w:val="20"/>
      </w:rPr>
      <w:t>Further</w:t>
    </w:r>
    <w:r w:rsidRPr="6943E6E0" w:rsidR="00462FF1">
      <w:rPr>
        <w:color w:val="000000" w:themeColor="text1"/>
        <w:sz w:val="20"/>
        <w:szCs w:val="20"/>
      </w:rPr>
      <w:t xml:space="preserve"> </w:t>
    </w:r>
    <w:r w:rsidRPr="00667C16" w:rsidR="00462FF1">
      <w:rPr>
        <w:color w:val="000000" w:themeColor="text1"/>
        <w:sz w:val="20"/>
        <w:szCs w:val="20"/>
      </w:rPr>
      <w:t xml:space="preserve">Consolidated Appropriations Act, 2024, Public Law 118-47, as extended by sections 101(6) </w:t>
    </w:r>
    <w:r w:rsidRPr="6943E6E0" w:rsidR="6943E6E0">
      <w:rPr>
        <w:color w:val="000000" w:themeColor="text1"/>
        <w:sz w:val="20"/>
        <w:szCs w:val="20"/>
      </w:rPr>
      <w:t xml:space="preserve">and 106 </w:t>
    </w:r>
    <w:r w:rsidRPr="00667C16" w:rsidR="00462FF1">
      <w:rPr>
        <w:color w:val="000000" w:themeColor="text1"/>
        <w:sz w:val="20"/>
        <w:szCs w:val="20"/>
      </w:rPr>
      <w:t>of Division A</w:t>
    </w:r>
    <w:r w:rsidR="003C68A6">
      <w:rPr>
        <w:iCs/>
        <w:color w:val="000000" w:themeColor="text1"/>
        <w:sz w:val="20"/>
        <w:szCs w:val="20"/>
      </w:rPr>
      <w:t>, Title I</w:t>
    </w:r>
    <w:r w:rsidRPr="00667C16" w:rsidR="00462FF1">
      <w:rPr>
        <w:color w:val="000000" w:themeColor="text1"/>
        <w:sz w:val="20"/>
        <w:szCs w:val="20"/>
      </w:rPr>
      <w:t xml:space="preserve"> of the Continuing Appropriations and Extensions Act, 2025, Public Law 118-83</w:t>
    </w:r>
    <w:r w:rsidRPr="6943E6E0" w:rsidR="00857C70">
      <w:rPr>
        <w:color w:val="000000" w:themeColor="text1"/>
        <w:sz w:val="20"/>
        <w:szCs w:val="20"/>
      </w:rPr>
      <w:t xml:space="preserve"> </w:t>
    </w:r>
  </w:p>
  <w:p w:rsidR="00FD20C3" w:rsidP="007215E9" w14:paraId="5D756B39" w14:textId="00A5A6F0">
    <w:pPr>
      <w:tabs>
        <w:tab w:val="center" w:pos="4680"/>
        <w:tab w:val="right" w:pos="9360"/>
      </w:tabs>
      <w:rPr>
        <w:rFonts w:cs="Arial"/>
        <w:sz w:val="20"/>
        <w:szCs w:val="20"/>
      </w:rPr>
    </w:pPr>
    <w:r w:rsidRPr="700A7497">
      <w:rPr>
        <w:rFonts w:cs="Arial"/>
        <w:sz w:val="20"/>
        <w:szCs w:val="20"/>
      </w:rPr>
      <w:t>OMB Control Number: 1205-0563</w:t>
    </w:r>
  </w:p>
  <w:p w:rsidR="00FD20C3" w:rsidRPr="007215E9" w:rsidP="700A7497" w14:paraId="7C9F4989" w14:textId="65EFF972">
    <w:pPr>
      <w:tabs>
        <w:tab w:val="center" w:pos="4680"/>
        <w:tab w:val="right" w:pos="9360"/>
      </w:tabs>
      <w:rPr>
        <w:rFonts w:cs="Arial"/>
        <w:sz w:val="20"/>
        <w:szCs w:val="20"/>
      </w:rPr>
    </w:pPr>
    <w:r w:rsidRPr="700A7497">
      <w:rPr>
        <w:rFonts w:cs="Arial"/>
        <w:sz w:val="20"/>
        <w:szCs w:val="20"/>
      </w:rPr>
      <w:t>March 2025</w:t>
    </w:r>
  </w:p>
  <w:p w:rsidR="00FD20C3" w:rsidP="00D45FEA" w14:paraId="05D51930" w14:textId="77777777">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73F5172"/>
    <w:multiLevelType w:val="hybridMultilevel"/>
    <w:tmpl w:val="9828BC24"/>
    <w:lvl w:ilvl="0">
      <w:start w:val="1"/>
      <w:numFmt w:val="decimal"/>
      <w:lvlText w:val="%1."/>
      <w:lvlJc w:val="left"/>
      <w:pPr>
        <w:tabs>
          <w:tab w:val="num" w:pos="1350"/>
        </w:tabs>
        <w:ind w:left="1350" w:hanging="360"/>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1">
    <w:nsid w:val="7FD327B9"/>
    <w:multiLevelType w:val="hybridMultilevel"/>
    <w:tmpl w:val="523AE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2519371">
    <w:abstractNumId w:val="1"/>
  </w:num>
  <w:num w:numId="2" w16cid:durableId="1960069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D2"/>
    <w:rsid w:val="000013A2"/>
    <w:rsid w:val="00004579"/>
    <w:rsid w:val="000057B0"/>
    <w:rsid w:val="00006F01"/>
    <w:rsid w:val="00007B45"/>
    <w:rsid w:val="00014A21"/>
    <w:rsid w:val="000157AA"/>
    <w:rsid w:val="000159E8"/>
    <w:rsid w:val="00015F0A"/>
    <w:rsid w:val="0001697F"/>
    <w:rsid w:val="00020A18"/>
    <w:rsid w:val="00022534"/>
    <w:rsid w:val="000229CB"/>
    <w:rsid w:val="00022BBB"/>
    <w:rsid w:val="00024F87"/>
    <w:rsid w:val="0002623C"/>
    <w:rsid w:val="00027DBD"/>
    <w:rsid w:val="000301CD"/>
    <w:rsid w:val="00030462"/>
    <w:rsid w:val="00030C24"/>
    <w:rsid w:val="00030FA0"/>
    <w:rsid w:val="00031030"/>
    <w:rsid w:val="0003209A"/>
    <w:rsid w:val="0003217F"/>
    <w:rsid w:val="00032663"/>
    <w:rsid w:val="00033BEF"/>
    <w:rsid w:val="00035B75"/>
    <w:rsid w:val="000401E4"/>
    <w:rsid w:val="000414EA"/>
    <w:rsid w:val="00041D5E"/>
    <w:rsid w:val="00041E3E"/>
    <w:rsid w:val="0004361D"/>
    <w:rsid w:val="000446EA"/>
    <w:rsid w:val="00045D6F"/>
    <w:rsid w:val="00046082"/>
    <w:rsid w:val="00046FF1"/>
    <w:rsid w:val="00050558"/>
    <w:rsid w:val="00050A8B"/>
    <w:rsid w:val="00052B87"/>
    <w:rsid w:val="000535C1"/>
    <w:rsid w:val="00054642"/>
    <w:rsid w:val="000546FA"/>
    <w:rsid w:val="000561A2"/>
    <w:rsid w:val="00057427"/>
    <w:rsid w:val="00057D18"/>
    <w:rsid w:val="00060800"/>
    <w:rsid w:val="00060F24"/>
    <w:rsid w:val="00061608"/>
    <w:rsid w:val="000648C0"/>
    <w:rsid w:val="00066947"/>
    <w:rsid w:val="000678D0"/>
    <w:rsid w:val="00070377"/>
    <w:rsid w:val="0007044E"/>
    <w:rsid w:val="00070DC2"/>
    <w:rsid w:val="0007121C"/>
    <w:rsid w:val="0007170B"/>
    <w:rsid w:val="00071A4A"/>
    <w:rsid w:val="000725A2"/>
    <w:rsid w:val="0007411D"/>
    <w:rsid w:val="000758C0"/>
    <w:rsid w:val="000815BE"/>
    <w:rsid w:val="000829BA"/>
    <w:rsid w:val="00083140"/>
    <w:rsid w:val="00084CF7"/>
    <w:rsid w:val="00085DA4"/>
    <w:rsid w:val="0009654D"/>
    <w:rsid w:val="000967F7"/>
    <w:rsid w:val="000975E4"/>
    <w:rsid w:val="000978F9"/>
    <w:rsid w:val="00097C6C"/>
    <w:rsid w:val="000A0D90"/>
    <w:rsid w:val="000A34E0"/>
    <w:rsid w:val="000A5026"/>
    <w:rsid w:val="000A5495"/>
    <w:rsid w:val="000A6460"/>
    <w:rsid w:val="000A6C8D"/>
    <w:rsid w:val="000B2B65"/>
    <w:rsid w:val="000B36AC"/>
    <w:rsid w:val="000B7188"/>
    <w:rsid w:val="000C0E05"/>
    <w:rsid w:val="000C2556"/>
    <w:rsid w:val="000C4804"/>
    <w:rsid w:val="000C485C"/>
    <w:rsid w:val="000C703B"/>
    <w:rsid w:val="000D36C5"/>
    <w:rsid w:val="000D3FC8"/>
    <w:rsid w:val="000D7168"/>
    <w:rsid w:val="000D7B02"/>
    <w:rsid w:val="000E01FC"/>
    <w:rsid w:val="000E162F"/>
    <w:rsid w:val="000E1B06"/>
    <w:rsid w:val="000E1BA6"/>
    <w:rsid w:val="000E2357"/>
    <w:rsid w:val="000E5566"/>
    <w:rsid w:val="000E60B6"/>
    <w:rsid w:val="000E694C"/>
    <w:rsid w:val="000F0BD6"/>
    <w:rsid w:val="000F1F4C"/>
    <w:rsid w:val="000F20C3"/>
    <w:rsid w:val="000F21CC"/>
    <w:rsid w:val="000F7133"/>
    <w:rsid w:val="000F7140"/>
    <w:rsid w:val="000F7442"/>
    <w:rsid w:val="00100094"/>
    <w:rsid w:val="001017AE"/>
    <w:rsid w:val="001050AF"/>
    <w:rsid w:val="001055B2"/>
    <w:rsid w:val="00105D58"/>
    <w:rsid w:val="001060AD"/>
    <w:rsid w:val="001111F5"/>
    <w:rsid w:val="001113FD"/>
    <w:rsid w:val="001134D1"/>
    <w:rsid w:val="00115B42"/>
    <w:rsid w:val="001160DF"/>
    <w:rsid w:val="00116BCA"/>
    <w:rsid w:val="0012222D"/>
    <w:rsid w:val="001241CD"/>
    <w:rsid w:val="00125178"/>
    <w:rsid w:val="001264CB"/>
    <w:rsid w:val="00127C5E"/>
    <w:rsid w:val="00127C7F"/>
    <w:rsid w:val="001306D6"/>
    <w:rsid w:val="00131272"/>
    <w:rsid w:val="0013363C"/>
    <w:rsid w:val="00133BDF"/>
    <w:rsid w:val="0013412D"/>
    <w:rsid w:val="00134398"/>
    <w:rsid w:val="00134742"/>
    <w:rsid w:val="00134CF0"/>
    <w:rsid w:val="00134DB2"/>
    <w:rsid w:val="00135490"/>
    <w:rsid w:val="00135F26"/>
    <w:rsid w:val="00136570"/>
    <w:rsid w:val="00137D8D"/>
    <w:rsid w:val="00140735"/>
    <w:rsid w:val="001423EA"/>
    <w:rsid w:val="001453B9"/>
    <w:rsid w:val="00145DF3"/>
    <w:rsid w:val="00146907"/>
    <w:rsid w:val="00146ECD"/>
    <w:rsid w:val="0015053B"/>
    <w:rsid w:val="00151A91"/>
    <w:rsid w:val="00154AD6"/>
    <w:rsid w:val="00155C57"/>
    <w:rsid w:val="001574FF"/>
    <w:rsid w:val="00161546"/>
    <w:rsid w:val="00162AAC"/>
    <w:rsid w:val="00165724"/>
    <w:rsid w:val="00165925"/>
    <w:rsid w:val="00166458"/>
    <w:rsid w:val="0017136D"/>
    <w:rsid w:val="001729C1"/>
    <w:rsid w:val="00174BD3"/>
    <w:rsid w:val="00177930"/>
    <w:rsid w:val="00181B79"/>
    <w:rsid w:val="00181F23"/>
    <w:rsid w:val="001828A5"/>
    <w:rsid w:val="00185AF6"/>
    <w:rsid w:val="00186A29"/>
    <w:rsid w:val="00192C73"/>
    <w:rsid w:val="00192CE6"/>
    <w:rsid w:val="0019386A"/>
    <w:rsid w:val="00193902"/>
    <w:rsid w:val="00194713"/>
    <w:rsid w:val="00196645"/>
    <w:rsid w:val="00197481"/>
    <w:rsid w:val="00197C05"/>
    <w:rsid w:val="001A0D3F"/>
    <w:rsid w:val="001A0EF4"/>
    <w:rsid w:val="001A4AF3"/>
    <w:rsid w:val="001A7B43"/>
    <w:rsid w:val="001B0BEC"/>
    <w:rsid w:val="001B1405"/>
    <w:rsid w:val="001B1E78"/>
    <w:rsid w:val="001B286A"/>
    <w:rsid w:val="001B4837"/>
    <w:rsid w:val="001B5B96"/>
    <w:rsid w:val="001B6AF1"/>
    <w:rsid w:val="001B7818"/>
    <w:rsid w:val="001C04EF"/>
    <w:rsid w:val="001C050B"/>
    <w:rsid w:val="001C0716"/>
    <w:rsid w:val="001C08CC"/>
    <w:rsid w:val="001C124A"/>
    <w:rsid w:val="001C1EE9"/>
    <w:rsid w:val="001C2F79"/>
    <w:rsid w:val="001C41CB"/>
    <w:rsid w:val="001C5261"/>
    <w:rsid w:val="001C53F2"/>
    <w:rsid w:val="001C679E"/>
    <w:rsid w:val="001C77F3"/>
    <w:rsid w:val="001C795C"/>
    <w:rsid w:val="001D1679"/>
    <w:rsid w:val="001D1EB0"/>
    <w:rsid w:val="001D1EBD"/>
    <w:rsid w:val="001D2136"/>
    <w:rsid w:val="001D38C4"/>
    <w:rsid w:val="001D5B9F"/>
    <w:rsid w:val="001D650D"/>
    <w:rsid w:val="001D6A06"/>
    <w:rsid w:val="001D7FBB"/>
    <w:rsid w:val="001E0301"/>
    <w:rsid w:val="001E3B87"/>
    <w:rsid w:val="001E4915"/>
    <w:rsid w:val="001E5025"/>
    <w:rsid w:val="001E5529"/>
    <w:rsid w:val="001E5B21"/>
    <w:rsid w:val="001E721D"/>
    <w:rsid w:val="001F1176"/>
    <w:rsid w:val="001F1427"/>
    <w:rsid w:val="001F1966"/>
    <w:rsid w:val="001F226A"/>
    <w:rsid w:val="001F4B81"/>
    <w:rsid w:val="001F5944"/>
    <w:rsid w:val="001F6BC5"/>
    <w:rsid w:val="001F7404"/>
    <w:rsid w:val="002001E2"/>
    <w:rsid w:val="0020096A"/>
    <w:rsid w:val="00204D71"/>
    <w:rsid w:val="002055E0"/>
    <w:rsid w:val="00205FE0"/>
    <w:rsid w:val="0020604D"/>
    <w:rsid w:val="00206A8A"/>
    <w:rsid w:val="00206AEE"/>
    <w:rsid w:val="002127E0"/>
    <w:rsid w:val="002133B6"/>
    <w:rsid w:val="00215340"/>
    <w:rsid w:val="00216406"/>
    <w:rsid w:val="00216AC3"/>
    <w:rsid w:val="00217118"/>
    <w:rsid w:val="00220677"/>
    <w:rsid w:val="002221A7"/>
    <w:rsid w:val="00223553"/>
    <w:rsid w:val="002251CC"/>
    <w:rsid w:val="00226D96"/>
    <w:rsid w:val="0023127D"/>
    <w:rsid w:val="0023301E"/>
    <w:rsid w:val="0023575C"/>
    <w:rsid w:val="00235B07"/>
    <w:rsid w:val="00236926"/>
    <w:rsid w:val="002401D7"/>
    <w:rsid w:val="00240442"/>
    <w:rsid w:val="00241DC7"/>
    <w:rsid w:val="00241E77"/>
    <w:rsid w:val="00242E36"/>
    <w:rsid w:val="0024368E"/>
    <w:rsid w:val="0024475B"/>
    <w:rsid w:val="0024499C"/>
    <w:rsid w:val="00244C12"/>
    <w:rsid w:val="00245EA1"/>
    <w:rsid w:val="00246CAD"/>
    <w:rsid w:val="00250150"/>
    <w:rsid w:val="0025101C"/>
    <w:rsid w:val="00251031"/>
    <w:rsid w:val="00251630"/>
    <w:rsid w:val="00251A2C"/>
    <w:rsid w:val="00253237"/>
    <w:rsid w:val="0025593F"/>
    <w:rsid w:val="00255D4A"/>
    <w:rsid w:val="00257E92"/>
    <w:rsid w:val="00263647"/>
    <w:rsid w:val="00273596"/>
    <w:rsid w:val="00273D74"/>
    <w:rsid w:val="00276597"/>
    <w:rsid w:val="002768D5"/>
    <w:rsid w:val="00280283"/>
    <w:rsid w:val="002810D1"/>
    <w:rsid w:val="0028147E"/>
    <w:rsid w:val="00281A82"/>
    <w:rsid w:val="002828A0"/>
    <w:rsid w:val="002840EB"/>
    <w:rsid w:val="00285505"/>
    <w:rsid w:val="002862D6"/>
    <w:rsid w:val="0028630E"/>
    <w:rsid w:val="00287B2C"/>
    <w:rsid w:val="00287FD0"/>
    <w:rsid w:val="00290D3F"/>
    <w:rsid w:val="00290DF8"/>
    <w:rsid w:val="002931CC"/>
    <w:rsid w:val="0029323A"/>
    <w:rsid w:val="0029478C"/>
    <w:rsid w:val="002A194B"/>
    <w:rsid w:val="002A3032"/>
    <w:rsid w:val="002A33C9"/>
    <w:rsid w:val="002A37FC"/>
    <w:rsid w:val="002A3D50"/>
    <w:rsid w:val="002A5370"/>
    <w:rsid w:val="002B09BA"/>
    <w:rsid w:val="002B0F3B"/>
    <w:rsid w:val="002B13C7"/>
    <w:rsid w:val="002B187E"/>
    <w:rsid w:val="002B235F"/>
    <w:rsid w:val="002B2C9A"/>
    <w:rsid w:val="002B2E41"/>
    <w:rsid w:val="002B3B7C"/>
    <w:rsid w:val="002B56E3"/>
    <w:rsid w:val="002B5D8B"/>
    <w:rsid w:val="002B6F65"/>
    <w:rsid w:val="002B728C"/>
    <w:rsid w:val="002B7C06"/>
    <w:rsid w:val="002C0239"/>
    <w:rsid w:val="002C1F39"/>
    <w:rsid w:val="002C65A9"/>
    <w:rsid w:val="002C6EAC"/>
    <w:rsid w:val="002D1DE1"/>
    <w:rsid w:val="002D2702"/>
    <w:rsid w:val="002D46EB"/>
    <w:rsid w:val="002D4E61"/>
    <w:rsid w:val="002D7A2B"/>
    <w:rsid w:val="002D7F08"/>
    <w:rsid w:val="002E047E"/>
    <w:rsid w:val="002E19CF"/>
    <w:rsid w:val="002E3F52"/>
    <w:rsid w:val="002E445D"/>
    <w:rsid w:val="002E63C7"/>
    <w:rsid w:val="002E7056"/>
    <w:rsid w:val="002E7B2C"/>
    <w:rsid w:val="002F20BF"/>
    <w:rsid w:val="002F299B"/>
    <w:rsid w:val="002F37AD"/>
    <w:rsid w:val="002F46B2"/>
    <w:rsid w:val="002F4C0A"/>
    <w:rsid w:val="002F5106"/>
    <w:rsid w:val="002F55D9"/>
    <w:rsid w:val="002F5677"/>
    <w:rsid w:val="002F5B41"/>
    <w:rsid w:val="002F6576"/>
    <w:rsid w:val="0030102D"/>
    <w:rsid w:val="003016ED"/>
    <w:rsid w:val="003041C3"/>
    <w:rsid w:val="00304442"/>
    <w:rsid w:val="00304A8D"/>
    <w:rsid w:val="00305B44"/>
    <w:rsid w:val="00306C42"/>
    <w:rsid w:val="00307F84"/>
    <w:rsid w:val="003107E4"/>
    <w:rsid w:val="00311025"/>
    <w:rsid w:val="003134D8"/>
    <w:rsid w:val="003141A7"/>
    <w:rsid w:val="00316A22"/>
    <w:rsid w:val="0032044E"/>
    <w:rsid w:val="0032260F"/>
    <w:rsid w:val="0032571B"/>
    <w:rsid w:val="00327E40"/>
    <w:rsid w:val="00330F45"/>
    <w:rsid w:val="00331699"/>
    <w:rsid w:val="003322AB"/>
    <w:rsid w:val="0033241D"/>
    <w:rsid w:val="0033424B"/>
    <w:rsid w:val="00334282"/>
    <w:rsid w:val="00340A74"/>
    <w:rsid w:val="00340C3F"/>
    <w:rsid w:val="003410E2"/>
    <w:rsid w:val="0034146A"/>
    <w:rsid w:val="00344F02"/>
    <w:rsid w:val="003467E4"/>
    <w:rsid w:val="00350190"/>
    <w:rsid w:val="003501A2"/>
    <w:rsid w:val="003534D7"/>
    <w:rsid w:val="003541A5"/>
    <w:rsid w:val="0035462D"/>
    <w:rsid w:val="003568D8"/>
    <w:rsid w:val="0035697F"/>
    <w:rsid w:val="003577F0"/>
    <w:rsid w:val="0036017E"/>
    <w:rsid w:val="003626D9"/>
    <w:rsid w:val="003628B1"/>
    <w:rsid w:val="00362E5D"/>
    <w:rsid w:val="00363E67"/>
    <w:rsid w:val="003669DA"/>
    <w:rsid w:val="00373903"/>
    <w:rsid w:val="00374AA2"/>
    <w:rsid w:val="00375E68"/>
    <w:rsid w:val="00381B11"/>
    <w:rsid w:val="00386467"/>
    <w:rsid w:val="00386E41"/>
    <w:rsid w:val="0039042C"/>
    <w:rsid w:val="003911E9"/>
    <w:rsid w:val="00391900"/>
    <w:rsid w:val="00391D5E"/>
    <w:rsid w:val="00392934"/>
    <w:rsid w:val="00393520"/>
    <w:rsid w:val="00393677"/>
    <w:rsid w:val="00397F51"/>
    <w:rsid w:val="003A364C"/>
    <w:rsid w:val="003A5B19"/>
    <w:rsid w:val="003A75F2"/>
    <w:rsid w:val="003B03B9"/>
    <w:rsid w:val="003B09A3"/>
    <w:rsid w:val="003B0A7A"/>
    <w:rsid w:val="003B384D"/>
    <w:rsid w:val="003B58F9"/>
    <w:rsid w:val="003B6892"/>
    <w:rsid w:val="003B75EA"/>
    <w:rsid w:val="003C0A27"/>
    <w:rsid w:val="003C26D0"/>
    <w:rsid w:val="003C4B99"/>
    <w:rsid w:val="003C64AD"/>
    <w:rsid w:val="003C68A6"/>
    <w:rsid w:val="003D09D5"/>
    <w:rsid w:val="003D3A1C"/>
    <w:rsid w:val="003D6938"/>
    <w:rsid w:val="003E0AE2"/>
    <w:rsid w:val="003E2F0D"/>
    <w:rsid w:val="003E4F3B"/>
    <w:rsid w:val="003E714C"/>
    <w:rsid w:val="003F016E"/>
    <w:rsid w:val="003F4695"/>
    <w:rsid w:val="003F48D7"/>
    <w:rsid w:val="003F4C38"/>
    <w:rsid w:val="003F5518"/>
    <w:rsid w:val="00400495"/>
    <w:rsid w:val="004005EE"/>
    <w:rsid w:val="00400F8C"/>
    <w:rsid w:val="004016A5"/>
    <w:rsid w:val="00401F6A"/>
    <w:rsid w:val="004034DE"/>
    <w:rsid w:val="00405B2C"/>
    <w:rsid w:val="00410294"/>
    <w:rsid w:val="00410DA6"/>
    <w:rsid w:val="00410F99"/>
    <w:rsid w:val="00412084"/>
    <w:rsid w:val="00413938"/>
    <w:rsid w:val="004167EC"/>
    <w:rsid w:val="004171B6"/>
    <w:rsid w:val="00417BE8"/>
    <w:rsid w:val="004204FF"/>
    <w:rsid w:val="00420A04"/>
    <w:rsid w:val="00423C88"/>
    <w:rsid w:val="00423CA5"/>
    <w:rsid w:val="00425082"/>
    <w:rsid w:val="00431234"/>
    <w:rsid w:val="00431770"/>
    <w:rsid w:val="00431F3D"/>
    <w:rsid w:val="00433F3C"/>
    <w:rsid w:val="00436249"/>
    <w:rsid w:val="00436CF2"/>
    <w:rsid w:val="00437091"/>
    <w:rsid w:val="00443879"/>
    <w:rsid w:val="00445A27"/>
    <w:rsid w:val="00445CA5"/>
    <w:rsid w:val="00450EEE"/>
    <w:rsid w:val="00451B6E"/>
    <w:rsid w:val="00452699"/>
    <w:rsid w:val="004528D2"/>
    <w:rsid w:val="00453072"/>
    <w:rsid w:val="00453809"/>
    <w:rsid w:val="00455F96"/>
    <w:rsid w:val="00456B9A"/>
    <w:rsid w:val="00460B04"/>
    <w:rsid w:val="004618E3"/>
    <w:rsid w:val="00462930"/>
    <w:rsid w:val="00462FF1"/>
    <w:rsid w:val="0046333B"/>
    <w:rsid w:val="00463949"/>
    <w:rsid w:val="00463A45"/>
    <w:rsid w:val="00463C92"/>
    <w:rsid w:val="00464E48"/>
    <w:rsid w:val="00466045"/>
    <w:rsid w:val="00467037"/>
    <w:rsid w:val="00467FB8"/>
    <w:rsid w:val="004708B3"/>
    <w:rsid w:val="0047128A"/>
    <w:rsid w:val="004737D0"/>
    <w:rsid w:val="004745C6"/>
    <w:rsid w:val="00476299"/>
    <w:rsid w:val="004803C4"/>
    <w:rsid w:val="00482299"/>
    <w:rsid w:val="00483C1F"/>
    <w:rsid w:val="00484230"/>
    <w:rsid w:val="00484404"/>
    <w:rsid w:val="00484671"/>
    <w:rsid w:val="0048658B"/>
    <w:rsid w:val="004866B2"/>
    <w:rsid w:val="0048702F"/>
    <w:rsid w:val="004872C2"/>
    <w:rsid w:val="00487895"/>
    <w:rsid w:val="004915FD"/>
    <w:rsid w:val="00491D0A"/>
    <w:rsid w:val="00493919"/>
    <w:rsid w:val="00496A25"/>
    <w:rsid w:val="004A1161"/>
    <w:rsid w:val="004A1523"/>
    <w:rsid w:val="004A264B"/>
    <w:rsid w:val="004A302F"/>
    <w:rsid w:val="004A32A7"/>
    <w:rsid w:val="004A37FC"/>
    <w:rsid w:val="004A5CB9"/>
    <w:rsid w:val="004A6959"/>
    <w:rsid w:val="004B2471"/>
    <w:rsid w:val="004B2B57"/>
    <w:rsid w:val="004B3DAD"/>
    <w:rsid w:val="004B41E7"/>
    <w:rsid w:val="004B437F"/>
    <w:rsid w:val="004B45A0"/>
    <w:rsid w:val="004B46BA"/>
    <w:rsid w:val="004B47D2"/>
    <w:rsid w:val="004B6C00"/>
    <w:rsid w:val="004B7517"/>
    <w:rsid w:val="004B76E4"/>
    <w:rsid w:val="004B774D"/>
    <w:rsid w:val="004C021E"/>
    <w:rsid w:val="004C0D1B"/>
    <w:rsid w:val="004C287F"/>
    <w:rsid w:val="004C4378"/>
    <w:rsid w:val="004C49EC"/>
    <w:rsid w:val="004C6DD5"/>
    <w:rsid w:val="004C6EA0"/>
    <w:rsid w:val="004C7E0E"/>
    <w:rsid w:val="004D1312"/>
    <w:rsid w:val="004D196E"/>
    <w:rsid w:val="004D48A4"/>
    <w:rsid w:val="004D525C"/>
    <w:rsid w:val="004D5B7F"/>
    <w:rsid w:val="004D6C0F"/>
    <w:rsid w:val="004D70FD"/>
    <w:rsid w:val="004D73F4"/>
    <w:rsid w:val="004E19FD"/>
    <w:rsid w:val="004E2750"/>
    <w:rsid w:val="004E28BC"/>
    <w:rsid w:val="004E2C60"/>
    <w:rsid w:val="004E3C16"/>
    <w:rsid w:val="004E4019"/>
    <w:rsid w:val="004E5041"/>
    <w:rsid w:val="004E5839"/>
    <w:rsid w:val="004F02A7"/>
    <w:rsid w:val="004F1ABE"/>
    <w:rsid w:val="004F2B0F"/>
    <w:rsid w:val="004F2D9A"/>
    <w:rsid w:val="004F5089"/>
    <w:rsid w:val="004F63D5"/>
    <w:rsid w:val="00501C9E"/>
    <w:rsid w:val="00501E7D"/>
    <w:rsid w:val="00502ACA"/>
    <w:rsid w:val="00503398"/>
    <w:rsid w:val="0050764D"/>
    <w:rsid w:val="00510BAF"/>
    <w:rsid w:val="0051169D"/>
    <w:rsid w:val="005129C8"/>
    <w:rsid w:val="005134D1"/>
    <w:rsid w:val="0052038A"/>
    <w:rsid w:val="00520F11"/>
    <w:rsid w:val="0052176B"/>
    <w:rsid w:val="005242B6"/>
    <w:rsid w:val="0052656E"/>
    <w:rsid w:val="00527E9A"/>
    <w:rsid w:val="00530434"/>
    <w:rsid w:val="0053044B"/>
    <w:rsid w:val="0053170A"/>
    <w:rsid w:val="0053654D"/>
    <w:rsid w:val="00540B1A"/>
    <w:rsid w:val="00542398"/>
    <w:rsid w:val="00542401"/>
    <w:rsid w:val="005426DB"/>
    <w:rsid w:val="00545684"/>
    <w:rsid w:val="00550C7E"/>
    <w:rsid w:val="00550F13"/>
    <w:rsid w:val="0055107E"/>
    <w:rsid w:val="00551117"/>
    <w:rsid w:val="00552474"/>
    <w:rsid w:val="005547FB"/>
    <w:rsid w:val="00554FBC"/>
    <w:rsid w:val="005602FA"/>
    <w:rsid w:val="00561003"/>
    <w:rsid w:val="005625F6"/>
    <w:rsid w:val="00562959"/>
    <w:rsid w:val="00563FA6"/>
    <w:rsid w:val="00565141"/>
    <w:rsid w:val="0056637E"/>
    <w:rsid w:val="00566AC7"/>
    <w:rsid w:val="00567841"/>
    <w:rsid w:val="005705AB"/>
    <w:rsid w:val="00570D2D"/>
    <w:rsid w:val="0057333A"/>
    <w:rsid w:val="0057470A"/>
    <w:rsid w:val="005749F8"/>
    <w:rsid w:val="005750CA"/>
    <w:rsid w:val="00576776"/>
    <w:rsid w:val="005773E5"/>
    <w:rsid w:val="005807DB"/>
    <w:rsid w:val="005820D2"/>
    <w:rsid w:val="00582534"/>
    <w:rsid w:val="00584731"/>
    <w:rsid w:val="0058539B"/>
    <w:rsid w:val="00585F92"/>
    <w:rsid w:val="00586168"/>
    <w:rsid w:val="005867B2"/>
    <w:rsid w:val="0058705E"/>
    <w:rsid w:val="00590764"/>
    <w:rsid w:val="00590C19"/>
    <w:rsid w:val="0059126D"/>
    <w:rsid w:val="00591843"/>
    <w:rsid w:val="00594F8F"/>
    <w:rsid w:val="005A11F8"/>
    <w:rsid w:val="005A14B1"/>
    <w:rsid w:val="005A2453"/>
    <w:rsid w:val="005A3AEA"/>
    <w:rsid w:val="005A6599"/>
    <w:rsid w:val="005A7101"/>
    <w:rsid w:val="005B309C"/>
    <w:rsid w:val="005B5C3B"/>
    <w:rsid w:val="005B607F"/>
    <w:rsid w:val="005C193F"/>
    <w:rsid w:val="005C1E35"/>
    <w:rsid w:val="005C30BA"/>
    <w:rsid w:val="005C5868"/>
    <w:rsid w:val="005C59BA"/>
    <w:rsid w:val="005C756D"/>
    <w:rsid w:val="005D27ED"/>
    <w:rsid w:val="005D3115"/>
    <w:rsid w:val="005D4AC5"/>
    <w:rsid w:val="005D5C2F"/>
    <w:rsid w:val="005D60AF"/>
    <w:rsid w:val="005D6605"/>
    <w:rsid w:val="005E2593"/>
    <w:rsid w:val="005E34D2"/>
    <w:rsid w:val="005E3ABF"/>
    <w:rsid w:val="005E468A"/>
    <w:rsid w:val="005E6C48"/>
    <w:rsid w:val="005E6CB0"/>
    <w:rsid w:val="005E7253"/>
    <w:rsid w:val="005F05BA"/>
    <w:rsid w:val="005F10FD"/>
    <w:rsid w:val="005F4300"/>
    <w:rsid w:val="005F4434"/>
    <w:rsid w:val="005F5E1C"/>
    <w:rsid w:val="005F79A9"/>
    <w:rsid w:val="0060082F"/>
    <w:rsid w:val="00601257"/>
    <w:rsid w:val="006022CA"/>
    <w:rsid w:val="006042E2"/>
    <w:rsid w:val="00610755"/>
    <w:rsid w:val="0061236A"/>
    <w:rsid w:val="00612412"/>
    <w:rsid w:val="0061253B"/>
    <w:rsid w:val="006141FF"/>
    <w:rsid w:val="006175A6"/>
    <w:rsid w:val="006210F7"/>
    <w:rsid w:val="00622EB2"/>
    <w:rsid w:val="0062551D"/>
    <w:rsid w:val="00626EB3"/>
    <w:rsid w:val="00632B1B"/>
    <w:rsid w:val="00634FEA"/>
    <w:rsid w:val="0064018A"/>
    <w:rsid w:val="006414D4"/>
    <w:rsid w:val="00641A0C"/>
    <w:rsid w:val="00644ECF"/>
    <w:rsid w:val="00646EB9"/>
    <w:rsid w:val="00647947"/>
    <w:rsid w:val="0065051A"/>
    <w:rsid w:val="00650DFD"/>
    <w:rsid w:val="00651057"/>
    <w:rsid w:val="006523B9"/>
    <w:rsid w:val="00652D75"/>
    <w:rsid w:val="006571EA"/>
    <w:rsid w:val="00660527"/>
    <w:rsid w:val="00660ECE"/>
    <w:rsid w:val="0066182C"/>
    <w:rsid w:val="00661ECE"/>
    <w:rsid w:val="00662E8F"/>
    <w:rsid w:val="00663969"/>
    <w:rsid w:val="0066515C"/>
    <w:rsid w:val="00665E43"/>
    <w:rsid w:val="00667C16"/>
    <w:rsid w:val="00670796"/>
    <w:rsid w:val="00672088"/>
    <w:rsid w:val="0067304B"/>
    <w:rsid w:val="00673AB4"/>
    <w:rsid w:val="00674CB6"/>
    <w:rsid w:val="00677181"/>
    <w:rsid w:val="00677E98"/>
    <w:rsid w:val="0068029E"/>
    <w:rsid w:val="00681457"/>
    <w:rsid w:val="00681D59"/>
    <w:rsid w:val="006827E6"/>
    <w:rsid w:val="00682F58"/>
    <w:rsid w:val="00684676"/>
    <w:rsid w:val="00684DF3"/>
    <w:rsid w:val="006859BC"/>
    <w:rsid w:val="00685CB7"/>
    <w:rsid w:val="00685EB7"/>
    <w:rsid w:val="00685F48"/>
    <w:rsid w:val="00690098"/>
    <w:rsid w:val="00691974"/>
    <w:rsid w:val="006919FC"/>
    <w:rsid w:val="0069256F"/>
    <w:rsid w:val="006973A9"/>
    <w:rsid w:val="00697940"/>
    <w:rsid w:val="00697EEC"/>
    <w:rsid w:val="00697FEC"/>
    <w:rsid w:val="006A27A1"/>
    <w:rsid w:val="006A2FE0"/>
    <w:rsid w:val="006A47E2"/>
    <w:rsid w:val="006A5982"/>
    <w:rsid w:val="006A685E"/>
    <w:rsid w:val="006A7544"/>
    <w:rsid w:val="006B1EAF"/>
    <w:rsid w:val="006B2F31"/>
    <w:rsid w:val="006B3D26"/>
    <w:rsid w:val="006B5164"/>
    <w:rsid w:val="006B6172"/>
    <w:rsid w:val="006B64EB"/>
    <w:rsid w:val="006B6989"/>
    <w:rsid w:val="006B72FF"/>
    <w:rsid w:val="006C133A"/>
    <w:rsid w:val="006C2489"/>
    <w:rsid w:val="006C6026"/>
    <w:rsid w:val="006C6A59"/>
    <w:rsid w:val="006C6B19"/>
    <w:rsid w:val="006D1B35"/>
    <w:rsid w:val="006D1CF3"/>
    <w:rsid w:val="006D49D0"/>
    <w:rsid w:val="006D5695"/>
    <w:rsid w:val="006D6614"/>
    <w:rsid w:val="006D661C"/>
    <w:rsid w:val="006D7C4E"/>
    <w:rsid w:val="006E0526"/>
    <w:rsid w:val="006E1EAA"/>
    <w:rsid w:val="006E254B"/>
    <w:rsid w:val="006E5201"/>
    <w:rsid w:val="006E6075"/>
    <w:rsid w:val="006E6649"/>
    <w:rsid w:val="006F484C"/>
    <w:rsid w:val="006F5948"/>
    <w:rsid w:val="006F60BA"/>
    <w:rsid w:val="006F621D"/>
    <w:rsid w:val="006F67ED"/>
    <w:rsid w:val="006F6A64"/>
    <w:rsid w:val="006F786A"/>
    <w:rsid w:val="00700702"/>
    <w:rsid w:val="007010B4"/>
    <w:rsid w:val="007020C1"/>
    <w:rsid w:val="00702701"/>
    <w:rsid w:val="00706C54"/>
    <w:rsid w:val="00706EC4"/>
    <w:rsid w:val="007075B5"/>
    <w:rsid w:val="0071087C"/>
    <w:rsid w:val="00711D06"/>
    <w:rsid w:val="00711FE2"/>
    <w:rsid w:val="00716876"/>
    <w:rsid w:val="007204ED"/>
    <w:rsid w:val="00720AA4"/>
    <w:rsid w:val="007215E9"/>
    <w:rsid w:val="0072292B"/>
    <w:rsid w:val="00722B6F"/>
    <w:rsid w:val="00723481"/>
    <w:rsid w:val="00723932"/>
    <w:rsid w:val="007244B4"/>
    <w:rsid w:val="00731D80"/>
    <w:rsid w:val="00732B73"/>
    <w:rsid w:val="007344DB"/>
    <w:rsid w:val="0073514E"/>
    <w:rsid w:val="0073598F"/>
    <w:rsid w:val="00737BA5"/>
    <w:rsid w:val="00740959"/>
    <w:rsid w:val="0074181D"/>
    <w:rsid w:val="00741DE9"/>
    <w:rsid w:val="007428E4"/>
    <w:rsid w:val="00743477"/>
    <w:rsid w:val="00751DBA"/>
    <w:rsid w:val="00753838"/>
    <w:rsid w:val="0075495F"/>
    <w:rsid w:val="007561B7"/>
    <w:rsid w:val="00757D7E"/>
    <w:rsid w:val="00761C31"/>
    <w:rsid w:val="00762CD4"/>
    <w:rsid w:val="007652FB"/>
    <w:rsid w:val="00765394"/>
    <w:rsid w:val="00766241"/>
    <w:rsid w:val="00767372"/>
    <w:rsid w:val="00770A41"/>
    <w:rsid w:val="0077189D"/>
    <w:rsid w:val="00771C20"/>
    <w:rsid w:val="00773C17"/>
    <w:rsid w:val="00774C84"/>
    <w:rsid w:val="00775B36"/>
    <w:rsid w:val="00775E99"/>
    <w:rsid w:val="00776F28"/>
    <w:rsid w:val="00777339"/>
    <w:rsid w:val="00777D3F"/>
    <w:rsid w:val="0078129D"/>
    <w:rsid w:val="00781979"/>
    <w:rsid w:val="00782731"/>
    <w:rsid w:val="00783AE3"/>
    <w:rsid w:val="007855E8"/>
    <w:rsid w:val="007916ED"/>
    <w:rsid w:val="00791C79"/>
    <w:rsid w:val="00793C8C"/>
    <w:rsid w:val="0079548C"/>
    <w:rsid w:val="00795741"/>
    <w:rsid w:val="0079620C"/>
    <w:rsid w:val="0079765B"/>
    <w:rsid w:val="007A0529"/>
    <w:rsid w:val="007A4B89"/>
    <w:rsid w:val="007A58DE"/>
    <w:rsid w:val="007A6289"/>
    <w:rsid w:val="007A6EF5"/>
    <w:rsid w:val="007A75EF"/>
    <w:rsid w:val="007B0569"/>
    <w:rsid w:val="007B2D3E"/>
    <w:rsid w:val="007B2E12"/>
    <w:rsid w:val="007B339C"/>
    <w:rsid w:val="007B38F0"/>
    <w:rsid w:val="007B484A"/>
    <w:rsid w:val="007B52DE"/>
    <w:rsid w:val="007B5A87"/>
    <w:rsid w:val="007B5C18"/>
    <w:rsid w:val="007B5E76"/>
    <w:rsid w:val="007C3B16"/>
    <w:rsid w:val="007C66EB"/>
    <w:rsid w:val="007C7618"/>
    <w:rsid w:val="007D0EC9"/>
    <w:rsid w:val="007D25CF"/>
    <w:rsid w:val="007D3B89"/>
    <w:rsid w:val="007D70D2"/>
    <w:rsid w:val="007D7863"/>
    <w:rsid w:val="007D7968"/>
    <w:rsid w:val="007E0B0B"/>
    <w:rsid w:val="007E2EA8"/>
    <w:rsid w:val="007E3522"/>
    <w:rsid w:val="007E3BED"/>
    <w:rsid w:val="007E3F6B"/>
    <w:rsid w:val="007E40DA"/>
    <w:rsid w:val="007E68E1"/>
    <w:rsid w:val="007E6CC5"/>
    <w:rsid w:val="007F12A0"/>
    <w:rsid w:val="0080031A"/>
    <w:rsid w:val="00800F37"/>
    <w:rsid w:val="00802939"/>
    <w:rsid w:val="00804109"/>
    <w:rsid w:val="00805DF7"/>
    <w:rsid w:val="00806E0C"/>
    <w:rsid w:val="0081146C"/>
    <w:rsid w:val="008138F3"/>
    <w:rsid w:val="00813ABE"/>
    <w:rsid w:val="00813D71"/>
    <w:rsid w:val="00814937"/>
    <w:rsid w:val="00815047"/>
    <w:rsid w:val="00816A17"/>
    <w:rsid w:val="008226E0"/>
    <w:rsid w:val="00823FA2"/>
    <w:rsid w:val="00827D0A"/>
    <w:rsid w:val="00827FC7"/>
    <w:rsid w:val="00842E8E"/>
    <w:rsid w:val="008440A6"/>
    <w:rsid w:val="00844C76"/>
    <w:rsid w:val="00844F5D"/>
    <w:rsid w:val="00845153"/>
    <w:rsid w:val="00851258"/>
    <w:rsid w:val="00853A7D"/>
    <w:rsid w:val="00854E44"/>
    <w:rsid w:val="00856870"/>
    <w:rsid w:val="00856FBE"/>
    <w:rsid w:val="008577C7"/>
    <w:rsid w:val="00857C70"/>
    <w:rsid w:val="00857CC2"/>
    <w:rsid w:val="00860268"/>
    <w:rsid w:val="0086037B"/>
    <w:rsid w:val="008662A6"/>
    <w:rsid w:val="00866B62"/>
    <w:rsid w:val="00867271"/>
    <w:rsid w:val="00875049"/>
    <w:rsid w:val="008756CA"/>
    <w:rsid w:val="00876E74"/>
    <w:rsid w:val="00880AA1"/>
    <w:rsid w:val="00880CA3"/>
    <w:rsid w:val="008810DE"/>
    <w:rsid w:val="00891478"/>
    <w:rsid w:val="00891501"/>
    <w:rsid w:val="00891A37"/>
    <w:rsid w:val="0089203F"/>
    <w:rsid w:val="00893189"/>
    <w:rsid w:val="00895487"/>
    <w:rsid w:val="008955A0"/>
    <w:rsid w:val="00895B8D"/>
    <w:rsid w:val="0089705D"/>
    <w:rsid w:val="00897D86"/>
    <w:rsid w:val="00897EC2"/>
    <w:rsid w:val="008A07F2"/>
    <w:rsid w:val="008A2034"/>
    <w:rsid w:val="008A3540"/>
    <w:rsid w:val="008A4645"/>
    <w:rsid w:val="008A7D03"/>
    <w:rsid w:val="008B007D"/>
    <w:rsid w:val="008B0E0F"/>
    <w:rsid w:val="008B1787"/>
    <w:rsid w:val="008B2691"/>
    <w:rsid w:val="008B4241"/>
    <w:rsid w:val="008B4CFB"/>
    <w:rsid w:val="008B5A66"/>
    <w:rsid w:val="008B6F8C"/>
    <w:rsid w:val="008B7321"/>
    <w:rsid w:val="008B7540"/>
    <w:rsid w:val="008C1F3B"/>
    <w:rsid w:val="008C2A3B"/>
    <w:rsid w:val="008C748D"/>
    <w:rsid w:val="008C7834"/>
    <w:rsid w:val="008D5F4C"/>
    <w:rsid w:val="008D64E3"/>
    <w:rsid w:val="008D6C39"/>
    <w:rsid w:val="008D737B"/>
    <w:rsid w:val="008E1567"/>
    <w:rsid w:val="008E20E5"/>
    <w:rsid w:val="008E39F5"/>
    <w:rsid w:val="008E4059"/>
    <w:rsid w:val="008F2FCD"/>
    <w:rsid w:val="008F4D44"/>
    <w:rsid w:val="008F5153"/>
    <w:rsid w:val="008F55E7"/>
    <w:rsid w:val="008F673A"/>
    <w:rsid w:val="008F6988"/>
    <w:rsid w:val="008F7D17"/>
    <w:rsid w:val="00902BC2"/>
    <w:rsid w:val="00903120"/>
    <w:rsid w:val="00904938"/>
    <w:rsid w:val="00905A8F"/>
    <w:rsid w:val="00907D0D"/>
    <w:rsid w:val="00910252"/>
    <w:rsid w:val="009113A8"/>
    <w:rsid w:val="00911F49"/>
    <w:rsid w:val="00912C45"/>
    <w:rsid w:val="00914178"/>
    <w:rsid w:val="00916213"/>
    <w:rsid w:val="0092104F"/>
    <w:rsid w:val="009214C7"/>
    <w:rsid w:val="009244D1"/>
    <w:rsid w:val="00924EE6"/>
    <w:rsid w:val="0093388E"/>
    <w:rsid w:val="009368B9"/>
    <w:rsid w:val="0094052B"/>
    <w:rsid w:val="00942F56"/>
    <w:rsid w:val="00944319"/>
    <w:rsid w:val="00945247"/>
    <w:rsid w:val="00945A98"/>
    <w:rsid w:val="00946FB2"/>
    <w:rsid w:val="00947857"/>
    <w:rsid w:val="0095020B"/>
    <w:rsid w:val="00953007"/>
    <w:rsid w:val="00953421"/>
    <w:rsid w:val="009539B2"/>
    <w:rsid w:val="0096045B"/>
    <w:rsid w:val="009607AE"/>
    <w:rsid w:val="0096174D"/>
    <w:rsid w:val="00961857"/>
    <w:rsid w:val="0096186D"/>
    <w:rsid w:val="00961B13"/>
    <w:rsid w:val="00962C2C"/>
    <w:rsid w:val="009638A9"/>
    <w:rsid w:val="0096557F"/>
    <w:rsid w:val="009672AA"/>
    <w:rsid w:val="00970489"/>
    <w:rsid w:val="00971F44"/>
    <w:rsid w:val="00972073"/>
    <w:rsid w:val="00973762"/>
    <w:rsid w:val="00973CD5"/>
    <w:rsid w:val="009755B9"/>
    <w:rsid w:val="0097570C"/>
    <w:rsid w:val="00976D99"/>
    <w:rsid w:val="0097741B"/>
    <w:rsid w:val="00981388"/>
    <w:rsid w:val="00981FDC"/>
    <w:rsid w:val="00982A79"/>
    <w:rsid w:val="0098334D"/>
    <w:rsid w:val="00984246"/>
    <w:rsid w:val="00984280"/>
    <w:rsid w:val="00984362"/>
    <w:rsid w:val="00985835"/>
    <w:rsid w:val="00986BBA"/>
    <w:rsid w:val="009873F0"/>
    <w:rsid w:val="009938CF"/>
    <w:rsid w:val="00993A25"/>
    <w:rsid w:val="00994AA6"/>
    <w:rsid w:val="00995D23"/>
    <w:rsid w:val="00996590"/>
    <w:rsid w:val="00997039"/>
    <w:rsid w:val="00997C83"/>
    <w:rsid w:val="009A1EFE"/>
    <w:rsid w:val="009A4359"/>
    <w:rsid w:val="009A50DE"/>
    <w:rsid w:val="009A566C"/>
    <w:rsid w:val="009A6807"/>
    <w:rsid w:val="009B07FC"/>
    <w:rsid w:val="009B1095"/>
    <w:rsid w:val="009B14AC"/>
    <w:rsid w:val="009B238A"/>
    <w:rsid w:val="009B2DAF"/>
    <w:rsid w:val="009B52DC"/>
    <w:rsid w:val="009B5880"/>
    <w:rsid w:val="009B5E5C"/>
    <w:rsid w:val="009C0439"/>
    <w:rsid w:val="009C10E0"/>
    <w:rsid w:val="009C1BD4"/>
    <w:rsid w:val="009C1D18"/>
    <w:rsid w:val="009C314E"/>
    <w:rsid w:val="009C4901"/>
    <w:rsid w:val="009C55B2"/>
    <w:rsid w:val="009C64C0"/>
    <w:rsid w:val="009D0096"/>
    <w:rsid w:val="009D1434"/>
    <w:rsid w:val="009D1A2D"/>
    <w:rsid w:val="009D252E"/>
    <w:rsid w:val="009D2A30"/>
    <w:rsid w:val="009D5651"/>
    <w:rsid w:val="009D692A"/>
    <w:rsid w:val="009E07B9"/>
    <w:rsid w:val="009E3310"/>
    <w:rsid w:val="009E4405"/>
    <w:rsid w:val="009F15E6"/>
    <w:rsid w:val="009F540B"/>
    <w:rsid w:val="00A02EB6"/>
    <w:rsid w:val="00A05AAB"/>
    <w:rsid w:val="00A067E4"/>
    <w:rsid w:val="00A13E99"/>
    <w:rsid w:val="00A145FC"/>
    <w:rsid w:val="00A1505E"/>
    <w:rsid w:val="00A15CE8"/>
    <w:rsid w:val="00A171C6"/>
    <w:rsid w:val="00A17E19"/>
    <w:rsid w:val="00A20393"/>
    <w:rsid w:val="00A2213F"/>
    <w:rsid w:val="00A232D6"/>
    <w:rsid w:val="00A23396"/>
    <w:rsid w:val="00A2444B"/>
    <w:rsid w:val="00A251BC"/>
    <w:rsid w:val="00A2611E"/>
    <w:rsid w:val="00A30B9D"/>
    <w:rsid w:val="00A31935"/>
    <w:rsid w:val="00A31DCE"/>
    <w:rsid w:val="00A322FC"/>
    <w:rsid w:val="00A33D84"/>
    <w:rsid w:val="00A34A15"/>
    <w:rsid w:val="00A352FC"/>
    <w:rsid w:val="00A35527"/>
    <w:rsid w:val="00A35CA9"/>
    <w:rsid w:val="00A36D37"/>
    <w:rsid w:val="00A406A3"/>
    <w:rsid w:val="00A41439"/>
    <w:rsid w:val="00A41DEE"/>
    <w:rsid w:val="00A41F16"/>
    <w:rsid w:val="00A4413A"/>
    <w:rsid w:val="00A4531B"/>
    <w:rsid w:val="00A45464"/>
    <w:rsid w:val="00A50EE8"/>
    <w:rsid w:val="00A5137D"/>
    <w:rsid w:val="00A524F3"/>
    <w:rsid w:val="00A5279D"/>
    <w:rsid w:val="00A578C1"/>
    <w:rsid w:val="00A57EA3"/>
    <w:rsid w:val="00A65ADF"/>
    <w:rsid w:val="00A65B2A"/>
    <w:rsid w:val="00A67288"/>
    <w:rsid w:val="00A675FC"/>
    <w:rsid w:val="00A67823"/>
    <w:rsid w:val="00A67D45"/>
    <w:rsid w:val="00A705A4"/>
    <w:rsid w:val="00A71CFD"/>
    <w:rsid w:val="00A72EB5"/>
    <w:rsid w:val="00A73D09"/>
    <w:rsid w:val="00A741D7"/>
    <w:rsid w:val="00A7506E"/>
    <w:rsid w:val="00A7531C"/>
    <w:rsid w:val="00A7559B"/>
    <w:rsid w:val="00A77B11"/>
    <w:rsid w:val="00A77ED3"/>
    <w:rsid w:val="00A77F5F"/>
    <w:rsid w:val="00A80678"/>
    <w:rsid w:val="00A806A7"/>
    <w:rsid w:val="00A84688"/>
    <w:rsid w:val="00A86669"/>
    <w:rsid w:val="00A90325"/>
    <w:rsid w:val="00A910EB"/>
    <w:rsid w:val="00A91353"/>
    <w:rsid w:val="00A91BD5"/>
    <w:rsid w:val="00A91F14"/>
    <w:rsid w:val="00A922A0"/>
    <w:rsid w:val="00A92460"/>
    <w:rsid w:val="00A937BE"/>
    <w:rsid w:val="00A94152"/>
    <w:rsid w:val="00A96023"/>
    <w:rsid w:val="00AA0B3D"/>
    <w:rsid w:val="00AA19D3"/>
    <w:rsid w:val="00AA299B"/>
    <w:rsid w:val="00AA36A1"/>
    <w:rsid w:val="00AA385B"/>
    <w:rsid w:val="00AA50EE"/>
    <w:rsid w:val="00AA56A2"/>
    <w:rsid w:val="00AA5C01"/>
    <w:rsid w:val="00AA6084"/>
    <w:rsid w:val="00AA6ACF"/>
    <w:rsid w:val="00AA7670"/>
    <w:rsid w:val="00AB3A7A"/>
    <w:rsid w:val="00AB41B8"/>
    <w:rsid w:val="00AB4C32"/>
    <w:rsid w:val="00AB6A28"/>
    <w:rsid w:val="00AB76AC"/>
    <w:rsid w:val="00AC0029"/>
    <w:rsid w:val="00AC0AFB"/>
    <w:rsid w:val="00AC7FC9"/>
    <w:rsid w:val="00AD0CF8"/>
    <w:rsid w:val="00AD0F49"/>
    <w:rsid w:val="00AD54D8"/>
    <w:rsid w:val="00AD6B01"/>
    <w:rsid w:val="00AD6B65"/>
    <w:rsid w:val="00AD6DFB"/>
    <w:rsid w:val="00AE00C4"/>
    <w:rsid w:val="00AE4EDD"/>
    <w:rsid w:val="00AE6BC0"/>
    <w:rsid w:val="00AE7916"/>
    <w:rsid w:val="00AF27E0"/>
    <w:rsid w:val="00AF2B46"/>
    <w:rsid w:val="00AF30EC"/>
    <w:rsid w:val="00AF378E"/>
    <w:rsid w:val="00AF5C63"/>
    <w:rsid w:val="00AF688D"/>
    <w:rsid w:val="00AF7F80"/>
    <w:rsid w:val="00B00187"/>
    <w:rsid w:val="00B0026D"/>
    <w:rsid w:val="00B021F5"/>
    <w:rsid w:val="00B04874"/>
    <w:rsid w:val="00B07533"/>
    <w:rsid w:val="00B1074D"/>
    <w:rsid w:val="00B10FD7"/>
    <w:rsid w:val="00B12197"/>
    <w:rsid w:val="00B13E68"/>
    <w:rsid w:val="00B14CCD"/>
    <w:rsid w:val="00B16879"/>
    <w:rsid w:val="00B17701"/>
    <w:rsid w:val="00B20392"/>
    <w:rsid w:val="00B216B3"/>
    <w:rsid w:val="00B236AD"/>
    <w:rsid w:val="00B24903"/>
    <w:rsid w:val="00B267F1"/>
    <w:rsid w:val="00B30E32"/>
    <w:rsid w:val="00B30EE4"/>
    <w:rsid w:val="00B31A45"/>
    <w:rsid w:val="00B33172"/>
    <w:rsid w:val="00B33B7C"/>
    <w:rsid w:val="00B34560"/>
    <w:rsid w:val="00B3542A"/>
    <w:rsid w:val="00B360A7"/>
    <w:rsid w:val="00B36B39"/>
    <w:rsid w:val="00B43D81"/>
    <w:rsid w:val="00B47191"/>
    <w:rsid w:val="00B54C69"/>
    <w:rsid w:val="00B55209"/>
    <w:rsid w:val="00B57D5D"/>
    <w:rsid w:val="00B60B25"/>
    <w:rsid w:val="00B6110D"/>
    <w:rsid w:val="00B61168"/>
    <w:rsid w:val="00B611F7"/>
    <w:rsid w:val="00B6343F"/>
    <w:rsid w:val="00B63F5E"/>
    <w:rsid w:val="00B6491C"/>
    <w:rsid w:val="00B649E9"/>
    <w:rsid w:val="00B6510E"/>
    <w:rsid w:val="00B655E2"/>
    <w:rsid w:val="00B6611E"/>
    <w:rsid w:val="00B66260"/>
    <w:rsid w:val="00B66C30"/>
    <w:rsid w:val="00B71C65"/>
    <w:rsid w:val="00B732D4"/>
    <w:rsid w:val="00B7335E"/>
    <w:rsid w:val="00B812A6"/>
    <w:rsid w:val="00B8182E"/>
    <w:rsid w:val="00B85E24"/>
    <w:rsid w:val="00B86C43"/>
    <w:rsid w:val="00B9314B"/>
    <w:rsid w:val="00B93B2D"/>
    <w:rsid w:val="00B953E1"/>
    <w:rsid w:val="00B96C02"/>
    <w:rsid w:val="00B97E8A"/>
    <w:rsid w:val="00BA0D7C"/>
    <w:rsid w:val="00BA1F9B"/>
    <w:rsid w:val="00BA23C5"/>
    <w:rsid w:val="00BA2A8B"/>
    <w:rsid w:val="00BA3DBA"/>
    <w:rsid w:val="00BA6848"/>
    <w:rsid w:val="00BB0193"/>
    <w:rsid w:val="00BB03F9"/>
    <w:rsid w:val="00BB31FD"/>
    <w:rsid w:val="00BC04C7"/>
    <w:rsid w:val="00BC12EE"/>
    <w:rsid w:val="00BC142B"/>
    <w:rsid w:val="00BC184D"/>
    <w:rsid w:val="00BC2811"/>
    <w:rsid w:val="00BC3019"/>
    <w:rsid w:val="00BC5A9A"/>
    <w:rsid w:val="00BC69AE"/>
    <w:rsid w:val="00BC7396"/>
    <w:rsid w:val="00BC76C4"/>
    <w:rsid w:val="00BC7A01"/>
    <w:rsid w:val="00BD0BD5"/>
    <w:rsid w:val="00BD6ED5"/>
    <w:rsid w:val="00BD78A1"/>
    <w:rsid w:val="00BE0318"/>
    <w:rsid w:val="00BE0EBB"/>
    <w:rsid w:val="00BE1430"/>
    <w:rsid w:val="00BE2C41"/>
    <w:rsid w:val="00BE38F5"/>
    <w:rsid w:val="00BE3996"/>
    <w:rsid w:val="00BE4773"/>
    <w:rsid w:val="00BE616A"/>
    <w:rsid w:val="00BF0076"/>
    <w:rsid w:val="00BF05BE"/>
    <w:rsid w:val="00BF2A4C"/>
    <w:rsid w:val="00BF2A59"/>
    <w:rsid w:val="00BF379E"/>
    <w:rsid w:val="00BF60A0"/>
    <w:rsid w:val="00BF6FDA"/>
    <w:rsid w:val="00BF798A"/>
    <w:rsid w:val="00BF7C4A"/>
    <w:rsid w:val="00C0012C"/>
    <w:rsid w:val="00C00D0F"/>
    <w:rsid w:val="00C02868"/>
    <w:rsid w:val="00C039BA"/>
    <w:rsid w:val="00C04299"/>
    <w:rsid w:val="00C04A39"/>
    <w:rsid w:val="00C07684"/>
    <w:rsid w:val="00C07983"/>
    <w:rsid w:val="00C10ABA"/>
    <w:rsid w:val="00C10EE9"/>
    <w:rsid w:val="00C11FFB"/>
    <w:rsid w:val="00C12CF8"/>
    <w:rsid w:val="00C13A7F"/>
    <w:rsid w:val="00C14FF4"/>
    <w:rsid w:val="00C15824"/>
    <w:rsid w:val="00C17FF2"/>
    <w:rsid w:val="00C22509"/>
    <w:rsid w:val="00C22876"/>
    <w:rsid w:val="00C239F6"/>
    <w:rsid w:val="00C24E07"/>
    <w:rsid w:val="00C25D18"/>
    <w:rsid w:val="00C3025B"/>
    <w:rsid w:val="00C30A42"/>
    <w:rsid w:val="00C3180D"/>
    <w:rsid w:val="00C3186E"/>
    <w:rsid w:val="00C32B7D"/>
    <w:rsid w:val="00C3385E"/>
    <w:rsid w:val="00C34FEF"/>
    <w:rsid w:val="00C36364"/>
    <w:rsid w:val="00C36C07"/>
    <w:rsid w:val="00C36E27"/>
    <w:rsid w:val="00C372C5"/>
    <w:rsid w:val="00C37972"/>
    <w:rsid w:val="00C429BB"/>
    <w:rsid w:val="00C4316D"/>
    <w:rsid w:val="00C437FC"/>
    <w:rsid w:val="00C44891"/>
    <w:rsid w:val="00C45047"/>
    <w:rsid w:val="00C460E0"/>
    <w:rsid w:val="00C4610C"/>
    <w:rsid w:val="00C475FD"/>
    <w:rsid w:val="00C515DD"/>
    <w:rsid w:val="00C52BA5"/>
    <w:rsid w:val="00C56642"/>
    <w:rsid w:val="00C5669B"/>
    <w:rsid w:val="00C57C6B"/>
    <w:rsid w:val="00C6096E"/>
    <w:rsid w:val="00C7028C"/>
    <w:rsid w:val="00C729C2"/>
    <w:rsid w:val="00C7405E"/>
    <w:rsid w:val="00C744CD"/>
    <w:rsid w:val="00C74E02"/>
    <w:rsid w:val="00C77D71"/>
    <w:rsid w:val="00C80DB4"/>
    <w:rsid w:val="00C8516F"/>
    <w:rsid w:val="00C85ACD"/>
    <w:rsid w:val="00C85AF3"/>
    <w:rsid w:val="00C92FA7"/>
    <w:rsid w:val="00C957D8"/>
    <w:rsid w:val="00C967D2"/>
    <w:rsid w:val="00C96802"/>
    <w:rsid w:val="00CA0BC2"/>
    <w:rsid w:val="00CA1065"/>
    <w:rsid w:val="00CA16B9"/>
    <w:rsid w:val="00CA1A04"/>
    <w:rsid w:val="00CA228C"/>
    <w:rsid w:val="00CA2AC5"/>
    <w:rsid w:val="00CA56FD"/>
    <w:rsid w:val="00CB3790"/>
    <w:rsid w:val="00CB38EE"/>
    <w:rsid w:val="00CB5357"/>
    <w:rsid w:val="00CC0200"/>
    <w:rsid w:val="00CC48B0"/>
    <w:rsid w:val="00CC50F3"/>
    <w:rsid w:val="00CC5918"/>
    <w:rsid w:val="00CC5C4E"/>
    <w:rsid w:val="00CC740A"/>
    <w:rsid w:val="00CC7B29"/>
    <w:rsid w:val="00CD13A8"/>
    <w:rsid w:val="00CD17FB"/>
    <w:rsid w:val="00CD3B9F"/>
    <w:rsid w:val="00CD4717"/>
    <w:rsid w:val="00CE0C61"/>
    <w:rsid w:val="00CE10BB"/>
    <w:rsid w:val="00CE4862"/>
    <w:rsid w:val="00CE53AC"/>
    <w:rsid w:val="00CE7565"/>
    <w:rsid w:val="00CE7A6B"/>
    <w:rsid w:val="00CF01A0"/>
    <w:rsid w:val="00CF0864"/>
    <w:rsid w:val="00CF10D4"/>
    <w:rsid w:val="00CF158A"/>
    <w:rsid w:val="00CF2831"/>
    <w:rsid w:val="00CF3D5F"/>
    <w:rsid w:val="00CF4B0D"/>
    <w:rsid w:val="00CF5302"/>
    <w:rsid w:val="00CF53C0"/>
    <w:rsid w:val="00CF5580"/>
    <w:rsid w:val="00CF7979"/>
    <w:rsid w:val="00D00AFC"/>
    <w:rsid w:val="00D04336"/>
    <w:rsid w:val="00D0452F"/>
    <w:rsid w:val="00D05495"/>
    <w:rsid w:val="00D06D15"/>
    <w:rsid w:val="00D07DAB"/>
    <w:rsid w:val="00D108D0"/>
    <w:rsid w:val="00D12047"/>
    <w:rsid w:val="00D1361D"/>
    <w:rsid w:val="00D20334"/>
    <w:rsid w:val="00D21F2A"/>
    <w:rsid w:val="00D23D7F"/>
    <w:rsid w:val="00D27E82"/>
    <w:rsid w:val="00D30DE3"/>
    <w:rsid w:val="00D3545C"/>
    <w:rsid w:val="00D359AE"/>
    <w:rsid w:val="00D36C9F"/>
    <w:rsid w:val="00D438CF"/>
    <w:rsid w:val="00D44802"/>
    <w:rsid w:val="00D44D4C"/>
    <w:rsid w:val="00D45FEA"/>
    <w:rsid w:val="00D51C1F"/>
    <w:rsid w:val="00D531F3"/>
    <w:rsid w:val="00D53849"/>
    <w:rsid w:val="00D56365"/>
    <w:rsid w:val="00D57369"/>
    <w:rsid w:val="00D6037C"/>
    <w:rsid w:val="00D62767"/>
    <w:rsid w:val="00D64875"/>
    <w:rsid w:val="00D67DE8"/>
    <w:rsid w:val="00D712A1"/>
    <w:rsid w:val="00D72D9A"/>
    <w:rsid w:val="00D73161"/>
    <w:rsid w:val="00D74678"/>
    <w:rsid w:val="00D751CB"/>
    <w:rsid w:val="00D761E3"/>
    <w:rsid w:val="00D774C7"/>
    <w:rsid w:val="00D775D2"/>
    <w:rsid w:val="00D81992"/>
    <w:rsid w:val="00D83BAC"/>
    <w:rsid w:val="00D8495C"/>
    <w:rsid w:val="00D849DA"/>
    <w:rsid w:val="00D84DF5"/>
    <w:rsid w:val="00D859AC"/>
    <w:rsid w:val="00D86C01"/>
    <w:rsid w:val="00D95C5F"/>
    <w:rsid w:val="00D96FAD"/>
    <w:rsid w:val="00D97108"/>
    <w:rsid w:val="00D971F1"/>
    <w:rsid w:val="00DA2B8F"/>
    <w:rsid w:val="00DA3C83"/>
    <w:rsid w:val="00DA597F"/>
    <w:rsid w:val="00DA78FD"/>
    <w:rsid w:val="00DB0717"/>
    <w:rsid w:val="00DB1575"/>
    <w:rsid w:val="00DB1C42"/>
    <w:rsid w:val="00DB2379"/>
    <w:rsid w:val="00DB444E"/>
    <w:rsid w:val="00DB58A0"/>
    <w:rsid w:val="00DB6024"/>
    <w:rsid w:val="00DB6398"/>
    <w:rsid w:val="00DB66C3"/>
    <w:rsid w:val="00DB6D21"/>
    <w:rsid w:val="00DC067D"/>
    <w:rsid w:val="00DC129B"/>
    <w:rsid w:val="00DC1544"/>
    <w:rsid w:val="00DC347E"/>
    <w:rsid w:val="00DC50F9"/>
    <w:rsid w:val="00DC557A"/>
    <w:rsid w:val="00DC5B18"/>
    <w:rsid w:val="00DC7023"/>
    <w:rsid w:val="00DC7031"/>
    <w:rsid w:val="00DC7253"/>
    <w:rsid w:val="00DC75F7"/>
    <w:rsid w:val="00DC7E0C"/>
    <w:rsid w:val="00DD0B82"/>
    <w:rsid w:val="00DD1FEB"/>
    <w:rsid w:val="00DD2707"/>
    <w:rsid w:val="00DD29C4"/>
    <w:rsid w:val="00DD2C4F"/>
    <w:rsid w:val="00DD4BDA"/>
    <w:rsid w:val="00DD4E8E"/>
    <w:rsid w:val="00DD7A63"/>
    <w:rsid w:val="00DE1463"/>
    <w:rsid w:val="00DE22D4"/>
    <w:rsid w:val="00DE3ED1"/>
    <w:rsid w:val="00DF034B"/>
    <w:rsid w:val="00DF0D72"/>
    <w:rsid w:val="00DF1454"/>
    <w:rsid w:val="00DF2704"/>
    <w:rsid w:val="00DF31D4"/>
    <w:rsid w:val="00DF3C7A"/>
    <w:rsid w:val="00DF47FB"/>
    <w:rsid w:val="00DF4A8E"/>
    <w:rsid w:val="00DF5527"/>
    <w:rsid w:val="00DF61F9"/>
    <w:rsid w:val="00DF6C15"/>
    <w:rsid w:val="00DF79B1"/>
    <w:rsid w:val="00E012FD"/>
    <w:rsid w:val="00E032B2"/>
    <w:rsid w:val="00E03CD2"/>
    <w:rsid w:val="00E0451F"/>
    <w:rsid w:val="00E05DDF"/>
    <w:rsid w:val="00E06D72"/>
    <w:rsid w:val="00E071A4"/>
    <w:rsid w:val="00E105C8"/>
    <w:rsid w:val="00E123DF"/>
    <w:rsid w:val="00E12659"/>
    <w:rsid w:val="00E12ADF"/>
    <w:rsid w:val="00E139DA"/>
    <w:rsid w:val="00E142F3"/>
    <w:rsid w:val="00E219C3"/>
    <w:rsid w:val="00E22CD7"/>
    <w:rsid w:val="00E24D0D"/>
    <w:rsid w:val="00E25662"/>
    <w:rsid w:val="00E31C90"/>
    <w:rsid w:val="00E31DAF"/>
    <w:rsid w:val="00E321AD"/>
    <w:rsid w:val="00E32992"/>
    <w:rsid w:val="00E400F8"/>
    <w:rsid w:val="00E40D76"/>
    <w:rsid w:val="00E42542"/>
    <w:rsid w:val="00E44E53"/>
    <w:rsid w:val="00E464E0"/>
    <w:rsid w:val="00E4765E"/>
    <w:rsid w:val="00E47DB8"/>
    <w:rsid w:val="00E51EFD"/>
    <w:rsid w:val="00E53342"/>
    <w:rsid w:val="00E5344C"/>
    <w:rsid w:val="00E548DE"/>
    <w:rsid w:val="00E56C31"/>
    <w:rsid w:val="00E603A8"/>
    <w:rsid w:val="00E60FA5"/>
    <w:rsid w:val="00E61233"/>
    <w:rsid w:val="00E6267F"/>
    <w:rsid w:val="00E659DC"/>
    <w:rsid w:val="00E65EA6"/>
    <w:rsid w:val="00E66B64"/>
    <w:rsid w:val="00E66D34"/>
    <w:rsid w:val="00E74803"/>
    <w:rsid w:val="00E75991"/>
    <w:rsid w:val="00E76267"/>
    <w:rsid w:val="00E816B8"/>
    <w:rsid w:val="00E82415"/>
    <w:rsid w:val="00E83C81"/>
    <w:rsid w:val="00E8455D"/>
    <w:rsid w:val="00E85FAD"/>
    <w:rsid w:val="00E915FE"/>
    <w:rsid w:val="00E96747"/>
    <w:rsid w:val="00E97EE2"/>
    <w:rsid w:val="00EA27A0"/>
    <w:rsid w:val="00EA2FE5"/>
    <w:rsid w:val="00EA526F"/>
    <w:rsid w:val="00EA7349"/>
    <w:rsid w:val="00EA78D2"/>
    <w:rsid w:val="00EA793D"/>
    <w:rsid w:val="00EB04CD"/>
    <w:rsid w:val="00EB0F04"/>
    <w:rsid w:val="00EC0B7F"/>
    <w:rsid w:val="00EC0CDD"/>
    <w:rsid w:val="00EC3282"/>
    <w:rsid w:val="00EC408D"/>
    <w:rsid w:val="00EC502E"/>
    <w:rsid w:val="00EC6F91"/>
    <w:rsid w:val="00ED0B71"/>
    <w:rsid w:val="00ED29F3"/>
    <w:rsid w:val="00ED577D"/>
    <w:rsid w:val="00ED79C0"/>
    <w:rsid w:val="00EE06FC"/>
    <w:rsid w:val="00EE15AA"/>
    <w:rsid w:val="00EE1B71"/>
    <w:rsid w:val="00EE25AB"/>
    <w:rsid w:val="00EE269C"/>
    <w:rsid w:val="00EE37B0"/>
    <w:rsid w:val="00EE742E"/>
    <w:rsid w:val="00EE7E3E"/>
    <w:rsid w:val="00EF14DF"/>
    <w:rsid w:val="00EF5443"/>
    <w:rsid w:val="00EF581E"/>
    <w:rsid w:val="00F002E9"/>
    <w:rsid w:val="00F01EAE"/>
    <w:rsid w:val="00F03BCB"/>
    <w:rsid w:val="00F100B0"/>
    <w:rsid w:val="00F10B9F"/>
    <w:rsid w:val="00F12A5F"/>
    <w:rsid w:val="00F13FF8"/>
    <w:rsid w:val="00F16BD2"/>
    <w:rsid w:val="00F25EFF"/>
    <w:rsid w:val="00F27162"/>
    <w:rsid w:val="00F30B28"/>
    <w:rsid w:val="00F30C6B"/>
    <w:rsid w:val="00F313BE"/>
    <w:rsid w:val="00F32E2E"/>
    <w:rsid w:val="00F350E7"/>
    <w:rsid w:val="00F36A89"/>
    <w:rsid w:val="00F423EA"/>
    <w:rsid w:val="00F44D0F"/>
    <w:rsid w:val="00F465EF"/>
    <w:rsid w:val="00F47932"/>
    <w:rsid w:val="00F50C03"/>
    <w:rsid w:val="00F50F44"/>
    <w:rsid w:val="00F51649"/>
    <w:rsid w:val="00F52528"/>
    <w:rsid w:val="00F52F68"/>
    <w:rsid w:val="00F538F9"/>
    <w:rsid w:val="00F54FBF"/>
    <w:rsid w:val="00F57C08"/>
    <w:rsid w:val="00F60737"/>
    <w:rsid w:val="00F61D53"/>
    <w:rsid w:val="00F63287"/>
    <w:rsid w:val="00F63584"/>
    <w:rsid w:val="00F63935"/>
    <w:rsid w:val="00F64B1E"/>
    <w:rsid w:val="00F6540C"/>
    <w:rsid w:val="00F65DFD"/>
    <w:rsid w:val="00F66064"/>
    <w:rsid w:val="00F66286"/>
    <w:rsid w:val="00F664F4"/>
    <w:rsid w:val="00F67DDB"/>
    <w:rsid w:val="00F700A5"/>
    <w:rsid w:val="00F73946"/>
    <w:rsid w:val="00F746DC"/>
    <w:rsid w:val="00F76AD9"/>
    <w:rsid w:val="00F76C0C"/>
    <w:rsid w:val="00F77214"/>
    <w:rsid w:val="00F810D8"/>
    <w:rsid w:val="00F81B3F"/>
    <w:rsid w:val="00F81D13"/>
    <w:rsid w:val="00F82458"/>
    <w:rsid w:val="00F84C68"/>
    <w:rsid w:val="00F84FA9"/>
    <w:rsid w:val="00F861F5"/>
    <w:rsid w:val="00F86D04"/>
    <w:rsid w:val="00F87D2A"/>
    <w:rsid w:val="00F91901"/>
    <w:rsid w:val="00F93229"/>
    <w:rsid w:val="00F941B5"/>
    <w:rsid w:val="00F94C9C"/>
    <w:rsid w:val="00F963AC"/>
    <w:rsid w:val="00F97087"/>
    <w:rsid w:val="00F98B77"/>
    <w:rsid w:val="00FA15C0"/>
    <w:rsid w:val="00FA3919"/>
    <w:rsid w:val="00FA3A2D"/>
    <w:rsid w:val="00FA4858"/>
    <w:rsid w:val="00FA5671"/>
    <w:rsid w:val="00FA78E7"/>
    <w:rsid w:val="00FB1A54"/>
    <w:rsid w:val="00FB20F0"/>
    <w:rsid w:val="00FB570A"/>
    <w:rsid w:val="00FB59B8"/>
    <w:rsid w:val="00FB59CA"/>
    <w:rsid w:val="00FB6B49"/>
    <w:rsid w:val="00FC03EC"/>
    <w:rsid w:val="00FC0EFF"/>
    <w:rsid w:val="00FC25EA"/>
    <w:rsid w:val="00FC2C93"/>
    <w:rsid w:val="00FC2F3B"/>
    <w:rsid w:val="00FC3210"/>
    <w:rsid w:val="00FC467B"/>
    <w:rsid w:val="00FC5D00"/>
    <w:rsid w:val="00FC65F2"/>
    <w:rsid w:val="00FC7211"/>
    <w:rsid w:val="00FC7268"/>
    <w:rsid w:val="00FD1238"/>
    <w:rsid w:val="00FD1DFB"/>
    <w:rsid w:val="00FD20C3"/>
    <w:rsid w:val="00FD2A4E"/>
    <w:rsid w:val="00FD2C25"/>
    <w:rsid w:val="00FD3200"/>
    <w:rsid w:val="00FD4146"/>
    <w:rsid w:val="00FD5DAC"/>
    <w:rsid w:val="00FD5F25"/>
    <w:rsid w:val="00FD6CEC"/>
    <w:rsid w:val="00FE289D"/>
    <w:rsid w:val="00FE3115"/>
    <w:rsid w:val="00FE337E"/>
    <w:rsid w:val="00FE4317"/>
    <w:rsid w:val="00FE6501"/>
    <w:rsid w:val="00FE6BB8"/>
    <w:rsid w:val="00FE7175"/>
    <w:rsid w:val="00FF2050"/>
    <w:rsid w:val="00FF4466"/>
    <w:rsid w:val="00FF4772"/>
    <w:rsid w:val="00FF59F6"/>
    <w:rsid w:val="00FF65D4"/>
    <w:rsid w:val="02560E1B"/>
    <w:rsid w:val="02C6D5A2"/>
    <w:rsid w:val="04D4AE68"/>
    <w:rsid w:val="051C99E5"/>
    <w:rsid w:val="0566EC41"/>
    <w:rsid w:val="061CC60C"/>
    <w:rsid w:val="066BC5C4"/>
    <w:rsid w:val="06D112C2"/>
    <w:rsid w:val="07E700C7"/>
    <w:rsid w:val="07F1EDFF"/>
    <w:rsid w:val="0852D879"/>
    <w:rsid w:val="08E30BF7"/>
    <w:rsid w:val="09692A81"/>
    <w:rsid w:val="09880147"/>
    <w:rsid w:val="09DDB3E1"/>
    <w:rsid w:val="0A336D79"/>
    <w:rsid w:val="0A6761BD"/>
    <w:rsid w:val="0A73D484"/>
    <w:rsid w:val="0AF3D770"/>
    <w:rsid w:val="0B56026B"/>
    <w:rsid w:val="0B82DC90"/>
    <w:rsid w:val="0B8F1161"/>
    <w:rsid w:val="0BEDB2F6"/>
    <w:rsid w:val="0C599D09"/>
    <w:rsid w:val="0CA1301E"/>
    <w:rsid w:val="0CE632A1"/>
    <w:rsid w:val="0D6816CC"/>
    <w:rsid w:val="0DD9BCAA"/>
    <w:rsid w:val="0E21FCA2"/>
    <w:rsid w:val="0E5A29B2"/>
    <w:rsid w:val="0E6C2897"/>
    <w:rsid w:val="0E6CE456"/>
    <w:rsid w:val="0EDF8D39"/>
    <w:rsid w:val="0EE2394A"/>
    <w:rsid w:val="0FFD64FD"/>
    <w:rsid w:val="106EED8A"/>
    <w:rsid w:val="10E0B56C"/>
    <w:rsid w:val="111455BF"/>
    <w:rsid w:val="11BC0E47"/>
    <w:rsid w:val="11EEA44E"/>
    <w:rsid w:val="124782BD"/>
    <w:rsid w:val="127C85CD"/>
    <w:rsid w:val="12A12626"/>
    <w:rsid w:val="13A6FF04"/>
    <w:rsid w:val="13DD95C9"/>
    <w:rsid w:val="1463313A"/>
    <w:rsid w:val="151378E2"/>
    <w:rsid w:val="152A48E1"/>
    <w:rsid w:val="15B09397"/>
    <w:rsid w:val="15FEFF37"/>
    <w:rsid w:val="16073EA1"/>
    <w:rsid w:val="1630BF39"/>
    <w:rsid w:val="16EB9F06"/>
    <w:rsid w:val="173E7EFC"/>
    <w:rsid w:val="175D45DA"/>
    <w:rsid w:val="17B0F2FC"/>
    <w:rsid w:val="17DFCF8B"/>
    <w:rsid w:val="18337F79"/>
    <w:rsid w:val="18C0C1F9"/>
    <w:rsid w:val="1A5C7C4D"/>
    <w:rsid w:val="1A7F920A"/>
    <w:rsid w:val="1BDB33CB"/>
    <w:rsid w:val="1C107CB4"/>
    <w:rsid w:val="1C214AEF"/>
    <w:rsid w:val="1C563711"/>
    <w:rsid w:val="1C94AC0B"/>
    <w:rsid w:val="1D2C925F"/>
    <w:rsid w:val="1D38FDDB"/>
    <w:rsid w:val="1EDAA1D4"/>
    <w:rsid w:val="1EE4AE35"/>
    <w:rsid w:val="1EFD8729"/>
    <w:rsid w:val="1F574A2F"/>
    <w:rsid w:val="21136ED0"/>
    <w:rsid w:val="2186BE08"/>
    <w:rsid w:val="22DDFC1E"/>
    <w:rsid w:val="2334AB9A"/>
    <w:rsid w:val="239BD641"/>
    <w:rsid w:val="239F55D0"/>
    <w:rsid w:val="241543DF"/>
    <w:rsid w:val="245768E7"/>
    <w:rsid w:val="24C97072"/>
    <w:rsid w:val="25262D40"/>
    <w:rsid w:val="25965DC7"/>
    <w:rsid w:val="2598FA26"/>
    <w:rsid w:val="25A7D1A9"/>
    <w:rsid w:val="26B263DF"/>
    <w:rsid w:val="270CC8C6"/>
    <w:rsid w:val="2721ED05"/>
    <w:rsid w:val="27F6CB7F"/>
    <w:rsid w:val="28090E95"/>
    <w:rsid w:val="282BB0AE"/>
    <w:rsid w:val="289B04D9"/>
    <w:rsid w:val="299C2865"/>
    <w:rsid w:val="29A5696A"/>
    <w:rsid w:val="29B57AB4"/>
    <w:rsid w:val="29F01331"/>
    <w:rsid w:val="2A49FA0A"/>
    <w:rsid w:val="2A8052BF"/>
    <w:rsid w:val="2A94896B"/>
    <w:rsid w:val="2AFFD4E0"/>
    <w:rsid w:val="2B2253CC"/>
    <w:rsid w:val="2B2969D1"/>
    <w:rsid w:val="2BFED7C3"/>
    <w:rsid w:val="2C4CEAE9"/>
    <w:rsid w:val="2C507D24"/>
    <w:rsid w:val="2C783F6D"/>
    <w:rsid w:val="2CBD1534"/>
    <w:rsid w:val="2DD10D17"/>
    <w:rsid w:val="2E0346C4"/>
    <w:rsid w:val="2E384BE3"/>
    <w:rsid w:val="2E5F4D40"/>
    <w:rsid w:val="2E767243"/>
    <w:rsid w:val="2E76C63B"/>
    <w:rsid w:val="2E867A8F"/>
    <w:rsid w:val="2F08E3D2"/>
    <w:rsid w:val="2FB3E756"/>
    <w:rsid w:val="305BFA7A"/>
    <w:rsid w:val="308EEA67"/>
    <w:rsid w:val="3195672C"/>
    <w:rsid w:val="31A4627C"/>
    <w:rsid w:val="33058B4D"/>
    <w:rsid w:val="3333ABD4"/>
    <w:rsid w:val="33474747"/>
    <w:rsid w:val="336219EA"/>
    <w:rsid w:val="35A6FA18"/>
    <w:rsid w:val="35EB759A"/>
    <w:rsid w:val="361975E7"/>
    <w:rsid w:val="36C9C1D8"/>
    <w:rsid w:val="38AB2BD6"/>
    <w:rsid w:val="38CBA67C"/>
    <w:rsid w:val="39447E2C"/>
    <w:rsid w:val="395EE995"/>
    <w:rsid w:val="39862090"/>
    <w:rsid w:val="399D1A11"/>
    <w:rsid w:val="39B95BB3"/>
    <w:rsid w:val="3A79095F"/>
    <w:rsid w:val="3B2370A8"/>
    <w:rsid w:val="3B4A4C27"/>
    <w:rsid w:val="3B6ACDFD"/>
    <w:rsid w:val="3BE8B00A"/>
    <w:rsid w:val="3C8C2DC8"/>
    <w:rsid w:val="3C94205A"/>
    <w:rsid w:val="3CA9CE0B"/>
    <w:rsid w:val="3D08BB7E"/>
    <w:rsid w:val="3D0A4EFF"/>
    <w:rsid w:val="3D23C3BB"/>
    <w:rsid w:val="3D5A9673"/>
    <w:rsid w:val="3D7885D7"/>
    <w:rsid w:val="3DBA203B"/>
    <w:rsid w:val="3E3122ED"/>
    <w:rsid w:val="3E81ECE9"/>
    <w:rsid w:val="3E9EB664"/>
    <w:rsid w:val="3F75B2EA"/>
    <w:rsid w:val="3FABA1B4"/>
    <w:rsid w:val="40405C40"/>
    <w:rsid w:val="40585E51"/>
    <w:rsid w:val="40FDEEAE"/>
    <w:rsid w:val="41979CBF"/>
    <w:rsid w:val="41CC06DE"/>
    <w:rsid w:val="41DC2CA1"/>
    <w:rsid w:val="424970E5"/>
    <w:rsid w:val="429A9EA6"/>
    <w:rsid w:val="431DFC46"/>
    <w:rsid w:val="434402E9"/>
    <w:rsid w:val="434E3422"/>
    <w:rsid w:val="44B19D4C"/>
    <w:rsid w:val="44FE859A"/>
    <w:rsid w:val="455DFE4F"/>
    <w:rsid w:val="459AD526"/>
    <w:rsid w:val="45A27FFF"/>
    <w:rsid w:val="45CB96DE"/>
    <w:rsid w:val="45CFF318"/>
    <w:rsid w:val="46A2B8FA"/>
    <w:rsid w:val="47470D12"/>
    <w:rsid w:val="475B83FB"/>
    <w:rsid w:val="47827CF2"/>
    <w:rsid w:val="48A6411A"/>
    <w:rsid w:val="48C63AEE"/>
    <w:rsid w:val="48F09525"/>
    <w:rsid w:val="49DF22DD"/>
    <w:rsid w:val="4A3228E7"/>
    <w:rsid w:val="4B9E923B"/>
    <w:rsid w:val="4BEEA216"/>
    <w:rsid w:val="4C2155AB"/>
    <w:rsid w:val="4CCB1099"/>
    <w:rsid w:val="4CD5661A"/>
    <w:rsid w:val="4CF2B100"/>
    <w:rsid w:val="4D15EE51"/>
    <w:rsid w:val="4D675ADA"/>
    <w:rsid w:val="4DEE8407"/>
    <w:rsid w:val="4E160B23"/>
    <w:rsid w:val="4E8E3F3C"/>
    <w:rsid w:val="4F3C0058"/>
    <w:rsid w:val="4F909EF7"/>
    <w:rsid w:val="4FFCE796"/>
    <w:rsid w:val="50DBAF14"/>
    <w:rsid w:val="50F0B45F"/>
    <w:rsid w:val="5117732B"/>
    <w:rsid w:val="515D3383"/>
    <w:rsid w:val="517406D6"/>
    <w:rsid w:val="53079A63"/>
    <w:rsid w:val="53270426"/>
    <w:rsid w:val="5335DB86"/>
    <w:rsid w:val="534DEE87"/>
    <w:rsid w:val="536BF384"/>
    <w:rsid w:val="546069C1"/>
    <w:rsid w:val="54D78DC0"/>
    <w:rsid w:val="54DAA1C5"/>
    <w:rsid w:val="5693A2F2"/>
    <w:rsid w:val="5795B255"/>
    <w:rsid w:val="57996EDB"/>
    <w:rsid w:val="57A05C24"/>
    <w:rsid w:val="57C39C5E"/>
    <w:rsid w:val="580DA0F1"/>
    <w:rsid w:val="5864E1F6"/>
    <w:rsid w:val="59B26211"/>
    <w:rsid w:val="59B93D32"/>
    <w:rsid w:val="59F20B93"/>
    <w:rsid w:val="5A6A1998"/>
    <w:rsid w:val="5ACE1015"/>
    <w:rsid w:val="5B97A485"/>
    <w:rsid w:val="5BCCEE5F"/>
    <w:rsid w:val="5BF348E5"/>
    <w:rsid w:val="5C034DEB"/>
    <w:rsid w:val="5D204259"/>
    <w:rsid w:val="5D4D4480"/>
    <w:rsid w:val="5D807A79"/>
    <w:rsid w:val="5DB25FE0"/>
    <w:rsid w:val="5DD3B1E4"/>
    <w:rsid w:val="5E290872"/>
    <w:rsid w:val="60AF347C"/>
    <w:rsid w:val="60CE59D4"/>
    <w:rsid w:val="6176EE43"/>
    <w:rsid w:val="61C48A26"/>
    <w:rsid w:val="61CD6BB1"/>
    <w:rsid w:val="6210F10E"/>
    <w:rsid w:val="629714E9"/>
    <w:rsid w:val="62D2D52C"/>
    <w:rsid w:val="63543500"/>
    <w:rsid w:val="637EDBA9"/>
    <w:rsid w:val="640902BE"/>
    <w:rsid w:val="6444CBB5"/>
    <w:rsid w:val="65016FFA"/>
    <w:rsid w:val="65667E6A"/>
    <w:rsid w:val="66792445"/>
    <w:rsid w:val="66F1DCED"/>
    <w:rsid w:val="66F4656D"/>
    <w:rsid w:val="67254A98"/>
    <w:rsid w:val="68321796"/>
    <w:rsid w:val="68BBB0DD"/>
    <w:rsid w:val="6943E6E0"/>
    <w:rsid w:val="6962F75E"/>
    <w:rsid w:val="69F4EFBE"/>
    <w:rsid w:val="69FE33AC"/>
    <w:rsid w:val="6B59F94F"/>
    <w:rsid w:val="6B680AAB"/>
    <w:rsid w:val="6CFABA31"/>
    <w:rsid w:val="6D074EA6"/>
    <w:rsid w:val="6D6F7EE7"/>
    <w:rsid w:val="6DF6B857"/>
    <w:rsid w:val="6E003D27"/>
    <w:rsid w:val="6E94BC60"/>
    <w:rsid w:val="6EA20831"/>
    <w:rsid w:val="6EC5577F"/>
    <w:rsid w:val="6F60B229"/>
    <w:rsid w:val="700A7497"/>
    <w:rsid w:val="7038E8C3"/>
    <w:rsid w:val="707603AE"/>
    <w:rsid w:val="708627BB"/>
    <w:rsid w:val="70AEE344"/>
    <w:rsid w:val="70DCDC99"/>
    <w:rsid w:val="7132EB62"/>
    <w:rsid w:val="716AE9D1"/>
    <w:rsid w:val="71879170"/>
    <w:rsid w:val="7206FF1B"/>
    <w:rsid w:val="72BBB406"/>
    <w:rsid w:val="741BC693"/>
    <w:rsid w:val="746E66F6"/>
    <w:rsid w:val="74D5A314"/>
    <w:rsid w:val="766F71BA"/>
    <w:rsid w:val="76855956"/>
    <w:rsid w:val="7748990D"/>
    <w:rsid w:val="775E58A4"/>
    <w:rsid w:val="77F558B3"/>
    <w:rsid w:val="77FCB287"/>
    <w:rsid w:val="78C8DFA3"/>
    <w:rsid w:val="7A2CDD76"/>
    <w:rsid w:val="7BC50DBB"/>
    <w:rsid w:val="7C8BD04E"/>
    <w:rsid w:val="7D0D8283"/>
    <w:rsid w:val="7D47329D"/>
    <w:rsid w:val="7DE4CE0A"/>
    <w:rsid w:val="7E08E384"/>
    <w:rsid w:val="7E498C85"/>
    <w:rsid w:val="7E57DE03"/>
    <w:rsid w:val="7EE5E2F0"/>
    <w:rsid w:val="7FAEC11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7ABFD12"/>
  <w15:docId w15:val="{FC03B16C-483A-461A-9B70-84F3AF19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CommentReference">
    <w:name w:val="annotation reference"/>
    <w:uiPriority w:val="99"/>
    <w:rsid w:val="007215E9"/>
    <w:rPr>
      <w:rFonts w:cs="Times New Roman"/>
      <w:sz w:val="16"/>
      <w:szCs w:val="16"/>
    </w:rPr>
  </w:style>
  <w:style w:type="paragraph" w:styleId="CommentText">
    <w:name w:val="annotation text"/>
    <w:basedOn w:val="Normal"/>
    <w:link w:val="CommentTextChar"/>
    <w:uiPriority w:val="99"/>
    <w:rsid w:val="007215E9"/>
    <w:rPr>
      <w:rFonts w:ascii="Arial" w:hAnsi="Arial" w:cs="Arial"/>
      <w:sz w:val="20"/>
      <w:szCs w:val="20"/>
    </w:rPr>
  </w:style>
  <w:style w:type="character" w:customStyle="1" w:styleId="CommentTextChar">
    <w:name w:val="Comment Text Char"/>
    <w:link w:val="CommentText"/>
    <w:uiPriority w:val="99"/>
    <w:rsid w:val="007215E9"/>
    <w:rPr>
      <w:rFonts w:ascii="Arial" w:eastAsia="Times New Roman" w:hAnsi="Arial" w:cs="Arial"/>
      <w:sz w:val="20"/>
      <w:szCs w:val="20"/>
    </w:rPr>
  </w:style>
  <w:style w:type="paragraph" w:styleId="BalloonText">
    <w:name w:val="Balloon Text"/>
    <w:basedOn w:val="Normal"/>
    <w:link w:val="BalloonTextChar"/>
    <w:uiPriority w:val="99"/>
    <w:semiHidden/>
    <w:unhideWhenUsed/>
    <w:rsid w:val="007215E9"/>
    <w:rPr>
      <w:rFonts w:ascii="Segoe UI" w:hAnsi="Segoe UI" w:cs="Segoe UI"/>
      <w:sz w:val="18"/>
      <w:szCs w:val="18"/>
    </w:rPr>
  </w:style>
  <w:style w:type="character" w:customStyle="1" w:styleId="BalloonTextChar">
    <w:name w:val="Balloon Text Char"/>
    <w:link w:val="BalloonText"/>
    <w:uiPriority w:val="99"/>
    <w:semiHidden/>
    <w:rsid w:val="007215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C1E35"/>
    <w:rPr>
      <w:rFonts w:ascii="Times New Roman" w:hAnsi="Times New Roman" w:cs="Times New Roman"/>
      <w:b/>
      <w:bCs/>
    </w:rPr>
  </w:style>
  <w:style w:type="character" w:customStyle="1" w:styleId="CommentSubjectChar">
    <w:name w:val="Comment Subject Char"/>
    <w:link w:val="CommentSubject"/>
    <w:uiPriority w:val="99"/>
    <w:semiHidden/>
    <w:rsid w:val="005C1E35"/>
    <w:rPr>
      <w:rFonts w:ascii="Times New Roman" w:eastAsia="Times New Roman" w:hAnsi="Times New Roman" w:cs="Times New Roman"/>
      <w:b/>
      <w:bCs/>
      <w:sz w:val="20"/>
      <w:szCs w:val="20"/>
    </w:rPr>
  </w:style>
  <w:style w:type="paragraph" w:styleId="Revision">
    <w:name w:val="Revision"/>
    <w:hidden/>
    <w:uiPriority w:val="99"/>
    <w:semiHidden/>
    <w:rsid w:val="00652D75"/>
    <w:rPr>
      <w:rFonts w:ascii="Times New Roman" w:eastAsia="Times New Roman" w:hAnsi="Times New Roman"/>
      <w:sz w:val="24"/>
      <w:szCs w:val="24"/>
    </w:rPr>
  </w:style>
  <w:style w:type="character" w:styleId="Hyperlink">
    <w:name w:val="Hyperlink"/>
    <w:uiPriority w:val="99"/>
    <w:rsid w:val="009C0439"/>
    <w:rPr>
      <w:color w:val="0000FF"/>
      <w:u w:val="single"/>
    </w:rPr>
  </w:style>
  <w:style w:type="paragraph" w:styleId="BodyText">
    <w:name w:val="Body Text"/>
    <w:basedOn w:val="Normal"/>
    <w:link w:val="BodyTextChar"/>
    <w:uiPriority w:val="99"/>
    <w:rsid w:val="009C0439"/>
    <w:pPr>
      <w:widowControl w:val="0"/>
      <w:autoSpaceDE w:val="0"/>
      <w:autoSpaceDN w:val="0"/>
      <w:adjustRightInd w:val="0"/>
      <w:jc w:val="both"/>
    </w:pPr>
    <w:rPr>
      <w:rFonts w:ascii="Arial" w:hAnsi="Arial"/>
      <w:sz w:val="22"/>
      <w:szCs w:val="22"/>
    </w:rPr>
  </w:style>
  <w:style w:type="character" w:customStyle="1" w:styleId="BodyTextChar">
    <w:name w:val="Body Text Char"/>
    <w:link w:val="BodyText"/>
    <w:uiPriority w:val="99"/>
    <w:rsid w:val="009C0439"/>
    <w:rPr>
      <w:rFonts w:ascii="Arial" w:eastAsia="Times New Roman" w:hAnsi="Arial" w:cs="Times New Roman"/>
    </w:rPr>
  </w:style>
  <w:style w:type="paragraph" w:styleId="FootnoteText">
    <w:name w:val="footnote text"/>
    <w:basedOn w:val="Normal"/>
    <w:link w:val="FootnoteTextChar"/>
    <w:uiPriority w:val="99"/>
    <w:semiHidden/>
    <w:unhideWhenUsed/>
    <w:rsid w:val="00781979"/>
    <w:rPr>
      <w:sz w:val="20"/>
      <w:szCs w:val="20"/>
    </w:rPr>
  </w:style>
  <w:style w:type="character" w:customStyle="1" w:styleId="FootnoteTextChar">
    <w:name w:val="Footnote Text Char"/>
    <w:link w:val="FootnoteText"/>
    <w:uiPriority w:val="99"/>
    <w:semiHidden/>
    <w:rsid w:val="00781979"/>
    <w:rPr>
      <w:rFonts w:ascii="Times New Roman" w:eastAsia="Times New Roman" w:hAnsi="Times New Roman" w:cs="Times New Roman"/>
      <w:sz w:val="20"/>
      <w:szCs w:val="20"/>
    </w:rPr>
  </w:style>
  <w:style w:type="character" w:styleId="FootnoteReference">
    <w:name w:val="footnote reference"/>
    <w:uiPriority w:val="99"/>
    <w:unhideWhenUsed/>
    <w:rsid w:val="00781979"/>
    <w:rPr>
      <w:vertAlign w:val="superscript"/>
    </w:rPr>
  </w:style>
  <w:style w:type="character" w:styleId="FollowedHyperlink">
    <w:name w:val="FollowedHyperlink"/>
    <w:basedOn w:val="DefaultParagraphFont"/>
    <w:uiPriority w:val="99"/>
    <w:semiHidden/>
    <w:unhideWhenUsed/>
    <w:rsid w:val="00FC2F3B"/>
    <w:rPr>
      <w:color w:val="954F72" w:themeColor="followedHyperlink"/>
      <w:u w:val="single"/>
    </w:rPr>
  </w:style>
  <w:style w:type="character" w:styleId="UnresolvedMention">
    <w:name w:val="Unresolved Mention"/>
    <w:basedOn w:val="DefaultParagraphFont"/>
    <w:uiPriority w:val="99"/>
    <w:semiHidden/>
    <w:unhideWhenUsed/>
    <w:rsid w:val="00A5137D"/>
    <w:rPr>
      <w:color w:val="605E5C"/>
      <w:shd w:val="clear" w:color="auto" w:fill="E1DFDD"/>
    </w:rPr>
  </w:style>
  <w:style w:type="character" w:styleId="Mention">
    <w:name w:val="Mention"/>
    <w:basedOn w:val="DefaultParagraphFont"/>
    <w:uiPriority w:val="99"/>
    <w:unhideWhenUsed/>
    <w:rsid w:val="004528D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738c58f-bdae-42fa-8676-6b16516d8fbb" xsi:nil="true"/>
    <lcf76f155ced4ddcb4097134ff3c332f xmlns="f069ca06-50f1-4975-ba3b-672208fb47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67E4CFDAC4EFB4F82603C5A1D417E5A" ma:contentTypeVersion="14" ma:contentTypeDescription="Create a new document." ma:contentTypeScope="" ma:versionID="cbe9e9d31cbf7f66667a7878192decf7">
  <xsd:schema xmlns:xsd="http://www.w3.org/2001/XMLSchema" xmlns:xs="http://www.w3.org/2001/XMLSchema" xmlns:p="http://schemas.microsoft.com/office/2006/metadata/properties" xmlns:ns2="f069ca06-50f1-4975-ba3b-672208fb47f9" xmlns:ns3="f738c58f-bdae-42fa-8676-6b16516d8fbb" targetNamespace="http://schemas.microsoft.com/office/2006/metadata/properties" ma:root="true" ma:fieldsID="fc21154e8f71025bb9d35bfb8fdd00ab" ns2:_="" ns3:_="">
    <xsd:import namespace="f069ca06-50f1-4975-ba3b-672208fb47f9"/>
    <xsd:import namespace="f738c58f-bdae-42fa-8676-6b16516d8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9ca06-50f1-4975-ba3b-672208fb4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8c58f-bdae-42fa-8676-6b16516d8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5486774-b26f-46d7-9b53-51afe0cab224}" ma:internalName="TaxCatchAll" ma:showField="CatchAllData" ma:web="f738c58f-bdae-42fa-8676-6b16516d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E0DF09-F9AE-4EFF-A53E-881FAC7A91CF}">
  <ds:schemaRefs>
    <ds:schemaRef ds:uri="http://schemas.openxmlformats.org/officeDocument/2006/bibliography"/>
  </ds:schemaRefs>
</ds:datastoreItem>
</file>

<file path=customXml/itemProps2.xml><?xml version="1.0" encoding="utf-8"?>
<ds:datastoreItem xmlns:ds="http://schemas.openxmlformats.org/officeDocument/2006/customXml" ds:itemID="{1F40FAB6-1292-4A0F-8EF9-F0D85CF0FAF3}">
  <ds:schemaRefs>
    <ds:schemaRef ds:uri="http://schemas.microsoft.com/office/2006/metadata/properties"/>
    <ds:schemaRef ds:uri="http://schemas.microsoft.com/office/infopath/2007/PartnerControls"/>
    <ds:schemaRef ds:uri="91254abe-0e49-403c-81f6-e14d5e1cd67c"/>
    <ds:schemaRef ds:uri="450d0d34-09c2-4bdd-b044-c24d776efcbe"/>
    <ds:schemaRef ds:uri="f738c58f-bdae-42fa-8676-6b16516d8fbb"/>
    <ds:schemaRef ds:uri="f069ca06-50f1-4975-ba3b-672208fb47f9"/>
  </ds:schemaRefs>
</ds:datastoreItem>
</file>

<file path=customXml/itemProps3.xml><?xml version="1.0" encoding="utf-8"?>
<ds:datastoreItem xmlns:ds="http://schemas.openxmlformats.org/officeDocument/2006/customXml" ds:itemID="{AE604138-647C-4405-8263-3DEDB87D03E4}">
  <ds:schemaRefs>
    <ds:schemaRef ds:uri="http://schemas.microsoft.com/sharepoint/v3/contenttype/forms"/>
  </ds:schemaRefs>
</ds:datastoreItem>
</file>

<file path=customXml/itemProps4.xml><?xml version="1.0" encoding="utf-8"?>
<ds:datastoreItem xmlns:ds="http://schemas.openxmlformats.org/officeDocument/2006/customXml" ds:itemID="{C6C8E4EE-B40B-49D5-B993-30328113E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9ca06-50f1-4975-ba3b-672208fb47f9"/>
    <ds:schemaRef ds:uri="f738c58f-bdae-42fa-8676-6b16516d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5735</Words>
  <Characters>31737</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240; 1</dc:title>
  <dc:creator>Smyth, Michel - OASAM OCIO</dc:creator>
  <cp:lastModifiedBy>Gibson, Patrice A - ETA</cp:lastModifiedBy>
  <cp:revision>2</cp:revision>
  <cp:lastPrinted>2018-11-19T20:14:00Z</cp:lastPrinted>
  <dcterms:created xsi:type="dcterms:W3CDTF">2025-04-07T15:18:00Z</dcterms:created>
  <dcterms:modified xsi:type="dcterms:W3CDTF">2025-04-07T15:18:00Z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0x010100367E4CFDAC4EFB4F82603C5A1D417E5A</vt:lpwstr>
  </property>
  <property fmtid="{D5CDD505-2E9C-101B-9397-08002B2CF9AE}" pid="3" name="MediaServiceImageTags">
    <vt:lpwstr/>
  </property>
</Properties>
</file>