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34A84" w:rsidP="00734A84" w14:paraId="78190415" w14:textId="77777777">
      <w:pPr>
        <w:widowControl/>
        <w:tabs>
          <w:tab w:val="left" w:pos="720"/>
        </w:tabs>
        <w:ind w:left="720" w:hanging="1440"/>
        <w:jc w:val="center"/>
        <w:rPr>
          <w:b/>
          <w:bCs/>
        </w:rPr>
      </w:pPr>
      <w:bookmarkStart w:id="0" w:name="_Hlk137194555"/>
      <w:r w:rsidRPr="00A47DA7">
        <w:rPr>
          <w:b/>
          <w:bCs/>
        </w:rPr>
        <w:t xml:space="preserve">Supporting Statement </w:t>
      </w:r>
      <w:r>
        <w:rPr>
          <w:b/>
          <w:bCs/>
        </w:rPr>
        <w:t>for</w:t>
      </w:r>
    </w:p>
    <w:p w:rsidR="003C061D" w:rsidRPr="00734A84" w:rsidP="00734A84" w14:paraId="67076DA0" w14:textId="619A2BC7">
      <w:pPr>
        <w:widowControl/>
        <w:tabs>
          <w:tab w:val="left" w:pos="720"/>
        </w:tabs>
        <w:ind w:left="720" w:hanging="1440"/>
        <w:jc w:val="center"/>
        <w:rPr>
          <w:b/>
          <w:bCs/>
        </w:rPr>
      </w:pPr>
      <w:r w:rsidRPr="00734A84">
        <w:rPr>
          <w:b/>
          <w:bCs/>
        </w:rPr>
        <w:t>Performance Reports for MSHA Grants</w:t>
      </w:r>
    </w:p>
    <w:p w:rsidR="00734A84" w:rsidRPr="00A47DA7" w:rsidP="00734A84" w14:paraId="57F6683F" w14:textId="77777777">
      <w:pPr>
        <w:widowControl/>
        <w:tabs>
          <w:tab w:val="left" w:pos="720"/>
        </w:tabs>
        <w:ind w:left="720" w:hanging="1440"/>
        <w:jc w:val="center"/>
        <w:rPr>
          <w:b/>
          <w:bCs/>
        </w:rPr>
      </w:pPr>
      <w:r>
        <w:rPr>
          <w:b/>
          <w:bCs/>
        </w:rPr>
        <w:t>Paperwork Reduction Act Submission</w:t>
      </w:r>
    </w:p>
    <w:p w:rsidR="00D31106" w:rsidRPr="00D31106" w:rsidP="00D31106" w14:paraId="230586E4" w14:textId="77777777">
      <w:pPr>
        <w:jc w:val="center"/>
      </w:pPr>
    </w:p>
    <w:p w:rsidR="00097222" w:rsidP="00CC7F1A" w14:paraId="1E5CBB07" w14:textId="4A04F938">
      <w:pPr>
        <w:widowControl/>
        <w:rPr>
          <w:bCs/>
          <w:color w:val="000000"/>
        </w:rPr>
      </w:pPr>
      <w:r>
        <w:rPr>
          <w:bCs/>
        </w:rPr>
        <w:t>The U.S. Department of Labor proposes a</w:t>
      </w:r>
      <w:r w:rsidR="00C65431">
        <w:rPr>
          <w:bCs/>
        </w:rPr>
        <w:t>n</w:t>
      </w:r>
      <w:r>
        <w:rPr>
          <w:bCs/>
        </w:rPr>
        <w:t xml:space="preserve"> </w:t>
      </w:r>
      <w:r w:rsidR="001E594D">
        <w:rPr>
          <w:bCs/>
        </w:rPr>
        <w:t xml:space="preserve">extension </w:t>
      </w:r>
      <w:r>
        <w:rPr>
          <w:bCs/>
          <w:color w:val="000000"/>
        </w:rPr>
        <w:t xml:space="preserve">of </w:t>
      </w:r>
      <w:r w:rsidRPr="00D31106" w:rsidR="00D31106">
        <w:rPr>
          <w:bCs/>
          <w:color w:val="000000"/>
        </w:rPr>
        <w:t>a</w:t>
      </w:r>
      <w:r w:rsidR="00A579F3">
        <w:rPr>
          <w:bCs/>
          <w:color w:val="000000"/>
        </w:rPr>
        <w:t xml:space="preserve"> currently approved </w:t>
      </w:r>
      <w:r w:rsidRPr="00D31106" w:rsidR="00D31106">
        <w:rPr>
          <w:bCs/>
          <w:color w:val="000000"/>
        </w:rPr>
        <w:t>information collection</w:t>
      </w:r>
      <w:r w:rsidR="00C65431">
        <w:rPr>
          <w:bCs/>
          <w:color w:val="000000"/>
        </w:rPr>
        <w:t xml:space="preserve"> request (ICR)</w:t>
      </w:r>
      <w:r w:rsidRPr="00D31106" w:rsidR="00D31106">
        <w:rPr>
          <w:bCs/>
          <w:color w:val="000000"/>
        </w:rPr>
        <w:t xml:space="preserve">.  </w:t>
      </w:r>
    </w:p>
    <w:p w:rsidR="00D31106" w:rsidRPr="00D31106" w:rsidP="00CC7F1A" w14:paraId="667FB2CD" w14:textId="77777777">
      <w:pPr>
        <w:widowControl/>
        <w:rPr>
          <w:bCs/>
          <w:color w:val="000000"/>
        </w:rPr>
      </w:pPr>
    </w:p>
    <w:p w:rsidR="00734A84" w:rsidRPr="00863256" w:rsidP="00863256" w14:paraId="731CB23F" w14:textId="12063119">
      <w:pPr>
        <w:rPr>
          <w:b/>
          <w:bCs/>
          <w:u w:val="single"/>
        </w:rPr>
      </w:pPr>
      <w:r w:rsidRPr="00863256">
        <w:rPr>
          <w:b/>
          <w:bCs/>
          <w:u w:val="single"/>
        </w:rPr>
        <w:t xml:space="preserve">OMB </w:t>
      </w:r>
      <w:r w:rsidRPr="00734A84">
        <w:rPr>
          <w:b/>
          <w:bCs/>
          <w:u w:val="single"/>
        </w:rPr>
        <w:t>Control N</w:t>
      </w:r>
      <w:r>
        <w:rPr>
          <w:b/>
          <w:bCs/>
          <w:u w:val="single"/>
        </w:rPr>
        <w:t>umber</w:t>
      </w:r>
      <w:r w:rsidRPr="00863256">
        <w:rPr>
          <w:b/>
          <w:bCs/>
        </w:rPr>
        <w:t xml:space="preserve">: </w:t>
      </w:r>
      <w:r w:rsidRPr="00734A84">
        <w:rPr>
          <w:b/>
          <w:bCs/>
        </w:rPr>
        <w:t>1219-0154</w:t>
      </w:r>
    </w:p>
    <w:p w:rsidR="00097222" w:rsidRPr="00B77579" w:rsidP="00CC7F1A" w14:paraId="4BFB4DF5" w14:textId="77777777">
      <w:pPr>
        <w:widowControl/>
        <w:rPr>
          <w:b/>
          <w:bCs/>
          <w:color w:val="000000"/>
        </w:rPr>
      </w:pPr>
    </w:p>
    <w:p w:rsidR="00734A84" w:rsidP="1F0F7660" w14:paraId="568A7368" w14:textId="19EDDA35">
      <w:pPr>
        <w:widowControl/>
        <w:rPr>
          <w:b/>
        </w:rPr>
      </w:pPr>
      <w:r w:rsidRPr="000046C1">
        <w:rPr>
          <w:b/>
          <w:u w:val="single"/>
        </w:rPr>
        <w:t>Information Collection Request Title</w:t>
      </w:r>
      <w:r>
        <w:rPr>
          <w:b/>
        </w:rPr>
        <w:t xml:space="preserve">: </w:t>
      </w:r>
      <w:r w:rsidRPr="00863256">
        <w:rPr>
          <w:bCs/>
        </w:rPr>
        <w:t>Performance Reports for MSHA Grants</w:t>
      </w:r>
    </w:p>
    <w:p w:rsidR="00734A84" w:rsidP="1F0F7660" w14:paraId="32E20D07" w14:textId="17669C64">
      <w:pPr>
        <w:widowControl/>
        <w:rPr>
          <w:b/>
          <w:bCs/>
          <w:color w:val="000000" w:themeColor="text1"/>
        </w:rPr>
      </w:pPr>
      <w:r w:rsidRPr="00B77579">
        <w:rPr>
          <w:b/>
          <w:bCs/>
          <w:color w:val="000000" w:themeColor="text1"/>
        </w:rPr>
        <w:t xml:space="preserve"> </w:t>
      </w:r>
    </w:p>
    <w:p w:rsidR="00734A84" w:rsidRPr="002012FD" w:rsidP="00734A84" w14:paraId="717BE605" w14:textId="4E5C4B89">
      <w:pPr>
        <w:widowControl/>
        <w:rPr>
          <w:bCs/>
        </w:rPr>
      </w:pPr>
      <w:r w:rsidRPr="00760FF0">
        <w:rPr>
          <w:b/>
          <w:u w:val="single"/>
        </w:rPr>
        <w:t>OMB Type of Review</w:t>
      </w:r>
      <w:r w:rsidRPr="002012FD">
        <w:rPr>
          <w:bCs/>
        </w:rPr>
        <w:t xml:space="preserve">: </w:t>
      </w:r>
      <w:r w:rsidR="00B07B0B">
        <w:rPr>
          <w:bCs/>
        </w:rPr>
        <w:t>E</w:t>
      </w:r>
      <w:r w:rsidR="00520174">
        <w:rPr>
          <w:bCs/>
        </w:rPr>
        <w:t xml:space="preserve">xtension </w:t>
      </w:r>
      <w:r w:rsidR="00A579F3">
        <w:rPr>
          <w:bCs/>
        </w:rPr>
        <w:t>of a currently approved information collection</w:t>
      </w:r>
    </w:p>
    <w:p w:rsidR="00734A84" w:rsidP="1F0F7660" w14:paraId="737B2407" w14:textId="77777777">
      <w:pPr>
        <w:widowControl/>
        <w:rPr>
          <w:b/>
          <w:bCs/>
          <w:color w:val="000000" w:themeColor="text1"/>
        </w:rPr>
      </w:pPr>
    </w:p>
    <w:p w:rsidR="00734A84" w:rsidRPr="00B77579" w:rsidP="00734A84" w14:paraId="5A45017A" w14:textId="427A9D00">
      <w:pPr>
        <w:widowControl/>
        <w:rPr>
          <w:bCs/>
          <w:color w:val="000000"/>
        </w:rPr>
      </w:pPr>
      <w:r w:rsidRPr="00DF3ABA">
        <w:rPr>
          <w:b/>
          <w:bCs/>
          <w:color w:val="000000"/>
          <w:u w:val="single"/>
        </w:rPr>
        <w:t>Authority</w:t>
      </w:r>
      <w:r w:rsidRPr="00B77579">
        <w:rPr>
          <w:b/>
          <w:bCs/>
          <w:color w:val="000000"/>
        </w:rPr>
        <w:t>:</w:t>
      </w:r>
    </w:p>
    <w:p w:rsidR="000B4A49" w:rsidP="00B364B6" w14:paraId="7DE3C351" w14:textId="77777777">
      <w:pPr>
        <w:widowControl/>
      </w:pPr>
      <w:bookmarkStart w:id="1" w:name="_Hlk130456266"/>
    </w:p>
    <w:p w:rsidR="000B4A49" w:rsidP="009D0E5D" w14:paraId="4D5AD3AA" w14:textId="2806BF99">
      <w:pPr>
        <w:pStyle w:val="ListParagraph"/>
        <w:widowControl/>
        <w:numPr>
          <w:ilvl w:val="0"/>
          <w:numId w:val="3"/>
        </w:numPr>
      </w:pPr>
      <w:bookmarkStart w:id="2" w:name="_Hlk140762423"/>
      <w:r w:rsidRPr="002012FD">
        <w:t>Section 115</w:t>
      </w:r>
      <w:r>
        <w:t xml:space="preserve">, </w:t>
      </w:r>
      <w:r w:rsidRPr="002012FD">
        <w:t xml:space="preserve">the </w:t>
      </w:r>
      <w:r w:rsidRPr="002012FD" w:rsidR="00326B6C">
        <w:t xml:space="preserve">Federal </w:t>
      </w:r>
      <w:r w:rsidR="00326B6C">
        <w:t>Mine</w:t>
      </w:r>
      <w:r w:rsidRPr="002012FD" w:rsidR="00326B6C">
        <w:t xml:space="preserve"> Safety and Health Act</w:t>
      </w:r>
      <w:r w:rsidRPr="00037C36" w:rsidR="00326B6C">
        <w:t xml:space="preserve"> </w:t>
      </w:r>
      <w:r w:rsidR="00326B6C">
        <w:t>(</w:t>
      </w:r>
      <w:r w:rsidRPr="002012FD" w:rsidR="00326B6C">
        <w:t>Mine Act</w:t>
      </w:r>
      <w:r w:rsidR="00326B6C">
        <w:t>)</w:t>
      </w:r>
      <w:r w:rsidRPr="002012FD">
        <w:t>, as amended</w:t>
      </w:r>
      <w:r w:rsidR="0026617C">
        <w:t>, 30 U.S.C. 825</w:t>
      </w:r>
      <w:r>
        <w:t xml:space="preserve"> - M</w:t>
      </w:r>
      <w:r w:rsidRPr="00037C36">
        <w:t>andatory health and safety training</w:t>
      </w:r>
      <w:r>
        <w:t>.</w:t>
      </w:r>
    </w:p>
    <w:bookmarkEnd w:id="2"/>
    <w:p w:rsidR="000B4A49" w:rsidP="000B4A49" w14:paraId="3076FC06" w14:textId="77777777">
      <w:pPr>
        <w:pStyle w:val="ListParagraph"/>
        <w:widowControl/>
      </w:pPr>
    </w:p>
    <w:p w:rsidR="00915259" w:rsidRPr="00B364B6" w:rsidP="000B4A49" w14:paraId="31EA3B67" w14:textId="3F4D8633">
      <w:pPr>
        <w:pStyle w:val="ListParagraph"/>
        <w:widowControl/>
        <w:rPr>
          <w:i/>
          <w:iCs/>
        </w:rPr>
      </w:pPr>
      <w:bookmarkStart w:id="3" w:name="_Hlk140762381"/>
      <w:r w:rsidRPr="00B364B6">
        <w:rPr>
          <w:i/>
          <w:iCs/>
        </w:rPr>
        <w:t>State Grants</w:t>
      </w:r>
    </w:p>
    <w:p w:rsidR="00037C36" w:rsidP="009D0E5D" w14:paraId="314E4E09" w14:textId="48EAF1CF">
      <w:pPr>
        <w:pStyle w:val="ListParagraph"/>
        <w:widowControl/>
        <w:numPr>
          <w:ilvl w:val="0"/>
          <w:numId w:val="3"/>
        </w:numPr>
      </w:pPr>
      <w:r w:rsidRPr="00843966">
        <w:t>Section 503</w:t>
      </w:r>
      <w:r>
        <w:t xml:space="preserve">, </w:t>
      </w:r>
      <w:r w:rsidRPr="00843966">
        <w:t>the Mine Act, as amended</w:t>
      </w:r>
      <w:r w:rsidR="00A14CB6">
        <w:t>, 30 U.S.C. 953</w:t>
      </w:r>
      <w:r>
        <w:t xml:space="preserve"> - </w:t>
      </w:r>
      <w:r w:rsidRPr="00DB166D">
        <w:t xml:space="preserve">Assistance </w:t>
      </w:r>
      <w:r>
        <w:t>t</w:t>
      </w:r>
      <w:r w:rsidRPr="00DB166D">
        <w:t xml:space="preserve">o </w:t>
      </w:r>
      <w:r w:rsidR="000B4A49">
        <w:t>S</w:t>
      </w:r>
      <w:r w:rsidRPr="00DB166D">
        <w:t>tates</w:t>
      </w:r>
      <w:r w:rsidR="000B4A49">
        <w:t>.</w:t>
      </w:r>
    </w:p>
    <w:p w:rsidR="0020626D" w:rsidP="00DB166D" w14:paraId="33211C53" w14:textId="77777777">
      <w:pPr>
        <w:widowControl/>
      </w:pPr>
    </w:p>
    <w:p w:rsidR="00915259" w:rsidRPr="00330534" w:rsidP="00B364B6" w14:paraId="360B5D3F" w14:textId="63C6C83C">
      <w:pPr>
        <w:pStyle w:val="ListParagraph"/>
        <w:widowControl/>
        <w:rPr>
          <w:i/>
          <w:iCs/>
        </w:rPr>
      </w:pPr>
      <w:r>
        <w:rPr>
          <w:i/>
          <w:iCs/>
        </w:rPr>
        <w:t>Brookwood-Sago Mine Safety Grant</w:t>
      </w:r>
      <w:r w:rsidRPr="00330534">
        <w:rPr>
          <w:i/>
          <w:iCs/>
        </w:rPr>
        <w:t>s</w:t>
      </w:r>
    </w:p>
    <w:p w:rsidR="0035453B" w:rsidP="009D0E5D" w14:paraId="346F6718" w14:textId="784B721B">
      <w:pPr>
        <w:pStyle w:val="ListParagraph"/>
        <w:widowControl/>
        <w:numPr>
          <w:ilvl w:val="0"/>
          <w:numId w:val="3"/>
        </w:numPr>
      </w:pPr>
      <w:r>
        <w:t xml:space="preserve">Section 14, the </w:t>
      </w:r>
      <w:r w:rsidRPr="000C1361">
        <w:t>Mine Improvement and New Emergency Response Act (MINER Act)</w:t>
      </w:r>
      <w:r w:rsidR="00A14CB6">
        <w:t>,</w:t>
      </w:r>
      <w:r>
        <w:t xml:space="preserve"> </w:t>
      </w:r>
      <w:r w:rsidRPr="00433D7F" w:rsidR="00A14CB6">
        <w:t>30 U.S.C</w:t>
      </w:r>
      <w:r w:rsidR="00A14CB6">
        <w:t xml:space="preserve">. </w:t>
      </w:r>
      <w:r w:rsidRPr="00433D7F" w:rsidR="00A14CB6">
        <w:t>965</w:t>
      </w:r>
      <w:r w:rsidR="00A14CB6">
        <w:t xml:space="preserve"> </w:t>
      </w:r>
      <w:r>
        <w:t xml:space="preserve">- </w:t>
      </w:r>
      <w:r w:rsidRPr="000B4A49">
        <w:t>Brookwood-Sago Mine Safety Grants.</w:t>
      </w:r>
    </w:p>
    <w:bookmarkEnd w:id="1"/>
    <w:bookmarkEnd w:id="3"/>
    <w:p w:rsidR="00734A84" w:rsidP="1F0F7660" w14:paraId="30EBF417" w14:textId="77777777">
      <w:pPr>
        <w:widowControl/>
        <w:rPr>
          <w:b/>
          <w:bCs/>
          <w:color w:val="000000" w:themeColor="text1"/>
        </w:rPr>
      </w:pPr>
    </w:p>
    <w:p w:rsidR="00734A84" w:rsidP="1F0F7660" w14:paraId="024224EE" w14:textId="77777777">
      <w:pPr>
        <w:widowControl/>
        <w:rPr>
          <w:b/>
          <w:bCs/>
          <w:color w:val="000000" w:themeColor="text1"/>
        </w:rPr>
      </w:pPr>
      <w:r w:rsidRPr="00863256">
        <w:rPr>
          <w:b/>
          <w:bCs/>
          <w:color w:val="000000" w:themeColor="text1"/>
          <w:u w:val="single"/>
        </w:rPr>
        <w:t>Collection Instrument(s)</w:t>
      </w:r>
      <w:r w:rsidRPr="00B77579">
        <w:rPr>
          <w:b/>
          <w:bCs/>
          <w:color w:val="000000" w:themeColor="text1"/>
        </w:rPr>
        <w:t xml:space="preserve">: </w:t>
      </w:r>
    </w:p>
    <w:p w:rsidR="00734A84" w:rsidRPr="00863256" w:rsidP="009D0E5D" w14:paraId="0D80294F" w14:textId="3E968320">
      <w:pPr>
        <w:pStyle w:val="ListParagraph"/>
        <w:widowControl/>
        <w:numPr>
          <w:ilvl w:val="0"/>
          <w:numId w:val="4"/>
        </w:numPr>
        <w:rPr>
          <w:color w:val="000000" w:themeColor="text1"/>
        </w:rPr>
      </w:pPr>
      <w:r w:rsidRPr="00B77579">
        <w:t xml:space="preserve">MSHA Performance Report Narratives </w:t>
      </w:r>
    </w:p>
    <w:p w:rsidR="00861DA8" w:rsidRPr="00734A84" w:rsidP="009D0E5D" w14:paraId="02EA8C52" w14:textId="462D217A">
      <w:pPr>
        <w:pStyle w:val="ListParagraph"/>
        <w:widowControl/>
        <w:numPr>
          <w:ilvl w:val="0"/>
          <w:numId w:val="4"/>
        </w:numPr>
        <w:rPr>
          <w:color w:val="000000" w:themeColor="text1"/>
        </w:rPr>
      </w:pPr>
      <w:r w:rsidRPr="00B77579">
        <w:t xml:space="preserve">MSHA </w:t>
      </w:r>
      <w:r w:rsidRPr="00B77579" w:rsidR="009B7902">
        <w:t>Form</w:t>
      </w:r>
      <w:r w:rsidR="009B7902">
        <w:t xml:space="preserve"> 5000-50</w:t>
      </w:r>
      <w:r w:rsidR="000A42D5">
        <w:t>,</w:t>
      </w:r>
      <w:r w:rsidR="009B7902">
        <w:t xml:space="preserve"> </w:t>
      </w:r>
      <w:r w:rsidRPr="00B77579">
        <w:t xml:space="preserve">State Grant Program </w:t>
      </w:r>
      <w:r w:rsidR="009B7902">
        <w:t xml:space="preserve">Progress </w:t>
      </w:r>
      <w:r w:rsidRPr="00B77579">
        <w:t xml:space="preserve">Report </w:t>
      </w:r>
    </w:p>
    <w:p w:rsidR="00DB3045" w:rsidRPr="00734A84" w:rsidP="00CC7F1A" w14:paraId="4A511A96" w14:textId="77777777">
      <w:pPr>
        <w:widowControl/>
        <w:rPr>
          <w:bCs/>
          <w:color w:val="000000"/>
        </w:rPr>
      </w:pPr>
    </w:p>
    <w:p w:rsidR="00EB24E4" w:rsidRPr="00863256" w:rsidP="00EB24E4" w14:paraId="2475DB63" w14:textId="77777777">
      <w:pPr>
        <w:widowControl/>
        <w:rPr>
          <w:bCs/>
          <w:color w:val="000000"/>
        </w:rPr>
      </w:pPr>
    </w:p>
    <w:p w:rsidR="000E4A65" w:rsidRPr="00EB24E4" w:rsidP="00EB24E4" w14:paraId="586E3836" w14:textId="77777777">
      <w:pPr>
        <w:widowControl/>
        <w:rPr>
          <w:b/>
          <w:bCs/>
          <w:color w:val="000000"/>
        </w:rPr>
      </w:pPr>
      <w:r w:rsidRPr="00EB24E4">
        <w:rPr>
          <w:b/>
          <w:bCs/>
          <w:color w:val="000000"/>
        </w:rPr>
        <w:t>A. Justification</w:t>
      </w:r>
    </w:p>
    <w:p w:rsidR="003C061D" w:rsidRPr="00B77579" w:rsidP="00CC7F1A" w14:paraId="176F41E4" w14:textId="77777777">
      <w:pPr>
        <w:widowControl/>
        <w:rPr>
          <w:b/>
          <w:bCs/>
          <w:color w:val="000000"/>
        </w:rPr>
      </w:pPr>
    </w:p>
    <w:p w:rsidR="00CE7E93" w:rsidRPr="004A720B" w:rsidP="004A720B" w14:paraId="223F8C3D" w14:textId="77777777">
      <w:pPr>
        <w:pStyle w:val="ListParagraph"/>
        <w:widowControl/>
        <w:ind w:left="0"/>
        <w:rPr>
          <w:b/>
          <w:bCs/>
          <w:color w:val="000000"/>
        </w:rPr>
      </w:pPr>
      <w:r>
        <w:rPr>
          <w:b/>
          <w:bCs/>
          <w:color w:val="000000"/>
        </w:rPr>
        <w:t xml:space="preserve">1.  </w:t>
      </w:r>
      <w:r w:rsidRPr="004A720B" w:rsidR="00CC4ADC">
        <w:rPr>
          <w:b/>
          <w:bCs/>
          <w:color w:val="000000"/>
        </w:rPr>
        <w:t>Explain the circumstances that make the collection of i</w:t>
      </w:r>
      <w:r w:rsidRPr="00F065E8">
        <w:rPr>
          <w:b/>
          <w:bCs/>
          <w:color w:val="000000"/>
        </w:rPr>
        <w:t xml:space="preserve">nformation necessary.  Identify </w:t>
      </w:r>
      <w:r w:rsidRPr="004A720B" w:rsidR="00CC4ADC">
        <w:rPr>
          <w:b/>
          <w:bCs/>
          <w:color w:val="000000"/>
        </w:rPr>
        <w:t>any legal or administrative requirements that necessitate the collection.  Attach a copy of the appropriate section of each statute and regulation mandating or authorizing the collection of information.</w:t>
      </w:r>
    </w:p>
    <w:p w:rsidR="003C061D" w:rsidRPr="00B77579" w:rsidP="00CC7F1A" w14:paraId="7AF3D3C7" w14:textId="77777777">
      <w:pPr>
        <w:widowControl/>
        <w:rPr>
          <w:color w:val="000000"/>
        </w:rPr>
      </w:pPr>
    </w:p>
    <w:p w:rsidR="00AD79CA" w:rsidP="008260C4" w14:paraId="6EC81EC6" w14:textId="0E518386">
      <w:pPr>
        <w:widowControl/>
        <w:rPr>
          <w:color w:val="000000" w:themeColor="text1"/>
        </w:rPr>
      </w:pPr>
      <w:r w:rsidRPr="00AD79CA">
        <w:rPr>
          <w:color w:val="000000" w:themeColor="text1"/>
        </w:rPr>
        <w:t xml:space="preserve">Section 103(h) of the Federal Mine Safety and Health Act of 1977, as amended (Mine Act), 30 U.S.C. 813(h), authorizes MSHA to collect information necessary to carry out its duty in protecting the safety and health of miners. Further, section 101(a) of the Mine Act, 30 U.S.C. </w:t>
      </w:r>
      <w:r w:rsidRPr="00AD79CA">
        <w:rPr>
          <w:color w:val="000000" w:themeColor="text1"/>
        </w:rPr>
        <w:t>811(a), authorizes the Secretary of Labor (Secretary) to develop, promulgate, and revise as may be appropriate, improved mandatory health or safety standards for the protection of life and prevention of injuries in coal and metal and nonmetal mines.</w:t>
      </w:r>
    </w:p>
    <w:p w:rsidR="008260C4" w:rsidP="008260C4" w14:paraId="1E2CAAB5" w14:textId="63953967">
      <w:pPr>
        <w:widowControl/>
        <w:rPr>
          <w:color w:val="000000" w:themeColor="text1"/>
        </w:rPr>
      </w:pPr>
      <w:r w:rsidRPr="008260C4">
        <w:rPr>
          <w:color w:val="000000" w:themeColor="text1"/>
        </w:rPr>
        <w:t xml:space="preserve"> </w:t>
      </w:r>
    </w:p>
    <w:p w:rsidR="00AD79CA" w:rsidP="008260C4" w14:paraId="732E9881" w14:textId="77777777">
      <w:pPr>
        <w:widowControl/>
        <w:rPr>
          <w:color w:val="000000" w:themeColor="text1"/>
        </w:rPr>
      </w:pPr>
      <w:r w:rsidRPr="00AD79CA">
        <w:rPr>
          <w:color w:val="000000" w:themeColor="text1"/>
        </w:rPr>
        <w:tab/>
        <w:t xml:space="preserve">MSHA works to prevent death, illness, and injury from mining and to promote safe and healthful workplaces for U.S. miners. Section 115 of the Mine Act, 30 U.S.C. 825, requires MSHA to approve mine operators' health and safety training programs for miners. MSHA administers two grant programs: State Grants and Brookwood-Sago Mine Safety Grants. The grant programs provide training for individuals, miners, employers, and contractors in the recognition, avoidance, and prevention of unsafe and unhealthful working conditions in accordance with section 503 of the Mine Act, 30 U.S.C. 953, and section 14 of the Mine Improvement and New Emergency Response Act of 2006 (MINER Act), 30 U.S.C. 965.  </w:t>
      </w:r>
    </w:p>
    <w:p w:rsidR="00C047D7" w:rsidRPr="00B77579" w:rsidP="008260C4" w14:paraId="3C9D9D15" w14:textId="11B8A214">
      <w:pPr>
        <w:widowControl/>
        <w:rPr>
          <w:color w:val="000000"/>
        </w:rPr>
      </w:pPr>
      <w:r w:rsidRPr="008260C4">
        <w:rPr>
          <w:color w:val="000000" w:themeColor="text1"/>
        </w:rPr>
        <w:t xml:space="preserve"> </w:t>
      </w:r>
    </w:p>
    <w:p w:rsidR="00734A84" w:rsidRPr="00F308D0" w:rsidP="00734A84" w14:paraId="56A25B88" w14:textId="77777777">
      <w:pPr>
        <w:widowControl/>
        <w:rPr>
          <w:b/>
          <w:bCs/>
          <w:i/>
          <w:iCs/>
          <w:u w:val="single"/>
        </w:rPr>
      </w:pPr>
      <w:r w:rsidRPr="00F308D0">
        <w:rPr>
          <w:b/>
          <w:bCs/>
          <w:i/>
          <w:iCs/>
          <w:u w:val="single"/>
        </w:rPr>
        <w:t>State Grant</w:t>
      </w:r>
      <w:r>
        <w:rPr>
          <w:b/>
          <w:bCs/>
          <w:i/>
          <w:iCs/>
          <w:u w:val="single"/>
        </w:rPr>
        <w:t>s</w:t>
      </w:r>
    </w:p>
    <w:p w:rsidR="008260C4" w:rsidP="008260C4" w14:paraId="779CEBB9" w14:textId="4E787DBD">
      <w:pPr>
        <w:widowControl/>
      </w:pPr>
      <w:bookmarkStart w:id="4" w:name="_Hlk137192924"/>
      <w:r w:rsidRPr="00AD79CA">
        <w:t xml:space="preserve">Under section 503 of the Mine Act, 30 U.S.C. 953, the Secretary may award grants to States to assist in developing and enforcing State mine health and safety laws and regulations, to improve State workers’ compensation and mining occupational disease laws and programs, and to improve health and safety conditions in the Nation’s mines through Federal-State coordination and cooperation. Any State in which mining takes place may apply for the State Grants. 30 U.S.C. 953(g) requires that MSHA may fund up to 80 percent of the State Grants activities and a Grant recipient must provide matching funds of no less than 20 percent of the total costs. This Grant program supports federally mandated training of miners and mine operators working at surface and underground coal, metal, and nonmetal mines. 30 U.S.C. 953(e) of the Mine Act also allows the program to train State inspectors.  </w:t>
      </w:r>
    </w:p>
    <w:p w:rsidR="00AD79CA" w:rsidP="008260C4" w14:paraId="67AB9640" w14:textId="77777777">
      <w:pPr>
        <w:widowControl/>
      </w:pPr>
    </w:p>
    <w:p w:rsidR="00AD79CA" w:rsidP="00D70A46" w14:paraId="692EC8B9" w14:textId="77777777">
      <w:pPr>
        <w:widowControl/>
        <w:tabs>
          <w:tab w:val="left" w:pos="1080"/>
        </w:tabs>
      </w:pPr>
      <w:r w:rsidRPr="00AD79CA">
        <w:t>MSHA recognizes that State training programs are a key source of mine safety and health training and education for individuals who work or will work at mines. MSHA encourages State training programs to prioritize health and safety training for small mining operations and underserved mines and miners within the mining industry, and to prioritize diversity, equity, inclusion, and accessibility. MSHA has recently expanded the priority to include underserved operators and miners including limited English proficient (LEP) and low literacy individuals.</w:t>
      </w:r>
    </w:p>
    <w:p w:rsidR="00AD79CA" w:rsidP="00D70A46" w14:paraId="5925E8D2" w14:textId="77777777">
      <w:pPr>
        <w:widowControl/>
        <w:tabs>
          <w:tab w:val="left" w:pos="1080"/>
        </w:tabs>
      </w:pPr>
    </w:p>
    <w:p w:rsidR="002133C5" w:rsidP="00734A84" w14:paraId="7F24D1F1" w14:textId="6C4A5895">
      <w:pPr>
        <w:widowControl/>
      </w:pPr>
      <w:bookmarkStart w:id="5" w:name="_Hlk137193340"/>
      <w:bookmarkEnd w:id="4"/>
      <w:r w:rsidRPr="00AD79CA">
        <w:t xml:space="preserve">MSHA supports programs that emphasize training on miners’ statutory rights, including the right to be provided a safe working environment, to refuse an unsafe task, and to have a voice in the safety and health conditions at the mine. In particular, MSHA encourages grant recipients to address, in their training and education programs, occupational health hazards caused by exposures to respirable coal mine dust and respirable crystalline silica, powered haulage and mobile equipment safety, mine emergency preparedness, mine rescue, electrical safety, contract and customer truck drivers, improving training for new and inexperienced miners, managers and </w:t>
      </w:r>
      <w:r w:rsidRPr="00AD79CA">
        <w:t>supervisors performing mining tasks, pillar safety for underground mines, and preventing falls from heights.</w:t>
      </w:r>
    </w:p>
    <w:p w:rsidR="00AD79CA" w:rsidP="00734A84" w14:paraId="43B04DCD" w14:textId="77777777">
      <w:pPr>
        <w:widowControl/>
      </w:pPr>
    </w:p>
    <w:bookmarkEnd w:id="5"/>
    <w:p w:rsidR="0035453B" w:rsidRPr="00F308D0" w:rsidP="0035453B" w14:paraId="7FE8355A" w14:textId="0FC06042">
      <w:pPr>
        <w:widowControl/>
        <w:rPr>
          <w:b/>
          <w:bCs/>
          <w:i/>
          <w:iCs/>
          <w:u w:val="single"/>
        </w:rPr>
      </w:pPr>
      <w:r>
        <w:rPr>
          <w:b/>
          <w:bCs/>
          <w:i/>
          <w:iCs/>
          <w:u w:val="single"/>
        </w:rPr>
        <w:t>Brookwood-Sago</w:t>
      </w:r>
      <w:r w:rsidRPr="00F308D0">
        <w:rPr>
          <w:b/>
          <w:bCs/>
          <w:i/>
          <w:iCs/>
          <w:u w:val="single"/>
        </w:rPr>
        <w:t xml:space="preserve"> </w:t>
      </w:r>
      <w:r w:rsidR="000C2AE7">
        <w:rPr>
          <w:b/>
          <w:bCs/>
          <w:i/>
          <w:iCs/>
          <w:u w:val="single"/>
        </w:rPr>
        <w:t xml:space="preserve">Mine Safety </w:t>
      </w:r>
      <w:r w:rsidRPr="00F308D0">
        <w:rPr>
          <w:b/>
          <w:bCs/>
          <w:i/>
          <w:iCs/>
          <w:u w:val="single"/>
        </w:rPr>
        <w:t>Grant</w:t>
      </w:r>
      <w:r>
        <w:rPr>
          <w:b/>
          <w:bCs/>
          <w:i/>
          <w:iCs/>
          <w:u w:val="single"/>
        </w:rPr>
        <w:t>s</w:t>
      </w:r>
    </w:p>
    <w:p w:rsidR="008260C4" w:rsidP="008260C4" w14:paraId="3BEA0D16" w14:textId="635200F9">
      <w:pPr>
        <w:widowControl/>
      </w:pPr>
      <w:r w:rsidRPr="00AD79CA">
        <w:t>Section 14 of the MINER Act, 30 U.S.C. 965, established the Brookwood-Sago Mine Safety Grants. This competitive grant program provides funding for education and training programs to better identify, avoid, and prevent unsafe working conditions in and around mines. Grantees can use these funds to establish and implement education and training programs or to create training materials and programs on MSHA-identified safety priorities. Funds can also be used to develop and implement training and related materials for mine emergency preparedness as well as for the prevention of accidents in underground mines.</w:t>
      </w:r>
    </w:p>
    <w:p w:rsidR="00AD79CA" w:rsidP="008260C4" w14:paraId="701150B4" w14:textId="77777777">
      <w:pPr>
        <w:widowControl/>
      </w:pPr>
    </w:p>
    <w:p w:rsidR="000C2AE7" w:rsidP="008260C4" w14:paraId="58E0FB17" w14:textId="6B98E1C8">
      <w:pPr>
        <w:widowControl/>
      </w:pPr>
      <w:r w:rsidRPr="00AD79CA">
        <w:t>MSHA expects Brookwood-Sago Mine Safety grantees to develop training or educational materials and/or provide mine safety training or educational programs, to recruit mine operators and miners to participate in training, and to conduct and evaluate the training program. 30 U.S.C. 965 mandates that the Secretary must emphasize programs and materials that target smaller mines, including training mine operators and miners about new MSHA standards, high risk activities, or hazards. The Brookwood-Sago Mine Safety Grants give priority to the funding of pilot and demonstration projects that will provide opportunities for broad applicability for mine safety. Special attention will also be given to programs and materials that serve underserved mines and miners within the mining industry, and that prioritize diversity, equity, inclusion, and accessibility.</w:t>
      </w:r>
    </w:p>
    <w:p w:rsidR="000C2AE7" w:rsidP="008260C4" w14:paraId="031F14A0" w14:textId="77777777">
      <w:pPr>
        <w:widowControl/>
      </w:pPr>
    </w:p>
    <w:p w:rsidR="000C2AE7" w:rsidP="008260C4" w14:paraId="7045F223" w14:textId="7B6FEDBA">
      <w:pPr>
        <w:widowControl/>
      </w:pPr>
      <w:r w:rsidRPr="00AD79CA">
        <w:t>30 U.S.C. 965 also requires the Brookwood-Sago Mine Safety Grants to conduct follow-up evaluations with the people who received the provided training to measure how the training promotes the DOL’s strategic goal to “Ensure Safe Jobs, Essential Protections, and Fair Workplaces,” and MSHA’s goal to “prevent fatalities, disease, and injury from mining, and secure safe and healthful working conditions for America’s miners.” Evaluations will focus on determining how effective the subject training was in either reducing hazards, improving miners’ skills, or in improving safety and health conditions in mines. Grantees must also fully cooperate with MSHA evaluators, which may include providing MSHA evaluators relevant data, educational or training materials, or information on training methods and equipment</w:t>
      </w:r>
      <w:r w:rsidRPr="000C2AE7">
        <w:t>.</w:t>
      </w:r>
    </w:p>
    <w:p w:rsidR="000C2AE7" w:rsidP="008260C4" w14:paraId="7D745E4E" w14:textId="77777777">
      <w:pPr>
        <w:widowControl/>
      </w:pPr>
    </w:p>
    <w:p w:rsidR="003622A3" w:rsidP="00882ECE" w14:paraId="6374431B" w14:textId="30A4D6BD">
      <w:pPr>
        <w:widowControl/>
        <w:rPr>
          <w:color w:val="000000"/>
        </w:rPr>
      </w:pPr>
      <w:r w:rsidRPr="00AD79CA">
        <w:t>Under both State Grants and Brookwood-Sago Mine Safety Grants programs, each grantee is required by U.S. DOL regulations to submit quarterly performance reports for the preceding 3-month period; and a final report no later than 90 days after the end of the grant period. Grantees of State Grants program have an additional requirement of submitting MSHA Form 5000-50, State Grants Progress Report, on a quarterly basis</w:t>
      </w:r>
      <w:r w:rsidRPr="003622A3">
        <w:rPr>
          <w:color w:val="000000"/>
        </w:rPr>
        <w:t>.</w:t>
      </w:r>
    </w:p>
    <w:p w:rsidR="000A4709" w:rsidP="00882ECE" w14:paraId="1FEDA5DE" w14:textId="77777777">
      <w:pPr>
        <w:widowControl/>
        <w:rPr>
          <w:color w:val="000000"/>
        </w:rPr>
      </w:pPr>
    </w:p>
    <w:p w:rsidR="000C2AE7" w:rsidP="00882ECE" w14:paraId="09DBE071" w14:textId="03054107">
      <w:pPr>
        <w:widowControl/>
        <w:rPr>
          <w:color w:val="000000"/>
        </w:rPr>
      </w:pPr>
      <w:r w:rsidRPr="000C2AE7">
        <w:rPr>
          <w:color w:val="000000"/>
        </w:rPr>
        <w:t>The required content of each report is specified in the funding opportunity announcement (FOA) of each grant program.</w:t>
      </w:r>
    </w:p>
    <w:p w:rsidR="00882ECE" w:rsidRPr="00B77579" w:rsidP="00882ECE" w14:paraId="28B36044" w14:textId="6E7171B0">
      <w:pPr>
        <w:widowControl/>
        <w:rPr>
          <w:color w:val="000000"/>
        </w:rPr>
      </w:pPr>
    </w:p>
    <w:p w:rsidR="00307E78" w:rsidRPr="00404FF4" w:rsidP="00404FF4" w14:paraId="218E3FA4" w14:textId="151510A2">
      <w:pPr>
        <w:widowControl/>
        <w:rPr>
          <w:b/>
          <w:color w:val="000000"/>
        </w:rPr>
      </w:pPr>
      <w:r>
        <w:rPr>
          <w:b/>
          <w:bCs/>
          <w:color w:val="000000"/>
          <w:sz w:val="23"/>
          <w:szCs w:val="23"/>
        </w:rPr>
        <w:t>(1)</w:t>
      </w:r>
      <w:r w:rsidR="00404FF4">
        <w:rPr>
          <w:b/>
          <w:bCs/>
          <w:color w:val="000000"/>
          <w:sz w:val="23"/>
          <w:szCs w:val="23"/>
        </w:rPr>
        <w:t xml:space="preserve"> </w:t>
      </w:r>
      <w:r w:rsidRPr="00404FF4">
        <w:rPr>
          <w:b/>
          <w:color w:val="000000"/>
        </w:rPr>
        <w:t>Performance</w:t>
      </w:r>
      <w:r w:rsidRPr="00404FF4" w:rsidR="00882ECE">
        <w:rPr>
          <w:b/>
          <w:color w:val="000000"/>
        </w:rPr>
        <w:t xml:space="preserve"> Reports</w:t>
      </w:r>
    </w:p>
    <w:p w:rsidR="005C62A2" w:rsidRPr="005C62A2" w:rsidP="005C62A2" w14:paraId="54A9EA4A" w14:textId="19C5B2EF">
      <w:pPr>
        <w:widowControl/>
        <w:rPr>
          <w:color w:val="000000" w:themeColor="text1"/>
        </w:rPr>
      </w:pPr>
      <w:r w:rsidRPr="00AD79CA">
        <w:rPr>
          <w:color w:val="000000"/>
        </w:rPr>
        <w:t>A grantee submits a quarterly performance project report to MSHA no later than 30 days after the deadlines. The performance report needs to contain a narrative assessment of performance under the grants and to include both quantitative and qualitative information. The narrative assessment includes the summary of progress over the previous 3 months, submitted in an open free format of the grantee’s choice. Specifically, the narrative reports contain the following information</w:t>
      </w:r>
      <w:r w:rsidRPr="005C62A2">
        <w:rPr>
          <w:color w:val="000000" w:themeColor="text1"/>
        </w:rPr>
        <w:t xml:space="preserve">:  </w:t>
      </w:r>
    </w:p>
    <w:p w:rsidR="005C62A2" w:rsidRPr="005C62A2" w:rsidP="005C62A2" w14:paraId="158E023C" w14:textId="77777777">
      <w:pPr>
        <w:widowControl/>
        <w:rPr>
          <w:color w:val="000000" w:themeColor="text1"/>
        </w:rPr>
      </w:pPr>
    </w:p>
    <w:p w:rsidR="005C62A2" w:rsidRPr="00863256" w:rsidP="009D0E5D" w14:paraId="03F87A1D" w14:textId="19AAE490">
      <w:pPr>
        <w:pStyle w:val="ListParagraph"/>
        <w:widowControl/>
        <w:numPr>
          <w:ilvl w:val="0"/>
          <w:numId w:val="5"/>
        </w:numPr>
        <w:rPr>
          <w:color w:val="000000" w:themeColor="text1"/>
        </w:rPr>
      </w:pPr>
      <w:r w:rsidRPr="005B67DA">
        <w:t>A comparison of actual accomplishments to the objectives established for the period</w:t>
      </w:r>
      <w:r w:rsidRPr="00863256">
        <w:rPr>
          <w:color w:val="000000" w:themeColor="text1"/>
        </w:rPr>
        <w:t>.</w:t>
      </w:r>
    </w:p>
    <w:p w:rsidR="005C62A2" w:rsidRPr="00863256" w:rsidP="009D0E5D" w14:paraId="6E71547E" w14:textId="63B333DB">
      <w:pPr>
        <w:pStyle w:val="ListParagraph"/>
        <w:widowControl/>
        <w:numPr>
          <w:ilvl w:val="0"/>
          <w:numId w:val="5"/>
        </w:numPr>
        <w:rPr>
          <w:color w:val="000000" w:themeColor="text1"/>
        </w:rPr>
      </w:pPr>
      <w:r w:rsidRPr="005B67DA">
        <w:t xml:space="preserve">Reasons for any objectives </w:t>
      </w:r>
      <w:r>
        <w:t xml:space="preserve">that are </w:t>
      </w:r>
      <w:r w:rsidRPr="005B67DA">
        <w:t>not met</w:t>
      </w:r>
      <w:r w:rsidRPr="00863256">
        <w:rPr>
          <w:color w:val="000000" w:themeColor="text1"/>
        </w:rPr>
        <w:t>.</w:t>
      </w:r>
    </w:p>
    <w:p w:rsidR="005C62A2" w:rsidRPr="00863256" w:rsidP="009D0E5D" w14:paraId="0CC35B31" w14:textId="1A679EAA">
      <w:pPr>
        <w:pStyle w:val="ListParagraph"/>
        <w:widowControl/>
        <w:numPr>
          <w:ilvl w:val="0"/>
          <w:numId w:val="5"/>
        </w:numPr>
        <w:rPr>
          <w:color w:val="000000" w:themeColor="text1"/>
        </w:rPr>
      </w:pPr>
      <w:r>
        <w:t>A d</w:t>
      </w:r>
      <w:r w:rsidRPr="005B67DA">
        <w:t xml:space="preserve">escription of any significant developments or problems affecting the </w:t>
      </w:r>
      <w:r>
        <w:t>grantee</w:t>
      </w:r>
      <w:r w:rsidRPr="005B67DA">
        <w:t>’s ability to accomplish the work</w:t>
      </w:r>
      <w:r w:rsidRPr="00863256">
        <w:rPr>
          <w:color w:val="000000" w:themeColor="text1"/>
        </w:rPr>
        <w:t xml:space="preserve">. </w:t>
      </w:r>
    </w:p>
    <w:p w:rsidR="00C944BB" w:rsidP="009D0E5D" w14:paraId="1D321DF8" w14:textId="2D111091">
      <w:pPr>
        <w:pStyle w:val="ListParagraph"/>
        <w:widowControl/>
        <w:numPr>
          <w:ilvl w:val="0"/>
          <w:numId w:val="5"/>
        </w:numPr>
        <w:rPr>
          <w:color w:val="000000" w:themeColor="text1"/>
        </w:rPr>
      </w:pPr>
      <w:r w:rsidRPr="005B67DA">
        <w:t>An evaluation of the impact or results of the program's activities</w:t>
      </w:r>
      <w:r w:rsidRPr="00863256" w:rsidR="005C62A2">
        <w:rPr>
          <w:color w:val="000000" w:themeColor="text1"/>
        </w:rPr>
        <w:t>.</w:t>
      </w:r>
      <w:r w:rsidRPr="00C944BB">
        <w:rPr>
          <w:color w:val="000000" w:themeColor="text1"/>
        </w:rPr>
        <w:t xml:space="preserve"> </w:t>
      </w:r>
    </w:p>
    <w:p w:rsidR="00377BF6" w:rsidRPr="005B67DA" w:rsidP="00377BF6" w14:paraId="5572C62E" w14:textId="7BB43C18">
      <w:pPr>
        <w:pStyle w:val="ListParagraph"/>
        <w:widowControl/>
        <w:numPr>
          <w:ilvl w:val="0"/>
          <w:numId w:val="5"/>
        </w:numPr>
      </w:pPr>
      <w:r>
        <w:t>An explanation of c</w:t>
      </w:r>
      <w:r w:rsidRPr="005B67DA">
        <w:t>urrent grant progress against the overall grant goals.</w:t>
      </w:r>
    </w:p>
    <w:p w:rsidR="00377BF6" w:rsidP="005C62A2" w14:paraId="5D09A103" w14:textId="77777777">
      <w:pPr>
        <w:widowControl/>
        <w:rPr>
          <w:color w:val="000000" w:themeColor="text1"/>
        </w:rPr>
      </w:pPr>
    </w:p>
    <w:p w:rsidR="004554E5" w:rsidP="005C62A2" w14:paraId="09ED4527" w14:textId="74467B0E">
      <w:pPr>
        <w:widowControl/>
        <w:rPr>
          <w:color w:val="000000" w:themeColor="text1"/>
        </w:rPr>
      </w:pPr>
      <w:r w:rsidRPr="00C82239">
        <w:rPr>
          <w:color w:val="000000" w:themeColor="text1"/>
        </w:rPr>
        <w:t>In addition, the grantees are required to submit quarterly financial reports on the status of all funds awarded, matching funds, and, if applicable, program income received and expended, during the funding period</w:t>
      </w:r>
      <w:r>
        <w:rPr>
          <w:color w:val="000000" w:themeColor="text1"/>
        </w:rPr>
        <w:t xml:space="preserve">. The grantees are required to </w:t>
      </w:r>
      <w:r w:rsidRPr="004554E5">
        <w:rPr>
          <w:color w:val="000000" w:themeColor="text1"/>
        </w:rPr>
        <w:t>use the government-wide SF-425 form, Federal Financial Report (OMB Control No. 4040-0014, Exp. Date: 02/28/2025)</w:t>
      </w:r>
      <w:r>
        <w:rPr>
          <w:color w:val="000000" w:themeColor="text1"/>
        </w:rPr>
        <w:t xml:space="preserve"> for financial reports. </w:t>
      </w:r>
      <w:r w:rsidRPr="004554E5">
        <w:rPr>
          <w:color w:val="000000" w:themeColor="text1"/>
        </w:rPr>
        <w:t>All reports are due no later than 30 days after the end of the reporting period.</w:t>
      </w:r>
    </w:p>
    <w:p w:rsidR="004554E5" w:rsidP="005C62A2" w14:paraId="458EEE69" w14:textId="77777777">
      <w:pPr>
        <w:widowControl/>
        <w:rPr>
          <w:color w:val="000000" w:themeColor="text1"/>
        </w:rPr>
      </w:pPr>
    </w:p>
    <w:p w:rsidR="00C82239" w:rsidP="005C62A2" w14:paraId="17EA07E3" w14:textId="64A176EC">
      <w:pPr>
        <w:widowControl/>
        <w:rPr>
          <w:color w:val="000000" w:themeColor="text1"/>
        </w:rPr>
      </w:pPr>
      <w:r w:rsidRPr="00C82239">
        <w:rPr>
          <w:color w:val="000000" w:themeColor="text1"/>
        </w:rPr>
        <w:t xml:space="preserve">Between reporting dates, the grantee </w:t>
      </w:r>
      <w:bookmarkStart w:id="6" w:name="_Hlk139009913"/>
      <w:r w:rsidR="006C22D8">
        <w:rPr>
          <w:color w:val="000000" w:themeColor="text1"/>
        </w:rPr>
        <w:t xml:space="preserve">also needs to </w:t>
      </w:r>
      <w:r>
        <w:rPr>
          <w:color w:val="000000" w:themeColor="text1"/>
        </w:rPr>
        <w:t xml:space="preserve">provide interim reports to </w:t>
      </w:r>
      <w:bookmarkEnd w:id="6"/>
      <w:r w:rsidRPr="00C82239">
        <w:rPr>
          <w:color w:val="000000" w:themeColor="text1"/>
        </w:rPr>
        <w:t xml:space="preserve">informs MSHA of significant developments or problems affecting the organization's ability to accomplish the work specified in the FOA. </w:t>
      </w:r>
    </w:p>
    <w:p w:rsidR="00142FE1" w:rsidRPr="00B77579" w:rsidP="5504840C" w14:paraId="7BB32C23" w14:textId="77777777">
      <w:pPr>
        <w:widowControl/>
        <w:rPr>
          <w:color w:val="000000" w:themeColor="text1"/>
        </w:rPr>
      </w:pPr>
    </w:p>
    <w:p w:rsidR="003F42F4" w:rsidRPr="00404FF4" w:rsidP="003F42F4" w14:paraId="4BA23E0B" w14:textId="061839E3">
      <w:pPr>
        <w:widowControl/>
        <w:rPr>
          <w:b/>
          <w:color w:val="000000"/>
        </w:rPr>
      </w:pPr>
      <w:r>
        <w:rPr>
          <w:b/>
          <w:color w:val="000000"/>
        </w:rPr>
        <w:t xml:space="preserve">(2) </w:t>
      </w:r>
      <w:r w:rsidRPr="00404FF4">
        <w:rPr>
          <w:b/>
          <w:color w:val="000000"/>
        </w:rPr>
        <w:t xml:space="preserve">Final Reports  </w:t>
      </w:r>
    </w:p>
    <w:p w:rsidR="003F42F4" w:rsidP="003F42F4" w14:paraId="2A32FE15" w14:textId="1B8CF693">
      <w:pPr>
        <w:widowControl/>
        <w:rPr>
          <w:color w:val="000000" w:themeColor="text1"/>
        </w:rPr>
      </w:pPr>
      <w:r w:rsidRPr="00B77579">
        <w:rPr>
          <w:color w:val="000000" w:themeColor="text1"/>
        </w:rPr>
        <w:t xml:space="preserve">At the end of the grant period, each grantee </w:t>
      </w:r>
      <w:r w:rsidR="006C22D8">
        <w:rPr>
          <w:color w:val="000000" w:themeColor="text1"/>
        </w:rPr>
        <w:t xml:space="preserve">is required to </w:t>
      </w:r>
      <w:r>
        <w:rPr>
          <w:color w:val="000000" w:themeColor="text1"/>
        </w:rPr>
        <w:t xml:space="preserve">need to </w:t>
      </w:r>
      <w:r w:rsidRPr="00B77579">
        <w:rPr>
          <w:color w:val="000000" w:themeColor="text1"/>
        </w:rPr>
        <w:t>provide</w:t>
      </w:r>
      <w:r>
        <w:rPr>
          <w:color w:val="000000" w:themeColor="text1"/>
        </w:rPr>
        <w:t>:</w:t>
      </w:r>
      <w:r w:rsidRPr="00B77579">
        <w:rPr>
          <w:color w:val="000000" w:themeColor="text1"/>
        </w:rPr>
        <w:t xml:space="preserve"> </w:t>
      </w:r>
    </w:p>
    <w:p w:rsidR="003F42F4" w:rsidP="003F42F4" w14:paraId="014A31C4" w14:textId="77777777">
      <w:pPr>
        <w:pStyle w:val="ListParagraph"/>
        <w:widowControl/>
        <w:numPr>
          <w:ilvl w:val="0"/>
          <w:numId w:val="6"/>
        </w:numPr>
        <w:rPr>
          <w:color w:val="000000" w:themeColor="text1"/>
        </w:rPr>
      </w:pPr>
      <w:r>
        <w:rPr>
          <w:color w:val="000000" w:themeColor="text1"/>
        </w:rPr>
        <w:t>A</w:t>
      </w:r>
      <w:r w:rsidRPr="00863256">
        <w:rPr>
          <w:color w:val="000000" w:themeColor="text1"/>
        </w:rPr>
        <w:t xml:space="preserve"> final close-out financial report</w:t>
      </w:r>
      <w:r>
        <w:rPr>
          <w:color w:val="000000" w:themeColor="text1"/>
        </w:rPr>
        <w:t>.</w:t>
      </w:r>
    </w:p>
    <w:p w:rsidR="003F42F4" w:rsidP="003F42F4" w14:paraId="1663E048" w14:textId="77777777">
      <w:pPr>
        <w:pStyle w:val="ListParagraph"/>
        <w:widowControl/>
        <w:numPr>
          <w:ilvl w:val="0"/>
          <w:numId w:val="6"/>
        </w:numPr>
        <w:rPr>
          <w:color w:val="000000" w:themeColor="text1"/>
        </w:rPr>
      </w:pPr>
      <w:r>
        <w:rPr>
          <w:color w:val="000000" w:themeColor="text1"/>
        </w:rPr>
        <w:t>A</w:t>
      </w:r>
      <w:r w:rsidRPr="00863256">
        <w:rPr>
          <w:color w:val="000000" w:themeColor="text1"/>
        </w:rPr>
        <w:t xml:space="preserve"> final performance report. The final performance report includes a summary of progress (including performance data)</w:t>
      </w:r>
      <w:r>
        <w:rPr>
          <w:color w:val="000000" w:themeColor="text1"/>
        </w:rPr>
        <w:t>.</w:t>
      </w:r>
      <w:r w:rsidRPr="00863256">
        <w:rPr>
          <w:color w:val="000000" w:themeColor="text1"/>
        </w:rPr>
        <w:t xml:space="preserve"> </w:t>
      </w:r>
    </w:p>
    <w:p w:rsidR="003F42F4" w:rsidP="003F42F4" w14:paraId="109FE6DA" w14:textId="77777777">
      <w:pPr>
        <w:pStyle w:val="ListParagraph"/>
        <w:widowControl/>
        <w:numPr>
          <w:ilvl w:val="0"/>
          <w:numId w:val="6"/>
        </w:numPr>
        <w:rPr>
          <w:color w:val="000000" w:themeColor="text1"/>
        </w:rPr>
      </w:pPr>
      <w:r>
        <w:rPr>
          <w:color w:val="000000" w:themeColor="text1"/>
        </w:rPr>
        <w:t>A</w:t>
      </w:r>
      <w:r w:rsidRPr="00863256">
        <w:rPr>
          <w:color w:val="000000" w:themeColor="text1"/>
        </w:rPr>
        <w:t>n evaluation report</w:t>
      </w:r>
      <w:r>
        <w:rPr>
          <w:color w:val="000000" w:themeColor="text1"/>
        </w:rPr>
        <w:t>.</w:t>
      </w:r>
    </w:p>
    <w:p w:rsidR="003F42F4" w:rsidP="003F42F4" w14:paraId="6167FD1E" w14:textId="77777777">
      <w:pPr>
        <w:pStyle w:val="ListParagraph"/>
        <w:widowControl/>
        <w:rPr>
          <w:color w:val="000000" w:themeColor="text1"/>
        </w:rPr>
      </w:pPr>
      <w:r w:rsidRPr="00863256">
        <w:rPr>
          <w:color w:val="000000" w:themeColor="text1"/>
        </w:rPr>
        <w:t xml:space="preserve">  </w:t>
      </w:r>
    </w:p>
    <w:p w:rsidR="003F42F4" w:rsidP="003F42F4" w14:paraId="6D6647C4" w14:textId="1C304E84">
      <w:pPr>
        <w:widowControl/>
        <w:rPr>
          <w:color w:val="000000" w:themeColor="text1"/>
        </w:rPr>
      </w:pPr>
      <w:r w:rsidRPr="00863256">
        <w:rPr>
          <w:color w:val="000000" w:themeColor="text1"/>
        </w:rPr>
        <w:t>The final reports are due no later than 90 days after the end of the 12-month performance period.</w:t>
      </w:r>
    </w:p>
    <w:p w:rsidR="003F42F4" w:rsidP="007C6F40" w14:paraId="6E3C067E" w14:textId="77777777">
      <w:pPr>
        <w:widowControl/>
        <w:rPr>
          <w:b/>
          <w:bCs/>
          <w:color w:val="000000"/>
          <w:sz w:val="23"/>
          <w:szCs w:val="23"/>
        </w:rPr>
      </w:pPr>
    </w:p>
    <w:p w:rsidR="007C6F40" w:rsidRPr="00404FF4" w:rsidP="007C6F40" w14:paraId="2116060A" w14:textId="68955D86">
      <w:pPr>
        <w:widowControl/>
        <w:rPr>
          <w:color w:val="000000"/>
          <w:sz w:val="23"/>
          <w:szCs w:val="23"/>
        </w:rPr>
      </w:pPr>
      <w:r>
        <w:rPr>
          <w:b/>
          <w:bCs/>
          <w:color w:val="000000"/>
          <w:sz w:val="23"/>
          <w:szCs w:val="23"/>
        </w:rPr>
        <w:t>(</w:t>
      </w:r>
      <w:r w:rsidR="003F42F4">
        <w:rPr>
          <w:b/>
          <w:bCs/>
          <w:color w:val="000000"/>
          <w:sz w:val="23"/>
          <w:szCs w:val="23"/>
        </w:rPr>
        <w:t>3</w:t>
      </w:r>
      <w:r>
        <w:rPr>
          <w:b/>
          <w:bCs/>
          <w:color w:val="000000"/>
          <w:sz w:val="23"/>
          <w:szCs w:val="23"/>
        </w:rPr>
        <w:t xml:space="preserve">) </w:t>
      </w:r>
      <w:r w:rsidRPr="0011275D">
        <w:rPr>
          <w:b/>
          <w:bCs/>
          <w:color w:val="000000"/>
          <w:sz w:val="23"/>
          <w:szCs w:val="23"/>
        </w:rPr>
        <w:t>MSHA Form 5000-50</w:t>
      </w:r>
      <w:r w:rsidRPr="006C22D8" w:rsidR="006C22D8">
        <w:rPr>
          <w:b/>
          <w:bCs/>
          <w:color w:val="000000"/>
          <w:sz w:val="23"/>
          <w:szCs w:val="23"/>
        </w:rPr>
        <w:t>, State Grants Progress Report</w:t>
      </w:r>
      <w:r>
        <w:rPr>
          <w:b/>
          <w:bCs/>
          <w:color w:val="000000"/>
          <w:sz w:val="23"/>
          <w:szCs w:val="23"/>
        </w:rPr>
        <w:t xml:space="preserve"> (State Grants Only)</w:t>
      </w:r>
    </w:p>
    <w:p w:rsidR="003C061D" w:rsidP="00D52672" w14:paraId="620E5107" w14:textId="30200E05">
      <w:pPr>
        <w:widowControl/>
        <w:pBdr>
          <w:top w:val="nil"/>
          <w:left w:val="nil"/>
          <w:bottom w:val="nil"/>
          <w:right w:val="nil"/>
          <w:between w:val="nil"/>
          <w:bar w:val="nil"/>
        </w:pBdr>
        <w:autoSpaceDE/>
        <w:autoSpaceDN/>
        <w:adjustRightInd/>
        <w:spacing w:line="300" w:lineRule="exact"/>
        <w:rPr>
          <w:color w:val="000000"/>
        </w:rPr>
      </w:pPr>
      <w:r w:rsidRPr="006C22D8">
        <w:rPr>
          <w:color w:val="000000"/>
        </w:rPr>
        <w:t>State Grants recipients are also required to submit MSHA Form 5000-50 in their quarterly reports to MSHA. This form is used only by the State Grants program. This form consists of a technical progress report with quantitative performance information. Recipients of the State Grants are required to submit a final MSHA 5000-50 form at the end of the 12-month performance period</w:t>
      </w:r>
      <w:r w:rsidRPr="003F42F4" w:rsidR="003F42F4">
        <w:rPr>
          <w:color w:val="000000"/>
        </w:rPr>
        <w:t>.</w:t>
      </w:r>
    </w:p>
    <w:p w:rsidR="003F42F4" w:rsidRPr="00B77579" w:rsidP="00D52672" w14:paraId="3F0DF6C1" w14:textId="77777777">
      <w:pPr>
        <w:widowControl/>
        <w:pBdr>
          <w:top w:val="nil"/>
          <w:left w:val="nil"/>
          <w:bottom w:val="nil"/>
          <w:right w:val="nil"/>
          <w:between w:val="nil"/>
          <w:bar w:val="nil"/>
        </w:pBdr>
        <w:autoSpaceDE/>
        <w:autoSpaceDN/>
        <w:adjustRightInd/>
        <w:spacing w:line="300" w:lineRule="exact"/>
        <w:rPr>
          <w:color w:val="000000"/>
        </w:rPr>
      </w:pPr>
    </w:p>
    <w:p w:rsidR="00A416E3" w:rsidP="00CC7F1A" w14:paraId="5A4771BA" w14:textId="77777777">
      <w:pPr>
        <w:widowControl/>
        <w:rPr>
          <w:b/>
          <w:bCs/>
          <w:color w:val="000000"/>
        </w:rPr>
      </w:pPr>
      <w:r>
        <w:rPr>
          <w:b/>
          <w:bCs/>
          <w:color w:val="000000"/>
        </w:rPr>
        <w:t xml:space="preserve">2.  </w:t>
      </w:r>
      <w:r w:rsidRPr="00A416E3">
        <w:rPr>
          <w:b/>
          <w:bCs/>
          <w:color w:val="000000"/>
        </w:rPr>
        <w:t>Indicate how, by whom, and for what purpose the information is to be used.  Except for a new collection, indicate the actual use the agency has made of the information received from the current collection.</w:t>
      </w:r>
    </w:p>
    <w:p w:rsidR="009D1343" w:rsidRPr="00B77579" w:rsidP="00CC7F1A" w14:paraId="01E2D3E7" w14:textId="77777777">
      <w:pPr>
        <w:widowControl/>
        <w:rPr>
          <w:b/>
          <w:bCs/>
          <w:color w:val="000000"/>
        </w:rPr>
      </w:pPr>
    </w:p>
    <w:p w:rsidR="00FC39C3" w:rsidP="00CC7F1A" w14:paraId="75E7E489" w14:textId="17B7FE16">
      <w:pPr>
        <w:widowControl/>
        <w:rPr>
          <w:color w:val="000000"/>
        </w:rPr>
      </w:pPr>
      <w:r w:rsidRPr="00B77579">
        <w:rPr>
          <w:color w:val="000000"/>
        </w:rPr>
        <w:t>MSHA uses the information collected</w:t>
      </w:r>
      <w:r w:rsidR="006D06C8">
        <w:rPr>
          <w:color w:val="000000"/>
        </w:rPr>
        <w:t xml:space="preserve"> to</w:t>
      </w:r>
      <w:r w:rsidRPr="005C62A2" w:rsidR="005C62A2">
        <w:t xml:space="preserve"> </w:t>
      </w:r>
      <w:r w:rsidRPr="005C62A2" w:rsidR="005C62A2">
        <w:rPr>
          <w:color w:val="000000"/>
        </w:rPr>
        <w:t>prepare its annual budget plans and its annual performance reports</w:t>
      </w:r>
      <w:r w:rsidR="006D06C8">
        <w:rPr>
          <w:color w:val="000000"/>
        </w:rPr>
        <w:t xml:space="preserve"> </w:t>
      </w:r>
      <w:r w:rsidR="005C62A2">
        <w:rPr>
          <w:color w:val="000000"/>
        </w:rPr>
        <w:t>and</w:t>
      </w:r>
      <w:r w:rsidRPr="00FC39C3">
        <w:rPr>
          <w:color w:val="000000"/>
        </w:rPr>
        <w:t xml:space="preserve"> </w:t>
      </w:r>
      <w:r w:rsidR="0097776B">
        <w:rPr>
          <w:color w:val="000000"/>
        </w:rPr>
        <w:t xml:space="preserve">to </w:t>
      </w:r>
      <w:r w:rsidRPr="00FC39C3">
        <w:rPr>
          <w:color w:val="000000"/>
        </w:rPr>
        <w:t xml:space="preserve">determine </w:t>
      </w:r>
      <w:r w:rsidR="00DA64FD">
        <w:rPr>
          <w:color w:val="000000"/>
        </w:rPr>
        <w:t xml:space="preserve">if </w:t>
      </w:r>
      <w:r w:rsidRPr="00FC39C3">
        <w:rPr>
          <w:color w:val="000000"/>
        </w:rPr>
        <w:t xml:space="preserve">the grantee's </w:t>
      </w:r>
      <w:r w:rsidR="0097776B">
        <w:rPr>
          <w:color w:val="000000"/>
        </w:rPr>
        <w:t>established goals are</w:t>
      </w:r>
      <w:r w:rsidRPr="00FC39C3">
        <w:rPr>
          <w:color w:val="000000"/>
        </w:rPr>
        <w:t xml:space="preserve"> accomplished.  </w:t>
      </w:r>
      <w:r w:rsidRPr="00816CCF" w:rsidR="00816CCF">
        <w:rPr>
          <w:color w:val="000000"/>
        </w:rPr>
        <w:t xml:space="preserve">While the </w:t>
      </w:r>
      <w:r w:rsidR="00400087">
        <w:rPr>
          <w:color w:val="000000"/>
        </w:rPr>
        <w:t xml:space="preserve">quantitative performance </w:t>
      </w:r>
      <w:r w:rsidRPr="00816CCF" w:rsidR="00816CCF">
        <w:rPr>
          <w:color w:val="000000"/>
        </w:rPr>
        <w:t xml:space="preserve">reports provide the information that is needed to report on </w:t>
      </w:r>
      <w:r w:rsidR="00816CCF">
        <w:rPr>
          <w:color w:val="000000"/>
        </w:rPr>
        <w:t>the numbers of miners trained, t</w:t>
      </w:r>
      <w:r w:rsidRPr="00816CCF" w:rsidR="00816CCF">
        <w:rPr>
          <w:color w:val="000000"/>
        </w:rPr>
        <w:t>he narrative</w:t>
      </w:r>
      <w:r w:rsidR="00400087">
        <w:rPr>
          <w:color w:val="000000"/>
        </w:rPr>
        <w:t xml:space="preserve"> report</w:t>
      </w:r>
      <w:r w:rsidRPr="00816CCF" w:rsidR="00816CCF">
        <w:rPr>
          <w:color w:val="000000"/>
        </w:rPr>
        <w:t xml:space="preserve">s provide an overall assessment and an evaluation of the training that was provided. </w:t>
      </w:r>
      <w:r w:rsidR="00816CCF">
        <w:rPr>
          <w:color w:val="000000"/>
        </w:rPr>
        <w:t xml:space="preserve"> </w:t>
      </w:r>
      <w:r w:rsidRPr="00FC39C3">
        <w:rPr>
          <w:color w:val="000000"/>
        </w:rPr>
        <w:t xml:space="preserve">The information is useful to </w:t>
      </w:r>
      <w:r>
        <w:rPr>
          <w:color w:val="000000"/>
        </w:rPr>
        <w:t>MSHA</w:t>
      </w:r>
      <w:r w:rsidRPr="00FC39C3">
        <w:rPr>
          <w:color w:val="000000"/>
        </w:rPr>
        <w:t xml:space="preserve"> for the annual O</w:t>
      </w:r>
      <w:r w:rsidR="0097776B">
        <w:rPr>
          <w:color w:val="000000"/>
        </w:rPr>
        <w:t xml:space="preserve">ffice of Management and </w:t>
      </w:r>
      <w:r w:rsidRPr="00FC39C3">
        <w:rPr>
          <w:color w:val="000000"/>
        </w:rPr>
        <w:t>B</w:t>
      </w:r>
      <w:r w:rsidR="0097776B">
        <w:rPr>
          <w:color w:val="000000"/>
        </w:rPr>
        <w:t>udget</w:t>
      </w:r>
      <w:r w:rsidRPr="00FC39C3">
        <w:rPr>
          <w:color w:val="000000"/>
        </w:rPr>
        <w:t xml:space="preserve"> report to the Senate and to present fact sheets for the Assistant Secretary of Labor for MSHA.  </w:t>
      </w:r>
      <w:r w:rsidR="00DA64FD">
        <w:rPr>
          <w:color w:val="000000"/>
        </w:rPr>
        <w:t xml:space="preserve">This information has been </w:t>
      </w:r>
      <w:r w:rsidRPr="00FC39C3">
        <w:rPr>
          <w:color w:val="000000"/>
        </w:rPr>
        <w:t>report</w:t>
      </w:r>
      <w:r w:rsidR="00DA64FD">
        <w:rPr>
          <w:color w:val="000000"/>
        </w:rPr>
        <w:t>ed</w:t>
      </w:r>
      <w:r w:rsidRPr="00FC39C3">
        <w:rPr>
          <w:color w:val="000000"/>
        </w:rPr>
        <w:t xml:space="preserve"> to the </w:t>
      </w:r>
      <w:r w:rsidR="007E34CF">
        <w:rPr>
          <w:color w:val="000000"/>
        </w:rPr>
        <w:t xml:space="preserve">DOL </w:t>
      </w:r>
      <w:r w:rsidRPr="00FC39C3">
        <w:rPr>
          <w:color w:val="000000"/>
        </w:rPr>
        <w:t xml:space="preserve">Secretary for </w:t>
      </w:r>
      <w:r w:rsidR="007C2E55">
        <w:rPr>
          <w:color w:val="000000"/>
        </w:rPr>
        <w:t>W</w:t>
      </w:r>
      <w:r w:rsidRPr="00FC39C3">
        <w:rPr>
          <w:color w:val="000000"/>
        </w:rPr>
        <w:t xml:space="preserve">hite </w:t>
      </w:r>
      <w:r w:rsidR="007C2E55">
        <w:rPr>
          <w:color w:val="000000"/>
        </w:rPr>
        <w:t>H</w:t>
      </w:r>
      <w:r w:rsidRPr="00FC39C3">
        <w:rPr>
          <w:color w:val="000000"/>
        </w:rPr>
        <w:t>ouse events and conferences.</w:t>
      </w:r>
    </w:p>
    <w:p w:rsidR="008A58C1" w:rsidP="00CC7F1A" w14:paraId="5C374EA3" w14:textId="77777777">
      <w:pPr>
        <w:widowControl/>
        <w:rPr>
          <w:color w:val="000000"/>
        </w:rPr>
      </w:pPr>
    </w:p>
    <w:p w:rsidR="00400087" w:rsidP="00CC7F1A" w14:paraId="78AA82CC" w14:textId="42BEFBE0">
      <w:pPr>
        <w:widowControl/>
        <w:rPr>
          <w:color w:val="000000"/>
        </w:rPr>
      </w:pPr>
      <w:bookmarkStart w:id="7" w:name="_Hlk136497947"/>
      <w:r>
        <w:rPr>
          <w:color w:val="000000"/>
        </w:rPr>
        <w:t xml:space="preserve">Grantees for </w:t>
      </w:r>
      <w:r w:rsidRPr="008A58C1">
        <w:rPr>
          <w:color w:val="000000"/>
        </w:rPr>
        <w:t>the State Grant</w:t>
      </w:r>
      <w:r>
        <w:rPr>
          <w:color w:val="000000"/>
        </w:rPr>
        <w:t>s</w:t>
      </w:r>
      <w:r w:rsidRPr="00400087">
        <w:t xml:space="preserve"> </w:t>
      </w:r>
      <w:r w:rsidR="00DA14DC">
        <w:rPr>
          <w:color w:val="000000"/>
        </w:rPr>
        <w:t xml:space="preserve">will </w:t>
      </w:r>
      <w:r w:rsidRPr="00400087">
        <w:rPr>
          <w:color w:val="000000"/>
        </w:rPr>
        <w:t>send to MSHA via e-mail or DOL’s new grant system</w:t>
      </w:r>
      <w:r w:rsidR="009B7902">
        <w:rPr>
          <w:color w:val="000000"/>
        </w:rPr>
        <w:t xml:space="preserve">, the </w:t>
      </w:r>
      <w:r w:rsidRPr="00E1021A" w:rsidR="009B7902">
        <w:rPr>
          <w:color w:val="000000"/>
        </w:rPr>
        <w:t>performance data required by MSHA Form 5000-50</w:t>
      </w:r>
      <w:r w:rsidRPr="00400087">
        <w:rPr>
          <w:color w:val="000000"/>
        </w:rPr>
        <w:t xml:space="preserve">. </w:t>
      </w:r>
      <w:r w:rsidRPr="008A58C1">
        <w:rPr>
          <w:color w:val="000000"/>
        </w:rPr>
        <w:t xml:space="preserve"> </w:t>
      </w:r>
      <w:bookmarkEnd w:id="7"/>
      <w:r w:rsidR="00DA14DC">
        <w:rPr>
          <w:color w:val="000000"/>
        </w:rPr>
        <w:t xml:space="preserve">Grantees for State Grants may </w:t>
      </w:r>
      <w:r w:rsidR="00863256">
        <w:rPr>
          <w:color w:val="000000"/>
        </w:rPr>
        <w:t xml:space="preserve">be the </w:t>
      </w:r>
      <w:r>
        <w:rPr>
          <w:color w:val="000000"/>
        </w:rPr>
        <w:t>50 states</w:t>
      </w:r>
      <w:r w:rsidRPr="008A58C1">
        <w:rPr>
          <w:color w:val="000000"/>
        </w:rPr>
        <w:t xml:space="preserve">, the District of Columbia, the Commonwealth of Puerto Rico, the </w:t>
      </w:r>
      <w:r>
        <w:rPr>
          <w:color w:val="000000"/>
        </w:rPr>
        <w:t xml:space="preserve">U.S. </w:t>
      </w:r>
      <w:r w:rsidRPr="008A58C1">
        <w:rPr>
          <w:color w:val="000000"/>
        </w:rPr>
        <w:t xml:space="preserve">Virgin Islands, American Samoa, Guam, </w:t>
      </w:r>
      <w:r w:rsidR="00901697">
        <w:rPr>
          <w:color w:val="000000"/>
        </w:rPr>
        <w:t>or</w:t>
      </w:r>
      <w:r w:rsidRPr="008A58C1">
        <w:rPr>
          <w:color w:val="000000"/>
        </w:rPr>
        <w:t xml:space="preserve"> the Commonwealth of the </w:t>
      </w:r>
      <w:r>
        <w:rPr>
          <w:color w:val="000000"/>
        </w:rPr>
        <w:t>Northern Mariana</w:t>
      </w:r>
      <w:r w:rsidRPr="0097776B">
        <w:rPr>
          <w:color w:val="000000"/>
        </w:rPr>
        <w:t xml:space="preserve"> Islands</w:t>
      </w:r>
      <w:r w:rsidRPr="008A58C1">
        <w:rPr>
          <w:color w:val="000000"/>
        </w:rPr>
        <w:t xml:space="preserve">.  </w:t>
      </w:r>
      <w:r w:rsidRPr="008A58C1" w:rsidR="008A58C1">
        <w:rPr>
          <w:color w:val="000000"/>
        </w:rPr>
        <w:t xml:space="preserve">MSHA has received information </w:t>
      </w:r>
      <w:r w:rsidR="008A58C1">
        <w:rPr>
          <w:color w:val="000000"/>
        </w:rPr>
        <w:t xml:space="preserve">in the past </w:t>
      </w:r>
      <w:r w:rsidRPr="008A58C1" w:rsidR="008A58C1">
        <w:rPr>
          <w:color w:val="000000"/>
        </w:rPr>
        <w:t>from State Governments, Public and State Controlled institutions of higher education</w:t>
      </w:r>
      <w:r w:rsidR="00A342BD">
        <w:rPr>
          <w:color w:val="000000"/>
        </w:rPr>
        <w:t>,</w:t>
      </w:r>
      <w:r w:rsidRPr="008A58C1" w:rsidR="008A58C1">
        <w:rPr>
          <w:color w:val="000000"/>
        </w:rPr>
        <w:t xml:space="preserve"> and a Native American tribal government. </w:t>
      </w:r>
      <w:r w:rsidR="00266E4E">
        <w:rPr>
          <w:color w:val="000000"/>
        </w:rPr>
        <w:t xml:space="preserve"> </w:t>
      </w:r>
      <w:r w:rsidR="008A58C1">
        <w:rPr>
          <w:color w:val="000000"/>
        </w:rPr>
        <w:t xml:space="preserve"> </w:t>
      </w:r>
    </w:p>
    <w:p w:rsidR="00400087" w:rsidP="00CC7F1A" w14:paraId="349FDBBF" w14:textId="77777777">
      <w:pPr>
        <w:widowControl/>
        <w:rPr>
          <w:color w:val="000000"/>
        </w:rPr>
      </w:pPr>
    </w:p>
    <w:p w:rsidR="009C532C" w:rsidP="00CC7F1A" w14:paraId="50D09F27" w14:textId="017FB8F8">
      <w:pPr>
        <w:widowControl/>
        <w:rPr>
          <w:color w:val="000000"/>
        </w:rPr>
      </w:pPr>
      <w:r>
        <w:t>Grantee</w:t>
      </w:r>
      <w:r w:rsidRPr="00296394">
        <w:t>s for the</w:t>
      </w:r>
      <w:r>
        <w:t xml:space="preserve"> </w:t>
      </w:r>
      <w:r w:rsidR="00DF7824">
        <w:t>Brookwood-Sago Mine Safety Grant</w:t>
      </w:r>
      <w:r w:rsidRPr="00296394">
        <w:t xml:space="preserve">s may be </w:t>
      </w:r>
      <w:r w:rsidR="00863256">
        <w:t xml:space="preserve">the 50 </w:t>
      </w:r>
      <w:r w:rsidRPr="00296394">
        <w:t xml:space="preserve">states, territories, and tribal governments (this includes the District of Columbia, the Commonwealth of Puerto Rico, the </w:t>
      </w:r>
      <w:r w:rsidR="00863256">
        <w:t xml:space="preserve">U.S. </w:t>
      </w:r>
      <w:r w:rsidRPr="00296394">
        <w:t>Virgin Islands, American Samoa, Guam, the Commonwealth of the Northern Mariana Islands, and Federally recognized tribes) and private or public nonprofit entities (this includes tribal organizations, Alaska Native entities, Indian-controlled organizations serving Native Americans and Native Hawaiians).</w:t>
      </w:r>
      <w:r>
        <w:t xml:space="preserve"> </w:t>
      </w:r>
      <w:r w:rsidR="008A58C1">
        <w:rPr>
          <w:color w:val="000000"/>
        </w:rPr>
        <w:t xml:space="preserve"> </w:t>
      </w:r>
    </w:p>
    <w:p w:rsidR="006D06C8" w:rsidRPr="00B77579" w:rsidP="00CC7F1A" w14:paraId="6E767022" w14:textId="77777777">
      <w:pPr>
        <w:widowControl/>
        <w:rPr>
          <w:color w:val="000000"/>
        </w:rPr>
      </w:pPr>
    </w:p>
    <w:p w:rsidR="009D1343" w:rsidRPr="00B77579" w:rsidP="000B3405" w14:paraId="50B8C7CE" w14:textId="77777777">
      <w:pPr>
        <w:widowControl/>
        <w:tabs>
          <w:tab w:val="left" w:pos="360"/>
        </w:tabs>
        <w:rPr>
          <w:color w:val="000000"/>
        </w:rPr>
      </w:pPr>
      <w:r w:rsidRPr="00B77579">
        <w:rPr>
          <w:b/>
          <w:color w:val="000000"/>
        </w:rPr>
        <w:t>3.</w:t>
      </w:r>
      <w:r w:rsidRPr="00B77579" w:rsidR="00D9329E">
        <w:rPr>
          <w:b/>
          <w:color w:val="000000"/>
        </w:rPr>
        <w:tab/>
      </w:r>
      <w:r w:rsidRPr="00A416E3" w:rsidR="00A416E3">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B77579" w:rsidR="00A416E3">
        <w:rPr>
          <w:b/>
          <w:bCs/>
          <w:color w:val="000000"/>
        </w:rPr>
        <w:t xml:space="preserve"> </w:t>
      </w:r>
    </w:p>
    <w:p w:rsidR="009D1343" w:rsidRPr="00B77579" w:rsidP="00CC7F1A" w14:paraId="5BD602A0" w14:textId="77777777">
      <w:pPr>
        <w:widowControl/>
        <w:rPr>
          <w:color w:val="000000"/>
        </w:rPr>
      </w:pPr>
    </w:p>
    <w:p w:rsidR="009D1343" w:rsidRPr="00B77579" w:rsidP="5504840C" w14:paraId="3C2F9755" w14:textId="10E867BE">
      <w:pPr>
        <w:widowControl/>
        <w:rPr>
          <w:color w:val="000000" w:themeColor="text1"/>
        </w:rPr>
      </w:pPr>
      <w:r w:rsidRPr="00B77579">
        <w:t xml:space="preserve">MSHA receives </w:t>
      </w:r>
      <w:r w:rsidR="000C7161">
        <w:t xml:space="preserve">initial </w:t>
      </w:r>
      <w:r w:rsidRPr="00B77579" w:rsidR="002B68A1">
        <w:t>applications</w:t>
      </w:r>
      <w:r w:rsidRPr="00B77579">
        <w:t xml:space="preserve"> via the </w:t>
      </w:r>
      <w:r w:rsidR="00A342BD">
        <w:t>G</w:t>
      </w:r>
      <w:r w:rsidRPr="00B77579" w:rsidR="00A342BD">
        <w:t>overnment</w:t>
      </w:r>
      <w:r w:rsidRPr="00B77579">
        <w:t xml:space="preserve">-wide e-grants initiative </w:t>
      </w:r>
      <w:r w:rsidRPr="00B77579" w:rsidR="00343CC5">
        <w:t>(</w:t>
      </w:r>
      <w:r w:rsidRPr="00B77579">
        <w:t xml:space="preserve">Grants.gov) at </w:t>
      </w:r>
      <w:hyperlink r:id="rId9">
        <w:r w:rsidRPr="00B77579">
          <w:rPr>
            <w:rStyle w:val="Hyperlink"/>
            <w:color w:val="auto"/>
          </w:rPr>
          <w:t>http://www.grants.gov</w:t>
        </w:r>
      </w:hyperlink>
      <w:r w:rsidRPr="00B77579" w:rsidR="0097776B">
        <w:rPr>
          <w:rStyle w:val="Hyperlink"/>
          <w:color w:val="auto"/>
          <w:u w:val="none"/>
        </w:rPr>
        <w:t xml:space="preserve">.  </w:t>
      </w:r>
      <w:r w:rsidR="0097776B">
        <w:rPr>
          <w:rStyle w:val="Hyperlink"/>
          <w:color w:val="auto"/>
          <w:u w:val="none"/>
        </w:rPr>
        <w:t xml:space="preserve">OMB </w:t>
      </w:r>
      <w:r w:rsidRPr="000A6C84" w:rsidR="000A6C84">
        <w:rPr>
          <w:rStyle w:val="Hyperlink"/>
          <w:color w:val="auto"/>
          <w:u w:val="none"/>
        </w:rPr>
        <w:t xml:space="preserve">control </w:t>
      </w:r>
      <w:r w:rsidR="000B1BBD">
        <w:rPr>
          <w:rStyle w:val="Hyperlink"/>
          <w:color w:val="auto"/>
          <w:u w:val="none"/>
        </w:rPr>
        <w:t>No.</w:t>
      </w:r>
      <w:r w:rsidRPr="000A6C84" w:rsidR="000B1BBD">
        <w:rPr>
          <w:rStyle w:val="Hyperlink"/>
          <w:color w:val="auto"/>
          <w:u w:val="none"/>
        </w:rPr>
        <w:t xml:space="preserve"> </w:t>
      </w:r>
      <w:r w:rsidR="0097776B">
        <w:rPr>
          <w:rStyle w:val="Hyperlink"/>
          <w:color w:val="auto"/>
          <w:u w:val="none"/>
        </w:rPr>
        <w:t xml:space="preserve">1225-0086 </w:t>
      </w:r>
      <w:r w:rsidRPr="000A6C84" w:rsidR="000A6C84">
        <w:rPr>
          <w:rStyle w:val="Hyperlink"/>
          <w:color w:val="auto"/>
          <w:u w:val="none"/>
        </w:rPr>
        <w:t>covers the application collection</w:t>
      </w:r>
      <w:r w:rsidR="000A6C84">
        <w:rPr>
          <w:rStyle w:val="Hyperlink"/>
          <w:color w:val="auto"/>
          <w:u w:val="none"/>
        </w:rPr>
        <w:t xml:space="preserve">.  </w:t>
      </w:r>
      <w:r w:rsidR="007E34CF">
        <w:rPr>
          <w:rStyle w:val="Hyperlink"/>
          <w:color w:val="auto"/>
          <w:u w:val="none"/>
        </w:rPr>
        <w:t xml:space="preserve">The </w:t>
      </w:r>
      <w:r w:rsidR="00400087">
        <w:rPr>
          <w:rStyle w:val="Hyperlink"/>
          <w:color w:val="auto"/>
          <w:u w:val="none"/>
        </w:rPr>
        <w:t xml:space="preserve">quantitative </w:t>
      </w:r>
      <w:r w:rsidR="007E34CF">
        <w:rPr>
          <w:rStyle w:val="Hyperlink"/>
          <w:color w:val="auto"/>
          <w:u w:val="none"/>
        </w:rPr>
        <w:t xml:space="preserve">grant performance reports are collected via </w:t>
      </w:r>
      <w:r w:rsidR="00400087">
        <w:rPr>
          <w:rStyle w:val="Hyperlink"/>
          <w:color w:val="auto"/>
          <w:u w:val="none"/>
        </w:rPr>
        <w:t xml:space="preserve">MSHA </w:t>
      </w:r>
      <w:r w:rsidR="00863256">
        <w:rPr>
          <w:rStyle w:val="Hyperlink"/>
          <w:color w:val="auto"/>
          <w:u w:val="none"/>
        </w:rPr>
        <w:t xml:space="preserve">Form </w:t>
      </w:r>
      <w:r w:rsidR="00400087">
        <w:rPr>
          <w:rStyle w:val="Hyperlink"/>
          <w:color w:val="auto"/>
          <w:u w:val="none"/>
        </w:rPr>
        <w:t xml:space="preserve">5000-50 </w:t>
      </w:r>
      <w:r w:rsidR="000A42D5">
        <w:rPr>
          <w:rStyle w:val="Hyperlink"/>
          <w:color w:val="auto"/>
          <w:u w:val="none"/>
        </w:rPr>
        <w:t>for State Grant recipients</w:t>
      </w:r>
      <w:r w:rsidR="007E34CF">
        <w:rPr>
          <w:rStyle w:val="Hyperlink"/>
          <w:color w:val="auto"/>
          <w:u w:val="none"/>
        </w:rPr>
        <w:t xml:space="preserve">.  </w:t>
      </w:r>
      <w:r w:rsidR="009D19AE">
        <w:rPr>
          <w:rStyle w:val="Hyperlink"/>
          <w:color w:val="auto"/>
          <w:u w:val="none"/>
        </w:rPr>
        <w:t>Grantees</w:t>
      </w:r>
      <w:r w:rsidRPr="00B77579">
        <w:rPr>
          <w:rStyle w:val="Hyperlink"/>
          <w:color w:val="auto"/>
          <w:u w:val="none"/>
        </w:rPr>
        <w:t xml:space="preserve"> complete </w:t>
      </w:r>
      <w:r w:rsidR="00D31902">
        <w:rPr>
          <w:rStyle w:val="Hyperlink"/>
          <w:color w:val="auto"/>
          <w:u w:val="none"/>
        </w:rPr>
        <w:t>all</w:t>
      </w:r>
      <w:r w:rsidRPr="00B77579" w:rsidR="0063410B">
        <w:rPr>
          <w:rStyle w:val="Hyperlink"/>
          <w:color w:val="auto"/>
          <w:u w:val="none"/>
        </w:rPr>
        <w:t xml:space="preserve"> grant </w:t>
      </w:r>
      <w:r w:rsidR="00A3039D">
        <w:rPr>
          <w:rStyle w:val="Hyperlink"/>
          <w:color w:val="auto"/>
          <w:u w:val="none"/>
        </w:rPr>
        <w:t>performance reports</w:t>
      </w:r>
      <w:r w:rsidRPr="00351283" w:rsidR="00400087">
        <w:t xml:space="preserve"> </w:t>
      </w:r>
      <w:r w:rsidRPr="00B77579">
        <w:rPr>
          <w:rStyle w:val="Hyperlink"/>
          <w:color w:val="auto"/>
          <w:u w:val="none"/>
        </w:rPr>
        <w:t>by electronic means</w:t>
      </w:r>
      <w:r w:rsidR="000C7161">
        <w:rPr>
          <w:rStyle w:val="Hyperlink"/>
          <w:color w:val="auto"/>
          <w:u w:val="none"/>
        </w:rPr>
        <w:t>, sending them via email</w:t>
      </w:r>
      <w:r w:rsidRPr="00400087" w:rsidR="00400087">
        <w:t xml:space="preserve"> </w:t>
      </w:r>
      <w:r w:rsidR="00863256">
        <w:t xml:space="preserve">to MSHA </w:t>
      </w:r>
      <w:r w:rsidR="00400087">
        <w:t>or DOL’s new grant system</w:t>
      </w:r>
      <w:r w:rsidRPr="00B77579">
        <w:t>.</w:t>
      </w:r>
      <w:r w:rsidRPr="00400087" w:rsidR="00400087">
        <w:t xml:space="preserve"> </w:t>
      </w:r>
      <w:r w:rsidR="00400087">
        <w:t xml:space="preserve"> </w:t>
      </w:r>
    </w:p>
    <w:p w:rsidR="009D1343" w:rsidRPr="00B77579" w:rsidP="00CC7F1A" w14:paraId="08CD5E3E" w14:textId="77777777">
      <w:pPr>
        <w:widowControl/>
        <w:rPr>
          <w:color w:val="000000"/>
        </w:rPr>
      </w:pPr>
    </w:p>
    <w:p w:rsidR="003C061D" w:rsidRPr="00B77579" w:rsidP="000B3405" w14:paraId="49A51324" w14:textId="77777777">
      <w:pPr>
        <w:widowControl/>
        <w:tabs>
          <w:tab w:val="left" w:pos="360"/>
        </w:tabs>
        <w:rPr>
          <w:b/>
          <w:bCs/>
          <w:color w:val="000000"/>
        </w:rPr>
      </w:pPr>
      <w:r w:rsidRPr="00B77579">
        <w:rPr>
          <w:b/>
          <w:color w:val="000000"/>
        </w:rPr>
        <w:t>4.</w:t>
      </w:r>
      <w:r w:rsidRPr="00B77579" w:rsidR="00261476">
        <w:rPr>
          <w:b/>
          <w:color w:val="000000"/>
        </w:rPr>
        <w:tab/>
      </w:r>
      <w:r w:rsidRPr="00A416E3" w:rsidR="00A416E3">
        <w:rPr>
          <w:b/>
          <w:color w:val="000000"/>
        </w:rPr>
        <w:t>Describe efforts to identify duplication.  Show specifically why any similar information already available cannot be used or modified for use for the purposes described in Item A.2 above.</w:t>
      </w:r>
      <w:r w:rsidRPr="00B77579" w:rsidR="00A416E3">
        <w:rPr>
          <w:b/>
          <w:bCs/>
          <w:color w:val="000000"/>
        </w:rPr>
        <w:t xml:space="preserve"> </w:t>
      </w:r>
    </w:p>
    <w:p w:rsidR="003C061D" w:rsidRPr="00B77579" w:rsidP="00CC7F1A" w14:paraId="5CDC22C5" w14:textId="77777777">
      <w:pPr>
        <w:widowControl/>
        <w:rPr>
          <w:b/>
          <w:bCs/>
          <w:color w:val="000000"/>
        </w:rPr>
      </w:pPr>
    </w:p>
    <w:p w:rsidR="003C061D" w:rsidRPr="00B77579" w:rsidP="00CC7F1A" w14:paraId="042EBF7B" w14:textId="257A8118">
      <w:pPr>
        <w:widowControl/>
        <w:rPr>
          <w:b/>
          <w:bCs/>
          <w:color w:val="000000"/>
        </w:rPr>
      </w:pPr>
      <w:r>
        <w:rPr>
          <w:color w:val="000000"/>
        </w:rPr>
        <w:t>The information collected in p</w:t>
      </w:r>
      <w:r w:rsidRPr="008E4B4F">
        <w:rPr>
          <w:color w:val="000000"/>
        </w:rPr>
        <w:t xml:space="preserve">erformance </w:t>
      </w:r>
      <w:r>
        <w:rPr>
          <w:color w:val="000000"/>
        </w:rPr>
        <w:t>r</w:t>
      </w:r>
      <w:r w:rsidRPr="008E4B4F">
        <w:rPr>
          <w:color w:val="000000"/>
        </w:rPr>
        <w:t xml:space="preserve">eports for MSHA </w:t>
      </w:r>
      <w:r>
        <w:rPr>
          <w:color w:val="000000"/>
        </w:rPr>
        <w:t>g</w:t>
      </w:r>
      <w:r w:rsidRPr="008E4B4F">
        <w:rPr>
          <w:color w:val="000000"/>
        </w:rPr>
        <w:t xml:space="preserve">rants </w:t>
      </w:r>
      <w:r w:rsidRPr="00B77579">
        <w:rPr>
          <w:color w:val="000000"/>
        </w:rPr>
        <w:t>is unique to each grant; therefore, it is not duplicated in any other source.</w:t>
      </w:r>
      <w:r w:rsidRPr="00B77579">
        <w:rPr>
          <w:b/>
          <w:bCs/>
          <w:color w:val="000000"/>
        </w:rPr>
        <w:t xml:space="preserve"> </w:t>
      </w:r>
      <w:r w:rsidRPr="00B77579" w:rsidR="00F020A6">
        <w:rPr>
          <w:b/>
          <w:bCs/>
          <w:color w:val="000000"/>
        </w:rPr>
        <w:t xml:space="preserve"> </w:t>
      </w:r>
      <w:r w:rsidRPr="00B77579">
        <w:rPr>
          <w:color w:val="000000"/>
        </w:rPr>
        <w:t xml:space="preserve">As applicable, </w:t>
      </w:r>
      <w:r w:rsidRPr="00B77579" w:rsidR="0069557E">
        <w:rPr>
          <w:color w:val="000000"/>
        </w:rPr>
        <w:t>MSHA</w:t>
      </w:r>
      <w:r w:rsidRPr="00B77579">
        <w:rPr>
          <w:color w:val="000000"/>
        </w:rPr>
        <w:t xml:space="preserve"> utilizes currently approved standard forms and will not duplicate</w:t>
      </w:r>
      <w:r w:rsidR="00925843">
        <w:rPr>
          <w:color w:val="000000"/>
        </w:rPr>
        <w:t xml:space="preserve"> the</w:t>
      </w:r>
      <w:r w:rsidRPr="00B77579">
        <w:rPr>
          <w:color w:val="000000"/>
        </w:rPr>
        <w:t xml:space="preserve"> information collected on these forms.</w:t>
      </w:r>
      <w:r w:rsidRPr="00B77579" w:rsidR="005E10CA">
        <w:rPr>
          <w:color w:val="000000"/>
        </w:rPr>
        <w:t xml:space="preserve">  </w:t>
      </w:r>
    </w:p>
    <w:p w:rsidR="003C061D" w:rsidRPr="00B77579" w:rsidP="00CC7F1A" w14:paraId="107471FB" w14:textId="77777777">
      <w:pPr>
        <w:widowControl/>
        <w:rPr>
          <w:color w:val="000000"/>
        </w:rPr>
      </w:pPr>
    </w:p>
    <w:p w:rsidR="003C061D" w:rsidRPr="00B77579" w:rsidP="000B3405" w14:paraId="5E4568AC" w14:textId="77777777">
      <w:pPr>
        <w:widowControl/>
        <w:tabs>
          <w:tab w:val="left" w:pos="360"/>
        </w:tabs>
        <w:rPr>
          <w:b/>
          <w:bCs/>
          <w:color w:val="000000"/>
        </w:rPr>
      </w:pPr>
      <w:r w:rsidRPr="00B77579">
        <w:rPr>
          <w:b/>
          <w:bCs/>
          <w:color w:val="000000"/>
        </w:rPr>
        <w:t>5.</w:t>
      </w:r>
      <w:r w:rsidRPr="00B77579" w:rsidR="00261476">
        <w:rPr>
          <w:b/>
          <w:bCs/>
          <w:color w:val="000000"/>
        </w:rPr>
        <w:tab/>
      </w:r>
      <w:r w:rsidRPr="00A416E3" w:rsidR="00A416E3">
        <w:rPr>
          <w:b/>
          <w:bCs/>
          <w:color w:val="000000"/>
        </w:rPr>
        <w:t>If the collection of information impacts small businesses or other small entities, describe any methods used to minimize burden.</w:t>
      </w:r>
    </w:p>
    <w:p w:rsidR="003C061D" w:rsidRPr="00B77579" w:rsidP="00CC7F1A" w14:paraId="27CD7B0F" w14:textId="77777777">
      <w:pPr>
        <w:widowControl/>
        <w:rPr>
          <w:color w:val="000000"/>
        </w:rPr>
      </w:pPr>
    </w:p>
    <w:p w:rsidR="003C061D" w:rsidRPr="00B77579" w:rsidP="00CC7F1A" w14:paraId="10F6A97F" w14:textId="77777777">
      <w:pPr>
        <w:widowControl/>
        <w:rPr>
          <w:color w:val="000000"/>
        </w:rPr>
      </w:pPr>
      <w:bookmarkStart w:id="8" w:name="_Hlk136357539"/>
      <w:r w:rsidRPr="00B77579">
        <w:rPr>
          <w:color w:val="000000"/>
        </w:rPr>
        <w:t>This information collection request does not have a significant economic impact on a substantial number of small entities</w:t>
      </w:r>
      <w:r w:rsidRPr="00B77579" w:rsidR="00A67F9D">
        <w:rPr>
          <w:color w:val="000000"/>
        </w:rPr>
        <w:t>.</w:t>
      </w:r>
      <w:r w:rsidR="00413A00">
        <w:rPr>
          <w:color w:val="000000"/>
        </w:rPr>
        <w:t xml:space="preserve"> </w:t>
      </w:r>
      <w:r w:rsidRPr="00B77579" w:rsidR="00A67F9D">
        <w:rPr>
          <w:color w:val="000000"/>
        </w:rPr>
        <w:t xml:space="preserve"> </w:t>
      </w:r>
      <w:r w:rsidRPr="00B77579">
        <w:rPr>
          <w:color w:val="000000"/>
        </w:rPr>
        <w:t xml:space="preserve">To limit the burden imposed on respondents, </w:t>
      </w:r>
      <w:r w:rsidRPr="00B77579" w:rsidR="005E10CA">
        <w:rPr>
          <w:color w:val="000000"/>
        </w:rPr>
        <w:t>MSHA</w:t>
      </w:r>
      <w:r w:rsidRPr="00B77579">
        <w:rPr>
          <w:color w:val="000000"/>
        </w:rPr>
        <w:t xml:space="preserve"> r</w:t>
      </w:r>
      <w:r w:rsidR="00C60475">
        <w:rPr>
          <w:color w:val="000000"/>
        </w:rPr>
        <w:t xml:space="preserve">equires the minimum information. </w:t>
      </w:r>
    </w:p>
    <w:p w:rsidR="003C061D" w:rsidRPr="00B77579" w:rsidP="00CC7F1A" w14:paraId="61D125B5" w14:textId="77777777">
      <w:pPr>
        <w:widowControl/>
        <w:rPr>
          <w:b/>
          <w:bCs/>
          <w:color w:val="000000"/>
        </w:rPr>
      </w:pPr>
    </w:p>
    <w:p w:rsidR="00C00090" w:rsidRPr="00B77579" w:rsidP="00CC7F1A" w14:paraId="2FA06FEA" w14:textId="77777777">
      <w:pPr>
        <w:widowControl/>
        <w:rPr>
          <w:color w:val="000000"/>
        </w:rPr>
      </w:pPr>
      <w:r w:rsidRPr="00B77579">
        <w:rPr>
          <w:color w:val="000000"/>
        </w:rPr>
        <w:t>MSHA</w:t>
      </w:r>
      <w:r w:rsidRPr="00B77579" w:rsidR="002B68A1">
        <w:rPr>
          <w:color w:val="000000"/>
        </w:rPr>
        <w:t xml:space="preserve"> has </w:t>
      </w:r>
      <w:r w:rsidRPr="00B77579" w:rsidR="003C061D">
        <w:rPr>
          <w:color w:val="000000"/>
        </w:rPr>
        <w:t>existing structures and re</w:t>
      </w:r>
      <w:r w:rsidR="004E6FD6">
        <w:rPr>
          <w:color w:val="000000"/>
        </w:rPr>
        <w:t xml:space="preserve">sources in place for </w:t>
      </w:r>
      <w:r w:rsidRPr="00B77579" w:rsidR="003C061D">
        <w:rPr>
          <w:color w:val="000000"/>
        </w:rPr>
        <w:t xml:space="preserve">managing grants.  </w:t>
      </w:r>
    </w:p>
    <w:bookmarkEnd w:id="8"/>
    <w:p w:rsidR="00C00090" w:rsidRPr="00B77579" w:rsidP="00CC7F1A" w14:paraId="38F231B6" w14:textId="77777777">
      <w:pPr>
        <w:widowControl/>
        <w:rPr>
          <w:color w:val="000000"/>
        </w:rPr>
      </w:pPr>
    </w:p>
    <w:p w:rsidR="00A416E3" w:rsidRPr="00A416E3" w:rsidP="000B3405" w14:paraId="3E69D475" w14:textId="77777777">
      <w:pPr>
        <w:widowControl/>
        <w:tabs>
          <w:tab w:val="left" w:pos="360"/>
        </w:tabs>
        <w:rPr>
          <w:b/>
          <w:bCs/>
          <w:color w:val="000000"/>
        </w:rPr>
      </w:pPr>
      <w:r w:rsidRPr="00B77579">
        <w:rPr>
          <w:b/>
          <w:bCs/>
          <w:color w:val="000000"/>
        </w:rPr>
        <w:t>6.</w:t>
      </w:r>
      <w:r w:rsidRPr="00B77579" w:rsidR="00261476">
        <w:rPr>
          <w:b/>
          <w:bCs/>
          <w:color w:val="000000"/>
        </w:rPr>
        <w:tab/>
      </w:r>
      <w:r w:rsidRPr="00A416E3">
        <w:rPr>
          <w:b/>
          <w:bCs/>
          <w:color w:val="000000"/>
        </w:rPr>
        <w:t>Describe the consequence to federal program or policy activities if the collection is not conducted or is conducted less frequently, as well as any technical or legal obstacles to reducing burden.</w:t>
      </w:r>
    </w:p>
    <w:p w:rsidR="00A416E3" w:rsidRPr="00A416E3" w:rsidP="00A416E3" w14:paraId="7D084EF6" w14:textId="77777777">
      <w:pPr>
        <w:widowControl/>
        <w:tabs>
          <w:tab w:val="left" w:pos="360"/>
        </w:tabs>
        <w:ind w:left="360" w:hanging="360"/>
        <w:rPr>
          <w:b/>
          <w:bCs/>
          <w:color w:val="000000"/>
        </w:rPr>
      </w:pPr>
    </w:p>
    <w:p w:rsidR="003C061D" w:rsidRPr="00B77579" w:rsidP="00251F45" w14:paraId="62D2D23B" w14:textId="195C5C0E">
      <w:pPr>
        <w:widowControl/>
        <w:rPr>
          <w:color w:val="000000"/>
        </w:rPr>
      </w:pPr>
      <w:r w:rsidRPr="00B77579">
        <w:rPr>
          <w:color w:val="000000"/>
        </w:rPr>
        <w:t>MSHA</w:t>
      </w:r>
      <w:r w:rsidRPr="00B77579">
        <w:rPr>
          <w:color w:val="000000"/>
        </w:rPr>
        <w:t xml:space="preserve"> activities </w:t>
      </w:r>
      <w:r w:rsidRPr="00B77579" w:rsidR="00E64985">
        <w:rPr>
          <w:color w:val="000000"/>
        </w:rPr>
        <w:t xml:space="preserve">regarding grants </w:t>
      </w:r>
      <w:r w:rsidRPr="00B77579">
        <w:rPr>
          <w:color w:val="000000"/>
        </w:rPr>
        <w:t xml:space="preserve">would be significantly hindered if </w:t>
      </w:r>
      <w:r w:rsidR="00413A00">
        <w:rPr>
          <w:color w:val="000000"/>
        </w:rPr>
        <w:t>the Agency</w:t>
      </w:r>
      <w:r w:rsidRPr="00B77579" w:rsidR="00413A00">
        <w:rPr>
          <w:color w:val="000000"/>
        </w:rPr>
        <w:t xml:space="preserve"> </w:t>
      </w:r>
      <w:r w:rsidRPr="00B77579">
        <w:rPr>
          <w:color w:val="000000"/>
        </w:rPr>
        <w:t xml:space="preserve">were not able to collect the information required to evaluate </w:t>
      </w:r>
      <w:r w:rsidR="00C60475">
        <w:rPr>
          <w:color w:val="000000"/>
        </w:rPr>
        <w:t>the grantees’</w:t>
      </w:r>
      <w:r w:rsidR="00BA04C2">
        <w:rPr>
          <w:color w:val="000000"/>
        </w:rPr>
        <w:t xml:space="preserve"> </w:t>
      </w:r>
      <w:r w:rsidR="00C60475">
        <w:rPr>
          <w:color w:val="000000"/>
        </w:rPr>
        <w:t>activities</w:t>
      </w:r>
      <w:r w:rsidRPr="00B77579">
        <w:rPr>
          <w:color w:val="000000"/>
        </w:rPr>
        <w:t>.</w:t>
      </w:r>
      <w:r w:rsidRPr="00251F45" w:rsidR="00251F45">
        <w:t xml:space="preserve"> </w:t>
      </w:r>
      <w:r w:rsidR="00251F45">
        <w:t xml:space="preserve"> </w:t>
      </w:r>
      <w:r w:rsidR="00F32AFA">
        <w:t xml:space="preserve">Without this collection, </w:t>
      </w:r>
      <w:r w:rsidRPr="00251F45" w:rsidR="00251F45">
        <w:rPr>
          <w:color w:val="000000"/>
        </w:rPr>
        <w:t xml:space="preserve">MSHA would not have information on the type of service that the grantee is </w:t>
      </w:r>
      <w:r w:rsidRPr="00251F45" w:rsidR="00BE50C3">
        <w:rPr>
          <w:color w:val="000000"/>
        </w:rPr>
        <w:t>providing</w:t>
      </w:r>
      <w:r w:rsidR="00BE50C3">
        <w:rPr>
          <w:color w:val="000000"/>
        </w:rPr>
        <w:t xml:space="preserve"> and</w:t>
      </w:r>
      <w:r w:rsidRPr="00251F45" w:rsidR="00251F45">
        <w:rPr>
          <w:color w:val="000000"/>
        </w:rPr>
        <w:t xml:space="preserve"> would not have a record of the number of miners</w:t>
      </w:r>
      <w:r w:rsidR="00F32AFA">
        <w:rPr>
          <w:color w:val="000000"/>
        </w:rPr>
        <w:t xml:space="preserve"> and other participants</w:t>
      </w:r>
      <w:r w:rsidRPr="00251F45" w:rsidR="00251F45">
        <w:rPr>
          <w:color w:val="000000"/>
        </w:rPr>
        <w:t xml:space="preserve"> trained under grant program</w:t>
      </w:r>
      <w:r w:rsidR="00F32AFA">
        <w:rPr>
          <w:color w:val="000000"/>
        </w:rPr>
        <w:t>s</w:t>
      </w:r>
      <w:r w:rsidRPr="00251F45" w:rsidR="00251F45">
        <w:rPr>
          <w:color w:val="000000"/>
        </w:rPr>
        <w:t>.</w:t>
      </w:r>
      <w:r w:rsidR="00251F45">
        <w:rPr>
          <w:color w:val="000000"/>
        </w:rPr>
        <w:t xml:space="preserve">  </w:t>
      </w:r>
      <w:r w:rsidRPr="00251F45" w:rsidR="00251F45">
        <w:rPr>
          <w:color w:val="000000"/>
        </w:rPr>
        <w:t>MSHA may elect to withhold funding if information is not received.</w:t>
      </w:r>
      <w:r w:rsidR="00251F45">
        <w:rPr>
          <w:color w:val="000000"/>
        </w:rPr>
        <w:t xml:space="preserve">  </w:t>
      </w:r>
    </w:p>
    <w:p w:rsidR="003C061D" w:rsidRPr="00B77579" w:rsidP="00CC7F1A" w14:paraId="4CD7FBCC" w14:textId="77777777">
      <w:pPr>
        <w:widowControl/>
        <w:rPr>
          <w:color w:val="000000"/>
        </w:rPr>
      </w:pPr>
    </w:p>
    <w:p w:rsidR="00A416E3" w:rsidRPr="00A416E3" w:rsidP="000B3405" w14:paraId="14E39D33" w14:textId="77777777">
      <w:pPr>
        <w:widowControl/>
        <w:tabs>
          <w:tab w:val="left" w:pos="360"/>
        </w:tabs>
        <w:rPr>
          <w:b/>
          <w:bCs/>
          <w:color w:val="000000"/>
        </w:rPr>
      </w:pPr>
      <w:r w:rsidRPr="00B77579">
        <w:rPr>
          <w:b/>
          <w:bCs/>
          <w:color w:val="000000"/>
        </w:rPr>
        <w:t>7.</w:t>
      </w:r>
      <w:r w:rsidRPr="00B77579" w:rsidR="00B3072C">
        <w:rPr>
          <w:b/>
          <w:bCs/>
          <w:color w:val="000000"/>
        </w:rPr>
        <w:tab/>
      </w:r>
      <w:r w:rsidRPr="00A416E3">
        <w:rPr>
          <w:b/>
          <w:bCs/>
          <w:color w:val="000000"/>
        </w:rPr>
        <w:t>Explain any special circumstances that would cause an information collection to be conducted in a manner:</w:t>
      </w:r>
    </w:p>
    <w:p w:rsidR="00F32AFA" w:rsidRPr="00D53DEB" w:rsidP="00F32AFA" w14:paraId="79388FC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32AFA" w:rsidRPr="00D53DEB" w:rsidP="009D0E5D" w14:paraId="09F06D62" w14:textId="77777777">
      <w:pPr>
        <w:pStyle w:val="Level1"/>
        <w:widowControl/>
        <w:numPr>
          <w:ilvl w:val="0"/>
          <w:numId w:val="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R</w:t>
      </w:r>
      <w:r w:rsidRPr="00D53DEB">
        <w:rPr>
          <w:b/>
          <w:bCs/>
        </w:rPr>
        <w:t>equiring respondents to report information to the agency more often than quarterly;</w:t>
      </w:r>
    </w:p>
    <w:p w:rsidR="00F32AFA" w:rsidRPr="00D53DEB" w:rsidP="00F32AFA" w14:paraId="67A102F8"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F32AFA" w:rsidRPr="00D53DEB" w:rsidP="009D0E5D" w14:paraId="26FBD10B" w14:textId="77777777">
      <w:pPr>
        <w:pStyle w:val="Level1"/>
        <w:widowControl/>
        <w:numPr>
          <w:ilvl w:val="0"/>
          <w:numId w:val="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R</w:t>
      </w:r>
      <w:r w:rsidRPr="00D53DEB">
        <w:rPr>
          <w:b/>
          <w:bCs/>
        </w:rPr>
        <w:t>equiring respondents to prepare a written response to a collection of information in fewer than 30 days after receipt of it;</w:t>
      </w:r>
    </w:p>
    <w:p w:rsidR="00A416E3" w:rsidRPr="00A416E3" w:rsidP="00A416E3" w14:paraId="7B126A11" w14:textId="77777777">
      <w:pPr>
        <w:widowControl/>
        <w:tabs>
          <w:tab w:val="left" w:pos="360"/>
        </w:tabs>
        <w:ind w:left="360" w:hanging="360"/>
        <w:rPr>
          <w:b/>
          <w:bCs/>
          <w:color w:val="000000"/>
        </w:rPr>
      </w:pPr>
    </w:p>
    <w:p w:rsidR="00A416E3" w:rsidRPr="00863256" w:rsidP="009D0E5D" w14:paraId="37EC6ED0" w14:textId="29B1B21F">
      <w:pPr>
        <w:pStyle w:val="Level1"/>
        <w:widowControl/>
        <w:numPr>
          <w:ilvl w:val="0"/>
          <w:numId w:val="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color w:val="000000"/>
        </w:rPr>
        <w:t>R</w:t>
      </w:r>
      <w:r w:rsidRPr="00863256">
        <w:rPr>
          <w:b/>
          <w:bCs/>
        </w:rPr>
        <w:t>equiring respondents to prepare a written response to a collection of information in fewer than 30 days after receipt of it;</w:t>
      </w:r>
    </w:p>
    <w:p w:rsidR="00A416E3" w:rsidRPr="00863256" w:rsidP="00863256" w14:paraId="0463FB68"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b/>
          <w:bCs/>
        </w:rPr>
      </w:pPr>
    </w:p>
    <w:p w:rsidR="00A416E3" w:rsidRPr="00863256" w:rsidP="009D0E5D" w14:paraId="0AB07018" w14:textId="210B14A6">
      <w:pPr>
        <w:pStyle w:val="Level1"/>
        <w:widowControl/>
        <w:numPr>
          <w:ilvl w:val="0"/>
          <w:numId w:val="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R</w:t>
      </w:r>
      <w:r w:rsidRPr="00863256">
        <w:rPr>
          <w:b/>
          <w:bCs/>
        </w:rPr>
        <w:t>equiring respondents to submit more than an original and two copies of any document;</w:t>
      </w:r>
    </w:p>
    <w:p w:rsidR="00A416E3" w:rsidRPr="00863256" w:rsidP="00863256" w14:paraId="2DC8FBB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b/>
          <w:bCs/>
        </w:rPr>
      </w:pPr>
    </w:p>
    <w:p w:rsidR="00A416E3" w:rsidRPr="00863256" w:rsidP="009D0E5D" w14:paraId="126E9C9D" w14:textId="4123DF6C">
      <w:pPr>
        <w:pStyle w:val="Level1"/>
        <w:widowControl/>
        <w:numPr>
          <w:ilvl w:val="0"/>
          <w:numId w:val="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R</w:t>
      </w:r>
      <w:r w:rsidRPr="00863256">
        <w:rPr>
          <w:b/>
          <w:bCs/>
        </w:rPr>
        <w:t>equiring respondents to retain records, other than health, medical, government contract, grant-in-aid, or tax records for more than three years;</w:t>
      </w:r>
    </w:p>
    <w:p w:rsidR="00A416E3" w:rsidRPr="00863256" w:rsidP="00863256" w14:paraId="387AFECA"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b/>
          <w:bCs/>
        </w:rPr>
      </w:pPr>
    </w:p>
    <w:p w:rsidR="00A416E3" w:rsidRPr="00863256" w:rsidP="009D0E5D" w14:paraId="618D575C" w14:textId="183F1824">
      <w:pPr>
        <w:pStyle w:val="Level1"/>
        <w:widowControl/>
        <w:numPr>
          <w:ilvl w:val="0"/>
          <w:numId w:val="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I</w:t>
      </w:r>
      <w:r w:rsidRPr="00863256">
        <w:rPr>
          <w:b/>
          <w:bCs/>
        </w:rPr>
        <w:t>n connection with a statistical survey, that is not designed to produce valid and reliable results that can be generalized to the universe of study;</w:t>
      </w:r>
    </w:p>
    <w:p w:rsidR="00A416E3" w:rsidRPr="00863256" w:rsidP="00863256" w14:paraId="065D454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b/>
          <w:bCs/>
        </w:rPr>
      </w:pPr>
    </w:p>
    <w:p w:rsidR="00A416E3" w:rsidRPr="00863256" w:rsidP="009D0E5D" w14:paraId="433895DB" w14:textId="478DD1C1">
      <w:pPr>
        <w:pStyle w:val="Level1"/>
        <w:widowControl/>
        <w:numPr>
          <w:ilvl w:val="0"/>
          <w:numId w:val="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R</w:t>
      </w:r>
      <w:r w:rsidRPr="00863256">
        <w:rPr>
          <w:b/>
          <w:bCs/>
        </w:rPr>
        <w:t>equiring the use of statistical data classification that has not been reviewed and approved by OMB;</w:t>
      </w:r>
    </w:p>
    <w:p w:rsidR="00A416E3" w:rsidRPr="00863256" w:rsidP="00863256" w14:paraId="6CD9C833"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b/>
          <w:bCs/>
        </w:rPr>
      </w:pPr>
    </w:p>
    <w:p w:rsidR="00A416E3" w:rsidRPr="00863256" w:rsidP="009D0E5D" w14:paraId="79E23DF7" w14:textId="26B4A731">
      <w:pPr>
        <w:pStyle w:val="Level1"/>
        <w:widowControl/>
        <w:numPr>
          <w:ilvl w:val="0"/>
          <w:numId w:val="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T</w:t>
      </w:r>
      <w:r w:rsidRPr="00863256">
        <w:rPr>
          <w:b/>
          <w:bCs/>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416E3" w:rsidRPr="00863256" w:rsidP="00863256" w14:paraId="77702D3B"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b/>
          <w:bCs/>
        </w:rPr>
      </w:pPr>
    </w:p>
    <w:p w:rsidR="00A416E3" w:rsidRPr="00863256" w:rsidP="009D0E5D" w14:paraId="25841E0E" w14:textId="7B7EC09D">
      <w:pPr>
        <w:pStyle w:val="Level1"/>
        <w:widowControl/>
        <w:numPr>
          <w:ilvl w:val="0"/>
          <w:numId w:val="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R</w:t>
      </w:r>
      <w:r w:rsidRPr="00863256">
        <w:rPr>
          <w:b/>
          <w:bCs/>
        </w:rPr>
        <w:t>equiring respondents to submit proprietary trade secret, or other confidential information unless the agency can demonstrate that it has instituted procedures to protect the information's confidentiality to the extent permitted by law.</w:t>
      </w:r>
    </w:p>
    <w:p w:rsidR="003C061D" w:rsidRPr="00B77579" w:rsidP="00CC7F1A" w14:paraId="06F05ED8" w14:textId="77777777">
      <w:pPr>
        <w:widowControl/>
        <w:rPr>
          <w:b/>
          <w:bCs/>
          <w:color w:val="000000"/>
        </w:rPr>
      </w:pPr>
    </w:p>
    <w:p w:rsidR="003C061D" w:rsidRPr="00B77579" w:rsidP="00CC7F1A" w14:paraId="4E733E63" w14:textId="77777777">
      <w:pPr>
        <w:widowControl/>
        <w:rPr>
          <w:color w:val="000000"/>
        </w:rPr>
      </w:pPr>
      <w:r>
        <w:rPr>
          <w:color w:val="000000"/>
        </w:rPr>
        <w:t>A</w:t>
      </w:r>
      <w:r w:rsidRPr="00B77579">
        <w:rPr>
          <w:color w:val="000000"/>
        </w:rPr>
        <w:t xml:space="preserve">ll collections of information contained in its </w:t>
      </w:r>
      <w:r w:rsidR="008E4B4F">
        <w:rPr>
          <w:color w:val="000000"/>
        </w:rPr>
        <w:t>p</w:t>
      </w:r>
      <w:r w:rsidRPr="008E4B4F" w:rsidR="008E4B4F">
        <w:rPr>
          <w:color w:val="000000"/>
        </w:rPr>
        <w:t xml:space="preserve">erformance </w:t>
      </w:r>
      <w:r w:rsidR="008E4B4F">
        <w:rPr>
          <w:color w:val="000000"/>
        </w:rPr>
        <w:t>r</w:t>
      </w:r>
      <w:r w:rsidRPr="008E4B4F" w:rsidR="008E4B4F">
        <w:rPr>
          <w:color w:val="000000"/>
        </w:rPr>
        <w:t xml:space="preserve">eports for MSHA </w:t>
      </w:r>
      <w:r w:rsidR="008E4B4F">
        <w:rPr>
          <w:color w:val="000000"/>
        </w:rPr>
        <w:t>g</w:t>
      </w:r>
      <w:r w:rsidRPr="008E4B4F" w:rsidR="008E4B4F">
        <w:rPr>
          <w:color w:val="000000"/>
        </w:rPr>
        <w:t>rants</w:t>
      </w:r>
      <w:r w:rsidRPr="00B77579">
        <w:rPr>
          <w:color w:val="000000"/>
        </w:rPr>
        <w:t xml:space="preserve"> comply with 5 </w:t>
      </w:r>
      <w:r w:rsidRPr="00B77579" w:rsidR="002D6AAF">
        <w:rPr>
          <w:color w:val="000000"/>
        </w:rPr>
        <w:t xml:space="preserve">CFR </w:t>
      </w:r>
      <w:r w:rsidRPr="00B77579" w:rsidR="00BD14B7">
        <w:rPr>
          <w:color w:val="000000"/>
        </w:rPr>
        <w:t>1</w:t>
      </w:r>
      <w:r w:rsidRPr="00B77579">
        <w:rPr>
          <w:color w:val="000000"/>
        </w:rPr>
        <w:t>320.5.</w:t>
      </w:r>
    </w:p>
    <w:p w:rsidR="003C061D" w:rsidRPr="00B77579" w:rsidP="00CC7F1A" w14:paraId="362D4577" w14:textId="77777777">
      <w:pPr>
        <w:widowControl/>
        <w:rPr>
          <w:color w:val="000000"/>
        </w:rPr>
      </w:pPr>
    </w:p>
    <w:p w:rsidR="003C061D" w:rsidRPr="00B77579" w:rsidP="00404FF4" w14:paraId="01CEB67C" w14:textId="6F0797D6">
      <w:pPr>
        <w:widowControl/>
        <w:tabs>
          <w:tab w:val="left" w:pos="360"/>
        </w:tabs>
        <w:rPr>
          <w:b/>
          <w:bCs/>
          <w:color w:val="000000"/>
        </w:rPr>
      </w:pPr>
      <w:r w:rsidRPr="00B77579">
        <w:rPr>
          <w:b/>
          <w:bCs/>
          <w:color w:val="000000"/>
        </w:rPr>
        <w:t>8.</w:t>
      </w:r>
      <w:r w:rsidR="00404FF4">
        <w:rPr>
          <w:b/>
          <w:bCs/>
          <w:color w:val="000000"/>
        </w:rPr>
        <w:t xml:space="preserve"> </w:t>
      </w:r>
      <w:r w:rsidRPr="00B77579">
        <w:rPr>
          <w:b/>
          <w:bCs/>
          <w:color w:val="000000"/>
        </w:rPr>
        <w:t xml:space="preserve">If applicable, provide a copy and identify the date and page number of publication in the Federal Register of the agency's notice, required by 5 </w:t>
      </w:r>
      <w:r w:rsidRPr="00B77579" w:rsidR="00FC1C1D">
        <w:rPr>
          <w:b/>
          <w:bCs/>
          <w:color w:val="000000"/>
        </w:rPr>
        <w:t>CFR</w:t>
      </w:r>
      <w:r w:rsidRPr="00B77579">
        <w:rPr>
          <w:b/>
          <w:bCs/>
          <w:color w:val="000000"/>
        </w:rPr>
        <w:t xml:space="preserve"> </w:t>
      </w:r>
      <w:r w:rsidRPr="00B77579" w:rsidR="00FC1C1D">
        <w:rPr>
          <w:b/>
          <w:bCs/>
          <w:color w:val="000000"/>
        </w:rPr>
        <w:t>Section</w:t>
      </w:r>
      <w:r w:rsidRPr="00B77579">
        <w:rPr>
          <w:b/>
          <w:bCs/>
          <w:color w:val="000000"/>
        </w:rPr>
        <w:t xml:space="preserve"> 1320.8(d), soliciting comments on the information collection prior to submission to OMB</w:t>
      </w:r>
      <w:r w:rsidRPr="00B77579" w:rsidR="00A67F9D">
        <w:rPr>
          <w:b/>
          <w:bCs/>
          <w:color w:val="000000"/>
        </w:rPr>
        <w:t xml:space="preserve">. </w:t>
      </w:r>
      <w:r w:rsidRPr="00B77579">
        <w:rPr>
          <w:b/>
          <w:bCs/>
          <w:color w:val="000000"/>
        </w:rPr>
        <w:t>Summarize public comments received in response to that notice and describe actions taken by the agency in response to these comments</w:t>
      </w:r>
      <w:r w:rsidRPr="00B77579" w:rsidR="00A67F9D">
        <w:rPr>
          <w:b/>
          <w:bCs/>
          <w:color w:val="000000"/>
        </w:rPr>
        <w:t xml:space="preserve">. </w:t>
      </w:r>
      <w:r w:rsidRPr="00B77579">
        <w:rPr>
          <w:b/>
          <w:bCs/>
          <w:color w:val="000000"/>
        </w:rPr>
        <w:t>Specifically address comments received on cost and hour burden.</w:t>
      </w:r>
    </w:p>
    <w:p w:rsidR="003C061D" w:rsidRPr="00B77579" w:rsidP="00404FF4" w14:paraId="723B54C3" w14:textId="77777777">
      <w:pPr>
        <w:widowControl/>
        <w:rPr>
          <w:b/>
          <w:bCs/>
          <w:color w:val="000000"/>
        </w:rPr>
      </w:pPr>
    </w:p>
    <w:p w:rsidR="003C061D" w:rsidRPr="00B77579" w:rsidP="00404FF4" w14:paraId="692FB300" w14:textId="77777777">
      <w:pPr>
        <w:widowControl/>
        <w:rPr>
          <w:b/>
          <w:bCs/>
          <w:color w:val="000000"/>
        </w:rPr>
      </w:pPr>
      <w:r w:rsidRPr="00B77579">
        <w:rPr>
          <w:b/>
          <w:bCs/>
          <w:color w:val="00000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C061D" w:rsidRPr="00B77579" w:rsidP="00404FF4" w14:paraId="65F30900" w14:textId="77777777">
      <w:pPr>
        <w:widowControl/>
        <w:rPr>
          <w:b/>
          <w:bCs/>
          <w:color w:val="000000"/>
        </w:rPr>
      </w:pPr>
    </w:p>
    <w:p w:rsidR="003C061D" w:rsidRPr="00B77579" w:rsidP="00404FF4" w14:paraId="37AD2476" w14:textId="77777777">
      <w:pPr>
        <w:widowControl/>
        <w:rPr>
          <w:b/>
          <w:bCs/>
          <w:color w:val="000000"/>
        </w:rPr>
      </w:pPr>
      <w:r w:rsidRPr="00B77579">
        <w:rPr>
          <w:b/>
          <w:bCs/>
          <w:color w:val="000000"/>
        </w:rPr>
        <w:t>Consultation with representatives of those from whom information is to be obtained or those who must compile records should occur at least once every 3 years</w:t>
      </w:r>
      <w:r w:rsidRPr="00B77579" w:rsidR="00EE649C">
        <w:rPr>
          <w:b/>
          <w:bCs/>
          <w:color w:val="000000"/>
        </w:rPr>
        <w:t>—</w:t>
      </w:r>
      <w:r w:rsidRPr="00B77579">
        <w:rPr>
          <w:b/>
          <w:bCs/>
          <w:color w:val="000000"/>
        </w:rPr>
        <w:t>even if the collection of information activity is the same as in prior periods</w:t>
      </w:r>
      <w:r w:rsidRPr="00B77579" w:rsidR="00A67F9D">
        <w:rPr>
          <w:b/>
          <w:bCs/>
          <w:color w:val="000000"/>
        </w:rPr>
        <w:t xml:space="preserve">. </w:t>
      </w:r>
      <w:r w:rsidRPr="00B77579">
        <w:rPr>
          <w:b/>
          <w:bCs/>
          <w:color w:val="000000"/>
        </w:rPr>
        <w:t>There may be circumstances that may preclude consultation in a specific situation</w:t>
      </w:r>
      <w:r w:rsidRPr="00B77579" w:rsidR="00A67F9D">
        <w:rPr>
          <w:b/>
          <w:bCs/>
          <w:color w:val="000000"/>
        </w:rPr>
        <w:t xml:space="preserve">. </w:t>
      </w:r>
      <w:r w:rsidRPr="00B77579">
        <w:rPr>
          <w:b/>
          <w:bCs/>
          <w:color w:val="000000"/>
        </w:rPr>
        <w:t>These circumstances should be explained.</w:t>
      </w:r>
    </w:p>
    <w:p w:rsidR="003C061D" w:rsidRPr="00B77579" w:rsidP="00CC7F1A" w14:paraId="085C8615" w14:textId="77777777">
      <w:pPr>
        <w:widowControl/>
        <w:rPr>
          <w:color w:val="000000"/>
        </w:rPr>
      </w:pPr>
    </w:p>
    <w:p w:rsidR="001663AF" w:rsidRPr="001663AF" w:rsidP="001663AF" w14:paraId="79EAB6F2" w14:textId="4E108AD2">
      <w:pPr>
        <w:rPr>
          <w:color w:val="000000"/>
        </w:rPr>
      </w:pPr>
      <w:r w:rsidRPr="00C00E02">
        <w:t>In accordance with 5 CFR 1320.8(d), MSHA will publish the proposed information collection requirements in the Federal Register, notifying the public that these information collection requirements are being reviewed in accordance with the Paperwork Reduction Act of 1995, and giving interested persons 60 days to submit comments.</w:t>
      </w:r>
      <w:r w:rsidRPr="00647212" w:rsidR="00647212">
        <w:rPr>
          <w:color w:val="000000"/>
        </w:rPr>
        <w:t xml:space="preserve">  </w:t>
      </w:r>
      <w:r w:rsidRPr="001663AF">
        <w:rPr>
          <w:color w:val="000000"/>
        </w:rPr>
        <w:t xml:space="preserve">MSHA published a 60-day Federal Register notice on </w:t>
      </w:r>
      <w:r>
        <w:rPr>
          <w:color w:val="000000"/>
        </w:rPr>
        <w:t>January 24, 2024</w:t>
      </w:r>
      <w:r w:rsidRPr="001663AF">
        <w:rPr>
          <w:color w:val="000000"/>
        </w:rPr>
        <w:t xml:space="preserve"> (8</w:t>
      </w:r>
      <w:r>
        <w:rPr>
          <w:color w:val="000000"/>
        </w:rPr>
        <w:t>9 FR 4626</w:t>
      </w:r>
      <w:r w:rsidRPr="001663AF">
        <w:rPr>
          <w:color w:val="000000"/>
        </w:rPr>
        <w:t xml:space="preserve">). </w:t>
      </w:r>
      <w:r w:rsidR="00D50CE0">
        <w:rPr>
          <w:color w:val="000000"/>
        </w:rPr>
        <w:t xml:space="preserve">MSHA received 1 comment </w:t>
      </w:r>
      <w:r w:rsidR="001A7812">
        <w:rPr>
          <w:color w:val="000000"/>
        </w:rPr>
        <w:t xml:space="preserve">and took no action </w:t>
      </w:r>
      <w:r w:rsidR="000975B7">
        <w:rPr>
          <w:color w:val="000000"/>
        </w:rPr>
        <w:t xml:space="preserve">from an anonymous submitter </w:t>
      </w:r>
      <w:r w:rsidR="00D50CE0">
        <w:rPr>
          <w:color w:val="000000"/>
        </w:rPr>
        <w:t xml:space="preserve">that </w:t>
      </w:r>
      <w:r w:rsidR="00084C60">
        <w:rPr>
          <w:color w:val="000000"/>
        </w:rPr>
        <w:t xml:space="preserve">stated “this is </w:t>
      </w:r>
      <w:r w:rsidR="00AF6E37">
        <w:rPr>
          <w:color w:val="000000"/>
        </w:rPr>
        <w:t xml:space="preserve">not </w:t>
      </w:r>
      <w:r w:rsidR="00084C60">
        <w:rPr>
          <w:color w:val="000000"/>
        </w:rPr>
        <w:t>something the government or OMB should consider a burden and it needs to be revised.</w:t>
      </w:r>
      <w:r w:rsidR="00535E70">
        <w:rPr>
          <w:color w:val="000000"/>
        </w:rPr>
        <w:t xml:space="preserve"> There are many surveys that should be stopped per the PRA but happy to burden myself with the awards steps”.</w:t>
      </w:r>
      <w:r w:rsidR="00084C60">
        <w:rPr>
          <w:color w:val="000000"/>
        </w:rPr>
        <w:t xml:space="preserve"> </w:t>
      </w:r>
    </w:p>
    <w:p w:rsidR="006117BB" w:rsidRPr="00B77579" w:rsidP="00CC7F1A" w14:paraId="20341E34" w14:textId="77777777">
      <w:pPr>
        <w:widowControl/>
        <w:rPr>
          <w:color w:val="000000"/>
        </w:rPr>
      </w:pPr>
    </w:p>
    <w:p w:rsidR="003C061D" w:rsidRPr="00B77579" w:rsidP="00F065E8" w14:paraId="1B9215E7" w14:textId="77777777">
      <w:pPr>
        <w:widowControl/>
        <w:tabs>
          <w:tab w:val="left" w:pos="0"/>
        </w:tabs>
        <w:ind w:hanging="360"/>
        <w:rPr>
          <w:b/>
          <w:bCs/>
          <w:color w:val="000000"/>
        </w:rPr>
      </w:pPr>
      <w:r>
        <w:rPr>
          <w:b/>
          <w:bCs/>
          <w:color w:val="000000"/>
        </w:rPr>
        <w:tab/>
      </w:r>
      <w:r w:rsidRPr="00B77579" w:rsidR="00806341">
        <w:rPr>
          <w:b/>
          <w:bCs/>
          <w:color w:val="000000"/>
        </w:rPr>
        <w:t>9.</w:t>
      </w:r>
      <w:r>
        <w:rPr>
          <w:b/>
          <w:bCs/>
          <w:color w:val="000000"/>
        </w:rPr>
        <w:t xml:space="preserve">  </w:t>
      </w:r>
      <w:r w:rsidRPr="000B6859" w:rsidR="000B6859">
        <w:rPr>
          <w:b/>
          <w:bCs/>
          <w:color w:val="000000"/>
        </w:rPr>
        <w:t>Explain any decision to provide any payments or g</w:t>
      </w:r>
      <w:r>
        <w:rPr>
          <w:b/>
          <w:bCs/>
          <w:color w:val="000000"/>
        </w:rPr>
        <w:t xml:space="preserve">ifts to respondents, other than </w:t>
      </w:r>
      <w:r w:rsidRPr="000B6859" w:rsidR="000B6859">
        <w:rPr>
          <w:b/>
          <w:bCs/>
          <w:color w:val="000000"/>
        </w:rPr>
        <w:t>remuneration of contractors or grantees.</w:t>
      </w:r>
    </w:p>
    <w:p w:rsidR="003C061D" w:rsidRPr="00B77579" w:rsidP="00CC7F1A" w14:paraId="4E5F0008" w14:textId="77777777">
      <w:pPr>
        <w:widowControl/>
        <w:rPr>
          <w:color w:val="000000"/>
        </w:rPr>
      </w:pPr>
    </w:p>
    <w:p w:rsidR="003C061D" w:rsidRPr="00B77579" w:rsidP="00CC7F1A" w14:paraId="2D9106D4" w14:textId="77777777">
      <w:pPr>
        <w:widowControl/>
        <w:rPr>
          <w:color w:val="000000"/>
        </w:rPr>
      </w:pPr>
      <w:r w:rsidRPr="00B77579">
        <w:rPr>
          <w:color w:val="000000"/>
        </w:rPr>
        <w:t>MSHA</w:t>
      </w:r>
      <w:r w:rsidRPr="00B77579">
        <w:rPr>
          <w:color w:val="000000"/>
        </w:rPr>
        <w:t xml:space="preserve"> </w:t>
      </w:r>
      <w:r w:rsidRPr="00B77579" w:rsidR="00DB7401">
        <w:rPr>
          <w:color w:val="000000"/>
        </w:rPr>
        <w:t>does</w:t>
      </w:r>
      <w:r w:rsidRPr="00B77579">
        <w:rPr>
          <w:color w:val="000000"/>
        </w:rPr>
        <w:t xml:space="preserve"> not provide any payment or gift to respondents</w:t>
      </w:r>
      <w:r w:rsidRPr="00B77579" w:rsidR="00DB7401">
        <w:rPr>
          <w:color w:val="000000"/>
        </w:rPr>
        <w:t xml:space="preserve"> in connection with this </w:t>
      </w:r>
      <w:r w:rsidRPr="00B77579" w:rsidR="002B68A1">
        <w:rPr>
          <w:color w:val="000000"/>
        </w:rPr>
        <w:t>Information Collection Request</w:t>
      </w:r>
      <w:r w:rsidRPr="00B77579">
        <w:rPr>
          <w:color w:val="000000"/>
        </w:rPr>
        <w:t>.</w:t>
      </w:r>
    </w:p>
    <w:p w:rsidR="003C061D" w:rsidRPr="00B77579" w:rsidP="00CC7F1A" w14:paraId="2FBFB747" w14:textId="77777777">
      <w:pPr>
        <w:widowControl/>
        <w:rPr>
          <w:color w:val="000000"/>
        </w:rPr>
      </w:pPr>
    </w:p>
    <w:p w:rsidR="003C061D" w:rsidRPr="00B77579" w:rsidP="00F065E8" w14:paraId="68E6E479" w14:textId="77777777">
      <w:pPr>
        <w:widowControl/>
        <w:tabs>
          <w:tab w:val="left" w:pos="0"/>
        </w:tabs>
        <w:ind w:hanging="360"/>
        <w:rPr>
          <w:b/>
          <w:bCs/>
          <w:color w:val="000000"/>
        </w:rPr>
      </w:pPr>
      <w:r>
        <w:rPr>
          <w:b/>
          <w:bCs/>
          <w:color w:val="000000"/>
        </w:rPr>
        <w:tab/>
      </w:r>
      <w:r w:rsidRPr="00B77579" w:rsidR="00806341">
        <w:rPr>
          <w:b/>
          <w:bCs/>
          <w:color w:val="000000"/>
        </w:rPr>
        <w:t>10.</w:t>
      </w:r>
      <w:r>
        <w:rPr>
          <w:b/>
          <w:bCs/>
          <w:color w:val="000000"/>
        </w:rPr>
        <w:t xml:space="preserve">  </w:t>
      </w:r>
      <w:r w:rsidRPr="00B77579">
        <w:rPr>
          <w:b/>
          <w:bCs/>
          <w:color w:val="000000"/>
        </w:rPr>
        <w:t>Describe any assurance of confidentiality provided to respondents and the basis for the</w:t>
      </w:r>
      <w:r>
        <w:rPr>
          <w:b/>
          <w:bCs/>
          <w:color w:val="000000"/>
        </w:rPr>
        <w:t xml:space="preserve"> </w:t>
      </w:r>
      <w:r w:rsidRPr="00B77579">
        <w:rPr>
          <w:b/>
          <w:bCs/>
          <w:color w:val="000000"/>
        </w:rPr>
        <w:t>assurance in statute, regulation, or agency policy.</w:t>
      </w:r>
    </w:p>
    <w:p w:rsidR="003C061D" w:rsidRPr="00B77579" w:rsidP="00CC7F1A" w14:paraId="7CD7F34F" w14:textId="77777777">
      <w:pPr>
        <w:widowControl/>
        <w:rPr>
          <w:color w:val="000000"/>
        </w:rPr>
      </w:pPr>
    </w:p>
    <w:p w:rsidR="00525FA1" w:rsidRPr="00B77579" w:rsidP="00CC7F1A" w14:paraId="039E197C" w14:textId="77777777">
      <w:pPr>
        <w:widowControl/>
        <w:rPr>
          <w:color w:val="000000"/>
        </w:rPr>
      </w:pPr>
      <w:r w:rsidRPr="00B77579">
        <w:rPr>
          <w:color w:val="000000"/>
        </w:rPr>
        <w:t>MSHA</w:t>
      </w:r>
      <w:r w:rsidRPr="00B77579" w:rsidR="003C061D">
        <w:rPr>
          <w:color w:val="000000"/>
        </w:rPr>
        <w:t xml:space="preserve"> makes no assurance of confidentiality to those responding</w:t>
      </w:r>
      <w:r w:rsidR="000A6C84">
        <w:rPr>
          <w:color w:val="000000"/>
        </w:rPr>
        <w:t xml:space="preserve">. </w:t>
      </w:r>
    </w:p>
    <w:p w:rsidR="00525FA1" w:rsidRPr="00B77579" w:rsidP="00CC7F1A" w14:paraId="63446038" w14:textId="77777777">
      <w:pPr>
        <w:widowControl/>
        <w:rPr>
          <w:color w:val="000000"/>
        </w:rPr>
      </w:pPr>
    </w:p>
    <w:p w:rsidR="003C061D" w:rsidRPr="004A720B" w:rsidP="004A720B" w14:paraId="512C2AB2" w14:textId="77777777">
      <w:pPr>
        <w:widowControl/>
        <w:tabs>
          <w:tab w:val="left" w:pos="0"/>
        </w:tabs>
        <w:rPr>
          <w:b/>
          <w:bCs/>
          <w:color w:val="000000"/>
        </w:rPr>
      </w:pPr>
      <w:r>
        <w:rPr>
          <w:b/>
          <w:bCs/>
          <w:color w:val="000000"/>
        </w:rPr>
        <w:t>11.</w:t>
      </w:r>
      <w:r w:rsidRPr="004A720B">
        <w:rPr>
          <w:b/>
          <w:bCs/>
          <w:color w:val="000000"/>
        </w:rPr>
        <w:t xml:space="preserve"> </w:t>
      </w:r>
      <w:r w:rsidRPr="004A720B">
        <w:rPr>
          <w:b/>
          <w:bCs/>
          <w:color w:val="000000"/>
        </w:rPr>
        <w:t>Provide additional justification for any questions of a sensitive nature, such as sexual behavior and attitudes, religious beliefs, and other matters that are commonly considered private</w:t>
      </w:r>
      <w:r w:rsidRPr="004A720B" w:rsidR="00A67F9D">
        <w:rPr>
          <w:b/>
          <w:bCs/>
          <w:color w:val="000000"/>
        </w:rPr>
        <w:t xml:space="preserve">. </w:t>
      </w:r>
      <w:r w:rsidRPr="004A720B" w:rsidR="00324AFE">
        <w:rPr>
          <w:b/>
          <w:bCs/>
          <w:color w:val="000000"/>
        </w:rPr>
        <w:t xml:space="preserve"> </w:t>
      </w:r>
      <w:r w:rsidRPr="004A720B">
        <w:rPr>
          <w:b/>
          <w:bCs/>
          <w:color w:val="000000"/>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C061D" w:rsidRPr="00B77579" w:rsidP="00CC7F1A" w14:paraId="266ECD27" w14:textId="77777777">
      <w:pPr>
        <w:widowControl/>
        <w:rPr>
          <w:color w:val="000000"/>
        </w:rPr>
      </w:pPr>
    </w:p>
    <w:p w:rsidR="003C061D" w:rsidRPr="00B77579" w:rsidP="00CC7F1A" w14:paraId="03C10685" w14:textId="77777777">
      <w:pPr>
        <w:widowControl/>
        <w:rPr>
          <w:color w:val="000000"/>
        </w:rPr>
      </w:pPr>
      <w:r>
        <w:rPr>
          <w:color w:val="000000"/>
        </w:rPr>
        <w:t>R</w:t>
      </w:r>
      <w:r w:rsidRPr="00B77579">
        <w:rPr>
          <w:color w:val="000000"/>
        </w:rPr>
        <w:t xml:space="preserve">eporting requirements </w:t>
      </w:r>
      <w:r w:rsidR="00DA64FD">
        <w:rPr>
          <w:color w:val="000000"/>
        </w:rPr>
        <w:t xml:space="preserve">in the performance reports </w:t>
      </w:r>
      <w:r w:rsidRPr="00B77579">
        <w:rPr>
          <w:color w:val="000000"/>
        </w:rPr>
        <w:t>do not ask questions of a sensitive nature.</w:t>
      </w:r>
    </w:p>
    <w:p w:rsidR="00F065E8" w:rsidP="004A720B" w14:paraId="1F23DC62" w14:textId="77777777">
      <w:pPr>
        <w:pStyle w:val="ListParagraph"/>
        <w:widowControl/>
        <w:ind w:left="0"/>
        <w:rPr>
          <w:b/>
          <w:bCs/>
          <w:color w:val="000000"/>
        </w:rPr>
      </w:pPr>
    </w:p>
    <w:p w:rsidR="000B6859" w:rsidRPr="004A720B" w:rsidP="004A720B" w14:paraId="3DCA5AB1" w14:textId="77777777">
      <w:pPr>
        <w:widowControl/>
        <w:tabs>
          <w:tab w:val="left" w:pos="90"/>
        </w:tabs>
        <w:rPr>
          <w:b/>
          <w:bCs/>
          <w:color w:val="000000"/>
        </w:rPr>
      </w:pPr>
      <w:r w:rsidRPr="00F065E8">
        <w:rPr>
          <w:b/>
          <w:bCs/>
          <w:color w:val="000000"/>
        </w:rPr>
        <w:t>12.</w:t>
      </w:r>
      <w:r>
        <w:rPr>
          <w:b/>
          <w:bCs/>
          <w:color w:val="000000"/>
        </w:rPr>
        <w:t xml:space="preserve"> </w:t>
      </w:r>
      <w:r w:rsidRPr="004A720B">
        <w:rPr>
          <w:b/>
          <w:bCs/>
          <w:color w:val="000000"/>
        </w:rPr>
        <w:t>P</w:t>
      </w:r>
      <w:r w:rsidRPr="004A720B">
        <w:rPr>
          <w:b/>
          <w:bCs/>
          <w:color w:val="000000"/>
        </w:rPr>
        <w:t>rovide estimates of the hour burden of the collection of information.  The statement should:</w:t>
      </w:r>
    </w:p>
    <w:p w:rsidR="000B6859" w:rsidRPr="000B6859" w:rsidP="000B6859" w14:paraId="17060FE5" w14:textId="77777777">
      <w:pPr>
        <w:widowControl/>
        <w:rPr>
          <w:b/>
          <w:bCs/>
          <w:color w:val="000000"/>
        </w:rPr>
      </w:pPr>
    </w:p>
    <w:p w:rsidR="000B6859" w:rsidRPr="004A720B" w:rsidP="009D0E5D" w14:paraId="5E9C84A1" w14:textId="77777777">
      <w:pPr>
        <w:pStyle w:val="ListParagraph"/>
        <w:widowControl/>
        <w:numPr>
          <w:ilvl w:val="0"/>
          <w:numId w:val="2"/>
        </w:numPr>
        <w:rPr>
          <w:b/>
          <w:bCs/>
          <w:color w:val="000000"/>
        </w:rPr>
      </w:pPr>
      <w:r w:rsidRPr="004A720B">
        <w:rPr>
          <w:b/>
          <w:bCs/>
          <w:color w:val="00000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000B6859" w:rsidRPr="000B6859" w:rsidP="000B6859" w14:paraId="3598F66C" w14:textId="77777777">
      <w:pPr>
        <w:widowControl/>
        <w:rPr>
          <w:b/>
          <w:bCs/>
          <w:color w:val="000000"/>
        </w:rPr>
      </w:pPr>
    </w:p>
    <w:p w:rsidR="000B6859" w:rsidRPr="004A720B" w:rsidP="009D0E5D" w14:paraId="48325038" w14:textId="77777777">
      <w:pPr>
        <w:pStyle w:val="ListParagraph"/>
        <w:widowControl/>
        <w:numPr>
          <w:ilvl w:val="0"/>
          <w:numId w:val="2"/>
        </w:numPr>
        <w:rPr>
          <w:b/>
          <w:bCs/>
          <w:color w:val="000000"/>
        </w:rPr>
      </w:pPr>
      <w:r w:rsidRPr="004A720B">
        <w:rPr>
          <w:b/>
          <w:bCs/>
          <w:color w:val="000000"/>
        </w:rPr>
        <w:t>If this request for approval covers more than one form, provide separate hour burden estimates for each form.</w:t>
      </w:r>
    </w:p>
    <w:p w:rsidR="000B6859" w:rsidRPr="000B6859" w:rsidP="000B6859" w14:paraId="4D3C5D05" w14:textId="77777777">
      <w:pPr>
        <w:widowControl/>
        <w:rPr>
          <w:b/>
          <w:bCs/>
          <w:color w:val="000000"/>
        </w:rPr>
      </w:pPr>
    </w:p>
    <w:p w:rsidR="000B6859" w:rsidRPr="004A720B" w:rsidP="009D0E5D" w14:paraId="1FC95924" w14:textId="77777777">
      <w:pPr>
        <w:pStyle w:val="ListParagraph"/>
        <w:widowControl/>
        <w:numPr>
          <w:ilvl w:val="0"/>
          <w:numId w:val="2"/>
        </w:numPr>
        <w:rPr>
          <w:b/>
          <w:bCs/>
          <w:color w:val="000000"/>
        </w:rPr>
      </w:pPr>
      <w:r w:rsidRPr="004A720B">
        <w:rPr>
          <w:b/>
          <w:bCs/>
          <w:color w:val="000000"/>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rsidR="003C061D" w:rsidRPr="00B77579" w:rsidP="004A720B" w14:paraId="0A6D8922" w14:textId="77777777">
      <w:pPr>
        <w:widowControl/>
        <w:ind w:left="720"/>
        <w:rPr>
          <w:b/>
          <w:bCs/>
          <w:color w:val="000000"/>
        </w:rPr>
      </w:pPr>
    </w:p>
    <w:p w:rsidR="00F32AFA" w:rsidRPr="00606AC4" w:rsidP="00F32AFA" w14:paraId="1C8D4D5E" w14:textId="77777777">
      <w:pPr>
        <w:rPr>
          <w:b/>
          <w:bCs/>
          <w:iCs/>
        </w:rPr>
      </w:pPr>
      <w:r w:rsidRPr="00936CAA">
        <w:rPr>
          <w:b/>
          <w:bCs/>
          <w:iCs/>
        </w:rPr>
        <w:t>Respondents</w:t>
      </w:r>
    </w:p>
    <w:p w:rsidR="00F32AFA" w:rsidRPr="00606AC4" w:rsidP="00F32AFA" w14:paraId="73DDBEF3" w14:textId="77777777">
      <w:pPr>
        <w:widowControl/>
      </w:pPr>
    </w:p>
    <w:p w:rsidR="00F32AFA" w:rsidP="00F32AFA" w14:paraId="21D68EAA" w14:textId="75DFE9B6">
      <w:pPr>
        <w:widowControl/>
        <w:rPr>
          <w:color w:val="000000"/>
        </w:rPr>
      </w:pPr>
      <w:r w:rsidRPr="00861AA0">
        <w:rPr>
          <w:color w:val="000000"/>
        </w:rPr>
        <w:t xml:space="preserve">For the State </w:t>
      </w:r>
      <w:r>
        <w:rPr>
          <w:color w:val="000000"/>
        </w:rPr>
        <w:t>G</w:t>
      </w:r>
      <w:r w:rsidRPr="00861AA0">
        <w:rPr>
          <w:color w:val="000000"/>
        </w:rPr>
        <w:t>rant</w:t>
      </w:r>
      <w:r>
        <w:rPr>
          <w:color w:val="000000"/>
        </w:rPr>
        <w:t>s program</w:t>
      </w:r>
      <w:r w:rsidRPr="00861AA0">
        <w:rPr>
          <w:color w:val="000000"/>
        </w:rPr>
        <w:t xml:space="preserve">, </w:t>
      </w:r>
      <w:r w:rsidRPr="00D56DEF">
        <w:t xml:space="preserve">MSHA could award </w:t>
      </w:r>
      <w:r w:rsidR="009B7902">
        <w:rPr>
          <w:color w:val="000000"/>
        </w:rPr>
        <w:t>as many as</w:t>
      </w:r>
      <w:r w:rsidRPr="00D56DEF" w:rsidR="009B7902">
        <w:t xml:space="preserve"> </w:t>
      </w:r>
      <w:r w:rsidRPr="00D56DEF">
        <w:t>56 grants</w:t>
      </w:r>
      <w:r>
        <w:t xml:space="preserve"> per year</w:t>
      </w:r>
      <w:r w:rsidRPr="00383C8C">
        <w:rPr>
          <w:color w:val="000000"/>
        </w:rPr>
        <w:t>, subject to available funds</w:t>
      </w:r>
      <w:r w:rsidRPr="00D56DEF">
        <w:t>.</w:t>
      </w:r>
      <w:bookmarkStart w:id="9" w:name="_Hlk124324144"/>
      <w:r>
        <w:t xml:space="preserve"> </w:t>
      </w:r>
      <w:r w:rsidR="009B7902">
        <w:rPr>
          <w:color w:val="000000"/>
        </w:rPr>
        <w:t>T</w:t>
      </w:r>
      <w:r>
        <w:rPr>
          <w:color w:val="000000"/>
        </w:rPr>
        <w:t>he State Grants program recipients were mainly community colleges, universities, and state agencies related to mining activities</w:t>
      </w:r>
      <w:r>
        <w:rPr>
          <w:rStyle w:val="FootnoteReference"/>
          <w:color w:val="000000"/>
          <w:vertAlign w:val="superscript"/>
        </w:rPr>
        <w:footnoteReference w:id="2"/>
      </w:r>
      <w:r>
        <w:rPr>
          <w:color w:val="000000"/>
        </w:rPr>
        <w:t>.</w:t>
      </w:r>
    </w:p>
    <w:p w:rsidR="00F32AFA" w:rsidP="00F32AFA" w14:paraId="3F2BC422" w14:textId="77777777">
      <w:pPr>
        <w:widowControl/>
        <w:rPr>
          <w:color w:val="000000"/>
        </w:rPr>
      </w:pPr>
    </w:p>
    <w:p w:rsidR="00F32AFA" w:rsidP="00F32AFA" w14:paraId="2496AE35" w14:textId="1CED179A">
      <w:pPr>
        <w:widowControl/>
        <w:rPr>
          <w:color w:val="000000"/>
        </w:rPr>
      </w:pPr>
      <w:r w:rsidRPr="006E4839">
        <w:rPr>
          <w:color w:val="000000"/>
        </w:rPr>
        <w:t xml:space="preserve">For the </w:t>
      </w:r>
      <w:r w:rsidR="00DF7824">
        <w:rPr>
          <w:color w:val="000000"/>
        </w:rPr>
        <w:t>Brookwood-Sago Mine Safety Grant</w:t>
      </w:r>
      <w:r>
        <w:rPr>
          <w:color w:val="000000"/>
        </w:rPr>
        <w:t>s program</w:t>
      </w:r>
      <w:r w:rsidRPr="006E4839">
        <w:rPr>
          <w:color w:val="000000"/>
        </w:rPr>
        <w:t xml:space="preserve">, </w:t>
      </w:r>
      <w:r w:rsidRPr="00113E83">
        <w:rPr>
          <w:color w:val="000000"/>
        </w:rPr>
        <w:t>MSHA may award up to 20 grants</w:t>
      </w:r>
      <w:r>
        <w:rPr>
          <w:color w:val="000000"/>
        </w:rPr>
        <w:t xml:space="preserve"> per year</w:t>
      </w:r>
      <w:r w:rsidRPr="006E4839">
        <w:rPr>
          <w:color w:val="000000"/>
        </w:rPr>
        <w:t>.</w:t>
      </w:r>
      <w:r>
        <w:rPr>
          <w:color w:val="000000"/>
        </w:rPr>
        <w:t xml:space="preserve"> </w:t>
      </w:r>
      <w:r w:rsidR="00304354">
        <w:rPr>
          <w:color w:val="000000"/>
        </w:rPr>
        <w:t>T</w:t>
      </w:r>
      <w:r>
        <w:rPr>
          <w:color w:val="000000"/>
        </w:rPr>
        <w:t xml:space="preserve">he </w:t>
      </w:r>
      <w:r w:rsidR="00DF7824">
        <w:rPr>
          <w:color w:val="000000"/>
        </w:rPr>
        <w:t>Brookwood-Sago Mine Safety Grant</w:t>
      </w:r>
      <w:r>
        <w:rPr>
          <w:color w:val="000000"/>
        </w:rPr>
        <w:t>s recipients were mainly community colleges, universities, and state agencies related to mining activities</w:t>
      </w:r>
      <w:r>
        <w:rPr>
          <w:rStyle w:val="FootnoteReference"/>
          <w:color w:val="000000"/>
          <w:vertAlign w:val="superscript"/>
        </w:rPr>
        <w:footnoteReference w:id="3"/>
      </w:r>
      <w:r>
        <w:rPr>
          <w:color w:val="000000"/>
        </w:rPr>
        <w:t>.</w:t>
      </w:r>
    </w:p>
    <w:p w:rsidR="00605E95" w:rsidP="00F32AFA" w14:paraId="24E3BFE8" w14:textId="77777777">
      <w:pPr>
        <w:widowControl/>
        <w:rPr>
          <w:color w:val="000000"/>
        </w:rPr>
      </w:pPr>
    </w:p>
    <w:bookmarkEnd w:id="9"/>
    <w:p w:rsidR="00F32AFA" w:rsidRPr="00936CAA" w:rsidP="00F32AFA" w14:paraId="617C3AA4" w14:textId="77777777">
      <w:pPr>
        <w:rPr>
          <w:b/>
          <w:bCs/>
          <w:iCs/>
        </w:rPr>
      </w:pPr>
      <w:r w:rsidRPr="00936CAA">
        <w:rPr>
          <w:b/>
          <w:bCs/>
          <w:iCs/>
        </w:rPr>
        <w:t>Wage Rates Determinations</w:t>
      </w:r>
      <w:r>
        <w:rPr>
          <w:rStyle w:val="FootnoteReference"/>
          <w:b/>
          <w:bCs/>
          <w:iCs/>
          <w:vertAlign w:val="superscript"/>
        </w:rPr>
        <w:footnoteReference w:id="4"/>
      </w:r>
    </w:p>
    <w:p w:rsidR="00F32AFA" w:rsidRPr="00936CAA" w:rsidP="00F32AFA" w14:paraId="75E2A1F5" w14:textId="77777777">
      <w:pPr>
        <w:rPr>
          <w:iCs/>
        </w:rPr>
      </w:pPr>
    </w:p>
    <w:p w:rsidR="00F32AFA" w:rsidP="00F32AFA" w14:paraId="126C21ED" w14:textId="77777777">
      <w:bookmarkStart w:id="13" w:name="_Hlk130456869"/>
      <w:r w:rsidRPr="00936CAA">
        <w:t xml:space="preserve">MSHA used data from the May 2021 Occupational Employment and Wage Statistics (OEWS) </w:t>
      </w:r>
      <w:bookmarkEnd w:id="13"/>
      <w:r w:rsidRPr="00936CAA">
        <w:t>published by the Bureau of Labor Statistics (BLS) for hourly wage rates</w:t>
      </w:r>
      <w:r>
        <w:rPr>
          <w:vertAlign w:val="superscript"/>
        </w:rPr>
        <w:footnoteReference w:id="5"/>
      </w:r>
      <w:r w:rsidRPr="00936CAA">
        <w:t xml:space="preserve"> and adjusted the rates </w:t>
      </w:r>
    </w:p>
    <w:p w:rsidR="00F32AFA" w:rsidRPr="00936CAA" w:rsidP="00F32AFA" w14:paraId="595E468E" w14:textId="65615B35">
      <w:r w:rsidRPr="00936CAA">
        <w:t>for benefits</w:t>
      </w:r>
      <w:r>
        <w:rPr>
          <w:vertAlign w:val="superscript"/>
        </w:rPr>
        <w:footnoteReference w:id="6"/>
      </w:r>
      <w:r>
        <w:t>,</w:t>
      </w:r>
      <w:r w:rsidRPr="00936CAA">
        <w:t xml:space="preserve"> wage inflation</w:t>
      </w:r>
      <w:r>
        <w:rPr>
          <w:vertAlign w:val="superscript"/>
        </w:rPr>
        <w:footnoteReference w:id="7"/>
      </w:r>
      <w:r>
        <w:t xml:space="preserve">, </w:t>
      </w:r>
      <w:r w:rsidR="00D5782D">
        <w:t xml:space="preserve">and overhead </w:t>
      </w:r>
      <w:bookmarkStart w:id="15" w:name="_Hlk137117203"/>
      <w:r w:rsidR="00D5782D">
        <w:t>costs</w:t>
      </w:r>
      <w:bookmarkStart w:id="16" w:name="_Hlk137117190"/>
      <w:r>
        <w:rPr>
          <w:vertAlign w:val="superscript"/>
        </w:rPr>
        <w:footnoteReference w:id="8"/>
      </w:r>
      <w:bookmarkEnd w:id="15"/>
      <w:bookmarkEnd w:id="16"/>
      <w:r w:rsidRPr="00936CAA" w:rsidR="00D5782D">
        <w:t xml:space="preserve">. </w:t>
      </w:r>
      <w:r w:rsidRPr="00936CAA">
        <w:t>The occupations listed below in Table 12-1 are those that were determined to be relevant for the cost calculations.</w:t>
      </w:r>
    </w:p>
    <w:p w:rsidR="00F32AFA" w:rsidP="00F32AFA" w14:paraId="7ECB4B22" w14:textId="77777777">
      <w:pPr>
        <w:rPr>
          <w:b/>
          <w:color w:val="000000"/>
          <w:sz w:val="22"/>
          <w:szCs w:val="22"/>
        </w:rPr>
      </w:pPr>
    </w:p>
    <w:p w:rsidR="00F32AFA" w:rsidP="00F32AFA" w14:paraId="580E4844" w14:textId="3810D64B">
      <w:pPr>
        <w:rPr>
          <w:b/>
          <w:color w:val="000000"/>
          <w:sz w:val="22"/>
          <w:szCs w:val="22"/>
        </w:rPr>
      </w:pPr>
      <w:r w:rsidRPr="00B6227C">
        <w:rPr>
          <w:b/>
          <w:color w:val="000000"/>
          <w:sz w:val="22"/>
          <w:szCs w:val="22"/>
        </w:rPr>
        <w:t xml:space="preserve">Table </w:t>
      </w:r>
      <w:r>
        <w:rPr>
          <w:b/>
          <w:color w:val="000000"/>
          <w:sz w:val="22"/>
          <w:szCs w:val="22"/>
        </w:rPr>
        <w:t>12-</w:t>
      </w:r>
      <w:r w:rsidRPr="00B6227C">
        <w:rPr>
          <w:b/>
          <w:color w:val="000000"/>
          <w:sz w:val="22"/>
          <w:szCs w:val="22"/>
        </w:rPr>
        <w:t>1</w:t>
      </w:r>
      <w:r w:rsidR="00C501C5">
        <w:rPr>
          <w:b/>
          <w:color w:val="000000"/>
          <w:sz w:val="22"/>
          <w:szCs w:val="22"/>
        </w:rPr>
        <w:t>.</w:t>
      </w:r>
      <w:r w:rsidRPr="00B6227C">
        <w:rPr>
          <w:b/>
          <w:color w:val="000000"/>
          <w:sz w:val="22"/>
          <w:szCs w:val="22"/>
        </w:rPr>
        <w:t xml:space="preserve"> </w:t>
      </w:r>
      <w:r w:rsidRPr="001B6FB0">
        <w:rPr>
          <w:b/>
          <w:color w:val="000000"/>
          <w:sz w:val="22"/>
          <w:szCs w:val="22"/>
        </w:rPr>
        <w:t>Hourly Wage</w:t>
      </w:r>
      <w:r w:rsidRPr="00B6227C">
        <w:rPr>
          <w:b/>
          <w:color w:val="000000"/>
          <w:sz w:val="22"/>
          <w:szCs w:val="22"/>
        </w:rPr>
        <w:t xml:space="preserve"> </w:t>
      </w:r>
      <w:r w:rsidRPr="001B6FB0">
        <w:rPr>
          <w:b/>
          <w:color w:val="000000"/>
          <w:sz w:val="22"/>
          <w:szCs w:val="22"/>
        </w:rPr>
        <w:t>Rate</w:t>
      </w:r>
    </w:p>
    <w:tbl>
      <w:tblPr>
        <w:tblStyle w:val="TableGrid"/>
        <w:tblW w:w="8839" w:type="dxa"/>
        <w:tblLook w:val="04A0"/>
      </w:tblPr>
      <w:tblGrid>
        <w:gridCol w:w="2227"/>
        <w:gridCol w:w="1326"/>
        <w:gridCol w:w="766"/>
        <w:gridCol w:w="1160"/>
        <w:gridCol w:w="1160"/>
        <w:gridCol w:w="1160"/>
        <w:gridCol w:w="1040"/>
      </w:tblGrid>
      <w:tr w14:paraId="41EB59D3" w14:textId="77777777" w:rsidTr="00F740C2">
        <w:tblPrEx>
          <w:tblW w:w="8839" w:type="dxa"/>
          <w:tblLook w:val="04A0"/>
        </w:tblPrEx>
        <w:tc>
          <w:tcPr>
            <w:tcW w:w="2227" w:type="dxa"/>
          </w:tcPr>
          <w:p w:rsidR="00F32AFA" w:rsidRPr="009B1A99" w:rsidP="0018469C" w14:paraId="48939F8B" w14:textId="77777777">
            <w:pPr>
              <w:jc w:val="center"/>
              <w:rPr>
                <w:rFonts w:ascii="Times New Roman" w:hAnsi="Times New Roman"/>
                <w:iCs/>
                <w:sz w:val="20"/>
                <w:szCs w:val="20"/>
              </w:rPr>
            </w:pPr>
          </w:p>
        </w:tc>
        <w:tc>
          <w:tcPr>
            <w:tcW w:w="1326" w:type="dxa"/>
          </w:tcPr>
          <w:p w:rsidR="00F32AFA" w:rsidRPr="009B1A99" w:rsidP="0018469C" w14:paraId="625C61E6" w14:textId="77777777">
            <w:pPr>
              <w:jc w:val="center"/>
              <w:rPr>
                <w:rFonts w:ascii="Times New Roman" w:hAnsi="Times New Roman"/>
                <w:iCs/>
                <w:sz w:val="20"/>
                <w:szCs w:val="20"/>
              </w:rPr>
            </w:pPr>
          </w:p>
        </w:tc>
        <w:tc>
          <w:tcPr>
            <w:tcW w:w="766" w:type="dxa"/>
          </w:tcPr>
          <w:p w:rsidR="00F32AFA" w:rsidRPr="009B1A99" w:rsidP="0018469C" w14:paraId="0D249C8F" w14:textId="77777777">
            <w:pPr>
              <w:jc w:val="center"/>
              <w:rPr>
                <w:rFonts w:ascii="Times New Roman" w:hAnsi="Times New Roman"/>
                <w:iCs/>
                <w:sz w:val="20"/>
                <w:szCs w:val="20"/>
              </w:rPr>
            </w:pPr>
            <w:r w:rsidRPr="009B1A99">
              <w:rPr>
                <w:rFonts w:ascii="Times New Roman" w:hAnsi="Times New Roman"/>
                <w:iCs/>
                <w:sz w:val="20"/>
                <w:szCs w:val="20"/>
              </w:rPr>
              <w:t>A</w:t>
            </w:r>
          </w:p>
        </w:tc>
        <w:tc>
          <w:tcPr>
            <w:tcW w:w="1160" w:type="dxa"/>
          </w:tcPr>
          <w:p w:rsidR="00F32AFA" w:rsidRPr="009B1A99" w:rsidP="0018469C" w14:paraId="5096D1EC" w14:textId="77777777">
            <w:pPr>
              <w:jc w:val="center"/>
              <w:rPr>
                <w:rFonts w:ascii="Times New Roman" w:hAnsi="Times New Roman"/>
                <w:iCs/>
                <w:sz w:val="20"/>
                <w:szCs w:val="20"/>
              </w:rPr>
            </w:pPr>
            <w:r w:rsidRPr="009B1A99">
              <w:rPr>
                <w:rFonts w:ascii="Times New Roman" w:hAnsi="Times New Roman"/>
                <w:iCs/>
                <w:sz w:val="20"/>
                <w:szCs w:val="20"/>
              </w:rPr>
              <w:t>B</w:t>
            </w:r>
          </w:p>
        </w:tc>
        <w:tc>
          <w:tcPr>
            <w:tcW w:w="1160" w:type="dxa"/>
          </w:tcPr>
          <w:p w:rsidR="00F32AFA" w:rsidRPr="009B1A99" w:rsidP="0018469C" w14:paraId="45001883" w14:textId="77777777">
            <w:pPr>
              <w:jc w:val="center"/>
              <w:rPr>
                <w:rFonts w:ascii="Times New Roman" w:hAnsi="Times New Roman"/>
                <w:iCs/>
                <w:sz w:val="20"/>
                <w:szCs w:val="20"/>
              </w:rPr>
            </w:pPr>
            <w:r w:rsidRPr="009B1A99">
              <w:rPr>
                <w:rFonts w:ascii="Times New Roman" w:hAnsi="Times New Roman"/>
                <w:iCs/>
                <w:sz w:val="20"/>
                <w:szCs w:val="20"/>
              </w:rPr>
              <w:t>C</w:t>
            </w:r>
          </w:p>
        </w:tc>
        <w:tc>
          <w:tcPr>
            <w:tcW w:w="1160" w:type="dxa"/>
          </w:tcPr>
          <w:p w:rsidR="00F32AFA" w:rsidRPr="009B1A99" w:rsidP="0018469C" w14:paraId="2FB921E6" w14:textId="77777777">
            <w:pPr>
              <w:jc w:val="center"/>
              <w:rPr>
                <w:rFonts w:ascii="Times New Roman" w:hAnsi="Times New Roman"/>
                <w:iCs/>
                <w:sz w:val="20"/>
                <w:szCs w:val="20"/>
              </w:rPr>
            </w:pPr>
            <w:r w:rsidRPr="00760FF0">
              <w:rPr>
                <w:rFonts w:ascii="Times New Roman" w:hAnsi="Times New Roman"/>
                <w:iCs/>
                <w:sz w:val="20"/>
                <w:szCs w:val="20"/>
              </w:rPr>
              <w:t>D</w:t>
            </w:r>
          </w:p>
        </w:tc>
        <w:tc>
          <w:tcPr>
            <w:tcW w:w="1040" w:type="dxa"/>
          </w:tcPr>
          <w:p w:rsidR="00F32AFA" w:rsidRPr="009B1A99" w:rsidP="0018469C" w14:paraId="6C5632E5" w14:textId="77777777">
            <w:pPr>
              <w:jc w:val="center"/>
              <w:rPr>
                <w:rFonts w:ascii="Times New Roman" w:hAnsi="Times New Roman"/>
                <w:iCs/>
                <w:sz w:val="20"/>
                <w:szCs w:val="20"/>
              </w:rPr>
            </w:pPr>
            <w:r w:rsidRPr="009B1A99">
              <w:rPr>
                <w:rFonts w:ascii="Times New Roman" w:hAnsi="Times New Roman"/>
                <w:iCs/>
                <w:sz w:val="20"/>
                <w:szCs w:val="20"/>
              </w:rPr>
              <w:t>A x B x C X D</w:t>
            </w:r>
          </w:p>
        </w:tc>
      </w:tr>
      <w:tr w14:paraId="74487B9E" w14:textId="77777777" w:rsidTr="00983632">
        <w:tblPrEx>
          <w:tblW w:w="8839" w:type="dxa"/>
          <w:tblLook w:val="04A0"/>
        </w:tblPrEx>
        <w:tc>
          <w:tcPr>
            <w:tcW w:w="2227" w:type="dxa"/>
            <w:shd w:val="clear" w:color="auto" w:fill="C6D9F0" w:themeFill="text2" w:themeFillTint="33"/>
          </w:tcPr>
          <w:p w:rsidR="00F32AFA" w:rsidRPr="009B1A99" w:rsidP="0018469C" w14:paraId="7CE1DD5F" w14:textId="77777777">
            <w:pPr>
              <w:rPr>
                <w:rFonts w:ascii="Times New Roman" w:hAnsi="Times New Roman"/>
                <w:b/>
                <w:bCs/>
                <w:iCs/>
                <w:sz w:val="20"/>
                <w:szCs w:val="20"/>
              </w:rPr>
            </w:pPr>
            <w:r w:rsidRPr="009B1A99">
              <w:rPr>
                <w:rFonts w:ascii="Times New Roman" w:hAnsi="Times New Roman"/>
                <w:b/>
                <w:bCs/>
                <w:iCs/>
                <w:sz w:val="20"/>
                <w:szCs w:val="20"/>
              </w:rPr>
              <w:t>Occupation</w:t>
            </w:r>
          </w:p>
        </w:tc>
        <w:tc>
          <w:tcPr>
            <w:tcW w:w="1326" w:type="dxa"/>
            <w:shd w:val="clear" w:color="auto" w:fill="C6D9F0" w:themeFill="text2" w:themeFillTint="33"/>
          </w:tcPr>
          <w:p w:rsidR="00F32AFA" w:rsidRPr="009B1A99" w:rsidP="0018469C" w14:paraId="7FF69106" w14:textId="77777777">
            <w:pPr>
              <w:jc w:val="center"/>
              <w:rPr>
                <w:rFonts w:ascii="Times New Roman" w:hAnsi="Times New Roman"/>
                <w:b/>
                <w:bCs/>
                <w:iCs/>
                <w:sz w:val="20"/>
                <w:szCs w:val="20"/>
              </w:rPr>
            </w:pPr>
            <w:r w:rsidRPr="00760FF0">
              <w:rPr>
                <w:rFonts w:ascii="Times New Roman" w:hAnsi="Times New Roman"/>
                <w:b/>
                <w:bCs/>
                <w:iCs/>
                <w:sz w:val="20"/>
                <w:szCs w:val="20"/>
              </w:rPr>
              <w:t>NAICS Code</w:t>
            </w:r>
          </w:p>
        </w:tc>
        <w:tc>
          <w:tcPr>
            <w:tcW w:w="766" w:type="dxa"/>
            <w:shd w:val="clear" w:color="auto" w:fill="C6D9F0" w:themeFill="text2" w:themeFillTint="33"/>
          </w:tcPr>
          <w:p w:rsidR="00F32AFA" w:rsidRPr="009B1A99" w:rsidP="0018469C" w14:paraId="31269BC6" w14:textId="77777777">
            <w:pPr>
              <w:jc w:val="center"/>
              <w:rPr>
                <w:rFonts w:ascii="Times New Roman" w:hAnsi="Times New Roman"/>
                <w:b/>
                <w:bCs/>
                <w:iCs/>
                <w:sz w:val="20"/>
                <w:szCs w:val="20"/>
              </w:rPr>
            </w:pPr>
            <w:r w:rsidRPr="009B1A99">
              <w:rPr>
                <w:rFonts w:ascii="Times New Roman" w:hAnsi="Times New Roman"/>
                <w:b/>
                <w:bCs/>
                <w:iCs/>
                <w:sz w:val="20"/>
                <w:szCs w:val="20"/>
              </w:rPr>
              <w:t xml:space="preserve">Mean Wage Rate </w:t>
            </w:r>
          </w:p>
        </w:tc>
        <w:tc>
          <w:tcPr>
            <w:tcW w:w="1160" w:type="dxa"/>
            <w:shd w:val="clear" w:color="auto" w:fill="C6D9F0" w:themeFill="text2" w:themeFillTint="33"/>
          </w:tcPr>
          <w:p w:rsidR="00F32AFA" w:rsidRPr="009B1A99" w:rsidP="0018469C" w14:paraId="3132D9DD" w14:textId="008CAB9D">
            <w:pPr>
              <w:jc w:val="center"/>
              <w:rPr>
                <w:rFonts w:ascii="Times New Roman" w:hAnsi="Times New Roman"/>
                <w:b/>
                <w:bCs/>
                <w:iCs/>
                <w:sz w:val="20"/>
                <w:szCs w:val="20"/>
              </w:rPr>
            </w:pPr>
            <w:r w:rsidRPr="009B1A99">
              <w:rPr>
                <w:rFonts w:ascii="Times New Roman" w:hAnsi="Times New Roman"/>
                <w:b/>
                <w:bCs/>
                <w:iCs/>
                <w:sz w:val="20"/>
                <w:szCs w:val="20"/>
              </w:rPr>
              <w:t>Benefit Multiplier</w:t>
            </w:r>
            <w:r w:rsidRPr="003F5124" w:rsidR="00DF3E95">
              <w:rPr>
                <w:b/>
                <w:bCs/>
                <w:iCs/>
                <w:sz w:val="20"/>
                <w:szCs w:val="20"/>
                <w:vertAlign w:val="superscript"/>
              </w:rPr>
              <w:t>2</w:t>
            </w:r>
          </w:p>
        </w:tc>
        <w:tc>
          <w:tcPr>
            <w:tcW w:w="1160" w:type="dxa"/>
            <w:shd w:val="clear" w:color="auto" w:fill="C6D9F0" w:themeFill="text2" w:themeFillTint="33"/>
          </w:tcPr>
          <w:p w:rsidR="00F32AFA" w:rsidRPr="009B1A99" w:rsidP="0018469C" w14:paraId="06DCD273" w14:textId="5E3D2243">
            <w:pPr>
              <w:jc w:val="center"/>
              <w:rPr>
                <w:rFonts w:ascii="Times New Roman" w:hAnsi="Times New Roman"/>
                <w:b/>
                <w:bCs/>
                <w:iCs/>
                <w:sz w:val="20"/>
                <w:szCs w:val="20"/>
              </w:rPr>
            </w:pPr>
            <w:r w:rsidRPr="009B1A99">
              <w:rPr>
                <w:rFonts w:ascii="Times New Roman" w:hAnsi="Times New Roman"/>
                <w:b/>
                <w:bCs/>
                <w:iCs/>
                <w:sz w:val="20"/>
                <w:szCs w:val="20"/>
              </w:rPr>
              <w:t>Inflation Multiplier</w:t>
            </w:r>
            <w:r w:rsidRPr="003F5124" w:rsidR="00DF3E95">
              <w:rPr>
                <w:b/>
                <w:bCs/>
                <w:iCs/>
                <w:sz w:val="20"/>
                <w:szCs w:val="20"/>
                <w:vertAlign w:val="superscript"/>
              </w:rPr>
              <w:t>3</w:t>
            </w:r>
          </w:p>
        </w:tc>
        <w:tc>
          <w:tcPr>
            <w:tcW w:w="1160" w:type="dxa"/>
            <w:shd w:val="clear" w:color="auto" w:fill="C6D9F0" w:themeFill="text2" w:themeFillTint="33"/>
          </w:tcPr>
          <w:p w:rsidR="00F32AFA" w:rsidRPr="009B1A99" w:rsidP="0018469C" w14:paraId="60822D1D" w14:textId="6274760F">
            <w:pPr>
              <w:jc w:val="center"/>
              <w:rPr>
                <w:rFonts w:ascii="Times New Roman" w:hAnsi="Times New Roman"/>
                <w:b/>
                <w:bCs/>
                <w:iCs/>
                <w:sz w:val="20"/>
                <w:szCs w:val="20"/>
              </w:rPr>
            </w:pPr>
            <w:r w:rsidRPr="00760FF0">
              <w:rPr>
                <w:rFonts w:ascii="Times New Roman" w:hAnsi="Times New Roman"/>
                <w:b/>
                <w:bCs/>
                <w:iCs/>
                <w:sz w:val="20"/>
                <w:szCs w:val="20"/>
              </w:rPr>
              <w:t>Overhead Cost Multiplier</w:t>
            </w:r>
            <w:r w:rsidRPr="003F5124" w:rsidR="00DF3E95">
              <w:rPr>
                <w:b/>
                <w:bCs/>
                <w:iCs/>
                <w:sz w:val="20"/>
                <w:szCs w:val="20"/>
                <w:vertAlign w:val="superscript"/>
              </w:rPr>
              <w:t>4</w:t>
            </w:r>
          </w:p>
        </w:tc>
        <w:tc>
          <w:tcPr>
            <w:tcW w:w="1040" w:type="dxa"/>
            <w:shd w:val="clear" w:color="auto" w:fill="C6D9F0" w:themeFill="text2" w:themeFillTint="33"/>
          </w:tcPr>
          <w:p w:rsidR="00F32AFA" w:rsidRPr="009B1A99" w:rsidP="0018469C" w14:paraId="7D09993C" w14:textId="77777777">
            <w:pPr>
              <w:jc w:val="center"/>
              <w:rPr>
                <w:rFonts w:ascii="Times New Roman" w:hAnsi="Times New Roman"/>
                <w:b/>
                <w:bCs/>
                <w:iCs/>
                <w:sz w:val="20"/>
                <w:szCs w:val="20"/>
              </w:rPr>
            </w:pPr>
            <w:r w:rsidRPr="009B1A99">
              <w:rPr>
                <w:rFonts w:ascii="Times New Roman" w:hAnsi="Times New Roman"/>
                <w:b/>
                <w:bCs/>
                <w:iCs/>
                <w:sz w:val="20"/>
                <w:szCs w:val="20"/>
              </w:rPr>
              <w:t>Loaded Hourly Wage Rate</w:t>
            </w:r>
          </w:p>
        </w:tc>
      </w:tr>
      <w:tr w14:paraId="05349DAA" w14:textId="77777777" w:rsidTr="00F740C2">
        <w:tblPrEx>
          <w:tblW w:w="8839" w:type="dxa"/>
          <w:tblLook w:val="04A0"/>
        </w:tblPrEx>
        <w:tc>
          <w:tcPr>
            <w:tcW w:w="2227" w:type="dxa"/>
          </w:tcPr>
          <w:p w:rsidR="00F32AFA" w:rsidRPr="009B1A99" w:rsidP="00F32AFA" w14:paraId="1BBB6119" w14:textId="582946E5">
            <w:pPr>
              <w:rPr>
                <w:rFonts w:ascii="Times New Roman" w:hAnsi="Times New Roman"/>
                <w:iCs/>
                <w:sz w:val="20"/>
                <w:szCs w:val="20"/>
              </w:rPr>
            </w:pPr>
            <w:r w:rsidRPr="00F32AFA">
              <w:rPr>
                <w:rFonts w:ascii="Times New Roman" w:hAnsi="Times New Roman"/>
                <w:iCs/>
                <w:sz w:val="20"/>
                <w:szCs w:val="20"/>
              </w:rPr>
              <w:t xml:space="preserve">Administrative Support Staff </w:t>
            </w:r>
            <w:r w:rsidR="00DF3E95">
              <w:rPr>
                <w:rFonts w:ascii="Times New Roman" w:hAnsi="Times New Roman"/>
                <w:iCs/>
                <w:sz w:val="20"/>
                <w:szCs w:val="20"/>
                <w:vertAlign w:val="superscript"/>
              </w:rPr>
              <w:t>1</w:t>
            </w:r>
          </w:p>
        </w:tc>
        <w:tc>
          <w:tcPr>
            <w:tcW w:w="1326" w:type="dxa"/>
            <w:vAlign w:val="center"/>
          </w:tcPr>
          <w:p w:rsidR="00F32AFA" w:rsidRPr="009B1A99" w:rsidP="00F32AFA" w14:paraId="60B7A519" w14:textId="515C3365">
            <w:pPr>
              <w:jc w:val="center"/>
              <w:rPr>
                <w:rFonts w:ascii="Times New Roman" w:hAnsi="Times New Roman"/>
                <w:iCs/>
                <w:sz w:val="20"/>
                <w:szCs w:val="20"/>
              </w:rPr>
            </w:pPr>
            <w:r w:rsidRPr="009B1A99">
              <w:rPr>
                <w:rFonts w:ascii="Times New Roman" w:hAnsi="Times New Roman"/>
                <w:iCs/>
                <w:sz w:val="20"/>
                <w:szCs w:val="20"/>
              </w:rPr>
              <w:t>611200, 611300, 999200</w:t>
            </w:r>
          </w:p>
        </w:tc>
        <w:tc>
          <w:tcPr>
            <w:tcW w:w="766" w:type="dxa"/>
            <w:vAlign w:val="center"/>
          </w:tcPr>
          <w:p w:rsidR="00F32AFA" w:rsidRPr="009B1A99" w:rsidP="00F32AFA" w14:paraId="004590D2" w14:textId="33C23750">
            <w:pPr>
              <w:jc w:val="center"/>
              <w:rPr>
                <w:rFonts w:ascii="Times New Roman" w:hAnsi="Times New Roman"/>
                <w:iCs/>
                <w:sz w:val="20"/>
                <w:szCs w:val="20"/>
              </w:rPr>
            </w:pPr>
            <w:r w:rsidRPr="008A54E7">
              <w:rPr>
                <w:rFonts w:ascii="Times New Roman" w:hAnsi="Times New Roman"/>
                <w:iCs/>
                <w:sz w:val="20"/>
                <w:szCs w:val="20"/>
              </w:rPr>
              <w:t xml:space="preserve">$18.55 </w:t>
            </w:r>
          </w:p>
        </w:tc>
        <w:tc>
          <w:tcPr>
            <w:tcW w:w="1160" w:type="dxa"/>
            <w:vAlign w:val="center"/>
          </w:tcPr>
          <w:p w:rsidR="00F32AFA" w:rsidRPr="009B1A99" w:rsidP="00F32AFA" w14:paraId="07D16883" w14:textId="307B9BDC">
            <w:pPr>
              <w:jc w:val="center"/>
              <w:rPr>
                <w:rFonts w:ascii="Times New Roman" w:hAnsi="Times New Roman"/>
                <w:iCs/>
                <w:sz w:val="20"/>
                <w:szCs w:val="20"/>
              </w:rPr>
            </w:pPr>
            <w:r w:rsidRPr="008A54E7">
              <w:rPr>
                <w:rFonts w:ascii="Times New Roman" w:hAnsi="Times New Roman"/>
                <w:iCs/>
                <w:sz w:val="20"/>
                <w:szCs w:val="20"/>
              </w:rPr>
              <w:t>1.749</w:t>
            </w:r>
          </w:p>
        </w:tc>
        <w:tc>
          <w:tcPr>
            <w:tcW w:w="1160" w:type="dxa"/>
            <w:vAlign w:val="center"/>
          </w:tcPr>
          <w:p w:rsidR="00F32AFA" w:rsidRPr="009B1A99" w:rsidP="00F32AFA" w14:paraId="07A3211E" w14:textId="0D6C040C">
            <w:pPr>
              <w:jc w:val="center"/>
              <w:rPr>
                <w:rFonts w:ascii="Times New Roman" w:hAnsi="Times New Roman"/>
                <w:iCs/>
                <w:sz w:val="20"/>
                <w:szCs w:val="20"/>
              </w:rPr>
            </w:pPr>
            <w:r w:rsidRPr="008A54E7">
              <w:rPr>
                <w:rFonts w:ascii="Times New Roman" w:hAnsi="Times New Roman"/>
                <w:iCs/>
                <w:sz w:val="20"/>
                <w:szCs w:val="20"/>
              </w:rPr>
              <w:t>1.06</w:t>
            </w:r>
            <w:r>
              <w:rPr>
                <w:rFonts w:ascii="Times New Roman" w:hAnsi="Times New Roman"/>
                <w:iCs/>
                <w:sz w:val="20"/>
                <w:szCs w:val="20"/>
              </w:rPr>
              <w:t>4</w:t>
            </w:r>
          </w:p>
        </w:tc>
        <w:tc>
          <w:tcPr>
            <w:tcW w:w="1160" w:type="dxa"/>
            <w:vAlign w:val="center"/>
          </w:tcPr>
          <w:p w:rsidR="00F32AFA" w:rsidRPr="009B1A99" w:rsidP="00F32AFA" w14:paraId="183A2E3E" w14:textId="5D4750CE">
            <w:pPr>
              <w:jc w:val="center"/>
              <w:rPr>
                <w:rFonts w:ascii="Times New Roman" w:hAnsi="Times New Roman"/>
                <w:iCs/>
                <w:sz w:val="20"/>
                <w:szCs w:val="20"/>
              </w:rPr>
            </w:pPr>
            <w:r w:rsidRPr="008A54E7">
              <w:rPr>
                <w:rFonts w:ascii="Times New Roman" w:hAnsi="Times New Roman"/>
                <w:iCs/>
                <w:sz w:val="20"/>
                <w:szCs w:val="20"/>
              </w:rPr>
              <w:t>1.17</w:t>
            </w:r>
          </w:p>
        </w:tc>
        <w:tc>
          <w:tcPr>
            <w:tcW w:w="1040" w:type="dxa"/>
            <w:vAlign w:val="center"/>
          </w:tcPr>
          <w:p w:rsidR="00F32AFA" w:rsidRPr="009B1A99" w:rsidP="00F32AFA" w14:paraId="0B0CCD82" w14:textId="1AB00D79">
            <w:pPr>
              <w:jc w:val="center"/>
              <w:rPr>
                <w:rFonts w:ascii="Times New Roman" w:hAnsi="Times New Roman"/>
                <w:iCs/>
                <w:sz w:val="20"/>
                <w:szCs w:val="20"/>
              </w:rPr>
            </w:pPr>
            <w:r>
              <w:rPr>
                <w:rFonts w:ascii="Times New Roman" w:hAnsi="Times New Roman"/>
                <w:iCs/>
                <w:sz w:val="20"/>
                <w:szCs w:val="20"/>
              </w:rPr>
              <w:t>$40.41</w:t>
            </w:r>
          </w:p>
        </w:tc>
      </w:tr>
    </w:tbl>
    <w:p w:rsidR="00F740C2" w:rsidRPr="00DF3E95" w:rsidP="00F32AFA" w14:paraId="473CB266" w14:textId="4E8824E8">
      <w:pPr>
        <w:rPr>
          <w:sz w:val="18"/>
          <w:szCs w:val="18"/>
        </w:rPr>
      </w:pPr>
      <w:bookmarkStart w:id="17" w:name="_Hlk130457002"/>
      <w:r w:rsidRPr="00F740C2">
        <w:rPr>
          <w:sz w:val="18"/>
          <w:szCs w:val="18"/>
        </w:rPr>
        <w:t xml:space="preserve">Note: </w:t>
      </w:r>
    </w:p>
    <w:p w:rsidR="00F740C2" w:rsidP="00DF3E95" w14:paraId="4D6399B2" w14:textId="6F4AED7C">
      <w:pPr>
        <w:rPr>
          <w:sz w:val="18"/>
          <w:szCs w:val="18"/>
        </w:rPr>
      </w:pPr>
      <w:r w:rsidRPr="003F5124">
        <w:rPr>
          <w:iCs/>
          <w:sz w:val="18"/>
          <w:szCs w:val="18"/>
        </w:rPr>
        <w:t>1</w:t>
      </w:r>
      <w:r>
        <w:rPr>
          <w:iCs/>
          <w:sz w:val="18"/>
          <w:szCs w:val="18"/>
        </w:rPr>
        <w:t>.</w:t>
      </w:r>
      <w:r>
        <w:rPr>
          <w:iCs/>
          <w:sz w:val="18"/>
          <w:szCs w:val="18"/>
        </w:rPr>
        <w:t xml:space="preserve"> </w:t>
      </w:r>
      <w:r w:rsidRPr="00F32AFA" w:rsidR="00F32AFA">
        <w:rPr>
          <w:sz w:val="18"/>
          <w:szCs w:val="18"/>
        </w:rPr>
        <w:t xml:space="preserve">The SOCs used for this occupation is (43-6011), (43-6014), and (43-9000) for all NAICS codes. </w:t>
      </w:r>
    </w:p>
    <w:p w:rsidR="00DF3E95" w:rsidP="00DF3E95" w14:paraId="652994BD" w14:textId="13B6137C">
      <w:pPr>
        <w:rPr>
          <w:sz w:val="18"/>
          <w:szCs w:val="18"/>
        </w:rPr>
      </w:pPr>
      <w:r>
        <w:rPr>
          <w:sz w:val="18"/>
          <w:szCs w:val="18"/>
        </w:rPr>
        <w:t>2</w:t>
      </w:r>
      <w:r w:rsidR="00F740C2">
        <w:rPr>
          <w:sz w:val="18"/>
          <w:szCs w:val="18"/>
        </w:rPr>
        <w:t>.</w:t>
      </w:r>
      <w:r>
        <w:rPr>
          <w:sz w:val="18"/>
          <w:szCs w:val="18"/>
        </w:rPr>
        <w:t xml:space="preserve"> </w:t>
      </w:r>
      <w:r w:rsidRPr="00F32AFA">
        <w:rPr>
          <w:sz w:val="18"/>
          <w:szCs w:val="18"/>
        </w:rPr>
        <w:t>MSHA used the latest 4-quarter moving average 2022Q1-2022Q4 to determine that 42.8 percent of total loaded wages are benefits for state and local government workers in office and administrative support occupations (</w:t>
      </w:r>
      <w:r w:rsidR="00392A53">
        <w:rPr>
          <w:sz w:val="18"/>
          <w:szCs w:val="18"/>
        </w:rPr>
        <w:t xml:space="preserve">data </w:t>
      </w:r>
      <w:r w:rsidRPr="00F32AFA">
        <w:rPr>
          <w:sz w:val="18"/>
          <w:szCs w:val="18"/>
        </w:rPr>
        <w:t>series ID CMU3030000220000D and CMU3030000220000P). The benefit multiplier is 1.749 = 1+( 0.428/(1-</w:t>
      </w:r>
      <w:r w:rsidRPr="00DF3E95">
        <w:rPr>
          <w:sz w:val="18"/>
          <w:szCs w:val="18"/>
        </w:rPr>
        <w:t xml:space="preserve"> </w:t>
      </w:r>
      <w:r w:rsidRPr="00F32AFA">
        <w:rPr>
          <w:sz w:val="18"/>
          <w:szCs w:val="18"/>
        </w:rPr>
        <w:t xml:space="preserve">0.428)). </w:t>
      </w:r>
    </w:p>
    <w:p w:rsidR="00F178CD" w:rsidP="00DF3E95" w14:paraId="60CB1C48" w14:textId="241F663C">
      <w:pPr>
        <w:rPr>
          <w:sz w:val="18"/>
          <w:szCs w:val="18"/>
        </w:rPr>
      </w:pPr>
      <w:r>
        <w:rPr>
          <w:sz w:val="18"/>
          <w:szCs w:val="18"/>
        </w:rPr>
        <w:t>3</w:t>
      </w:r>
      <w:r w:rsidR="00392A53">
        <w:rPr>
          <w:sz w:val="18"/>
          <w:szCs w:val="18"/>
        </w:rPr>
        <w:t xml:space="preserve">. </w:t>
      </w:r>
      <w:r w:rsidRPr="00F740C2" w:rsidR="00392A53">
        <w:rPr>
          <w:sz w:val="18"/>
          <w:szCs w:val="18"/>
        </w:rPr>
        <w:t xml:space="preserve">The inflation multiplier was determined by </w:t>
      </w:r>
      <w:r w:rsidR="00C91A52">
        <w:rPr>
          <w:sz w:val="18"/>
          <w:szCs w:val="18"/>
        </w:rPr>
        <w:t xml:space="preserve">using </w:t>
      </w:r>
      <w:r w:rsidRPr="00F740C2" w:rsidR="00392A53">
        <w:rPr>
          <w:sz w:val="18"/>
          <w:szCs w:val="18"/>
        </w:rPr>
        <w:t>the employment price index from the most current quarter, 2022Q4, divided by the base year and quarter of the OEWS employment and wage statistics, 202</w:t>
      </w:r>
      <w:r w:rsidR="00392A53">
        <w:rPr>
          <w:sz w:val="18"/>
          <w:szCs w:val="18"/>
        </w:rPr>
        <w:t>1</w:t>
      </w:r>
      <w:r w:rsidRPr="00F740C2" w:rsidR="00392A53">
        <w:rPr>
          <w:sz w:val="18"/>
          <w:szCs w:val="18"/>
        </w:rPr>
        <w:t xml:space="preserve">Q2, for </w:t>
      </w:r>
      <w:bookmarkStart w:id="18" w:name="_Hlk137118631"/>
      <w:r w:rsidRPr="00F740C2">
        <w:rPr>
          <w:sz w:val="18"/>
          <w:szCs w:val="18"/>
        </w:rPr>
        <w:t xml:space="preserve">Seasonally adjusted; </w:t>
      </w:r>
      <w:bookmarkStart w:id="19" w:name="_Hlk137118648"/>
      <w:bookmarkEnd w:id="18"/>
      <w:r w:rsidRPr="00F740C2">
        <w:rPr>
          <w:sz w:val="18"/>
          <w:szCs w:val="18"/>
        </w:rPr>
        <w:t xml:space="preserve">Wages and salaries for </w:t>
      </w:r>
      <w:bookmarkEnd w:id="19"/>
      <w:r w:rsidRPr="00F740C2">
        <w:rPr>
          <w:sz w:val="18"/>
          <w:szCs w:val="18"/>
        </w:rPr>
        <w:t xml:space="preserve">State and local government workers, </w:t>
      </w:r>
      <w:r w:rsidRPr="00F740C2" w:rsidR="005D0062">
        <w:rPr>
          <w:sz w:val="18"/>
          <w:szCs w:val="18"/>
        </w:rPr>
        <w:t>Current Dollar Index</w:t>
      </w:r>
      <w:r w:rsidRPr="00341D6C" w:rsidR="00341D6C">
        <w:rPr>
          <w:sz w:val="18"/>
          <w:szCs w:val="18"/>
        </w:rPr>
        <w:t xml:space="preserve"> </w:t>
      </w:r>
      <w:r w:rsidR="00341D6C">
        <w:rPr>
          <w:sz w:val="18"/>
          <w:szCs w:val="18"/>
        </w:rPr>
        <w:t>(s</w:t>
      </w:r>
      <w:r w:rsidRPr="00F740C2" w:rsidR="00341D6C">
        <w:rPr>
          <w:sz w:val="18"/>
          <w:szCs w:val="18"/>
        </w:rPr>
        <w:t>eries ID: CIS3020000000000I</w:t>
      </w:r>
      <w:r w:rsidR="00341D6C">
        <w:rPr>
          <w:sz w:val="18"/>
          <w:szCs w:val="18"/>
        </w:rPr>
        <w:t>)</w:t>
      </w:r>
      <w:r w:rsidRPr="00F740C2" w:rsidR="00392A53">
        <w:rPr>
          <w:sz w:val="18"/>
          <w:szCs w:val="18"/>
        </w:rPr>
        <w:t>. The inflation multiplier is 1.0</w:t>
      </w:r>
      <w:r>
        <w:rPr>
          <w:sz w:val="18"/>
          <w:szCs w:val="18"/>
        </w:rPr>
        <w:t>64</w:t>
      </w:r>
      <w:r w:rsidRPr="00F740C2" w:rsidR="00392A53">
        <w:rPr>
          <w:sz w:val="18"/>
          <w:szCs w:val="18"/>
        </w:rPr>
        <w:t xml:space="preserve"> = 1</w:t>
      </w:r>
      <w:r>
        <w:rPr>
          <w:sz w:val="18"/>
          <w:szCs w:val="18"/>
        </w:rPr>
        <w:t>45.5</w:t>
      </w:r>
      <w:r w:rsidRPr="00F740C2" w:rsidR="00392A53">
        <w:rPr>
          <w:sz w:val="18"/>
          <w:szCs w:val="18"/>
        </w:rPr>
        <w:t>/1</w:t>
      </w:r>
      <w:r>
        <w:rPr>
          <w:sz w:val="18"/>
          <w:szCs w:val="18"/>
        </w:rPr>
        <w:t>36.7</w:t>
      </w:r>
      <w:r w:rsidRPr="00F740C2" w:rsidR="00392A53">
        <w:rPr>
          <w:sz w:val="18"/>
          <w:szCs w:val="18"/>
        </w:rPr>
        <w:t xml:space="preserve">. </w:t>
      </w:r>
      <w:r>
        <w:rPr>
          <w:sz w:val="18"/>
          <w:szCs w:val="18"/>
        </w:rPr>
        <w:t xml:space="preserve"> </w:t>
      </w:r>
    </w:p>
    <w:p w:rsidR="00DF3E95" w:rsidP="00DF3E95" w14:paraId="2D97393F" w14:textId="7E2B8A8D">
      <w:pPr>
        <w:rPr>
          <w:sz w:val="18"/>
          <w:szCs w:val="18"/>
        </w:rPr>
      </w:pPr>
      <w:r>
        <w:rPr>
          <w:sz w:val="18"/>
          <w:szCs w:val="18"/>
        </w:rPr>
        <w:t>4</w:t>
      </w:r>
      <w:r w:rsidR="00141C82">
        <w:rPr>
          <w:sz w:val="18"/>
          <w:szCs w:val="18"/>
        </w:rPr>
        <w:t>.</w:t>
      </w:r>
      <w:r>
        <w:rPr>
          <w:sz w:val="18"/>
          <w:szCs w:val="18"/>
        </w:rPr>
        <w:t xml:space="preserve">MSHA used the </w:t>
      </w:r>
      <w:r w:rsidRPr="007B0B20">
        <w:rPr>
          <w:sz w:val="18"/>
          <w:szCs w:val="18"/>
        </w:rPr>
        <w:t xml:space="preserve">overhead multiplier </w:t>
      </w:r>
      <w:r>
        <w:rPr>
          <w:sz w:val="18"/>
          <w:szCs w:val="18"/>
        </w:rPr>
        <w:t>of 1.17</w:t>
      </w:r>
      <w:r w:rsidRPr="007B0B20">
        <w:rPr>
          <w:sz w:val="18"/>
          <w:szCs w:val="18"/>
        </w:rPr>
        <w:t>.</w:t>
      </w:r>
    </w:p>
    <w:bookmarkEnd w:id="17"/>
    <w:p w:rsidR="00F32AFA" w:rsidP="008F695D" w14:paraId="369100DE" w14:textId="15390048">
      <w:pPr>
        <w:pStyle w:val="Default"/>
        <w:widowControl/>
      </w:pPr>
    </w:p>
    <w:p w:rsidR="007C6F40" w:rsidP="008F695D" w14:paraId="306D5016" w14:textId="3305A599">
      <w:pPr>
        <w:pStyle w:val="Default"/>
        <w:widowControl/>
      </w:pPr>
      <w:r w:rsidRPr="007C6F40">
        <w:t xml:space="preserve">This information collection request concerns provisions for Performance Reports for MSHA Grants, including an extension of Performance Project Reports and Final Reports for both the State Grants and </w:t>
      </w:r>
      <w:r w:rsidR="00DF7824">
        <w:t>Brookwood-Sago Mine Safety Grant</w:t>
      </w:r>
      <w:r w:rsidRPr="007C6F40">
        <w:t xml:space="preserve">s, and a revision of MSHA Form 5000-50 for the State Grants. </w:t>
      </w:r>
    </w:p>
    <w:p w:rsidR="00F32AFA" w:rsidP="008F695D" w14:paraId="66998F79" w14:textId="77777777">
      <w:pPr>
        <w:pStyle w:val="Default"/>
        <w:widowControl/>
      </w:pPr>
    </w:p>
    <w:p w:rsidR="00A1123C" w:rsidRPr="00A1123C" w:rsidP="00A1123C" w14:paraId="7C13FA00" w14:textId="286112EC">
      <w:pPr>
        <w:widowControl/>
        <w:rPr>
          <w:b/>
          <w:color w:val="000000"/>
        </w:rPr>
      </w:pPr>
      <w:r>
        <w:rPr>
          <w:b/>
          <w:color w:val="000000"/>
        </w:rPr>
        <w:t xml:space="preserve">(1) </w:t>
      </w:r>
      <w:r w:rsidRPr="00A1123C" w:rsidR="004122C3">
        <w:rPr>
          <w:b/>
          <w:color w:val="000000"/>
        </w:rPr>
        <w:t>Performance Report</w:t>
      </w:r>
    </w:p>
    <w:p w:rsidR="000D79D6" w:rsidP="00A1123C" w14:paraId="3A1C6A1E" w14:textId="65800A31">
      <w:pPr>
        <w:widowControl/>
      </w:pPr>
      <w:r>
        <w:t>A</w:t>
      </w:r>
      <w:r w:rsidRPr="00B77579" w:rsidR="4845B6A5">
        <w:t xml:space="preserve"> grantee submits a </w:t>
      </w:r>
      <w:r w:rsidR="00A1123C">
        <w:t xml:space="preserve">quarterly </w:t>
      </w:r>
      <w:r w:rsidR="004122C3">
        <w:t>performance</w:t>
      </w:r>
      <w:r w:rsidRPr="00B77579" w:rsidR="004122C3">
        <w:t xml:space="preserve"> </w:t>
      </w:r>
      <w:r w:rsidRPr="00B77579" w:rsidR="4845B6A5">
        <w:t xml:space="preserve">project report to MSHA. </w:t>
      </w:r>
      <w:r w:rsidR="004122C3">
        <w:t>Performance</w:t>
      </w:r>
      <w:r w:rsidRPr="00B77579" w:rsidR="4845B6A5">
        <w:t xml:space="preserve"> reports </w:t>
      </w:r>
      <w:r w:rsidR="00970992">
        <w:t xml:space="preserve">are </w:t>
      </w:r>
      <w:r w:rsidRPr="00B77579" w:rsidR="00970992">
        <w:t>narrative assessment of performance</w:t>
      </w:r>
      <w:r w:rsidR="00970992">
        <w:t xml:space="preserve"> </w:t>
      </w:r>
      <w:r w:rsidR="00A1790A">
        <w:t xml:space="preserve">under the grants </w:t>
      </w:r>
      <w:r w:rsidR="00970992">
        <w:t>and</w:t>
      </w:r>
      <w:r w:rsidRPr="00B77579" w:rsidR="00970992">
        <w:t xml:space="preserve"> </w:t>
      </w:r>
      <w:r w:rsidRPr="00B77579" w:rsidR="4845B6A5">
        <w:t xml:space="preserve">provide both </w:t>
      </w:r>
      <w:r w:rsidR="00A9632C">
        <w:t>qua</w:t>
      </w:r>
      <w:r w:rsidRPr="00B77579" w:rsidR="4845B6A5">
        <w:t xml:space="preserve">ntitative and qualitative information.  </w:t>
      </w:r>
      <w:r w:rsidRPr="00A1123C" w:rsidR="004122C3">
        <w:rPr>
          <w:color w:val="000000" w:themeColor="text1"/>
        </w:rPr>
        <w:t>The narrative reports are summar</w:t>
      </w:r>
      <w:r w:rsidRPr="00A1123C" w:rsidR="0011275D">
        <w:rPr>
          <w:color w:val="000000" w:themeColor="text1"/>
        </w:rPr>
        <w:t>ies of progress</w:t>
      </w:r>
      <w:r w:rsidRPr="00A1123C" w:rsidR="004122C3">
        <w:rPr>
          <w:color w:val="000000" w:themeColor="text1"/>
        </w:rPr>
        <w:t xml:space="preserve"> </w:t>
      </w:r>
      <w:r w:rsidRPr="00B77579" w:rsidR="00A1790A">
        <w:t xml:space="preserve">for the preceding </w:t>
      </w:r>
      <w:r w:rsidR="00A1790A">
        <w:t>3</w:t>
      </w:r>
      <w:r w:rsidRPr="00B77579" w:rsidR="00A1790A">
        <w:t>-month period</w:t>
      </w:r>
      <w:r w:rsidR="0011275D">
        <w:t>,</w:t>
      </w:r>
      <w:r w:rsidRPr="00A1123C" w:rsidR="004122C3">
        <w:rPr>
          <w:color w:val="000000" w:themeColor="text1"/>
        </w:rPr>
        <w:t xml:space="preserve"> submitted in an open free format of the applicant’s choice</w:t>
      </w:r>
      <w:r w:rsidRPr="00B77579" w:rsidR="4845B6A5">
        <w:t xml:space="preserve">. </w:t>
      </w:r>
    </w:p>
    <w:p w:rsidR="00EC0C3D" w:rsidP="00EC0C3D" w14:paraId="1D545E99" w14:textId="5D5600A6">
      <w:pPr>
        <w:widowControl/>
      </w:pPr>
      <w:r>
        <w:t xml:space="preserve">The grantees must </w:t>
      </w:r>
      <w:r w:rsidR="00A1123C">
        <w:t xml:space="preserve">also </w:t>
      </w:r>
      <w:r>
        <w:t xml:space="preserve">submit quarterly financial reports </w:t>
      </w:r>
      <w:r w:rsidR="00B35AAD">
        <w:t>on</w:t>
      </w:r>
      <w:r>
        <w:t xml:space="preserve"> the status of all funds awarded, matching funds, and, if applicable, program income received and expended, during the funding period. </w:t>
      </w:r>
    </w:p>
    <w:p w:rsidR="00EC0C3D" w:rsidP="004122C3" w14:paraId="1735BFB3" w14:textId="77777777">
      <w:pPr>
        <w:widowControl/>
      </w:pPr>
    </w:p>
    <w:p w:rsidR="004122C3" w:rsidP="004122C3" w14:paraId="77D8816B" w14:textId="0CD66036">
      <w:pPr>
        <w:widowControl/>
        <w:rPr>
          <w:color w:val="000000" w:themeColor="text1"/>
        </w:rPr>
      </w:pPr>
      <w:r w:rsidRPr="00B77579">
        <w:t>Between reporting dates, the grantee informs MSHA of significant developments or problems affecting the organization's ability to accomplish the work</w:t>
      </w:r>
      <w:r w:rsidRPr="004122C3">
        <w:rPr>
          <w:color w:val="000000" w:themeColor="text1"/>
        </w:rPr>
        <w:t xml:space="preserve"> </w:t>
      </w:r>
      <w:r>
        <w:rPr>
          <w:color w:val="000000" w:themeColor="text1"/>
        </w:rPr>
        <w:t>specified in the FOA</w:t>
      </w:r>
      <w:r w:rsidR="00AA541B">
        <w:t>.</w:t>
      </w:r>
      <w:r w:rsidRPr="009B11E4" w:rsidR="009B11E4">
        <w:t xml:space="preserve"> </w:t>
      </w:r>
    </w:p>
    <w:p w:rsidR="00F053ED" w:rsidRPr="00B77579" w:rsidP="00863256" w14:paraId="1A20541B" w14:textId="47E9D357">
      <w:pPr>
        <w:pStyle w:val="Default"/>
        <w:widowControl/>
      </w:pPr>
    </w:p>
    <w:p w:rsidR="002818DF" w:rsidRPr="00CC1768" w:rsidP="002818DF" w14:paraId="149D1FC7" w14:textId="64417843">
      <w:pPr>
        <w:rPr>
          <w:b/>
        </w:rPr>
      </w:pPr>
      <w:r>
        <w:rPr>
          <w:b/>
          <w:color w:val="000000"/>
        </w:rPr>
        <w:t>(2)</w:t>
      </w:r>
      <w:r w:rsidRPr="00CC1768" w:rsidR="00CC1768">
        <w:rPr>
          <w:b/>
          <w:color w:val="000000"/>
        </w:rPr>
        <w:t xml:space="preserve"> </w:t>
      </w:r>
      <w:r w:rsidRPr="002818DF">
        <w:rPr>
          <w:b/>
          <w:color w:val="000000"/>
        </w:rPr>
        <w:t>MSHA Form 5000-50</w:t>
      </w:r>
      <w:r>
        <w:rPr>
          <w:b/>
          <w:color w:val="000000"/>
        </w:rPr>
        <w:t xml:space="preserve"> (State Grants Only)</w:t>
      </w:r>
    </w:p>
    <w:p w:rsidR="002818DF" w:rsidP="002818DF" w14:paraId="1C1EE246" w14:textId="6559B586">
      <w:pPr>
        <w:widowControl/>
        <w:rPr>
          <w:color w:val="000000" w:themeColor="text1"/>
        </w:rPr>
      </w:pPr>
      <w:bookmarkStart w:id="20" w:name="_Hlk137738582"/>
      <w:r w:rsidRPr="005B67DA">
        <w:rPr>
          <w:bCs/>
        </w:rPr>
        <w:t xml:space="preserve">Additionally, </w:t>
      </w:r>
      <w:bookmarkEnd w:id="20"/>
      <w:r w:rsidRPr="005B67DA">
        <w:rPr>
          <w:bCs/>
        </w:rPr>
        <w:t xml:space="preserve">State Grants recipients are required to </w:t>
      </w:r>
      <w:r w:rsidRPr="0018469C">
        <w:t>submit</w:t>
      </w:r>
      <w:r>
        <w:t xml:space="preserve"> </w:t>
      </w:r>
      <w:r w:rsidRPr="00863256">
        <w:t xml:space="preserve">MSHA </w:t>
      </w:r>
      <w:r>
        <w:t xml:space="preserve">Form </w:t>
      </w:r>
      <w:r w:rsidRPr="00863256">
        <w:t>5000-50</w:t>
      </w:r>
      <w:bookmarkStart w:id="21" w:name="_Hlk137738672"/>
      <w:r>
        <w:rPr>
          <w:bCs/>
        </w:rPr>
        <w:t xml:space="preserve"> </w:t>
      </w:r>
      <w:r w:rsidRPr="00544637">
        <w:t xml:space="preserve">in their quarterly reports </w:t>
      </w:r>
      <w:r w:rsidRPr="005B67DA">
        <w:rPr>
          <w:bCs/>
        </w:rPr>
        <w:t>to MSHA</w:t>
      </w:r>
      <w:bookmarkEnd w:id="21"/>
      <w:r>
        <w:rPr>
          <w:bCs/>
        </w:rPr>
        <w:t xml:space="preserve">. </w:t>
      </w:r>
      <w:bookmarkStart w:id="22" w:name="_Hlk137738688"/>
      <w:r>
        <w:rPr>
          <w:bCs/>
        </w:rPr>
        <w:t>This form</w:t>
      </w:r>
      <w:r w:rsidRPr="005B67DA">
        <w:rPr>
          <w:bCs/>
        </w:rPr>
        <w:t xml:space="preserve"> is only used by the State Grant Program. </w:t>
      </w:r>
      <w:bookmarkEnd w:id="22"/>
      <w:r w:rsidRPr="005B67DA">
        <w:rPr>
          <w:bCs/>
        </w:rPr>
        <w:t xml:space="preserve">All State Grant recipients must submit the form, </w:t>
      </w:r>
      <w:r>
        <w:rPr>
          <w:bCs/>
        </w:rPr>
        <w:t xml:space="preserve">which contains </w:t>
      </w:r>
      <w:bookmarkStart w:id="23" w:name="_Hlk137738832"/>
      <w:r>
        <w:rPr>
          <w:bCs/>
        </w:rPr>
        <w:t xml:space="preserve">a </w:t>
      </w:r>
      <w:r w:rsidRPr="005B67DA">
        <w:rPr>
          <w:bCs/>
        </w:rPr>
        <w:t xml:space="preserve">technical progress report </w:t>
      </w:r>
      <w:r>
        <w:rPr>
          <w:bCs/>
        </w:rPr>
        <w:t xml:space="preserve">with </w:t>
      </w:r>
      <w:r w:rsidRPr="005B67DA">
        <w:rPr>
          <w:bCs/>
        </w:rPr>
        <w:t>quantitative performance information</w:t>
      </w:r>
      <w:bookmarkEnd w:id="23"/>
      <w:r>
        <w:t xml:space="preserve">. Grantees of </w:t>
      </w:r>
      <w:r w:rsidRPr="008A58C1">
        <w:t>the State Grant</w:t>
      </w:r>
      <w:r>
        <w:t>s</w:t>
      </w:r>
      <w:r w:rsidRPr="00400087">
        <w:t xml:space="preserve"> </w:t>
      </w:r>
      <w:r>
        <w:t xml:space="preserve">will also send their </w:t>
      </w:r>
      <w:r>
        <w:rPr>
          <w:color w:val="000000" w:themeColor="text1"/>
        </w:rPr>
        <w:t>final</w:t>
      </w:r>
      <w:r w:rsidRPr="0008452F">
        <w:rPr>
          <w:color w:val="000000" w:themeColor="text1"/>
        </w:rPr>
        <w:t xml:space="preserve"> </w:t>
      </w:r>
      <w:r>
        <w:rPr>
          <w:color w:val="000000" w:themeColor="text1"/>
        </w:rPr>
        <w:t xml:space="preserve">MSHA </w:t>
      </w:r>
      <w:r w:rsidRPr="0008452F">
        <w:rPr>
          <w:color w:val="000000" w:themeColor="text1"/>
        </w:rPr>
        <w:t>5000-5</w:t>
      </w:r>
      <w:r>
        <w:rPr>
          <w:color w:val="000000" w:themeColor="text1"/>
        </w:rPr>
        <w:t>0</w:t>
      </w:r>
      <w:r w:rsidRPr="00B51751">
        <w:t xml:space="preserve"> </w:t>
      </w:r>
      <w:r>
        <w:t>f</w:t>
      </w:r>
      <w:r>
        <w:rPr>
          <w:color w:val="000000" w:themeColor="text1"/>
        </w:rPr>
        <w:t xml:space="preserve">orms </w:t>
      </w:r>
      <w:r w:rsidRPr="005B67DA">
        <w:t>at the end of the 12-month performance period</w:t>
      </w:r>
      <w:r>
        <w:rPr>
          <w:color w:val="000000" w:themeColor="text1"/>
        </w:rPr>
        <w:t>.</w:t>
      </w:r>
    </w:p>
    <w:p w:rsidR="002818DF" w:rsidP="00CC1768" w14:paraId="20366C1F" w14:textId="77777777">
      <w:pPr>
        <w:widowControl/>
        <w:rPr>
          <w:b/>
          <w:color w:val="000000"/>
        </w:rPr>
      </w:pPr>
    </w:p>
    <w:p w:rsidR="004122C3" w:rsidRPr="00CC1768" w:rsidP="00CC1768" w14:paraId="03CA8F91" w14:textId="54DB1018">
      <w:pPr>
        <w:widowControl/>
        <w:rPr>
          <w:b/>
          <w:color w:val="000000"/>
        </w:rPr>
      </w:pPr>
      <w:r>
        <w:rPr>
          <w:b/>
          <w:color w:val="000000"/>
        </w:rPr>
        <w:t xml:space="preserve">(3) </w:t>
      </w:r>
      <w:r w:rsidRPr="00CC1768" w:rsidR="00CC1768">
        <w:rPr>
          <w:b/>
          <w:color w:val="000000"/>
        </w:rPr>
        <w:t>Final</w:t>
      </w:r>
      <w:r w:rsidRPr="00CC1768">
        <w:rPr>
          <w:b/>
          <w:color w:val="000000"/>
        </w:rPr>
        <w:t xml:space="preserve"> Report  </w:t>
      </w:r>
    </w:p>
    <w:p w:rsidR="003B4548" w:rsidP="00863256" w14:paraId="204174AF" w14:textId="262ACC41">
      <w:pPr>
        <w:widowControl/>
      </w:pPr>
      <w:r w:rsidRPr="00B77579">
        <w:t xml:space="preserve">At the end of the grant period, each grantee provides </w:t>
      </w:r>
      <w:r w:rsidR="004122C3">
        <w:t xml:space="preserve">a final close-out financial report, a final performance report, and an evaluation report. </w:t>
      </w:r>
      <w:r w:rsidRPr="00B77579">
        <w:t>These final reports are due no later than 90 days after the end of the 12-month performance period.</w:t>
      </w:r>
    </w:p>
    <w:p w:rsidR="002818DF" w:rsidP="00863256" w14:paraId="45A4679A" w14:textId="77777777">
      <w:pPr>
        <w:widowControl/>
      </w:pPr>
    </w:p>
    <w:p w:rsidR="00970992" w:rsidRPr="007479C7" w:rsidP="002818DF" w14:paraId="2A935AC2" w14:textId="4A5867E4">
      <w:pPr>
        <w:widowControl/>
        <w:rPr>
          <w:bCs/>
        </w:rPr>
      </w:pPr>
      <w:r w:rsidRPr="007479C7">
        <w:rPr>
          <w:bCs/>
        </w:rPr>
        <w:t xml:space="preserve">This information collection is focused on performance reporting to MSHA for both grants. </w:t>
      </w:r>
    </w:p>
    <w:p w:rsidR="00833FE0" w:rsidP="00863256" w14:paraId="18DA9F1A" w14:textId="77777777">
      <w:pPr>
        <w:widowControl/>
      </w:pPr>
    </w:p>
    <w:p w:rsidR="000F6175" w:rsidRPr="00833FE0" w:rsidP="00833FE0" w14:paraId="4C629B81" w14:textId="2673CEB5">
      <w:pPr>
        <w:widowControl/>
        <w:autoSpaceDE/>
        <w:autoSpaceDN/>
        <w:adjustRightInd/>
        <w:rPr>
          <w:b/>
          <w:bCs/>
          <w:u w:val="single"/>
        </w:rPr>
      </w:pPr>
      <w:r w:rsidRPr="00833FE0">
        <w:rPr>
          <w:b/>
          <w:bCs/>
          <w:u w:val="single"/>
        </w:rPr>
        <w:t>State</w:t>
      </w:r>
      <w:r w:rsidRPr="00833FE0">
        <w:rPr>
          <w:b/>
          <w:bCs/>
          <w:u w:val="single"/>
        </w:rPr>
        <w:t xml:space="preserve"> Grants</w:t>
      </w:r>
    </w:p>
    <w:p w:rsidR="000F6175" w:rsidP="00850DB1" w14:paraId="11E8D675" w14:textId="77777777">
      <w:pPr>
        <w:widowControl/>
      </w:pPr>
    </w:p>
    <w:p w:rsidR="00850DB1" w:rsidP="00850DB1" w14:paraId="5B68972E" w14:textId="7357FF44">
      <w:pPr>
        <w:widowControl/>
      </w:pPr>
      <w:r>
        <w:t xml:space="preserve">For the State Grants, MSHA estimates it takes an average of </w:t>
      </w:r>
      <w:r w:rsidR="00FB56D6">
        <w:t>2</w:t>
      </w:r>
      <w:r>
        <w:t>.5 working hours per quarter for the grantee to prepare and submit a quarterly report package including:</w:t>
      </w:r>
    </w:p>
    <w:p w:rsidR="00850DB1" w:rsidP="009D0E5D" w14:paraId="7658B3B5" w14:textId="1B288CCA">
      <w:pPr>
        <w:pStyle w:val="ListParagraph"/>
        <w:numPr>
          <w:ilvl w:val="0"/>
          <w:numId w:val="9"/>
        </w:numPr>
      </w:pPr>
      <w:r>
        <w:t>P</w:t>
      </w:r>
      <w:r>
        <w:t>erformance report</w:t>
      </w:r>
      <w:r w:rsidR="00AE004E">
        <w:t>, and</w:t>
      </w:r>
    </w:p>
    <w:p w:rsidR="00850DB1" w:rsidP="009D0E5D" w14:paraId="57BCAF6E" w14:textId="1E4CF528">
      <w:pPr>
        <w:pStyle w:val="ListParagraph"/>
        <w:widowControl/>
        <w:numPr>
          <w:ilvl w:val="0"/>
          <w:numId w:val="9"/>
        </w:numPr>
      </w:pPr>
      <w:r>
        <w:t xml:space="preserve">MSHA Form 5000-50. </w:t>
      </w:r>
    </w:p>
    <w:p w:rsidR="00FB56D6" w:rsidP="00850DB1" w14:paraId="79FF7109" w14:textId="77777777">
      <w:pPr>
        <w:widowControl/>
      </w:pPr>
    </w:p>
    <w:p w:rsidR="00D559C4" w:rsidP="00E01238" w14:paraId="4CBA93ED" w14:textId="77777777">
      <w:pPr>
        <w:widowControl/>
      </w:pPr>
      <w:r>
        <w:t>Additionally, MSHA estimates it takes an average of 2.5 working hours to prepare and submit a</w:t>
      </w:r>
    </w:p>
    <w:p w:rsidR="00E01238" w:rsidP="009D0E5D" w14:paraId="6725C109" w14:textId="179B9B01">
      <w:pPr>
        <w:pStyle w:val="ListParagraph"/>
        <w:widowControl/>
        <w:numPr>
          <w:ilvl w:val="0"/>
          <w:numId w:val="9"/>
        </w:numPr>
      </w:pPr>
      <w:r>
        <w:t>F</w:t>
      </w:r>
      <w:r>
        <w:t>inal report</w:t>
      </w:r>
      <w:r w:rsidR="00073362">
        <w:t>,</w:t>
      </w:r>
      <w:r>
        <w:t xml:space="preserve"> an evaluation report</w:t>
      </w:r>
      <w:r w:rsidR="00073362">
        <w:t xml:space="preserve"> and final Form 5000-50</w:t>
      </w:r>
      <w:r>
        <w:t>.</w:t>
      </w:r>
    </w:p>
    <w:p w:rsidR="00E01238" w:rsidP="00E01238" w14:paraId="2B99CD84" w14:textId="77777777">
      <w:pPr>
        <w:widowControl/>
      </w:pPr>
    </w:p>
    <w:p w:rsidR="00B726B3" w:rsidP="00E01238" w14:paraId="0203B743" w14:textId="26A9E01C">
      <w:pPr>
        <w:widowControl/>
      </w:pPr>
      <w:r>
        <w:t>MSHA assumes that an administrative support staff,</w:t>
      </w:r>
      <w:r w:rsidRPr="00143D10">
        <w:t xml:space="preserve"> </w:t>
      </w:r>
      <w:r w:rsidRPr="00C00E02">
        <w:t xml:space="preserve">earning </w:t>
      </w:r>
      <w:r>
        <w:t xml:space="preserve">a loaded wage of </w:t>
      </w:r>
      <w:r w:rsidRPr="00C00E02">
        <w:t>$</w:t>
      </w:r>
      <w:r>
        <w:t>40.41</w:t>
      </w:r>
      <w:r w:rsidRPr="00C00E02">
        <w:t xml:space="preserve"> per hour</w:t>
      </w:r>
      <w:r>
        <w:t>, is assigned to work on this information collection request.</w:t>
      </w:r>
      <w:r w:rsidRPr="006E4839">
        <w:t xml:space="preserve"> </w:t>
      </w:r>
    </w:p>
    <w:p w:rsidR="00E01238" w:rsidP="00E01238" w14:paraId="6792DD71" w14:textId="77777777">
      <w:pPr>
        <w:widowControl/>
      </w:pPr>
    </w:p>
    <w:p w:rsidR="00ED635F" w14:paraId="5A902B3E" w14:textId="77777777">
      <w:pPr>
        <w:widowControl/>
        <w:autoSpaceDE/>
        <w:autoSpaceDN/>
        <w:adjustRightInd/>
        <w:rPr>
          <w:b/>
          <w:color w:val="000000"/>
          <w:sz w:val="22"/>
          <w:szCs w:val="22"/>
        </w:rPr>
      </w:pPr>
      <w:r>
        <w:rPr>
          <w:b/>
          <w:color w:val="000000"/>
          <w:sz w:val="22"/>
          <w:szCs w:val="22"/>
        </w:rPr>
        <w:br w:type="page"/>
      </w:r>
    </w:p>
    <w:p w:rsidR="00B726B3" w:rsidP="00B726B3" w14:paraId="4FC314DB" w14:textId="16B1A4ED">
      <w:pPr>
        <w:rPr>
          <w:b/>
          <w:color w:val="000000"/>
          <w:sz w:val="22"/>
          <w:szCs w:val="22"/>
        </w:rPr>
      </w:pPr>
      <w:r w:rsidRPr="00BD1057">
        <w:rPr>
          <w:b/>
          <w:color w:val="000000"/>
          <w:sz w:val="22"/>
          <w:szCs w:val="22"/>
        </w:rPr>
        <w:t>Table 12-</w:t>
      </w:r>
      <w:r w:rsidR="002818DF">
        <w:rPr>
          <w:b/>
          <w:color w:val="000000"/>
          <w:sz w:val="22"/>
          <w:szCs w:val="22"/>
        </w:rPr>
        <w:t>2</w:t>
      </w:r>
      <w:r w:rsidR="00C501C5">
        <w:rPr>
          <w:b/>
          <w:color w:val="000000"/>
          <w:sz w:val="22"/>
          <w:szCs w:val="22"/>
        </w:rPr>
        <w:t>.</w:t>
      </w:r>
      <w:r w:rsidRPr="00BD1057">
        <w:rPr>
          <w:b/>
          <w:color w:val="000000"/>
          <w:sz w:val="22"/>
          <w:szCs w:val="22"/>
        </w:rPr>
        <w:t xml:space="preserve"> Estimated Annual Respondent Hour and Cost Burden, State Grants</w:t>
      </w:r>
    </w:p>
    <w:p w:rsidR="00B726B3" w:rsidRPr="00BD1057" w:rsidP="00863256" w14:paraId="77D87D70" w14:textId="77777777">
      <w:pPr>
        <w:rPr>
          <w:b/>
          <w:color w:val="000000"/>
          <w:sz w:val="22"/>
          <w:szCs w:val="22"/>
        </w:rPr>
      </w:pPr>
    </w:p>
    <w:tbl>
      <w:tblPr>
        <w:tblW w:w="9630" w:type="dxa"/>
        <w:tblInd w:w="-95" w:type="dxa"/>
        <w:tblLayout w:type="fixed"/>
        <w:tblLook w:val="0000"/>
      </w:tblPr>
      <w:tblGrid>
        <w:gridCol w:w="1710"/>
        <w:gridCol w:w="1350"/>
        <w:gridCol w:w="1350"/>
        <w:gridCol w:w="1170"/>
        <w:gridCol w:w="1080"/>
        <w:gridCol w:w="900"/>
        <w:gridCol w:w="900"/>
        <w:gridCol w:w="1170"/>
      </w:tblGrid>
      <w:tr w14:paraId="2CE45FB4" w14:textId="77777777" w:rsidTr="00983632">
        <w:tblPrEx>
          <w:tblW w:w="9630" w:type="dxa"/>
          <w:tblInd w:w="-95" w:type="dxa"/>
          <w:tblLayout w:type="fixed"/>
          <w:tblLook w:val="0000"/>
        </w:tblPrEx>
        <w:trPr>
          <w:trHeight w:val="566"/>
        </w:trPr>
        <w:tc>
          <w:tcPr>
            <w:tcW w:w="171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B726B3" w:rsidRPr="00840C66" w:rsidP="00B726B3" w14:paraId="18935A6B" w14:textId="17DD1207">
            <w:pPr>
              <w:widowControl/>
              <w:jc w:val="center"/>
              <w:rPr>
                <w:rFonts w:eastAsiaTheme="minorEastAsia"/>
                <w:b/>
                <w:bCs/>
                <w:color w:val="000000"/>
                <w:sz w:val="20"/>
                <w:szCs w:val="20"/>
              </w:rPr>
            </w:pPr>
            <w:r w:rsidRPr="00840C66">
              <w:rPr>
                <w:b/>
                <w:bCs/>
                <w:color w:val="000000"/>
                <w:sz w:val="20"/>
                <w:szCs w:val="20"/>
              </w:rPr>
              <w:t>Activity</w:t>
            </w:r>
          </w:p>
        </w:tc>
        <w:tc>
          <w:tcPr>
            <w:tcW w:w="135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B726B3" w:rsidRPr="00840C66" w:rsidP="00B726B3" w14:paraId="68006A60" w14:textId="68129EAC">
            <w:pPr>
              <w:widowControl/>
              <w:jc w:val="center"/>
              <w:rPr>
                <w:rFonts w:eastAsiaTheme="minorEastAsia"/>
                <w:b/>
                <w:bCs/>
                <w:color w:val="000000"/>
                <w:sz w:val="20"/>
                <w:szCs w:val="20"/>
              </w:rPr>
            </w:pPr>
            <w:r w:rsidRPr="00840C66">
              <w:rPr>
                <w:b/>
                <w:bCs/>
                <w:color w:val="000000"/>
                <w:sz w:val="20"/>
                <w:szCs w:val="20"/>
              </w:rPr>
              <w:t>No. of Respondents (Grantees)</w:t>
            </w:r>
          </w:p>
        </w:tc>
        <w:tc>
          <w:tcPr>
            <w:tcW w:w="135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B726B3" w:rsidRPr="00840C66" w:rsidP="00B726B3" w14:paraId="72FDC4DB" w14:textId="0FF69859">
            <w:pPr>
              <w:widowControl/>
              <w:jc w:val="center"/>
              <w:rPr>
                <w:rFonts w:eastAsiaTheme="minorEastAsia"/>
                <w:b/>
                <w:bCs/>
                <w:color w:val="000000"/>
                <w:sz w:val="20"/>
                <w:szCs w:val="20"/>
              </w:rPr>
            </w:pPr>
            <w:r w:rsidRPr="00840C66">
              <w:rPr>
                <w:b/>
                <w:bCs/>
                <w:color w:val="000000"/>
                <w:sz w:val="20"/>
                <w:szCs w:val="20"/>
              </w:rPr>
              <w:t>No. of Responses per Respondent</w:t>
            </w:r>
          </w:p>
        </w:tc>
        <w:tc>
          <w:tcPr>
            <w:tcW w:w="117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B726B3" w:rsidRPr="00840C66" w:rsidP="00B726B3" w14:paraId="0C75F98D" w14:textId="1CD4F9B7">
            <w:pPr>
              <w:widowControl/>
              <w:jc w:val="center"/>
              <w:rPr>
                <w:rFonts w:eastAsiaTheme="minorEastAsia"/>
                <w:b/>
                <w:bCs/>
                <w:color w:val="000000"/>
                <w:sz w:val="20"/>
                <w:szCs w:val="20"/>
              </w:rPr>
            </w:pPr>
            <w:r w:rsidRPr="00840C66">
              <w:rPr>
                <w:b/>
                <w:bCs/>
                <w:color w:val="000000"/>
                <w:sz w:val="20"/>
                <w:szCs w:val="20"/>
              </w:rPr>
              <w:t>Total Responses (Reports)</w:t>
            </w:r>
          </w:p>
        </w:tc>
        <w:tc>
          <w:tcPr>
            <w:tcW w:w="108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B726B3" w:rsidRPr="00840C66" w:rsidP="00B726B3" w14:paraId="24F35098" w14:textId="12D013AA">
            <w:pPr>
              <w:widowControl/>
              <w:jc w:val="center"/>
              <w:rPr>
                <w:rFonts w:eastAsiaTheme="minorEastAsia"/>
                <w:b/>
                <w:bCs/>
                <w:color w:val="000000"/>
                <w:sz w:val="20"/>
                <w:szCs w:val="20"/>
              </w:rPr>
            </w:pPr>
            <w:r w:rsidRPr="00840C66">
              <w:rPr>
                <w:b/>
                <w:bCs/>
                <w:color w:val="000000"/>
                <w:sz w:val="20"/>
                <w:szCs w:val="20"/>
              </w:rPr>
              <w:t>Avg. Burden per Response (Minutes)</w:t>
            </w:r>
          </w:p>
        </w:tc>
        <w:tc>
          <w:tcPr>
            <w:tcW w:w="90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B726B3" w:rsidRPr="00840C66" w:rsidP="00B726B3" w14:paraId="25679DCE" w14:textId="31D1A170">
            <w:pPr>
              <w:widowControl/>
              <w:jc w:val="center"/>
              <w:rPr>
                <w:rFonts w:eastAsiaTheme="minorEastAsia"/>
                <w:b/>
                <w:bCs/>
                <w:color w:val="000000"/>
                <w:sz w:val="20"/>
                <w:szCs w:val="20"/>
              </w:rPr>
            </w:pPr>
            <w:r w:rsidRPr="00840C66">
              <w:rPr>
                <w:b/>
                <w:bCs/>
                <w:color w:val="000000"/>
                <w:sz w:val="20"/>
                <w:szCs w:val="20"/>
              </w:rPr>
              <w:t>Total Annual Burden (Hours)</w:t>
            </w:r>
          </w:p>
        </w:tc>
        <w:tc>
          <w:tcPr>
            <w:tcW w:w="90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B726B3" w:rsidRPr="00840C66" w:rsidP="00B726B3" w14:paraId="131D9F5C" w14:textId="5909AADF">
            <w:pPr>
              <w:widowControl/>
              <w:jc w:val="center"/>
              <w:rPr>
                <w:rFonts w:eastAsiaTheme="minorEastAsia"/>
                <w:b/>
                <w:bCs/>
                <w:color w:val="000000"/>
                <w:sz w:val="20"/>
                <w:szCs w:val="20"/>
              </w:rPr>
            </w:pPr>
            <w:r w:rsidRPr="00840C66">
              <w:rPr>
                <w:b/>
                <w:bCs/>
                <w:color w:val="000000"/>
                <w:sz w:val="20"/>
                <w:szCs w:val="20"/>
              </w:rPr>
              <w:t>Avg. Hourly Wage Rate</w:t>
            </w:r>
          </w:p>
        </w:tc>
        <w:tc>
          <w:tcPr>
            <w:tcW w:w="117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B726B3" w:rsidRPr="00840C66" w:rsidP="00B726B3" w14:paraId="727756BF" w14:textId="30F2E07E">
            <w:pPr>
              <w:widowControl/>
              <w:jc w:val="center"/>
              <w:rPr>
                <w:rFonts w:eastAsiaTheme="minorEastAsia"/>
                <w:b/>
                <w:bCs/>
                <w:color w:val="000000"/>
                <w:sz w:val="20"/>
                <w:szCs w:val="20"/>
              </w:rPr>
            </w:pPr>
            <w:r w:rsidRPr="00840C66">
              <w:rPr>
                <w:b/>
                <w:bCs/>
                <w:color w:val="000000"/>
                <w:sz w:val="20"/>
                <w:szCs w:val="20"/>
              </w:rPr>
              <w:t>Total Annual Cost</w:t>
            </w:r>
          </w:p>
        </w:tc>
      </w:tr>
      <w:tr w14:paraId="6267147B" w14:textId="77777777" w:rsidTr="00840C66">
        <w:tblPrEx>
          <w:tblW w:w="9630" w:type="dxa"/>
          <w:tblInd w:w="-95" w:type="dxa"/>
          <w:tblLayout w:type="fixed"/>
          <w:tblLook w:val="0000"/>
        </w:tblPrEx>
        <w:trPr>
          <w:trHeight w:val="186"/>
        </w:trPr>
        <w:tc>
          <w:tcPr>
            <w:tcW w:w="1710" w:type="dxa"/>
            <w:tcBorders>
              <w:top w:val="single" w:sz="4" w:space="0" w:color="auto"/>
              <w:left w:val="single" w:sz="6" w:space="0" w:color="auto"/>
              <w:bottom w:val="single" w:sz="4" w:space="0" w:color="auto"/>
              <w:right w:val="single" w:sz="6" w:space="0" w:color="auto"/>
            </w:tcBorders>
            <w:vAlign w:val="center"/>
          </w:tcPr>
          <w:p w:rsidR="00FB56D6" w:rsidRPr="00840C66" w:rsidP="00FB56D6" w14:paraId="4C20AF30" w14:textId="6B4E66A1">
            <w:pPr>
              <w:widowControl/>
              <w:jc w:val="center"/>
              <w:rPr>
                <w:rFonts w:eastAsiaTheme="minorEastAsia"/>
                <w:color w:val="000000"/>
                <w:sz w:val="20"/>
                <w:szCs w:val="20"/>
              </w:rPr>
            </w:pPr>
            <w:r w:rsidRPr="00840C66">
              <w:rPr>
                <w:color w:val="000000"/>
                <w:sz w:val="20"/>
                <w:szCs w:val="20"/>
              </w:rPr>
              <w:t>Quarterly Reports</w:t>
            </w:r>
          </w:p>
        </w:tc>
        <w:tc>
          <w:tcPr>
            <w:tcW w:w="1350" w:type="dxa"/>
            <w:tcBorders>
              <w:top w:val="single" w:sz="4" w:space="0" w:color="auto"/>
              <w:left w:val="single" w:sz="6" w:space="0" w:color="auto"/>
              <w:bottom w:val="single" w:sz="4" w:space="0" w:color="auto"/>
              <w:right w:val="single" w:sz="6" w:space="0" w:color="auto"/>
            </w:tcBorders>
            <w:vAlign w:val="center"/>
          </w:tcPr>
          <w:p w:rsidR="00FB56D6" w:rsidRPr="00840C66" w:rsidP="00FB56D6" w14:paraId="1CED98CF" w14:textId="35D892B4">
            <w:pPr>
              <w:widowControl/>
              <w:jc w:val="center"/>
              <w:rPr>
                <w:rFonts w:eastAsiaTheme="minorEastAsia"/>
                <w:color w:val="000000"/>
                <w:sz w:val="20"/>
                <w:szCs w:val="20"/>
              </w:rPr>
            </w:pPr>
            <w:r w:rsidRPr="00840C66">
              <w:rPr>
                <w:color w:val="000000"/>
                <w:sz w:val="20"/>
                <w:szCs w:val="20"/>
              </w:rPr>
              <w:t>56</w:t>
            </w:r>
          </w:p>
        </w:tc>
        <w:tc>
          <w:tcPr>
            <w:tcW w:w="1350" w:type="dxa"/>
            <w:tcBorders>
              <w:top w:val="single" w:sz="4" w:space="0" w:color="auto"/>
              <w:left w:val="single" w:sz="6" w:space="0" w:color="auto"/>
              <w:bottom w:val="single" w:sz="4" w:space="0" w:color="auto"/>
              <w:right w:val="single" w:sz="6" w:space="0" w:color="auto"/>
            </w:tcBorders>
            <w:vAlign w:val="center"/>
          </w:tcPr>
          <w:p w:rsidR="00FB56D6" w:rsidRPr="00840C66" w:rsidP="00FB56D6" w14:paraId="620C04E7" w14:textId="7AEA8FA5">
            <w:pPr>
              <w:widowControl/>
              <w:jc w:val="center"/>
              <w:rPr>
                <w:rFonts w:eastAsiaTheme="minorEastAsia"/>
                <w:color w:val="000000"/>
                <w:sz w:val="20"/>
                <w:szCs w:val="20"/>
              </w:rPr>
            </w:pPr>
            <w:r w:rsidRPr="00840C66">
              <w:rPr>
                <w:color w:val="000000"/>
                <w:sz w:val="20"/>
                <w:szCs w:val="20"/>
              </w:rPr>
              <w:t>4</w:t>
            </w:r>
          </w:p>
        </w:tc>
        <w:tc>
          <w:tcPr>
            <w:tcW w:w="1170" w:type="dxa"/>
            <w:tcBorders>
              <w:top w:val="single" w:sz="4" w:space="0" w:color="auto"/>
              <w:left w:val="single" w:sz="6" w:space="0" w:color="auto"/>
              <w:bottom w:val="single" w:sz="4" w:space="0" w:color="auto"/>
              <w:right w:val="single" w:sz="6" w:space="0" w:color="auto"/>
            </w:tcBorders>
            <w:vAlign w:val="center"/>
          </w:tcPr>
          <w:p w:rsidR="00FB56D6" w:rsidRPr="00840C66" w:rsidP="00FB56D6" w14:paraId="02250B9B" w14:textId="6FD2999A">
            <w:pPr>
              <w:widowControl/>
              <w:jc w:val="center"/>
              <w:rPr>
                <w:rFonts w:eastAsiaTheme="minorEastAsia"/>
                <w:color w:val="000000"/>
                <w:sz w:val="20"/>
                <w:szCs w:val="20"/>
              </w:rPr>
            </w:pPr>
            <w:r w:rsidRPr="00840C66">
              <w:rPr>
                <w:color w:val="000000"/>
                <w:sz w:val="20"/>
                <w:szCs w:val="20"/>
              </w:rPr>
              <w:t>224</w:t>
            </w:r>
          </w:p>
        </w:tc>
        <w:tc>
          <w:tcPr>
            <w:tcW w:w="1080" w:type="dxa"/>
            <w:tcBorders>
              <w:top w:val="single" w:sz="4" w:space="0" w:color="auto"/>
              <w:left w:val="single" w:sz="6" w:space="0" w:color="auto"/>
              <w:bottom w:val="single" w:sz="4" w:space="0" w:color="auto"/>
              <w:right w:val="single" w:sz="6" w:space="0" w:color="auto"/>
            </w:tcBorders>
            <w:vAlign w:val="center"/>
          </w:tcPr>
          <w:p w:rsidR="00FB56D6" w:rsidRPr="00840C66" w:rsidP="00FB56D6" w14:paraId="623AEC2F" w14:textId="7927CB6E">
            <w:pPr>
              <w:widowControl/>
              <w:jc w:val="center"/>
              <w:rPr>
                <w:rFonts w:eastAsiaTheme="minorEastAsia"/>
                <w:color w:val="000000"/>
                <w:sz w:val="20"/>
                <w:szCs w:val="20"/>
              </w:rPr>
            </w:pPr>
            <w:r w:rsidRPr="00840C66">
              <w:rPr>
                <w:color w:val="000000"/>
                <w:sz w:val="20"/>
                <w:szCs w:val="20"/>
              </w:rPr>
              <w:t>150</w:t>
            </w:r>
          </w:p>
        </w:tc>
        <w:tc>
          <w:tcPr>
            <w:tcW w:w="900" w:type="dxa"/>
            <w:tcBorders>
              <w:top w:val="single" w:sz="4" w:space="0" w:color="auto"/>
              <w:left w:val="single" w:sz="6" w:space="0" w:color="auto"/>
              <w:bottom w:val="single" w:sz="4" w:space="0" w:color="auto"/>
              <w:right w:val="single" w:sz="6" w:space="0" w:color="auto"/>
            </w:tcBorders>
            <w:vAlign w:val="center"/>
          </w:tcPr>
          <w:p w:rsidR="00FB56D6" w:rsidRPr="00840C66" w:rsidP="00FB56D6" w14:paraId="0983ADBB" w14:textId="4A31F8BC">
            <w:pPr>
              <w:widowControl/>
              <w:jc w:val="center"/>
              <w:rPr>
                <w:rFonts w:eastAsiaTheme="minorEastAsia"/>
                <w:color w:val="000000"/>
                <w:sz w:val="20"/>
                <w:szCs w:val="20"/>
              </w:rPr>
            </w:pPr>
            <w:r w:rsidRPr="00840C66">
              <w:rPr>
                <w:color w:val="000000"/>
                <w:sz w:val="20"/>
                <w:szCs w:val="20"/>
              </w:rPr>
              <w:t>560.00</w:t>
            </w:r>
          </w:p>
        </w:tc>
        <w:tc>
          <w:tcPr>
            <w:tcW w:w="900" w:type="dxa"/>
            <w:tcBorders>
              <w:top w:val="single" w:sz="4" w:space="0" w:color="auto"/>
              <w:left w:val="single" w:sz="6" w:space="0" w:color="auto"/>
              <w:bottom w:val="single" w:sz="4" w:space="0" w:color="auto"/>
              <w:right w:val="single" w:sz="6" w:space="0" w:color="auto"/>
            </w:tcBorders>
            <w:vAlign w:val="center"/>
          </w:tcPr>
          <w:p w:rsidR="00FB56D6" w:rsidRPr="00840C66" w:rsidP="00FB56D6" w14:paraId="1BACA392" w14:textId="3B062F59">
            <w:pPr>
              <w:widowControl/>
              <w:jc w:val="center"/>
              <w:rPr>
                <w:rFonts w:eastAsiaTheme="minorEastAsia"/>
                <w:color w:val="000000"/>
                <w:sz w:val="20"/>
                <w:szCs w:val="20"/>
              </w:rPr>
            </w:pPr>
            <w:r w:rsidRPr="00840C66">
              <w:rPr>
                <w:color w:val="000000"/>
                <w:sz w:val="20"/>
                <w:szCs w:val="20"/>
              </w:rPr>
              <w:t xml:space="preserve">$40.41 </w:t>
            </w:r>
          </w:p>
        </w:tc>
        <w:tc>
          <w:tcPr>
            <w:tcW w:w="1170" w:type="dxa"/>
            <w:tcBorders>
              <w:top w:val="single" w:sz="4" w:space="0" w:color="auto"/>
              <w:left w:val="single" w:sz="6" w:space="0" w:color="auto"/>
              <w:bottom w:val="single" w:sz="4" w:space="0" w:color="auto"/>
              <w:right w:val="single" w:sz="6" w:space="0" w:color="auto"/>
            </w:tcBorders>
            <w:vAlign w:val="center"/>
          </w:tcPr>
          <w:p w:rsidR="00FB56D6" w:rsidRPr="00840C66" w:rsidP="00FB56D6" w14:paraId="490BDA33" w14:textId="4EAC9305">
            <w:pPr>
              <w:widowControl/>
              <w:jc w:val="center"/>
              <w:rPr>
                <w:rFonts w:eastAsiaTheme="minorEastAsia"/>
                <w:color w:val="000000"/>
                <w:sz w:val="20"/>
                <w:szCs w:val="20"/>
              </w:rPr>
            </w:pPr>
            <w:r w:rsidRPr="00840C66">
              <w:rPr>
                <w:color w:val="000000"/>
                <w:sz w:val="20"/>
                <w:szCs w:val="20"/>
              </w:rPr>
              <w:t xml:space="preserve">$22,629.60 </w:t>
            </w:r>
          </w:p>
        </w:tc>
      </w:tr>
      <w:tr w14:paraId="08436B08" w14:textId="77777777" w:rsidTr="00840C66">
        <w:tblPrEx>
          <w:tblW w:w="9630" w:type="dxa"/>
          <w:tblInd w:w="-95" w:type="dxa"/>
          <w:tblLayout w:type="fixed"/>
          <w:tblLook w:val="0000"/>
        </w:tblPrEx>
        <w:trPr>
          <w:trHeight w:val="186"/>
        </w:trPr>
        <w:tc>
          <w:tcPr>
            <w:tcW w:w="1710" w:type="dxa"/>
            <w:tcBorders>
              <w:top w:val="single" w:sz="4" w:space="0" w:color="auto"/>
              <w:left w:val="single" w:sz="4" w:space="0" w:color="auto"/>
              <w:bottom w:val="single" w:sz="4" w:space="0" w:color="auto"/>
              <w:right w:val="single" w:sz="4" w:space="0" w:color="auto"/>
            </w:tcBorders>
            <w:vAlign w:val="center"/>
          </w:tcPr>
          <w:p w:rsidR="00FB56D6" w:rsidRPr="00840C66" w:rsidP="00FB56D6" w14:paraId="3EBCDE16" w14:textId="5C18B0B1">
            <w:pPr>
              <w:widowControl/>
              <w:jc w:val="center"/>
              <w:rPr>
                <w:rFonts w:eastAsiaTheme="minorEastAsia"/>
                <w:color w:val="000000"/>
                <w:sz w:val="20"/>
                <w:szCs w:val="20"/>
              </w:rPr>
            </w:pPr>
            <w:r w:rsidRPr="00840C66">
              <w:rPr>
                <w:color w:val="000000"/>
                <w:sz w:val="20"/>
                <w:szCs w:val="20"/>
              </w:rPr>
              <w:t>Final Reports</w:t>
            </w:r>
          </w:p>
        </w:tc>
        <w:tc>
          <w:tcPr>
            <w:tcW w:w="1350" w:type="dxa"/>
            <w:tcBorders>
              <w:top w:val="single" w:sz="4" w:space="0" w:color="auto"/>
              <w:left w:val="single" w:sz="4" w:space="0" w:color="auto"/>
              <w:bottom w:val="single" w:sz="4" w:space="0" w:color="auto"/>
              <w:right w:val="single" w:sz="4" w:space="0" w:color="auto"/>
            </w:tcBorders>
            <w:vAlign w:val="center"/>
          </w:tcPr>
          <w:p w:rsidR="00FB56D6" w:rsidRPr="00840C66" w:rsidP="00FB56D6" w14:paraId="6EA0BCEB" w14:textId="2D78DE25">
            <w:pPr>
              <w:widowControl/>
              <w:jc w:val="center"/>
              <w:rPr>
                <w:sz w:val="20"/>
                <w:szCs w:val="20"/>
              </w:rPr>
            </w:pPr>
            <w:r w:rsidRPr="00840C66">
              <w:rPr>
                <w:color w:val="000000"/>
                <w:sz w:val="20"/>
                <w:szCs w:val="20"/>
              </w:rPr>
              <w:t>56</w:t>
            </w:r>
          </w:p>
        </w:tc>
        <w:tc>
          <w:tcPr>
            <w:tcW w:w="1350" w:type="dxa"/>
            <w:tcBorders>
              <w:top w:val="single" w:sz="4" w:space="0" w:color="auto"/>
              <w:left w:val="single" w:sz="4" w:space="0" w:color="auto"/>
              <w:bottom w:val="single" w:sz="4" w:space="0" w:color="auto"/>
              <w:right w:val="single" w:sz="4" w:space="0" w:color="auto"/>
            </w:tcBorders>
            <w:vAlign w:val="center"/>
          </w:tcPr>
          <w:p w:rsidR="00FB56D6" w:rsidRPr="00840C66" w:rsidP="00FB56D6" w14:paraId="277C75CA" w14:textId="394C4BF9">
            <w:pPr>
              <w:widowControl/>
              <w:jc w:val="center"/>
              <w:rPr>
                <w:sz w:val="20"/>
                <w:szCs w:val="20"/>
              </w:rPr>
            </w:pPr>
            <w:r w:rsidRPr="00840C66">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rsidR="00FB56D6" w:rsidRPr="00840C66" w:rsidP="00FB56D6" w14:paraId="6CBF87F1" w14:textId="32B9A6F5">
            <w:pPr>
              <w:widowControl/>
              <w:jc w:val="center"/>
              <w:rPr>
                <w:sz w:val="20"/>
                <w:szCs w:val="20"/>
              </w:rPr>
            </w:pPr>
            <w:r w:rsidRPr="00840C66">
              <w:rPr>
                <w:color w:val="000000"/>
                <w:sz w:val="20"/>
                <w:szCs w:val="20"/>
              </w:rPr>
              <w:t>56</w:t>
            </w:r>
          </w:p>
        </w:tc>
        <w:tc>
          <w:tcPr>
            <w:tcW w:w="1080" w:type="dxa"/>
            <w:tcBorders>
              <w:top w:val="single" w:sz="4" w:space="0" w:color="auto"/>
              <w:left w:val="single" w:sz="4" w:space="0" w:color="auto"/>
              <w:bottom w:val="single" w:sz="4" w:space="0" w:color="auto"/>
              <w:right w:val="single" w:sz="4" w:space="0" w:color="auto"/>
            </w:tcBorders>
            <w:vAlign w:val="center"/>
          </w:tcPr>
          <w:p w:rsidR="00FB56D6" w:rsidRPr="00840C66" w:rsidP="00FB56D6" w14:paraId="0ACF2649" w14:textId="50376EAB">
            <w:pPr>
              <w:widowControl/>
              <w:jc w:val="center"/>
              <w:rPr>
                <w:sz w:val="20"/>
                <w:szCs w:val="20"/>
              </w:rPr>
            </w:pPr>
            <w:r w:rsidRPr="00840C66">
              <w:rPr>
                <w:color w:val="000000"/>
                <w:sz w:val="20"/>
                <w:szCs w:val="20"/>
              </w:rPr>
              <w:t>150</w:t>
            </w:r>
          </w:p>
        </w:tc>
        <w:tc>
          <w:tcPr>
            <w:tcW w:w="900" w:type="dxa"/>
            <w:tcBorders>
              <w:top w:val="single" w:sz="4" w:space="0" w:color="auto"/>
              <w:left w:val="single" w:sz="4" w:space="0" w:color="auto"/>
              <w:bottom w:val="single" w:sz="4" w:space="0" w:color="auto"/>
              <w:right w:val="single" w:sz="4" w:space="0" w:color="auto"/>
            </w:tcBorders>
            <w:vAlign w:val="center"/>
          </w:tcPr>
          <w:p w:rsidR="00FB56D6" w:rsidRPr="00840C66" w:rsidP="00FB56D6" w14:paraId="47FC6A34" w14:textId="25F45807">
            <w:pPr>
              <w:widowControl/>
              <w:jc w:val="center"/>
              <w:rPr>
                <w:sz w:val="20"/>
                <w:szCs w:val="20"/>
              </w:rPr>
            </w:pPr>
            <w:r w:rsidRPr="00840C66">
              <w:rPr>
                <w:color w:val="000000"/>
                <w:sz w:val="20"/>
                <w:szCs w:val="20"/>
              </w:rPr>
              <w:t>140.00</w:t>
            </w:r>
          </w:p>
        </w:tc>
        <w:tc>
          <w:tcPr>
            <w:tcW w:w="900" w:type="dxa"/>
            <w:tcBorders>
              <w:top w:val="single" w:sz="4" w:space="0" w:color="auto"/>
              <w:left w:val="single" w:sz="4" w:space="0" w:color="auto"/>
              <w:bottom w:val="single" w:sz="4" w:space="0" w:color="auto"/>
              <w:right w:val="single" w:sz="4" w:space="0" w:color="auto"/>
            </w:tcBorders>
            <w:vAlign w:val="center"/>
          </w:tcPr>
          <w:p w:rsidR="00FB56D6" w:rsidRPr="00840C66" w:rsidP="00FB56D6" w14:paraId="398322C2" w14:textId="54CD58EF">
            <w:pPr>
              <w:widowControl/>
              <w:jc w:val="center"/>
              <w:rPr>
                <w:sz w:val="20"/>
                <w:szCs w:val="20"/>
              </w:rPr>
            </w:pPr>
            <w:r w:rsidRPr="00840C66">
              <w:rPr>
                <w:color w:val="000000"/>
                <w:sz w:val="20"/>
                <w:szCs w:val="20"/>
              </w:rPr>
              <w:t xml:space="preserve">$40.41 </w:t>
            </w:r>
          </w:p>
        </w:tc>
        <w:tc>
          <w:tcPr>
            <w:tcW w:w="1170" w:type="dxa"/>
            <w:tcBorders>
              <w:top w:val="single" w:sz="4" w:space="0" w:color="auto"/>
              <w:left w:val="single" w:sz="4" w:space="0" w:color="auto"/>
              <w:bottom w:val="single" w:sz="4" w:space="0" w:color="auto"/>
              <w:right w:val="single" w:sz="4" w:space="0" w:color="auto"/>
            </w:tcBorders>
            <w:vAlign w:val="center"/>
          </w:tcPr>
          <w:p w:rsidR="00FB56D6" w:rsidRPr="00840C66" w:rsidP="00FB56D6" w14:paraId="76D94C75" w14:textId="0DA0D5A8">
            <w:pPr>
              <w:widowControl/>
              <w:jc w:val="center"/>
              <w:rPr>
                <w:sz w:val="20"/>
                <w:szCs w:val="20"/>
              </w:rPr>
            </w:pPr>
            <w:r w:rsidRPr="00840C66">
              <w:rPr>
                <w:color w:val="000000"/>
                <w:sz w:val="20"/>
                <w:szCs w:val="20"/>
              </w:rPr>
              <w:t xml:space="preserve">$5,657.40 </w:t>
            </w:r>
          </w:p>
        </w:tc>
      </w:tr>
      <w:tr w14:paraId="246DF607" w14:textId="77777777" w:rsidTr="00840C66">
        <w:tblPrEx>
          <w:tblW w:w="9630" w:type="dxa"/>
          <w:tblInd w:w="-95" w:type="dxa"/>
          <w:tblLayout w:type="fixed"/>
          <w:tblLook w:val="0000"/>
        </w:tblPrEx>
        <w:trPr>
          <w:trHeight w:val="186"/>
        </w:trPr>
        <w:tc>
          <w:tcPr>
            <w:tcW w:w="1710" w:type="dxa"/>
            <w:tcBorders>
              <w:top w:val="single" w:sz="4" w:space="0" w:color="auto"/>
              <w:left w:val="single" w:sz="6" w:space="0" w:color="auto"/>
              <w:bottom w:val="single" w:sz="6" w:space="0" w:color="auto"/>
              <w:right w:val="single" w:sz="6" w:space="0" w:color="auto"/>
            </w:tcBorders>
            <w:vAlign w:val="center"/>
          </w:tcPr>
          <w:p w:rsidR="00FB56D6" w:rsidRPr="00840C66" w:rsidP="00FB56D6" w14:paraId="6D537A81" w14:textId="7F7ADE94">
            <w:pPr>
              <w:widowControl/>
              <w:jc w:val="center"/>
              <w:rPr>
                <w:rFonts w:eastAsiaTheme="minorEastAsia"/>
                <w:b/>
                <w:bCs/>
                <w:i/>
                <w:iCs/>
                <w:color w:val="000000"/>
                <w:sz w:val="20"/>
                <w:szCs w:val="20"/>
              </w:rPr>
            </w:pPr>
            <w:r w:rsidRPr="00840C66">
              <w:rPr>
                <w:b/>
                <w:bCs/>
                <w:i/>
                <w:iCs/>
                <w:color w:val="000000"/>
                <w:sz w:val="20"/>
                <w:szCs w:val="20"/>
              </w:rPr>
              <w:t>Subt</w:t>
            </w:r>
            <w:r w:rsidRPr="00840C66">
              <w:rPr>
                <w:b/>
                <w:bCs/>
                <w:i/>
                <w:iCs/>
                <w:color w:val="000000"/>
                <w:sz w:val="20"/>
                <w:szCs w:val="20"/>
              </w:rPr>
              <w:t>otal (</w:t>
            </w:r>
            <w:r w:rsidRPr="00840C66" w:rsidR="00DF7824">
              <w:rPr>
                <w:b/>
                <w:bCs/>
                <w:i/>
                <w:iCs/>
                <w:color w:val="000000"/>
                <w:sz w:val="20"/>
                <w:szCs w:val="20"/>
              </w:rPr>
              <w:t>R</w:t>
            </w:r>
            <w:r w:rsidRPr="00840C66">
              <w:rPr>
                <w:b/>
                <w:bCs/>
                <w:i/>
                <w:iCs/>
                <w:color w:val="000000"/>
                <w:sz w:val="20"/>
                <w:szCs w:val="20"/>
              </w:rPr>
              <w:t>ounded)</w:t>
            </w:r>
          </w:p>
        </w:tc>
        <w:tc>
          <w:tcPr>
            <w:tcW w:w="1350" w:type="dxa"/>
            <w:tcBorders>
              <w:top w:val="single" w:sz="4" w:space="0" w:color="auto"/>
              <w:left w:val="single" w:sz="6" w:space="0" w:color="auto"/>
              <w:bottom w:val="single" w:sz="6" w:space="0" w:color="auto"/>
              <w:right w:val="single" w:sz="6" w:space="0" w:color="auto"/>
            </w:tcBorders>
            <w:vAlign w:val="center"/>
          </w:tcPr>
          <w:p w:rsidR="00FB56D6" w:rsidRPr="00840C66" w:rsidP="00FB56D6" w14:paraId="368F93CF" w14:textId="51C09B33">
            <w:pPr>
              <w:widowControl/>
              <w:jc w:val="center"/>
              <w:rPr>
                <w:rFonts w:eastAsiaTheme="minorEastAsia"/>
                <w:b/>
                <w:bCs/>
                <w:i/>
                <w:iCs/>
                <w:color w:val="000000"/>
                <w:sz w:val="20"/>
                <w:szCs w:val="20"/>
              </w:rPr>
            </w:pPr>
            <w:r w:rsidRPr="00840C66">
              <w:rPr>
                <w:b/>
                <w:bCs/>
                <w:i/>
                <w:iCs/>
                <w:color w:val="000000"/>
                <w:sz w:val="20"/>
                <w:szCs w:val="20"/>
              </w:rPr>
              <w:t>56</w:t>
            </w:r>
          </w:p>
        </w:tc>
        <w:tc>
          <w:tcPr>
            <w:tcW w:w="1350" w:type="dxa"/>
            <w:tcBorders>
              <w:top w:val="single" w:sz="4" w:space="0" w:color="auto"/>
              <w:left w:val="single" w:sz="6" w:space="0" w:color="auto"/>
              <w:bottom w:val="single" w:sz="6" w:space="0" w:color="auto"/>
              <w:right w:val="single" w:sz="6" w:space="0" w:color="auto"/>
            </w:tcBorders>
            <w:shd w:val="solid" w:color="000000" w:fill="auto"/>
            <w:vAlign w:val="center"/>
          </w:tcPr>
          <w:p w:rsidR="00FB56D6" w:rsidRPr="00840C66" w:rsidP="00FB56D6" w14:paraId="3D264A3C" w14:textId="650ECECA">
            <w:pPr>
              <w:widowControl/>
              <w:jc w:val="center"/>
              <w:rPr>
                <w:rFonts w:eastAsiaTheme="minorEastAsia"/>
                <w:b/>
                <w:bCs/>
                <w:i/>
                <w:iCs/>
                <w:color w:val="000000"/>
                <w:sz w:val="20"/>
                <w:szCs w:val="20"/>
              </w:rPr>
            </w:pPr>
            <w:r w:rsidRPr="00840C66">
              <w:rPr>
                <w:b/>
                <w:bCs/>
                <w:i/>
                <w:iCs/>
                <w:color w:val="000000"/>
                <w:sz w:val="20"/>
                <w:szCs w:val="20"/>
              </w:rPr>
              <w:t> </w:t>
            </w:r>
          </w:p>
        </w:tc>
        <w:tc>
          <w:tcPr>
            <w:tcW w:w="1170" w:type="dxa"/>
            <w:tcBorders>
              <w:top w:val="single" w:sz="4" w:space="0" w:color="auto"/>
              <w:left w:val="single" w:sz="6" w:space="0" w:color="auto"/>
              <w:bottom w:val="single" w:sz="6" w:space="0" w:color="auto"/>
              <w:right w:val="single" w:sz="6" w:space="0" w:color="auto"/>
            </w:tcBorders>
            <w:vAlign w:val="center"/>
          </w:tcPr>
          <w:p w:rsidR="00FB56D6" w:rsidRPr="00840C66" w:rsidP="00FB56D6" w14:paraId="00FAB811" w14:textId="3EBAC674">
            <w:pPr>
              <w:widowControl/>
              <w:jc w:val="center"/>
              <w:rPr>
                <w:rFonts w:eastAsiaTheme="minorEastAsia"/>
                <w:b/>
                <w:bCs/>
                <w:i/>
                <w:iCs/>
                <w:color w:val="000000"/>
                <w:sz w:val="20"/>
                <w:szCs w:val="20"/>
              </w:rPr>
            </w:pPr>
            <w:r w:rsidRPr="00840C66">
              <w:rPr>
                <w:b/>
                <w:bCs/>
                <w:i/>
                <w:iCs/>
                <w:color w:val="000000"/>
                <w:sz w:val="20"/>
                <w:szCs w:val="20"/>
              </w:rPr>
              <w:t>280</w:t>
            </w:r>
          </w:p>
        </w:tc>
        <w:tc>
          <w:tcPr>
            <w:tcW w:w="1080" w:type="dxa"/>
            <w:tcBorders>
              <w:top w:val="single" w:sz="4" w:space="0" w:color="auto"/>
              <w:left w:val="single" w:sz="6" w:space="0" w:color="auto"/>
              <w:bottom w:val="single" w:sz="6" w:space="0" w:color="auto"/>
              <w:right w:val="single" w:sz="6" w:space="0" w:color="auto"/>
            </w:tcBorders>
            <w:shd w:val="solid" w:color="000000" w:fill="auto"/>
            <w:vAlign w:val="center"/>
          </w:tcPr>
          <w:p w:rsidR="00FB56D6" w:rsidRPr="00840C66" w:rsidP="00FB56D6" w14:paraId="2D74169B" w14:textId="71FE71A8">
            <w:pPr>
              <w:widowControl/>
              <w:jc w:val="center"/>
              <w:rPr>
                <w:rFonts w:eastAsiaTheme="minorEastAsia"/>
                <w:b/>
                <w:bCs/>
                <w:color w:val="000000"/>
                <w:sz w:val="20"/>
                <w:szCs w:val="20"/>
              </w:rPr>
            </w:pPr>
            <w:r w:rsidRPr="00840C66">
              <w:rPr>
                <w:b/>
                <w:bCs/>
                <w:i/>
                <w:iCs/>
                <w:color w:val="000000"/>
                <w:sz w:val="20"/>
                <w:szCs w:val="20"/>
              </w:rPr>
              <w:t> </w:t>
            </w:r>
          </w:p>
        </w:tc>
        <w:tc>
          <w:tcPr>
            <w:tcW w:w="900" w:type="dxa"/>
            <w:tcBorders>
              <w:top w:val="single" w:sz="4" w:space="0" w:color="auto"/>
              <w:left w:val="single" w:sz="6" w:space="0" w:color="auto"/>
              <w:bottom w:val="single" w:sz="6" w:space="0" w:color="auto"/>
              <w:right w:val="single" w:sz="6" w:space="0" w:color="auto"/>
            </w:tcBorders>
            <w:vAlign w:val="center"/>
          </w:tcPr>
          <w:p w:rsidR="00FB56D6" w:rsidRPr="00840C66" w:rsidP="00FB56D6" w14:paraId="5993F526" w14:textId="489A06CA">
            <w:pPr>
              <w:widowControl/>
              <w:jc w:val="center"/>
              <w:rPr>
                <w:rFonts w:eastAsiaTheme="minorEastAsia"/>
                <w:b/>
                <w:bCs/>
                <w:color w:val="000000"/>
                <w:sz w:val="20"/>
                <w:szCs w:val="20"/>
              </w:rPr>
            </w:pPr>
            <w:r w:rsidRPr="00840C66">
              <w:rPr>
                <w:b/>
                <w:bCs/>
                <w:i/>
                <w:iCs/>
                <w:color w:val="000000"/>
                <w:sz w:val="20"/>
                <w:szCs w:val="20"/>
              </w:rPr>
              <w:t>700</w:t>
            </w:r>
          </w:p>
        </w:tc>
        <w:tc>
          <w:tcPr>
            <w:tcW w:w="900" w:type="dxa"/>
            <w:tcBorders>
              <w:top w:val="single" w:sz="4" w:space="0" w:color="auto"/>
              <w:left w:val="single" w:sz="6" w:space="0" w:color="auto"/>
              <w:bottom w:val="single" w:sz="6" w:space="0" w:color="auto"/>
              <w:right w:val="single" w:sz="6" w:space="0" w:color="auto"/>
            </w:tcBorders>
            <w:shd w:val="solid" w:color="000000" w:fill="auto"/>
            <w:vAlign w:val="center"/>
          </w:tcPr>
          <w:p w:rsidR="00FB56D6" w:rsidRPr="00840C66" w:rsidP="00FB56D6" w14:paraId="1C30AB08" w14:textId="12546E45">
            <w:pPr>
              <w:widowControl/>
              <w:jc w:val="center"/>
              <w:rPr>
                <w:rFonts w:eastAsiaTheme="minorEastAsia"/>
                <w:b/>
                <w:bCs/>
                <w:color w:val="000000"/>
                <w:sz w:val="20"/>
                <w:szCs w:val="20"/>
              </w:rPr>
            </w:pPr>
            <w:r w:rsidRPr="00840C66">
              <w:rPr>
                <w:b/>
                <w:bCs/>
                <w:i/>
                <w:iCs/>
                <w:color w:val="000000"/>
                <w:sz w:val="20"/>
                <w:szCs w:val="20"/>
              </w:rPr>
              <w:t> </w:t>
            </w:r>
          </w:p>
        </w:tc>
        <w:tc>
          <w:tcPr>
            <w:tcW w:w="1170" w:type="dxa"/>
            <w:tcBorders>
              <w:top w:val="single" w:sz="4" w:space="0" w:color="auto"/>
              <w:left w:val="single" w:sz="6" w:space="0" w:color="auto"/>
              <w:bottom w:val="single" w:sz="6" w:space="0" w:color="auto"/>
              <w:right w:val="single" w:sz="6" w:space="0" w:color="auto"/>
            </w:tcBorders>
            <w:vAlign w:val="center"/>
          </w:tcPr>
          <w:p w:rsidR="00FB56D6" w:rsidRPr="00840C66" w:rsidP="00FB56D6" w14:paraId="121E0336" w14:textId="45F2B5C2">
            <w:pPr>
              <w:widowControl/>
              <w:jc w:val="center"/>
              <w:rPr>
                <w:rFonts w:eastAsiaTheme="minorEastAsia"/>
                <w:b/>
                <w:bCs/>
                <w:color w:val="000000"/>
                <w:sz w:val="20"/>
                <w:szCs w:val="20"/>
              </w:rPr>
            </w:pPr>
            <w:r w:rsidRPr="00840C66">
              <w:rPr>
                <w:b/>
                <w:bCs/>
                <w:i/>
                <w:iCs/>
                <w:color w:val="000000"/>
                <w:sz w:val="20"/>
                <w:szCs w:val="20"/>
              </w:rPr>
              <w:t>$</w:t>
            </w:r>
            <w:r w:rsidRPr="00840C66">
              <w:rPr>
                <w:b/>
                <w:bCs/>
                <w:i/>
                <w:iCs/>
                <w:color w:val="000000"/>
                <w:sz w:val="20"/>
                <w:szCs w:val="20"/>
              </w:rPr>
              <w:t>28,287</w:t>
            </w:r>
          </w:p>
        </w:tc>
      </w:tr>
    </w:tbl>
    <w:p w:rsidR="00B726B3" w:rsidP="00850DB1" w14:paraId="3832EDA8" w14:textId="77777777">
      <w:pPr>
        <w:widowControl/>
      </w:pPr>
    </w:p>
    <w:p w:rsidR="002818DF" w:rsidRPr="003F5124" w:rsidP="002818DF" w14:paraId="0B0859AC" w14:textId="19031A25">
      <w:pPr>
        <w:widowControl/>
        <w:rPr>
          <w:b/>
          <w:bCs/>
          <w:u w:val="single"/>
        </w:rPr>
      </w:pPr>
      <w:r>
        <w:rPr>
          <w:b/>
          <w:bCs/>
          <w:u w:val="single"/>
        </w:rPr>
        <w:t>Brookwood-Sago Mine Safety Grant</w:t>
      </w:r>
      <w:r w:rsidRPr="003F5124">
        <w:rPr>
          <w:b/>
          <w:bCs/>
          <w:u w:val="single"/>
        </w:rPr>
        <w:t>s</w:t>
      </w:r>
    </w:p>
    <w:p w:rsidR="002818DF" w:rsidP="002818DF" w14:paraId="5A64E55D" w14:textId="77777777">
      <w:pPr>
        <w:widowControl/>
      </w:pPr>
    </w:p>
    <w:p w:rsidR="002818DF" w:rsidP="002818DF" w14:paraId="6BBFFE5E" w14:textId="7D159177">
      <w:pPr>
        <w:widowControl/>
      </w:pPr>
      <w:r>
        <w:t xml:space="preserve">For the </w:t>
      </w:r>
      <w:r w:rsidR="00DF7824">
        <w:t>Brookwood-Sago Mine Safety Grant</w:t>
      </w:r>
      <w:r>
        <w:t xml:space="preserve">s, MSHA estimates it takes an average of 1.5 working hours per quarter for a grantee to prepare and submit a </w:t>
      </w:r>
    </w:p>
    <w:p w:rsidR="002818DF" w:rsidP="009D0E5D" w14:paraId="3F8E5755" w14:textId="77777777">
      <w:pPr>
        <w:pStyle w:val="ListParagraph"/>
        <w:numPr>
          <w:ilvl w:val="0"/>
          <w:numId w:val="8"/>
        </w:numPr>
      </w:pPr>
      <w:r>
        <w:t xml:space="preserve">Quarterly performance report. </w:t>
      </w:r>
    </w:p>
    <w:p w:rsidR="002818DF" w:rsidP="002818DF" w14:paraId="52B92308" w14:textId="77777777">
      <w:pPr>
        <w:widowControl/>
      </w:pPr>
    </w:p>
    <w:p w:rsidR="002818DF" w:rsidP="002818DF" w14:paraId="2381CADE" w14:textId="77777777">
      <w:pPr>
        <w:widowControl/>
      </w:pPr>
      <w:r>
        <w:t>Additionally, MSHA estimates it takes an average of 1.5 working hours to prepare and submit a</w:t>
      </w:r>
    </w:p>
    <w:p w:rsidR="002818DF" w:rsidP="009D0E5D" w14:paraId="45505BC6" w14:textId="115B5D63">
      <w:pPr>
        <w:pStyle w:val="ListParagraph"/>
        <w:widowControl/>
        <w:numPr>
          <w:ilvl w:val="0"/>
          <w:numId w:val="10"/>
        </w:numPr>
      </w:pPr>
      <w:r>
        <w:t>Final report and evaluation report.</w:t>
      </w:r>
    </w:p>
    <w:p w:rsidR="002818DF" w:rsidP="002818DF" w14:paraId="36DD8C74" w14:textId="77777777">
      <w:pPr>
        <w:widowControl/>
      </w:pPr>
    </w:p>
    <w:p w:rsidR="002818DF" w:rsidP="002818DF" w14:paraId="6C620997" w14:textId="77777777">
      <w:pPr>
        <w:widowControl/>
      </w:pPr>
      <w:r>
        <w:t>MSHA assumes that an administrative support staff,</w:t>
      </w:r>
      <w:r w:rsidRPr="00143D10">
        <w:t xml:space="preserve"> </w:t>
      </w:r>
      <w:r w:rsidRPr="00C00E02">
        <w:t xml:space="preserve">earning </w:t>
      </w:r>
      <w:r>
        <w:t xml:space="preserve">a loaded wage of </w:t>
      </w:r>
      <w:r w:rsidRPr="00C00E02">
        <w:t>$</w:t>
      </w:r>
      <w:r>
        <w:t>40.41</w:t>
      </w:r>
      <w:r w:rsidRPr="00C00E02">
        <w:t xml:space="preserve"> per hour</w:t>
      </w:r>
      <w:r>
        <w:t>, is assigned to work on this information collection request.</w:t>
      </w:r>
      <w:r w:rsidRPr="006E4839">
        <w:t xml:space="preserve"> </w:t>
      </w:r>
    </w:p>
    <w:p w:rsidR="002818DF" w:rsidP="002818DF" w14:paraId="0816E2B1" w14:textId="77777777">
      <w:pPr>
        <w:widowControl/>
      </w:pPr>
    </w:p>
    <w:p w:rsidR="002818DF" w:rsidRPr="00BD1057" w:rsidP="002818DF" w14:paraId="71034517" w14:textId="60807938">
      <w:pPr>
        <w:widowControl/>
        <w:autoSpaceDE/>
        <w:autoSpaceDN/>
        <w:adjustRightInd/>
        <w:rPr>
          <w:b/>
          <w:color w:val="000000"/>
          <w:sz w:val="22"/>
          <w:szCs w:val="22"/>
        </w:rPr>
      </w:pPr>
      <w:r w:rsidRPr="00BD1057">
        <w:rPr>
          <w:b/>
          <w:color w:val="000000"/>
          <w:sz w:val="22"/>
          <w:szCs w:val="22"/>
        </w:rPr>
        <w:t>Table 12-</w:t>
      </w:r>
      <w:r>
        <w:rPr>
          <w:b/>
          <w:color w:val="000000"/>
          <w:sz w:val="22"/>
          <w:szCs w:val="22"/>
        </w:rPr>
        <w:t>3</w:t>
      </w:r>
      <w:r w:rsidR="00FF1868">
        <w:rPr>
          <w:b/>
          <w:color w:val="000000"/>
          <w:sz w:val="22"/>
          <w:szCs w:val="22"/>
        </w:rPr>
        <w:t>.</w:t>
      </w:r>
      <w:r w:rsidRPr="00BD1057">
        <w:rPr>
          <w:b/>
          <w:color w:val="000000"/>
          <w:sz w:val="22"/>
          <w:szCs w:val="22"/>
        </w:rPr>
        <w:t xml:space="preserve"> Estimated Annual Respondent Hour and Cost Burden, </w:t>
      </w:r>
      <w:r w:rsidR="00DF7824">
        <w:rPr>
          <w:b/>
          <w:color w:val="000000"/>
          <w:sz w:val="22"/>
          <w:szCs w:val="22"/>
        </w:rPr>
        <w:t>Brookwood-Sago Mine Safety Grant</w:t>
      </w:r>
      <w:r w:rsidRPr="00BD1057">
        <w:rPr>
          <w:b/>
          <w:color w:val="000000"/>
          <w:sz w:val="22"/>
          <w:szCs w:val="22"/>
        </w:rPr>
        <w:t>s</w:t>
      </w:r>
    </w:p>
    <w:p w:rsidR="002818DF" w:rsidP="002818DF" w14:paraId="257E6451" w14:textId="77777777">
      <w:pPr>
        <w:rPr>
          <w:b/>
          <w:color w:val="000000"/>
          <w:sz w:val="22"/>
          <w:szCs w:val="22"/>
        </w:rPr>
      </w:pPr>
    </w:p>
    <w:tbl>
      <w:tblPr>
        <w:tblW w:w="9540" w:type="dxa"/>
        <w:tblInd w:w="-95" w:type="dxa"/>
        <w:tblLayout w:type="fixed"/>
        <w:tblLook w:val="0000"/>
      </w:tblPr>
      <w:tblGrid>
        <w:gridCol w:w="1710"/>
        <w:gridCol w:w="1350"/>
        <w:gridCol w:w="1260"/>
        <w:gridCol w:w="1170"/>
        <w:gridCol w:w="1170"/>
        <w:gridCol w:w="900"/>
        <w:gridCol w:w="900"/>
        <w:gridCol w:w="1080"/>
      </w:tblGrid>
      <w:tr w14:paraId="51465636" w14:textId="77777777" w:rsidTr="00983632">
        <w:tblPrEx>
          <w:tblW w:w="9540" w:type="dxa"/>
          <w:tblInd w:w="-95" w:type="dxa"/>
          <w:tblLayout w:type="fixed"/>
          <w:tblLook w:val="0000"/>
        </w:tblPrEx>
        <w:trPr>
          <w:trHeight w:val="566"/>
        </w:trPr>
        <w:tc>
          <w:tcPr>
            <w:tcW w:w="171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2818DF" w:rsidRPr="00840C66" w:rsidP="00330534" w14:paraId="7CDB2CB2" w14:textId="77777777">
            <w:pPr>
              <w:widowControl/>
              <w:jc w:val="center"/>
              <w:rPr>
                <w:b/>
                <w:bCs/>
                <w:color w:val="000000"/>
                <w:sz w:val="20"/>
                <w:szCs w:val="20"/>
              </w:rPr>
            </w:pPr>
            <w:r w:rsidRPr="00840C66">
              <w:rPr>
                <w:b/>
                <w:bCs/>
                <w:color w:val="000000"/>
                <w:sz w:val="20"/>
                <w:szCs w:val="20"/>
              </w:rPr>
              <w:t>Activity</w:t>
            </w:r>
          </w:p>
        </w:tc>
        <w:tc>
          <w:tcPr>
            <w:tcW w:w="135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2818DF" w:rsidRPr="00840C66" w:rsidP="00330534" w14:paraId="7F4EAE7C" w14:textId="77777777">
            <w:pPr>
              <w:widowControl/>
              <w:jc w:val="center"/>
              <w:rPr>
                <w:b/>
                <w:bCs/>
                <w:color w:val="000000"/>
                <w:sz w:val="20"/>
                <w:szCs w:val="20"/>
              </w:rPr>
            </w:pPr>
            <w:r w:rsidRPr="00840C66">
              <w:rPr>
                <w:b/>
                <w:bCs/>
                <w:color w:val="000000"/>
                <w:sz w:val="20"/>
                <w:szCs w:val="20"/>
              </w:rPr>
              <w:t>No. of Respondents (Grantees)</w:t>
            </w:r>
          </w:p>
        </w:tc>
        <w:tc>
          <w:tcPr>
            <w:tcW w:w="126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2818DF" w:rsidRPr="00840C66" w:rsidP="00330534" w14:paraId="0888B4C6" w14:textId="77777777">
            <w:pPr>
              <w:widowControl/>
              <w:jc w:val="center"/>
              <w:rPr>
                <w:b/>
                <w:bCs/>
                <w:color w:val="000000"/>
                <w:sz w:val="20"/>
                <w:szCs w:val="20"/>
              </w:rPr>
            </w:pPr>
            <w:r w:rsidRPr="00840C66">
              <w:rPr>
                <w:b/>
                <w:bCs/>
                <w:color w:val="000000"/>
                <w:sz w:val="20"/>
                <w:szCs w:val="20"/>
              </w:rPr>
              <w:t>No. of Responses per Respondent</w:t>
            </w:r>
          </w:p>
        </w:tc>
        <w:tc>
          <w:tcPr>
            <w:tcW w:w="117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2818DF" w:rsidRPr="00840C66" w:rsidP="00330534" w14:paraId="7F8BCECA" w14:textId="77777777">
            <w:pPr>
              <w:widowControl/>
              <w:jc w:val="center"/>
              <w:rPr>
                <w:b/>
                <w:bCs/>
                <w:color w:val="000000"/>
                <w:sz w:val="20"/>
                <w:szCs w:val="20"/>
              </w:rPr>
            </w:pPr>
            <w:r w:rsidRPr="00840C66">
              <w:rPr>
                <w:b/>
                <w:bCs/>
                <w:color w:val="000000"/>
                <w:sz w:val="20"/>
                <w:szCs w:val="20"/>
              </w:rPr>
              <w:t>Total Responses (Reports)</w:t>
            </w:r>
          </w:p>
        </w:tc>
        <w:tc>
          <w:tcPr>
            <w:tcW w:w="117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2818DF" w:rsidRPr="00840C66" w:rsidP="00330534" w14:paraId="31892ACC" w14:textId="77777777">
            <w:pPr>
              <w:widowControl/>
              <w:jc w:val="center"/>
              <w:rPr>
                <w:b/>
                <w:bCs/>
                <w:color w:val="000000"/>
                <w:sz w:val="20"/>
                <w:szCs w:val="20"/>
              </w:rPr>
            </w:pPr>
            <w:r w:rsidRPr="00840C66">
              <w:rPr>
                <w:b/>
                <w:bCs/>
                <w:color w:val="000000"/>
                <w:sz w:val="20"/>
                <w:szCs w:val="20"/>
              </w:rPr>
              <w:t>Avg. Burden per Response (Minutes)</w:t>
            </w:r>
          </w:p>
        </w:tc>
        <w:tc>
          <w:tcPr>
            <w:tcW w:w="90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2818DF" w:rsidRPr="00840C66" w:rsidP="00330534" w14:paraId="763BA10F" w14:textId="77777777">
            <w:pPr>
              <w:widowControl/>
              <w:jc w:val="center"/>
              <w:rPr>
                <w:b/>
                <w:bCs/>
                <w:color w:val="000000"/>
                <w:sz w:val="20"/>
                <w:szCs w:val="20"/>
              </w:rPr>
            </w:pPr>
            <w:r w:rsidRPr="00840C66">
              <w:rPr>
                <w:b/>
                <w:bCs/>
                <w:color w:val="000000"/>
                <w:sz w:val="20"/>
                <w:szCs w:val="20"/>
              </w:rPr>
              <w:t>Total Annual Burden (Hours)</w:t>
            </w:r>
          </w:p>
        </w:tc>
        <w:tc>
          <w:tcPr>
            <w:tcW w:w="90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2818DF" w:rsidRPr="00840C66" w:rsidP="00330534" w14:paraId="689EAB31" w14:textId="77777777">
            <w:pPr>
              <w:widowControl/>
              <w:jc w:val="center"/>
              <w:rPr>
                <w:b/>
                <w:bCs/>
                <w:color w:val="000000"/>
                <w:sz w:val="20"/>
                <w:szCs w:val="20"/>
              </w:rPr>
            </w:pPr>
            <w:r w:rsidRPr="00840C66">
              <w:rPr>
                <w:b/>
                <w:bCs/>
                <w:color w:val="000000"/>
                <w:sz w:val="20"/>
                <w:szCs w:val="20"/>
              </w:rPr>
              <w:t>Avg. Hourly Wage Rate</w:t>
            </w:r>
          </w:p>
        </w:tc>
        <w:tc>
          <w:tcPr>
            <w:tcW w:w="108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2818DF" w:rsidRPr="00840C66" w:rsidP="00330534" w14:paraId="2A1A62A0" w14:textId="448473C8">
            <w:pPr>
              <w:widowControl/>
              <w:jc w:val="center"/>
              <w:rPr>
                <w:b/>
                <w:bCs/>
                <w:color w:val="000000"/>
                <w:sz w:val="20"/>
                <w:szCs w:val="20"/>
              </w:rPr>
            </w:pPr>
            <w:r w:rsidRPr="00840C66">
              <w:rPr>
                <w:b/>
                <w:bCs/>
                <w:color w:val="000000"/>
                <w:sz w:val="20"/>
                <w:szCs w:val="20"/>
              </w:rPr>
              <w:t>Total Annual Cost</w:t>
            </w:r>
          </w:p>
        </w:tc>
      </w:tr>
      <w:tr w14:paraId="487C5EE3" w14:textId="77777777" w:rsidTr="00840C66">
        <w:tblPrEx>
          <w:tblW w:w="9540" w:type="dxa"/>
          <w:tblInd w:w="-95" w:type="dxa"/>
          <w:tblLayout w:type="fixed"/>
          <w:tblLook w:val="0000"/>
        </w:tblPrEx>
        <w:trPr>
          <w:trHeight w:val="186"/>
        </w:trPr>
        <w:tc>
          <w:tcPr>
            <w:tcW w:w="1710" w:type="dxa"/>
            <w:tcBorders>
              <w:top w:val="single" w:sz="4" w:space="0" w:color="auto"/>
              <w:left w:val="single" w:sz="6" w:space="0" w:color="auto"/>
              <w:bottom w:val="single" w:sz="4" w:space="0" w:color="auto"/>
              <w:right w:val="single" w:sz="6" w:space="0" w:color="auto"/>
            </w:tcBorders>
          </w:tcPr>
          <w:p w:rsidR="002818DF" w:rsidRPr="00840C66" w:rsidP="00330534" w14:paraId="12663767" w14:textId="77777777">
            <w:pPr>
              <w:widowControl/>
              <w:jc w:val="center"/>
              <w:rPr>
                <w:rFonts w:eastAsiaTheme="minorEastAsia"/>
                <w:color w:val="000000"/>
                <w:sz w:val="20"/>
                <w:szCs w:val="20"/>
              </w:rPr>
            </w:pPr>
            <w:r w:rsidRPr="00840C66">
              <w:rPr>
                <w:sz w:val="20"/>
                <w:szCs w:val="20"/>
              </w:rPr>
              <w:t>Quarterly Reports</w:t>
            </w:r>
          </w:p>
        </w:tc>
        <w:tc>
          <w:tcPr>
            <w:tcW w:w="1350" w:type="dxa"/>
            <w:tcBorders>
              <w:top w:val="single" w:sz="4" w:space="0" w:color="auto"/>
              <w:left w:val="single" w:sz="6" w:space="0" w:color="auto"/>
              <w:bottom w:val="single" w:sz="4" w:space="0" w:color="auto"/>
              <w:right w:val="single" w:sz="6" w:space="0" w:color="auto"/>
            </w:tcBorders>
            <w:vAlign w:val="center"/>
          </w:tcPr>
          <w:p w:rsidR="002818DF" w:rsidRPr="00840C66" w:rsidP="00330534" w14:paraId="76681F77" w14:textId="77777777">
            <w:pPr>
              <w:widowControl/>
              <w:jc w:val="center"/>
              <w:rPr>
                <w:rFonts w:eastAsiaTheme="minorEastAsia"/>
                <w:color w:val="000000"/>
                <w:sz w:val="20"/>
                <w:szCs w:val="20"/>
              </w:rPr>
            </w:pPr>
            <w:r w:rsidRPr="00840C66">
              <w:rPr>
                <w:color w:val="000000"/>
                <w:sz w:val="20"/>
                <w:szCs w:val="20"/>
              </w:rPr>
              <w:t>20</w:t>
            </w:r>
          </w:p>
        </w:tc>
        <w:tc>
          <w:tcPr>
            <w:tcW w:w="1260" w:type="dxa"/>
            <w:tcBorders>
              <w:top w:val="single" w:sz="4" w:space="0" w:color="auto"/>
              <w:left w:val="single" w:sz="6" w:space="0" w:color="auto"/>
              <w:bottom w:val="single" w:sz="4" w:space="0" w:color="auto"/>
              <w:right w:val="single" w:sz="6" w:space="0" w:color="auto"/>
            </w:tcBorders>
            <w:vAlign w:val="center"/>
          </w:tcPr>
          <w:p w:rsidR="002818DF" w:rsidRPr="00840C66" w:rsidP="00330534" w14:paraId="138C0927" w14:textId="77777777">
            <w:pPr>
              <w:widowControl/>
              <w:jc w:val="center"/>
              <w:rPr>
                <w:rFonts w:eastAsiaTheme="minorEastAsia"/>
                <w:color w:val="000000"/>
                <w:sz w:val="20"/>
                <w:szCs w:val="20"/>
              </w:rPr>
            </w:pPr>
            <w:r w:rsidRPr="00840C66">
              <w:rPr>
                <w:color w:val="000000"/>
                <w:sz w:val="20"/>
                <w:szCs w:val="20"/>
              </w:rPr>
              <w:t>4</w:t>
            </w:r>
          </w:p>
        </w:tc>
        <w:tc>
          <w:tcPr>
            <w:tcW w:w="1170" w:type="dxa"/>
            <w:tcBorders>
              <w:top w:val="single" w:sz="4" w:space="0" w:color="auto"/>
              <w:left w:val="single" w:sz="6" w:space="0" w:color="auto"/>
              <w:bottom w:val="single" w:sz="4" w:space="0" w:color="auto"/>
              <w:right w:val="single" w:sz="6" w:space="0" w:color="auto"/>
            </w:tcBorders>
            <w:vAlign w:val="center"/>
          </w:tcPr>
          <w:p w:rsidR="002818DF" w:rsidRPr="00840C66" w:rsidP="00330534" w14:paraId="7E47C673" w14:textId="77777777">
            <w:pPr>
              <w:widowControl/>
              <w:jc w:val="center"/>
              <w:rPr>
                <w:rFonts w:eastAsiaTheme="minorEastAsia"/>
                <w:color w:val="000000"/>
                <w:sz w:val="20"/>
                <w:szCs w:val="20"/>
              </w:rPr>
            </w:pPr>
            <w:r w:rsidRPr="00840C66">
              <w:rPr>
                <w:color w:val="000000"/>
                <w:sz w:val="20"/>
                <w:szCs w:val="20"/>
              </w:rPr>
              <w:t>80</w:t>
            </w:r>
          </w:p>
        </w:tc>
        <w:tc>
          <w:tcPr>
            <w:tcW w:w="1170" w:type="dxa"/>
            <w:tcBorders>
              <w:top w:val="single" w:sz="4" w:space="0" w:color="auto"/>
              <w:left w:val="single" w:sz="6" w:space="0" w:color="auto"/>
              <w:bottom w:val="single" w:sz="4" w:space="0" w:color="auto"/>
              <w:right w:val="single" w:sz="6" w:space="0" w:color="auto"/>
            </w:tcBorders>
            <w:vAlign w:val="center"/>
          </w:tcPr>
          <w:p w:rsidR="002818DF" w:rsidRPr="00840C66" w:rsidP="00330534" w14:paraId="22952D34" w14:textId="77777777">
            <w:pPr>
              <w:widowControl/>
              <w:jc w:val="center"/>
              <w:rPr>
                <w:rFonts w:eastAsiaTheme="minorEastAsia"/>
                <w:color w:val="000000"/>
                <w:sz w:val="20"/>
                <w:szCs w:val="20"/>
              </w:rPr>
            </w:pPr>
            <w:r w:rsidRPr="00840C66">
              <w:rPr>
                <w:color w:val="000000"/>
                <w:sz w:val="20"/>
                <w:szCs w:val="20"/>
              </w:rPr>
              <w:t>90</w:t>
            </w:r>
          </w:p>
        </w:tc>
        <w:tc>
          <w:tcPr>
            <w:tcW w:w="900" w:type="dxa"/>
            <w:tcBorders>
              <w:top w:val="single" w:sz="4" w:space="0" w:color="auto"/>
              <w:left w:val="single" w:sz="6" w:space="0" w:color="auto"/>
              <w:bottom w:val="single" w:sz="4" w:space="0" w:color="auto"/>
              <w:right w:val="single" w:sz="6" w:space="0" w:color="auto"/>
            </w:tcBorders>
            <w:vAlign w:val="center"/>
          </w:tcPr>
          <w:p w:rsidR="002818DF" w:rsidRPr="00840C66" w:rsidP="00330534" w14:paraId="4FF3EE72" w14:textId="77777777">
            <w:pPr>
              <w:widowControl/>
              <w:jc w:val="center"/>
              <w:rPr>
                <w:rFonts w:eastAsiaTheme="minorEastAsia"/>
                <w:color w:val="000000"/>
                <w:sz w:val="20"/>
                <w:szCs w:val="20"/>
              </w:rPr>
            </w:pPr>
            <w:r w:rsidRPr="00840C66">
              <w:rPr>
                <w:color w:val="000000"/>
                <w:sz w:val="20"/>
                <w:szCs w:val="20"/>
              </w:rPr>
              <w:t>120.00</w:t>
            </w:r>
          </w:p>
        </w:tc>
        <w:tc>
          <w:tcPr>
            <w:tcW w:w="900" w:type="dxa"/>
            <w:tcBorders>
              <w:top w:val="single" w:sz="4" w:space="0" w:color="auto"/>
              <w:left w:val="single" w:sz="6" w:space="0" w:color="auto"/>
              <w:bottom w:val="single" w:sz="4" w:space="0" w:color="auto"/>
              <w:right w:val="single" w:sz="6" w:space="0" w:color="auto"/>
            </w:tcBorders>
            <w:vAlign w:val="center"/>
          </w:tcPr>
          <w:p w:rsidR="002818DF" w:rsidRPr="00840C66" w:rsidP="00330534" w14:paraId="5C0F5AFD" w14:textId="77777777">
            <w:pPr>
              <w:widowControl/>
              <w:jc w:val="center"/>
              <w:rPr>
                <w:rFonts w:eastAsiaTheme="minorEastAsia"/>
                <w:color w:val="000000"/>
                <w:sz w:val="20"/>
                <w:szCs w:val="20"/>
              </w:rPr>
            </w:pPr>
            <w:r w:rsidRPr="00840C66">
              <w:rPr>
                <w:color w:val="000000"/>
                <w:sz w:val="20"/>
                <w:szCs w:val="20"/>
              </w:rPr>
              <w:t xml:space="preserve">$40.41 </w:t>
            </w:r>
          </w:p>
        </w:tc>
        <w:tc>
          <w:tcPr>
            <w:tcW w:w="1080" w:type="dxa"/>
            <w:tcBorders>
              <w:top w:val="single" w:sz="4" w:space="0" w:color="auto"/>
              <w:left w:val="single" w:sz="6" w:space="0" w:color="auto"/>
              <w:bottom w:val="single" w:sz="4" w:space="0" w:color="auto"/>
              <w:right w:val="single" w:sz="6" w:space="0" w:color="auto"/>
            </w:tcBorders>
            <w:vAlign w:val="center"/>
          </w:tcPr>
          <w:p w:rsidR="002818DF" w:rsidRPr="00840C66" w:rsidP="00330534" w14:paraId="54227200" w14:textId="77777777">
            <w:pPr>
              <w:widowControl/>
              <w:jc w:val="center"/>
              <w:rPr>
                <w:rFonts w:eastAsiaTheme="minorEastAsia"/>
                <w:color w:val="000000"/>
                <w:sz w:val="20"/>
                <w:szCs w:val="20"/>
              </w:rPr>
            </w:pPr>
            <w:r w:rsidRPr="00840C66">
              <w:rPr>
                <w:color w:val="000000"/>
                <w:sz w:val="20"/>
                <w:szCs w:val="20"/>
              </w:rPr>
              <w:t xml:space="preserve">$4,849.20 </w:t>
            </w:r>
          </w:p>
        </w:tc>
      </w:tr>
      <w:tr w14:paraId="16837448" w14:textId="77777777" w:rsidTr="00840C66">
        <w:tblPrEx>
          <w:tblW w:w="9540" w:type="dxa"/>
          <w:tblInd w:w="-95" w:type="dxa"/>
          <w:tblLayout w:type="fixed"/>
          <w:tblLook w:val="0000"/>
        </w:tblPrEx>
        <w:trPr>
          <w:trHeight w:val="186"/>
        </w:trPr>
        <w:tc>
          <w:tcPr>
            <w:tcW w:w="1710" w:type="dxa"/>
            <w:tcBorders>
              <w:top w:val="single" w:sz="4" w:space="0" w:color="auto"/>
              <w:left w:val="single" w:sz="4" w:space="0" w:color="auto"/>
              <w:bottom w:val="single" w:sz="4" w:space="0" w:color="auto"/>
              <w:right w:val="single" w:sz="4" w:space="0" w:color="auto"/>
            </w:tcBorders>
          </w:tcPr>
          <w:p w:rsidR="002818DF" w:rsidRPr="00840C66" w:rsidP="00330534" w14:paraId="66511217" w14:textId="77777777">
            <w:pPr>
              <w:widowControl/>
              <w:jc w:val="center"/>
              <w:rPr>
                <w:rFonts w:eastAsiaTheme="minorEastAsia"/>
                <w:color w:val="000000"/>
                <w:sz w:val="20"/>
                <w:szCs w:val="20"/>
              </w:rPr>
            </w:pPr>
            <w:r w:rsidRPr="00840C66">
              <w:rPr>
                <w:sz w:val="20"/>
                <w:szCs w:val="20"/>
              </w:rPr>
              <w:t>Final Reports</w:t>
            </w:r>
          </w:p>
        </w:tc>
        <w:tc>
          <w:tcPr>
            <w:tcW w:w="1350" w:type="dxa"/>
            <w:tcBorders>
              <w:top w:val="single" w:sz="4" w:space="0" w:color="auto"/>
              <w:left w:val="single" w:sz="4" w:space="0" w:color="auto"/>
              <w:bottom w:val="single" w:sz="4" w:space="0" w:color="auto"/>
              <w:right w:val="single" w:sz="4" w:space="0" w:color="auto"/>
            </w:tcBorders>
            <w:vAlign w:val="center"/>
          </w:tcPr>
          <w:p w:rsidR="002818DF" w:rsidRPr="00840C66" w:rsidP="00330534" w14:paraId="4F2FDE36" w14:textId="77777777">
            <w:pPr>
              <w:widowControl/>
              <w:jc w:val="center"/>
              <w:rPr>
                <w:sz w:val="20"/>
                <w:szCs w:val="20"/>
              </w:rPr>
            </w:pPr>
            <w:r w:rsidRPr="00840C66">
              <w:rPr>
                <w:color w:val="000000"/>
                <w:sz w:val="20"/>
                <w:szCs w:val="20"/>
              </w:rPr>
              <w:t>20</w:t>
            </w:r>
          </w:p>
        </w:tc>
        <w:tc>
          <w:tcPr>
            <w:tcW w:w="1260" w:type="dxa"/>
            <w:tcBorders>
              <w:top w:val="single" w:sz="4" w:space="0" w:color="auto"/>
              <w:left w:val="single" w:sz="4" w:space="0" w:color="auto"/>
              <w:bottom w:val="single" w:sz="4" w:space="0" w:color="auto"/>
              <w:right w:val="single" w:sz="4" w:space="0" w:color="auto"/>
            </w:tcBorders>
            <w:vAlign w:val="center"/>
          </w:tcPr>
          <w:p w:rsidR="002818DF" w:rsidRPr="00840C66" w:rsidP="00330534" w14:paraId="7A6C9FFF" w14:textId="77777777">
            <w:pPr>
              <w:widowControl/>
              <w:jc w:val="center"/>
              <w:rPr>
                <w:sz w:val="20"/>
                <w:szCs w:val="20"/>
              </w:rPr>
            </w:pPr>
            <w:r w:rsidRPr="00840C66">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rsidR="002818DF" w:rsidRPr="00840C66" w:rsidP="00330534" w14:paraId="3442E66F" w14:textId="77777777">
            <w:pPr>
              <w:widowControl/>
              <w:jc w:val="center"/>
              <w:rPr>
                <w:sz w:val="20"/>
                <w:szCs w:val="20"/>
              </w:rPr>
            </w:pPr>
            <w:r w:rsidRPr="00840C66">
              <w:rPr>
                <w:color w:val="000000"/>
                <w:sz w:val="20"/>
                <w:szCs w:val="20"/>
              </w:rPr>
              <w:t>20</w:t>
            </w:r>
          </w:p>
        </w:tc>
        <w:tc>
          <w:tcPr>
            <w:tcW w:w="1170" w:type="dxa"/>
            <w:tcBorders>
              <w:top w:val="single" w:sz="4" w:space="0" w:color="auto"/>
              <w:left w:val="single" w:sz="4" w:space="0" w:color="auto"/>
              <w:bottom w:val="single" w:sz="4" w:space="0" w:color="auto"/>
              <w:right w:val="single" w:sz="4" w:space="0" w:color="auto"/>
            </w:tcBorders>
            <w:vAlign w:val="center"/>
          </w:tcPr>
          <w:p w:rsidR="002818DF" w:rsidRPr="00840C66" w:rsidP="00330534" w14:paraId="058F0047" w14:textId="77777777">
            <w:pPr>
              <w:widowControl/>
              <w:jc w:val="center"/>
              <w:rPr>
                <w:sz w:val="20"/>
                <w:szCs w:val="20"/>
              </w:rPr>
            </w:pPr>
            <w:r w:rsidRPr="00840C66">
              <w:rPr>
                <w:color w:val="000000"/>
                <w:sz w:val="20"/>
                <w:szCs w:val="20"/>
              </w:rPr>
              <w:t>90</w:t>
            </w:r>
          </w:p>
        </w:tc>
        <w:tc>
          <w:tcPr>
            <w:tcW w:w="900" w:type="dxa"/>
            <w:tcBorders>
              <w:top w:val="single" w:sz="4" w:space="0" w:color="auto"/>
              <w:left w:val="single" w:sz="4" w:space="0" w:color="auto"/>
              <w:bottom w:val="single" w:sz="4" w:space="0" w:color="auto"/>
              <w:right w:val="single" w:sz="4" w:space="0" w:color="auto"/>
            </w:tcBorders>
            <w:vAlign w:val="center"/>
          </w:tcPr>
          <w:p w:rsidR="002818DF" w:rsidRPr="00840C66" w:rsidP="00330534" w14:paraId="5A0A5000" w14:textId="77777777">
            <w:pPr>
              <w:widowControl/>
              <w:jc w:val="center"/>
              <w:rPr>
                <w:sz w:val="20"/>
                <w:szCs w:val="20"/>
              </w:rPr>
            </w:pPr>
            <w:r w:rsidRPr="00840C66">
              <w:rPr>
                <w:color w:val="000000"/>
                <w:sz w:val="20"/>
                <w:szCs w:val="20"/>
              </w:rPr>
              <w:t>30.00</w:t>
            </w:r>
          </w:p>
        </w:tc>
        <w:tc>
          <w:tcPr>
            <w:tcW w:w="900" w:type="dxa"/>
            <w:tcBorders>
              <w:top w:val="single" w:sz="4" w:space="0" w:color="auto"/>
              <w:left w:val="single" w:sz="4" w:space="0" w:color="auto"/>
              <w:bottom w:val="single" w:sz="4" w:space="0" w:color="auto"/>
              <w:right w:val="single" w:sz="4" w:space="0" w:color="auto"/>
            </w:tcBorders>
            <w:vAlign w:val="center"/>
          </w:tcPr>
          <w:p w:rsidR="002818DF" w:rsidRPr="00840C66" w:rsidP="00330534" w14:paraId="58ABF048" w14:textId="77777777">
            <w:pPr>
              <w:widowControl/>
              <w:jc w:val="center"/>
              <w:rPr>
                <w:sz w:val="20"/>
                <w:szCs w:val="20"/>
              </w:rPr>
            </w:pPr>
            <w:r w:rsidRPr="00840C66">
              <w:rPr>
                <w:color w:val="000000"/>
                <w:sz w:val="20"/>
                <w:szCs w:val="20"/>
              </w:rPr>
              <w:t xml:space="preserve">$40.41 </w:t>
            </w:r>
          </w:p>
        </w:tc>
        <w:tc>
          <w:tcPr>
            <w:tcW w:w="1080" w:type="dxa"/>
            <w:tcBorders>
              <w:top w:val="single" w:sz="4" w:space="0" w:color="auto"/>
              <w:left w:val="single" w:sz="4" w:space="0" w:color="auto"/>
              <w:bottom w:val="single" w:sz="4" w:space="0" w:color="auto"/>
              <w:right w:val="single" w:sz="4" w:space="0" w:color="auto"/>
            </w:tcBorders>
            <w:vAlign w:val="center"/>
          </w:tcPr>
          <w:p w:rsidR="002818DF" w:rsidRPr="00840C66" w:rsidP="00330534" w14:paraId="572DE3A7" w14:textId="77777777">
            <w:pPr>
              <w:widowControl/>
              <w:jc w:val="center"/>
              <w:rPr>
                <w:sz w:val="20"/>
                <w:szCs w:val="20"/>
              </w:rPr>
            </w:pPr>
            <w:r w:rsidRPr="00840C66">
              <w:rPr>
                <w:color w:val="000000"/>
                <w:sz w:val="20"/>
                <w:szCs w:val="20"/>
              </w:rPr>
              <w:t xml:space="preserve">$1,212.30 </w:t>
            </w:r>
          </w:p>
        </w:tc>
      </w:tr>
      <w:tr w14:paraId="47FDF5B6" w14:textId="77777777" w:rsidTr="00840C66">
        <w:tblPrEx>
          <w:tblW w:w="9540" w:type="dxa"/>
          <w:tblInd w:w="-95" w:type="dxa"/>
          <w:tblLayout w:type="fixed"/>
          <w:tblLook w:val="0000"/>
        </w:tblPrEx>
        <w:trPr>
          <w:trHeight w:val="186"/>
        </w:trPr>
        <w:tc>
          <w:tcPr>
            <w:tcW w:w="1710" w:type="dxa"/>
            <w:tcBorders>
              <w:top w:val="single" w:sz="4" w:space="0" w:color="auto"/>
              <w:left w:val="single" w:sz="6" w:space="0" w:color="auto"/>
              <w:bottom w:val="single" w:sz="6" w:space="0" w:color="auto"/>
              <w:right w:val="single" w:sz="6" w:space="0" w:color="auto"/>
            </w:tcBorders>
          </w:tcPr>
          <w:p w:rsidR="002818DF" w:rsidRPr="00840C66" w:rsidP="00330534" w14:paraId="4C10B63D" w14:textId="4642EBBD">
            <w:pPr>
              <w:widowControl/>
              <w:jc w:val="center"/>
              <w:rPr>
                <w:b/>
                <w:bCs/>
                <w:i/>
                <w:iCs/>
                <w:color w:val="000000"/>
                <w:sz w:val="20"/>
                <w:szCs w:val="20"/>
              </w:rPr>
            </w:pPr>
            <w:r w:rsidRPr="00840C66">
              <w:rPr>
                <w:b/>
                <w:bCs/>
                <w:i/>
                <w:iCs/>
                <w:color w:val="000000"/>
                <w:sz w:val="20"/>
                <w:szCs w:val="20"/>
              </w:rPr>
              <w:t>Subtotal (</w:t>
            </w:r>
            <w:r w:rsidRPr="00840C66" w:rsidR="00DF7824">
              <w:rPr>
                <w:b/>
                <w:bCs/>
                <w:i/>
                <w:iCs/>
                <w:color w:val="000000"/>
                <w:sz w:val="20"/>
                <w:szCs w:val="20"/>
              </w:rPr>
              <w:t>R</w:t>
            </w:r>
            <w:r w:rsidRPr="00840C66">
              <w:rPr>
                <w:b/>
                <w:bCs/>
                <w:i/>
                <w:iCs/>
                <w:color w:val="000000"/>
                <w:sz w:val="20"/>
                <w:szCs w:val="20"/>
              </w:rPr>
              <w:t>ounded)</w:t>
            </w:r>
          </w:p>
        </w:tc>
        <w:tc>
          <w:tcPr>
            <w:tcW w:w="1350" w:type="dxa"/>
            <w:tcBorders>
              <w:top w:val="single" w:sz="4" w:space="0" w:color="auto"/>
              <w:left w:val="single" w:sz="6" w:space="0" w:color="auto"/>
              <w:bottom w:val="single" w:sz="6" w:space="0" w:color="auto"/>
              <w:right w:val="single" w:sz="6" w:space="0" w:color="auto"/>
            </w:tcBorders>
            <w:vAlign w:val="center"/>
          </w:tcPr>
          <w:p w:rsidR="002818DF" w:rsidRPr="00840C66" w:rsidP="00330534" w14:paraId="382C11F6" w14:textId="77777777">
            <w:pPr>
              <w:widowControl/>
              <w:jc w:val="center"/>
              <w:rPr>
                <w:b/>
                <w:bCs/>
                <w:i/>
                <w:iCs/>
                <w:color w:val="000000"/>
                <w:sz w:val="20"/>
                <w:szCs w:val="20"/>
              </w:rPr>
            </w:pPr>
            <w:r w:rsidRPr="00840C66">
              <w:rPr>
                <w:b/>
                <w:bCs/>
                <w:i/>
                <w:iCs/>
                <w:color w:val="000000"/>
                <w:sz w:val="20"/>
                <w:szCs w:val="20"/>
              </w:rPr>
              <w:t>20</w:t>
            </w:r>
          </w:p>
        </w:tc>
        <w:tc>
          <w:tcPr>
            <w:tcW w:w="1260" w:type="dxa"/>
            <w:tcBorders>
              <w:top w:val="single" w:sz="4" w:space="0" w:color="auto"/>
              <w:left w:val="single" w:sz="6" w:space="0" w:color="auto"/>
              <w:bottom w:val="single" w:sz="6" w:space="0" w:color="auto"/>
              <w:right w:val="single" w:sz="6" w:space="0" w:color="auto"/>
            </w:tcBorders>
            <w:shd w:val="solid" w:color="000000" w:fill="auto"/>
            <w:vAlign w:val="center"/>
          </w:tcPr>
          <w:p w:rsidR="002818DF" w:rsidRPr="00840C66" w:rsidP="00330534" w14:paraId="0DB9CF01" w14:textId="77777777">
            <w:pPr>
              <w:widowControl/>
              <w:jc w:val="center"/>
              <w:rPr>
                <w:b/>
                <w:bCs/>
                <w:i/>
                <w:iCs/>
                <w:color w:val="000000"/>
                <w:sz w:val="20"/>
                <w:szCs w:val="20"/>
              </w:rPr>
            </w:pPr>
            <w:r w:rsidRPr="00840C66">
              <w:rPr>
                <w:b/>
                <w:bCs/>
                <w:i/>
                <w:iCs/>
                <w:color w:val="000000"/>
                <w:sz w:val="20"/>
                <w:szCs w:val="20"/>
              </w:rPr>
              <w:t> </w:t>
            </w:r>
          </w:p>
        </w:tc>
        <w:tc>
          <w:tcPr>
            <w:tcW w:w="1170" w:type="dxa"/>
            <w:tcBorders>
              <w:top w:val="single" w:sz="4" w:space="0" w:color="auto"/>
              <w:left w:val="single" w:sz="6" w:space="0" w:color="auto"/>
              <w:bottom w:val="single" w:sz="6" w:space="0" w:color="auto"/>
              <w:right w:val="single" w:sz="6" w:space="0" w:color="auto"/>
            </w:tcBorders>
            <w:vAlign w:val="center"/>
          </w:tcPr>
          <w:p w:rsidR="002818DF" w:rsidRPr="00840C66" w:rsidP="00330534" w14:paraId="2C471B87" w14:textId="77777777">
            <w:pPr>
              <w:widowControl/>
              <w:jc w:val="center"/>
              <w:rPr>
                <w:b/>
                <w:bCs/>
                <w:i/>
                <w:iCs/>
                <w:color w:val="000000"/>
                <w:sz w:val="20"/>
                <w:szCs w:val="20"/>
              </w:rPr>
            </w:pPr>
            <w:r w:rsidRPr="00840C66">
              <w:rPr>
                <w:b/>
                <w:bCs/>
                <w:i/>
                <w:iCs/>
                <w:color w:val="000000"/>
                <w:sz w:val="20"/>
                <w:szCs w:val="20"/>
              </w:rPr>
              <w:t>100</w:t>
            </w:r>
          </w:p>
        </w:tc>
        <w:tc>
          <w:tcPr>
            <w:tcW w:w="1170" w:type="dxa"/>
            <w:tcBorders>
              <w:top w:val="single" w:sz="4" w:space="0" w:color="auto"/>
              <w:left w:val="single" w:sz="6" w:space="0" w:color="auto"/>
              <w:bottom w:val="single" w:sz="6" w:space="0" w:color="auto"/>
              <w:right w:val="single" w:sz="6" w:space="0" w:color="auto"/>
            </w:tcBorders>
            <w:shd w:val="solid" w:color="000000" w:fill="auto"/>
            <w:vAlign w:val="center"/>
          </w:tcPr>
          <w:p w:rsidR="002818DF" w:rsidRPr="00840C66" w:rsidP="00330534" w14:paraId="3EF7CC6E" w14:textId="77777777">
            <w:pPr>
              <w:widowControl/>
              <w:jc w:val="center"/>
              <w:rPr>
                <w:b/>
                <w:bCs/>
                <w:i/>
                <w:iCs/>
                <w:color w:val="000000"/>
                <w:sz w:val="20"/>
                <w:szCs w:val="20"/>
              </w:rPr>
            </w:pPr>
            <w:r w:rsidRPr="00840C66">
              <w:rPr>
                <w:b/>
                <w:bCs/>
                <w:i/>
                <w:iCs/>
                <w:color w:val="000000"/>
                <w:sz w:val="20"/>
                <w:szCs w:val="20"/>
              </w:rPr>
              <w:t> </w:t>
            </w:r>
          </w:p>
        </w:tc>
        <w:tc>
          <w:tcPr>
            <w:tcW w:w="900" w:type="dxa"/>
            <w:tcBorders>
              <w:top w:val="single" w:sz="4" w:space="0" w:color="auto"/>
              <w:left w:val="single" w:sz="6" w:space="0" w:color="auto"/>
              <w:bottom w:val="single" w:sz="6" w:space="0" w:color="auto"/>
              <w:right w:val="single" w:sz="6" w:space="0" w:color="auto"/>
            </w:tcBorders>
            <w:vAlign w:val="center"/>
          </w:tcPr>
          <w:p w:rsidR="002818DF" w:rsidRPr="00840C66" w:rsidP="00330534" w14:paraId="436A6F41" w14:textId="77777777">
            <w:pPr>
              <w:widowControl/>
              <w:jc w:val="center"/>
              <w:rPr>
                <w:b/>
                <w:bCs/>
                <w:i/>
                <w:iCs/>
                <w:color w:val="000000"/>
                <w:sz w:val="20"/>
                <w:szCs w:val="20"/>
              </w:rPr>
            </w:pPr>
            <w:r w:rsidRPr="00840C66">
              <w:rPr>
                <w:b/>
                <w:bCs/>
                <w:i/>
                <w:iCs/>
                <w:color w:val="000000"/>
                <w:sz w:val="20"/>
                <w:szCs w:val="20"/>
              </w:rPr>
              <w:t>150</w:t>
            </w:r>
          </w:p>
        </w:tc>
        <w:tc>
          <w:tcPr>
            <w:tcW w:w="900" w:type="dxa"/>
            <w:tcBorders>
              <w:top w:val="single" w:sz="4" w:space="0" w:color="auto"/>
              <w:left w:val="single" w:sz="6" w:space="0" w:color="auto"/>
              <w:bottom w:val="single" w:sz="6" w:space="0" w:color="auto"/>
              <w:right w:val="single" w:sz="6" w:space="0" w:color="auto"/>
            </w:tcBorders>
            <w:shd w:val="solid" w:color="000000" w:fill="auto"/>
            <w:vAlign w:val="center"/>
          </w:tcPr>
          <w:p w:rsidR="002818DF" w:rsidRPr="00840C66" w:rsidP="00330534" w14:paraId="653ADB8A" w14:textId="77777777">
            <w:pPr>
              <w:widowControl/>
              <w:jc w:val="center"/>
              <w:rPr>
                <w:b/>
                <w:bCs/>
                <w:i/>
                <w:iCs/>
                <w:color w:val="000000"/>
                <w:sz w:val="20"/>
                <w:szCs w:val="20"/>
              </w:rPr>
            </w:pPr>
            <w:r w:rsidRPr="00840C66">
              <w:rPr>
                <w:b/>
                <w:bCs/>
                <w:i/>
                <w:iCs/>
                <w:color w:val="000000"/>
                <w:sz w:val="20"/>
                <w:szCs w:val="20"/>
              </w:rPr>
              <w:t> </w:t>
            </w:r>
          </w:p>
        </w:tc>
        <w:tc>
          <w:tcPr>
            <w:tcW w:w="1080" w:type="dxa"/>
            <w:tcBorders>
              <w:top w:val="single" w:sz="4" w:space="0" w:color="auto"/>
              <w:left w:val="single" w:sz="6" w:space="0" w:color="auto"/>
              <w:bottom w:val="single" w:sz="6" w:space="0" w:color="auto"/>
              <w:right w:val="single" w:sz="6" w:space="0" w:color="auto"/>
            </w:tcBorders>
            <w:vAlign w:val="center"/>
          </w:tcPr>
          <w:p w:rsidR="002818DF" w:rsidRPr="00840C66" w:rsidP="00330534" w14:paraId="1E052F8D" w14:textId="77777777">
            <w:pPr>
              <w:widowControl/>
              <w:jc w:val="center"/>
              <w:rPr>
                <w:b/>
                <w:bCs/>
                <w:i/>
                <w:iCs/>
                <w:color w:val="000000"/>
                <w:sz w:val="20"/>
                <w:szCs w:val="20"/>
              </w:rPr>
            </w:pPr>
            <w:r w:rsidRPr="00840C66">
              <w:rPr>
                <w:b/>
                <w:bCs/>
                <w:i/>
                <w:iCs/>
                <w:color w:val="000000"/>
                <w:sz w:val="20"/>
                <w:szCs w:val="20"/>
              </w:rPr>
              <w:t>$6,062</w:t>
            </w:r>
          </w:p>
        </w:tc>
      </w:tr>
    </w:tbl>
    <w:p w:rsidR="002818DF" w:rsidP="002818DF" w14:paraId="74C81783" w14:textId="77777777">
      <w:pPr>
        <w:widowControl/>
        <w:autoSpaceDE/>
        <w:autoSpaceDN/>
        <w:adjustRightInd/>
        <w:rPr>
          <w:b/>
          <w:bCs/>
          <w:u w:val="single"/>
        </w:rPr>
      </w:pPr>
    </w:p>
    <w:p w:rsidR="00ED635F" w:rsidP="00840C66" w14:paraId="5D6E5870" w14:textId="15EB6371">
      <w:pPr>
        <w:widowControl/>
        <w:rPr>
          <w:b/>
          <w:color w:val="000000"/>
          <w:sz w:val="22"/>
          <w:szCs w:val="22"/>
        </w:rPr>
      </w:pPr>
      <w:r w:rsidRPr="00840C66">
        <w:t>Total burden of the collection of information</w:t>
      </w:r>
      <w:r>
        <w:t xml:space="preserve"> is summarized below.</w:t>
      </w:r>
    </w:p>
    <w:p w:rsidR="00ED635F" w:rsidP="00B726B3" w14:paraId="592C74F1" w14:textId="77777777">
      <w:pPr>
        <w:rPr>
          <w:b/>
          <w:color w:val="000000"/>
          <w:sz w:val="22"/>
          <w:szCs w:val="22"/>
        </w:rPr>
      </w:pPr>
    </w:p>
    <w:p w:rsidR="00186F17" w:rsidP="00B726B3" w14:paraId="0B962229" w14:textId="77777777">
      <w:pPr>
        <w:rPr>
          <w:b/>
          <w:color w:val="000000"/>
          <w:sz w:val="22"/>
          <w:szCs w:val="22"/>
        </w:rPr>
      </w:pPr>
    </w:p>
    <w:p w:rsidR="00186F17" w:rsidP="00B726B3" w14:paraId="0C03E369" w14:textId="77777777">
      <w:pPr>
        <w:rPr>
          <w:b/>
          <w:color w:val="000000"/>
          <w:sz w:val="22"/>
          <w:szCs w:val="22"/>
        </w:rPr>
      </w:pPr>
    </w:p>
    <w:p w:rsidR="00186F17" w:rsidP="00B726B3" w14:paraId="5AEB7D16" w14:textId="77777777">
      <w:pPr>
        <w:rPr>
          <w:b/>
          <w:color w:val="000000"/>
          <w:sz w:val="22"/>
          <w:szCs w:val="22"/>
        </w:rPr>
      </w:pPr>
    </w:p>
    <w:p w:rsidR="00186F17" w:rsidP="00B726B3" w14:paraId="5A60D8C9" w14:textId="77777777">
      <w:pPr>
        <w:rPr>
          <w:b/>
          <w:color w:val="000000"/>
          <w:sz w:val="22"/>
          <w:szCs w:val="22"/>
        </w:rPr>
      </w:pPr>
    </w:p>
    <w:p w:rsidR="00186F17" w:rsidP="00B726B3" w14:paraId="7CD88304" w14:textId="77777777">
      <w:pPr>
        <w:rPr>
          <w:b/>
          <w:color w:val="000000"/>
          <w:sz w:val="22"/>
          <w:szCs w:val="22"/>
        </w:rPr>
      </w:pPr>
    </w:p>
    <w:p w:rsidR="0025168F" w:rsidP="00B726B3" w14:paraId="7EAAFBEF" w14:textId="5069907A">
      <w:pPr>
        <w:rPr>
          <w:b/>
          <w:color w:val="000000"/>
          <w:sz w:val="22"/>
          <w:szCs w:val="22"/>
        </w:rPr>
      </w:pPr>
      <w:r w:rsidRPr="0025168F">
        <w:rPr>
          <w:b/>
          <w:color w:val="000000"/>
          <w:sz w:val="22"/>
          <w:szCs w:val="22"/>
        </w:rPr>
        <w:t>Table 12-4</w:t>
      </w:r>
      <w:r w:rsidR="00FF1868">
        <w:rPr>
          <w:b/>
          <w:color w:val="000000"/>
          <w:sz w:val="22"/>
          <w:szCs w:val="22"/>
        </w:rPr>
        <w:t>.</w:t>
      </w:r>
      <w:r w:rsidRPr="0025168F">
        <w:rPr>
          <w:b/>
          <w:color w:val="000000"/>
          <w:sz w:val="22"/>
          <w:szCs w:val="22"/>
        </w:rPr>
        <w:t xml:space="preserve"> Estimated Annual Respondent Hour and Cost Burden, MSHA Grants</w:t>
      </w:r>
      <w:r w:rsidR="00342C97">
        <w:rPr>
          <w:b/>
          <w:color w:val="000000"/>
          <w:sz w:val="22"/>
          <w:szCs w:val="22"/>
        </w:rPr>
        <w:t xml:space="preserve"> Total</w:t>
      </w:r>
    </w:p>
    <w:p w:rsidR="00771262" w:rsidP="00B726B3" w14:paraId="70E5F423" w14:textId="77777777">
      <w:pPr>
        <w:rPr>
          <w:b/>
          <w:color w:val="000000"/>
          <w:sz w:val="22"/>
          <w:szCs w:val="22"/>
        </w:rPr>
      </w:pPr>
    </w:p>
    <w:tbl>
      <w:tblPr>
        <w:tblW w:w="9732" w:type="dxa"/>
        <w:tblLook w:val="04A0"/>
      </w:tblPr>
      <w:tblGrid>
        <w:gridCol w:w="2395"/>
        <w:gridCol w:w="1306"/>
        <w:gridCol w:w="1228"/>
        <w:gridCol w:w="1094"/>
        <w:gridCol w:w="927"/>
        <w:gridCol w:w="883"/>
        <w:gridCol w:w="853"/>
        <w:gridCol w:w="1116"/>
      </w:tblGrid>
      <w:tr w14:paraId="23AB64CF" w14:textId="77777777" w:rsidTr="00037ED3">
        <w:tblPrEx>
          <w:tblW w:w="9732" w:type="dxa"/>
          <w:tblLook w:val="04A0"/>
        </w:tblPrEx>
        <w:trPr>
          <w:trHeight w:val="799"/>
        </w:trPr>
        <w:tc>
          <w:tcPr>
            <w:tcW w:w="2395" w:type="dxa"/>
            <w:tcBorders>
              <w:top w:val="single" w:sz="8" w:space="0" w:color="auto"/>
              <w:left w:val="single" w:sz="8" w:space="0" w:color="auto"/>
              <w:bottom w:val="single" w:sz="4" w:space="0" w:color="auto"/>
              <w:right w:val="single" w:sz="4" w:space="0" w:color="auto"/>
            </w:tcBorders>
            <w:shd w:val="clear" w:color="000000" w:fill="BDD7EE"/>
            <w:vAlign w:val="center"/>
            <w:hideMark/>
          </w:tcPr>
          <w:p w:rsidR="00D138A4" w:rsidRPr="00771262" w:rsidP="00D138A4" w14:paraId="194830A0" w14:textId="701A5DBC">
            <w:pPr>
              <w:widowControl/>
              <w:autoSpaceDE/>
              <w:autoSpaceDN/>
              <w:adjustRightInd/>
              <w:jc w:val="center"/>
              <w:rPr>
                <w:b/>
                <w:bCs/>
                <w:color w:val="000000"/>
                <w:sz w:val="20"/>
                <w:szCs w:val="20"/>
              </w:rPr>
            </w:pPr>
            <w:r w:rsidRPr="00D138A4">
              <w:rPr>
                <w:b/>
                <w:bCs/>
                <w:color w:val="000000"/>
                <w:sz w:val="20"/>
                <w:szCs w:val="20"/>
              </w:rPr>
              <w:t>Activity</w:t>
            </w:r>
          </w:p>
        </w:tc>
        <w:tc>
          <w:tcPr>
            <w:tcW w:w="1292" w:type="dxa"/>
            <w:tcBorders>
              <w:top w:val="single" w:sz="8" w:space="0" w:color="auto"/>
              <w:left w:val="nil"/>
              <w:bottom w:val="single" w:sz="4" w:space="0" w:color="auto"/>
              <w:right w:val="single" w:sz="4" w:space="0" w:color="auto"/>
            </w:tcBorders>
            <w:shd w:val="clear" w:color="000000" w:fill="BDD7EE"/>
            <w:vAlign w:val="center"/>
            <w:hideMark/>
          </w:tcPr>
          <w:p w:rsidR="00D138A4" w:rsidRPr="00771262" w:rsidP="00D138A4" w14:paraId="017E2519" w14:textId="56B68DC5">
            <w:pPr>
              <w:widowControl/>
              <w:autoSpaceDE/>
              <w:autoSpaceDN/>
              <w:adjustRightInd/>
              <w:jc w:val="center"/>
              <w:rPr>
                <w:b/>
                <w:bCs/>
                <w:color w:val="000000"/>
                <w:sz w:val="20"/>
                <w:szCs w:val="20"/>
              </w:rPr>
            </w:pPr>
            <w:r w:rsidRPr="00D138A4">
              <w:rPr>
                <w:b/>
                <w:bCs/>
                <w:color w:val="000000"/>
                <w:sz w:val="20"/>
                <w:szCs w:val="20"/>
              </w:rPr>
              <w:t>No. of Respondents</w:t>
            </w:r>
          </w:p>
        </w:tc>
        <w:tc>
          <w:tcPr>
            <w:tcW w:w="1215" w:type="dxa"/>
            <w:tcBorders>
              <w:top w:val="single" w:sz="8" w:space="0" w:color="auto"/>
              <w:left w:val="nil"/>
              <w:bottom w:val="single" w:sz="4" w:space="0" w:color="auto"/>
              <w:right w:val="single" w:sz="4" w:space="0" w:color="auto"/>
            </w:tcBorders>
            <w:shd w:val="clear" w:color="000000" w:fill="BDD7EE"/>
            <w:vAlign w:val="center"/>
            <w:hideMark/>
          </w:tcPr>
          <w:p w:rsidR="00D138A4" w:rsidRPr="00771262" w:rsidP="00D138A4" w14:paraId="5F61E1AF" w14:textId="54EE3E16">
            <w:pPr>
              <w:widowControl/>
              <w:autoSpaceDE/>
              <w:autoSpaceDN/>
              <w:adjustRightInd/>
              <w:jc w:val="center"/>
              <w:rPr>
                <w:b/>
                <w:bCs/>
                <w:color w:val="000000"/>
                <w:sz w:val="20"/>
                <w:szCs w:val="20"/>
              </w:rPr>
            </w:pPr>
            <w:r w:rsidRPr="00D138A4">
              <w:rPr>
                <w:b/>
                <w:bCs/>
                <w:color w:val="000000"/>
                <w:sz w:val="20"/>
                <w:szCs w:val="20"/>
              </w:rPr>
              <w:t>No. of Responses per Respondent</w:t>
            </w:r>
          </w:p>
        </w:tc>
        <w:tc>
          <w:tcPr>
            <w:tcW w:w="1082" w:type="dxa"/>
            <w:tcBorders>
              <w:top w:val="single" w:sz="8" w:space="0" w:color="auto"/>
              <w:left w:val="nil"/>
              <w:bottom w:val="single" w:sz="4" w:space="0" w:color="auto"/>
              <w:right w:val="single" w:sz="4" w:space="0" w:color="auto"/>
            </w:tcBorders>
            <w:shd w:val="clear" w:color="000000" w:fill="BDD7EE"/>
            <w:vAlign w:val="center"/>
            <w:hideMark/>
          </w:tcPr>
          <w:p w:rsidR="00D138A4" w:rsidRPr="00771262" w:rsidP="00D138A4" w14:paraId="491BD9DB" w14:textId="2BEF49F2">
            <w:pPr>
              <w:widowControl/>
              <w:autoSpaceDE/>
              <w:autoSpaceDN/>
              <w:adjustRightInd/>
              <w:jc w:val="center"/>
              <w:rPr>
                <w:b/>
                <w:bCs/>
                <w:color w:val="000000"/>
                <w:sz w:val="20"/>
                <w:szCs w:val="20"/>
              </w:rPr>
            </w:pPr>
            <w:r w:rsidRPr="00D138A4">
              <w:rPr>
                <w:b/>
                <w:bCs/>
                <w:color w:val="000000"/>
                <w:sz w:val="20"/>
                <w:szCs w:val="20"/>
              </w:rPr>
              <w:t>Total Responses</w:t>
            </w:r>
          </w:p>
        </w:tc>
        <w:tc>
          <w:tcPr>
            <w:tcW w:w="917" w:type="dxa"/>
            <w:tcBorders>
              <w:top w:val="single" w:sz="8" w:space="0" w:color="auto"/>
              <w:left w:val="nil"/>
              <w:bottom w:val="single" w:sz="4" w:space="0" w:color="auto"/>
              <w:right w:val="single" w:sz="4" w:space="0" w:color="auto"/>
            </w:tcBorders>
            <w:shd w:val="clear" w:color="000000" w:fill="BDD7EE"/>
            <w:vAlign w:val="center"/>
            <w:hideMark/>
          </w:tcPr>
          <w:p w:rsidR="00D138A4" w:rsidRPr="00771262" w:rsidP="00D138A4" w14:paraId="4C817F59" w14:textId="64C9DB25">
            <w:pPr>
              <w:widowControl/>
              <w:autoSpaceDE/>
              <w:autoSpaceDN/>
              <w:adjustRightInd/>
              <w:jc w:val="center"/>
              <w:rPr>
                <w:b/>
                <w:bCs/>
                <w:color w:val="000000"/>
                <w:sz w:val="20"/>
                <w:szCs w:val="20"/>
              </w:rPr>
            </w:pPr>
            <w:r w:rsidRPr="00D138A4">
              <w:rPr>
                <w:b/>
                <w:bCs/>
                <w:color w:val="000000"/>
                <w:sz w:val="20"/>
                <w:szCs w:val="20"/>
              </w:rPr>
              <w:t>Average Burden (Hours)</w:t>
            </w:r>
          </w:p>
        </w:tc>
        <w:tc>
          <w:tcPr>
            <w:tcW w:w="874" w:type="dxa"/>
            <w:tcBorders>
              <w:top w:val="single" w:sz="8" w:space="0" w:color="auto"/>
              <w:left w:val="nil"/>
              <w:bottom w:val="single" w:sz="4" w:space="0" w:color="auto"/>
              <w:right w:val="single" w:sz="4" w:space="0" w:color="auto"/>
            </w:tcBorders>
            <w:shd w:val="clear" w:color="000000" w:fill="BDD7EE"/>
            <w:vAlign w:val="center"/>
            <w:hideMark/>
          </w:tcPr>
          <w:p w:rsidR="00D138A4" w:rsidRPr="00771262" w:rsidP="00D138A4" w14:paraId="1EFF5C8A" w14:textId="3E6E0C19">
            <w:pPr>
              <w:widowControl/>
              <w:autoSpaceDE/>
              <w:autoSpaceDN/>
              <w:adjustRightInd/>
              <w:jc w:val="center"/>
              <w:rPr>
                <w:b/>
                <w:bCs/>
                <w:color w:val="000000"/>
                <w:sz w:val="20"/>
                <w:szCs w:val="20"/>
              </w:rPr>
            </w:pPr>
            <w:r w:rsidRPr="00D138A4">
              <w:rPr>
                <w:b/>
                <w:bCs/>
                <w:color w:val="000000"/>
                <w:sz w:val="20"/>
                <w:szCs w:val="20"/>
              </w:rPr>
              <w:t>Total Burden (Hours)</w:t>
            </w:r>
          </w:p>
        </w:tc>
        <w:tc>
          <w:tcPr>
            <w:tcW w:w="853" w:type="dxa"/>
            <w:tcBorders>
              <w:top w:val="single" w:sz="8" w:space="0" w:color="auto"/>
              <w:left w:val="nil"/>
              <w:bottom w:val="single" w:sz="4" w:space="0" w:color="auto"/>
              <w:right w:val="single" w:sz="4" w:space="0" w:color="auto"/>
            </w:tcBorders>
            <w:shd w:val="clear" w:color="000000" w:fill="BDD7EE"/>
            <w:vAlign w:val="center"/>
            <w:hideMark/>
          </w:tcPr>
          <w:p w:rsidR="00D138A4" w:rsidRPr="00771262" w:rsidP="00D138A4" w14:paraId="458DE07E" w14:textId="1E27921E">
            <w:pPr>
              <w:widowControl/>
              <w:autoSpaceDE/>
              <w:autoSpaceDN/>
              <w:adjustRightInd/>
              <w:jc w:val="center"/>
              <w:rPr>
                <w:b/>
                <w:bCs/>
                <w:color w:val="000000"/>
                <w:sz w:val="20"/>
                <w:szCs w:val="20"/>
              </w:rPr>
            </w:pPr>
            <w:r w:rsidRPr="00D138A4">
              <w:rPr>
                <w:b/>
                <w:bCs/>
                <w:color w:val="000000"/>
                <w:sz w:val="20"/>
                <w:szCs w:val="20"/>
              </w:rPr>
              <w:t>Hourly Wage Rate</w:t>
            </w:r>
          </w:p>
        </w:tc>
        <w:tc>
          <w:tcPr>
            <w:tcW w:w="1104" w:type="dxa"/>
            <w:tcBorders>
              <w:top w:val="single" w:sz="8" w:space="0" w:color="auto"/>
              <w:left w:val="nil"/>
              <w:bottom w:val="single" w:sz="4" w:space="0" w:color="auto"/>
              <w:right w:val="single" w:sz="8" w:space="0" w:color="auto"/>
            </w:tcBorders>
            <w:shd w:val="clear" w:color="000000" w:fill="BDD7EE"/>
            <w:vAlign w:val="center"/>
            <w:hideMark/>
          </w:tcPr>
          <w:p w:rsidR="00D138A4" w:rsidRPr="00771262" w:rsidP="00D138A4" w14:paraId="6EEA0AC0" w14:textId="4F23863D">
            <w:pPr>
              <w:widowControl/>
              <w:autoSpaceDE/>
              <w:autoSpaceDN/>
              <w:adjustRightInd/>
              <w:jc w:val="center"/>
              <w:rPr>
                <w:b/>
                <w:bCs/>
                <w:color w:val="000000"/>
                <w:sz w:val="20"/>
                <w:szCs w:val="20"/>
              </w:rPr>
            </w:pPr>
            <w:r w:rsidRPr="00D138A4">
              <w:rPr>
                <w:b/>
                <w:bCs/>
                <w:color w:val="000000"/>
                <w:sz w:val="20"/>
                <w:szCs w:val="20"/>
              </w:rPr>
              <w:t>Total Burden Cost</w:t>
            </w:r>
          </w:p>
        </w:tc>
      </w:tr>
      <w:tr w14:paraId="47402AAC" w14:textId="77777777" w:rsidTr="00037ED3">
        <w:tblPrEx>
          <w:tblW w:w="9732" w:type="dxa"/>
          <w:tblLook w:val="04A0"/>
        </w:tblPrEx>
        <w:trPr>
          <w:trHeight w:val="278"/>
        </w:trPr>
        <w:tc>
          <w:tcPr>
            <w:tcW w:w="2395" w:type="dxa"/>
            <w:tcBorders>
              <w:top w:val="nil"/>
              <w:left w:val="single" w:sz="8" w:space="0" w:color="auto"/>
              <w:bottom w:val="single" w:sz="4" w:space="0" w:color="auto"/>
              <w:right w:val="single" w:sz="4" w:space="0" w:color="auto"/>
            </w:tcBorders>
            <w:shd w:val="clear" w:color="auto" w:fill="auto"/>
            <w:vAlign w:val="center"/>
            <w:hideMark/>
          </w:tcPr>
          <w:p w:rsidR="00771262" w:rsidRPr="00771262" w:rsidP="00771262" w14:paraId="014712D3" w14:textId="77777777">
            <w:pPr>
              <w:widowControl/>
              <w:autoSpaceDE/>
              <w:autoSpaceDN/>
              <w:adjustRightInd/>
              <w:rPr>
                <w:color w:val="000000"/>
                <w:sz w:val="20"/>
                <w:szCs w:val="20"/>
              </w:rPr>
            </w:pPr>
            <w:r w:rsidRPr="00771262">
              <w:rPr>
                <w:color w:val="000000"/>
                <w:sz w:val="20"/>
                <w:szCs w:val="20"/>
              </w:rPr>
              <w:t>State Grants</w:t>
            </w:r>
          </w:p>
        </w:tc>
        <w:tc>
          <w:tcPr>
            <w:tcW w:w="1292" w:type="dxa"/>
            <w:tcBorders>
              <w:top w:val="nil"/>
              <w:left w:val="nil"/>
              <w:bottom w:val="single" w:sz="4" w:space="0" w:color="auto"/>
              <w:right w:val="single" w:sz="4" w:space="0" w:color="auto"/>
            </w:tcBorders>
            <w:shd w:val="clear" w:color="auto" w:fill="auto"/>
            <w:noWrap/>
            <w:vAlign w:val="bottom"/>
            <w:hideMark/>
          </w:tcPr>
          <w:p w:rsidR="00771262" w:rsidRPr="00771262" w:rsidP="00771262" w14:paraId="1EA9CFEB" w14:textId="77777777">
            <w:pPr>
              <w:widowControl/>
              <w:autoSpaceDE/>
              <w:autoSpaceDN/>
              <w:adjustRightInd/>
              <w:rPr>
                <w:color w:val="000000"/>
                <w:sz w:val="20"/>
                <w:szCs w:val="20"/>
              </w:rPr>
            </w:pPr>
            <w:r w:rsidRPr="00771262">
              <w:rPr>
                <w:color w:val="000000"/>
                <w:sz w:val="20"/>
                <w:szCs w:val="20"/>
              </w:rPr>
              <w:t> </w:t>
            </w:r>
          </w:p>
        </w:tc>
        <w:tc>
          <w:tcPr>
            <w:tcW w:w="1215" w:type="dxa"/>
            <w:tcBorders>
              <w:top w:val="nil"/>
              <w:left w:val="nil"/>
              <w:bottom w:val="single" w:sz="4" w:space="0" w:color="auto"/>
              <w:right w:val="single" w:sz="4" w:space="0" w:color="auto"/>
            </w:tcBorders>
            <w:shd w:val="clear" w:color="auto" w:fill="auto"/>
            <w:noWrap/>
            <w:vAlign w:val="bottom"/>
            <w:hideMark/>
          </w:tcPr>
          <w:p w:rsidR="00771262" w:rsidRPr="00771262" w:rsidP="00771262" w14:paraId="739A24BD" w14:textId="77777777">
            <w:pPr>
              <w:widowControl/>
              <w:autoSpaceDE/>
              <w:autoSpaceDN/>
              <w:adjustRightInd/>
              <w:rPr>
                <w:color w:val="000000"/>
                <w:sz w:val="20"/>
                <w:szCs w:val="20"/>
              </w:rPr>
            </w:pPr>
            <w:r w:rsidRPr="00771262">
              <w:rPr>
                <w:color w:val="000000"/>
                <w:sz w:val="20"/>
                <w:szCs w:val="20"/>
              </w:rPr>
              <w:t> </w:t>
            </w:r>
          </w:p>
        </w:tc>
        <w:tc>
          <w:tcPr>
            <w:tcW w:w="1082" w:type="dxa"/>
            <w:tcBorders>
              <w:top w:val="nil"/>
              <w:left w:val="nil"/>
              <w:bottom w:val="single" w:sz="4" w:space="0" w:color="auto"/>
              <w:right w:val="single" w:sz="4" w:space="0" w:color="auto"/>
            </w:tcBorders>
            <w:shd w:val="clear" w:color="auto" w:fill="auto"/>
            <w:noWrap/>
            <w:vAlign w:val="bottom"/>
            <w:hideMark/>
          </w:tcPr>
          <w:p w:rsidR="00771262" w:rsidRPr="00771262" w:rsidP="00771262" w14:paraId="7B805F1B" w14:textId="77777777">
            <w:pPr>
              <w:widowControl/>
              <w:autoSpaceDE/>
              <w:autoSpaceDN/>
              <w:adjustRightInd/>
              <w:rPr>
                <w:color w:val="000000"/>
                <w:sz w:val="20"/>
                <w:szCs w:val="20"/>
              </w:rPr>
            </w:pPr>
            <w:r w:rsidRPr="00771262">
              <w:rPr>
                <w:color w:val="000000"/>
                <w:sz w:val="20"/>
                <w:szCs w:val="20"/>
              </w:rPr>
              <w:t> </w:t>
            </w:r>
          </w:p>
        </w:tc>
        <w:tc>
          <w:tcPr>
            <w:tcW w:w="917" w:type="dxa"/>
            <w:tcBorders>
              <w:top w:val="nil"/>
              <w:left w:val="nil"/>
              <w:bottom w:val="single" w:sz="4" w:space="0" w:color="auto"/>
              <w:right w:val="single" w:sz="4" w:space="0" w:color="auto"/>
            </w:tcBorders>
            <w:shd w:val="clear" w:color="auto" w:fill="auto"/>
            <w:noWrap/>
            <w:vAlign w:val="bottom"/>
            <w:hideMark/>
          </w:tcPr>
          <w:p w:rsidR="00771262" w:rsidRPr="00771262" w:rsidP="00771262" w14:paraId="06CD7B62" w14:textId="77777777">
            <w:pPr>
              <w:widowControl/>
              <w:autoSpaceDE/>
              <w:autoSpaceDN/>
              <w:adjustRightInd/>
              <w:rPr>
                <w:color w:val="000000"/>
                <w:sz w:val="20"/>
                <w:szCs w:val="20"/>
              </w:rPr>
            </w:pPr>
            <w:r w:rsidRPr="00771262">
              <w:rPr>
                <w:color w:val="000000"/>
                <w:sz w:val="20"/>
                <w:szCs w:val="20"/>
              </w:rPr>
              <w:t> </w:t>
            </w:r>
          </w:p>
        </w:tc>
        <w:tc>
          <w:tcPr>
            <w:tcW w:w="874" w:type="dxa"/>
            <w:tcBorders>
              <w:top w:val="nil"/>
              <w:left w:val="nil"/>
              <w:bottom w:val="single" w:sz="4" w:space="0" w:color="auto"/>
              <w:right w:val="single" w:sz="4" w:space="0" w:color="auto"/>
            </w:tcBorders>
            <w:shd w:val="clear" w:color="auto" w:fill="auto"/>
            <w:noWrap/>
            <w:vAlign w:val="bottom"/>
            <w:hideMark/>
          </w:tcPr>
          <w:p w:rsidR="00771262" w:rsidRPr="00771262" w:rsidP="00771262" w14:paraId="140319B9" w14:textId="77777777">
            <w:pPr>
              <w:widowControl/>
              <w:autoSpaceDE/>
              <w:autoSpaceDN/>
              <w:adjustRightInd/>
              <w:rPr>
                <w:color w:val="000000"/>
                <w:sz w:val="20"/>
                <w:szCs w:val="20"/>
              </w:rPr>
            </w:pPr>
            <w:r w:rsidRPr="00771262">
              <w:rPr>
                <w:color w:val="000000"/>
                <w:sz w:val="20"/>
                <w:szCs w:val="20"/>
              </w:rPr>
              <w:t> </w:t>
            </w:r>
          </w:p>
        </w:tc>
        <w:tc>
          <w:tcPr>
            <w:tcW w:w="853" w:type="dxa"/>
            <w:tcBorders>
              <w:top w:val="nil"/>
              <w:left w:val="nil"/>
              <w:bottom w:val="single" w:sz="4" w:space="0" w:color="auto"/>
              <w:right w:val="single" w:sz="4" w:space="0" w:color="auto"/>
            </w:tcBorders>
            <w:shd w:val="clear" w:color="auto" w:fill="auto"/>
            <w:noWrap/>
            <w:vAlign w:val="bottom"/>
            <w:hideMark/>
          </w:tcPr>
          <w:p w:rsidR="00771262" w:rsidRPr="00771262" w:rsidP="00771262" w14:paraId="55FE8DBF" w14:textId="77777777">
            <w:pPr>
              <w:widowControl/>
              <w:autoSpaceDE/>
              <w:autoSpaceDN/>
              <w:adjustRightInd/>
              <w:rPr>
                <w:color w:val="000000"/>
                <w:sz w:val="20"/>
                <w:szCs w:val="20"/>
              </w:rPr>
            </w:pPr>
            <w:r w:rsidRPr="00771262">
              <w:rPr>
                <w:color w:val="000000"/>
                <w:sz w:val="20"/>
                <w:szCs w:val="20"/>
              </w:rPr>
              <w:t> </w:t>
            </w:r>
          </w:p>
        </w:tc>
        <w:tc>
          <w:tcPr>
            <w:tcW w:w="1104" w:type="dxa"/>
            <w:tcBorders>
              <w:top w:val="nil"/>
              <w:left w:val="nil"/>
              <w:bottom w:val="single" w:sz="4" w:space="0" w:color="auto"/>
              <w:right w:val="single" w:sz="4" w:space="0" w:color="auto"/>
            </w:tcBorders>
            <w:shd w:val="clear" w:color="auto" w:fill="auto"/>
            <w:noWrap/>
            <w:vAlign w:val="bottom"/>
            <w:hideMark/>
          </w:tcPr>
          <w:p w:rsidR="00771262" w:rsidRPr="00771262" w:rsidP="00771262" w14:paraId="2190B36D" w14:textId="77777777">
            <w:pPr>
              <w:widowControl/>
              <w:autoSpaceDE/>
              <w:autoSpaceDN/>
              <w:adjustRightInd/>
              <w:rPr>
                <w:color w:val="000000"/>
                <w:sz w:val="20"/>
                <w:szCs w:val="20"/>
              </w:rPr>
            </w:pPr>
            <w:r w:rsidRPr="00771262">
              <w:rPr>
                <w:color w:val="000000"/>
                <w:sz w:val="20"/>
                <w:szCs w:val="20"/>
              </w:rPr>
              <w:t> </w:t>
            </w:r>
          </w:p>
        </w:tc>
      </w:tr>
      <w:tr w14:paraId="4310B176" w14:textId="77777777" w:rsidTr="00037ED3">
        <w:tblPrEx>
          <w:tblW w:w="9732" w:type="dxa"/>
          <w:tblLook w:val="04A0"/>
        </w:tblPrEx>
        <w:trPr>
          <w:trHeight w:val="278"/>
        </w:trPr>
        <w:tc>
          <w:tcPr>
            <w:tcW w:w="2395" w:type="dxa"/>
            <w:tcBorders>
              <w:top w:val="nil"/>
              <w:left w:val="single" w:sz="8" w:space="0" w:color="auto"/>
              <w:bottom w:val="single" w:sz="4" w:space="0" w:color="auto"/>
              <w:right w:val="single" w:sz="4" w:space="0" w:color="auto"/>
            </w:tcBorders>
            <w:shd w:val="clear" w:color="auto" w:fill="auto"/>
            <w:vAlign w:val="center"/>
            <w:hideMark/>
          </w:tcPr>
          <w:p w:rsidR="00771262" w:rsidRPr="00771262" w:rsidP="00771262" w14:paraId="03B1ECAB" w14:textId="77777777">
            <w:pPr>
              <w:widowControl/>
              <w:autoSpaceDE/>
              <w:autoSpaceDN/>
              <w:adjustRightInd/>
              <w:ind w:firstLine="136" w:firstLineChars="68"/>
              <w:rPr>
                <w:color w:val="000000"/>
                <w:sz w:val="20"/>
                <w:szCs w:val="20"/>
              </w:rPr>
            </w:pPr>
            <w:r w:rsidRPr="00771262">
              <w:rPr>
                <w:color w:val="000000"/>
                <w:sz w:val="20"/>
                <w:szCs w:val="20"/>
              </w:rPr>
              <w:t>Quarterly Reports</w:t>
            </w:r>
          </w:p>
        </w:tc>
        <w:tc>
          <w:tcPr>
            <w:tcW w:w="1292" w:type="dxa"/>
            <w:tcBorders>
              <w:top w:val="nil"/>
              <w:left w:val="nil"/>
              <w:bottom w:val="single" w:sz="4" w:space="0" w:color="auto"/>
              <w:right w:val="single" w:sz="4" w:space="0" w:color="auto"/>
            </w:tcBorders>
            <w:shd w:val="clear" w:color="auto" w:fill="auto"/>
            <w:vAlign w:val="center"/>
            <w:hideMark/>
          </w:tcPr>
          <w:p w:rsidR="00771262" w:rsidRPr="00771262" w:rsidP="00771262" w14:paraId="5BD109FA" w14:textId="77777777">
            <w:pPr>
              <w:widowControl/>
              <w:autoSpaceDE/>
              <w:autoSpaceDN/>
              <w:adjustRightInd/>
              <w:jc w:val="center"/>
              <w:rPr>
                <w:color w:val="000000"/>
                <w:sz w:val="20"/>
                <w:szCs w:val="20"/>
              </w:rPr>
            </w:pPr>
            <w:r w:rsidRPr="00771262">
              <w:rPr>
                <w:color w:val="000000"/>
                <w:sz w:val="20"/>
                <w:szCs w:val="20"/>
              </w:rPr>
              <w:t>56</w:t>
            </w:r>
          </w:p>
        </w:tc>
        <w:tc>
          <w:tcPr>
            <w:tcW w:w="1215" w:type="dxa"/>
            <w:tcBorders>
              <w:top w:val="nil"/>
              <w:left w:val="nil"/>
              <w:bottom w:val="single" w:sz="4" w:space="0" w:color="auto"/>
              <w:right w:val="single" w:sz="4" w:space="0" w:color="auto"/>
            </w:tcBorders>
            <w:shd w:val="clear" w:color="auto" w:fill="auto"/>
            <w:vAlign w:val="center"/>
            <w:hideMark/>
          </w:tcPr>
          <w:p w:rsidR="00771262" w:rsidRPr="00771262" w:rsidP="00771262" w14:paraId="7D789BF3" w14:textId="77777777">
            <w:pPr>
              <w:widowControl/>
              <w:autoSpaceDE/>
              <w:autoSpaceDN/>
              <w:adjustRightInd/>
              <w:jc w:val="center"/>
              <w:rPr>
                <w:color w:val="000000"/>
                <w:sz w:val="20"/>
                <w:szCs w:val="20"/>
              </w:rPr>
            </w:pPr>
            <w:r w:rsidRPr="00771262">
              <w:rPr>
                <w:color w:val="000000"/>
                <w:sz w:val="20"/>
                <w:szCs w:val="20"/>
              </w:rPr>
              <w:t>4</w:t>
            </w:r>
          </w:p>
        </w:tc>
        <w:tc>
          <w:tcPr>
            <w:tcW w:w="1082" w:type="dxa"/>
            <w:tcBorders>
              <w:top w:val="nil"/>
              <w:left w:val="nil"/>
              <w:bottom w:val="single" w:sz="4" w:space="0" w:color="auto"/>
              <w:right w:val="single" w:sz="4" w:space="0" w:color="auto"/>
            </w:tcBorders>
            <w:shd w:val="clear" w:color="auto" w:fill="auto"/>
            <w:vAlign w:val="center"/>
            <w:hideMark/>
          </w:tcPr>
          <w:p w:rsidR="00771262" w:rsidRPr="00771262" w:rsidP="00771262" w14:paraId="1703BB35" w14:textId="77777777">
            <w:pPr>
              <w:widowControl/>
              <w:autoSpaceDE/>
              <w:autoSpaceDN/>
              <w:adjustRightInd/>
              <w:jc w:val="center"/>
              <w:rPr>
                <w:color w:val="000000"/>
                <w:sz w:val="20"/>
                <w:szCs w:val="20"/>
              </w:rPr>
            </w:pPr>
            <w:r w:rsidRPr="00771262">
              <w:rPr>
                <w:color w:val="000000"/>
                <w:sz w:val="20"/>
                <w:szCs w:val="20"/>
              </w:rPr>
              <w:t>224</w:t>
            </w:r>
          </w:p>
        </w:tc>
        <w:tc>
          <w:tcPr>
            <w:tcW w:w="917" w:type="dxa"/>
            <w:tcBorders>
              <w:top w:val="nil"/>
              <w:left w:val="nil"/>
              <w:bottom w:val="single" w:sz="4" w:space="0" w:color="auto"/>
              <w:right w:val="single" w:sz="4" w:space="0" w:color="auto"/>
            </w:tcBorders>
            <w:shd w:val="clear" w:color="auto" w:fill="auto"/>
            <w:vAlign w:val="center"/>
            <w:hideMark/>
          </w:tcPr>
          <w:p w:rsidR="00771262" w:rsidRPr="00771262" w:rsidP="00771262" w14:paraId="05319289" w14:textId="77777777">
            <w:pPr>
              <w:widowControl/>
              <w:autoSpaceDE/>
              <w:autoSpaceDN/>
              <w:adjustRightInd/>
              <w:jc w:val="center"/>
              <w:rPr>
                <w:color w:val="000000"/>
                <w:sz w:val="20"/>
                <w:szCs w:val="20"/>
              </w:rPr>
            </w:pPr>
            <w:r w:rsidRPr="00771262">
              <w:rPr>
                <w:color w:val="000000"/>
                <w:sz w:val="20"/>
                <w:szCs w:val="20"/>
              </w:rPr>
              <w:t>150</w:t>
            </w:r>
          </w:p>
        </w:tc>
        <w:tc>
          <w:tcPr>
            <w:tcW w:w="874" w:type="dxa"/>
            <w:tcBorders>
              <w:top w:val="nil"/>
              <w:left w:val="nil"/>
              <w:bottom w:val="single" w:sz="4" w:space="0" w:color="auto"/>
              <w:right w:val="single" w:sz="4" w:space="0" w:color="auto"/>
            </w:tcBorders>
            <w:shd w:val="clear" w:color="auto" w:fill="auto"/>
            <w:vAlign w:val="center"/>
            <w:hideMark/>
          </w:tcPr>
          <w:p w:rsidR="00771262" w:rsidRPr="00771262" w:rsidP="00771262" w14:paraId="59CF40AC" w14:textId="77777777">
            <w:pPr>
              <w:widowControl/>
              <w:autoSpaceDE/>
              <w:autoSpaceDN/>
              <w:adjustRightInd/>
              <w:jc w:val="center"/>
              <w:rPr>
                <w:color w:val="000000"/>
                <w:sz w:val="20"/>
                <w:szCs w:val="20"/>
              </w:rPr>
            </w:pPr>
            <w:r w:rsidRPr="00771262">
              <w:rPr>
                <w:color w:val="000000"/>
                <w:sz w:val="20"/>
                <w:szCs w:val="20"/>
              </w:rPr>
              <w:t>560</w:t>
            </w:r>
          </w:p>
        </w:tc>
        <w:tc>
          <w:tcPr>
            <w:tcW w:w="853" w:type="dxa"/>
            <w:tcBorders>
              <w:top w:val="nil"/>
              <w:left w:val="nil"/>
              <w:bottom w:val="single" w:sz="4" w:space="0" w:color="auto"/>
              <w:right w:val="single" w:sz="4" w:space="0" w:color="auto"/>
            </w:tcBorders>
            <w:shd w:val="clear" w:color="auto" w:fill="auto"/>
            <w:vAlign w:val="center"/>
            <w:hideMark/>
          </w:tcPr>
          <w:p w:rsidR="00771262" w:rsidRPr="00771262" w:rsidP="00771262" w14:paraId="7EF0FB72" w14:textId="77777777">
            <w:pPr>
              <w:widowControl/>
              <w:autoSpaceDE/>
              <w:autoSpaceDN/>
              <w:adjustRightInd/>
              <w:jc w:val="center"/>
              <w:rPr>
                <w:color w:val="000000"/>
                <w:sz w:val="20"/>
                <w:szCs w:val="20"/>
              </w:rPr>
            </w:pPr>
            <w:r w:rsidRPr="00771262">
              <w:rPr>
                <w:color w:val="000000"/>
                <w:sz w:val="20"/>
                <w:szCs w:val="20"/>
              </w:rPr>
              <w:t xml:space="preserve">$40.41 </w:t>
            </w:r>
          </w:p>
        </w:tc>
        <w:tc>
          <w:tcPr>
            <w:tcW w:w="1104" w:type="dxa"/>
            <w:tcBorders>
              <w:top w:val="nil"/>
              <w:left w:val="nil"/>
              <w:bottom w:val="single" w:sz="4" w:space="0" w:color="auto"/>
              <w:right w:val="single" w:sz="8" w:space="0" w:color="auto"/>
            </w:tcBorders>
            <w:shd w:val="clear" w:color="auto" w:fill="auto"/>
            <w:vAlign w:val="center"/>
            <w:hideMark/>
          </w:tcPr>
          <w:p w:rsidR="00771262" w:rsidRPr="00771262" w:rsidP="00771262" w14:paraId="7DEB3301" w14:textId="77777777">
            <w:pPr>
              <w:widowControl/>
              <w:autoSpaceDE/>
              <w:autoSpaceDN/>
              <w:adjustRightInd/>
              <w:jc w:val="center"/>
              <w:rPr>
                <w:color w:val="000000"/>
                <w:sz w:val="20"/>
                <w:szCs w:val="20"/>
              </w:rPr>
            </w:pPr>
            <w:r w:rsidRPr="00771262">
              <w:rPr>
                <w:color w:val="000000"/>
                <w:sz w:val="20"/>
                <w:szCs w:val="20"/>
              </w:rPr>
              <w:t xml:space="preserve">$22,629.60 </w:t>
            </w:r>
          </w:p>
        </w:tc>
      </w:tr>
      <w:tr w14:paraId="16781B4F" w14:textId="77777777" w:rsidTr="00037ED3">
        <w:tblPrEx>
          <w:tblW w:w="9732" w:type="dxa"/>
          <w:tblLook w:val="04A0"/>
        </w:tblPrEx>
        <w:trPr>
          <w:trHeight w:val="278"/>
        </w:trPr>
        <w:tc>
          <w:tcPr>
            <w:tcW w:w="2395" w:type="dxa"/>
            <w:tcBorders>
              <w:top w:val="nil"/>
              <w:left w:val="single" w:sz="8" w:space="0" w:color="auto"/>
              <w:bottom w:val="single" w:sz="4" w:space="0" w:color="auto"/>
              <w:right w:val="single" w:sz="4" w:space="0" w:color="auto"/>
            </w:tcBorders>
            <w:shd w:val="clear" w:color="auto" w:fill="auto"/>
            <w:vAlign w:val="center"/>
            <w:hideMark/>
          </w:tcPr>
          <w:p w:rsidR="00771262" w:rsidRPr="00771262" w:rsidP="00771262" w14:paraId="7274DEB2" w14:textId="77777777">
            <w:pPr>
              <w:widowControl/>
              <w:autoSpaceDE/>
              <w:autoSpaceDN/>
              <w:adjustRightInd/>
              <w:ind w:firstLine="136" w:firstLineChars="68"/>
              <w:rPr>
                <w:color w:val="000000"/>
                <w:sz w:val="20"/>
                <w:szCs w:val="20"/>
              </w:rPr>
            </w:pPr>
            <w:r w:rsidRPr="00771262">
              <w:rPr>
                <w:color w:val="000000"/>
                <w:sz w:val="20"/>
                <w:szCs w:val="20"/>
              </w:rPr>
              <w:t>Final Reports</w:t>
            </w:r>
          </w:p>
        </w:tc>
        <w:tc>
          <w:tcPr>
            <w:tcW w:w="1292" w:type="dxa"/>
            <w:tcBorders>
              <w:top w:val="nil"/>
              <w:left w:val="nil"/>
              <w:bottom w:val="single" w:sz="4" w:space="0" w:color="auto"/>
              <w:right w:val="single" w:sz="4" w:space="0" w:color="auto"/>
            </w:tcBorders>
            <w:shd w:val="clear" w:color="auto" w:fill="auto"/>
            <w:vAlign w:val="center"/>
            <w:hideMark/>
          </w:tcPr>
          <w:p w:rsidR="00771262" w:rsidRPr="00771262" w:rsidP="00771262" w14:paraId="089042E9" w14:textId="77777777">
            <w:pPr>
              <w:widowControl/>
              <w:autoSpaceDE/>
              <w:autoSpaceDN/>
              <w:adjustRightInd/>
              <w:jc w:val="center"/>
              <w:rPr>
                <w:color w:val="000000"/>
                <w:sz w:val="20"/>
                <w:szCs w:val="20"/>
              </w:rPr>
            </w:pPr>
            <w:r w:rsidRPr="00771262">
              <w:rPr>
                <w:color w:val="000000"/>
                <w:sz w:val="20"/>
                <w:szCs w:val="20"/>
              </w:rPr>
              <w:t>56</w:t>
            </w:r>
          </w:p>
        </w:tc>
        <w:tc>
          <w:tcPr>
            <w:tcW w:w="1215" w:type="dxa"/>
            <w:tcBorders>
              <w:top w:val="nil"/>
              <w:left w:val="nil"/>
              <w:bottom w:val="single" w:sz="4" w:space="0" w:color="auto"/>
              <w:right w:val="single" w:sz="4" w:space="0" w:color="auto"/>
            </w:tcBorders>
            <w:shd w:val="clear" w:color="auto" w:fill="auto"/>
            <w:vAlign w:val="center"/>
            <w:hideMark/>
          </w:tcPr>
          <w:p w:rsidR="00771262" w:rsidRPr="00771262" w:rsidP="00771262" w14:paraId="21639C05" w14:textId="77777777">
            <w:pPr>
              <w:widowControl/>
              <w:autoSpaceDE/>
              <w:autoSpaceDN/>
              <w:adjustRightInd/>
              <w:jc w:val="center"/>
              <w:rPr>
                <w:color w:val="000000"/>
                <w:sz w:val="20"/>
                <w:szCs w:val="20"/>
              </w:rPr>
            </w:pPr>
            <w:r w:rsidRPr="00771262">
              <w:rPr>
                <w:color w:val="000000"/>
                <w:sz w:val="20"/>
                <w:szCs w:val="20"/>
              </w:rPr>
              <w:t>1</w:t>
            </w:r>
          </w:p>
        </w:tc>
        <w:tc>
          <w:tcPr>
            <w:tcW w:w="1082" w:type="dxa"/>
            <w:tcBorders>
              <w:top w:val="nil"/>
              <w:left w:val="nil"/>
              <w:bottom w:val="single" w:sz="4" w:space="0" w:color="auto"/>
              <w:right w:val="single" w:sz="4" w:space="0" w:color="auto"/>
            </w:tcBorders>
            <w:shd w:val="clear" w:color="auto" w:fill="auto"/>
            <w:vAlign w:val="center"/>
            <w:hideMark/>
          </w:tcPr>
          <w:p w:rsidR="00771262" w:rsidRPr="00771262" w:rsidP="00771262" w14:paraId="05652836" w14:textId="77777777">
            <w:pPr>
              <w:widowControl/>
              <w:autoSpaceDE/>
              <w:autoSpaceDN/>
              <w:adjustRightInd/>
              <w:jc w:val="center"/>
              <w:rPr>
                <w:color w:val="000000"/>
                <w:sz w:val="20"/>
                <w:szCs w:val="20"/>
              </w:rPr>
            </w:pPr>
            <w:r w:rsidRPr="00771262">
              <w:rPr>
                <w:color w:val="000000"/>
                <w:sz w:val="20"/>
                <w:szCs w:val="20"/>
              </w:rPr>
              <w:t>56</w:t>
            </w:r>
          </w:p>
        </w:tc>
        <w:tc>
          <w:tcPr>
            <w:tcW w:w="917" w:type="dxa"/>
            <w:tcBorders>
              <w:top w:val="nil"/>
              <w:left w:val="nil"/>
              <w:bottom w:val="single" w:sz="4" w:space="0" w:color="auto"/>
              <w:right w:val="single" w:sz="4" w:space="0" w:color="auto"/>
            </w:tcBorders>
            <w:shd w:val="clear" w:color="auto" w:fill="auto"/>
            <w:vAlign w:val="center"/>
            <w:hideMark/>
          </w:tcPr>
          <w:p w:rsidR="00771262" w:rsidRPr="00771262" w:rsidP="00771262" w14:paraId="14C46288" w14:textId="77777777">
            <w:pPr>
              <w:widowControl/>
              <w:autoSpaceDE/>
              <w:autoSpaceDN/>
              <w:adjustRightInd/>
              <w:jc w:val="center"/>
              <w:rPr>
                <w:color w:val="000000"/>
                <w:sz w:val="20"/>
                <w:szCs w:val="20"/>
              </w:rPr>
            </w:pPr>
            <w:r w:rsidRPr="00771262">
              <w:rPr>
                <w:color w:val="000000"/>
                <w:sz w:val="20"/>
                <w:szCs w:val="20"/>
              </w:rPr>
              <w:t>150</w:t>
            </w:r>
          </w:p>
        </w:tc>
        <w:tc>
          <w:tcPr>
            <w:tcW w:w="874" w:type="dxa"/>
            <w:tcBorders>
              <w:top w:val="nil"/>
              <w:left w:val="nil"/>
              <w:bottom w:val="single" w:sz="4" w:space="0" w:color="auto"/>
              <w:right w:val="single" w:sz="4" w:space="0" w:color="auto"/>
            </w:tcBorders>
            <w:shd w:val="clear" w:color="auto" w:fill="auto"/>
            <w:vAlign w:val="center"/>
            <w:hideMark/>
          </w:tcPr>
          <w:p w:rsidR="00771262" w:rsidRPr="00771262" w:rsidP="00771262" w14:paraId="4D04B6C0" w14:textId="77777777">
            <w:pPr>
              <w:widowControl/>
              <w:autoSpaceDE/>
              <w:autoSpaceDN/>
              <w:adjustRightInd/>
              <w:jc w:val="center"/>
              <w:rPr>
                <w:color w:val="000000"/>
                <w:sz w:val="20"/>
                <w:szCs w:val="20"/>
              </w:rPr>
            </w:pPr>
            <w:r w:rsidRPr="00771262">
              <w:rPr>
                <w:color w:val="000000"/>
                <w:sz w:val="20"/>
                <w:szCs w:val="20"/>
              </w:rPr>
              <w:t>140</w:t>
            </w:r>
          </w:p>
        </w:tc>
        <w:tc>
          <w:tcPr>
            <w:tcW w:w="853" w:type="dxa"/>
            <w:tcBorders>
              <w:top w:val="nil"/>
              <w:left w:val="nil"/>
              <w:bottom w:val="single" w:sz="4" w:space="0" w:color="auto"/>
              <w:right w:val="single" w:sz="4" w:space="0" w:color="auto"/>
            </w:tcBorders>
            <w:shd w:val="clear" w:color="auto" w:fill="auto"/>
            <w:vAlign w:val="center"/>
            <w:hideMark/>
          </w:tcPr>
          <w:p w:rsidR="00771262" w:rsidRPr="00771262" w:rsidP="00771262" w14:paraId="48E3B832" w14:textId="77777777">
            <w:pPr>
              <w:widowControl/>
              <w:autoSpaceDE/>
              <w:autoSpaceDN/>
              <w:adjustRightInd/>
              <w:jc w:val="center"/>
              <w:rPr>
                <w:color w:val="000000"/>
                <w:sz w:val="20"/>
                <w:szCs w:val="20"/>
              </w:rPr>
            </w:pPr>
            <w:r w:rsidRPr="00771262">
              <w:rPr>
                <w:color w:val="000000"/>
                <w:sz w:val="20"/>
                <w:szCs w:val="20"/>
              </w:rPr>
              <w:t xml:space="preserve">$40.41 </w:t>
            </w:r>
          </w:p>
        </w:tc>
        <w:tc>
          <w:tcPr>
            <w:tcW w:w="1104" w:type="dxa"/>
            <w:tcBorders>
              <w:top w:val="nil"/>
              <w:left w:val="nil"/>
              <w:bottom w:val="single" w:sz="4" w:space="0" w:color="auto"/>
              <w:right w:val="single" w:sz="8" w:space="0" w:color="auto"/>
            </w:tcBorders>
            <w:shd w:val="clear" w:color="auto" w:fill="auto"/>
            <w:vAlign w:val="center"/>
            <w:hideMark/>
          </w:tcPr>
          <w:p w:rsidR="00771262" w:rsidRPr="00771262" w:rsidP="00771262" w14:paraId="631E24D6" w14:textId="77777777">
            <w:pPr>
              <w:widowControl/>
              <w:autoSpaceDE/>
              <w:autoSpaceDN/>
              <w:adjustRightInd/>
              <w:jc w:val="center"/>
              <w:rPr>
                <w:color w:val="000000"/>
                <w:sz w:val="20"/>
                <w:szCs w:val="20"/>
              </w:rPr>
            </w:pPr>
            <w:r w:rsidRPr="00771262">
              <w:rPr>
                <w:color w:val="000000"/>
                <w:sz w:val="20"/>
                <w:szCs w:val="20"/>
              </w:rPr>
              <w:t xml:space="preserve">$5,657.40 </w:t>
            </w:r>
          </w:p>
        </w:tc>
      </w:tr>
      <w:tr w14:paraId="18EBF7B4" w14:textId="77777777" w:rsidTr="00037ED3">
        <w:tblPrEx>
          <w:tblW w:w="9732" w:type="dxa"/>
          <w:tblLook w:val="04A0"/>
        </w:tblPrEx>
        <w:trPr>
          <w:trHeight w:val="278"/>
        </w:trPr>
        <w:tc>
          <w:tcPr>
            <w:tcW w:w="2395" w:type="dxa"/>
            <w:tcBorders>
              <w:top w:val="nil"/>
              <w:left w:val="single" w:sz="8" w:space="0" w:color="auto"/>
              <w:bottom w:val="single" w:sz="4" w:space="0" w:color="auto"/>
              <w:right w:val="single" w:sz="4" w:space="0" w:color="auto"/>
            </w:tcBorders>
            <w:shd w:val="clear" w:color="auto" w:fill="auto"/>
            <w:vAlign w:val="center"/>
            <w:hideMark/>
          </w:tcPr>
          <w:p w:rsidR="00771262" w:rsidRPr="00771262" w:rsidP="00771262" w14:paraId="18BC58F4" w14:textId="77777777">
            <w:pPr>
              <w:widowControl/>
              <w:autoSpaceDE/>
              <w:autoSpaceDN/>
              <w:adjustRightInd/>
              <w:rPr>
                <w:color w:val="000000"/>
                <w:sz w:val="20"/>
                <w:szCs w:val="20"/>
              </w:rPr>
            </w:pPr>
            <w:r w:rsidRPr="00771262">
              <w:rPr>
                <w:color w:val="000000"/>
                <w:sz w:val="20"/>
                <w:szCs w:val="20"/>
              </w:rPr>
              <w:t>State Grants Subtotal</w:t>
            </w:r>
          </w:p>
        </w:tc>
        <w:tc>
          <w:tcPr>
            <w:tcW w:w="1292" w:type="dxa"/>
            <w:tcBorders>
              <w:top w:val="nil"/>
              <w:left w:val="nil"/>
              <w:bottom w:val="single" w:sz="4" w:space="0" w:color="auto"/>
              <w:right w:val="single" w:sz="4" w:space="0" w:color="auto"/>
            </w:tcBorders>
            <w:shd w:val="clear" w:color="auto" w:fill="auto"/>
            <w:vAlign w:val="center"/>
            <w:hideMark/>
          </w:tcPr>
          <w:p w:rsidR="00771262" w:rsidRPr="00771262" w:rsidP="00771262" w14:paraId="0CAD4569" w14:textId="77777777">
            <w:pPr>
              <w:widowControl/>
              <w:autoSpaceDE/>
              <w:autoSpaceDN/>
              <w:adjustRightInd/>
              <w:jc w:val="center"/>
              <w:rPr>
                <w:color w:val="000000"/>
                <w:sz w:val="20"/>
                <w:szCs w:val="20"/>
              </w:rPr>
            </w:pPr>
            <w:r w:rsidRPr="00771262">
              <w:rPr>
                <w:color w:val="000000"/>
                <w:sz w:val="20"/>
                <w:szCs w:val="20"/>
              </w:rPr>
              <w:t>56</w:t>
            </w:r>
          </w:p>
        </w:tc>
        <w:tc>
          <w:tcPr>
            <w:tcW w:w="1215" w:type="dxa"/>
            <w:tcBorders>
              <w:top w:val="nil"/>
              <w:left w:val="nil"/>
              <w:bottom w:val="single" w:sz="4" w:space="0" w:color="auto"/>
              <w:right w:val="single" w:sz="4" w:space="0" w:color="auto"/>
            </w:tcBorders>
            <w:shd w:val="clear" w:color="000000" w:fill="000000"/>
            <w:vAlign w:val="center"/>
            <w:hideMark/>
          </w:tcPr>
          <w:p w:rsidR="00771262" w:rsidRPr="00771262" w:rsidP="00771262" w14:paraId="6E4C8C88" w14:textId="77777777">
            <w:pPr>
              <w:widowControl/>
              <w:autoSpaceDE/>
              <w:autoSpaceDN/>
              <w:adjustRightInd/>
              <w:jc w:val="center"/>
              <w:rPr>
                <w:color w:val="000000"/>
                <w:sz w:val="20"/>
                <w:szCs w:val="20"/>
              </w:rPr>
            </w:pPr>
            <w:r w:rsidRPr="00771262">
              <w:rPr>
                <w:color w:val="000000"/>
                <w:sz w:val="20"/>
                <w:szCs w:val="20"/>
              </w:rPr>
              <w:t> </w:t>
            </w:r>
          </w:p>
        </w:tc>
        <w:tc>
          <w:tcPr>
            <w:tcW w:w="1082" w:type="dxa"/>
            <w:tcBorders>
              <w:top w:val="nil"/>
              <w:left w:val="nil"/>
              <w:bottom w:val="single" w:sz="4" w:space="0" w:color="auto"/>
              <w:right w:val="single" w:sz="4" w:space="0" w:color="auto"/>
            </w:tcBorders>
            <w:shd w:val="clear" w:color="auto" w:fill="auto"/>
            <w:vAlign w:val="center"/>
            <w:hideMark/>
          </w:tcPr>
          <w:p w:rsidR="00771262" w:rsidRPr="00771262" w:rsidP="00771262" w14:paraId="09B830E0" w14:textId="77777777">
            <w:pPr>
              <w:widowControl/>
              <w:autoSpaceDE/>
              <w:autoSpaceDN/>
              <w:adjustRightInd/>
              <w:jc w:val="center"/>
              <w:rPr>
                <w:color w:val="000000"/>
                <w:sz w:val="20"/>
                <w:szCs w:val="20"/>
              </w:rPr>
            </w:pPr>
            <w:r w:rsidRPr="00771262">
              <w:rPr>
                <w:color w:val="000000"/>
                <w:sz w:val="20"/>
                <w:szCs w:val="20"/>
              </w:rPr>
              <w:t>280</w:t>
            </w:r>
          </w:p>
        </w:tc>
        <w:tc>
          <w:tcPr>
            <w:tcW w:w="917" w:type="dxa"/>
            <w:tcBorders>
              <w:top w:val="nil"/>
              <w:left w:val="nil"/>
              <w:bottom w:val="single" w:sz="4" w:space="0" w:color="auto"/>
              <w:right w:val="single" w:sz="4" w:space="0" w:color="auto"/>
            </w:tcBorders>
            <w:shd w:val="clear" w:color="000000" w:fill="000000"/>
            <w:vAlign w:val="center"/>
            <w:hideMark/>
          </w:tcPr>
          <w:p w:rsidR="00771262" w:rsidRPr="00771262" w:rsidP="00771262" w14:paraId="7A37B167" w14:textId="77777777">
            <w:pPr>
              <w:widowControl/>
              <w:autoSpaceDE/>
              <w:autoSpaceDN/>
              <w:adjustRightInd/>
              <w:jc w:val="center"/>
              <w:rPr>
                <w:color w:val="000000"/>
                <w:sz w:val="20"/>
                <w:szCs w:val="20"/>
              </w:rPr>
            </w:pPr>
            <w:r w:rsidRPr="00771262">
              <w:rPr>
                <w:color w:val="000000"/>
                <w:sz w:val="20"/>
                <w:szCs w:val="20"/>
              </w:rPr>
              <w:t> </w:t>
            </w:r>
          </w:p>
        </w:tc>
        <w:tc>
          <w:tcPr>
            <w:tcW w:w="874" w:type="dxa"/>
            <w:tcBorders>
              <w:top w:val="nil"/>
              <w:left w:val="nil"/>
              <w:bottom w:val="single" w:sz="4" w:space="0" w:color="auto"/>
              <w:right w:val="single" w:sz="4" w:space="0" w:color="auto"/>
            </w:tcBorders>
            <w:shd w:val="clear" w:color="auto" w:fill="auto"/>
            <w:vAlign w:val="center"/>
            <w:hideMark/>
          </w:tcPr>
          <w:p w:rsidR="00771262" w:rsidRPr="00771262" w:rsidP="00771262" w14:paraId="459DA6D1" w14:textId="77777777">
            <w:pPr>
              <w:widowControl/>
              <w:autoSpaceDE/>
              <w:autoSpaceDN/>
              <w:adjustRightInd/>
              <w:jc w:val="center"/>
              <w:rPr>
                <w:color w:val="000000"/>
                <w:sz w:val="20"/>
                <w:szCs w:val="20"/>
              </w:rPr>
            </w:pPr>
            <w:r w:rsidRPr="00771262">
              <w:rPr>
                <w:color w:val="000000"/>
                <w:sz w:val="20"/>
                <w:szCs w:val="20"/>
              </w:rPr>
              <w:t>700</w:t>
            </w:r>
          </w:p>
        </w:tc>
        <w:tc>
          <w:tcPr>
            <w:tcW w:w="853" w:type="dxa"/>
            <w:tcBorders>
              <w:top w:val="nil"/>
              <w:left w:val="nil"/>
              <w:bottom w:val="single" w:sz="4" w:space="0" w:color="auto"/>
              <w:right w:val="single" w:sz="4" w:space="0" w:color="auto"/>
            </w:tcBorders>
            <w:shd w:val="clear" w:color="000000" w:fill="000000"/>
            <w:vAlign w:val="center"/>
            <w:hideMark/>
          </w:tcPr>
          <w:p w:rsidR="00771262" w:rsidRPr="00771262" w:rsidP="00771262" w14:paraId="4C157711" w14:textId="77777777">
            <w:pPr>
              <w:widowControl/>
              <w:autoSpaceDE/>
              <w:autoSpaceDN/>
              <w:adjustRightInd/>
              <w:jc w:val="center"/>
              <w:rPr>
                <w:color w:val="000000"/>
                <w:sz w:val="20"/>
                <w:szCs w:val="20"/>
              </w:rPr>
            </w:pPr>
            <w:r w:rsidRPr="00771262">
              <w:rPr>
                <w:color w:val="000000"/>
                <w:sz w:val="20"/>
                <w:szCs w:val="20"/>
              </w:rPr>
              <w:t> </w:t>
            </w:r>
          </w:p>
        </w:tc>
        <w:tc>
          <w:tcPr>
            <w:tcW w:w="1104" w:type="dxa"/>
            <w:tcBorders>
              <w:top w:val="nil"/>
              <w:left w:val="nil"/>
              <w:bottom w:val="single" w:sz="4" w:space="0" w:color="auto"/>
              <w:right w:val="single" w:sz="8" w:space="0" w:color="auto"/>
            </w:tcBorders>
            <w:shd w:val="clear" w:color="auto" w:fill="auto"/>
            <w:vAlign w:val="center"/>
            <w:hideMark/>
          </w:tcPr>
          <w:p w:rsidR="00771262" w:rsidRPr="00771262" w:rsidP="00771262" w14:paraId="6E85AA87" w14:textId="77777777">
            <w:pPr>
              <w:widowControl/>
              <w:autoSpaceDE/>
              <w:autoSpaceDN/>
              <w:adjustRightInd/>
              <w:jc w:val="center"/>
              <w:rPr>
                <w:color w:val="000000"/>
                <w:sz w:val="20"/>
                <w:szCs w:val="20"/>
              </w:rPr>
            </w:pPr>
            <w:r w:rsidRPr="00771262">
              <w:rPr>
                <w:color w:val="000000"/>
                <w:sz w:val="20"/>
                <w:szCs w:val="20"/>
              </w:rPr>
              <w:t xml:space="preserve">$28,287.00 </w:t>
            </w:r>
          </w:p>
        </w:tc>
      </w:tr>
      <w:tr w14:paraId="412BDBDA" w14:textId="77777777" w:rsidTr="00037ED3">
        <w:tblPrEx>
          <w:tblW w:w="9732" w:type="dxa"/>
          <w:tblLook w:val="04A0"/>
        </w:tblPrEx>
        <w:trPr>
          <w:trHeight w:val="278"/>
        </w:trPr>
        <w:tc>
          <w:tcPr>
            <w:tcW w:w="2395" w:type="dxa"/>
            <w:tcBorders>
              <w:top w:val="nil"/>
              <w:left w:val="single" w:sz="8" w:space="0" w:color="auto"/>
              <w:bottom w:val="single" w:sz="4" w:space="0" w:color="auto"/>
              <w:right w:val="single" w:sz="4" w:space="0" w:color="auto"/>
            </w:tcBorders>
            <w:shd w:val="clear" w:color="auto" w:fill="auto"/>
            <w:vAlign w:val="center"/>
            <w:hideMark/>
          </w:tcPr>
          <w:p w:rsidR="00771262" w:rsidRPr="00771262" w:rsidP="00771262" w14:paraId="2F8A7534" w14:textId="77777777">
            <w:pPr>
              <w:widowControl/>
              <w:autoSpaceDE/>
              <w:autoSpaceDN/>
              <w:adjustRightInd/>
              <w:rPr>
                <w:color w:val="000000"/>
                <w:sz w:val="20"/>
                <w:szCs w:val="20"/>
              </w:rPr>
            </w:pPr>
            <w:r w:rsidRPr="00771262">
              <w:rPr>
                <w:color w:val="000000"/>
                <w:sz w:val="20"/>
                <w:szCs w:val="20"/>
              </w:rPr>
              <w:t>Brookwood-Sago Grants</w:t>
            </w:r>
          </w:p>
        </w:tc>
        <w:tc>
          <w:tcPr>
            <w:tcW w:w="1292" w:type="dxa"/>
            <w:tcBorders>
              <w:top w:val="nil"/>
              <w:left w:val="nil"/>
              <w:bottom w:val="single" w:sz="4" w:space="0" w:color="auto"/>
              <w:right w:val="single" w:sz="4" w:space="0" w:color="auto"/>
            </w:tcBorders>
            <w:shd w:val="clear" w:color="auto" w:fill="auto"/>
            <w:vAlign w:val="center"/>
            <w:hideMark/>
          </w:tcPr>
          <w:p w:rsidR="00771262" w:rsidRPr="00771262" w:rsidP="00771262" w14:paraId="6DBF2A4C" w14:textId="77777777">
            <w:pPr>
              <w:widowControl/>
              <w:autoSpaceDE/>
              <w:autoSpaceDN/>
              <w:adjustRightInd/>
              <w:jc w:val="center"/>
              <w:rPr>
                <w:color w:val="000000"/>
                <w:sz w:val="20"/>
                <w:szCs w:val="20"/>
              </w:rPr>
            </w:pPr>
            <w:r w:rsidRPr="00771262">
              <w:rPr>
                <w:color w:val="000000"/>
                <w:sz w:val="20"/>
                <w:szCs w:val="20"/>
              </w:rPr>
              <w:t> </w:t>
            </w:r>
          </w:p>
        </w:tc>
        <w:tc>
          <w:tcPr>
            <w:tcW w:w="1215" w:type="dxa"/>
            <w:tcBorders>
              <w:top w:val="nil"/>
              <w:left w:val="nil"/>
              <w:bottom w:val="single" w:sz="4" w:space="0" w:color="auto"/>
              <w:right w:val="single" w:sz="4" w:space="0" w:color="auto"/>
            </w:tcBorders>
            <w:shd w:val="clear" w:color="000000" w:fill="000000"/>
            <w:vAlign w:val="center"/>
            <w:hideMark/>
          </w:tcPr>
          <w:p w:rsidR="00771262" w:rsidRPr="00771262" w:rsidP="00771262" w14:paraId="59C6A0B7" w14:textId="77777777">
            <w:pPr>
              <w:widowControl/>
              <w:autoSpaceDE/>
              <w:autoSpaceDN/>
              <w:adjustRightInd/>
              <w:jc w:val="center"/>
              <w:rPr>
                <w:color w:val="000000"/>
                <w:sz w:val="20"/>
                <w:szCs w:val="20"/>
              </w:rPr>
            </w:pPr>
            <w:r w:rsidRPr="00771262">
              <w:rPr>
                <w:color w:val="000000"/>
                <w:sz w:val="20"/>
                <w:szCs w:val="20"/>
              </w:rPr>
              <w:t> </w:t>
            </w:r>
          </w:p>
        </w:tc>
        <w:tc>
          <w:tcPr>
            <w:tcW w:w="1082" w:type="dxa"/>
            <w:tcBorders>
              <w:top w:val="nil"/>
              <w:left w:val="nil"/>
              <w:bottom w:val="single" w:sz="4" w:space="0" w:color="auto"/>
              <w:right w:val="single" w:sz="4" w:space="0" w:color="auto"/>
            </w:tcBorders>
            <w:shd w:val="clear" w:color="auto" w:fill="auto"/>
            <w:vAlign w:val="center"/>
            <w:hideMark/>
          </w:tcPr>
          <w:p w:rsidR="00771262" w:rsidRPr="00771262" w:rsidP="00771262" w14:paraId="3410771B" w14:textId="77777777">
            <w:pPr>
              <w:widowControl/>
              <w:autoSpaceDE/>
              <w:autoSpaceDN/>
              <w:adjustRightInd/>
              <w:jc w:val="center"/>
              <w:rPr>
                <w:color w:val="000000"/>
                <w:sz w:val="20"/>
                <w:szCs w:val="20"/>
              </w:rPr>
            </w:pPr>
            <w:r w:rsidRPr="00771262">
              <w:rPr>
                <w:color w:val="000000"/>
                <w:sz w:val="20"/>
                <w:szCs w:val="20"/>
              </w:rPr>
              <w:t> </w:t>
            </w:r>
          </w:p>
        </w:tc>
        <w:tc>
          <w:tcPr>
            <w:tcW w:w="917" w:type="dxa"/>
            <w:tcBorders>
              <w:top w:val="nil"/>
              <w:left w:val="nil"/>
              <w:bottom w:val="single" w:sz="4" w:space="0" w:color="auto"/>
              <w:right w:val="single" w:sz="4" w:space="0" w:color="auto"/>
            </w:tcBorders>
            <w:shd w:val="clear" w:color="000000" w:fill="000000"/>
            <w:vAlign w:val="center"/>
            <w:hideMark/>
          </w:tcPr>
          <w:p w:rsidR="00771262" w:rsidRPr="00771262" w:rsidP="00771262" w14:paraId="76B60C7D" w14:textId="77777777">
            <w:pPr>
              <w:widowControl/>
              <w:autoSpaceDE/>
              <w:autoSpaceDN/>
              <w:adjustRightInd/>
              <w:jc w:val="center"/>
              <w:rPr>
                <w:color w:val="000000"/>
                <w:sz w:val="20"/>
                <w:szCs w:val="20"/>
              </w:rPr>
            </w:pPr>
            <w:r w:rsidRPr="00771262">
              <w:rPr>
                <w:color w:val="000000"/>
                <w:sz w:val="20"/>
                <w:szCs w:val="20"/>
              </w:rPr>
              <w:t> </w:t>
            </w:r>
          </w:p>
        </w:tc>
        <w:tc>
          <w:tcPr>
            <w:tcW w:w="874" w:type="dxa"/>
            <w:tcBorders>
              <w:top w:val="nil"/>
              <w:left w:val="nil"/>
              <w:bottom w:val="single" w:sz="4" w:space="0" w:color="auto"/>
              <w:right w:val="single" w:sz="4" w:space="0" w:color="auto"/>
            </w:tcBorders>
            <w:shd w:val="clear" w:color="auto" w:fill="auto"/>
            <w:vAlign w:val="center"/>
            <w:hideMark/>
          </w:tcPr>
          <w:p w:rsidR="00771262" w:rsidRPr="00771262" w:rsidP="00771262" w14:paraId="410A14C4" w14:textId="77777777">
            <w:pPr>
              <w:widowControl/>
              <w:autoSpaceDE/>
              <w:autoSpaceDN/>
              <w:adjustRightInd/>
              <w:jc w:val="center"/>
              <w:rPr>
                <w:color w:val="000000"/>
                <w:sz w:val="20"/>
                <w:szCs w:val="20"/>
              </w:rPr>
            </w:pPr>
            <w:r w:rsidRPr="00771262">
              <w:rPr>
                <w:color w:val="000000"/>
                <w:sz w:val="20"/>
                <w:szCs w:val="20"/>
              </w:rPr>
              <w:t> </w:t>
            </w:r>
          </w:p>
        </w:tc>
        <w:tc>
          <w:tcPr>
            <w:tcW w:w="853" w:type="dxa"/>
            <w:tcBorders>
              <w:top w:val="nil"/>
              <w:left w:val="nil"/>
              <w:bottom w:val="single" w:sz="4" w:space="0" w:color="auto"/>
              <w:right w:val="single" w:sz="4" w:space="0" w:color="auto"/>
            </w:tcBorders>
            <w:shd w:val="clear" w:color="000000" w:fill="000000"/>
            <w:vAlign w:val="center"/>
            <w:hideMark/>
          </w:tcPr>
          <w:p w:rsidR="00771262" w:rsidRPr="00771262" w:rsidP="00771262" w14:paraId="3ACB78B2" w14:textId="77777777">
            <w:pPr>
              <w:widowControl/>
              <w:autoSpaceDE/>
              <w:autoSpaceDN/>
              <w:adjustRightInd/>
              <w:jc w:val="center"/>
              <w:rPr>
                <w:color w:val="000000"/>
                <w:sz w:val="20"/>
                <w:szCs w:val="20"/>
              </w:rPr>
            </w:pPr>
            <w:r w:rsidRPr="00771262">
              <w:rPr>
                <w:color w:val="000000"/>
                <w:sz w:val="20"/>
                <w:szCs w:val="20"/>
              </w:rPr>
              <w:t> </w:t>
            </w:r>
          </w:p>
        </w:tc>
        <w:tc>
          <w:tcPr>
            <w:tcW w:w="1104" w:type="dxa"/>
            <w:tcBorders>
              <w:top w:val="nil"/>
              <w:left w:val="nil"/>
              <w:bottom w:val="single" w:sz="4" w:space="0" w:color="auto"/>
              <w:right w:val="single" w:sz="8" w:space="0" w:color="auto"/>
            </w:tcBorders>
            <w:shd w:val="clear" w:color="auto" w:fill="auto"/>
            <w:vAlign w:val="center"/>
            <w:hideMark/>
          </w:tcPr>
          <w:p w:rsidR="00771262" w:rsidRPr="00771262" w:rsidP="00771262" w14:paraId="2AE2282C" w14:textId="77777777">
            <w:pPr>
              <w:widowControl/>
              <w:autoSpaceDE/>
              <w:autoSpaceDN/>
              <w:adjustRightInd/>
              <w:jc w:val="center"/>
              <w:rPr>
                <w:color w:val="000000"/>
                <w:sz w:val="20"/>
                <w:szCs w:val="20"/>
              </w:rPr>
            </w:pPr>
            <w:r w:rsidRPr="00771262">
              <w:rPr>
                <w:color w:val="000000"/>
                <w:sz w:val="20"/>
                <w:szCs w:val="20"/>
              </w:rPr>
              <w:t> </w:t>
            </w:r>
          </w:p>
        </w:tc>
      </w:tr>
      <w:tr w14:paraId="2ACE1A8A" w14:textId="77777777" w:rsidTr="00037ED3">
        <w:tblPrEx>
          <w:tblW w:w="9732" w:type="dxa"/>
          <w:tblLook w:val="04A0"/>
        </w:tblPrEx>
        <w:trPr>
          <w:trHeight w:val="278"/>
        </w:trPr>
        <w:tc>
          <w:tcPr>
            <w:tcW w:w="2395" w:type="dxa"/>
            <w:tcBorders>
              <w:top w:val="nil"/>
              <w:left w:val="single" w:sz="8" w:space="0" w:color="auto"/>
              <w:bottom w:val="nil"/>
              <w:right w:val="single" w:sz="4" w:space="0" w:color="auto"/>
            </w:tcBorders>
            <w:shd w:val="clear" w:color="auto" w:fill="auto"/>
            <w:vAlign w:val="center"/>
            <w:hideMark/>
          </w:tcPr>
          <w:p w:rsidR="00771262" w:rsidRPr="00771262" w:rsidP="00771262" w14:paraId="4A9E190E" w14:textId="77777777">
            <w:pPr>
              <w:widowControl/>
              <w:autoSpaceDE/>
              <w:autoSpaceDN/>
              <w:adjustRightInd/>
              <w:ind w:firstLine="136" w:firstLineChars="68"/>
              <w:rPr>
                <w:color w:val="000000"/>
                <w:sz w:val="20"/>
                <w:szCs w:val="20"/>
              </w:rPr>
            </w:pPr>
            <w:r w:rsidRPr="00771262">
              <w:rPr>
                <w:color w:val="000000"/>
                <w:sz w:val="20"/>
                <w:szCs w:val="20"/>
              </w:rPr>
              <w:t>Quarterly Reports</w:t>
            </w:r>
          </w:p>
        </w:tc>
        <w:tc>
          <w:tcPr>
            <w:tcW w:w="1292" w:type="dxa"/>
            <w:tcBorders>
              <w:top w:val="nil"/>
              <w:left w:val="nil"/>
              <w:bottom w:val="single" w:sz="4" w:space="0" w:color="auto"/>
              <w:right w:val="single" w:sz="4" w:space="0" w:color="auto"/>
            </w:tcBorders>
            <w:shd w:val="clear" w:color="auto" w:fill="auto"/>
            <w:vAlign w:val="center"/>
            <w:hideMark/>
          </w:tcPr>
          <w:p w:rsidR="00771262" w:rsidRPr="00771262" w:rsidP="00771262" w14:paraId="2E340647" w14:textId="77777777">
            <w:pPr>
              <w:widowControl/>
              <w:autoSpaceDE/>
              <w:autoSpaceDN/>
              <w:adjustRightInd/>
              <w:jc w:val="center"/>
              <w:rPr>
                <w:color w:val="000000"/>
                <w:sz w:val="20"/>
                <w:szCs w:val="20"/>
              </w:rPr>
            </w:pPr>
            <w:r w:rsidRPr="00771262">
              <w:rPr>
                <w:color w:val="000000"/>
                <w:sz w:val="20"/>
                <w:szCs w:val="20"/>
              </w:rPr>
              <w:t>20</w:t>
            </w:r>
          </w:p>
        </w:tc>
        <w:tc>
          <w:tcPr>
            <w:tcW w:w="1215" w:type="dxa"/>
            <w:tcBorders>
              <w:top w:val="nil"/>
              <w:left w:val="nil"/>
              <w:bottom w:val="single" w:sz="4" w:space="0" w:color="auto"/>
              <w:right w:val="single" w:sz="4" w:space="0" w:color="auto"/>
            </w:tcBorders>
            <w:shd w:val="clear" w:color="auto" w:fill="auto"/>
            <w:vAlign w:val="center"/>
            <w:hideMark/>
          </w:tcPr>
          <w:p w:rsidR="00771262" w:rsidRPr="00771262" w:rsidP="00771262" w14:paraId="1CE1A39E" w14:textId="77777777">
            <w:pPr>
              <w:widowControl/>
              <w:autoSpaceDE/>
              <w:autoSpaceDN/>
              <w:adjustRightInd/>
              <w:jc w:val="center"/>
              <w:rPr>
                <w:color w:val="000000"/>
                <w:sz w:val="20"/>
                <w:szCs w:val="20"/>
              </w:rPr>
            </w:pPr>
            <w:r w:rsidRPr="00771262">
              <w:rPr>
                <w:color w:val="000000"/>
                <w:sz w:val="20"/>
                <w:szCs w:val="20"/>
              </w:rPr>
              <w:t>4</w:t>
            </w:r>
          </w:p>
        </w:tc>
        <w:tc>
          <w:tcPr>
            <w:tcW w:w="1082" w:type="dxa"/>
            <w:tcBorders>
              <w:top w:val="nil"/>
              <w:left w:val="nil"/>
              <w:bottom w:val="single" w:sz="4" w:space="0" w:color="auto"/>
              <w:right w:val="single" w:sz="4" w:space="0" w:color="auto"/>
            </w:tcBorders>
            <w:shd w:val="clear" w:color="auto" w:fill="auto"/>
            <w:vAlign w:val="center"/>
            <w:hideMark/>
          </w:tcPr>
          <w:p w:rsidR="00771262" w:rsidRPr="00771262" w:rsidP="00771262" w14:paraId="174EA55D" w14:textId="77777777">
            <w:pPr>
              <w:widowControl/>
              <w:autoSpaceDE/>
              <w:autoSpaceDN/>
              <w:adjustRightInd/>
              <w:jc w:val="center"/>
              <w:rPr>
                <w:color w:val="000000"/>
                <w:sz w:val="20"/>
                <w:szCs w:val="20"/>
              </w:rPr>
            </w:pPr>
            <w:r w:rsidRPr="00771262">
              <w:rPr>
                <w:color w:val="000000"/>
                <w:sz w:val="20"/>
                <w:szCs w:val="20"/>
              </w:rPr>
              <w:t>80</w:t>
            </w:r>
          </w:p>
        </w:tc>
        <w:tc>
          <w:tcPr>
            <w:tcW w:w="917" w:type="dxa"/>
            <w:tcBorders>
              <w:top w:val="nil"/>
              <w:left w:val="nil"/>
              <w:bottom w:val="single" w:sz="4" w:space="0" w:color="auto"/>
              <w:right w:val="single" w:sz="4" w:space="0" w:color="auto"/>
            </w:tcBorders>
            <w:shd w:val="clear" w:color="auto" w:fill="auto"/>
            <w:vAlign w:val="center"/>
            <w:hideMark/>
          </w:tcPr>
          <w:p w:rsidR="00771262" w:rsidRPr="00771262" w:rsidP="00771262" w14:paraId="3F2AA6C5" w14:textId="77777777">
            <w:pPr>
              <w:widowControl/>
              <w:autoSpaceDE/>
              <w:autoSpaceDN/>
              <w:adjustRightInd/>
              <w:jc w:val="center"/>
              <w:rPr>
                <w:color w:val="000000"/>
                <w:sz w:val="20"/>
                <w:szCs w:val="20"/>
              </w:rPr>
            </w:pPr>
            <w:r w:rsidRPr="00771262">
              <w:rPr>
                <w:color w:val="000000"/>
                <w:sz w:val="20"/>
                <w:szCs w:val="20"/>
              </w:rPr>
              <w:t>90</w:t>
            </w:r>
          </w:p>
        </w:tc>
        <w:tc>
          <w:tcPr>
            <w:tcW w:w="874" w:type="dxa"/>
            <w:tcBorders>
              <w:top w:val="nil"/>
              <w:left w:val="nil"/>
              <w:bottom w:val="single" w:sz="4" w:space="0" w:color="auto"/>
              <w:right w:val="single" w:sz="4" w:space="0" w:color="auto"/>
            </w:tcBorders>
            <w:shd w:val="clear" w:color="auto" w:fill="auto"/>
            <w:vAlign w:val="center"/>
            <w:hideMark/>
          </w:tcPr>
          <w:p w:rsidR="00771262" w:rsidRPr="00771262" w:rsidP="00771262" w14:paraId="624CA011" w14:textId="77777777">
            <w:pPr>
              <w:widowControl/>
              <w:autoSpaceDE/>
              <w:autoSpaceDN/>
              <w:adjustRightInd/>
              <w:jc w:val="center"/>
              <w:rPr>
                <w:color w:val="000000"/>
                <w:sz w:val="20"/>
                <w:szCs w:val="20"/>
              </w:rPr>
            </w:pPr>
            <w:r w:rsidRPr="00771262">
              <w:rPr>
                <w:color w:val="000000"/>
                <w:sz w:val="20"/>
                <w:szCs w:val="20"/>
              </w:rPr>
              <w:t>120.00</w:t>
            </w:r>
          </w:p>
        </w:tc>
        <w:tc>
          <w:tcPr>
            <w:tcW w:w="853" w:type="dxa"/>
            <w:tcBorders>
              <w:top w:val="nil"/>
              <w:left w:val="nil"/>
              <w:bottom w:val="single" w:sz="4" w:space="0" w:color="auto"/>
              <w:right w:val="single" w:sz="4" w:space="0" w:color="auto"/>
            </w:tcBorders>
            <w:shd w:val="clear" w:color="auto" w:fill="auto"/>
            <w:vAlign w:val="center"/>
            <w:hideMark/>
          </w:tcPr>
          <w:p w:rsidR="00771262" w:rsidRPr="00771262" w:rsidP="00771262" w14:paraId="30A59779" w14:textId="77777777">
            <w:pPr>
              <w:widowControl/>
              <w:autoSpaceDE/>
              <w:autoSpaceDN/>
              <w:adjustRightInd/>
              <w:jc w:val="center"/>
              <w:rPr>
                <w:color w:val="000000"/>
                <w:sz w:val="20"/>
                <w:szCs w:val="20"/>
              </w:rPr>
            </w:pPr>
            <w:r w:rsidRPr="00771262">
              <w:rPr>
                <w:color w:val="000000"/>
                <w:sz w:val="20"/>
                <w:szCs w:val="20"/>
              </w:rPr>
              <w:t xml:space="preserve">$40.41 </w:t>
            </w:r>
          </w:p>
        </w:tc>
        <w:tc>
          <w:tcPr>
            <w:tcW w:w="1104" w:type="dxa"/>
            <w:tcBorders>
              <w:top w:val="nil"/>
              <w:left w:val="nil"/>
              <w:bottom w:val="single" w:sz="4" w:space="0" w:color="auto"/>
              <w:right w:val="single" w:sz="8" w:space="0" w:color="auto"/>
            </w:tcBorders>
            <w:shd w:val="clear" w:color="auto" w:fill="auto"/>
            <w:vAlign w:val="center"/>
            <w:hideMark/>
          </w:tcPr>
          <w:p w:rsidR="00771262" w:rsidRPr="00771262" w:rsidP="00771262" w14:paraId="5BB0DAFE" w14:textId="77777777">
            <w:pPr>
              <w:widowControl/>
              <w:autoSpaceDE/>
              <w:autoSpaceDN/>
              <w:adjustRightInd/>
              <w:jc w:val="center"/>
              <w:rPr>
                <w:color w:val="000000"/>
                <w:sz w:val="20"/>
                <w:szCs w:val="20"/>
              </w:rPr>
            </w:pPr>
            <w:r w:rsidRPr="00771262">
              <w:rPr>
                <w:color w:val="000000"/>
                <w:sz w:val="20"/>
                <w:szCs w:val="20"/>
              </w:rPr>
              <w:t xml:space="preserve">$4,849.20 </w:t>
            </w:r>
          </w:p>
        </w:tc>
      </w:tr>
      <w:tr w14:paraId="51AF0F76" w14:textId="77777777" w:rsidTr="00037ED3">
        <w:tblPrEx>
          <w:tblW w:w="9732" w:type="dxa"/>
          <w:tblLook w:val="04A0"/>
        </w:tblPrEx>
        <w:trPr>
          <w:trHeight w:val="278"/>
        </w:trPr>
        <w:tc>
          <w:tcPr>
            <w:tcW w:w="2395" w:type="dxa"/>
            <w:tcBorders>
              <w:top w:val="single" w:sz="4" w:space="0" w:color="auto"/>
              <w:left w:val="single" w:sz="8" w:space="0" w:color="auto"/>
              <w:bottom w:val="nil"/>
              <w:right w:val="single" w:sz="4" w:space="0" w:color="auto"/>
            </w:tcBorders>
            <w:shd w:val="clear" w:color="auto" w:fill="auto"/>
            <w:vAlign w:val="center"/>
            <w:hideMark/>
          </w:tcPr>
          <w:p w:rsidR="00771262" w:rsidRPr="00771262" w:rsidP="00771262" w14:paraId="3FDCF8EC" w14:textId="77777777">
            <w:pPr>
              <w:widowControl/>
              <w:autoSpaceDE/>
              <w:autoSpaceDN/>
              <w:adjustRightInd/>
              <w:ind w:firstLine="136" w:firstLineChars="68"/>
              <w:rPr>
                <w:color w:val="000000"/>
                <w:sz w:val="20"/>
                <w:szCs w:val="20"/>
              </w:rPr>
            </w:pPr>
            <w:r w:rsidRPr="00771262">
              <w:rPr>
                <w:color w:val="000000"/>
                <w:sz w:val="20"/>
                <w:szCs w:val="20"/>
              </w:rPr>
              <w:t>Final Reports</w:t>
            </w:r>
          </w:p>
        </w:tc>
        <w:tc>
          <w:tcPr>
            <w:tcW w:w="1292" w:type="dxa"/>
            <w:tcBorders>
              <w:top w:val="nil"/>
              <w:left w:val="nil"/>
              <w:bottom w:val="single" w:sz="4" w:space="0" w:color="auto"/>
              <w:right w:val="single" w:sz="4" w:space="0" w:color="auto"/>
            </w:tcBorders>
            <w:shd w:val="clear" w:color="auto" w:fill="auto"/>
            <w:vAlign w:val="center"/>
            <w:hideMark/>
          </w:tcPr>
          <w:p w:rsidR="00771262" w:rsidRPr="00771262" w:rsidP="00771262" w14:paraId="1B4658F1" w14:textId="77777777">
            <w:pPr>
              <w:widowControl/>
              <w:autoSpaceDE/>
              <w:autoSpaceDN/>
              <w:adjustRightInd/>
              <w:jc w:val="center"/>
              <w:rPr>
                <w:color w:val="000000"/>
                <w:sz w:val="20"/>
                <w:szCs w:val="20"/>
              </w:rPr>
            </w:pPr>
            <w:r w:rsidRPr="00771262">
              <w:rPr>
                <w:color w:val="000000"/>
                <w:sz w:val="20"/>
                <w:szCs w:val="20"/>
              </w:rPr>
              <w:t>20</w:t>
            </w:r>
          </w:p>
        </w:tc>
        <w:tc>
          <w:tcPr>
            <w:tcW w:w="1215" w:type="dxa"/>
            <w:tcBorders>
              <w:top w:val="nil"/>
              <w:left w:val="nil"/>
              <w:bottom w:val="single" w:sz="4" w:space="0" w:color="auto"/>
              <w:right w:val="single" w:sz="4" w:space="0" w:color="auto"/>
            </w:tcBorders>
            <w:shd w:val="clear" w:color="auto" w:fill="auto"/>
            <w:vAlign w:val="center"/>
            <w:hideMark/>
          </w:tcPr>
          <w:p w:rsidR="00771262" w:rsidRPr="00771262" w:rsidP="00771262" w14:paraId="74CEDBE8" w14:textId="77777777">
            <w:pPr>
              <w:widowControl/>
              <w:autoSpaceDE/>
              <w:autoSpaceDN/>
              <w:adjustRightInd/>
              <w:jc w:val="center"/>
              <w:rPr>
                <w:color w:val="000000"/>
                <w:sz w:val="20"/>
                <w:szCs w:val="20"/>
              </w:rPr>
            </w:pPr>
            <w:r w:rsidRPr="00771262">
              <w:rPr>
                <w:color w:val="000000"/>
                <w:sz w:val="20"/>
                <w:szCs w:val="20"/>
              </w:rPr>
              <w:t>1</w:t>
            </w:r>
          </w:p>
        </w:tc>
        <w:tc>
          <w:tcPr>
            <w:tcW w:w="1082" w:type="dxa"/>
            <w:tcBorders>
              <w:top w:val="nil"/>
              <w:left w:val="nil"/>
              <w:bottom w:val="single" w:sz="4" w:space="0" w:color="auto"/>
              <w:right w:val="single" w:sz="4" w:space="0" w:color="auto"/>
            </w:tcBorders>
            <w:shd w:val="clear" w:color="auto" w:fill="auto"/>
            <w:vAlign w:val="center"/>
            <w:hideMark/>
          </w:tcPr>
          <w:p w:rsidR="00771262" w:rsidRPr="00771262" w:rsidP="00771262" w14:paraId="3ED742A0" w14:textId="77777777">
            <w:pPr>
              <w:widowControl/>
              <w:autoSpaceDE/>
              <w:autoSpaceDN/>
              <w:adjustRightInd/>
              <w:jc w:val="center"/>
              <w:rPr>
                <w:color w:val="000000"/>
                <w:sz w:val="20"/>
                <w:szCs w:val="20"/>
              </w:rPr>
            </w:pPr>
            <w:r w:rsidRPr="00771262">
              <w:rPr>
                <w:color w:val="000000"/>
                <w:sz w:val="20"/>
                <w:szCs w:val="20"/>
              </w:rPr>
              <w:t>20</w:t>
            </w:r>
          </w:p>
        </w:tc>
        <w:tc>
          <w:tcPr>
            <w:tcW w:w="917" w:type="dxa"/>
            <w:tcBorders>
              <w:top w:val="nil"/>
              <w:left w:val="nil"/>
              <w:bottom w:val="single" w:sz="4" w:space="0" w:color="auto"/>
              <w:right w:val="single" w:sz="4" w:space="0" w:color="auto"/>
            </w:tcBorders>
            <w:shd w:val="clear" w:color="auto" w:fill="auto"/>
            <w:vAlign w:val="center"/>
            <w:hideMark/>
          </w:tcPr>
          <w:p w:rsidR="00771262" w:rsidRPr="00771262" w:rsidP="00771262" w14:paraId="6323CAF7" w14:textId="77777777">
            <w:pPr>
              <w:widowControl/>
              <w:autoSpaceDE/>
              <w:autoSpaceDN/>
              <w:adjustRightInd/>
              <w:jc w:val="center"/>
              <w:rPr>
                <w:color w:val="000000"/>
                <w:sz w:val="20"/>
                <w:szCs w:val="20"/>
              </w:rPr>
            </w:pPr>
            <w:r w:rsidRPr="00771262">
              <w:rPr>
                <w:color w:val="000000"/>
                <w:sz w:val="20"/>
                <w:szCs w:val="20"/>
              </w:rPr>
              <w:t>90</w:t>
            </w:r>
          </w:p>
        </w:tc>
        <w:tc>
          <w:tcPr>
            <w:tcW w:w="874" w:type="dxa"/>
            <w:tcBorders>
              <w:top w:val="nil"/>
              <w:left w:val="nil"/>
              <w:bottom w:val="single" w:sz="4" w:space="0" w:color="auto"/>
              <w:right w:val="single" w:sz="4" w:space="0" w:color="auto"/>
            </w:tcBorders>
            <w:shd w:val="clear" w:color="auto" w:fill="auto"/>
            <w:vAlign w:val="center"/>
            <w:hideMark/>
          </w:tcPr>
          <w:p w:rsidR="00771262" w:rsidRPr="00771262" w:rsidP="00771262" w14:paraId="6F2E5393" w14:textId="77777777">
            <w:pPr>
              <w:widowControl/>
              <w:autoSpaceDE/>
              <w:autoSpaceDN/>
              <w:adjustRightInd/>
              <w:jc w:val="center"/>
              <w:rPr>
                <w:color w:val="000000"/>
                <w:sz w:val="20"/>
                <w:szCs w:val="20"/>
              </w:rPr>
            </w:pPr>
            <w:r w:rsidRPr="00771262">
              <w:rPr>
                <w:color w:val="000000"/>
                <w:sz w:val="20"/>
                <w:szCs w:val="20"/>
              </w:rPr>
              <w:t>30.00</w:t>
            </w:r>
          </w:p>
        </w:tc>
        <w:tc>
          <w:tcPr>
            <w:tcW w:w="853" w:type="dxa"/>
            <w:tcBorders>
              <w:top w:val="nil"/>
              <w:left w:val="nil"/>
              <w:bottom w:val="single" w:sz="4" w:space="0" w:color="auto"/>
              <w:right w:val="single" w:sz="4" w:space="0" w:color="auto"/>
            </w:tcBorders>
            <w:shd w:val="clear" w:color="auto" w:fill="auto"/>
            <w:vAlign w:val="center"/>
            <w:hideMark/>
          </w:tcPr>
          <w:p w:rsidR="00771262" w:rsidRPr="00771262" w:rsidP="00771262" w14:paraId="5F49132E" w14:textId="77777777">
            <w:pPr>
              <w:widowControl/>
              <w:autoSpaceDE/>
              <w:autoSpaceDN/>
              <w:adjustRightInd/>
              <w:jc w:val="center"/>
              <w:rPr>
                <w:color w:val="000000"/>
                <w:sz w:val="20"/>
                <w:szCs w:val="20"/>
              </w:rPr>
            </w:pPr>
            <w:r w:rsidRPr="00771262">
              <w:rPr>
                <w:color w:val="000000"/>
                <w:sz w:val="20"/>
                <w:szCs w:val="20"/>
              </w:rPr>
              <w:t xml:space="preserve">$40.41 </w:t>
            </w:r>
          </w:p>
        </w:tc>
        <w:tc>
          <w:tcPr>
            <w:tcW w:w="1104" w:type="dxa"/>
            <w:tcBorders>
              <w:top w:val="nil"/>
              <w:left w:val="nil"/>
              <w:bottom w:val="single" w:sz="4" w:space="0" w:color="auto"/>
              <w:right w:val="single" w:sz="8" w:space="0" w:color="auto"/>
            </w:tcBorders>
            <w:shd w:val="clear" w:color="auto" w:fill="auto"/>
            <w:vAlign w:val="center"/>
            <w:hideMark/>
          </w:tcPr>
          <w:p w:rsidR="00771262" w:rsidRPr="00771262" w:rsidP="00771262" w14:paraId="1171B164" w14:textId="77777777">
            <w:pPr>
              <w:widowControl/>
              <w:autoSpaceDE/>
              <w:autoSpaceDN/>
              <w:adjustRightInd/>
              <w:jc w:val="center"/>
              <w:rPr>
                <w:color w:val="000000"/>
                <w:sz w:val="20"/>
                <w:szCs w:val="20"/>
              </w:rPr>
            </w:pPr>
            <w:r w:rsidRPr="00771262">
              <w:rPr>
                <w:color w:val="000000"/>
                <w:sz w:val="20"/>
                <w:szCs w:val="20"/>
              </w:rPr>
              <w:t xml:space="preserve">$1,212.30 </w:t>
            </w:r>
          </w:p>
        </w:tc>
      </w:tr>
      <w:tr w14:paraId="301A47EB" w14:textId="77777777" w:rsidTr="00037ED3">
        <w:tblPrEx>
          <w:tblW w:w="9732" w:type="dxa"/>
          <w:tblLook w:val="04A0"/>
        </w:tblPrEx>
        <w:trPr>
          <w:trHeight w:val="302"/>
        </w:trPr>
        <w:tc>
          <w:tcPr>
            <w:tcW w:w="2395" w:type="dxa"/>
            <w:tcBorders>
              <w:top w:val="single" w:sz="4" w:space="0" w:color="auto"/>
              <w:left w:val="single" w:sz="8" w:space="0" w:color="auto"/>
              <w:bottom w:val="nil"/>
              <w:right w:val="single" w:sz="4" w:space="0" w:color="auto"/>
            </w:tcBorders>
            <w:shd w:val="clear" w:color="auto" w:fill="auto"/>
            <w:vAlign w:val="center"/>
            <w:hideMark/>
          </w:tcPr>
          <w:p w:rsidR="00771262" w:rsidRPr="00771262" w:rsidP="00771262" w14:paraId="43F0FC4E" w14:textId="77777777">
            <w:pPr>
              <w:widowControl/>
              <w:autoSpaceDE/>
              <w:autoSpaceDN/>
              <w:adjustRightInd/>
              <w:rPr>
                <w:color w:val="000000"/>
                <w:sz w:val="20"/>
                <w:szCs w:val="20"/>
              </w:rPr>
            </w:pPr>
            <w:r w:rsidRPr="00771262">
              <w:rPr>
                <w:color w:val="000000"/>
                <w:sz w:val="20"/>
                <w:szCs w:val="20"/>
              </w:rPr>
              <w:t>Brookwood-Sago Subtotal</w:t>
            </w:r>
          </w:p>
        </w:tc>
        <w:tc>
          <w:tcPr>
            <w:tcW w:w="1292" w:type="dxa"/>
            <w:tcBorders>
              <w:top w:val="nil"/>
              <w:left w:val="nil"/>
              <w:bottom w:val="single" w:sz="8" w:space="0" w:color="auto"/>
              <w:right w:val="single" w:sz="4" w:space="0" w:color="auto"/>
            </w:tcBorders>
            <w:shd w:val="clear" w:color="auto" w:fill="auto"/>
            <w:vAlign w:val="center"/>
            <w:hideMark/>
          </w:tcPr>
          <w:p w:rsidR="00771262" w:rsidRPr="00771262" w:rsidP="00771262" w14:paraId="0F0C1F65" w14:textId="77777777">
            <w:pPr>
              <w:widowControl/>
              <w:autoSpaceDE/>
              <w:autoSpaceDN/>
              <w:adjustRightInd/>
              <w:jc w:val="center"/>
              <w:rPr>
                <w:color w:val="000000"/>
                <w:sz w:val="20"/>
                <w:szCs w:val="20"/>
              </w:rPr>
            </w:pPr>
            <w:r w:rsidRPr="00771262">
              <w:rPr>
                <w:color w:val="000000"/>
                <w:sz w:val="20"/>
                <w:szCs w:val="20"/>
              </w:rPr>
              <w:t>20</w:t>
            </w:r>
          </w:p>
        </w:tc>
        <w:tc>
          <w:tcPr>
            <w:tcW w:w="1215" w:type="dxa"/>
            <w:tcBorders>
              <w:top w:val="nil"/>
              <w:left w:val="nil"/>
              <w:bottom w:val="single" w:sz="8" w:space="0" w:color="auto"/>
              <w:right w:val="single" w:sz="4" w:space="0" w:color="auto"/>
            </w:tcBorders>
            <w:shd w:val="clear" w:color="000000" w:fill="000000"/>
            <w:noWrap/>
            <w:vAlign w:val="center"/>
            <w:hideMark/>
          </w:tcPr>
          <w:p w:rsidR="00771262" w:rsidRPr="00771262" w:rsidP="00771262" w14:paraId="5F1D1E1C" w14:textId="77777777">
            <w:pPr>
              <w:widowControl/>
              <w:autoSpaceDE/>
              <w:autoSpaceDN/>
              <w:adjustRightInd/>
              <w:jc w:val="center"/>
              <w:rPr>
                <w:color w:val="000000"/>
                <w:sz w:val="20"/>
                <w:szCs w:val="20"/>
              </w:rPr>
            </w:pPr>
            <w:r w:rsidRPr="00771262">
              <w:rPr>
                <w:color w:val="000000"/>
                <w:sz w:val="20"/>
                <w:szCs w:val="20"/>
              </w:rPr>
              <w:t>0</w:t>
            </w:r>
          </w:p>
        </w:tc>
        <w:tc>
          <w:tcPr>
            <w:tcW w:w="1082" w:type="dxa"/>
            <w:tcBorders>
              <w:top w:val="nil"/>
              <w:left w:val="nil"/>
              <w:bottom w:val="single" w:sz="8" w:space="0" w:color="auto"/>
              <w:right w:val="single" w:sz="4" w:space="0" w:color="auto"/>
            </w:tcBorders>
            <w:shd w:val="clear" w:color="auto" w:fill="auto"/>
            <w:vAlign w:val="center"/>
            <w:hideMark/>
          </w:tcPr>
          <w:p w:rsidR="00771262" w:rsidRPr="00771262" w:rsidP="00771262" w14:paraId="7B190FC1" w14:textId="77777777">
            <w:pPr>
              <w:widowControl/>
              <w:autoSpaceDE/>
              <w:autoSpaceDN/>
              <w:adjustRightInd/>
              <w:jc w:val="center"/>
              <w:rPr>
                <w:color w:val="000000"/>
                <w:sz w:val="20"/>
                <w:szCs w:val="20"/>
              </w:rPr>
            </w:pPr>
            <w:r w:rsidRPr="00771262">
              <w:rPr>
                <w:color w:val="000000"/>
                <w:sz w:val="20"/>
                <w:szCs w:val="20"/>
              </w:rPr>
              <w:t>100</w:t>
            </w:r>
          </w:p>
        </w:tc>
        <w:tc>
          <w:tcPr>
            <w:tcW w:w="917" w:type="dxa"/>
            <w:tcBorders>
              <w:top w:val="nil"/>
              <w:left w:val="nil"/>
              <w:bottom w:val="single" w:sz="8" w:space="0" w:color="auto"/>
              <w:right w:val="single" w:sz="4" w:space="0" w:color="auto"/>
            </w:tcBorders>
            <w:shd w:val="clear" w:color="000000" w:fill="000000"/>
            <w:noWrap/>
            <w:vAlign w:val="center"/>
            <w:hideMark/>
          </w:tcPr>
          <w:p w:rsidR="00771262" w:rsidRPr="00771262" w:rsidP="00771262" w14:paraId="0B7E5B6C" w14:textId="77777777">
            <w:pPr>
              <w:widowControl/>
              <w:autoSpaceDE/>
              <w:autoSpaceDN/>
              <w:adjustRightInd/>
              <w:jc w:val="center"/>
              <w:rPr>
                <w:color w:val="000000"/>
                <w:sz w:val="20"/>
                <w:szCs w:val="20"/>
              </w:rPr>
            </w:pPr>
            <w:r w:rsidRPr="00771262">
              <w:rPr>
                <w:color w:val="000000"/>
                <w:sz w:val="20"/>
                <w:szCs w:val="20"/>
              </w:rPr>
              <w:t>0</w:t>
            </w:r>
          </w:p>
        </w:tc>
        <w:tc>
          <w:tcPr>
            <w:tcW w:w="874" w:type="dxa"/>
            <w:tcBorders>
              <w:top w:val="nil"/>
              <w:left w:val="nil"/>
              <w:bottom w:val="single" w:sz="8" w:space="0" w:color="auto"/>
              <w:right w:val="single" w:sz="4" w:space="0" w:color="auto"/>
            </w:tcBorders>
            <w:shd w:val="clear" w:color="auto" w:fill="auto"/>
            <w:vAlign w:val="center"/>
            <w:hideMark/>
          </w:tcPr>
          <w:p w:rsidR="00771262" w:rsidRPr="00771262" w:rsidP="00771262" w14:paraId="0985FEE7" w14:textId="77777777">
            <w:pPr>
              <w:widowControl/>
              <w:autoSpaceDE/>
              <w:autoSpaceDN/>
              <w:adjustRightInd/>
              <w:jc w:val="center"/>
              <w:rPr>
                <w:color w:val="000000"/>
                <w:sz w:val="20"/>
                <w:szCs w:val="20"/>
              </w:rPr>
            </w:pPr>
            <w:r w:rsidRPr="00771262">
              <w:rPr>
                <w:color w:val="000000"/>
                <w:sz w:val="20"/>
                <w:szCs w:val="20"/>
              </w:rPr>
              <w:t>150</w:t>
            </w:r>
          </w:p>
        </w:tc>
        <w:tc>
          <w:tcPr>
            <w:tcW w:w="853" w:type="dxa"/>
            <w:tcBorders>
              <w:top w:val="nil"/>
              <w:left w:val="nil"/>
              <w:bottom w:val="single" w:sz="8" w:space="0" w:color="auto"/>
              <w:right w:val="single" w:sz="4" w:space="0" w:color="auto"/>
            </w:tcBorders>
            <w:shd w:val="clear" w:color="000000" w:fill="000000"/>
            <w:noWrap/>
            <w:vAlign w:val="center"/>
            <w:hideMark/>
          </w:tcPr>
          <w:p w:rsidR="00771262" w:rsidRPr="00771262" w:rsidP="00771262" w14:paraId="74908E06" w14:textId="77777777">
            <w:pPr>
              <w:widowControl/>
              <w:autoSpaceDE/>
              <w:autoSpaceDN/>
              <w:adjustRightInd/>
              <w:jc w:val="center"/>
              <w:rPr>
                <w:color w:val="000000"/>
                <w:sz w:val="20"/>
                <w:szCs w:val="20"/>
              </w:rPr>
            </w:pPr>
            <w:r w:rsidRPr="00771262">
              <w:rPr>
                <w:color w:val="000000"/>
                <w:sz w:val="20"/>
                <w:szCs w:val="20"/>
              </w:rPr>
              <w:t xml:space="preserve">$0.00 </w:t>
            </w:r>
          </w:p>
        </w:tc>
        <w:tc>
          <w:tcPr>
            <w:tcW w:w="1104" w:type="dxa"/>
            <w:tcBorders>
              <w:top w:val="nil"/>
              <w:left w:val="nil"/>
              <w:bottom w:val="single" w:sz="8" w:space="0" w:color="auto"/>
              <w:right w:val="single" w:sz="8" w:space="0" w:color="auto"/>
            </w:tcBorders>
            <w:shd w:val="clear" w:color="auto" w:fill="auto"/>
            <w:vAlign w:val="center"/>
            <w:hideMark/>
          </w:tcPr>
          <w:p w:rsidR="00771262" w:rsidRPr="00771262" w:rsidP="00771262" w14:paraId="68A57F87" w14:textId="242FDEAB">
            <w:pPr>
              <w:widowControl/>
              <w:autoSpaceDE/>
              <w:autoSpaceDN/>
              <w:adjustRightInd/>
              <w:jc w:val="center"/>
              <w:rPr>
                <w:color w:val="000000"/>
                <w:sz w:val="20"/>
                <w:szCs w:val="20"/>
              </w:rPr>
            </w:pPr>
            <w:r>
              <w:rPr>
                <w:color w:val="000000"/>
                <w:sz w:val="20"/>
                <w:szCs w:val="20"/>
              </w:rPr>
              <w:t>$</w:t>
            </w:r>
            <w:r w:rsidRPr="00771262">
              <w:rPr>
                <w:color w:val="000000"/>
                <w:sz w:val="20"/>
                <w:szCs w:val="20"/>
              </w:rPr>
              <w:t>6,06</w:t>
            </w:r>
            <w:r>
              <w:rPr>
                <w:color w:val="000000"/>
                <w:sz w:val="20"/>
                <w:szCs w:val="20"/>
              </w:rPr>
              <w:t>1.50</w:t>
            </w:r>
          </w:p>
        </w:tc>
      </w:tr>
      <w:tr w14:paraId="53217BEB" w14:textId="77777777" w:rsidTr="00037ED3">
        <w:tblPrEx>
          <w:tblW w:w="9732" w:type="dxa"/>
          <w:tblLook w:val="04A0"/>
        </w:tblPrEx>
        <w:trPr>
          <w:trHeight w:val="302"/>
        </w:trPr>
        <w:tc>
          <w:tcPr>
            <w:tcW w:w="2395"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771262" w:rsidRPr="00771262" w:rsidP="00D138A4" w14:paraId="7B45CF18" w14:textId="77777777">
            <w:pPr>
              <w:widowControl/>
              <w:autoSpaceDE/>
              <w:autoSpaceDN/>
              <w:adjustRightInd/>
              <w:jc w:val="right"/>
              <w:rPr>
                <w:b/>
                <w:bCs/>
                <w:i/>
                <w:iCs/>
                <w:color w:val="000000"/>
                <w:sz w:val="20"/>
                <w:szCs w:val="20"/>
              </w:rPr>
            </w:pPr>
            <w:r w:rsidRPr="00771262">
              <w:rPr>
                <w:b/>
                <w:bCs/>
                <w:i/>
                <w:iCs/>
                <w:color w:val="000000"/>
                <w:sz w:val="20"/>
                <w:szCs w:val="20"/>
              </w:rPr>
              <w:t>Total (rounded)</w:t>
            </w:r>
          </w:p>
        </w:tc>
        <w:tc>
          <w:tcPr>
            <w:tcW w:w="1292" w:type="dxa"/>
            <w:tcBorders>
              <w:top w:val="single" w:sz="4" w:space="0" w:color="auto"/>
              <w:left w:val="nil"/>
              <w:bottom w:val="single" w:sz="8" w:space="0" w:color="auto"/>
              <w:right w:val="single" w:sz="4" w:space="0" w:color="auto"/>
            </w:tcBorders>
            <w:shd w:val="clear" w:color="auto" w:fill="auto"/>
            <w:noWrap/>
            <w:vAlign w:val="center"/>
            <w:hideMark/>
          </w:tcPr>
          <w:p w:rsidR="00771262" w:rsidRPr="00771262" w:rsidP="00771262" w14:paraId="4026CBEC" w14:textId="77777777">
            <w:pPr>
              <w:widowControl/>
              <w:autoSpaceDE/>
              <w:autoSpaceDN/>
              <w:adjustRightInd/>
              <w:jc w:val="center"/>
              <w:rPr>
                <w:b/>
                <w:bCs/>
                <w:i/>
                <w:iCs/>
                <w:color w:val="000000"/>
                <w:sz w:val="20"/>
                <w:szCs w:val="20"/>
              </w:rPr>
            </w:pPr>
            <w:r w:rsidRPr="00771262">
              <w:rPr>
                <w:b/>
                <w:bCs/>
                <w:i/>
                <w:iCs/>
                <w:color w:val="000000"/>
                <w:sz w:val="20"/>
                <w:szCs w:val="20"/>
              </w:rPr>
              <w:t>76</w:t>
            </w:r>
          </w:p>
        </w:tc>
        <w:tc>
          <w:tcPr>
            <w:tcW w:w="1215" w:type="dxa"/>
            <w:tcBorders>
              <w:top w:val="single" w:sz="4" w:space="0" w:color="auto"/>
              <w:left w:val="nil"/>
              <w:bottom w:val="single" w:sz="8" w:space="0" w:color="auto"/>
              <w:right w:val="single" w:sz="4" w:space="0" w:color="auto"/>
            </w:tcBorders>
            <w:shd w:val="clear" w:color="000000" w:fill="000000"/>
            <w:noWrap/>
            <w:vAlign w:val="center"/>
            <w:hideMark/>
          </w:tcPr>
          <w:p w:rsidR="00771262" w:rsidRPr="00771262" w:rsidP="00771262" w14:paraId="2B69EE7C" w14:textId="77777777">
            <w:pPr>
              <w:widowControl/>
              <w:autoSpaceDE/>
              <w:autoSpaceDN/>
              <w:adjustRightInd/>
              <w:jc w:val="center"/>
              <w:rPr>
                <w:i/>
                <w:iCs/>
                <w:color w:val="000000"/>
                <w:sz w:val="20"/>
                <w:szCs w:val="20"/>
              </w:rPr>
            </w:pPr>
            <w:r w:rsidRPr="00771262">
              <w:rPr>
                <w:i/>
                <w:iCs/>
                <w:color w:val="000000"/>
                <w:sz w:val="20"/>
                <w:szCs w:val="20"/>
              </w:rPr>
              <w:t> </w:t>
            </w:r>
          </w:p>
        </w:tc>
        <w:tc>
          <w:tcPr>
            <w:tcW w:w="1082" w:type="dxa"/>
            <w:tcBorders>
              <w:top w:val="single" w:sz="4" w:space="0" w:color="auto"/>
              <w:left w:val="nil"/>
              <w:bottom w:val="single" w:sz="8" w:space="0" w:color="auto"/>
              <w:right w:val="single" w:sz="4" w:space="0" w:color="auto"/>
            </w:tcBorders>
            <w:shd w:val="clear" w:color="auto" w:fill="auto"/>
            <w:noWrap/>
            <w:vAlign w:val="center"/>
            <w:hideMark/>
          </w:tcPr>
          <w:p w:rsidR="00771262" w:rsidRPr="00771262" w:rsidP="00771262" w14:paraId="19EEC50B" w14:textId="77777777">
            <w:pPr>
              <w:widowControl/>
              <w:autoSpaceDE/>
              <w:autoSpaceDN/>
              <w:adjustRightInd/>
              <w:jc w:val="center"/>
              <w:rPr>
                <w:b/>
                <w:bCs/>
                <w:i/>
                <w:iCs/>
                <w:color w:val="000000"/>
                <w:sz w:val="20"/>
                <w:szCs w:val="20"/>
              </w:rPr>
            </w:pPr>
            <w:r w:rsidRPr="00771262">
              <w:rPr>
                <w:b/>
                <w:bCs/>
                <w:i/>
                <w:iCs/>
                <w:color w:val="000000"/>
                <w:sz w:val="20"/>
                <w:szCs w:val="20"/>
              </w:rPr>
              <w:t>380</w:t>
            </w:r>
          </w:p>
        </w:tc>
        <w:tc>
          <w:tcPr>
            <w:tcW w:w="917" w:type="dxa"/>
            <w:tcBorders>
              <w:top w:val="single" w:sz="4" w:space="0" w:color="auto"/>
              <w:left w:val="nil"/>
              <w:bottom w:val="single" w:sz="8" w:space="0" w:color="auto"/>
              <w:right w:val="single" w:sz="4" w:space="0" w:color="auto"/>
            </w:tcBorders>
            <w:shd w:val="clear" w:color="000000" w:fill="000000"/>
            <w:noWrap/>
            <w:vAlign w:val="center"/>
            <w:hideMark/>
          </w:tcPr>
          <w:p w:rsidR="00771262" w:rsidRPr="00771262" w:rsidP="00771262" w14:paraId="780A0119" w14:textId="77777777">
            <w:pPr>
              <w:widowControl/>
              <w:autoSpaceDE/>
              <w:autoSpaceDN/>
              <w:adjustRightInd/>
              <w:jc w:val="center"/>
              <w:rPr>
                <w:i/>
                <w:iCs/>
                <w:color w:val="000000"/>
                <w:sz w:val="20"/>
                <w:szCs w:val="20"/>
              </w:rPr>
            </w:pPr>
            <w:r w:rsidRPr="00771262">
              <w:rPr>
                <w:i/>
                <w:iCs/>
                <w:color w:val="000000"/>
                <w:sz w:val="20"/>
                <w:szCs w:val="20"/>
              </w:rPr>
              <w:t>0</w:t>
            </w:r>
          </w:p>
        </w:tc>
        <w:tc>
          <w:tcPr>
            <w:tcW w:w="874" w:type="dxa"/>
            <w:tcBorders>
              <w:top w:val="single" w:sz="4" w:space="0" w:color="auto"/>
              <w:left w:val="nil"/>
              <w:bottom w:val="single" w:sz="8" w:space="0" w:color="auto"/>
              <w:right w:val="single" w:sz="4" w:space="0" w:color="auto"/>
            </w:tcBorders>
            <w:shd w:val="clear" w:color="auto" w:fill="auto"/>
            <w:noWrap/>
            <w:vAlign w:val="center"/>
            <w:hideMark/>
          </w:tcPr>
          <w:p w:rsidR="00771262" w:rsidRPr="00771262" w:rsidP="00771262" w14:paraId="32D90E93" w14:textId="77777777">
            <w:pPr>
              <w:widowControl/>
              <w:autoSpaceDE/>
              <w:autoSpaceDN/>
              <w:adjustRightInd/>
              <w:jc w:val="center"/>
              <w:rPr>
                <w:b/>
                <w:bCs/>
                <w:i/>
                <w:iCs/>
                <w:color w:val="000000"/>
                <w:sz w:val="20"/>
                <w:szCs w:val="20"/>
              </w:rPr>
            </w:pPr>
            <w:r w:rsidRPr="00771262">
              <w:rPr>
                <w:b/>
                <w:bCs/>
                <w:i/>
                <w:iCs/>
                <w:color w:val="000000"/>
                <w:sz w:val="20"/>
                <w:szCs w:val="20"/>
              </w:rPr>
              <w:t>850</w:t>
            </w:r>
          </w:p>
        </w:tc>
        <w:tc>
          <w:tcPr>
            <w:tcW w:w="853" w:type="dxa"/>
            <w:tcBorders>
              <w:top w:val="single" w:sz="4" w:space="0" w:color="auto"/>
              <w:left w:val="nil"/>
              <w:bottom w:val="single" w:sz="8" w:space="0" w:color="auto"/>
              <w:right w:val="single" w:sz="4" w:space="0" w:color="auto"/>
            </w:tcBorders>
            <w:shd w:val="clear" w:color="000000" w:fill="000000"/>
            <w:noWrap/>
            <w:vAlign w:val="center"/>
            <w:hideMark/>
          </w:tcPr>
          <w:p w:rsidR="00771262" w:rsidRPr="00771262" w:rsidP="00771262" w14:paraId="4C10E5DC" w14:textId="77777777">
            <w:pPr>
              <w:widowControl/>
              <w:autoSpaceDE/>
              <w:autoSpaceDN/>
              <w:adjustRightInd/>
              <w:jc w:val="center"/>
              <w:rPr>
                <w:i/>
                <w:iCs/>
                <w:color w:val="000000"/>
                <w:sz w:val="20"/>
                <w:szCs w:val="20"/>
              </w:rPr>
            </w:pPr>
            <w:r w:rsidRPr="00771262">
              <w:rPr>
                <w:i/>
                <w:iCs/>
                <w:color w:val="000000"/>
                <w:sz w:val="20"/>
                <w:szCs w:val="20"/>
              </w:rPr>
              <w:t xml:space="preserve">$0.00 </w:t>
            </w:r>
          </w:p>
        </w:tc>
        <w:tc>
          <w:tcPr>
            <w:tcW w:w="1104" w:type="dxa"/>
            <w:tcBorders>
              <w:top w:val="single" w:sz="4" w:space="0" w:color="auto"/>
              <w:left w:val="nil"/>
              <w:bottom w:val="single" w:sz="8" w:space="0" w:color="auto"/>
              <w:right w:val="single" w:sz="8" w:space="0" w:color="auto"/>
            </w:tcBorders>
            <w:shd w:val="clear" w:color="auto" w:fill="auto"/>
            <w:noWrap/>
            <w:vAlign w:val="center"/>
            <w:hideMark/>
          </w:tcPr>
          <w:p w:rsidR="00771262" w:rsidRPr="00771262" w:rsidP="00771262" w14:paraId="3F4EF533" w14:textId="77777777">
            <w:pPr>
              <w:widowControl/>
              <w:autoSpaceDE/>
              <w:autoSpaceDN/>
              <w:adjustRightInd/>
              <w:jc w:val="center"/>
              <w:rPr>
                <w:b/>
                <w:bCs/>
                <w:i/>
                <w:iCs/>
                <w:color w:val="000000"/>
                <w:sz w:val="20"/>
                <w:szCs w:val="20"/>
              </w:rPr>
            </w:pPr>
            <w:r w:rsidRPr="00771262">
              <w:rPr>
                <w:b/>
                <w:bCs/>
                <w:i/>
                <w:iCs/>
                <w:color w:val="000000"/>
                <w:sz w:val="20"/>
                <w:szCs w:val="20"/>
              </w:rPr>
              <w:t xml:space="preserve">$34,349 </w:t>
            </w:r>
          </w:p>
        </w:tc>
      </w:tr>
    </w:tbl>
    <w:p w:rsidR="00771262" w:rsidP="00B726B3" w14:paraId="1C225E35" w14:textId="77777777">
      <w:pPr>
        <w:rPr>
          <w:b/>
          <w:color w:val="000000"/>
          <w:sz w:val="22"/>
          <w:szCs w:val="22"/>
        </w:rPr>
      </w:pPr>
    </w:p>
    <w:p w:rsidR="00B726B3" w:rsidRPr="00BD1057" w:rsidP="00BD1057" w14:paraId="532A037B" w14:textId="77777777">
      <w:pPr>
        <w:rPr>
          <w:b/>
          <w:color w:val="000000"/>
          <w:sz w:val="22"/>
          <w:szCs w:val="22"/>
        </w:rPr>
      </w:pPr>
    </w:p>
    <w:p w:rsidR="00CE7E93" w:rsidRPr="00CE7E93" w:rsidP="00F065E8" w14:paraId="41755607" w14:textId="77777777">
      <w:pPr>
        <w:widowControl/>
        <w:tabs>
          <w:tab w:val="left" w:pos="0"/>
        </w:tabs>
        <w:ind w:hanging="360"/>
        <w:rPr>
          <w:b/>
          <w:bCs/>
          <w:color w:val="000000"/>
        </w:rPr>
      </w:pPr>
      <w:r>
        <w:rPr>
          <w:b/>
          <w:bCs/>
          <w:color w:val="000000"/>
        </w:rPr>
        <w:tab/>
      </w:r>
      <w:r w:rsidRPr="00B77579" w:rsidR="001E178D">
        <w:rPr>
          <w:b/>
          <w:bCs/>
          <w:color w:val="000000"/>
        </w:rPr>
        <w:t>13</w:t>
      </w:r>
      <w:r w:rsidRPr="00B77579" w:rsidR="008E49D0">
        <w:rPr>
          <w:b/>
          <w:bCs/>
          <w:color w:val="000000"/>
        </w:rPr>
        <w:t>.</w:t>
      </w:r>
      <w:r>
        <w:rPr>
          <w:b/>
          <w:bCs/>
          <w:color w:val="000000"/>
        </w:rPr>
        <w:t xml:space="preserve">  </w:t>
      </w:r>
      <w:r w:rsidRPr="00CE7E93">
        <w:rPr>
          <w:b/>
          <w:bCs/>
          <w:color w:val="000000"/>
        </w:rPr>
        <w:t>Provide an estimate of the total annual cost burden to respondents or recordkeepers resulting from the collection of information.  (Do not include the cost of any hour burden shown in Items 12 and 14).</w:t>
      </w:r>
    </w:p>
    <w:p w:rsidR="00CE7E93" w:rsidRPr="00CE7E93" w:rsidP="00CE7E93" w14:paraId="4D7217CB" w14:textId="77777777">
      <w:pPr>
        <w:widowControl/>
        <w:tabs>
          <w:tab w:val="left" w:pos="360"/>
        </w:tabs>
        <w:ind w:left="360" w:hanging="360"/>
        <w:rPr>
          <w:b/>
          <w:bCs/>
          <w:color w:val="000000"/>
        </w:rPr>
      </w:pPr>
    </w:p>
    <w:p w:rsidR="00CE7E93" w:rsidRPr="00CE7E93" w:rsidP="00CE7E93" w14:paraId="2D07AB00" w14:textId="77777777">
      <w:pPr>
        <w:widowControl/>
        <w:tabs>
          <w:tab w:val="left" w:pos="360"/>
        </w:tabs>
        <w:ind w:left="360" w:hanging="360"/>
        <w:rPr>
          <w:b/>
          <w:bCs/>
          <w:color w:val="000000"/>
        </w:rPr>
      </w:pPr>
      <w:r w:rsidRPr="00CE7E93">
        <w:rPr>
          <w:b/>
          <w:bCs/>
          <w:color w:val="000000"/>
        </w:rPr>
        <w:t>•</w:t>
      </w:r>
      <w:r w:rsidRPr="00CE7E93">
        <w:rPr>
          <w:b/>
          <w:bCs/>
          <w:color w:val="000000"/>
        </w:rPr>
        <w:tab/>
        <w:t>The cost estimate should be split into two components:  (a) a total capital</w:t>
      </w:r>
    </w:p>
    <w:p w:rsidR="00CE7E93" w:rsidRPr="00CE7E93" w:rsidP="00CE7E93" w14:paraId="1A37FA31" w14:textId="77777777">
      <w:pPr>
        <w:widowControl/>
        <w:tabs>
          <w:tab w:val="left" w:pos="360"/>
        </w:tabs>
        <w:ind w:left="360" w:hanging="360"/>
        <w:rPr>
          <w:b/>
          <w:bCs/>
          <w:color w:val="000000"/>
        </w:rPr>
      </w:pPr>
      <w:r>
        <w:rPr>
          <w:b/>
          <w:bCs/>
          <w:color w:val="000000"/>
        </w:rPr>
        <w:tab/>
      </w:r>
      <w:r w:rsidRPr="00CE7E93">
        <w:rPr>
          <w:b/>
          <w:bCs/>
          <w:color w:val="000000"/>
        </w:rPr>
        <w:t xml:space="preserve">and </w:t>
      </w:r>
      <w:r w:rsidRPr="00CE7E93">
        <w:rPr>
          <w:b/>
          <w:bCs/>
          <w:color w:val="000000"/>
        </w:rPr>
        <w:t>start up</w:t>
      </w:r>
      <w:r w:rsidRPr="00CE7E93">
        <w:rPr>
          <w:b/>
          <w:bCs/>
          <w:color w:val="000000"/>
        </w:rPr>
        <w:t xml:space="preserve"> cost component (annualized over its expected useful life); and (b) a</w:t>
      </w:r>
    </w:p>
    <w:p w:rsidR="00CE7E93" w:rsidRPr="00CE7E93" w:rsidP="00CE7E93" w14:paraId="7085DF72" w14:textId="7C1F8317">
      <w:pPr>
        <w:widowControl/>
        <w:tabs>
          <w:tab w:val="left" w:pos="360"/>
        </w:tabs>
        <w:ind w:left="360" w:hanging="360"/>
        <w:rPr>
          <w:b/>
          <w:bCs/>
          <w:color w:val="000000"/>
        </w:rPr>
      </w:pPr>
      <w:r>
        <w:rPr>
          <w:b/>
          <w:bCs/>
          <w:color w:val="000000"/>
        </w:rPr>
        <w:tab/>
      </w:r>
      <w:r w:rsidRPr="00CE7E93">
        <w:rPr>
          <w:b/>
          <w:bCs/>
          <w:color w:val="000000"/>
        </w:rPr>
        <w:t>total operation and maintenance and purchase of service component.  The estimates should take into account costs associated with generating, maintaining, and disclosing or providing the information.  Include descriptions of methods used to estimate major cost factors including sys</w:t>
      </w:r>
      <w:r>
        <w:rPr>
          <w:b/>
          <w:bCs/>
          <w:color w:val="000000"/>
        </w:rPr>
        <w:t xml:space="preserve">tem and technology acquisition, </w:t>
      </w:r>
      <w:r w:rsidRPr="00CE7E93">
        <w:rPr>
          <w:b/>
          <w:bCs/>
          <w:color w:val="000000"/>
        </w:rPr>
        <w:t>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E7E93" w:rsidRPr="00CE7E93" w:rsidP="00CE7E93" w14:paraId="5ADA1AB7" w14:textId="77777777">
      <w:pPr>
        <w:widowControl/>
        <w:tabs>
          <w:tab w:val="left" w:pos="360"/>
        </w:tabs>
        <w:ind w:left="360" w:hanging="360"/>
        <w:rPr>
          <w:b/>
          <w:bCs/>
          <w:color w:val="000000"/>
        </w:rPr>
      </w:pPr>
    </w:p>
    <w:p w:rsidR="00CE7E93" w:rsidRPr="00CE7E93" w:rsidP="00CE7E93" w14:paraId="7C3FB385" w14:textId="77777777">
      <w:pPr>
        <w:widowControl/>
        <w:tabs>
          <w:tab w:val="left" w:pos="360"/>
        </w:tabs>
        <w:ind w:left="360" w:hanging="360"/>
        <w:rPr>
          <w:b/>
          <w:bCs/>
          <w:color w:val="000000"/>
        </w:rPr>
      </w:pPr>
      <w:r w:rsidRPr="00CE7E93">
        <w:rPr>
          <w:b/>
          <w:bCs/>
          <w:color w:val="000000"/>
        </w:rPr>
        <w:t>•</w:t>
      </w:r>
      <w:r w:rsidRPr="00CE7E93">
        <w:rPr>
          <w:b/>
          <w:bCs/>
          <w:color w:val="000000"/>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E7E93" w:rsidRPr="00CE7E93" w:rsidP="00CE7E93" w14:paraId="32D6FBBD" w14:textId="77777777">
      <w:pPr>
        <w:widowControl/>
        <w:tabs>
          <w:tab w:val="left" w:pos="360"/>
        </w:tabs>
        <w:ind w:left="360" w:hanging="360"/>
        <w:rPr>
          <w:b/>
          <w:bCs/>
          <w:color w:val="000000"/>
        </w:rPr>
      </w:pPr>
    </w:p>
    <w:p w:rsidR="003C061D" w:rsidRPr="00B77579" w:rsidP="004A720B" w14:paraId="7C845667" w14:textId="77777777">
      <w:pPr>
        <w:widowControl/>
        <w:tabs>
          <w:tab w:val="left" w:pos="360"/>
        </w:tabs>
        <w:ind w:left="360" w:hanging="360"/>
        <w:rPr>
          <w:b/>
          <w:bCs/>
          <w:color w:val="000000"/>
        </w:rPr>
      </w:pPr>
      <w:r w:rsidRPr="00CE7E93">
        <w:rPr>
          <w:b/>
          <w:bCs/>
          <w:color w:val="000000"/>
        </w:rPr>
        <w:t>•</w:t>
      </w:r>
      <w:r w:rsidRPr="00CE7E93">
        <w:rPr>
          <w:b/>
          <w:bCs/>
          <w:color w:val="000000"/>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B77579">
        <w:rPr>
          <w:b/>
          <w:bCs/>
          <w:color w:val="000000"/>
        </w:rPr>
        <w:t xml:space="preserve"> </w:t>
      </w:r>
    </w:p>
    <w:p w:rsidR="003C061D" w:rsidRPr="00B77579" w:rsidP="00CC7F1A" w14:paraId="7BF397F6" w14:textId="77777777">
      <w:pPr>
        <w:widowControl/>
        <w:rPr>
          <w:color w:val="000000"/>
        </w:rPr>
      </w:pPr>
    </w:p>
    <w:p w:rsidR="003C061D" w:rsidP="00CC7F1A" w14:paraId="4B19C3F5" w14:textId="75195A5E">
      <w:pPr>
        <w:widowControl/>
        <w:rPr>
          <w:color w:val="000000"/>
        </w:rPr>
      </w:pPr>
      <w:r w:rsidRPr="00A23795">
        <w:rPr>
          <w:color w:val="000000"/>
        </w:rPr>
        <w:t xml:space="preserve">The Agency estimates that </w:t>
      </w:r>
      <w:r w:rsidR="00350ADA">
        <w:rPr>
          <w:color w:val="000000"/>
        </w:rPr>
        <w:t>10</w:t>
      </w:r>
      <w:r w:rsidRPr="00A23795">
        <w:rPr>
          <w:color w:val="000000"/>
        </w:rPr>
        <w:t>0</w:t>
      </w:r>
      <w:r w:rsidR="00E329FE">
        <w:rPr>
          <w:color w:val="000000"/>
        </w:rPr>
        <w:t xml:space="preserve"> percent</w:t>
      </w:r>
      <w:r w:rsidRPr="00A23795">
        <w:rPr>
          <w:color w:val="000000"/>
        </w:rPr>
        <w:t xml:space="preserve"> of the reports are sent electronically with no </w:t>
      </w:r>
      <w:r w:rsidRPr="00A23795" w:rsidR="00B1728F">
        <w:rPr>
          <w:color w:val="000000"/>
        </w:rPr>
        <w:t>additional</w:t>
      </w:r>
      <w:r w:rsidRPr="00A23795">
        <w:rPr>
          <w:color w:val="000000"/>
        </w:rPr>
        <w:t xml:space="preserve"> costs</w:t>
      </w:r>
      <w:r w:rsidRPr="00DF69F4" w:rsidR="00DF69F4">
        <w:t xml:space="preserve"> </w:t>
      </w:r>
      <w:r w:rsidRPr="00466919" w:rsidR="00DF69F4">
        <w:t>to the respondents</w:t>
      </w:r>
      <w:r w:rsidR="00350ADA">
        <w:rPr>
          <w:color w:val="000000"/>
        </w:rPr>
        <w:t xml:space="preserve">.  </w:t>
      </w:r>
    </w:p>
    <w:p w:rsidR="007E6EFF" w:rsidRPr="00B77579" w:rsidP="00CC7F1A" w14:paraId="5502CB81" w14:textId="77777777">
      <w:pPr>
        <w:widowControl/>
        <w:rPr>
          <w:color w:val="000000"/>
        </w:rPr>
      </w:pPr>
    </w:p>
    <w:p w:rsidR="003C061D" w:rsidRPr="00B77579" w:rsidP="004A720B" w14:paraId="530A00C2" w14:textId="77777777">
      <w:pPr>
        <w:widowControl/>
        <w:tabs>
          <w:tab w:val="left" w:pos="0"/>
          <w:tab w:val="left" w:pos="90"/>
        </w:tabs>
        <w:rPr>
          <w:color w:val="000000"/>
        </w:rPr>
      </w:pPr>
      <w:r w:rsidRPr="00B77579">
        <w:rPr>
          <w:b/>
          <w:bCs/>
          <w:color w:val="000000"/>
        </w:rPr>
        <w:t>14</w:t>
      </w:r>
      <w:r w:rsidRPr="00B77579" w:rsidR="00244E05">
        <w:rPr>
          <w:b/>
          <w:bCs/>
          <w:color w:val="000000"/>
        </w:rPr>
        <w:t xml:space="preserve">. </w:t>
      </w:r>
      <w:r w:rsidR="00CE7E93">
        <w:rPr>
          <w:b/>
          <w:bCs/>
          <w:color w:val="000000"/>
        </w:rPr>
        <w:t xml:space="preserve"> </w:t>
      </w:r>
      <w:r w:rsidRPr="00CE7E93" w:rsidR="00CE7E93">
        <w:rPr>
          <w:b/>
          <w:bCs/>
          <w:color w:val="000000"/>
        </w:rPr>
        <w:t>Provide estimates of the annualized cost to the Feder</w:t>
      </w:r>
      <w:r w:rsidR="00CE7E93">
        <w:rPr>
          <w:b/>
          <w:bCs/>
          <w:color w:val="000000"/>
        </w:rPr>
        <w:t>al Government.  Also, provide a d</w:t>
      </w:r>
      <w:r w:rsidRPr="00CE7E93" w:rsidR="00CE7E93">
        <w:rPr>
          <w:b/>
          <w:bCs/>
          <w:color w:val="000000"/>
        </w:rPr>
        <w:t>escription of the method used to estimate cost, which should include quantification of hours, operational expenses (such as equipment, overhead, printing, and support staff), any other expense that would not have been incurred without this collection of information.  Agencies also may aggregate cost estimates from Items 12, 13, and 14 into a single table.</w:t>
      </w:r>
      <w:r w:rsidRPr="00B77579" w:rsidR="00CE7E93">
        <w:rPr>
          <w:b/>
          <w:bCs/>
          <w:color w:val="000000"/>
        </w:rPr>
        <w:t xml:space="preserve"> </w:t>
      </w:r>
    </w:p>
    <w:p w:rsidR="003C061D" w:rsidRPr="00B77579" w:rsidP="00CC7F1A" w14:paraId="41CBEF2A" w14:textId="77777777">
      <w:pPr>
        <w:widowControl/>
        <w:rPr>
          <w:color w:val="000000"/>
        </w:rPr>
      </w:pPr>
    </w:p>
    <w:p w:rsidR="00DF69F4" w:rsidP="00DF69F4" w14:paraId="0043DED1" w14:textId="58AABDC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466919">
        <w:t xml:space="preserve">The cost to the federal government involves staff review and analysis </w:t>
      </w:r>
      <w:r>
        <w:t xml:space="preserve">of </w:t>
      </w:r>
      <w:r w:rsidRPr="00466919">
        <w:t xml:space="preserve">the </w:t>
      </w:r>
      <w:r>
        <w:t>performance information submitted by grantees</w:t>
      </w:r>
      <w:r w:rsidRPr="00466919">
        <w:t>.</w:t>
      </w:r>
    </w:p>
    <w:p w:rsidR="00DF69F4" w:rsidP="00DF69F4" w14:paraId="46C79DD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466919">
        <w:t xml:space="preserve"> </w:t>
      </w:r>
    </w:p>
    <w:p w:rsidR="00DF69F4" w:rsidRPr="00E22348" w:rsidP="00DF69F4" w14:paraId="72FF177F" w14:textId="6F44521B">
      <w:pPr>
        <w:spacing w:line="360" w:lineRule="auto"/>
        <w:rPr>
          <w:b/>
          <w:bCs/>
          <w:color w:val="000000"/>
          <w:sz w:val="22"/>
          <w:szCs w:val="22"/>
        </w:rPr>
      </w:pPr>
      <w:bookmarkStart w:id="24" w:name="_Hlk124322147"/>
      <w:r w:rsidRPr="00E22348">
        <w:rPr>
          <w:b/>
          <w:bCs/>
          <w:color w:val="000000"/>
          <w:sz w:val="22"/>
          <w:szCs w:val="22"/>
        </w:rPr>
        <w:t>Table 14-1</w:t>
      </w:r>
      <w:r w:rsidR="00FF1868">
        <w:rPr>
          <w:b/>
          <w:bCs/>
          <w:color w:val="000000"/>
          <w:sz w:val="22"/>
          <w:szCs w:val="22"/>
        </w:rPr>
        <w:t>.</w:t>
      </w:r>
      <w:r w:rsidRPr="00E22348">
        <w:rPr>
          <w:b/>
          <w:bCs/>
          <w:color w:val="000000"/>
          <w:sz w:val="22"/>
          <w:szCs w:val="22"/>
        </w:rPr>
        <w:t xml:space="preserve"> Federal Hourly Wage Rates</w:t>
      </w:r>
    </w:p>
    <w:tbl>
      <w:tblPr>
        <w:tblStyle w:val="TableGrid"/>
        <w:tblW w:w="8725" w:type="dxa"/>
        <w:tblLook w:val="04A0"/>
      </w:tblPr>
      <w:tblGrid>
        <w:gridCol w:w="3307"/>
        <w:gridCol w:w="1205"/>
        <w:gridCol w:w="1243"/>
        <w:gridCol w:w="1260"/>
        <w:gridCol w:w="1710"/>
      </w:tblGrid>
      <w:tr w14:paraId="0FDFC4BF" w14:textId="77777777" w:rsidTr="00840C66">
        <w:tblPrEx>
          <w:tblW w:w="8725" w:type="dxa"/>
          <w:tblLook w:val="04A0"/>
        </w:tblPrEx>
        <w:trPr>
          <w:trHeight w:val="246"/>
        </w:trPr>
        <w:tc>
          <w:tcPr>
            <w:tcW w:w="3307" w:type="dxa"/>
          </w:tcPr>
          <w:p w:rsidR="00DF69F4" w:rsidRPr="008F7DDE" w:rsidP="0018469C" w14:paraId="3F355BEC" w14:textId="77777777">
            <w:pPr>
              <w:jc w:val="center"/>
              <w:rPr>
                <w:rFonts w:ascii="Times New Roman" w:hAnsi="Times New Roman"/>
                <w:iCs/>
                <w:sz w:val="20"/>
              </w:rPr>
            </w:pPr>
          </w:p>
        </w:tc>
        <w:tc>
          <w:tcPr>
            <w:tcW w:w="1205" w:type="dxa"/>
          </w:tcPr>
          <w:p w:rsidR="00DF69F4" w:rsidRPr="008F7DDE" w:rsidP="0018469C" w14:paraId="7D143F14" w14:textId="77777777">
            <w:pPr>
              <w:jc w:val="center"/>
              <w:rPr>
                <w:rFonts w:ascii="Times New Roman" w:hAnsi="Times New Roman"/>
                <w:iCs/>
                <w:sz w:val="20"/>
              </w:rPr>
            </w:pPr>
          </w:p>
        </w:tc>
        <w:tc>
          <w:tcPr>
            <w:tcW w:w="1243" w:type="dxa"/>
          </w:tcPr>
          <w:p w:rsidR="00DF69F4" w:rsidRPr="008F7DDE" w:rsidP="0018469C" w14:paraId="0CC4D403" w14:textId="77777777">
            <w:pPr>
              <w:jc w:val="center"/>
              <w:rPr>
                <w:rFonts w:ascii="Times New Roman" w:hAnsi="Times New Roman"/>
                <w:iCs/>
                <w:sz w:val="20"/>
              </w:rPr>
            </w:pPr>
            <w:r w:rsidRPr="008F7DDE">
              <w:rPr>
                <w:rFonts w:ascii="Times New Roman" w:hAnsi="Times New Roman"/>
                <w:iCs/>
                <w:sz w:val="20"/>
              </w:rPr>
              <w:t>A</w:t>
            </w:r>
          </w:p>
        </w:tc>
        <w:tc>
          <w:tcPr>
            <w:tcW w:w="1260" w:type="dxa"/>
          </w:tcPr>
          <w:p w:rsidR="00DF69F4" w:rsidRPr="008F7DDE" w:rsidP="0018469C" w14:paraId="7606205F" w14:textId="77777777">
            <w:pPr>
              <w:jc w:val="center"/>
              <w:rPr>
                <w:rFonts w:ascii="Times New Roman" w:hAnsi="Times New Roman"/>
                <w:iCs/>
                <w:sz w:val="20"/>
              </w:rPr>
            </w:pPr>
            <w:r w:rsidRPr="008F7DDE">
              <w:rPr>
                <w:rFonts w:ascii="Times New Roman" w:hAnsi="Times New Roman"/>
                <w:iCs/>
                <w:sz w:val="20"/>
              </w:rPr>
              <w:t>B</w:t>
            </w:r>
          </w:p>
        </w:tc>
        <w:tc>
          <w:tcPr>
            <w:tcW w:w="1710" w:type="dxa"/>
          </w:tcPr>
          <w:p w:rsidR="00DF69F4" w:rsidRPr="008F7DDE" w:rsidP="0018469C" w14:paraId="6414DFEF" w14:textId="77777777">
            <w:pPr>
              <w:jc w:val="center"/>
              <w:rPr>
                <w:rFonts w:ascii="Times New Roman" w:hAnsi="Times New Roman"/>
                <w:iCs/>
                <w:sz w:val="20"/>
              </w:rPr>
            </w:pPr>
            <w:r>
              <w:rPr>
                <w:rFonts w:ascii="Times New Roman" w:hAnsi="Times New Roman"/>
                <w:iCs/>
                <w:sz w:val="20"/>
              </w:rPr>
              <w:t xml:space="preserve">= </w:t>
            </w:r>
            <w:r w:rsidRPr="008F7DDE">
              <w:rPr>
                <w:rFonts w:ascii="Times New Roman" w:hAnsi="Times New Roman"/>
                <w:iCs/>
                <w:sz w:val="20"/>
              </w:rPr>
              <w:t xml:space="preserve">A x B </w:t>
            </w:r>
          </w:p>
        </w:tc>
      </w:tr>
      <w:tr w14:paraId="3E391476" w14:textId="77777777" w:rsidTr="005A1364">
        <w:tblPrEx>
          <w:tblW w:w="8725" w:type="dxa"/>
          <w:tblLook w:val="04A0"/>
        </w:tblPrEx>
        <w:trPr>
          <w:trHeight w:val="478"/>
        </w:trPr>
        <w:tc>
          <w:tcPr>
            <w:tcW w:w="3307" w:type="dxa"/>
            <w:shd w:val="clear" w:color="auto" w:fill="B8CCE4" w:themeFill="accent1" w:themeFillTint="66"/>
          </w:tcPr>
          <w:p w:rsidR="00DF69F4" w:rsidRPr="008F7DDE" w:rsidP="0018469C" w14:paraId="168B7C9A" w14:textId="77777777">
            <w:pPr>
              <w:rPr>
                <w:rFonts w:ascii="Times New Roman" w:hAnsi="Times New Roman"/>
                <w:b/>
                <w:bCs/>
                <w:iCs/>
                <w:sz w:val="20"/>
              </w:rPr>
            </w:pPr>
            <w:r w:rsidRPr="008F7DDE">
              <w:rPr>
                <w:rFonts w:ascii="Times New Roman" w:hAnsi="Times New Roman"/>
                <w:b/>
                <w:bCs/>
                <w:iCs/>
                <w:sz w:val="20"/>
              </w:rPr>
              <w:t>Occupation</w:t>
            </w:r>
          </w:p>
        </w:tc>
        <w:tc>
          <w:tcPr>
            <w:tcW w:w="1205" w:type="dxa"/>
            <w:shd w:val="clear" w:color="auto" w:fill="B8CCE4" w:themeFill="accent1" w:themeFillTint="66"/>
          </w:tcPr>
          <w:p w:rsidR="00DF69F4" w:rsidRPr="008F7DDE" w:rsidP="0018469C" w14:paraId="0037CFAE" w14:textId="77777777">
            <w:pPr>
              <w:jc w:val="center"/>
              <w:rPr>
                <w:rFonts w:ascii="Times New Roman" w:hAnsi="Times New Roman"/>
                <w:b/>
                <w:bCs/>
                <w:iCs/>
                <w:sz w:val="20"/>
              </w:rPr>
            </w:pPr>
            <w:r>
              <w:rPr>
                <w:rFonts w:ascii="Times New Roman" w:hAnsi="Times New Roman"/>
                <w:b/>
                <w:bCs/>
                <w:iCs/>
                <w:sz w:val="20"/>
              </w:rPr>
              <w:t>Occupation</w:t>
            </w:r>
            <w:r w:rsidRPr="008F7DDE">
              <w:rPr>
                <w:rFonts w:ascii="Times New Roman" w:hAnsi="Times New Roman"/>
                <w:b/>
                <w:bCs/>
                <w:iCs/>
                <w:sz w:val="20"/>
              </w:rPr>
              <w:t xml:space="preserve"> Code</w:t>
            </w:r>
          </w:p>
        </w:tc>
        <w:tc>
          <w:tcPr>
            <w:tcW w:w="1243" w:type="dxa"/>
            <w:shd w:val="clear" w:color="auto" w:fill="B8CCE4" w:themeFill="accent1" w:themeFillTint="66"/>
          </w:tcPr>
          <w:p w:rsidR="00DF69F4" w:rsidRPr="008F7DDE" w:rsidP="0018469C" w14:paraId="7826EE5F" w14:textId="6171D430">
            <w:pPr>
              <w:jc w:val="center"/>
              <w:rPr>
                <w:rFonts w:ascii="Times New Roman" w:hAnsi="Times New Roman"/>
                <w:b/>
                <w:bCs/>
                <w:iCs/>
                <w:sz w:val="20"/>
              </w:rPr>
            </w:pPr>
            <w:r w:rsidRPr="008F7DDE">
              <w:rPr>
                <w:rFonts w:ascii="Times New Roman" w:hAnsi="Times New Roman"/>
                <w:b/>
                <w:bCs/>
                <w:iCs/>
                <w:sz w:val="20"/>
              </w:rPr>
              <w:t xml:space="preserve">Mean Wage Rate </w:t>
            </w:r>
          </w:p>
        </w:tc>
        <w:tc>
          <w:tcPr>
            <w:tcW w:w="1260" w:type="dxa"/>
            <w:shd w:val="clear" w:color="auto" w:fill="B8CCE4" w:themeFill="accent1" w:themeFillTint="66"/>
          </w:tcPr>
          <w:p w:rsidR="00DF69F4" w:rsidRPr="00833FE0" w:rsidP="0018469C" w14:paraId="08939A25" w14:textId="66E6212F">
            <w:pPr>
              <w:jc w:val="center"/>
              <w:rPr>
                <w:rFonts w:ascii="Times New Roman" w:hAnsi="Times New Roman"/>
                <w:b/>
                <w:bCs/>
                <w:iCs/>
                <w:sz w:val="20"/>
                <w:vertAlign w:val="superscript"/>
              </w:rPr>
            </w:pPr>
            <w:r w:rsidRPr="008F7DDE">
              <w:rPr>
                <w:rFonts w:ascii="Times New Roman" w:hAnsi="Times New Roman"/>
                <w:b/>
                <w:bCs/>
                <w:iCs/>
                <w:sz w:val="20"/>
              </w:rPr>
              <w:t xml:space="preserve">Benefit </w:t>
            </w:r>
            <w:r w:rsidRPr="00AB1ED7">
              <w:rPr>
                <w:rFonts w:ascii="Times New Roman" w:hAnsi="Times New Roman"/>
                <w:b/>
                <w:bCs/>
                <w:iCs/>
                <w:sz w:val="20"/>
              </w:rPr>
              <w:t xml:space="preserve">&amp; Overhead </w:t>
            </w:r>
            <w:r w:rsidRPr="008F7DDE">
              <w:rPr>
                <w:rFonts w:ascii="Times New Roman" w:hAnsi="Times New Roman"/>
                <w:b/>
                <w:bCs/>
                <w:iCs/>
                <w:sz w:val="20"/>
              </w:rPr>
              <w:t>Multiplier</w:t>
            </w:r>
          </w:p>
        </w:tc>
        <w:tc>
          <w:tcPr>
            <w:tcW w:w="1710" w:type="dxa"/>
            <w:shd w:val="clear" w:color="auto" w:fill="B8CCE4" w:themeFill="accent1" w:themeFillTint="66"/>
          </w:tcPr>
          <w:p w:rsidR="00DF69F4" w:rsidRPr="008F7DDE" w:rsidP="0018469C" w14:paraId="218D2109" w14:textId="77777777">
            <w:pPr>
              <w:jc w:val="center"/>
              <w:rPr>
                <w:rFonts w:ascii="Times New Roman" w:hAnsi="Times New Roman"/>
                <w:b/>
                <w:bCs/>
                <w:iCs/>
                <w:sz w:val="20"/>
              </w:rPr>
            </w:pPr>
            <w:r w:rsidRPr="008F7DDE">
              <w:rPr>
                <w:rFonts w:ascii="Times New Roman" w:hAnsi="Times New Roman"/>
                <w:b/>
                <w:bCs/>
                <w:iCs/>
                <w:sz w:val="20"/>
              </w:rPr>
              <w:t>Loaded Hourly Wage Rate</w:t>
            </w:r>
          </w:p>
        </w:tc>
      </w:tr>
      <w:tr w14:paraId="1C2841BB" w14:textId="77777777" w:rsidTr="00840C66">
        <w:tblPrEx>
          <w:tblW w:w="8725" w:type="dxa"/>
          <w:tblLook w:val="04A0"/>
        </w:tblPrEx>
        <w:trPr>
          <w:trHeight w:val="314"/>
        </w:trPr>
        <w:tc>
          <w:tcPr>
            <w:tcW w:w="3307" w:type="dxa"/>
          </w:tcPr>
          <w:p w:rsidR="00DF69F4" w:rsidRPr="00141C82" w:rsidP="0018469C" w14:paraId="2ED2C391" w14:textId="3A910AD5">
            <w:pPr>
              <w:rPr>
                <w:rFonts w:ascii="Times New Roman" w:hAnsi="Times New Roman"/>
                <w:iCs/>
                <w:sz w:val="20"/>
                <w:vertAlign w:val="superscript"/>
              </w:rPr>
            </w:pPr>
            <w:r>
              <w:rPr>
                <w:rFonts w:ascii="Times New Roman" w:hAnsi="Times New Roman"/>
                <w:iCs/>
                <w:sz w:val="20"/>
              </w:rPr>
              <w:t xml:space="preserve">GS-12 </w:t>
            </w:r>
            <w:bookmarkStart w:id="25" w:name="_Hlk129169383"/>
            <w:r>
              <w:rPr>
                <w:rFonts w:ascii="Times New Roman" w:hAnsi="Times New Roman"/>
                <w:iCs/>
                <w:sz w:val="20"/>
              </w:rPr>
              <w:t xml:space="preserve">Program Specialist, </w:t>
            </w:r>
            <w:bookmarkEnd w:id="25"/>
            <w:r>
              <w:rPr>
                <w:rFonts w:ascii="Times New Roman" w:hAnsi="Times New Roman"/>
                <w:iCs/>
                <w:sz w:val="20"/>
              </w:rPr>
              <w:t>Grant Management</w:t>
            </w:r>
            <w:r w:rsidR="009867EB">
              <w:rPr>
                <w:rFonts w:ascii="Times New Roman" w:hAnsi="Times New Roman"/>
                <w:iCs/>
                <w:sz w:val="20"/>
                <w:vertAlign w:val="superscript"/>
              </w:rPr>
              <w:t>*</w:t>
            </w:r>
          </w:p>
        </w:tc>
        <w:tc>
          <w:tcPr>
            <w:tcW w:w="1205" w:type="dxa"/>
            <w:vAlign w:val="center"/>
          </w:tcPr>
          <w:p w:rsidR="00DF69F4" w:rsidRPr="008F7DDE" w:rsidP="00856233" w14:paraId="66A55D34" w14:textId="77777777">
            <w:pPr>
              <w:jc w:val="center"/>
              <w:rPr>
                <w:rFonts w:ascii="Times New Roman" w:hAnsi="Times New Roman"/>
                <w:iCs/>
                <w:sz w:val="20"/>
              </w:rPr>
            </w:pPr>
            <w:r>
              <w:rPr>
                <w:rFonts w:ascii="Times New Roman" w:hAnsi="Times New Roman"/>
                <w:iCs/>
                <w:sz w:val="20"/>
              </w:rPr>
              <w:t>1109</w:t>
            </w:r>
          </w:p>
        </w:tc>
        <w:tc>
          <w:tcPr>
            <w:tcW w:w="1243" w:type="dxa"/>
            <w:vAlign w:val="center"/>
          </w:tcPr>
          <w:p w:rsidR="00DF69F4" w:rsidRPr="008F7DDE" w:rsidP="00856233" w14:paraId="70F57153" w14:textId="77777777">
            <w:pPr>
              <w:jc w:val="center"/>
              <w:rPr>
                <w:rFonts w:ascii="Times New Roman" w:hAnsi="Times New Roman"/>
                <w:iCs/>
                <w:sz w:val="20"/>
              </w:rPr>
            </w:pPr>
            <w:r w:rsidRPr="008F7DDE">
              <w:rPr>
                <w:rFonts w:ascii="Times New Roman" w:hAnsi="Times New Roman"/>
                <w:iCs/>
                <w:sz w:val="20"/>
              </w:rPr>
              <w:t>$</w:t>
            </w:r>
            <w:r>
              <w:rPr>
                <w:rFonts w:ascii="Times New Roman" w:hAnsi="Times New Roman"/>
                <w:iCs/>
                <w:sz w:val="20"/>
              </w:rPr>
              <w:t>42.50</w:t>
            </w:r>
          </w:p>
        </w:tc>
        <w:tc>
          <w:tcPr>
            <w:tcW w:w="1260" w:type="dxa"/>
            <w:vAlign w:val="center"/>
          </w:tcPr>
          <w:p w:rsidR="00DF69F4" w:rsidRPr="008F7DDE" w:rsidP="00856233" w14:paraId="13096A67" w14:textId="77777777">
            <w:pPr>
              <w:jc w:val="center"/>
              <w:rPr>
                <w:rFonts w:ascii="Times New Roman" w:hAnsi="Times New Roman"/>
                <w:iCs/>
                <w:sz w:val="20"/>
              </w:rPr>
            </w:pPr>
            <w:r w:rsidRPr="008F7DDE">
              <w:rPr>
                <w:rFonts w:ascii="Times New Roman" w:hAnsi="Times New Roman"/>
                <w:iCs/>
                <w:sz w:val="20"/>
              </w:rPr>
              <w:t>1.</w:t>
            </w:r>
            <w:r>
              <w:rPr>
                <w:rFonts w:ascii="Times New Roman" w:hAnsi="Times New Roman"/>
                <w:iCs/>
                <w:sz w:val="20"/>
              </w:rPr>
              <w:t>7</w:t>
            </w:r>
            <w:r w:rsidRPr="008F7DDE">
              <w:rPr>
                <w:rFonts w:ascii="Times New Roman" w:hAnsi="Times New Roman"/>
                <w:iCs/>
                <w:sz w:val="20"/>
              </w:rPr>
              <w:t>4</w:t>
            </w:r>
            <w:r>
              <w:rPr>
                <w:rFonts w:ascii="Times New Roman" w:hAnsi="Times New Roman"/>
                <w:iCs/>
                <w:sz w:val="20"/>
              </w:rPr>
              <w:t>0</w:t>
            </w:r>
          </w:p>
        </w:tc>
        <w:tc>
          <w:tcPr>
            <w:tcW w:w="1710" w:type="dxa"/>
            <w:vAlign w:val="center"/>
          </w:tcPr>
          <w:p w:rsidR="00DF69F4" w:rsidRPr="008F7DDE" w:rsidP="00856233" w14:paraId="6B439E99" w14:textId="77777777">
            <w:pPr>
              <w:jc w:val="center"/>
              <w:rPr>
                <w:rFonts w:ascii="Times New Roman" w:hAnsi="Times New Roman"/>
                <w:iCs/>
                <w:sz w:val="20"/>
              </w:rPr>
            </w:pPr>
            <w:r w:rsidRPr="008F7DDE">
              <w:rPr>
                <w:rFonts w:ascii="Times New Roman" w:hAnsi="Times New Roman"/>
                <w:iCs/>
                <w:sz w:val="20"/>
              </w:rPr>
              <w:t>$</w:t>
            </w:r>
            <w:r>
              <w:rPr>
                <w:rFonts w:ascii="Times New Roman" w:hAnsi="Times New Roman"/>
                <w:iCs/>
                <w:sz w:val="20"/>
              </w:rPr>
              <w:t>73.95</w:t>
            </w:r>
          </w:p>
        </w:tc>
      </w:tr>
    </w:tbl>
    <w:p w:rsidR="004C730B" w:rsidRPr="00CA40F9" w:rsidP="004C730B" w14:paraId="7F977936" w14:textId="7DF32821">
      <w:pPr>
        <w:pStyle w:val="Default"/>
        <w:widowControl/>
        <w:rPr>
          <w:color w:val="auto"/>
          <w:sz w:val="18"/>
          <w:szCs w:val="18"/>
        </w:rPr>
      </w:pPr>
      <w:bookmarkStart w:id="26" w:name="_Hlk137113382"/>
      <w:bookmarkEnd w:id="24"/>
      <w:r w:rsidRPr="00CA40F9">
        <w:rPr>
          <w:color w:val="auto"/>
          <w:sz w:val="18"/>
          <w:szCs w:val="18"/>
        </w:rPr>
        <w:t xml:space="preserve">Note: Hourly wage rates developed from Office of Personnel Management (OPM) </w:t>
      </w:r>
      <w:r>
        <w:rPr>
          <w:color w:val="auto"/>
          <w:sz w:val="18"/>
          <w:szCs w:val="18"/>
        </w:rPr>
        <w:t>October</w:t>
      </w:r>
      <w:r w:rsidRPr="00CA40F9">
        <w:rPr>
          <w:color w:val="auto"/>
          <w:sz w:val="18"/>
          <w:szCs w:val="18"/>
        </w:rPr>
        <w:t xml:space="preserve"> 2022 </w:t>
      </w:r>
      <w:r w:rsidRPr="00CA40F9">
        <w:rPr>
          <w:color w:val="auto"/>
          <w:sz w:val="18"/>
          <w:szCs w:val="18"/>
        </w:rPr>
        <w:t>FedScope</w:t>
      </w:r>
      <w:r w:rsidRPr="00CA40F9">
        <w:rPr>
          <w:color w:val="auto"/>
          <w:sz w:val="18"/>
          <w:szCs w:val="18"/>
        </w:rPr>
        <w:t xml:space="preserve"> Employment Cube, </w:t>
      </w:r>
      <w:hyperlink r:id="rId10" w:history="1">
        <w:r w:rsidRPr="00DC4088">
          <w:rPr>
            <w:rStyle w:val="Hyperlink"/>
            <w:sz w:val="18"/>
            <w:szCs w:val="18"/>
          </w:rPr>
          <w:t>http://www.fedscope.opm.gov/</w:t>
        </w:r>
      </w:hyperlink>
      <w:r w:rsidRPr="00CA40F9">
        <w:rPr>
          <w:color w:val="auto"/>
          <w:sz w:val="18"/>
          <w:szCs w:val="18"/>
        </w:rPr>
        <w:t xml:space="preserve">. Benefit and overhead multiplier </w:t>
      </w:r>
      <w:r>
        <w:rPr>
          <w:color w:val="auto"/>
          <w:sz w:val="18"/>
          <w:szCs w:val="18"/>
        </w:rPr>
        <w:t xml:space="preserve">of 1.74 is </w:t>
      </w:r>
      <w:r w:rsidRPr="00CA40F9">
        <w:rPr>
          <w:color w:val="auto"/>
          <w:sz w:val="18"/>
          <w:szCs w:val="18"/>
        </w:rPr>
        <w:t xml:space="preserve">recommended by the Congressional Budget Office, “Comparing the Compensation of Federal and Private-Sector Employees, 2011 to 2015,” April 25, 2017, </w:t>
      </w:r>
      <w:hyperlink r:id="rId11" w:history="1">
        <w:r w:rsidRPr="00DC4088">
          <w:rPr>
            <w:rStyle w:val="Hyperlink"/>
            <w:sz w:val="18"/>
            <w:szCs w:val="18"/>
          </w:rPr>
          <w:t>https://www.cbo.gov/publication/52637</w:t>
        </w:r>
      </w:hyperlink>
      <w:r w:rsidRPr="00CA40F9">
        <w:rPr>
          <w:color w:val="auto"/>
          <w:sz w:val="18"/>
          <w:szCs w:val="18"/>
        </w:rPr>
        <w:t xml:space="preserve">. </w:t>
      </w:r>
    </w:p>
    <w:bookmarkEnd w:id="26"/>
    <w:p w:rsidR="00DF69F4" w:rsidP="00DF69F4" w14:paraId="570CCAC8" w14:textId="4AB58A64">
      <w:pPr>
        <w:rPr>
          <w:color w:val="000000"/>
          <w:sz w:val="18"/>
          <w:szCs w:val="18"/>
        </w:rPr>
      </w:pPr>
      <w:r>
        <w:rPr>
          <w:color w:val="000000"/>
          <w:sz w:val="18"/>
          <w:szCs w:val="18"/>
        </w:rPr>
        <w:t>*</w:t>
      </w:r>
      <w:r w:rsidR="00856233">
        <w:rPr>
          <w:color w:val="000000"/>
          <w:sz w:val="18"/>
          <w:szCs w:val="18"/>
        </w:rPr>
        <w:t xml:space="preserve"> </w:t>
      </w:r>
      <w:r w:rsidRPr="009A5D1D" w:rsidR="00856233">
        <w:rPr>
          <w:color w:val="000000"/>
          <w:sz w:val="18"/>
          <w:szCs w:val="18"/>
        </w:rPr>
        <w:t xml:space="preserve">Data search qualifiers were: Agency = DLMS, Occupation = </w:t>
      </w:r>
      <w:r w:rsidR="00856233">
        <w:rPr>
          <w:color w:val="000000"/>
          <w:sz w:val="18"/>
          <w:szCs w:val="18"/>
        </w:rPr>
        <w:t>1109 (Grant Management</w:t>
      </w:r>
      <w:r w:rsidRPr="00753004" w:rsidR="00856233">
        <w:rPr>
          <w:color w:val="000000"/>
          <w:sz w:val="18"/>
          <w:szCs w:val="18"/>
        </w:rPr>
        <w:t xml:space="preserve"> Series</w:t>
      </w:r>
      <w:r w:rsidR="00856233">
        <w:rPr>
          <w:color w:val="000000"/>
          <w:sz w:val="18"/>
          <w:szCs w:val="18"/>
        </w:rPr>
        <w:t>),</w:t>
      </w:r>
      <w:r w:rsidRPr="009A5D1D" w:rsidR="00856233">
        <w:rPr>
          <w:color w:val="000000"/>
          <w:sz w:val="18"/>
          <w:szCs w:val="18"/>
        </w:rPr>
        <w:t xml:space="preserve"> Work Schedule = Full-Time, Salary Grade = GS-</w:t>
      </w:r>
      <w:r w:rsidR="00856233">
        <w:rPr>
          <w:color w:val="000000"/>
          <w:sz w:val="18"/>
          <w:szCs w:val="18"/>
        </w:rPr>
        <w:t>12</w:t>
      </w:r>
      <w:r w:rsidRPr="009A5D1D" w:rsidR="00856233">
        <w:rPr>
          <w:color w:val="000000"/>
          <w:sz w:val="18"/>
          <w:szCs w:val="18"/>
        </w:rPr>
        <w:t xml:space="preserve">, Measure = Average Salary. </w:t>
      </w:r>
      <w:r w:rsidR="004C730B">
        <w:rPr>
          <w:color w:val="000000"/>
          <w:sz w:val="18"/>
          <w:szCs w:val="18"/>
        </w:rPr>
        <w:t>The h</w:t>
      </w:r>
      <w:r w:rsidRPr="00CA40F9" w:rsidR="00936F54">
        <w:rPr>
          <w:sz w:val="18"/>
          <w:szCs w:val="18"/>
        </w:rPr>
        <w:t xml:space="preserve">ourly wage </w:t>
      </w:r>
      <w:r w:rsidRPr="004C730B" w:rsidR="004C730B">
        <w:rPr>
          <w:sz w:val="18"/>
          <w:szCs w:val="18"/>
        </w:rPr>
        <w:t xml:space="preserve">is the annual salary divided by 2,087.  In order to include the cost of benefits </w:t>
      </w:r>
      <w:bookmarkStart w:id="27" w:name="_Hlk137115682"/>
      <w:r w:rsidRPr="004C730B" w:rsidR="004C730B">
        <w:rPr>
          <w:sz w:val="18"/>
          <w:szCs w:val="18"/>
        </w:rPr>
        <w:t>and overhead</w:t>
      </w:r>
      <w:bookmarkEnd w:id="27"/>
      <w:r w:rsidRPr="004C730B" w:rsidR="004C730B">
        <w:rPr>
          <w:sz w:val="18"/>
          <w:szCs w:val="18"/>
        </w:rPr>
        <w:t xml:space="preserve">, MSHA multiplied the average annual salary by a federal benefit and overhead multiplier </w:t>
      </w:r>
      <w:r w:rsidRPr="004C730B" w:rsidR="00524C7D">
        <w:rPr>
          <w:sz w:val="18"/>
          <w:szCs w:val="18"/>
        </w:rPr>
        <w:t xml:space="preserve">of 1.740 </w:t>
      </w:r>
      <w:r w:rsidRPr="004C730B" w:rsidR="004C730B">
        <w:rPr>
          <w:sz w:val="18"/>
          <w:szCs w:val="18"/>
        </w:rPr>
        <w:t xml:space="preserve">(FY 2023 budget submission).  </w:t>
      </w:r>
      <w:bookmarkStart w:id="28" w:name="_Hlk137115728"/>
      <w:r w:rsidRPr="004C730B" w:rsidR="004C730B">
        <w:rPr>
          <w:sz w:val="18"/>
          <w:szCs w:val="18"/>
        </w:rPr>
        <w:t>Rate equals $73</w:t>
      </w:r>
      <w:r w:rsidR="00366470">
        <w:rPr>
          <w:sz w:val="18"/>
          <w:szCs w:val="18"/>
        </w:rPr>
        <w:t>.95</w:t>
      </w:r>
      <w:r w:rsidRPr="004C730B" w:rsidR="004C730B">
        <w:rPr>
          <w:sz w:val="18"/>
          <w:szCs w:val="18"/>
        </w:rPr>
        <w:t xml:space="preserve"> = ($</w:t>
      </w:r>
      <w:r w:rsidR="00366470">
        <w:rPr>
          <w:sz w:val="18"/>
          <w:szCs w:val="18"/>
        </w:rPr>
        <w:t>88,700</w:t>
      </w:r>
      <w:r w:rsidRPr="004C730B" w:rsidR="004C730B">
        <w:rPr>
          <w:sz w:val="18"/>
          <w:szCs w:val="18"/>
        </w:rPr>
        <w:t xml:space="preserve"> / 2,087 x 1.740).</w:t>
      </w:r>
      <w:bookmarkEnd w:id="28"/>
    </w:p>
    <w:p w:rsidR="00DF69F4" w:rsidP="00DF69F4" w14:paraId="20CC397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A400DF" w:rsidP="00DF69F4" w14:paraId="5E07188E" w14:textId="02D6E9B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bookmarkStart w:id="29" w:name="_Hlk124322162"/>
      <w:r>
        <w:t>MSHA estimates that it takes a Program Specialist, Grant Management, at</w:t>
      </w:r>
      <w:r w:rsidRPr="00C7582E">
        <w:t xml:space="preserve"> </w:t>
      </w:r>
      <w:r>
        <w:t xml:space="preserve">an </w:t>
      </w:r>
      <w:r w:rsidRPr="001A5F90">
        <w:t xml:space="preserve">average grade of </w:t>
      </w:r>
      <w:bookmarkEnd w:id="29"/>
      <w:r>
        <w:t xml:space="preserve">GS-12 and earning </w:t>
      </w:r>
      <w:bookmarkStart w:id="30" w:name="_Hlk124322610"/>
      <w:r>
        <w:t>$73.95 per hour</w:t>
      </w:r>
      <w:r w:rsidRPr="00466919">
        <w:t>,</w:t>
      </w:r>
      <w:r>
        <w:t xml:space="preserve"> </w:t>
      </w:r>
      <w:bookmarkEnd w:id="30"/>
      <w:r w:rsidRPr="00466919">
        <w:t xml:space="preserve">an average of </w:t>
      </w:r>
      <w:r>
        <w:t>0.</w:t>
      </w:r>
      <w:r w:rsidR="00F028BB">
        <w:t>5</w:t>
      </w:r>
      <w:r w:rsidRPr="00466919">
        <w:t xml:space="preserve"> hours per grantee to review the </w:t>
      </w:r>
      <w:r>
        <w:t>quarterly financial</w:t>
      </w:r>
      <w:r>
        <w:t xml:space="preserve">, </w:t>
      </w:r>
      <w:r>
        <w:t>performance reports</w:t>
      </w:r>
      <w:r>
        <w:t>, and MSHA 5000-50 forms</w:t>
      </w:r>
      <w:r>
        <w:t xml:space="preserve">. </w:t>
      </w:r>
      <w:r>
        <w:t>Additionally, review of the final report takes 0.5 hours per grantee.</w:t>
      </w:r>
    </w:p>
    <w:p w:rsidR="00A400DF" w:rsidP="00DF69F4" w14:paraId="6777D07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DF69F4" w:rsidP="00DF69F4" w14:paraId="55C47546" w14:textId="7051B89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t xml:space="preserve">The </w:t>
      </w:r>
      <w:r w:rsidR="00D1442E">
        <w:t>56 State</w:t>
      </w:r>
      <w:r>
        <w:t xml:space="preserve"> grantees </w:t>
      </w:r>
      <w:r w:rsidR="00D1442E">
        <w:t xml:space="preserve">and 20 </w:t>
      </w:r>
      <w:r w:rsidR="00DF7824">
        <w:t>Brookwood-Sago Mine Safety Grant</w:t>
      </w:r>
      <w:r w:rsidR="00D1442E">
        <w:t xml:space="preserve">ees </w:t>
      </w:r>
      <w:r>
        <w:t xml:space="preserve">submitting responses would thus produce a total annual burden of </w:t>
      </w:r>
      <w:r w:rsidR="005B4CED">
        <w:t>19</w:t>
      </w:r>
      <w:r w:rsidRPr="00F15A74">
        <w:t>0 hours at a total burden cost of $</w:t>
      </w:r>
      <w:r w:rsidRPr="004841B9" w:rsidR="00F15A74">
        <w:t>1</w:t>
      </w:r>
      <w:r w:rsidR="005B4CED">
        <w:t>4</w:t>
      </w:r>
      <w:r w:rsidRPr="00F15A74">
        <w:t>,</w:t>
      </w:r>
      <w:r w:rsidR="005B4CED">
        <w:t>051</w:t>
      </w:r>
      <w:r w:rsidRPr="00F15A74">
        <w:t xml:space="preserve"> for</w:t>
      </w:r>
      <w:r>
        <w:t xml:space="preserve"> the Federal Government. </w:t>
      </w:r>
      <w:r w:rsidRPr="00466919">
        <w:t xml:space="preserve"> </w:t>
      </w:r>
    </w:p>
    <w:p w:rsidR="00DF69F4" w:rsidP="00DF69F4" w14:paraId="6CD3D45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DF69F4" w:rsidRPr="00D22375" w:rsidP="00DF69F4" w14:paraId="15872777" w14:textId="276BD7D8">
      <w:pPr>
        <w:spacing w:after="120"/>
        <w:rPr>
          <w:b/>
          <w:color w:val="000000"/>
          <w:sz w:val="22"/>
          <w:szCs w:val="22"/>
        </w:rPr>
      </w:pPr>
      <w:bookmarkStart w:id="31" w:name="_Hlk124322882"/>
      <w:r>
        <w:rPr>
          <w:b/>
          <w:color w:val="000000"/>
          <w:sz w:val="22"/>
          <w:szCs w:val="22"/>
        </w:rPr>
        <w:t>Table 14-2</w:t>
      </w:r>
      <w:r w:rsidR="00FF1868">
        <w:rPr>
          <w:b/>
          <w:color w:val="000000"/>
          <w:sz w:val="22"/>
          <w:szCs w:val="22"/>
        </w:rPr>
        <w:t>.</w:t>
      </w:r>
      <w:r>
        <w:rPr>
          <w:b/>
          <w:color w:val="000000"/>
          <w:sz w:val="22"/>
          <w:szCs w:val="22"/>
        </w:rPr>
        <w:t xml:space="preserve"> Estimated Federal Hour and Cost Burden, </w:t>
      </w:r>
      <w:r w:rsidR="00DF7824">
        <w:rPr>
          <w:b/>
          <w:color w:val="000000"/>
          <w:sz w:val="22"/>
          <w:szCs w:val="22"/>
        </w:rPr>
        <w:t>Brookwood-Sago Mine Safety Grant</w:t>
      </w:r>
    </w:p>
    <w:tbl>
      <w:tblPr>
        <w:tblStyle w:val="TableGrid"/>
        <w:tblW w:w="8551" w:type="dxa"/>
        <w:tblInd w:w="85" w:type="dxa"/>
        <w:tblLayout w:type="fixed"/>
        <w:tblLook w:val="04A0"/>
      </w:tblPr>
      <w:tblGrid>
        <w:gridCol w:w="3060"/>
        <w:gridCol w:w="1170"/>
        <w:gridCol w:w="1251"/>
        <w:gridCol w:w="971"/>
        <w:gridCol w:w="873"/>
        <w:gridCol w:w="1226"/>
      </w:tblGrid>
      <w:tr w14:paraId="677C3D9D" w14:textId="77777777" w:rsidTr="005A1364">
        <w:tblPrEx>
          <w:tblW w:w="8551" w:type="dxa"/>
          <w:tblInd w:w="85" w:type="dxa"/>
          <w:tblLayout w:type="fixed"/>
          <w:tblLook w:val="04A0"/>
        </w:tblPrEx>
        <w:trPr>
          <w:trHeight w:val="316"/>
        </w:trPr>
        <w:tc>
          <w:tcPr>
            <w:tcW w:w="3060" w:type="dxa"/>
            <w:shd w:val="clear" w:color="auto" w:fill="B8CCE4" w:themeFill="accent1" w:themeFillTint="66"/>
            <w:hideMark/>
          </w:tcPr>
          <w:p w:rsidR="00DF69F4" w:rsidRPr="00FB13E4" w:rsidP="0018469C" w14:paraId="7D01C9E2" w14:textId="77777777">
            <w:pPr>
              <w:widowControl/>
              <w:autoSpaceDE/>
              <w:autoSpaceDN/>
              <w:adjustRightInd/>
              <w:rPr>
                <w:rFonts w:ascii="Times New Roman" w:eastAsia="Calibri" w:hAnsi="Times New Roman" w:cs="Times New Roman"/>
                <w:b/>
                <w:bCs/>
                <w:sz w:val="20"/>
                <w:szCs w:val="20"/>
              </w:rPr>
            </w:pPr>
            <w:bookmarkStart w:id="32" w:name="_Hlk115692850"/>
            <w:r w:rsidRPr="00FB13E4">
              <w:rPr>
                <w:rFonts w:ascii="Times New Roman" w:eastAsia="Calibri" w:hAnsi="Times New Roman" w:cs="Times New Roman"/>
                <w:b/>
                <w:bCs/>
                <w:sz w:val="20"/>
                <w:szCs w:val="20"/>
              </w:rPr>
              <w:t>Occupation</w:t>
            </w:r>
          </w:p>
        </w:tc>
        <w:tc>
          <w:tcPr>
            <w:tcW w:w="1170" w:type="dxa"/>
            <w:shd w:val="clear" w:color="auto" w:fill="B8CCE4" w:themeFill="accent1" w:themeFillTint="66"/>
            <w:hideMark/>
          </w:tcPr>
          <w:p w:rsidR="00DF69F4" w:rsidRPr="00FB13E4" w:rsidP="0018469C" w14:paraId="48AAD225" w14:textId="13C8DDDD">
            <w:pPr>
              <w:widowControl/>
              <w:autoSpaceDE/>
              <w:autoSpaceDN/>
              <w:adjustRightInd/>
              <w:jc w:val="center"/>
              <w:rPr>
                <w:rFonts w:ascii="Times New Roman" w:eastAsia="Calibri" w:hAnsi="Times New Roman" w:cs="Times New Roman"/>
                <w:b/>
                <w:bCs/>
                <w:sz w:val="20"/>
                <w:szCs w:val="20"/>
              </w:rPr>
            </w:pPr>
            <w:r w:rsidRPr="00FB13E4">
              <w:rPr>
                <w:rFonts w:ascii="Times New Roman" w:eastAsia="Calibri" w:hAnsi="Times New Roman" w:cs="Times New Roman"/>
                <w:b/>
                <w:bCs/>
                <w:sz w:val="20"/>
                <w:szCs w:val="20"/>
              </w:rPr>
              <w:t xml:space="preserve">Reports </w:t>
            </w:r>
            <w:r w:rsidRPr="00FB13E4">
              <w:rPr>
                <w:rFonts w:ascii="Times New Roman" w:eastAsia="Calibri" w:hAnsi="Times New Roman" w:cs="Times New Roman"/>
                <w:b/>
                <w:bCs/>
                <w:sz w:val="20"/>
                <w:szCs w:val="20"/>
              </w:rPr>
              <w:t>Reviewed</w:t>
            </w:r>
          </w:p>
        </w:tc>
        <w:tc>
          <w:tcPr>
            <w:tcW w:w="1251" w:type="dxa"/>
            <w:shd w:val="clear" w:color="auto" w:fill="B8CCE4" w:themeFill="accent1" w:themeFillTint="66"/>
          </w:tcPr>
          <w:p w:rsidR="00DF69F4" w:rsidRPr="00FB13E4" w:rsidP="0018469C" w14:paraId="5C4CB6C6" w14:textId="46661F2A">
            <w:pPr>
              <w:widowControl/>
              <w:autoSpaceDE/>
              <w:autoSpaceDN/>
              <w:adjustRightInd/>
              <w:jc w:val="center"/>
              <w:rPr>
                <w:rFonts w:ascii="Times New Roman" w:eastAsia="Calibri" w:hAnsi="Times New Roman" w:cs="Times New Roman"/>
                <w:b/>
                <w:bCs/>
                <w:sz w:val="20"/>
                <w:szCs w:val="20"/>
              </w:rPr>
            </w:pPr>
            <w:r w:rsidRPr="00FB13E4">
              <w:rPr>
                <w:rFonts w:ascii="Times New Roman" w:eastAsia="Calibri" w:hAnsi="Times New Roman" w:cs="Times New Roman"/>
                <w:b/>
                <w:bCs/>
                <w:sz w:val="20"/>
                <w:szCs w:val="20"/>
              </w:rPr>
              <w:t xml:space="preserve">Burden per </w:t>
            </w:r>
            <w:r w:rsidRPr="00FB13E4" w:rsidR="000A42D5">
              <w:rPr>
                <w:rFonts w:ascii="Times New Roman" w:eastAsia="Calibri" w:hAnsi="Times New Roman" w:cs="Times New Roman"/>
                <w:b/>
                <w:bCs/>
                <w:sz w:val="20"/>
                <w:szCs w:val="20"/>
              </w:rPr>
              <w:t xml:space="preserve">Report </w:t>
            </w:r>
            <w:r w:rsidRPr="00FB13E4">
              <w:rPr>
                <w:rFonts w:ascii="Times New Roman" w:eastAsia="Calibri" w:hAnsi="Times New Roman" w:cs="Times New Roman"/>
                <w:b/>
                <w:bCs/>
                <w:sz w:val="20"/>
                <w:szCs w:val="20"/>
              </w:rPr>
              <w:t>(Minutes)</w:t>
            </w:r>
          </w:p>
        </w:tc>
        <w:tc>
          <w:tcPr>
            <w:tcW w:w="971" w:type="dxa"/>
            <w:shd w:val="clear" w:color="auto" w:fill="B8CCE4" w:themeFill="accent1" w:themeFillTint="66"/>
            <w:hideMark/>
          </w:tcPr>
          <w:p w:rsidR="00DF69F4" w:rsidRPr="00FB13E4" w:rsidP="0018469C" w14:paraId="060CA1E6" w14:textId="77777777">
            <w:pPr>
              <w:widowControl/>
              <w:autoSpaceDE/>
              <w:autoSpaceDN/>
              <w:adjustRightInd/>
              <w:jc w:val="center"/>
              <w:rPr>
                <w:rFonts w:ascii="Times New Roman" w:eastAsia="Calibri" w:hAnsi="Times New Roman" w:cs="Times New Roman"/>
                <w:b/>
                <w:bCs/>
                <w:sz w:val="20"/>
                <w:szCs w:val="20"/>
              </w:rPr>
            </w:pPr>
            <w:r w:rsidRPr="00FB13E4">
              <w:rPr>
                <w:rFonts w:ascii="Times New Roman" w:eastAsia="Calibri" w:hAnsi="Times New Roman" w:cs="Times New Roman"/>
                <w:b/>
                <w:bCs/>
                <w:sz w:val="20"/>
                <w:szCs w:val="20"/>
              </w:rPr>
              <w:t>Annual Burden (Hours)</w:t>
            </w:r>
          </w:p>
        </w:tc>
        <w:tc>
          <w:tcPr>
            <w:tcW w:w="873" w:type="dxa"/>
            <w:shd w:val="clear" w:color="auto" w:fill="B8CCE4" w:themeFill="accent1" w:themeFillTint="66"/>
            <w:hideMark/>
          </w:tcPr>
          <w:p w:rsidR="00DF69F4" w:rsidRPr="00FB13E4" w:rsidP="0018469C" w14:paraId="2DABB179" w14:textId="77777777">
            <w:pPr>
              <w:widowControl/>
              <w:autoSpaceDE/>
              <w:autoSpaceDN/>
              <w:adjustRightInd/>
              <w:jc w:val="center"/>
              <w:rPr>
                <w:rFonts w:ascii="Times New Roman" w:eastAsia="Calibri" w:hAnsi="Times New Roman" w:cs="Times New Roman"/>
                <w:b/>
                <w:bCs/>
                <w:sz w:val="20"/>
                <w:szCs w:val="20"/>
              </w:rPr>
            </w:pPr>
            <w:r w:rsidRPr="00FB13E4">
              <w:rPr>
                <w:rFonts w:ascii="Times New Roman" w:eastAsia="Calibri" w:hAnsi="Times New Roman" w:cs="Times New Roman"/>
                <w:b/>
                <w:bCs/>
                <w:sz w:val="20"/>
                <w:szCs w:val="20"/>
              </w:rPr>
              <w:t>Hourly Wage Rate</w:t>
            </w:r>
          </w:p>
        </w:tc>
        <w:tc>
          <w:tcPr>
            <w:tcW w:w="1226" w:type="dxa"/>
            <w:shd w:val="clear" w:color="auto" w:fill="B8CCE4" w:themeFill="accent1" w:themeFillTint="66"/>
            <w:hideMark/>
          </w:tcPr>
          <w:p w:rsidR="00DF69F4" w:rsidRPr="00FB13E4" w:rsidP="0018469C" w14:paraId="2EC43C49" w14:textId="77777777">
            <w:pPr>
              <w:widowControl/>
              <w:autoSpaceDE/>
              <w:autoSpaceDN/>
              <w:adjustRightInd/>
              <w:jc w:val="center"/>
              <w:rPr>
                <w:rFonts w:ascii="Times New Roman" w:eastAsia="Calibri" w:hAnsi="Times New Roman" w:cs="Times New Roman"/>
                <w:b/>
                <w:bCs/>
                <w:sz w:val="20"/>
                <w:szCs w:val="20"/>
              </w:rPr>
            </w:pPr>
            <w:r w:rsidRPr="00FB13E4">
              <w:rPr>
                <w:rFonts w:ascii="Times New Roman" w:eastAsia="Calibri" w:hAnsi="Times New Roman" w:cs="Times New Roman"/>
                <w:b/>
                <w:bCs/>
                <w:sz w:val="20"/>
                <w:szCs w:val="20"/>
              </w:rPr>
              <w:t>Burden Cost</w:t>
            </w:r>
          </w:p>
        </w:tc>
      </w:tr>
      <w:tr w14:paraId="310B85EB" w14:textId="77777777" w:rsidTr="00DF7824">
        <w:tblPrEx>
          <w:tblW w:w="8551" w:type="dxa"/>
          <w:tblInd w:w="85" w:type="dxa"/>
          <w:tblLayout w:type="fixed"/>
          <w:tblLook w:val="04A0"/>
        </w:tblPrEx>
        <w:trPr>
          <w:trHeight w:val="199"/>
        </w:trPr>
        <w:tc>
          <w:tcPr>
            <w:tcW w:w="3060" w:type="dxa"/>
            <w:shd w:val="clear" w:color="auto" w:fill="FFFFFF" w:themeFill="background1"/>
            <w:vAlign w:val="center"/>
          </w:tcPr>
          <w:p w:rsidR="002B0751" w:rsidRPr="00FB13E4" w:rsidP="002B0751" w14:paraId="325C8198" w14:textId="6E319233">
            <w:pPr>
              <w:widowControl/>
              <w:autoSpaceDE/>
              <w:autoSpaceDN/>
              <w:adjustRightInd/>
              <w:rPr>
                <w:rFonts w:ascii="Times New Roman" w:eastAsia="Calibri" w:hAnsi="Times New Roman" w:cs="Times New Roman"/>
                <w:b/>
                <w:bCs/>
                <w:i/>
                <w:iCs/>
                <w:sz w:val="20"/>
                <w:szCs w:val="20"/>
              </w:rPr>
            </w:pPr>
            <w:r w:rsidRPr="00FB13E4">
              <w:rPr>
                <w:rFonts w:ascii="Times New Roman" w:hAnsi="Times New Roman" w:cs="Times New Roman"/>
                <w:i/>
                <w:iCs/>
                <w:color w:val="000000"/>
                <w:sz w:val="20"/>
                <w:szCs w:val="20"/>
              </w:rPr>
              <w:t>State Grants</w:t>
            </w:r>
          </w:p>
        </w:tc>
        <w:tc>
          <w:tcPr>
            <w:tcW w:w="1170" w:type="dxa"/>
            <w:shd w:val="clear" w:color="auto" w:fill="FFFFFF" w:themeFill="background1"/>
            <w:vAlign w:val="bottom"/>
          </w:tcPr>
          <w:p w:rsidR="002B0751" w:rsidRPr="00FB13E4" w:rsidP="002B0751" w14:paraId="21E466C2" w14:textId="77777777">
            <w:pPr>
              <w:widowControl/>
              <w:autoSpaceDE/>
              <w:autoSpaceDN/>
              <w:adjustRightInd/>
              <w:jc w:val="center"/>
              <w:rPr>
                <w:rFonts w:ascii="Times New Roman" w:eastAsia="Calibri" w:hAnsi="Times New Roman" w:cs="Times New Roman"/>
                <w:b/>
                <w:bCs/>
                <w:sz w:val="20"/>
                <w:szCs w:val="20"/>
              </w:rPr>
            </w:pPr>
          </w:p>
        </w:tc>
        <w:tc>
          <w:tcPr>
            <w:tcW w:w="1251" w:type="dxa"/>
            <w:shd w:val="clear" w:color="auto" w:fill="FFFFFF" w:themeFill="background1"/>
            <w:vAlign w:val="bottom"/>
          </w:tcPr>
          <w:p w:rsidR="002B0751" w:rsidRPr="00FB13E4" w:rsidP="002B0751" w14:paraId="5246DF57" w14:textId="77777777">
            <w:pPr>
              <w:widowControl/>
              <w:autoSpaceDE/>
              <w:autoSpaceDN/>
              <w:adjustRightInd/>
              <w:jc w:val="center"/>
              <w:rPr>
                <w:rFonts w:ascii="Times New Roman" w:eastAsia="Calibri" w:hAnsi="Times New Roman" w:cs="Times New Roman"/>
                <w:b/>
                <w:bCs/>
                <w:sz w:val="20"/>
                <w:szCs w:val="20"/>
              </w:rPr>
            </w:pPr>
          </w:p>
        </w:tc>
        <w:tc>
          <w:tcPr>
            <w:tcW w:w="971" w:type="dxa"/>
            <w:shd w:val="clear" w:color="auto" w:fill="FFFFFF" w:themeFill="background1"/>
            <w:vAlign w:val="bottom"/>
          </w:tcPr>
          <w:p w:rsidR="002B0751" w:rsidRPr="00FB13E4" w:rsidP="002B0751" w14:paraId="03F2F5A9" w14:textId="77777777">
            <w:pPr>
              <w:widowControl/>
              <w:autoSpaceDE/>
              <w:autoSpaceDN/>
              <w:adjustRightInd/>
              <w:jc w:val="center"/>
              <w:rPr>
                <w:rFonts w:ascii="Times New Roman" w:eastAsia="Calibri" w:hAnsi="Times New Roman" w:cs="Times New Roman"/>
                <w:b/>
                <w:bCs/>
                <w:sz w:val="20"/>
                <w:szCs w:val="20"/>
              </w:rPr>
            </w:pPr>
          </w:p>
        </w:tc>
        <w:tc>
          <w:tcPr>
            <w:tcW w:w="873" w:type="dxa"/>
            <w:shd w:val="clear" w:color="auto" w:fill="FFFFFF" w:themeFill="background1"/>
            <w:vAlign w:val="bottom"/>
          </w:tcPr>
          <w:p w:rsidR="002B0751" w:rsidRPr="00FB13E4" w:rsidP="002B0751" w14:paraId="1AC6FAD6" w14:textId="77777777">
            <w:pPr>
              <w:widowControl/>
              <w:autoSpaceDE/>
              <w:autoSpaceDN/>
              <w:adjustRightInd/>
              <w:jc w:val="center"/>
              <w:rPr>
                <w:rFonts w:ascii="Times New Roman" w:eastAsia="Calibri" w:hAnsi="Times New Roman" w:cs="Times New Roman"/>
                <w:b/>
                <w:bCs/>
                <w:sz w:val="20"/>
                <w:szCs w:val="20"/>
              </w:rPr>
            </w:pPr>
          </w:p>
        </w:tc>
        <w:tc>
          <w:tcPr>
            <w:tcW w:w="1226" w:type="dxa"/>
            <w:shd w:val="clear" w:color="auto" w:fill="FFFFFF" w:themeFill="background1"/>
            <w:vAlign w:val="bottom"/>
          </w:tcPr>
          <w:p w:rsidR="002B0751" w:rsidRPr="00FB13E4" w:rsidP="002B0751" w14:paraId="5E919E2F" w14:textId="77777777">
            <w:pPr>
              <w:widowControl/>
              <w:autoSpaceDE/>
              <w:autoSpaceDN/>
              <w:adjustRightInd/>
              <w:jc w:val="center"/>
              <w:rPr>
                <w:rFonts w:ascii="Times New Roman" w:eastAsia="Calibri" w:hAnsi="Times New Roman" w:cs="Times New Roman"/>
                <w:b/>
                <w:bCs/>
                <w:sz w:val="20"/>
                <w:szCs w:val="20"/>
              </w:rPr>
            </w:pPr>
          </w:p>
        </w:tc>
      </w:tr>
      <w:tr w14:paraId="25F58F00" w14:textId="77777777" w:rsidTr="00DF7824">
        <w:tblPrEx>
          <w:tblW w:w="8551" w:type="dxa"/>
          <w:tblInd w:w="85" w:type="dxa"/>
          <w:tblLayout w:type="fixed"/>
          <w:tblLook w:val="04A0"/>
        </w:tblPrEx>
        <w:trPr>
          <w:trHeight w:val="132"/>
        </w:trPr>
        <w:tc>
          <w:tcPr>
            <w:tcW w:w="3060" w:type="dxa"/>
            <w:shd w:val="clear" w:color="auto" w:fill="FFFFFF" w:themeFill="background1"/>
            <w:vAlign w:val="center"/>
          </w:tcPr>
          <w:p w:rsidR="000F6175" w:rsidRPr="00FB13E4" w:rsidP="00073362" w14:paraId="3469E668" w14:textId="1FF9D7FD">
            <w:pPr>
              <w:widowControl/>
              <w:autoSpaceDE/>
              <w:autoSpaceDN/>
              <w:adjustRightInd/>
              <w:ind w:left="250" w:hanging="250"/>
              <w:rPr>
                <w:rFonts w:ascii="Times New Roman" w:eastAsia="Calibri" w:hAnsi="Times New Roman" w:cs="Times New Roman"/>
                <w:b/>
                <w:bCs/>
                <w:sz w:val="20"/>
                <w:szCs w:val="20"/>
              </w:rPr>
            </w:pPr>
            <w:r w:rsidRPr="00FB13E4">
              <w:rPr>
                <w:rFonts w:ascii="Times New Roman" w:hAnsi="Times New Roman" w:cs="Times New Roman"/>
                <w:color w:val="000000"/>
                <w:sz w:val="20"/>
                <w:szCs w:val="20"/>
              </w:rPr>
              <w:t xml:space="preserve">     Quarterly Reports</w:t>
            </w:r>
            <w:r w:rsidR="00073362">
              <w:rPr>
                <w:rFonts w:ascii="Times New Roman" w:hAnsi="Times New Roman" w:cs="Times New Roman"/>
                <w:color w:val="000000"/>
                <w:sz w:val="20"/>
                <w:szCs w:val="20"/>
              </w:rPr>
              <w:t xml:space="preserve"> and MSHA Form 5000-50</w:t>
            </w:r>
          </w:p>
        </w:tc>
        <w:tc>
          <w:tcPr>
            <w:tcW w:w="1170" w:type="dxa"/>
            <w:shd w:val="clear" w:color="auto" w:fill="FFFFFF" w:themeFill="background1"/>
            <w:vAlign w:val="bottom"/>
          </w:tcPr>
          <w:p w:rsidR="000F6175" w:rsidRPr="00FB13E4" w:rsidP="000F6175" w14:paraId="5DB8E112" w14:textId="0CFB418E">
            <w:pPr>
              <w:widowControl/>
              <w:autoSpaceDE/>
              <w:autoSpaceDN/>
              <w:adjustRightInd/>
              <w:jc w:val="center"/>
              <w:rPr>
                <w:rFonts w:ascii="Times New Roman" w:eastAsia="Calibri" w:hAnsi="Times New Roman" w:cs="Times New Roman"/>
                <w:b/>
                <w:bCs/>
                <w:sz w:val="20"/>
                <w:szCs w:val="20"/>
              </w:rPr>
            </w:pPr>
            <w:r w:rsidRPr="00FB13E4">
              <w:rPr>
                <w:rFonts w:ascii="Times New Roman" w:hAnsi="Times New Roman" w:cs="Times New Roman"/>
                <w:color w:val="000000"/>
                <w:sz w:val="20"/>
                <w:szCs w:val="20"/>
              </w:rPr>
              <w:t>56</w:t>
            </w:r>
          </w:p>
        </w:tc>
        <w:tc>
          <w:tcPr>
            <w:tcW w:w="1251" w:type="dxa"/>
            <w:shd w:val="clear" w:color="auto" w:fill="FFFFFF" w:themeFill="background1"/>
            <w:vAlign w:val="bottom"/>
          </w:tcPr>
          <w:p w:rsidR="000F6175" w:rsidRPr="00FB13E4" w:rsidP="000F6175" w14:paraId="189F5FB6" w14:textId="2FC8C050">
            <w:pPr>
              <w:widowControl/>
              <w:autoSpaceDE/>
              <w:autoSpaceDN/>
              <w:adjustRightInd/>
              <w:jc w:val="center"/>
              <w:rPr>
                <w:rFonts w:ascii="Times New Roman" w:eastAsia="Calibri" w:hAnsi="Times New Roman" w:cs="Times New Roman"/>
                <w:b/>
                <w:bCs/>
                <w:sz w:val="20"/>
                <w:szCs w:val="20"/>
              </w:rPr>
            </w:pPr>
            <w:r w:rsidRPr="00FB13E4">
              <w:rPr>
                <w:rFonts w:ascii="Times New Roman" w:hAnsi="Times New Roman" w:cs="Times New Roman"/>
                <w:color w:val="000000"/>
                <w:sz w:val="20"/>
                <w:szCs w:val="20"/>
              </w:rPr>
              <w:t>30</w:t>
            </w:r>
          </w:p>
        </w:tc>
        <w:tc>
          <w:tcPr>
            <w:tcW w:w="971" w:type="dxa"/>
            <w:shd w:val="clear" w:color="auto" w:fill="FFFFFF" w:themeFill="background1"/>
            <w:vAlign w:val="bottom"/>
          </w:tcPr>
          <w:p w:rsidR="000F6175" w:rsidRPr="00FB13E4" w:rsidP="000F6175" w14:paraId="3527795F" w14:textId="4CAE584A">
            <w:pPr>
              <w:widowControl/>
              <w:autoSpaceDE/>
              <w:autoSpaceDN/>
              <w:adjustRightInd/>
              <w:jc w:val="center"/>
              <w:rPr>
                <w:rFonts w:ascii="Times New Roman" w:eastAsia="Calibri" w:hAnsi="Times New Roman" w:cs="Times New Roman"/>
                <w:b/>
                <w:bCs/>
                <w:sz w:val="20"/>
                <w:szCs w:val="20"/>
              </w:rPr>
            </w:pPr>
            <w:r w:rsidRPr="00FB13E4">
              <w:rPr>
                <w:rFonts w:ascii="Times New Roman" w:hAnsi="Times New Roman" w:cs="Times New Roman"/>
                <w:color w:val="000000"/>
                <w:sz w:val="20"/>
                <w:szCs w:val="20"/>
              </w:rPr>
              <w:t>112.00</w:t>
            </w:r>
          </w:p>
        </w:tc>
        <w:tc>
          <w:tcPr>
            <w:tcW w:w="873" w:type="dxa"/>
            <w:shd w:val="clear" w:color="auto" w:fill="FFFFFF" w:themeFill="background1"/>
            <w:vAlign w:val="bottom"/>
          </w:tcPr>
          <w:p w:rsidR="000F6175" w:rsidRPr="00FB13E4" w:rsidP="000F6175" w14:paraId="46680A74" w14:textId="69CA2C7F">
            <w:pPr>
              <w:widowControl/>
              <w:autoSpaceDE/>
              <w:autoSpaceDN/>
              <w:adjustRightInd/>
              <w:jc w:val="center"/>
              <w:rPr>
                <w:rFonts w:ascii="Times New Roman" w:eastAsia="Calibri" w:hAnsi="Times New Roman" w:cs="Times New Roman"/>
                <w:b/>
                <w:bCs/>
                <w:sz w:val="20"/>
                <w:szCs w:val="20"/>
              </w:rPr>
            </w:pPr>
            <w:r w:rsidRPr="00FB13E4">
              <w:rPr>
                <w:rFonts w:ascii="Times New Roman" w:hAnsi="Times New Roman" w:cs="Times New Roman"/>
                <w:color w:val="000000"/>
                <w:sz w:val="20"/>
                <w:szCs w:val="20"/>
              </w:rPr>
              <w:t xml:space="preserve">$73.95 </w:t>
            </w:r>
          </w:p>
        </w:tc>
        <w:tc>
          <w:tcPr>
            <w:tcW w:w="1226" w:type="dxa"/>
            <w:shd w:val="clear" w:color="auto" w:fill="FFFFFF" w:themeFill="background1"/>
            <w:vAlign w:val="bottom"/>
          </w:tcPr>
          <w:p w:rsidR="000F6175" w:rsidRPr="00FB13E4" w:rsidP="000F6175" w14:paraId="2065CEEC" w14:textId="49D7D664">
            <w:pPr>
              <w:widowControl/>
              <w:autoSpaceDE/>
              <w:autoSpaceDN/>
              <w:adjustRightInd/>
              <w:jc w:val="center"/>
              <w:rPr>
                <w:rFonts w:ascii="Times New Roman" w:eastAsia="Calibri" w:hAnsi="Times New Roman" w:cs="Times New Roman"/>
                <w:b/>
                <w:bCs/>
                <w:sz w:val="20"/>
                <w:szCs w:val="20"/>
              </w:rPr>
            </w:pPr>
            <w:r w:rsidRPr="00FB13E4">
              <w:rPr>
                <w:rFonts w:ascii="Times New Roman" w:hAnsi="Times New Roman" w:cs="Times New Roman"/>
                <w:color w:val="000000"/>
                <w:sz w:val="20"/>
                <w:szCs w:val="20"/>
              </w:rPr>
              <w:t xml:space="preserve">$8,282.63 </w:t>
            </w:r>
          </w:p>
        </w:tc>
      </w:tr>
      <w:tr w14:paraId="7866862A" w14:textId="77777777" w:rsidTr="00DF7824">
        <w:tblPrEx>
          <w:tblW w:w="8551" w:type="dxa"/>
          <w:tblInd w:w="85" w:type="dxa"/>
          <w:tblLayout w:type="fixed"/>
          <w:tblLook w:val="04A0"/>
        </w:tblPrEx>
        <w:trPr>
          <w:trHeight w:val="316"/>
        </w:trPr>
        <w:tc>
          <w:tcPr>
            <w:tcW w:w="3060" w:type="dxa"/>
            <w:shd w:val="clear" w:color="auto" w:fill="FFFFFF" w:themeFill="background1"/>
            <w:vAlign w:val="center"/>
          </w:tcPr>
          <w:p w:rsidR="000F6175" w:rsidRPr="00FB13E4" w:rsidP="000F6175" w14:paraId="29E6B80B" w14:textId="59D5556D">
            <w:pPr>
              <w:widowControl/>
              <w:autoSpaceDE/>
              <w:autoSpaceDN/>
              <w:adjustRightInd/>
              <w:rPr>
                <w:rFonts w:ascii="Times New Roman" w:eastAsia="Calibri" w:hAnsi="Times New Roman" w:cs="Times New Roman"/>
                <w:b/>
                <w:bCs/>
                <w:sz w:val="20"/>
                <w:szCs w:val="20"/>
              </w:rPr>
            </w:pPr>
            <w:r w:rsidRPr="00FB13E4">
              <w:rPr>
                <w:rFonts w:ascii="Times New Roman" w:hAnsi="Times New Roman" w:cs="Times New Roman"/>
                <w:color w:val="000000"/>
                <w:sz w:val="20"/>
                <w:szCs w:val="20"/>
              </w:rPr>
              <w:t xml:space="preserve">     Final Reports</w:t>
            </w:r>
          </w:p>
        </w:tc>
        <w:tc>
          <w:tcPr>
            <w:tcW w:w="1170" w:type="dxa"/>
            <w:shd w:val="clear" w:color="auto" w:fill="FFFFFF" w:themeFill="background1"/>
            <w:vAlign w:val="bottom"/>
          </w:tcPr>
          <w:p w:rsidR="000F6175" w:rsidRPr="00FB13E4" w:rsidP="000F6175" w14:paraId="132F4C7D" w14:textId="683B2A6F">
            <w:pPr>
              <w:widowControl/>
              <w:autoSpaceDE/>
              <w:autoSpaceDN/>
              <w:adjustRightInd/>
              <w:jc w:val="center"/>
              <w:rPr>
                <w:rFonts w:ascii="Times New Roman" w:eastAsia="Calibri" w:hAnsi="Times New Roman" w:cs="Times New Roman"/>
                <w:b/>
                <w:bCs/>
                <w:sz w:val="20"/>
                <w:szCs w:val="20"/>
              </w:rPr>
            </w:pPr>
            <w:r w:rsidRPr="00FB13E4">
              <w:rPr>
                <w:rFonts w:ascii="Times New Roman" w:hAnsi="Times New Roman" w:cs="Times New Roman"/>
                <w:color w:val="000000"/>
                <w:sz w:val="20"/>
                <w:szCs w:val="20"/>
              </w:rPr>
              <w:t>56</w:t>
            </w:r>
          </w:p>
        </w:tc>
        <w:tc>
          <w:tcPr>
            <w:tcW w:w="1251" w:type="dxa"/>
            <w:shd w:val="clear" w:color="auto" w:fill="FFFFFF" w:themeFill="background1"/>
            <w:vAlign w:val="bottom"/>
          </w:tcPr>
          <w:p w:rsidR="000F6175" w:rsidRPr="00FB13E4" w:rsidP="000F6175" w14:paraId="18960202" w14:textId="1B1EC733">
            <w:pPr>
              <w:widowControl/>
              <w:autoSpaceDE/>
              <w:autoSpaceDN/>
              <w:adjustRightInd/>
              <w:jc w:val="center"/>
              <w:rPr>
                <w:rFonts w:ascii="Times New Roman" w:eastAsia="Calibri" w:hAnsi="Times New Roman" w:cs="Times New Roman"/>
                <w:b/>
                <w:bCs/>
                <w:sz w:val="20"/>
                <w:szCs w:val="20"/>
              </w:rPr>
            </w:pPr>
            <w:r w:rsidRPr="00FB13E4">
              <w:rPr>
                <w:rFonts w:ascii="Times New Roman" w:hAnsi="Times New Roman" w:cs="Times New Roman"/>
                <w:color w:val="000000"/>
                <w:sz w:val="20"/>
                <w:szCs w:val="20"/>
              </w:rPr>
              <w:t>30</w:t>
            </w:r>
          </w:p>
        </w:tc>
        <w:tc>
          <w:tcPr>
            <w:tcW w:w="971" w:type="dxa"/>
            <w:shd w:val="clear" w:color="auto" w:fill="FFFFFF" w:themeFill="background1"/>
            <w:vAlign w:val="bottom"/>
          </w:tcPr>
          <w:p w:rsidR="000F6175" w:rsidRPr="00FB13E4" w:rsidP="000F6175" w14:paraId="4DD7D776" w14:textId="125BE9A5">
            <w:pPr>
              <w:widowControl/>
              <w:autoSpaceDE/>
              <w:autoSpaceDN/>
              <w:adjustRightInd/>
              <w:jc w:val="center"/>
              <w:rPr>
                <w:rFonts w:ascii="Times New Roman" w:eastAsia="Calibri" w:hAnsi="Times New Roman" w:cs="Times New Roman"/>
                <w:b/>
                <w:bCs/>
                <w:sz w:val="20"/>
                <w:szCs w:val="20"/>
              </w:rPr>
            </w:pPr>
            <w:r w:rsidRPr="00FB13E4">
              <w:rPr>
                <w:rFonts w:ascii="Times New Roman" w:hAnsi="Times New Roman" w:cs="Times New Roman"/>
                <w:color w:val="000000"/>
                <w:sz w:val="20"/>
                <w:szCs w:val="20"/>
              </w:rPr>
              <w:t>28.00</w:t>
            </w:r>
          </w:p>
        </w:tc>
        <w:tc>
          <w:tcPr>
            <w:tcW w:w="873" w:type="dxa"/>
            <w:shd w:val="clear" w:color="auto" w:fill="FFFFFF" w:themeFill="background1"/>
            <w:vAlign w:val="bottom"/>
          </w:tcPr>
          <w:p w:rsidR="000F6175" w:rsidRPr="00FB13E4" w:rsidP="000F6175" w14:paraId="6C71AC0F" w14:textId="48ECC426">
            <w:pPr>
              <w:widowControl/>
              <w:autoSpaceDE/>
              <w:autoSpaceDN/>
              <w:adjustRightInd/>
              <w:jc w:val="center"/>
              <w:rPr>
                <w:rFonts w:ascii="Times New Roman" w:eastAsia="Calibri" w:hAnsi="Times New Roman" w:cs="Times New Roman"/>
                <w:b/>
                <w:bCs/>
                <w:sz w:val="20"/>
                <w:szCs w:val="20"/>
              </w:rPr>
            </w:pPr>
            <w:r w:rsidRPr="00FB13E4">
              <w:rPr>
                <w:rFonts w:ascii="Times New Roman" w:hAnsi="Times New Roman" w:cs="Times New Roman"/>
                <w:color w:val="000000"/>
                <w:sz w:val="20"/>
                <w:szCs w:val="20"/>
              </w:rPr>
              <w:t xml:space="preserve">$73.95 </w:t>
            </w:r>
          </w:p>
        </w:tc>
        <w:tc>
          <w:tcPr>
            <w:tcW w:w="1226" w:type="dxa"/>
            <w:shd w:val="clear" w:color="auto" w:fill="FFFFFF" w:themeFill="background1"/>
            <w:vAlign w:val="bottom"/>
          </w:tcPr>
          <w:p w:rsidR="000F6175" w:rsidRPr="00FB13E4" w:rsidP="000F6175" w14:paraId="5FE2AA0B" w14:textId="1465FBEA">
            <w:pPr>
              <w:widowControl/>
              <w:autoSpaceDE/>
              <w:autoSpaceDN/>
              <w:adjustRightInd/>
              <w:jc w:val="center"/>
              <w:rPr>
                <w:rFonts w:ascii="Times New Roman" w:eastAsia="Calibri" w:hAnsi="Times New Roman" w:cs="Times New Roman"/>
                <w:b/>
                <w:bCs/>
                <w:sz w:val="20"/>
                <w:szCs w:val="20"/>
              </w:rPr>
            </w:pPr>
            <w:r w:rsidRPr="00FB13E4">
              <w:rPr>
                <w:rFonts w:ascii="Times New Roman" w:hAnsi="Times New Roman" w:cs="Times New Roman"/>
                <w:color w:val="000000"/>
                <w:sz w:val="20"/>
                <w:szCs w:val="20"/>
              </w:rPr>
              <w:t xml:space="preserve">$2,070.66 </w:t>
            </w:r>
          </w:p>
        </w:tc>
      </w:tr>
      <w:tr w14:paraId="6ED10CE5" w14:textId="77777777" w:rsidTr="00DF7824">
        <w:tblPrEx>
          <w:tblW w:w="8551" w:type="dxa"/>
          <w:tblInd w:w="85" w:type="dxa"/>
          <w:tblLayout w:type="fixed"/>
          <w:tblLook w:val="04A0"/>
        </w:tblPrEx>
        <w:trPr>
          <w:trHeight w:val="316"/>
        </w:trPr>
        <w:tc>
          <w:tcPr>
            <w:tcW w:w="3060" w:type="dxa"/>
            <w:shd w:val="clear" w:color="auto" w:fill="FFFFFF" w:themeFill="background1"/>
            <w:vAlign w:val="center"/>
          </w:tcPr>
          <w:p w:rsidR="000F6175" w:rsidRPr="00FB13E4" w:rsidP="004841B9" w14:paraId="3EA8AF3C" w14:textId="7AD91D39">
            <w:pPr>
              <w:widowControl/>
              <w:autoSpaceDE/>
              <w:autoSpaceDN/>
              <w:adjustRightInd/>
              <w:jc w:val="right"/>
              <w:rPr>
                <w:rFonts w:ascii="Times New Roman" w:eastAsia="Calibri" w:hAnsi="Times New Roman" w:cs="Times New Roman"/>
                <w:b/>
                <w:bCs/>
                <w:sz w:val="20"/>
                <w:szCs w:val="20"/>
              </w:rPr>
            </w:pPr>
            <w:r w:rsidRPr="00FB13E4">
              <w:rPr>
                <w:rFonts w:ascii="Times New Roman" w:hAnsi="Times New Roman" w:cs="Times New Roman"/>
                <w:b/>
                <w:bCs/>
                <w:i/>
                <w:iCs/>
                <w:color w:val="000000"/>
                <w:sz w:val="20"/>
                <w:szCs w:val="20"/>
              </w:rPr>
              <w:t>State Grants Subtotal</w:t>
            </w:r>
          </w:p>
        </w:tc>
        <w:tc>
          <w:tcPr>
            <w:tcW w:w="1170" w:type="dxa"/>
            <w:shd w:val="clear" w:color="auto" w:fill="FFFFFF" w:themeFill="background1"/>
            <w:vAlign w:val="center"/>
          </w:tcPr>
          <w:p w:rsidR="000F6175" w:rsidRPr="00FB13E4" w:rsidP="000F6175" w14:paraId="68575D26" w14:textId="764318C7">
            <w:pPr>
              <w:widowControl/>
              <w:autoSpaceDE/>
              <w:autoSpaceDN/>
              <w:adjustRightInd/>
              <w:jc w:val="center"/>
              <w:rPr>
                <w:rFonts w:ascii="Times New Roman" w:eastAsia="Calibri" w:hAnsi="Times New Roman" w:cs="Times New Roman"/>
                <w:b/>
                <w:bCs/>
                <w:sz w:val="20"/>
                <w:szCs w:val="20"/>
              </w:rPr>
            </w:pPr>
            <w:r w:rsidRPr="00FB13E4">
              <w:rPr>
                <w:rFonts w:ascii="Times New Roman" w:hAnsi="Times New Roman" w:cs="Times New Roman"/>
                <w:b/>
                <w:bCs/>
                <w:i/>
                <w:iCs/>
                <w:color w:val="000000"/>
                <w:sz w:val="20"/>
                <w:szCs w:val="20"/>
              </w:rPr>
              <w:t>56</w:t>
            </w:r>
          </w:p>
        </w:tc>
        <w:tc>
          <w:tcPr>
            <w:tcW w:w="1251" w:type="dxa"/>
            <w:shd w:val="clear" w:color="auto" w:fill="000000" w:themeFill="text1"/>
            <w:vAlign w:val="center"/>
          </w:tcPr>
          <w:p w:rsidR="000F6175" w:rsidRPr="00FB13E4" w:rsidP="000F6175" w14:paraId="7A9D5829" w14:textId="3FE5FB61">
            <w:pPr>
              <w:widowControl/>
              <w:autoSpaceDE/>
              <w:autoSpaceDN/>
              <w:adjustRightInd/>
              <w:jc w:val="center"/>
              <w:rPr>
                <w:rFonts w:ascii="Times New Roman" w:eastAsia="Calibri" w:hAnsi="Times New Roman" w:cs="Times New Roman"/>
                <w:b/>
                <w:bCs/>
                <w:sz w:val="20"/>
                <w:szCs w:val="20"/>
              </w:rPr>
            </w:pPr>
          </w:p>
        </w:tc>
        <w:tc>
          <w:tcPr>
            <w:tcW w:w="971" w:type="dxa"/>
            <w:shd w:val="clear" w:color="auto" w:fill="FFFFFF" w:themeFill="background1"/>
            <w:vAlign w:val="center"/>
          </w:tcPr>
          <w:p w:rsidR="000F6175" w:rsidRPr="00FB13E4" w:rsidP="000F6175" w14:paraId="014C298A" w14:textId="21772B87">
            <w:pPr>
              <w:widowControl/>
              <w:autoSpaceDE/>
              <w:autoSpaceDN/>
              <w:adjustRightInd/>
              <w:jc w:val="center"/>
              <w:rPr>
                <w:rFonts w:ascii="Times New Roman" w:eastAsia="Calibri" w:hAnsi="Times New Roman" w:cs="Times New Roman"/>
                <w:b/>
                <w:bCs/>
                <w:sz w:val="20"/>
                <w:szCs w:val="20"/>
              </w:rPr>
            </w:pPr>
            <w:r w:rsidRPr="00FB13E4">
              <w:rPr>
                <w:rFonts w:ascii="Times New Roman" w:hAnsi="Times New Roman" w:cs="Times New Roman"/>
                <w:b/>
                <w:bCs/>
                <w:i/>
                <w:iCs/>
                <w:color w:val="000000"/>
                <w:sz w:val="20"/>
                <w:szCs w:val="20"/>
              </w:rPr>
              <w:t>140</w:t>
            </w:r>
          </w:p>
        </w:tc>
        <w:tc>
          <w:tcPr>
            <w:tcW w:w="873" w:type="dxa"/>
            <w:shd w:val="clear" w:color="auto" w:fill="000000" w:themeFill="text1"/>
            <w:vAlign w:val="center"/>
          </w:tcPr>
          <w:p w:rsidR="000F6175" w:rsidRPr="00FB13E4" w:rsidP="000F6175" w14:paraId="61E2445C" w14:textId="3878E434">
            <w:pPr>
              <w:widowControl/>
              <w:autoSpaceDE/>
              <w:autoSpaceDN/>
              <w:adjustRightInd/>
              <w:jc w:val="center"/>
              <w:rPr>
                <w:rFonts w:ascii="Times New Roman" w:eastAsia="Calibri" w:hAnsi="Times New Roman" w:cs="Times New Roman"/>
                <w:b/>
                <w:bCs/>
                <w:sz w:val="20"/>
                <w:szCs w:val="20"/>
              </w:rPr>
            </w:pPr>
            <w:r w:rsidRPr="00FB13E4">
              <w:rPr>
                <w:rFonts w:ascii="Times New Roman" w:hAnsi="Times New Roman" w:cs="Times New Roman"/>
                <w:b/>
                <w:bCs/>
                <w:i/>
                <w:iCs/>
                <w:color w:val="000000"/>
                <w:sz w:val="20"/>
                <w:szCs w:val="20"/>
              </w:rPr>
              <w:t> </w:t>
            </w:r>
          </w:p>
        </w:tc>
        <w:tc>
          <w:tcPr>
            <w:tcW w:w="1226" w:type="dxa"/>
            <w:shd w:val="clear" w:color="auto" w:fill="FFFFFF" w:themeFill="background1"/>
            <w:vAlign w:val="center"/>
          </w:tcPr>
          <w:p w:rsidR="000F6175" w:rsidRPr="00FB13E4" w:rsidP="000F6175" w14:paraId="4065643A" w14:textId="290C0A07">
            <w:pPr>
              <w:widowControl/>
              <w:autoSpaceDE/>
              <w:autoSpaceDN/>
              <w:adjustRightInd/>
              <w:jc w:val="center"/>
              <w:rPr>
                <w:rFonts w:ascii="Times New Roman" w:eastAsia="Calibri" w:hAnsi="Times New Roman" w:cs="Times New Roman"/>
                <w:b/>
                <w:bCs/>
                <w:sz w:val="20"/>
                <w:szCs w:val="20"/>
              </w:rPr>
            </w:pPr>
            <w:r w:rsidRPr="00FB13E4">
              <w:rPr>
                <w:rFonts w:ascii="Times New Roman" w:hAnsi="Times New Roman" w:cs="Times New Roman"/>
                <w:b/>
                <w:bCs/>
                <w:i/>
                <w:iCs/>
                <w:color w:val="000000"/>
                <w:sz w:val="20"/>
                <w:szCs w:val="20"/>
              </w:rPr>
              <w:t xml:space="preserve">$10,353.29 </w:t>
            </w:r>
          </w:p>
        </w:tc>
      </w:tr>
      <w:tr w14:paraId="2728D56B" w14:textId="77777777" w:rsidTr="00DF7824">
        <w:tblPrEx>
          <w:tblW w:w="8551" w:type="dxa"/>
          <w:tblInd w:w="85" w:type="dxa"/>
          <w:tblLayout w:type="fixed"/>
          <w:tblLook w:val="04A0"/>
        </w:tblPrEx>
        <w:trPr>
          <w:trHeight w:val="316"/>
        </w:trPr>
        <w:tc>
          <w:tcPr>
            <w:tcW w:w="3060" w:type="dxa"/>
            <w:shd w:val="clear" w:color="auto" w:fill="FFFFFF" w:themeFill="background1"/>
            <w:vAlign w:val="center"/>
          </w:tcPr>
          <w:p w:rsidR="002B0751" w:rsidRPr="00FB13E4" w:rsidP="002B0751" w14:paraId="1E986EFF" w14:textId="48AAA5F1">
            <w:pPr>
              <w:widowControl/>
              <w:autoSpaceDE/>
              <w:autoSpaceDN/>
              <w:adjustRightInd/>
              <w:rPr>
                <w:rFonts w:ascii="Times New Roman" w:eastAsia="Calibri" w:hAnsi="Times New Roman" w:cs="Times New Roman"/>
                <w:b/>
                <w:bCs/>
                <w:i/>
                <w:iCs/>
                <w:sz w:val="20"/>
                <w:szCs w:val="20"/>
              </w:rPr>
            </w:pPr>
            <w:r>
              <w:rPr>
                <w:rFonts w:ascii="Times New Roman" w:hAnsi="Times New Roman" w:cs="Times New Roman"/>
                <w:i/>
                <w:iCs/>
                <w:color w:val="000000"/>
                <w:sz w:val="20"/>
                <w:szCs w:val="20"/>
              </w:rPr>
              <w:t>Brookwood-Sago Mine Safety Grant</w:t>
            </w:r>
            <w:r w:rsidRPr="00FB13E4">
              <w:rPr>
                <w:rFonts w:ascii="Times New Roman" w:hAnsi="Times New Roman" w:cs="Times New Roman"/>
                <w:i/>
                <w:iCs/>
                <w:color w:val="000000"/>
                <w:sz w:val="20"/>
                <w:szCs w:val="20"/>
              </w:rPr>
              <w:t>s</w:t>
            </w:r>
          </w:p>
        </w:tc>
        <w:tc>
          <w:tcPr>
            <w:tcW w:w="1170" w:type="dxa"/>
            <w:shd w:val="clear" w:color="auto" w:fill="FFFFFF" w:themeFill="background1"/>
            <w:vAlign w:val="bottom"/>
          </w:tcPr>
          <w:p w:rsidR="002B0751" w:rsidRPr="00FB13E4" w:rsidP="002B0751" w14:paraId="58E6FDDC" w14:textId="77777777">
            <w:pPr>
              <w:widowControl/>
              <w:autoSpaceDE/>
              <w:autoSpaceDN/>
              <w:adjustRightInd/>
              <w:jc w:val="center"/>
              <w:rPr>
                <w:rFonts w:ascii="Times New Roman" w:eastAsia="Calibri" w:hAnsi="Times New Roman" w:cs="Times New Roman"/>
                <w:b/>
                <w:bCs/>
                <w:sz w:val="20"/>
                <w:szCs w:val="20"/>
              </w:rPr>
            </w:pPr>
          </w:p>
        </w:tc>
        <w:tc>
          <w:tcPr>
            <w:tcW w:w="1251" w:type="dxa"/>
            <w:shd w:val="clear" w:color="auto" w:fill="FFFFFF" w:themeFill="background1"/>
            <w:vAlign w:val="bottom"/>
          </w:tcPr>
          <w:p w:rsidR="002B0751" w:rsidRPr="00FB13E4" w:rsidP="002B0751" w14:paraId="30A5B6DE" w14:textId="77777777">
            <w:pPr>
              <w:widowControl/>
              <w:autoSpaceDE/>
              <w:autoSpaceDN/>
              <w:adjustRightInd/>
              <w:jc w:val="center"/>
              <w:rPr>
                <w:rFonts w:ascii="Times New Roman" w:eastAsia="Calibri" w:hAnsi="Times New Roman" w:cs="Times New Roman"/>
                <w:b/>
                <w:bCs/>
                <w:sz w:val="20"/>
                <w:szCs w:val="20"/>
              </w:rPr>
            </w:pPr>
          </w:p>
        </w:tc>
        <w:tc>
          <w:tcPr>
            <w:tcW w:w="971" w:type="dxa"/>
            <w:shd w:val="clear" w:color="auto" w:fill="FFFFFF" w:themeFill="background1"/>
            <w:vAlign w:val="bottom"/>
          </w:tcPr>
          <w:p w:rsidR="002B0751" w:rsidRPr="00FB13E4" w:rsidP="002B0751" w14:paraId="6065233C" w14:textId="77777777">
            <w:pPr>
              <w:widowControl/>
              <w:autoSpaceDE/>
              <w:autoSpaceDN/>
              <w:adjustRightInd/>
              <w:jc w:val="center"/>
              <w:rPr>
                <w:rFonts w:ascii="Times New Roman" w:eastAsia="Calibri" w:hAnsi="Times New Roman" w:cs="Times New Roman"/>
                <w:b/>
                <w:bCs/>
                <w:sz w:val="20"/>
                <w:szCs w:val="20"/>
              </w:rPr>
            </w:pPr>
          </w:p>
        </w:tc>
        <w:tc>
          <w:tcPr>
            <w:tcW w:w="873" w:type="dxa"/>
            <w:shd w:val="clear" w:color="auto" w:fill="FFFFFF" w:themeFill="background1"/>
            <w:vAlign w:val="bottom"/>
          </w:tcPr>
          <w:p w:rsidR="002B0751" w:rsidRPr="00FB13E4" w:rsidP="002B0751" w14:paraId="2305A4AB" w14:textId="77777777">
            <w:pPr>
              <w:widowControl/>
              <w:autoSpaceDE/>
              <w:autoSpaceDN/>
              <w:adjustRightInd/>
              <w:jc w:val="center"/>
              <w:rPr>
                <w:rFonts w:ascii="Times New Roman" w:eastAsia="Calibri" w:hAnsi="Times New Roman" w:cs="Times New Roman"/>
                <w:b/>
                <w:bCs/>
                <w:sz w:val="20"/>
                <w:szCs w:val="20"/>
              </w:rPr>
            </w:pPr>
          </w:p>
        </w:tc>
        <w:tc>
          <w:tcPr>
            <w:tcW w:w="1226" w:type="dxa"/>
            <w:shd w:val="clear" w:color="auto" w:fill="FFFFFF" w:themeFill="background1"/>
            <w:vAlign w:val="bottom"/>
          </w:tcPr>
          <w:p w:rsidR="002B0751" w:rsidRPr="00FB13E4" w:rsidP="002B0751" w14:paraId="2A8AEEDE" w14:textId="77777777">
            <w:pPr>
              <w:widowControl/>
              <w:autoSpaceDE/>
              <w:autoSpaceDN/>
              <w:adjustRightInd/>
              <w:jc w:val="center"/>
              <w:rPr>
                <w:rFonts w:ascii="Times New Roman" w:eastAsia="Calibri" w:hAnsi="Times New Roman" w:cs="Times New Roman"/>
                <w:b/>
                <w:bCs/>
                <w:sz w:val="20"/>
                <w:szCs w:val="20"/>
              </w:rPr>
            </w:pPr>
          </w:p>
        </w:tc>
      </w:tr>
      <w:tr w14:paraId="1535A220" w14:textId="77777777" w:rsidTr="00DF7824">
        <w:tblPrEx>
          <w:tblW w:w="8551" w:type="dxa"/>
          <w:tblInd w:w="85" w:type="dxa"/>
          <w:tblLayout w:type="fixed"/>
          <w:tblLook w:val="04A0"/>
        </w:tblPrEx>
        <w:trPr>
          <w:trHeight w:val="316"/>
        </w:trPr>
        <w:tc>
          <w:tcPr>
            <w:tcW w:w="3060" w:type="dxa"/>
            <w:shd w:val="clear" w:color="auto" w:fill="FFFFFF" w:themeFill="background1"/>
            <w:vAlign w:val="center"/>
          </w:tcPr>
          <w:p w:rsidR="002B0751" w:rsidRPr="00FB13E4" w:rsidP="002B0751" w14:paraId="07A81A24" w14:textId="037FEB6A">
            <w:pPr>
              <w:widowControl/>
              <w:autoSpaceDE/>
              <w:autoSpaceDN/>
              <w:adjustRightInd/>
              <w:rPr>
                <w:rFonts w:ascii="Times New Roman" w:eastAsia="Calibri" w:hAnsi="Times New Roman" w:cs="Times New Roman"/>
                <w:b/>
                <w:bCs/>
                <w:sz w:val="20"/>
                <w:szCs w:val="20"/>
              </w:rPr>
            </w:pPr>
            <w:r w:rsidRPr="00FB13E4">
              <w:rPr>
                <w:rFonts w:ascii="Times New Roman" w:hAnsi="Times New Roman" w:cs="Times New Roman"/>
                <w:color w:val="000000"/>
                <w:sz w:val="20"/>
                <w:szCs w:val="20"/>
              </w:rPr>
              <w:t xml:space="preserve">     Quarterly Reports</w:t>
            </w:r>
          </w:p>
        </w:tc>
        <w:tc>
          <w:tcPr>
            <w:tcW w:w="1170" w:type="dxa"/>
            <w:shd w:val="clear" w:color="auto" w:fill="FFFFFF" w:themeFill="background1"/>
            <w:vAlign w:val="bottom"/>
          </w:tcPr>
          <w:p w:rsidR="002B0751" w:rsidRPr="00FB13E4" w:rsidP="002B0751" w14:paraId="56FF7D71" w14:textId="5D76E16D">
            <w:pPr>
              <w:widowControl/>
              <w:autoSpaceDE/>
              <w:autoSpaceDN/>
              <w:adjustRightInd/>
              <w:jc w:val="center"/>
              <w:rPr>
                <w:rFonts w:ascii="Times New Roman" w:eastAsia="Calibri" w:hAnsi="Times New Roman" w:cs="Times New Roman"/>
                <w:b/>
                <w:bCs/>
                <w:sz w:val="20"/>
                <w:szCs w:val="20"/>
              </w:rPr>
            </w:pPr>
            <w:r w:rsidRPr="00FB13E4">
              <w:rPr>
                <w:rFonts w:ascii="Times New Roman" w:hAnsi="Times New Roman" w:cs="Times New Roman"/>
                <w:color w:val="000000"/>
                <w:sz w:val="20"/>
                <w:szCs w:val="20"/>
              </w:rPr>
              <w:t>20</w:t>
            </w:r>
          </w:p>
        </w:tc>
        <w:tc>
          <w:tcPr>
            <w:tcW w:w="1251" w:type="dxa"/>
            <w:shd w:val="clear" w:color="auto" w:fill="FFFFFF" w:themeFill="background1"/>
            <w:vAlign w:val="bottom"/>
          </w:tcPr>
          <w:p w:rsidR="002B0751" w:rsidRPr="00FB13E4" w:rsidP="002B0751" w14:paraId="227C31E4" w14:textId="34B2FAF9">
            <w:pPr>
              <w:widowControl/>
              <w:autoSpaceDE/>
              <w:autoSpaceDN/>
              <w:adjustRightInd/>
              <w:jc w:val="center"/>
              <w:rPr>
                <w:rFonts w:ascii="Times New Roman" w:eastAsia="Calibri" w:hAnsi="Times New Roman" w:cs="Times New Roman"/>
                <w:b/>
                <w:bCs/>
                <w:sz w:val="20"/>
                <w:szCs w:val="20"/>
              </w:rPr>
            </w:pPr>
            <w:r w:rsidRPr="00FB13E4">
              <w:rPr>
                <w:rFonts w:ascii="Times New Roman" w:hAnsi="Times New Roman" w:cs="Times New Roman"/>
                <w:color w:val="000000"/>
                <w:sz w:val="20"/>
                <w:szCs w:val="20"/>
              </w:rPr>
              <w:t>30</w:t>
            </w:r>
          </w:p>
        </w:tc>
        <w:tc>
          <w:tcPr>
            <w:tcW w:w="971" w:type="dxa"/>
            <w:shd w:val="clear" w:color="auto" w:fill="FFFFFF" w:themeFill="background1"/>
            <w:vAlign w:val="bottom"/>
          </w:tcPr>
          <w:p w:rsidR="002B0751" w:rsidRPr="00FB13E4" w:rsidP="002B0751" w14:paraId="1192C981" w14:textId="5152FD45">
            <w:pPr>
              <w:widowControl/>
              <w:autoSpaceDE/>
              <w:autoSpaceDN/>
              <w:adjustRightInd/>
              <w:jc w:val="center"/>
              <w:rPr>
                <w:rFonts w:ascii="Times New Roman" w:eastAsia="Calibri" w:hAnsi="Times New Roman" w:cs="Times New Roman"/>
                <w:b/>
                <w:bCs/>
                <w:sz w:val="20"/>
                <w:szCs w:val="20"/>
              </w:rPr>
            </w:pPr>
            <w:r w:rsidRPr="00FB13E4">
              <w:rPr>
                <w:rFonts w:ascii="Times New Roman" w:hAnsi="Times New Roman" w:cs="Times New Roman"/>
                <w:color w:val="000000"/>
                <w:sz w:val="20"/>
                <w:szCs w:val="20"/>
              </w:rPr>
              <w:t>40.00</w:t>
            </w:r>
          </w:p>
        </w:tc>
        <w:tc>
          <w:tcPr>
            <w:tcW w:w="873" w:type="dxa"/>
            <w:shd w:val="clear" w:color="auto" w:fill="FFFFFF" w:themeFill="background1"/>
            <w:vAlign w:val="bottom"/>
          </w:tcPr>
          <w:p w:rsidR="002B0751" w:rsidRPr="00FB13E4" w:rsidP="002B0751" w14:paraId="47490CE4" w14:textId="77CB1F99">
            <w:pPr>
              <w:widowControl/>
              <w:autoSpaceDE/>
              <w:autoSpaceDN/>
              <w:adjustRightInd/>
              <w:jc w:val="center"/>
              <w:rPr>
                <w:rFonts w:ascii="Times New Roman" w:eastAsia="Calibri" w:hAnsi="Times New Roman" w:cs="Times New Roman"/>
                <w:b/>
                <w:bCs/>
                <w:sz w:val="20"/>
                <w:szCs w:val="20"/>
              </w:rPr>
            </w:pPr>
            <w:r w:rsidRPr="00FB13E4">
              <w:rPr>
                <w:rFonts w:ascii="Times New Roman" w:hAnsi="Times New Roman" w:cs="Times New Roman"/>
                <w:color w:val="000000"/>
                <w:sz w:val="20"/>
                <w:szCs w:val="20"/>
              </w:rPr>
              <w:t xml:space="preserve">$73.95 </w:t>
            </w:r>
          </w:p>
        </w:tc>
        <w:tc>
          <w:tcPr>
            <w:tcW w:w="1226" w:type="dxa"/>
            <w:shd w:val="clear" w:color="auto" w:fill="FFFFFF" w:themeFill="background1"/>
            <w:vAlign w:val="bottom"/>
          </w:tcPr>
          <w:p w:rsidR="002B0751" w:rsidRPr="00FB13E4" w:rsidP="002B0751" w14:paraId="5880550D" w14:textId="46882120">
            <w:pPr>
              <w:widowControl/>
              <w:autoSpaceDE/>
              <w:autoSpaceDN/>
              <w:adjustRightInd/>
              <w:jc w:val="center"/>
              <w:rPr>
                <w:rFonts w:ascii="Times New Roman" w:eastAsia="Calibri" w:hAnsi="Times New Roman" w:cs="Times New Roman"/>
                <w:b/>
                <w:bCs/>
                <w:sz w:val="20"/>
                <w:szCs w:val="20"/>
              </w:rPr>
            </w:pPr>
            <w:r w:rsidRPr="00FB13E4">
              <w:rPr>
                <w:rFonts w:ascii="Times New Roman" w:hAnsi="Times New Roman" w:cs="Times New Roman"/>
                <w:color w:val="000000"/>
                <w:sz w:val="20"/>
                <w:szCs w:val="20"/>
              </w:rPr>
              <w:t xml:space="preserve">$2,958.08 </w:t>
            </w:r>
          </w:p>
        </w:tc>
      </w:tr>
      <w:tr w14:paraId="2FC94ACC" w14:textId="77777777" w:rsidTr="00DF7824">
        <w:tblPrEx>
          <w:tblW w:w="8551" w:type="dxa"/>
          <w:tblInd w:w="85" w:type="dxa"/>
          <w:tblLayout w:type="fixed"/>
          <w:tblLook w:val="04A0"/>
        </w:tblPrEx>
        <w:trPr>
          <w:trHeight w:val="316"/>
        </w:trPr>
        <w:tc>
          <w:tcPr>
            <w:tcW w:w="3060" w:type="dxa"/>
            <w:shd w:val="clear" w:color="auto" w:fill="FFFFFF" w:themeFill="background1"/>
            <w:vAlign w:val="center"/>
          </w:tcPr>
          <w:p w:rsidR="002B0751" w:rsidRPr="00FB13E4" w:rsidP="002B0751" w14:paraId="1C5F0650" w14:textId="6F6B9BDE">
            <w:pPr>
              <w:widowControl/>
              <w:autoSpaceDE/>
              <w:autoSpaceDN/>
              <w:adjustRightInd/>
              <w:rPr>
                <w:rFonts w:ascii="Times New Roman" w:eastAsia="Calibri" w:hAnsi="Times New Roman" w:cs="Times New Roman"/>
                <w:b/>
                <w:bCs/>
                <w:sz w:val="20"/>
                <w:szCs w:val="20"/>
              </w:rPr>
            </w:pPr>
            <w:r w:rsidRPr="00FB13E4">
              <w:rPr>
                <w:rFonts w:ascii="Times New Roman" w:hAnsi="Times New Roman" w:cs="Times New Roman"/>
                <w:color w:val="000000"/>
                <w:sz w:val="20"/>
                <w:szCs w:val="20"/>
              </w:rPr>
              <w:t xml:space="preserve">     Final Reports</w:t>
            </w:r>
          </w:p>
        </w:tc>
        <w:tc>
          <w:tcPr>
            <w:tcW w:w="1170" w:type="dxa"/>
            <w:shd w:val="clear" w:color="auto" w:fill="FFFFFF" w:themeFill="background1"/>
            <w:vAlign w:val="bottom"/>
          </w:tcPr>
          <w:p w:rsidR="002B0751" w:rsidRPr="00FB13E4" w:rsidP="002B0751" w14:paraId="0481DF97" w14:textId="0E478C49">
            <w:pPr>
              <w:widowControl/>
              <w:autoSpaceDE/>
              <w:autoSpaceDN/>
              <w:adjustRightInd/>
              <w:jc w:val="center"/>
              <w:rPr>
                <w:rFonts w:ascii="Times New Roman" w:eastAsia="Calibri" w:hAnsi="Times New Roman" w:cs="Times New Roman"/>
                <w:b/>
                <w:bCs/>
                <w:sz w:val="20"/>
                <w:szCs w:val="20"/>
              </w:rPr>
            </w:pPr>
            <w:r w:rsidRPr="00FB13E4">
              <w:rPr>
                <w:rFonts w:ascii="Times New Roman" w:hAnsi="Times New Roman" w:cs="Times New Roman"/>
                <w:color w:val="000000"/>
                <w:sz w:val="20"/>
                <w:szCs w:val="20"/>
              </w:rPr>
              <w:t>20</w:t>
            </w:r>
          </w:p>
        </w:tc>
        <w:tc>
          <w:tcPr>
            <w:tcW w:w="1251" w:type="dxa"/>
            <w:shd w:val="clear" w:color="auto" w:fill="FFFFFF" w:themeFill="background1"/>
            <w:vAlign w:val="bottom"/>
          </w:tcPr>
          <w:p w:rsidR="002B0751" w:rsidRPr="00FB13E4" w:rsidP="002B0751" w14:paraId="056B63FF" w14:textId="69DD9114">
            <w:pPr>
              <w:widowControl/>
              <w:autoSpaceDE/>
              <w:autoSpaceDN/>
              <w:adjustRightInd/>
              <w:jc w:val="center"/>
              <w:rPr>
                <w:rFonts w:ascii="Times New Roman" w:eastAsia="Calibri" w:hAnsi="Times New Roman" w:cs="Times New Roman"/>
                <w:b/>
                <w:bCs/>
                <w:sz w:val="20"/>
                <w:szCs w:val="20"/>
              </w:rPr>
            </w:pPr>
            <w:r w:rsidRPr="00FB13E4">
              <w:rPr>
                <w:rFonts w:ascii="Times New Roman" w:hAnsi="Times New Roman" w:cs="Times New Roman"/>
                <w:color w:val="000000"/>
                <w:sz w:val="20"/>
                <w:szCs w:val="20"/>
              </w:rPr>
              <w:t>30</w:t>
            </w:r>
          </w:p>
        </w:tc>
        <w:tc>
          <w:tcPr>
            <w:tcW w:w="971" w:type="dxa"/>
            <w:shd w:val="clear" w:color="auto" w:fill="FFFFFF" w:themeFill="background1"/>
            <w:vAlign w:val="bottom"/>
          </w:tcPr>
          <w:p w:rsidR="002B0751" w:rsidRPr="00FB13E4" w:rsidP="002B0751" w14:paraId="03E7F3B3" w14:textId="74138DD2">
            <w:pPr>
              <w:widowControl/>
              <w:autoSpaceDE/>
              <w:autoSpaceDN/>
              <w:adjustRightInd/>
              <w:jc w:val="center"/>
              <w:rPr>
                <w:rFonts w:ascii="Times New Roman" w:eastAsia="Calibri" w:hAnsi="Times New Roman" w:cs="Times New Roman"/>
                <w:b/>
                <w:bCs/>
                <w:sz w:val="20"/>
                <w:szCs w:val="20"/>
              </w:rPr>
            </w:pPr>
            <w:r w:rsidRPr="00FB13E4">
              <w:rPr>
                <w:rFonts w:ascii="Times New Roman" w:hAnsi="Times New Roman" w:cs="Times New Roman"/>
                <w:color w:val="000000"/>
                <w:sz w:val="20"/>
                <w:szCs w:val="20"/>
              </w:rPr>
              <w:t>10.00</w:t>
            </w:r>
          </w:p>
        </w:tc>
        <w:tc>
          <w:tcPr>
            <w:tcW w:w="873" w:type="dxa"/>
            <w:shd w:val="clear" w:color="auto" w:fill="FFFFFF" w:themeFill="background1"/>
            <w:vAlign w:val="bottom"/>
          </w:tcPr>
          <w:p w:rsidR="002B0751" w:rsidRPr="00FB13E4" w:rsidP="002B0751" w14:paraId="747CC722" w14:textId="2D349E29">
            <w:pPr>
              <w:widowControl/>
              <w:autoSpaceDE/>
              <w:autoSpaceDN/>
              <w:adjustRightInd/>
              <w:jc w:val="center"/>
              <w:rPr>
                <w:rFonts w:ascii="Times New Roman" w:eastAsia="Calibri" w:hAnsi="Times New Roman" w:cs="Times New Roman"/>
                <w:b/>
                <w:bCs/>
                <w:sz w:val="20"/>
                <w:szCs w:val="20"/>
              </w:rPr>
            </w:pPr>
            <w:r w:rsidRPr="00FB13E4">
              <w:rPr>
                <w:rFonts w:ascii="Times New Roman" w:hAnsi="Times New Roman" w:cs="Times New Roman"/>
                <w:color w:val="000000"/>
                <w:sz w:val="20"/>
                <w:szCs w:val="20"/>
              </w:rPr>
              <w:t xml:space="preserve">$73.95 </w:t>
            </w:r>
          </w:p>
        </w:tc>
        <w:tc>
          <w:tcPr>
            <w:tcW w:w="1226" w:type="dxa"/>
            <w:shd w:val="clear" w:color="auto" w:fill="FFFFFF" w:themeFill="background1"/>
            <w:vAlign w:val="bottom"/>
          </w:tcPr>
          <w:p w:rsidR="002B0751" w:rsidRPr="00FB13E4" w:rsidP="002B0751" w14:paraId="71F04A86" w14:textId="56A461E3">
            <w:pPr>
              <w:widowControl/>
              <w:autoSpaceDE/>
              <w:autoSpaceDN/>
              <w:adjustRightInd/>
              <w:jc w:val="center"/>
              <w:rPr>
                <w:rFonts w:ascii="Times New Roman" w:eastAsia="Calibri" w:hAnsi="Times New Roman" w:cs="Times New Roman"/>
                <w:b/>
                <w:bCs/>
                <w:sz w:val="20"/>
                <w:szCs w:val="20"/>
              </w:rPr>
            </w:pPr>
            <w:r w:rsidRPr="00FB13E4">
              <w:rPr>
                <w:rFonts w:ascii="Times New Roman" w:hAnsi="Times New Roman" w:cs="Times New Roman"/>
                <w:color w:val="000000"/>
                <w:sz w:val="20"/>
                <w:szCs w:val="20"/>
              </w:rPr>
              <w:t xml:space="preserve">$739.52 </w:t>
            </w:r>
          </w:p>
        </w:tc>
      </w:tr>
      <w:tr w14:paraId="3E74E1B2" w14:textId="77777777" w:rsidTr="00DF7824">
        <w:tblPrEx>
          <w:tblW w:w="8551" w:type="dxa"/>
          <w:tblInd w:w="85" w:type="dxa"/>
          <w:tblLayout w:type="fixed"/>
          <w:tblLook w:val="04A0"/>
        </w:tblPrEx>
        <w:trPr>
          <w:trHeight w:val="332"/>
        </w:trPr>
        <w:tc>
          <w:tcPr>
            <w:tcW w:w="3060" w:type="dxa"/>
            <w:noWrap/>
            <w:vAlign w:val="center"/>
          </w:tcPr>
          <w:p w:rsidR="00F15A74" w:rsidRPr="00FB13E4" w:rsidP="004841B9" w14:paraId="53F53D4E" w14:textId="74161B04">
            <w:pPr>
              <w:widowControl/>
              <w:autoSpaceDE/>
              <w:autoSpaceDN/>
              <w:adjustRightInd/>
              <w:jc w:val="right"/>
              <w:rPr>
                <w:rFonts w:ascii="Times New Roman" w:eastAsia="Calibri" w:hAnsi="Times New Roman" w:cs="Times New Roman"/>
                <w:bCs/>
                <w:sz w:val="20"/>
                <w:szCs w:val="20"/>
              </w:rPr>
            </w:pPr>
            <w:r w:rsidRPr="00FB13E4">
              <w:rPr>
                <w:rFonts w:ascii="Times New Roman" w:hAnsi="Times New Roman" w:cs="Times New Roman"/>
                <w:b/>
                <w:bCs/>
                <w:i/>
                <w:iCs/>
                <w:color w:val="000000"/>
                <w:sz w:val="20"/>
                <w:szCs w:val="20"/>
              </w:rPr>
              <w:t>Brookwood-Sago Grants Subtotal</w:t>
            </w:r>
          </w:p>
        </w:tc>
        <w:tc>
          <w:tcPr>
            <w:tcW w:w="1170" w:type="dxa"/>
            <w:noWrap/>
            <w:vAlign w:val="center"/>
          </w:tcPr>
          <w:p w:rsidR="00F15A74" w:rsidRPr="00FB13E4" w:rsidP="00F15A74" w14:paraId="023DB5BA" w14:textId="0EC0B619">
            <w:pPr>
              <w:widowControl/>
              <w:autoSpaceDE/>
              <w:autoSpaceDN/>
              <w:adjustRightInd/>
              <w:jc w:val="center"/>
              <w:rPr>
                <w:rFonts w:ascii="Times New Roman" w:eastAsia="Calibri" w:hAnsi="Times New Roman" w:cs="Times New Roman"/>
                <w:bCs/>
                <w:sz w:val="20"/>
                <w:szCs w:val="20"/>
              </w:rPr>
            </w:pPr>
            <w:r w:rsidRPr="00FB13E4">
              <w:rPr>
                <w:rFonts w:ascii="Times New Roman" w:hAnsi="Times New Roman" w:cs="Times New Roman"/>
                <w:b/>
                <w:bCs/>
                <w:i/>
                <w:iCs/>
                <w:color w:val="000000"/>
                <w:sz w:val="20"/>
                <w:szCs w:val="20"/>
              </w:rPr>
              <w:t>20</w:t>
            </w:r>
          </w:p>
        </w:tc>
        <w:tc>
          <w:tcPr>
            <w:tcW w:w="1251" w:type="dxa"/>
            <w:shd w:val="clear" w:color="auto" w:fill="000000" w:themeFill="text1"/>
            <w:vAlign w:val="center"/>
          </w:tcPr>
          <w:p w:rsidR="00F15A74" w:rsidRPr="00FB13E4" w:rsidP="00F15A74" w14:paraId="147152A0" w14:textId="4147AE6E">
            <w:pPr>
              <w:widowControl/>
              <w:autoSpaceDE/>
              <w:autoSpaceDN/>
              <w:adjustRightInd/>
              <w:jc w:val="center"/>
              <w:rPr>
                <w:rFonts w:ascii="Times New Roman" w:eastAsia="Calibri" w:hAnsi="Times New Roman" w:cs="Times New Roman"/>
                <w:bCs/>
                <w:sz w:val="20"/>
                <w:szCs w:val="20"/>
              </w:rPr>
            </w:pPr>
          </w:p>
        </w:tc>
        <w:tc>
          <w:tcPr>
            <w:tcW w:w="971" w:type="dxa"/>
            <w:noWrap/>
            <w:vAlign w:val="center"/>
          </w:tcPr>
          <w:p w:rsidR="00F15A74" w:rsidRPr="00FB13E4" w:rsidP="00F15A74" w14:paraId="5A7B847D" w14:textId="298A1EAC">
            <w:pPr>
              <w:widowControl/>
              <w:autoSpaceDE/>
              <w:autoSpaceDN/>
              <w:adjustRightInd/>
              <w:jc w:val="center"/>
              <w:rPr>
                <w:rFonts w:ascii="Times New Roman" w:eastAsia="Calibri" w:hAnsi="Times New Roman" w:cs="Times New Roman"/>
                <w:bCs/>
                <w:sz w:val="20"/>
                <w:szCs w:val="20"/>
              </w:rPr>
            </w:pPr>
            <w:r w:rsidRPr="00FB13E4">
              <w:rPr>
                <w:rFonts w:ascii="Times New Roman" w:hAnsi="Times New Roman" w:cs="Times New Roman"/>
                <w:b/>
                <w:bCs/>
                <w:i/>
                <w:iCs/>
                <w:color w:val="000000"/>
                <w:sz w:val="20"/>
                <w:szCs w:val="20"/>
              </w:rPr>
              <w:t>50</w:t>
            </w:r>
          </w:p>
        </w:tc>
        <w:tc>
          <w:tcPr>
            <w:tcW w:w="873" w:type="dxa"/>
            <w:shd w:val="clear" w:color="auto" w:fill="000000" w:themeFill="text1"/>
            <w:noWrap/>
            <w:vAlign w:val="center"/>
          </w:tcPr>
          <w:p w:rsidR="00F15A74" w:rsidRPr="00FB13E4" w:rsidP="00F15A74" w14:paraId="4F96A160" w14:textId="27E11936">
            <w:pPr>
              <w:widowControl/>
              <w:autoSpaceDE/>
              <w:autoSpaceDN/>
              <w:adjustRightInd/>
              <w:jc w:val="center"/>
              <w:rPr>
                <w:rFonts w:ascii="Times New Roman" w:eastAsia="Calibri" w:hAnsi="Times New Roman" w:cs="Times New Roman"/>
                <w:bCs/>
                <w:sz w:val="20"/>
                <w:szCs w:val="20"/>
              </w:rPr>
            </w:pPr>
            <w:r w:rsidRPr="00FB13E4">
              <w:rPr>
                <w:rFonts w:ascii="Times New Roman" w:hAnsi="Times New Roman" w:cs="Times New Roman"/>
                <w:b/>
                <w:bCs/>
                <w:i/>
                <w:iCs/>
                <w:color w:val="000000"/>
                <w:sz w:val="20"/>
                <w:szCs w:val="20"/>
              </w:rPr>
              <w:t> </w:t>
            </w:r>
          </w:p>
        </w:tc>
        <w:tc>
          <w:tcPr>
            <w:tcW w:w="1226" w:type="dxa"/>
            <w:noWrap/>
            <w:vAlign w:val="center"/>
          </w:tcPr>
          <w:p w:rsidR="00F15A74" w:rsidRPr="00FB13E4" w:rsidP="00F15A74" w14:paraId="51ABC0EB" w14:textId="30087256">
            <w:pPr>
              <w:widowControl/>
              <w:autoSpaceDE/>
              <w:autoSpaceDN/>
              <w:adjustRightInd/>
              <w:jc w:val="center"/>
              <w:rPr>
                <w:rFonts w:ascii="Times New Roman" w:eastAsia="Calibri" w:hAnsi="Times New Roman" w:cs="Times New Roman"/>
                <w:bCs/>
                <w:sz w:val="20"/>
                <w:szCs w:val="20"/>
              </w:rPr>
            </w:pPr>
            <w:r w:rsidRPr="00FB13E4">
              <w:rPr>
                <w:rFonts w:ascii="Times New Roman" w:hAnsi="Times New Roman" w:cs="Times New Roman"/>
                <w:b/>
                <w:bCs/>
                <w:i/>
                <w:iCs/>
                <w:color w:val="000000"/>
                <w:sz w:val="20"/>
                <w:szCs w:val="20"/>
              </w:rPr>
              <w:t xml:space="preserve">$3,697.60 </w:t>
            </w:r>
          </w:p>
        </w:tc>
      </w:tr>
      <w:tr w14:paraId="67244326" w14:textId="77777777" w:rsidTr="00DF7824">
        <w:tblPrEx>
          <w:tblW w:w="8551" w:type="dxa"/>
          <w:tblInd w:w="85" w:type="dxa"/>
          <w:tblLayout w:type="fixed"/>
          <w:tblLook w:val="04A0"/>
        </w:tblPrEx>
        <w:trPr>
          <w:trHeight w:val="341"/>
        </w:trPr>
        <w:tc>
          <w:tcPr>
            <w:tcW w:w="3060" w:type="dxa"/>
            <w:shd w:val="clear" w:color="auto" w:fill="auto"/>
            <w:noWrap/>
            <w:vAlign w:val="center"/>
            <w:hideMark/>
          </w:tcPr>
          <w:p w:rsidR="00F15A74" w:rsidRPr="00141C82" w:rsidP="00F15A74" w14:paraId="49C200C4" w14:textId="078EEF27">
            <w:pPr>
              <w:widowControl/>
              <w:autoSpaceDE/>
              <w:autoSpaceDN/>
              <w:adjustRightInd/>
              <w:rPr>
                <w:rFonts w:ascii="Times New Roman" w:eastAsia="Calibri" w:hAnsi="Times New Roman" w:cs="Times New Roman"/>
                <w:b/>
                <w:bCs/>
                <w:i/>
                <w:iCs/>
                <w:sz w:val="20"/>
                <w:szCs w:val="20"/>
              </w:rPr>
            </w:pPr>
            <w:r w:rsidRPr="00141C82">
              <w:rPr>
                <w:rFonts w:ascii="Times New Roman" w:hAnsi="Times New Roman" w:cs="Times New Roman"/>
                <w:b/>
                <w:bCs/>
                <w:i/>
                <w:iCs/>
                <w:color w:val="000000"/>
                <w:sz w:val="20"/>
                <w:szCs w:val="20"/>
              </w:rPr>
              <w:t>Total (rounded)</w:t>
            </w:r>
          </w:p>
        </w:tc>
        <w:tc>
          <w:tcPr>
            <w:tcW w:w="1170" w:type="dxa"/>
            <w:shd w:val="clear" w:color="auto" w:fill="auto"/>
            <w:vAlign w:val="center"/>
            <w:hideMark/>
          </w:tcPr>
          <w:p w:rsidR="00F15A74" w:rsidRPr="00141C82" w:rsidP="00F15A74" w14:paraId="32A42D21" w14:textId="7581B085">
            <w:pPr>
              <w:widowControl/>
              <w:autoSpaceDE/>
              <w:autoSpaceDN/>
              <w:adjustRightInd/>
              <w:jc w:val="center"/>
              <w:rPr>
                <w:rFonts w:ascii="Times New Roman" w:eastAsia="Calibri" w:hAnsi="Times New Roman" w:cs="Times New Roman"/>
                <w:b/>
                <w:bCs/>
                <w:sz w:val="20"/>
                <w:szCs w:val="20"/>
              </w:rPr>
            </w:pPr>
            <w:r w:rsidRPr="00141C82">
              <w:rPr>
                <w:rFonts w:ascii="Times New Roman" w:hAnsi="Times New Roman" w:cs="Times New Roman"/>
                <w:b/>
                <w:bCs/>
                <w:i/>
                <w:iCs/>
                <w:color w:val="000000"/>
                <w:sz w:val="20"/>
                <w:szCs w:val="20"/>
              </w:rPr>
              <w:t>76</w:t>
            </w:r>
          </w:p>
        </w:tc>
        <w:tc>
          <w:tcPr>
            <w:tcW w:w="1251" w:type="dxa"/>
            <w:shd w:val="clear" w:color="auto" w:fill="auto"/>
            <w:vAlign w:val="center"/>
          </w:tcPr>
          <w:p w:rsidR="00F15A74" w:rsidRPr="00141C82" w:rsidP="00F15A74" w14:paraId="5F64213B" w14:textId="347FA19A">
            <w:pPr>
              <w:widowControl/>
              <w:autoSpaceDE/>
              <w:autoSpaceDN/>
              <w:adjustRightInd/>
              <w:jc w:val="center"/>
              <w:rPr>
                <w:rFonts w:ascii="Times New Roman" w:eastAsia="Calibri" w:hAnsi="Times New Roman" w:cs="Times New Roman"/>
                <w:b/>
                <w:bCs/>
                <w:sz w:val="20"/>
                <w:szCs w:val="20"/>
              </w:rPr>
            </w:pPr>
          </w:p>
        </w:tc>
        <w:tc>
          <w:tcPr>
            <w:tcW w:w="971" w:type="dxa"/>
            <w:shd w:val="clear" w:color="auto" w:fill="auto"/>
            <w:vAlign w:val="center"/>
            <w:hideMark/>
          </w:tcPr>
          <w:p w:rsidR="00F15A74" w:rsidRPr="00141C82" w:rsidP="00F15A74" w14:paraId="1F5BB0E6" w14:textId="0EACC8C0">
            <w:pPr>
              <w:widowControl/>
              <w:autoSpaceDE/>
              <w:autoSpaceDN/>
              <w:adjustRightInd/>
              <w:jc w:val="center"/>
              <w:rPr>
                <w:rFonts w:ascii="Times New Roman" w:eastAsia="Calibri" w:hAnsi="Times New Roman" w:cs="Times New Roman"/>
                <w:b/>
                <w:bCs/>
                <w:sz w:val="20"/>
                <w:szCs w:val="20"/>
              </w:rPr>
            </w:pPr>
            <w:r w:rsidRPr="00141C82">
              <w:rPr>
                <w:rFonts w:ascii="Times New Roman" w:hAnsi="Times New Roman" w:cs="Times New Roman"/>
                <w:b/>
                <w:bCs/>
                <w:i/>
                <w:iCs/>
                <w:color w:val="000000"/>
                <w:sz w:val="20"/>
                <w:szCs w:val="20"/>
              </w:rPr>
              <w:t>1</w:t>
            </w:r>
            <w:r w:rsidRPr="00141C82" w:rsidR="00CD370D">
              <w:rPr>
                <w:rFonts w:ascii="Times New Roman" w:hAnsi="Times New Roman" w:cs="Times New Roman"/>
                <w:b/>
                <w:bCs/>
                <w:i/>
                <w:iCs/>
                <w:color w:val="000000"/>
                <w:sz w:val="20"/>
                <w:szCs w:val="20"/>
              </w:rPr>
              <w:t>90</w:t>
            </w:r>
          </w:p>
        </w:tc>
        <w:tc>
          <w:tcPr>
            <w:tcW w:w="873" w:type="dxa"/>
            <w:shd w:val="clear" w:color="auto" w:fill="000000"/>
            <w:noWrap/>
            <w:vAlign w:val="center"/>
            <w:hideMark/>
          </w:tcPr>
          <w:p w:rsidR="00F15A74" w:rsidRPr="00141C82" w:rsidP="00F15A74" w14:paraId="1B9E2094" w14:textId="2A741CE7">
            <w:pPr>
              <w:widowControl/>
              <w:autoSpaceDE/>
              <w:autoSpaceDN/>
              <w:adjustRightInd/>
              <w:jc w:val="center"/>
              <w:rPr>
                <w:rFonts w:ascii="Times New Roman" w:eastAsia="Calibri" w:hAnsi="Times New Roman" w:cs="Times New Roman"/>
                <w:b/>
                <w:bCs/>
                <w:sz w:val="20"/>
                <w:szCs w:val="20"/>
              </w:rPr>
            </w:pPr>
            <w:r w:rsidRPr="00141C82">
              <w:rPr>
                <w:rFonts w:ascii="Times New Roman" w:hAnsi="Times New Roman" w:cs="Times New Roman"/>
                <w:b/>
                <w:bCs/>
                <w:i/>
                <w:iCs/>
                <w:color w:val="000000"/>
                <w:sz w:val="20"/>
                <w:szCs w:val="20"/>
              </w:rPr>
              <w:t> </w:t>
            </w:r>
          </w:p>
        </w:tc>
        <w:tc>
          <w:tcPr>
            <w:tcW w:w="1226" w:type="dxa"/>
            <w:shd w:val="clear" w:color="auto" w:fill="auto"/>
            <w:noWrap/>
            <w:vAlign w:val="center"/>
            <w:hideMark/>
          </w:tcPr>
          <w:p w:rsidR="00F15A74" w:rsidRPr="00141C82" w:rsidP="00F15A74" w14:paraId="1C548A03" w14:textId="327E2BF4">
            <w:pPr>
              <w:widowControl/>
              <w:autoSpaceDE/>
              <w:autoSpaceDN/>
              <w:adjustRightInd/>
              <w:jc w:val="center"/>
              <w:rPr>
                <w:rFonts w:ascii="Times New Roman" w:eastAsia="Calibri" w:hAnsi="Times New Roman" w:cs="Times New Roman"/>
                <w:b/>
                <w:bCs/>
                <w:sz w:val="20"/>
                <w:szCs w:val="20"/>
              </w:rPr>
            </w:pPr>
            <w:r w:rsidRPr="00141C82">
              <w:rPr>
                <w:rFonts w:ascii="Times New Roman" w:hAnsi="Times New Roman" w:cs="Times New Roman"/>
                <w:b/>
                <w:bCs/>
                <w:i/>
                <w:iCs/>
                <w:color w:val="000000"/>
                <w:sz w:val="20"/>
                <w:szCs w:val="20"/>
              </w:rPr>
              <w:t>$1</w:t>
            </w:r>
            <w:r w:rsidRPr="00141C82" w:rsidR="002D3E56">
              <w:rPr>
                <w:rFonts w:ascii="Times New Roman" w:hAnsi="Times New Roman" w:cs="Times New Roman"/>
                <w:b/>
                <w:bCs/>
                <w:i/>
                <w:iCs/>
                <w:color w:val="000000"/>
                <w:sz w:val="20"/>
                <w:szCs w:val="20"/>
              </w:rPr>
              <w:t>4</w:t>
            </w:r>
            <w:r w:rsidRPr="00141C82">
              <w:rPr>
                <w:rFonts w:ascii="Times New Roman" w:hAnsi="Times New Roman" w:cs="Times New Roman"/>
                <w:b/>
                <w:bCs/>
                <w:i/>
                <w:iCs/>
                <w:color w:val="000000"/>
                <w:sz w:val="20"/>
                <w:szCs w:val="20"/>
              </w:rPr>
              <w:t>,</w:t>
            </w:r>
            <w:r w:rsidRPr="00141C82" w:rsidR="002D3E56">
              <w:rPr>
                <w:rFonts w:ascii="Times New Roman" w:hAnsi="Times New Roman" w:cs="Times New Roman"/>
                <w:b/>
                <w:bCs/>
                <w:i/>
                <w:iCs/>
                <w:color w:val="000000"/>
                <w:sz w:val="20"/>
                <w:szCs w:val="20"/>
              </w:rPr>
              <w:t>051</w:t>
            </w:r>
            <w:r w:rsidRPr="00141C82">
              <w:rPr>
                <w:rFonts w:ascii="Times New Roman" w:hAnsi="Times New Roman" w:cs="Times New Roman"/>
                <w:b/>
                <w:bCs/>
                <w:i/>
                <w:iCs/>
                <w:color w:val="000000"/>
                <w:sz w:val="20"/>
                <w:szCs w:val="20"/>
              </w:rPr>
              <w:t xml:space="preserve"> </w:t>
            </w:r>
          </w:p>
        </w:tc>
      </w:tr>
      <w:bookmarkEnd w:id="31"/>
      <w:bookmarkEnd w:id="32"/>
    </w:tbl>
    <w:p w:rsidR="00DF69F4" w:rsidRPr="00871CA6" w:rsidP="00DF69F4" w14:paraId="010931C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CE7E93" w:rsidRPr="00CE7E93" w:rsidP="00F065E8" w14:paraId="7FDF08E2" w14:textId="77777777">
      <w:pPr>
        <w:widowControl/>
        <w:tabs>
          <w:tab w:val="left" w:pos="0"/>
        </w:tabs>
        <w:rPr>
          <w:b/>
          <w:bCs/>
          <w:color w:val="000000"/>
        </w:rPr>
      </w:pPr>
      <w:r w:rsidRPr="00B77579">
        <w:rPr>
          <w:b/>
          <w:bCs/>
          <w:color w:val="000000"/>
        </w:rPr>
        <w:t xml:space="preserve">15.  </w:t>
      </w:r>
      <w:r>
        <w:rPr>
          <w:b/>
          <w:bCs/>
          <w:color w:val="000000"/>
        </w:rPr>
        <w:t>E</w:t>
      </w:r>
      <w:r w:rsidRPr="00CE7E93">
        <w:rPr>
          <w:b/>
          <w:bCs/>
          <w:color w:val="000000"/>
        </w:rPr>
        <w:t>xplain the reasons for any program changes or adjustments.</w:t>
      </w:r>
    </w:p>
    <w:p w:rsidR="003C061D" w:rsidRPr="00B77579" w:rsidP="00584209" w14:paraId="2A64CBDA" w14:textId="77777777">
      <w:pPr>
        <w:widowControl/>
        <w:tabs>
          <w:tab w:val="left" w:pos="360"/>
        </w:tabs>
        <w:ind w:left="360" w:hanging="360"/>
        <w:rPr>
          <w:color w:val="000000"/>
        </w:rPr>
      </w:pPr>
    </w:p>
    <w:p w:rsidR="00F15A74" w:rsidRPr="00E17D29" w:rsidP="00F15A74" w14:paraId="762B8A1A" w14:textId="1E1AE9DF">
      <w:pPr>
        <w:widowControl/>
      </w:pPr>
      <w:r w:rsidRPr="00E17D29">
        <w:rPr>
          <w:i/>
          <w:u w:val="single"/>
        </w:rPr>
        <w:t>Respondents</w:t>
      </w:r>
      <w:r w:rsidRPr="00E17D29">
        <w:t xml:space="preserve">: The number of respondents </w:t>
      </w:r>
      <w:r w:rsidR="000A42D5">
        <w:t>in</w:t>
      </w:r>
      <w:r w:rsidRPr="00E17D29" w:rsidR="000A42D5">
        <w:t xml:space="preserve">creased </w:t>
      </w:r>
      <w:r w:rsidRPr="00E17D29">
        <w:t xml:space="preserve">from </w:t>
      </w:r>
      <w:r w:rsidR="00FB56D6">
        <w:t>50</w:t>
      </w:r>
      <w:r w:rsidRPr="00E17D29">
        <w:t xml:space="preserve"> to </w:t>
      </w:r>
      <w:r w:rsidR="00FB56D6">
        <w:t>76</w:t>
      </w:r>
      <w:r w:rsidRPr="00E17D29">
        <w:t xml:space="preserve"> due </w:t>
      </w:r>
      <w:bookmarkStart w:id="33" w:name="_Hlk125973945"/>
      <w:r>
        <w:t>a</w:t>
      </w:r>
      <w:r w:rsidR="000A42D5">
        <w:t xml:space="preserve">n increase </w:t>
      </w:r>
      <w:r>
        <w:t xml:space="preserve">in the number of </w:t>
      </w:r>
      <w:r w:rsidR="00FB56D6">
        <w:t>grantees</w:t>
      </w:r>
      <w:r w:rsidR="000A42D5">
        <w:t xml:space="preserve"> to be considered</w:t>
      </w:r>
      <w:r>
        <w:t>.</w:t>
      </w:r>
    </w:p>
    <w:p w:rsidR="00F15A74" w:rsidRPr="00E17D29" w:rsidP="00F15A74" w14:paraId="7F5DFE21" w14:textId="77777777">
      <w:pPr>
        <w:widowControl/>
      </w:pPr>
    </w:p>
    <w:p w:rsidR="00F15A74" w:rsidRPr="00E17D29" w:rsidP="00F15A74" w14:paraId="53EB2D66" w14:textId="483C521E">
      <w:pPr>
        <w:widowControl/>
      </w:pPr>
      <w:r w:rsidRPr="00E17D29">
        <w:rPr>
          <w:i/>
          <w:u w:val="single"/>
        </w:rPr>
        <w:t>Responses</w:t>
      </w:r>
      <w:r w:rsidRPr="00E17D29">
        <w:t xml:space="preserve">: The number of responses </w:t>
      </w:r>
      <w:r w:rsidR="00FB56D6">
        <w:t>in</w:t>
      </w:r>
      <w:r w:rsidRPr="00E17D29">
        <w:t xml:space="preserve">creased from </w:t>
      </w:r>
      <w:r w:rsidR="00FB56D6">
        <w:t>250</w:t>
      </w:r>
      <w:r w:rsidRPr="00E17D29">
        <w:t xml:space="preserve"> to </w:t>
      </w:r>
      <w:r>
        <w:t>380</w:t>
      </w:r>
      <w:r w:rsidRPr="00E17D29">
        <w:t xml:space="preserve"> due to the </w:t>
      </w:r>
      <w:r w:rsidR="00FB56D6">
        <w:t>increase</w:t>
      </w:r>
      <w:r w:rsidRPr="00E17D29">
        <w:t xml:space="preserve"> in the number of respondents.</w:t>
      </w:r>
    </w:p>
    <w:p w:rsidR="00F15A74" w:rsidRPr="00E17D29" w:rsidP="00F15A74" w14:paraId="0039942D" w14:textId="77777777">
      <w:pPr>
        <w:widowControl/>
      </w:pPr>
    </w:p>
    <w:p w:rsidR="00F15A74" w:rsidRPr="00E17D29" w:rsidP="00F15A74" w14:paraId="3BF627F6" w14:textId="75F55261">
      <w:pPr>
        <w:widowControl/>
      </w:pPr>
      <w:r w:rsidRPr="00E17D29">
        <w:rPr>
          <w:i/>
          <w:u w:val="single"/>
        </w:rPr>
        <w:t>Burden Hours</w:t>
      </w:r>
      <w:r w:rsidRPr="00E17D29">
        <w:t xml:space="preserve">: The number of burden hours </w:t>
      </w:r>
      <w:r w:rsidR="00FB56D6">
        <w:t>in</w:t>
      </w:r>
      <w:r w:rsidRPr="00E17D29">
        <w:t xml:space="preserve">creased from </w:t>
      </w:r>
      <w:r w:rsidR="00FB56D6">
        <w:t>625</w:t>
      </w:r>
      <w:r w:rsidRPr="00E17D29">
        <w:t xml:space="preserve"> to </w:t>
      </w:r>
      <w:r w:rsidR="006C304E">
        <w:t>85</w:t>
      </w:r>
      <w:r>
        <w:t>0</w:t>
      </w:r>
      <w:r w:rsidRPr="00E17D29">
        <w:t xml:space="preserve"> due to the </w:t>
      </w:r>
      <w:r w:rsidR="006C304E">
        <w:t>in</w:t>
      </w:r>
      <w:r w:rsidRPr="00E17D29">
        <w:t xml:space="preserve">creases in </w:t>
      </w:r>
      <w:r w:rsidR="006C304E">
        <w:t xml:space="preserve">the number of </w:t>
      </w:r>
      <w:r w:rsidRPr="00E17D29">
        <w:t>respondents.</w:t>
      </w:r>
    </w:p>
    <w:p w:rsidR="00F15A74" w:rsidRPr="00E17D29" w:rsidP="00F15A74" w14:paraId="6D67E940" w14:textId="77777777">
      <w:pPr>
        <w:widowControl/>
      </w:pPr>
    </w:p>
    <w:p w:rsidR="00F15A74" w:rsidRPr="00E17D29" w:rsidP="00F15A74" w14:paraId="466C1F28" w14:textId="119E9948">
      <w:pPr>
        <w:widowControl/>
      </w:pPr>
      <w:r w:rsidRPr="00E17D29">
        <w:rPr>
          <w:i/>
          <w:u w:val="single"/>
        </w:rPr>
        <w:t>Respondents or Recordkeeping Costs</w:t>
      </w:r>
      <w:r w:rsidRPr="00E17D29">
        <w:t>: The estimated annual cost</w:t>
      </w:r>
      <w:r w:rsidR="00E940FE">
        <w:t>s</w:t>
      </w:r>
      <w:r w:rsidRPr="00E17D29">
        <w:t xml:space="preserve"> </w:t>
      </w:r>
      <w:r w:rsidR="00E940FE">
        <w:t>remain the same.</w:t>
      </w:r>
      <w:r>
        <w:t xml:space="preserve"> </w:t>
      </w:r>
    </w:p>
    <w:p w:rsidR="00F15A74" w:rsidRPr="00E17D29" w:rsidP="00F15A74" w14:paraId="3CF41261" w14:textId="77777777"/>
    <w:p w:rsidR="00F15A74" w:rsidP="00F15A74" w14:paraId="7A71ECB3" w14:textId="304D7AC6">
      <w:pPr>
        <w:rPr>
          <w:b/>
          <w:bCs/>
        </w:rPr>
      </w:pPr>
      <w:r w:rsidRPr="00863256">
        <w:rPr>
          <w:b/>
          <w:bCs/>
        </w:rPr>
        <w:t>Table 15-1</w:t>
      </w:r>
      <w:r w:rsidR="00FF1868">
        <w:rPr>
          <w:b/>
          <w:bCs/>
        </w:rPr>
        <w:t>.</w:t>
      </w:r>
      <w:r w:rsidRPr="00863256">
        <w:rPr>
          <w:b/>
          <w:bCs/>
        </w:rPr>
        <w:t xml:space="preserve"> Changes to OMB #1219-0</w:t>
      </w:r>
      <w:r w:rsidRPr="00863256" w:rsidR="006C304E">
        <w:rPr>
          <w:b/>
          <w:bCs/>
        </w:rPr>
        <w:t>15</w:t>
      </w:r>
      <w:r w:rsidRPr="00863256">
        <w:rPr>
          <w:b/>
          <w:bCs/>
        </w:rPr>
        <w:t>4</w:t>
      </w:r>
    </w:p>
    <w:p w:rsidR="006C304E" w:rsidRPr="00863256" w:rsidP="00F15A74" w14:paraId="3FCF932A" w14:textId="77777777">
      <w:pPr>
        <w:rPr>
          <w:b/>
          <w:bCs/>
        </w:rPr>
      </w:pPr>
    </w:p>
    <w:tbl>
      <w:tblPr>
        <w:tblW w:w="8181" w:type="dxa"/>
        <w:tblInd w:w="-1" w:type="dxa"/>
        <w:tblCellMar>
          <w:left w:w="0" w:type="dxa"/>
          <w:right w:w="0" w:type="dxa"/>
        </w:tblCellMar>
        <w:tblLook w:val="04A0"/>
      </w:tblPr>
      <w:tblGrid>
        <w:gridCol w:w="3591"/>
        <w:gridCol w:w="1553"/>
        <w:gridCol w:w="1507"/>
        <w:gridCol w:w="1530"/>
      </w:tblGrid>
      <w:tr w14:paraId="221A8C16" w14:textId="77777777" w:rsidTr="005A1364">
        <w:tblPrEx>
          <w:tblW w:w="8181" w:type="dxa"/>
          <w:tblInd w:w="-1" w:type="dxa"/>
          <w:tblCellMar>
            <w:left w:w="0" w:type="dxa"/>
            <w:right w:w="0" w:type="dxa"/>
          </w:tblCellMar>
          <w:tblLook w:val="04A0"/>
        </w:tblPrEx>
        <w:trPr>
          <w:trHeight w:val="305"/>
        </w:trPr>
        <w:tc>
          <w:tcPr>
            <w:tcW w:w="3591" w:type="dxa"/>
            <w:tcBorders>
              <w:top w:val="single" w:sz="8" w:space="0" w:color="auto"/>
              <w:left w:val="single" w:sz="8" w:space="0" w:color="auto"/>
              <w:bottom w:val="single" w:sz="8" w:space="0" w:color="auto"/>
              <w:right w:val="single" w:sz="8" w:space="0" w:color="auto"/>
            </w:tcBorders>
            <w:shd w:val="clear" w:color="auto" w:fill="B8CCE4" w:themeFill="accent1" w:themeFillTint="66"/>
            <w:noWrap/>
            <w:tcMar>
              <w:top w:w="0" w:type="dxa"/>
              <w:left w:w="108" w:type="dxa"/>
              <w:bottom w:w="0" w:type="dxa"/>
              <w:right w:w="108" w:type="dxa"/>
            </w:tcMar>
            <w:vAlign w:val="bottom"/>
            <w:hideMark/>
          </w:tcPr>
          <w:p w:rsidR="00F15A74" w:rsidRPr="00863256" w:rsidP="0018469C" w14:paraId="7F928A95" w14:textId="77777777">
            <w:pPr>
              <w:widowControl/>
              <w:autoSpaceDE/>
              <w:autoSpaceDN/>
              <w:adjustRightInd/>
              <w:rPr>
                <w:rFonts w:eastAsia="Calibri"/>
                <w:b/>
                <w:bCs/>
                <w:color w:val="000000"/>
                <w:sz w:val="22"/>
                <w:szCs w:val="22"/>
              </w:rPr>
            </w:pPr>
            <w:r w:rsidRPr="00863256">
              <w:rPr>
                <w:rFonts w:eastAsia="Calibri"/>
                <w:b/>
                <w:bCs/>
                <w:color w:val="000000"/>
                <w:sz w:val="22"/>
                <w:szCs w:val="22"/>
              </w:rPr>
              <w:t> </w:t>
            </w:r>
          </w:p>
        </w:tc>
        <w:tc>
          <w:tcPr>
            <w:tcW w:w="1553" w:type="dxa"/>
            <w:tcBorders>
              <w:top w:val="single" w:sz="8" w:space="0" w:color="auto"/>
              <w:left w:val="nil"/>
              <w:bottom w:val="single" w:sz="8" w:space="0" w:color="auto"/>
              <w:right w:val="single" w:sz="8" w:space="0" w:color="auto"/>
            </w:tcBorders>
            <w:shd w:val="clear" w:color="auto" w:fill="B8CCE4" w:themeFill="accent1" w:themeFillTint="66"/>
            <w:noWrap/>
            <w:tcMar>
              <w:top w:w="0" w:type="dxa"/>
              <w:left w:w="108" w:type="dxa"/>
              <w:bottom w:w="0" w:type="dxa"/>
              <w:right w:w="108" w:type="dxa"/>
            </w:tcMar>
            <w:vAlign w:val="bottom"/>
            <w:hideMark/>
          </w:tcPr>
          <w:p w:rsidR="00F15A74" w:rsidRPr="00863256" w:rsidP="0018469C" w14:paraId="33DB6433" w14:textId="77777777">
            <w:pPr>
              <w:widowControl/>
              <w:autoSpaceDE/>
              <w:autoSpaceDN/>
              <w:adjustRightInd/>
              <w:jc w:val="center"/>
              <w:rPr>
                <w:rFonts w:eastAsia="Calibri"/>
                <w:b/>
                <w:bCs/>
                <w:color w:val="000000"/>
                <w:sz w:val="22"/>
                <w:szCs w:val="22"/>
              </w:rPr>
            </w:pPr>
            <w:r w:rsidRPr="00863256">
              <w:rPr>
                <w:rFonts w:eastAsia="Calibri"/>
                <w:b/>
                <w:bCs/>
                <w:color w:val="000000"/>
                <w:sz w:val="22"/>
                <w:szCs w:val="22"/>
              </w:rPr>
              <w:t>Previous</w:t>
            </w:r>
          </w:p>
        </w:tc>
        <w:tc>
          <w:tcPr>
            <w:tcW w:w="1507" w:type="dxa"/>
            <w:tcBorders>
              <w:top w:val="single" w:sz="8" w:space="0" w:color="auto"/>
              <w:left w:val="nil"/>
              <w:bottom w:val="single" w:sz="8" w:space="0" w:color="auto"/>
              <w:right w:val="single" w:sz="8" w:space="0" w:color="auto"/>
            </w:tcBorders>
            <w:shd w:val="clear" w:color="auto" w:fill="B8CCE4" w:themeFill="accent1" w:themeFillTint="66"/>
            <w:noWrap/>
            <w:tcMar>
              <w:top w:w="0" w:type="dxa"/>
              <w:left w:w="108" w:type="dxa"/>
              <w:bottom w:w="0" w:type="dxa"/>
              <w:right w:w="108" w:type="dxa"/>
            </w:tcMar>
            <w:vAlign w:val="bottom"/>
            <w:hideMark/>
          </w:tcPr>
          <w:p w:rsidR="00F15A74" w:rsidRPr="00863256" w:rsidP="0018469C" w14:paraId="029FCBED" w14:textId="77777777">
            <w:pPr>
              <w:widowControl/>
              <w:autoSpaceDE/>
              <w:autoSpaceDN/>
              <w:adjustRightInd/>
              <w:jc w:val="center"/>
              <w:rPr>
                <w:rFonts w:eastAsia="Calibri"/>
                <w:b/>
                <w:bCs/>
                <w:color w:val="000000"/>
                <w:sz w:val="22"/>
                <w:szCs w:val="22"/>
              </w:rPr>
            </w:pPr>
            <w:r w:rsidRPr="00863256">
              <w:rPr>
                <w:rFonts w:eastAsia="Calibri"/>
                <w:b/>
                <w:bCs/>
                <w:color w:val="000000"/>
                <w:sz w:val="22"/>
                <w:szCs w:val="22"/>
              </w:rPr>
              <w:t>Current</w:t>
            </w:r>
          </w:p>
        </w:tc>
        <w:tc>
          <w:tcPr>
            <w:tcW w:w="1530" w:type="dxa"/>
            <w:tcBorders>
              <w:top w:val="single" w:sz="8" w:space="0" w:color="auto"/>
              <w:left w:val="nil"/>
              <w:bottom w:val="single" w:sz="8" w:space="0" w:color="auto"/>
              <w:right w:val="single" w:sz="8" w:space="0" w:color="auto"/>
            </w:tcBorders>
            <w:shd w:val="clear" w:color="auto" w:fill="B8CCE4" w:themeFill="accent1" w:themeFillTint="66"/>
            <w:noWrap/>
            <w:tcMar>
              <w:top w:w="0" w:type="dxa"/>
              <w:left w:w="108" w:type="dxa"/>
              <w:bottom w:w="0" w:type="dxa"/>
              <w:right w:w="108" w:type="dxa"/>
            </w:tcMar>
            <w:vAlign w:val="bottom"/>
            <w:hideMark/>
          </w:tcPr>
          <w:p w:rsidR="00F15A74" w:rsidRPr="00863256" w:rsidP="0018469C" w14:paraId="475EFCF1" w14:textId="77777777">
            <w:pPr>
              <w:widowControl/>
              <w:autoSpaceDE/>
              <w:autoSpaceDN/>
              <w:adjustRightInd/>
              <w:jc w:val="center"/>
              <w:rPr>
                <w:rFonts w:eastAsia="Calibri"/>
                <w:b/>
                <w:bCs/>
                <w:color w:val="000000"/>
                <w:sz w:val="22"/>
                <w:szCs w:val="22"/>
              </w:rPr>
            </w:pPr>
            <w:r w:rsidRPr="00863256">
              <w:rPr>
                <w:rFonts w:eastAsia="Calibri"/>
                <w:b/>
                <w:bCs/>
                <w:color w:val="000000"/>
                <w:sz w:val="22"/>
                <w:szCs w:val="22"/>
              </w:rPr>
              <w:t>Difference</w:t>
            </w:r>
          </w:p>
        </w:tc>
      </w:tr>
      <w:tr w14:paraId="5B95A029" w14:textId="77777777" w:rsidTr="003F5124">
        <w:tblPrEx>
          <w:tblW w:w="8181" w:type="dxa"/>
          <w:tblInd w:w="-1" w:type="dxa"/>
          <w:tblCellMar>
            <w:left w:w="0" w:type="dxa"/>
            <w:right w:w="0" w:type="dxa"/>
          </w:tblCellMar>
          <w:tblLook w:val="04A0"/>
        </w:tblPrEx>
        <w:trPr>
          <w:trHeight w:val="305"/>
        </w:trPr>
        <w:tc>
          <w:tcPr>
            <w:tcW w:w="35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C304E" w:rsidRPr="00863256" w:rsidP="006C304E" w14:paraId="6F7CED00" w14:textId="77777777">
            <w:pPr>
              <w:widowControl/>
              <w:autoSpaceDE/>
              <w:autoSpaceDN/>
              <w:adjustRightInd/>
              <w:rPr>
                <w:rFonts w:eastAsia="Calibri"/>
                <w:color w:val="000000"/>
                <w:sz w:val="22"/>
                <w:szCs w:val="22"/>
              </w:rPr>
            </w:pPr>
            <w:r w:rsidRPr="00863256">
              <w:rPr>
                <w:rFonts w:eastAsia="Calibri"/>
                <w:color w:val="000000"/>
                <w:sz w:val="22"/>
                <w:szCs w:val="22"/>
              </w:rPr>
              <w:t>Respondents</w:t>
            </w:r>
          </w:p>
        </w:tc>
        <w:tc>
          <w:tcPr>
            <w:tcW w:w="155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tcPr>
          <w:p w:rsidR="006C304E" w:rsidRPr="00863256" w:rsidP="006C304E" w14:paraId="269CFE01" w14:textId="67C653E8">
            <w:pPr>
              <w:widowControl/>
              <w:autoSpaceDE/>
              <w:autoSpaceDN/>
              <w:adjustRightInd/>
              <w:jc w:val="center"/>
              <w:rPr>
                <w:rFonts w:eastAsia="Calibri"/>
                <w:color w:val="000000"/>
                <w:sz w:val="22"/>
                <w:szCs w:val="22"/>
              </w:rPr>
            </w:pPr>
            <w:r>
              <w:rPr>
                <w:color w:val="000000"/>
                <w:sz w:val="22"/>
                <w:szCs w:val="22"/>
              </w:rPr>
              <w:t>50</w:t>
            </w:r>
          </w:p>
        </w:tc>
        <w:tc>
          <w:tcPr>
            <w:tcW w:w="1507"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tcPr>
          <w:p w:rsidR="006C304E" w:rsidRPr="00863256" w:rsidP="006C304E" w14:paraId="6FC94081" w14:textId="63E0991E">
            <w:pPr>
              <w:widowControl/>
              <w:autoSpaceDE/>
              <w:autoSpaceDN/>
              <w:adjustRightInd/>
              <w:jc w:val="center"/>
              <w:rPr>
                <w:rFonts w:eastAsia="Calibri"/>
                <w:color w:val="000000"/>
                <w:sz w:val="22"/>
                <w:szCs w:val="22"/>
              </w:rPr>
            </w:pPr>
            <w:r>
              <w:rPr>
                <w:color w:val="000000"/>
                <w:sz w:val="22"/>
                <w:szCs w:val="22"/>
              </w:rPr>
              <w:t>76</w:t>
            </w:r>
          </w:p>
        </w:tc>
        <w:tc>
          <w:tcPr>
            <w:tcW w:w="153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tcPr>
          <w:p w:rsidR="006C304E" w:rsidRPr="00863256" w:rsidP="006C304E" w14:paraId="16BC9465" w14:textId="6768B69B">
            <w:pPr>
              <w:widowControl/>
              <w:autoSpaceDE/>
              <w:autoSpaceDN/>
              <w:adjustRightInd/>
              <w:jc w:val="center"/>
              <w:rPr>
                <w:rFonts w:eastAsia="Calibri"/>
                <w:color w:val="000000"/>
                <w:sz w:val="22"/>
                <w:szCs w:val="22"/>
              </w:rPr>
            </w:pPr>
            <w:r>
              <w:rPr>
                <w:color w:val="000000"/>
                <w:sz w:val="22"/>
                <w:szCs w:val="22"/>
              </w:rPr>
              <w:t>26</w:t>
            </w:r>
          </w:p>
        </w:tc>
      </w:tr>
      <w:tr w14:paraId="58422B54" w14:textId="77777777" w:rsidTr="003F5124">
        <w:tblPrEx>
          <w:tblW w:w="8181" w:type="dxa"/>
          <w:tblInd w:w="-1" w:type="dxa"/>
          <w:tblCellMar>
            <w:left w:w="0" w:type="dxa"/>
            <w:right w:w="0" w:type="dxa"/>
          </w:tblCellMar>
          <w:tblLook w:val="04A0"/>
        </w:tblPrEx>
        <w:trPr>
          <w:trHeight w:val="305"/>
        </w:trPr>
        <w:tc>
          <w:tcPr>
            <w:tcW w:w="35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C304E" w:rsidRPr="00863256" w:rsidP="006C304E" w14:paraId="162E2AF3" w14:textId="77777777">
            <w:pPr>
              <w:widowControl/>
              <w:autoSpaceDE/>
              <w:autoSpaceDN/>
              <w:adjustRightInd/>
              <w:rPr>
                <w:rFonts w:eastAsia="Calibri"/>
                <w:color w:val="000000"/>
                <w:sz w:val="22"/>
                <w:szCs w:val="22"/>
              </w:rPr>
            </w:pPr>
            <w:r w:rsidRPr="00863256">
              <w:rPr>
                <w:rFonts w:eastAsia="Calibri"/>
                <w:color w:val="000000"/>
                <w:sz w:val="22"/>
                <w:szCs w:val="22"/>
              </w:rPr>
              <w:t>Responses</w:t>
            </w:r>
          </w:p>
        </w:tc>
        <w:tc>
          <w:tcPr>
            <w:tcW w:w="155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tcPr>
          <w:p w:rsidR="006C304E" w:rsidRPr="00863256" w:rsidP="006C304E" w14:paraId="04326EE4" w14:textId="1E0AD2D6">
            <w:pPr>
              <w:widowControl/>
              <w:autoSpaceDE/>
              <w:autoSpaceDN/>
              <w:adjustRightInd/>
              <w:jc w:val="center"/>
              <w:rPr>
                <w:rFonts w:eastAsia="Calibri"/>
                <w:color w:val="000000"/>
                <w:sz w:val="22"/>
                <w:szCs w:val="22"/>
              </w:rPr>
            </w:pPr>
            <w:r>
              <w:rPr>
                <w:color w:val="000000"/>
                <w:sz w:val="22"/>
                <w:szCs w:val="22"/>
              </w:rPr>
              <w:t>250</w:t>
            </w:r>
          </w:p>
        </w:tc>
        <w:tc>
          <w:tcPr>
            <w:tcW w:w="1507"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tcPr>
          <w:p w:rsidR="006C304E" w:rsidRPr="00863256" w:rsidP="006C304E" w14:paraId="1DD4E6AA" w14:textId="6610701C">
            <w:pPr>
              <w:widowControl/>
              <w:autoSpaceDE/>
              <w:autoSpaceDN/>
              <w:adjustRightInd/>
              <w:jc w:val="center"/>
              <w:rPr>
                <w:rFonts w:eastAsia="Calibri"/>
                <w:color w:val="000000"/>
                <w:sz w:val="22"/>
                <w:szCs w:val="22"/>
              </w:rPr>
            </w:pPr>
            <w:r>
              <w:rPr>
                <w:color w:val="000000"/>
                <w:sz w:val="22"/>
                <w:szCs w:val="22"/>
              </w:rPr>
              <w:t>380</w:t>
            </w:r>
          </w:p>
        </w:tc>
        <w:tc>
          <w:tcPr>
            <w:tcW w:w="153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tcPr>
          <w:p w:rsidR="006C304E" w:rsidRPr="00863256" w:rsidP="006C304E" w14:paraId="0BA1C654" w14:textId="51C620E9">
            <w:pPr>
              <w:widowControl/>
              <w:autoSpaceDE/>
              <w:autoSpaceDN/>
              <w:adjustRightInd/>
              <w:jc w:val="center"/>
              <w:rPr>
                <w:rFonts w:eastAsia="Calibri"/>
                <w:color w:val="000000"/>
                <w:sz w:val="22"/>
                <w:szCs w:val="22"/>
              </w:rPr>
            </w:pPr>
            <w:r>
              <w:rPr>
                <w:color w:val="000000"/>
                <w:sz w:val="22"/>
                <w:szCs w:val="22"/>
              </w:rPr>
              <w:t>130</w:t>
            </w:r>
          </w:p>
        </w:tc>
      </w:tr>
      <w:tr w14:paraId="74ED07D5" w14:textId="77777777" w:rsidTr="003F5124">
        <w:tblPrEx>
          <w:tblW w:w="8181" w:type="dxa"/>
          <w:tblInd w:w="-1" w:type="dxa"/>
          <w:tblCellMar>
            <w:left w:w="0" w:type="dxa"/>
            <w:right w:w="0" w:type="dxa"/>
          </w:tblCellMar>
          <w:tblLook w:val="04A0"/>
        </w:tblPrEx>
        <w:trPr>
          <w:trHeight w:val="305"/>
        </w:trPr>
        <w:tc>
          <w:tcPr>
            <w:tcW w:w="35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C304E" w:rsidRPr="00863256" w:rsidP="006C304E" w14:paraId="7D8512CC" w14:textId="77777777">
            <w:pPr>
              <w:widowControl/>
              <w:autoSpaceDE/>
              <w:autoSpaceDN/>
              <w:adjustRightInd/>
              <w:rPr>
                <w:rFonts w:eastAsia="Calibri"/>
                <w:color w:val="000000"/>
                <w:sz w:val="22"/>
                <w:szCs w:val="22"/>
              </w:rPr>
            </w:pPr>
            <w:r w:rsidRPr="00863256">
              <w:rPr>
                <w:rFonts w:eastAsia="Calibri"/>
                <w:color w:val="000000"/>
                <w:sz w:val="22"/>
                <w:szCs w:val="22"/>
              </w:rPr>
              <w:t>Burden Hours</w:t>
            </w:r>
          </w:p>
        </w:tc>
        <w:tc>
          <w:tcPr>
            <w:tcW w:w="155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tcPr>
          <w:p w:rsidR="006C304E" w:rsidRPr="00863256" w:rsidP="006C304E" w14:paraId="752F21C7" w14:textId="6E252AAE">
            <w:pPr>
              <w:widowControl/>
              <w:autoSpaceDE/>
              <w:autoSpaceDN/>
              <w:adjustRightInd/>
              <w:jc w:val="center"/>
              <w:rPr>
                <w:rFonts w:eastAsia="Calibri"/>
                <w:color w:val="000000"/>
                <w:sz w:val="22"/>
                <w:szCs w:val="22"/>
              </w:rPr>
            </w:pPr>
            <w:r>
              <w:rPr>
                <w:color w:val="000000"/>
                <w:sz w:val="22"/>
                <w:szCs w:val="22"/>
              </w:rPr>
              <w:t>625</w:t>
            </w:r>
          </w:p>
        </w:tc>
        <w:tc>
          <w:tcPr>
            <w:tcW w:w="1507"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tcPr>
          <w:p w:rsidR="006C304E" w:rsidRPr="00863256" w:rsidP="006C304E" w14:paraId="2C2FD14C" w14:textId="0467EB3E">
            <w:pPr>
              <w:widowControl/>
              <w:autoSpaceDE/>
              <w:autoSpaceDN/>
              <w:adjustRightInd/>
              <w:jc w:val="center"/>
              <w:rPr>
                <w:rFonts w:eastAsia="Calibri"/>
                <w:color w:val="000000"/>
                <w:sz w:val="22"/>
                <w:szCs w:val="22"/>
              </w:rPr>
            </w:pPr>
            <w:r>
              <w:rPr>
                <w:color w:val="000000"/>
                <w:sz w:val="22"/>
                <w:szCs w:val="22"/>
              </w:rPr>
              <w:t>850</w:t>
            </w:r>
          </w:p>
        </w:tc>
        <w:tc>
          <w:tcPr>
            <w:tcW w:w="153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tcPr>
          <w:p w:rsidR="006C304E" w:rsidRPr="00863256" w:rsidP="006C304E" w14:paraId="417D09C8" w14:textId="3B4FDE17">
            <w:pPr>
              <w:widowControl/>
              <w:autoSpaceDE/>
              <w:autoSpaceDN/>
              <w:adjustRightInd/>
              <w:jc w:val="center"/>
              <w:rPr>
                <w:rFonts w:eastAsia="Calibri"/>
                <w:color w:val="000000"/>
                <w:sz w:val="22"/>
                <w:szCs w:val="22"/>
              </w:rPr>
            </w:pPr>
            <w:r>
              <w:rPr>
                <w:color w:val="000000"/>
                <w:sz w:val="22"/>
                <w:szCs w:val="22"/>
              </w:rPr>
              <w:t>225</w:t>
            </w:r>
          </w:p>
        </w:tc>
      </w:tr>
      <w:tr w14:paraId="593DAA69" w14:textId="77777777" w:rsidTr="003F5124">
        <w:tblPrEx>
          <w:tblW w:w="8181" w:type="dxa"/>
          <w:tblInd w:w="-1" w:type="dxa"/>
          <w:tblCellMar>
            <w:left w:w="0" w:type="dxa"/>
            <w:right w:w="0" w:type="dxa"/>
          </w:tblCellMar>
          <w:tblLook w:val="04A0"/>
        </w:tblPrEx>
        <w:trPr>
          <w:trHeight w:val="305"/>
        </w:trPr>
        <w:tc>
          <w:tcPr>
            <w:tcW w:w="35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C304E" w:rsidRPr="00863256" w:rsidP="006C304E" w14:paraId="44526FD6" w14:textId="77777777">
            <w:pPr>
              <w:widowControl/>
              <w:autoSpaceDE/>
              <w:autoSpaceDN/>
              <w:adjustRightInd/>
              <w:rPr>
                <w:rFonts w:eastAsia="Calibri"/>
                <w:color w:val="000000"/>
                <w:sz w:val="22"/>
                <w:szCs w:val="22"/>
              </w:rPr>
            </w:pPr>
            <w:r w:rsidRPr="00863256">
              <w:rPr>
                <w:rFonts w:eastAsia="Calibri"/>
                <w:color w:val="000000"/>
                <w:sz w:val="22"/>
                <w:szCs w:val="22"/>
              </w:rPr>
              <w:t>Respondents or Recordkeepers Costs</w:t>
            </w:r>
          </w:p>
        </w:tc>
        <w:tc>
          <w:tcPr>
            <w:tcW w:w="155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tcPr>
          <w:p w:rsidR="006C304E" w:rsidRPr="00863256" w:rsidP="006C304E" w14:paraId="29994F84" w14:textId="6428A370">
            <w:pPr>
              <w:widowControl/>
              <w:autoSpaceDE/>
              <w:autoSpaceDN/>
              <w:adjustRightInd/>
              <w:jc w:val="center"/>
              <w:rPr>
                <w:rFonts w:eastAsia="Calibri"/>
                <w:color w:val="000000"/>
                <w:sz w:val="22"/>
                <w:szCs w:val="22"/>
              </w:rPr>
            </w:pPr>
            <w:r>
              <w:rPr>
                <w:color w:val="000000"/>
                <w:sz w:val="22"/>
                <w:szCs w:val="22"/>
              </w:rPr>
              <w:t>$</w:t>
            </w:r>
            <w:r w:rsidR="00E940FE">
              <w:rPr>
                <w:color w:val="000000"/>
                <w:sz w:val="22"/>
                <w:szCs w:val="22"/>
              </w:rPr>
              <w:t>0</w:t>
            </w:r>
          </w:p>
        </w:tc>
        <w:tc>
          <w:tcPr>
            <w:tcW w:w="1507"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tcPr>
          <w:p w:rsidR="006C304E" w:rsidRPr="00863256" w:rsidP="006C304E" w14:paraId="798C4E92" w14:textId="6E91CE0A">
            <w:pPr>
              <w:widowControl/>
              <w:autoSpaceDE/>
              <w:autoSpaceDN/>
              <w:adjustRightInd/>
              <w:jc w:val="center"/>
              <w:rPr>
                <w:rFonts w:eastAsia="Calibri"/>
                <w:color w:val="000000"/>
                <w:sz w:val="22"/>
                <w:szCs w:val="22"/>
              </w:rPr>
            </w:pPr>
            <w:r>
              <w:rPr>
                <w:color w:val="000000"/>
                <w:sz w:val="22"/>
                <w:szCs w:val="22"/>
              </w:rPr>
              <w:t>$</w:t>
            </w:r>
            <w:r w:rsidR="00E940FE">
              <w:rPr>
                <w:color w:val="000000"/>
                <w:sz w:val="22"/>
                <w:szCs w:val="22"/>
              </w:rPr>
              <w:t>0</w:t>
            </w:r>
          </w:p>
        </w:tc>
        <w:tc>
          <w:tcPr>
            <w:tcW w:w="153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tcPr>
          <w:p w:rsidR="006C304E" w:rsidRPr="00863256" w:rsidP="006C304E" w14:paraId="16AF2C28" w14:textId="7140D97F">
            <w:pPr>
              <w:widowControl/>
              <w:autoSpaceDE/>
              <w:autoSpaceDN/>
              <w:adjustRightInd/>
              <w:jc w:val="center"/>
              <w:rPr>
                <w:rFonts w:eastAsia="Calibri"/>
                <w:color w:val="000000"/>
                <w:sz w:val="22"/>
                <w:szCs w:val="22"/>
              </w:rPr>
            </w:pPr>
            <w:r>
              <w:rPr>
                <w:color w:val="000000"/>
                <w:sz w:val="22"/>
                <w:szCs w:val="22"/>
              </w:rPr>
              <w:t>$</w:t>
            </w:r>
            <w:r w:rsidR="00E940FE">
              <w:rPr>
                <w:color w:val="000000"/>
                <w:sz w:val="22"/>
                <w:szCs w:val="22"/>
              </w:rPr>
              <w:t>0</w:t>
            </w:r>
          </w:p>
        </w:tc>
      </w:tr>
      <w:bookmarkEnd w:id="33"/>
    </w:tbl>
    <w:p w:rsidR="00CE7E93" w:rsidRPr="00B77579" w:rsidP="00CC7F1A" w14:paraId="77ED2682" w14:textId="7984EF87">
      <w:pPr>
        <w:widowControl/>
        <w:rPr>
          <w:color w:val="000000"/>
        </w:rPr>
      </w:pPr>
    </w:p>
    <w:p w:rsidR="000542B5" w14:paraId="051EA8ED" w14:textId="77777777">
      <w:pPr>
        <w:widowControl/>
        <w:autoSpaceDE/>
        <w:autoSpaceDN/>
        <w:adjustRightInd/>
        <w:rPr>
          <w:b/>
          <w:bCs/>
          <w:color w:val="000000"/>
        </w:rPr>
      </w:pPr>
      <w:r>
        <w:rPr>
          <w:b/>
          <w:bCs/>
          <w:color w:val="000000"/>
        </w:rPr>
        <w:br w:type="page"/>
      </w:r>
    </w:p>
    <w:p w:rsidR="003C061D" w:rsidRPr="00B77579" w:rsidP="00CE7E93" w14:paraId="61B1A404" w14:textId="5BDB3F77">
      <w:pPr>
        <w:widowControl/>
        <w:rPr>
          <w:b/>
          <w:bCs/>
          <w:color w:val="000000"/>
        </w:rPr>
      </w:pPr>
      <w:r w:rsidRPr="00B77579">
        <w:rPr>
          <w:b/>
          <w:bCs/>
          <w:color w:val="000000"/>
        </w:rPr>
        <w:t xml:space="preserve">16.  </w:t>
      </w:r>
      <w:r w:rsidRPr="00CE7E93" w:rsidR="00CE7E93">
        <w:rPr>
          <w:b/>
          <w:bCs/>
          <w:color w:val="000000"/>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p>
    <w:p w:rsidR="003C061D" w:rsidRPr="00B77579" w:rsidP="00CC7F1A" w14:paraId="76EE27E2" w14:textId="77777777">
      <w:pPr>
        <w:widowControl/>
        <w:rPr>
          <w:color w:val="000000"/>
        </w:rPr>
      </w:pPr>
    </w:p>
    <w:p w:rsidR="003C061D" w:rsidRPr="00B77579" w:rsidP="00CC7F1A" w14:paraId="297D01AA" w14:textId="77777777">
      <w:pPr>
        <w:widowControl/>
        <w:rPr>
          <w:color w:val="000000"/>
        </w:rPr>
      </w:pPr>
      <w:r w:rsidRPr="00B77579">
        <w:rPr>
          <w:color w:val="000000"/>
        </w:rPr>
        <w:t>MSHA</w:t>
      </w:r>
      <w:r w:rsidRPr="00B77579">
        <w:rPr>
          <w:color w:val="000000"/>
        </w:rPr>
        <w:t xml:space="preserve"> has no plans to publish the information collected associated with </w:t>
      </w:r>
      <w:r w:rsidR="008E4B4F">
        <w:rPr>
          <w:color w:val="000000"/>
        </w:rPr>
        <w:t>performance reports</w:t>
      </w:r>
      <w:r w:rsidR="00BA04C2">
        <w:rPr>
          <w:color w:val="000000"/>
        </w:rPr>
        <w:t>.</w:t>
      </w:r>
    </w:p>
    <w:p w:rsidR="003C061D" w:rsidRPr="00B77579" w:rsidP="00CC7F1A" w14:paraId="3BB59446" w14:textId="77777777">
      <w:pPr>
        <w:widowControl/>
        <w:rPr>
          <w:color w:val="000000"/>
        </w:rPr>
      </w:pPr>
    </w:p>
    <w:p w:rsidR="003C061D" w:rsidRPr="00B77579" w:rsidP="00CC7F1A" w14:paraId="40062024" w14:textId="77777777">
      <w:pPr>
        <w:widowControl/>
        <w:rPr>
          <w:color w:val="000000"/>
        </w:rPr>
      </w:pPr>
      <w:r w:rsidRPr="00B77579">
        <w:rPr>
          <w:b/>
          <w:bCs/>
          <w:color w:val="000000"/>
        </w:rPr>
        <w:t xml:space="preserve">17.  </w:t>
      </w:r>
      <w:r w:rsidRPr="00B77579">
        <w:rPr>
          <w:b/>
          <w:bCs/>
          <w:color w:val="000000"/>
        </w:rPr>
        <w:t>If seeking approval to not display the expiration date for OMB approval of the information collection, explain the reasons that display would be inappropriate.</w:t>
      </w:r>
    </w:p>
    <w:p w:rsidR="003C061D" w:rsidRPr="00B77579" w:rsidP="00CC7F1A" w14:paraId="460BCF55" w14:textId="77777777">
      <w:pPr>
        <w:widowControl/>
        <w:rPr>
          <w:color w:val="000000"/>
        </w:rPr>
      </w:pPr>
    </w:p>
    <w:p w:rsidR="003C061D" w:rsidRPr="00B77579" w:rsidP="00CC7F1A" w14:paraId="4E1DC9F1" w14:textId="77777777">
      <w:pPr>
        <w:widowControl/>
        <w:rPr>
          <w:color w:val="000000"/>
        </w:rPr>
      </w:pPr>
      <w:r w:rsidRPr="00A445FF">
        <w:rPr>
          <w:color w:val="000000"/>
        </w:rPr>
        <w:t xml:space="preserve">MSHA will display the expiration date on </w:t>
      </w:r>
      <w:r w:rsidR="008E4B4F">
        <w:rPr>
          <w:color w:val="000000"/>
        </w:rPr>
        <w:t>MSHA Form 5000-50</w:t>
      </w:r>
      <w:r w:rsidRPr="00B77579">
        <w:rPr>
          <w:color w:val="000000"/>
        </w:rPr>
        <w:t>.</w:t>
      </w:r>
    </w:p>
    <w:p w:rsidR="003C061D" w:rsidRPr="00B77579" w:rsidP="00CC7F1A" w14:paraId="0C400405" w14:textId="77777777">
      <w:pPr>
        <w:widowControl/>
        <w:rPr>
          <w:b/>
          <w:bCs/>
          <w:color w:val="000000"/>
        </w:rPr>
      </w:pPr>
      <w:r w:rsidRPr="00B77579">
        <w:rPr>
          <w:b/>
          <w:bCs/>
          <w:color w:val="000000"/>
        </w:rPr>
        <w:t>18</w:t>
      </w:r>
      <w:r w:rsidRPr="00B77579" w:rsidR="00806341">
        <w:rPr>
          <w:b/>
          <w:bCs/>
          <w:color w:val="000000"/>
        </w:rPr>
        <w:t xml:space="preserve">. </w:t>
      </w:r>
      <w:r w:rsidRPr="00B77579">
        <w:rPr>
          <w:b/>
          <w:bCs/>
          <w:color w:val="000000"/>
        </w:rPr>
        <w:t xml:space="preserve"> </w:t>
      </w:r>
      <w:r w:rsidRPr="00B77579">
        <w:rPr>
          <w:b/>
          <w:bCs/>
          <w:color w:val="000000"/>
        </w:rPr>
        <w:t>Explain each exception to the certification statement</w:t>
      </w:r>
      <w:r w:rsidR="00CE7E93">
        <w:rPr>
          <w:b/>
          <w:bCs/>
          <w:color w:val="000000"/>
        </w:rPr>
        <w:t>.</w:t>
      </w:r>
    </w:p>
    <w:p w:rsidR="003C061D" w:rsidRPr="00B77579" w:rsidP="00CC7F1A" w14:paraId="0EE6DCCE" w14:textId="77777777">
      <w:pPr>
        <w:widowControl/>
        <w:rPr>
          <w:color w:val="000000"/>
        </w:rPr>
      </w:pPr>
    </w:p>
    <w:p w:rsidR="003C061D" w:rsidRPr="00B77579" w:rsidP="00CC7F1A" w14:paraId="49B18C06" w14:textId="77777777">
      <w:pPr>
        <w:widowControl/>
        <w:rPr>
          <w:color w:val="000000"/>
        </w:rPr>
      </w:pPr>
      <w:r w:rsidRPr="00B77579">
        <w:rPr>
          <w:color w:val="000000"/>
        </w:rPr>
        <w:t>MSHA</w:t>
      </w:r>
      <w:r w:rsidRPr="00B77579">
        <w:rPr>
          <w:color w:val="000000"/>
        </w:rPr>
        <w:t xml:space="preserve"> is not seeking an exception to the certification statement.</w:t>
      </w:r>
    </w:p>
    <w:p w:rsidR="001A4A08" w:rsidRPr="00B77579" w:rsidP="000B69BE" w14:paraId="5E777BAD" w14:textId="77777777">
      <w:pPr>
        <w:widowControl/>
        <w:rPr>
          <w:color w:val="000000"/>
        </w:rPr>
      </w:pPr>
    </w:p>
    <w:p w:rsidR="000D2D3A" w:rsidRPr="00B77579" w:rsidP="000B69BE" w14:paraId="28D08845" w14:textId="77777777">
      <w:pPr>
        <w:widowControl/>
        <w:rPr>
          <w:b/>
          <w:bCs/>
          <w:i/>
          <w:color w:val="000000"/>
        </w:rPr>
      </w:pPr>
      <w:r w:rsidRPr="00B77579">
        <w:rPr>
          <w:b/>
          <w:bCs/>
          <w:i/>
          <w:color w:val="000000"/>
        </w:rPr>
        <w:t xml:space="preserve">Part </w:t>
      </w:r>
      <w:r w:rsidRPr="00B77579" w:rsidR="00495F62">
        <w:rPr>
          <w:b/>
          <w:bCs/>
          <w:i/>
          <w:color w:val="000000"/>
        </w:rPr>
        <w:t>B.  Statistical Methods</w:t>
      </w:r>
    </w:p>
    <w:p w:rsidR="000D2D3A" w:rsidRPr="00B77579" w:rsidP="000B69BE" w14:paraId="63089289" w14:textId="77777777">
      <w:pPr>
        <w:widowControl/>
        <w:rPr>
          <w:color w:val="000000"/>
        </w:rPr>
      </w:pPr>
    </w:p>
    <w:p w:rsidR="000D2D3A" w:rsidRPr="00B77579" w:rsidP="000B69BE" w14:paraId="5AEA78F2" w14:textId="77777777">
      <w:pPr>
        <w:widowControl/>
        <w:rPr>
          <w:color w:val="000000"/>
        </w:rPr>
      </w:pPr>
      <w:r w:rsidRPr="00B77579">
        <w:rPr>
          <w:color w:val="000000"/>
        </w:rPr>
        <w:t>This information collection does not employ statistical methods.</w:t>
      </w:r>
      <w:bookmarkEnd w:id="0"/>
    </w:p>
    <w:sectPr w:rsidSect="00F065E8">
      <w:headerReference w:type="default" r:id="rId12"/>
      <w:footerReference w:type="even" r:id="rId13"/>
      <w:footerReference w:type="default" r:id="rId14"/>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061D" w14:paraId="203DCB6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061D" w14:paraId="7DB045B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061D" w14:paraId="6A20F6AE" w14:textId="14EDCD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5088">
      <w:rPr>
        <w:rStyle w:val="PageNumber"/>
        <w:noProof/>
      </w:rPr>
      <w:t>1</w:t>
    </w:r>
    <w:r>
      <w:rPr>
        <w:rStyle w:val="PageNumber"/>
      </w:rPr>
      <w:fldChar w:fldCharType="end"/>
    </w:r>
  </w:p>
  <w:p w:rsidR="003C061D" w14:paraId="0DA46654" w14:textId="77777777">
    <w:pPr>
      <w:pStyle w:val="Footer"/>
    </w:pPr>
    <w:r>
      <w:tab/>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007A8" w14:paraId="57F130EB" w14:textId="77777777">
      <w:r>
        <w:separator/>
      </w:r>
    </w:p>
  </w:footnote>
  <w:footnote w:type="continuationSeparator" w:id="1">
    <w:p w:rsidR="006007A8" w14:paraId="0B753F91" w14:textId="77777777">
      <w:r>
        <w:continuationSeparator/>
      </w:r>
    </w:p>
  </w:footnote>
  <w:footnote w:id="2">
    <w:p w:rsidR="009B7902" w:rsidRPr="003F5124" w:rsidP="00F32AFA" w14:paraId="159D0C3B" w14:textId="5A9AE8FC">
      <w:pPr>
        <w:pStyle w:val="FootnoteText"/>
        <w:rPr>
          <w:sz w:val="18"/>
          <w:szCs w:val="18"/>
        </w:rPr>
      </w:pPr>
      <w:r w:rsidRPr="003F5124">
        <w:rPr>
          <w:rStyle w:val="FootnoteReference"/>
          <w:sz w:val="18"/>
          <w:szCs w:val="18"/>
        </w:rPr>
        <w:footnoteRef/>
      </w:r>
      <w:r w:rsidRPr="003F5124">
        <w:rPr>
          <w:sz w:val="18"/>
          <w:szCs w:val="18"/>
        </w:rPr>
        <w:t xml:space="preserve"> </w:t>
      </w:r>
      <w:bookmarkStart w:id="10" w:name="_Hlk137116277"/>
      <w:r w:rsidRPr="003F5124">
        <w:rPr>
          <w:sz w:val="18"/>
          <w:szCs w:val="18"/>
        </w:rPr>
        <w:t>A list of states participating in the MSHA State Grants program can be found at</w:t>
      </w:r>
    </w:p>
    <w:p w:rsidR="00DF3E95" w:rsidRPr="003F5124" w:rsidP="00F32AFA" w14:paraId="7639CA56" w14:textId="0069AF33">
      <w:pPr>
        <w:pStyle w:val="FootnoteText"/>
        <w:rPr>
          <w:sz w:val="18"/>
          <w:szCs w:val="18"/>
        </w:rPr>
      </w:pPr>
      <w:hyperlink r:id="rId1" w:history="1">
        <w:r w:rsidRPr="003F5124" w:rsidR="00304354">
          <w:rPr>
            <w:rStyle w:val="Hyperlink"/>
            <w:sz w:val="18"/>
            <w:szCs w:val="18"/>
          </w:rPr>
          <w:t>https://www.msha.gov/training/state-grant-participants</w:t>
        </w:r>
      </w:hyperlink>
    </w:p>
    <w:bookmarkEnd w:id="10"/>
    <w:p w:rsidR="00F32AFA" w:rsidRPr="003F5124" w:rsidP="00F32AFA" w14:paraId="4FD2E66E" w14:textId="77777777">
      <w:pPr>
        <w:pStyle w:val="FootnoteText"/>
        <w:rPr>
          <w:sz w:val="16"/>
          <w:szCs w:val="16"/>
        </w:rPr>
      </w:pPr>
    </w:p>
  </w:footnote>
  <w:footnote w:id="3">
    <w:p w:rsidR="00FB13E4" w:rsidP="00F32AFA" w14:paraId="696A9C43" w14:textId="45F46C25">
      <w:pPr>
        <w:pStyle w:val="FootnoteText"/>
        <w:rPr>
          <w:sz w:val="18"/>
          <w:szCs w:val="18"/>
        </w:rPr>
      </w:pPr>
      <w:r w:rsidRPr="003F5124">
        <w:rPr>
          <w:rStyle w:val="FootnoteReference"/>
          <w:sz w:val="18"/>
          <w:szCs w:val="18"/>
        </w:rPr>
        <w:footnoteRef/>
      </w:r>
      <w:r w:rsidRPr="003F5124">
        <w:rPr>
          <w:sz w:val="18"/>
          <w:szCs w:val="18"/>
        </w:rPr>
        <w:t xml:space="preserve"> </w:t>
      </w:r>
      <w:bookmarkStart w:id="11" w:name="_Hlk137116306"/>
      <w:r w:rsidRPr="003F5124" w:rsidR="00304354">
        <w:rPr>
          <w:sz w:val="18"/>
          <w:szCs w:val="18"/>
        </w:rPr>
        <w:t xml:space="preserve">A list of </w:t>
      </w:r>
      <w:r w:rsidR="00DF7824">
        <w:rPr>
          <w:sz w:val="18"/>
          <w:szCs w:val="18"/>
        </w:rPr>
        <w:t>Brookwood-Sago Mine Safety Grant</w:t>
      </w:r>
      <w:r w:rsidRPr="003F5124" w:rsidR="00304354">
        <w:rPr>
          <w:sz w:val="18"/>
          <w:szCs w:val="18"/>
        </w:rPr>
        <w:t xml:space="preserve">s recipients in recent years can be found at </w:t>
      </w:r>
      <w:bookmarkEnd w:id="11"/>
    </w:p>
    <w:p w:rsidR="00304354" w:rsidRPr="003F5124" w:rsidP="00F32AFA" w14:paraId="3E5AC943" w14:textId="2B013C14">
      <w:pPr>
        <w:pStyle w:val="FootnoteText"/>
        <w:rPr>
          <w:sz w:val="18"/>
          <w:szCs w:val="18"/>
        </w:rPr>
      </w:pPr>
      <w:hyperlink r:id="rId2" w:history="1">
        <w:r w:rsidRPr="003F5124">
          <w:rPr>
            <w:rStyle w:val="Hyperlink"/>
            <w:sz w:val="18"/>
            <w:szCs w:val="18"/>
          </w:rPr>
          <w:t>https://www.msha.gov/training/brookwood-sago-mine-safety-grants</w:t>
        </w:r>
      </w:hyperlink>
    </w:p>
    <w:p w:rsidR="00F32AFA" w:rsidRPr="008A54E7" w:rsidP="00F32AFA" w14:paraId="4882D068" w14:textId="77777777">
      <w:pPr>
        <w:pStyle w:val="FootnoteText"/>
        <w:rPr>
          <w:sz w:val="18"/>
          <w:szCs w:val="18"/>
        </w:rPr>
      </w:pPr>
    </w:p>
  </w:footnote>
  <w:footnote w:id="4">
    <w:p w:rsidR="00F32AFA" w:rsidRPr="00D5782D" w:rsidP="00F32AFA" w14:paraId="02A326F3" w14:textId="0DABCABB">
      <w:pPr>
        <w:pStyle w:val="FootnoteText"/>
        <w:rPr>
          <w:sz w:val="18"/>
          <w:szCs w:val="18"/>
        </w:rPr>
      </w:pPr>
      <w:r w:rsidRPr="00D5782D">
        <w:rPr>
          <w:rStyle w:val="FootnoteReference"/>
          <w:sz w:val="18"/>
          <w:szCs w:val="18"/>
        </w:rPr>
        <w:footnoteRef/>
      </w:r>
      <w:r w:rsidRPr="00D5782D">
        <w:rPr>
          <w:sz w:val="18"/>
          <w:szCs w:val="18"/>
        </w:rPr>
        <w:t xml:space="preserve"> </w:t>
      </w:r>
      <w:bookmarkStart w:id="12" w:name="_Hlk101237093"/>
      <w:r w:rsidRPr="00D5782D">
        <w:rPr>
          <w:sz w:val="18"/>
          <w:szCs w:val="18"/>
        </w:rPr>
        <w:t>For all wage rates, MSHA uses the relevant precision throughout the calculation to avoid compound</w:t>
      </w:r>
      <w:r w:rsidRPr="00D5782D" w:rsidR="00DF3E95">
        <w:rPr>
          <w:sz w:val="18"/>
          <w:szCs w:val="18"/>
        </w:rPr>
        <w:t>ing</w:t>
      </w:r>
      <w:r w:rsidRPr="00D5782D">
        <w:rPr>
          <w:sz w:val="18"/>
          <w:szCs w:val="18"/>
        </w:rPr>
        <w:t xml:space="preserve"> rounding errors and </w:t>
      </w:r>
      <w:r w:rsidRPr="00D5782D" w:rsidR="00DF3E95">
        <w:rPr>
          <w:sz w:val="18"/>
          <w:szCs w:val="18"/>
        </w:rPr>
        <w:t xml:space="preserve">only </w:t>
      </w:r>
      <w:r w:rsidRPr="00D5782D">
        <w:rPr>
          <w:sz w:val="18"/>
          <w:szCs w:val="18"/>
        </w:rPr>
        <w:t>rounds at the final rate value.  Displayed intermediate calculation values are presented to explain the calculation and are representative but the final rate value reflects the correct rounding and final estimate.</w:t>
      </w:r>
      <w:bookmarkEnd w:id="12"/>
    </w:p>
    <w:p w:rsidR="00F32AFA" w:rsidRPr="00D5782D" w:rsidP="00F32AFA" w14:paraId="4819E935" w14:textId="77777777">
      <w:pPr>
        <w:pStyle w:val="FootnoteText"/>
        <w:rPr>
          <w:sz w:val="18"/>
          <w:szCs w:val="18"/>
        </w:rPr>
      </w:pPr>
    </w:p>
  </w:footnote>
  <w:footnote w:id="5">
    <w:p w:rsidR="00F32AFA" w:rsidRPr="00D5782D" w:rsidP="00F32AFA" w14:paraId="25146130" w14:textId="77777777">
      <w:pPr>
        <w:pStyle w:val="FootnoteText"/>
        <w:rPr>
          <w:sz w:val="18"/>
          <w:szCs w:val="18"/>
        </w:rPr>
      </w:pPr>
      <w:r w:rsidRPr="00D5782D">
        <w:rPr>
          <w:rStyle w:val="FootnoteReference"/>
          <w:sz w:val="18"/>
          <w:szCs w:val="18"/>
        </w:rPr>
        <w:footnoteRef/>
      </w:r>
      <w:r w:rsidRPr="00D5782D">
        <w:rPr>
          <w:rStyle w:val="FootnoteReference"/>
          <w:sz w:val="18"/>
          <w:szCs w:val="18"/>
        </w:rPr>
        <w:t xml:space="preserve"> </w:t>
      </w:r>
      <w:r w:rsidRPr="00D5782D">
        <w:rPr>
          <w:sz w:val="18"/>
          <w:szCs w:val="18"/>
        </w:rPr>
        <w:t xml:space="preserve">Options for obtaining OEWS data are available at item “E3.  How to get OEWS data. What are the different ways to obtain OEWS estimates from this website?” at </w:t>
      </w:r>
      <w:hyperlink r:id="rId3" w:history="1">
        <w:r w:rsidRPr="00D5782D">
          <w:rPr>
            <w:rStyle w:val="Hyperlink"/>
            <w:sz w:val="18"/>
            <w:szCs w:val="18"/>
          </w:rPr>
          <w:t>https://www.bls.gov/oes/oes_ques.htm</w:t>
        </w:r>
      </w:hyperlink>
      <w:r w:rsidRPr="00D5782D">
        <w:rPr>
          <w:sz w:val="18"/>
          <w:szCs w:val="18"/>
        </w:rPr>
        <w:t xml:space="preserve">. </w:t>
      </w:r>
    </w:p>
    <w:p w:rsidR="00F32AFA" w:rsidRPr="00D5782D" w:rsidP="00F32AFA" w14:paraId="19E12B22" w14:textId="77777777">
      <w:pPr>
        <w:pStyle w:val="FootnoteText"/>
        <w:rPr>
          <w:sz w:val="18"/>
          <w:szCs w:val="18"/>
        </w:rPr>
      </w:pPr>
    </w:p>
  </w:footnote>
  <w:footnote w:id="6">
    <w:p w:rsidR="00F32AFA" w:rsidRPr="00D5782D" w:rsidP="00F32AFA" w14:paraId="6E406FC5" w14:textId="22EDA653">
      <w:pPr>
        <w:pStyle w:val="FootnoteText"/>
        <w:rPr>
          <w:sz w:val="18"/>
          <w:szCs w:val="18"/>
        </w:rPr>
      </w:pPr>
      <w:r w:rsidRPr="00D5782D">
        <w:rPr>
          <w:rStyle w:val="FootnoteReference"/>
          <w:sz w:val="18"/>
          <w:szCs w:val="18"/>
        </w:rPr>
        <w:footnoteRef/>
      </w:r>
      <w:r w:rsidRPr="00D5782D">
        <w:rPr>
          <w:sz w:val="18"/>
          <w:szCs w:val="18"/>
        </w:rPr>
        <w:t xml:space="preserve"> The benefit multiplier comes from BLS Employer Costs for Employee Compensation accessed by menu at </w:t>
      </w:r>
      <w:bookmarkStart w:id="14" w:name="_Hlk137121709"/>
      <w:hyperlink r:id="rId4" w:history="1">
        <w:r w:rsidRPr="00D5782D">
          <w:rPr>
            <w:rStyle w:val="Hyperlink"/>
            <w:sz w:val="18"/>
            <w:szCs w:val="18"/>
          </w:rPr>
          <w:t>http://data.bls.gov/cgi-bin/srgate</w:t>
        </w:r>
      </w:hyperlink>
      <w:bookmarkEnd w:id="14"/>
      <w:r w:rsidRPr="00D5782D">
        <w:rPr>
          <w:sz w:val="18"/>
          <w:szCs w:val="18"/>
        </w:rPr>
        <w:t xml:space="preserve"> or directly with </w:t>
      </w:r>
      <w:hyperlink r:id="rId5" w:history="1">
        <w:r w:rsidRPr="00D5782D">
          <w:rPr>
            <w:rStyle w:val="Hyperlink"/>
            <w:sz w:val="18"/>
            <w:szCs w:val="18"/>
          </w:rPr>
          <w:t>http://download.bls.gov/pub/time.series/cm/cm.data.0.Current</w:t>
        </w:r>
      </w:hyperlink>
      <w:r w:rsidRPr="00D5782D">
        <w:rPr>
          <w:sz w:val="18"/>
          <w:szCs w:val="18"/>
        </w:rPr>
        <w:t>. MSHA used the latest 4-quarter moving average to determine what percent of total loaded wages are benefits.  MSHA computes the benefit multiplier with a number of detailed calculations, but it may be approximated with the formula 1 + (benefit percentage/(1-benefit percentage)).</w:t>
      </w:r>
    </w:p>
    <w:p w:rsidR="00F32AFA" w:rsidRPr="00D5782D" w:rsidP="00F32AFA" w14:paraId="390CD027" w14:textId="77777777">
      <w:pPr>
        <w:pStyle w:val="FootnoteText"/>
        <w:rPr>
          <w:sz w:val="18"/>
          <w:szCs w:val="18"/>
        </w:rPr>
      </w:pPr>
    </w:p>
  </w:footnote>
  <w:footnote w:id="7">
    <w:p w:rsidR="00F32AFA" w:rsidRPr="00D5782D" w:rsidP="00F32AFA" w14:paraId="3B9A3E1C" w14:textId="2787D5FC">
      <w:pPr>
        <w:pStyle w:val="FootnoteText"/>
        <w:rPr>
          <w:sz w:val="18"/>
          <w:szCs w:val="18"/>
        </w:rPr>
      </w:pPr>
      <w:r w:rsidRPr="00D5782D">
        <w:rPr>
          <w:rStyle w:val="FootnoteReference"/>
          <w:sz w:val="18"/>
          <w:szCs w:val="18"/>
        </w:rPr>
        <w:footnoteRef/>
      </w:r>
      <w:r w:rsidRPr="00D5782D">
        <w:rPr>
          <w:rStyle w:val="FootnoteReference"/>
          <w:sz w:val="18"/>
          <w:szCs w:val="18"/>
        </w:rPr>
        <w:t xml:space="preserve"> </w:t>
      </w:r>
      <w:r w:rsidRPr="00D5782D">
        <w:rPr>
          <w:sz w:val="18"/>
          <w:szCs w:val="18"/>
        </w:rPr>
        <w:t xml:space="preserve">Wage inflation is the change at </w:t>
      </w:r>
      <w:hyperlink r:id="rId6" w:history="1">
        <w:r w:rsidRPr="00D5782D">
          <w:rPr>
            <w:rStyle w:val="Hyperlink"/>
            <w:sz w:val="18"/>
            <w:szCs w:val="18"/>
          </w:rPr>
          <w:t>https://data.bls.gov/cgi-bin/srgate</w:t>
        </w:r>
      </w:hyperlink>
      <w:r w:rsidR="00F740C2">
        <w:rPr>
          <w:rStyle w:val="Hyperlink"/>
          <w:sz w:val="18"/>
          <w:szCs w:val="18"/>
        </w:rPr>
        <w:t>.</w:t>
      </w:r>
      <w:r w:rsidRPr="00D5782D">
        <w:rPr>
          <w:sz w:val="18"/>
          <w:szCs w:val="18"/>
        </w:rPr>
        <w:t xml:space="preserve"> Inflation Multiplier = (Current Quarter Cost Index Value / OEWS Wage Base Quarter Index Value).</w:t>
      </w:r>
    </w:p>
    <w:p w:rsidR="00F32AFA" w:rsidRPr="00F70EAC" w:rsidP="00F32AFA" w14:paraId="274D9F20" w14:textId="77777777">
      <w:pPr>
        <w:pStyle w:val="FootnoteText"/>
        <w:rPr>
          <w:sz w:val="18"/>
          <w:szCs w:val="18"/>
        </w:rPr>
      </w:pPr>
    </w:p>
  </w:footnote>
  <w:footnote w:id="8">
    <w:p w:rsidR="00D5782D" w:rsidRPr="0028184F" w:rsidP="00D5782D" w14:paraId="46B0D188" w14:textId="77777777">
      <w:pPr>
        <w:pStyle w:val="FootnoteText"/>
        <w:rPr>
          <w:sz w:val="18"/>
          <w:szCs w:val="18"/>
        </w:rPr>
      </w:pPr>
      <w:r w:rsidRPr="0028184F">
        <w:rPr>
          <w:rStyle w:val="FootnoteReference"/>
          <w:sz w:val="18"/>
          <w:szCs w:val="18"/>
        </w:rPr>
        <w:footnoteRef/>
      </w:r>
      <w:r w:rsidRPr="0028184F">
        <w:rPr>
          <w:sz w:val="18"/>
          <w:szCs w:val="18"/>
        </w:rPr>
        <w:t xml:space="preserve"> MSHA used an overhead rate of 17 percent. This overhead rate is based on a 2002 EPA report by Cody Rice, "Wage Rates for Economic Analysis of the Toxics Release Inventory Program", available at </w:t>
      </w:r>
      <w:hyperlink r:id="rId7" w:history="1">
        <w:r w:rsidRPr="0028184F">
          <w:rPr>
            <w:rStyle w:val="Hyperlink"/>
            <w:sz w:val="18"/>
            <w:szCs w:val="18"/>
          </w:rPr>
          <w:t>https://www.regulations.gov/document/EPA-HQ-OPPT-2016-0387-0064</w:t>
        </w:r>
      </w:hyperlink>
      <w:r w:rsidRPr="0028184F">
        <w:rPr>
          <w:sz w:val="18"/>
          <w:szCs w:val="18"/>
        </w:rPr>
        <w:t>.</w:t>
      </w:r>
    </w:p>
    <w:p w:rsidR="00D5782D" w:rsidRPr="00EB76D6" w:rsidP="00D5782D" w14:paraId="08633A62"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3146" w:rsidRPr="00C64E73" w:rsidP="00734A84" w14:paraId="205211EA" w14:textId="77777777">
    <w:pPr>
      <w:pStyle w:val="Header"/>
      <w:tabs>
        <w:tab w:val="clear" w:pos="4320"/>
        <w:tab w:val="center" w:pos="4680"/>
        <w:tab w:val="clear" w:pos="8640"/>
        <w:tab w:val="right" w:pos="9360"/>
      </w:tabs>
      <w:rPr>
        <w:bCs/>
      </w:rPr>
    </w:pPr>
    <w:r w:rsidRPr="00C64E73">
      <w:rPr>
        <w:bCs/>
      </w:rPr>
      <w:t>Performance Reports for MSHA Grants</w:t>
    </w:r>
  </w:p>
  <w:p w:rsidR="00B8315C" w:rsidRPr="00C64E73" w:rsidP="00734A84" w14:paraId="0786050B" w14:textId="77777777">
    <w:pPr>
      <w:pStyle w:val="Header"/>
      <w:tabs>
        <w:tab w:val="clear" w:pos="4320"/>
        <w:tab w:val="center" w:pos="4680"/>
        <w:tab w:val="clear" w:pos="8640"/>
        <w:tab w:val="right" w:pos="9360"/>
      </w:tabs>
      <w:rPr>
        <w:bCs/>
      </w:rPr>
    </w:pPr>
    <w:r w:rsidRPr="00C64E73">
      <w:rPr>
        <w:bCs/>
      </w:rPr>
      <w:t>OMB Control Number 1219-0154</w:t>
    </w:r>
  </w:p>
  <w:p w:rsidR="00A75151" w:rsidRPr="00C64E73" w:rsidP="00734A84" w14:paraId="3B7C31F7" w14:textId="7BE6045A">
    <w:pPr>
      <w:pStyle w:val="Header"/>
      <w:tabs>
        <w:tab w:val="clear" w:pos="4320"/>
        <w:tab w:val="center" w:pos="4680"/>
        <w:tab w:val="clear" w:pos="8640"/>
        <w:tab w:val="right" w:pos="9360"/>
      </w:tabs>
      <w:rPr>
        <w:bCs/>
      </w:rPr>
    </w:pPr>
    <w:r w:rsidRPr="00C64E73">
      <w:rPr>
        <w:bCs/>
      </w:rPr>
      <w:t xml:space="preserve">OMB Expiration Date: </w:t>
    </w:r>
    <w:r w:rsidRPr="00C64E73" w:rsidR="00C64E73">
      <w:rPr>
        <w:bCs/>
      </w:rPr>
      <w:t>7-31-2024</w:t>
    </w:r>
  </w:p>
  <w:p w:rsidR="00B8315C" w:rsidP="00B8315C" w14:paraId="2695A8B3" w14:textId="77777777">
    <w:pPr>
      <w:pStyle w:val="Header"/>
      <w:rPr>
        <w:b/>
      </w:rPr>
    </w:pPr>
  </w:p>
  <w:p w:rsidR="003C061D" w14:paraId="567597F1" w14:textId="77777777">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3"/>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2407FA2"/>
    <w:multiLevelType w:val="hybridMultilevel"/>
    <w:tmpl w:val="21809AE4"/>
    <w:lvl w:ilvl="0">
      <w:start w:val="1"/>
      <w:numFmt w:val="bullet"/>
      <w:lvlText w:val=""/>
      <w:lvlJc w:val="left"/>
      <w:pPr>
        <w:ind w:left="720" w:hanging="360"/>
      </w:pPr>
      <w:rPr>
        <w:rFonts w:ascii="Symbol" w:hAnsi="Symbol" w:hint="default"/>
      </w:rPr>
    </w:lvl>
    <w:lvl w:ilvl="1">
      <w:start w:val="5"/>
      <w:numFmt w:val="bullet"/>
      <w:lvlText w:val="·"/>
      <w:lvlJc w:val="left"/>
      <w:pPr>
        <w:ind w:left="1440" w:hanging="360"/>
      </w:pPr>
      <w:rPr>
        <w:rFonts w:ascii="Times New Roman" w:eastAsia="Times New Roman" w:hAnsi="Times New Roman" w:cs="Times New Roman" w:hint="default"/>
        <w:color w:val="000000"/>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F878EB"/>
    <w:multiLevelType w:val="hybridMultilevel"/>
    <w:tmpl w:val="9CDAE69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633BD0"/>
    <w:multiLevelType w:val="hybridMultilevel"/>
    <w:tmpl w:val="C5D40F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85A0293"/>
    <w:multiLevelType w:val="hybridMultilevel"/>
    <w:tmpl w:val="C082DC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9900FDF"/>
    <w:multiLevelType w:val="hybridMultilevel"/>
    <w:tmpl w:val="62E6972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EC532AD"/>
    <w:multiLevelType w:val="hybridMultilevel"/>
    <w:tmpl w:val="1AE668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1A24CAD"/>
    <w:multiLevelType w:val="hybridMultilevel"/>
    <w:tmpl w:val="F8D483E8"/>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750B7DB4"/>
    <w:multiLevelType w:val="hybridMultilevel"/>
    <w:tmpl w:val="8A8A34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DCF3FF5"/>
    <w:multiLevelType w:val="hybridMultilevel"/>
    <w:tmpl w:val="51D26A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FAB0FFD"/>
    <w:multiLevelType w:val="hybridMultilevel"/>
    <w:tmpl w:val="E4483F14"/>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20659340">
    <w:abstractNumId w:val="0"/>
    <w:lvlOverride w:ilvl="0">
      <w:startOverride w:val="1"/>
      <w:lvl w:ilvl="0">
        <w:start w:val="1"/>
        <w:numFmt w:val="decimal"/>
        <w:lvlText w:val="%1"/>
        <w:lvlJc w:val="left"/>
      </w:lvl>
    </w:lvlOverride>
    <w:lvlOverride w:ilvl="1">
      <w:startOverride w:val="6"/>
      <w:lvl w:ilvl="1">
        <w:start w:val="6"/>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45817286">
    <w:abstractNumId w:val="3"/>
  </w:num>
  <w:num w:numId="3" w16cid:durableId="1865754312">
    <w:abstractNumId w:val="1"/>
  </w:num>
  <w:num w:numId="4" w16cid:durableId="1259947317">
    <w:abstractNumId w:val="4"/>
  </w:num>
  <w:num w:numId="5" w16cid:durableId="32967961">
    <w:abstractNumId w:val="5"/>
  </w:num>
  <w:num w:numId="6" w16cid:durableId="208996620">
    <w:abstractNumId w:val="2"/>
  </w:num>
  <w:num w:numId="7" w16cid:durableId="235167648">
    <w:abstractNumId w:val="8"/>
  </w:num>
  <w:num w:numId="8" w16cid:durableId="1279066217">
    <w:abstractNumId w:val="9"/>
  </w:num>
  <w:num w:numId="9" w16cid:durableId="272445607">
    <w:abstractNumId w:val="6"/>
  </w:num>
  <w:num w:numId="10" w16cid:durableId="1082994337">
    <w:abstractNumId w:val="10"/>
  </w:num>
  <w:num w:numId="11" w16cid:durableId="31491799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61D"/>
    <w:rsid w:val="00002508"/>
    <w:rsid w:val="000046C1"/>
    <w:rsid w:val="0000668F"/>
    <w:rsid w:val="000116CA"/>
    <w:rsid w:val="00025E50"/>
    <w:rsid w:val="000345FE"/>
    <w:rsid w:val="00035D6F"/>
    <w:rsid w:val="00037C36"/>
    <w:rsid w:val="00037ED3"/>
    <w:rsid w:val="00043D3F"/>
    <w:rsid w:val="00051AD1"/>
    <w:rsid w:val="000542B5"/>
    <w:rsid w:val="00054A1B"/>
    <w:rsid w:val="000568F4"/>
    <w:rsid w:val="000573C8"/>
    <w:rsid w:val="00060818"/>
    <w:rsid w:val="00073362"/>
    <w:rsid w:val="0008452F"/>
    <w:rsid w:val="00084C60"/>
    <w:rsid w:val="00085F94"/>
    <w:rsid w:val="00086C24"/>
    <w:rsid w:val="00091611"/>
    <w:rsid w:val="00093FB8"/>
    <w:rsid w:val="00097222"/>
    <w:rsid w:val="000975B7"/>
    <w:rsid w:val="000A2C9F"/>
    <w:rsid w:val="000A42D5"/>
    <w:rsid w:val="000A4709"/>
    <w:rsid w:val="000A6C84"/>
    <w:rsid w:val="000B1BBD"/>
    <w:rsid w:val="000B32BF"/>
    <w:rsid w:val="000B3405"/>
    <w:rsid w:val="000B4A49"/>
    <w:rsid w:val="000B6859"/>
    <w:rsid w:val="000B69BE"/>
    <w:rsid w:val="000B736D"/>
    <w:rsid w:val="000C1361"/>
    <w:rsid w:val="000C2AE7"/>
    <w:rsid w:val="000C3673"/>
    <w:rsid w:val="000C5088"/>
    <w:rsid w:val="000C7161"/>
    <w:rsid w:val="000D2D3A"/>
    <w:rsid w:val="000D79D6"/>
    <w:rsid w:val="000E4A65"/>
    <w:rsid w:val="000F6175"/>
    <w:rsid w:val="001007D5"/>
    <w:rsid w:val="0011275D"/>
    <w:rsid w:val="00113E83"/>
    <w:rsid w:val="00116700"/>
    <w:rsid w:val="00116BF7"/>
    <w:rsid w:val="00122864"/>
    <w:rsid w:val="0012565D"/>
    <w:rsid w:val="001266C6"/>
    <w:rsid w:val="00131226"/>
    <w:rsid w:val="001362C4"/>
    <w:rsid w:val="00141C82"/>
    <w:rsid w:val="00142FE1"/>
    <w:rsid w:val="00143D10"/>
    <w:rsid w:val="00163918"/>
    <w:rsid w:val="00164C8B"/>
    <w:rsid w:val="001663AF"/>
    <w:rsid w:val="001718BC"/>
    <w:rsid w:val="0018469C"/>
    <w:rsid w:val="0018532D"/>
    <w:rsid w:val="00186D51"/>
    <w:rsid w:val="00186F17"/>
    <w:rsid w:val="00196D88"/>
    <w:rsid w:val="0019744D"/>
    <w:rsid w:val="001A4A08"/>
    <w:rsid w:val="001A5F90"/>
    <w:rsid w:val="001A7812"/>
    <w:rsid w:val="001B229D"/>
    <w:rsid w:val="001B2326"/>
    <w:rsid w:val="001B4B99"/>
    <w:rsid w:val="001B6C97"/>
    <w:rsid w:val="001B6FB0"/>
    <w:rsid w:val="001C270E"/>
    <w:rsid w:val="001D18E9"/>
    <w:rsid w:val="001D2520"/>
    <w:rsid w:val="001E0154"/>
    <w:rsid w:val="001E178D"/>
    <w:rsid w:val="001E594D"/>
    <w:rsid w:val="001E61C0"/>
    <w:rsid w:val="001E6E6B"/>
    <w:rsid w:val="001F624D"/>
    <w:rsid w:val="002012FD"/>
    <w:rsid w:val="002022D6"/>
    <w:rsid w:val="00204762"/>
    <w:rsid w:val="0020626D"/>
    <w:rsid w:val="0021320B"/>
    <w:rsid w:val="002133C5"/>
    <w:rsid w:val="00214A06"/>
    <w:rsid w:val="00217D68"/>
    <w:rsid w:val="002219BB"/>
    <w:rsid w:val="002362DC"/>
    <w:rsid w:val="00244E05"/>
    <w:rsid w:val="0025168F"/>
    <w:rsid w:val="00251F45"/>
    <w:rsid w:val="00251FA3"/>
    <w:rsid w:val="00252220"/>
    <w:rsid w:val="0025451A"/>
    <w:rsid w:val="00255176"/>
    <w:rsid w:val="00255C06"/>
    <w:rsid w:val="00261476"/>
    <w:rsid w:val="0026224A"/>
    <w:rsid w:val="00262C3F"/>
    <w:rsid w:val="00265B96"/>
    <w:rsid w:val="00265CA5"/>
    <w:rsid w:val="0026617C"/>
    <w:rsid w:val="00266E4E"/>
    <w:rsid w:val="00270ED3"/>
    <w:rsid w:val="002807C1"/>
    <w:rsid w:val="0028184F"/>
    <w:rsid w:val="002818DF"/>
    <w:rsid w:val="002928F3"/>
    <w:rsid w:val="00296394"/>
    <w:rsid w:val="002966BE"/>
    <w:rsid w:val="002A14BA"/>
    <w:rsid w:val="002A221F"/>
    <w:rsid w:val="002B0751"/>
    <w:rsid w:val="002B46B1"/>
    <w:rsid w:val="002B68A1"/>
    <w:rsid w:val="002C1EA7"/>
    <w:rsid w:val="002C58DB"/>
    <w:rsid w:val="002D3E56"/>
    <w:rsid w:val="002D6AAF"/>
    <w:rsid w:val="002E03B5"/>
    <w:rsid w:val="002E6400"/>
    <w:rsid w:val="002F3CD7"/>
    <w:rsid w:val="002F5198"/>
    <w:rsid w:val="002F6EFF"/>
    <w:rsid w:val="002F7CAE"/>
    <w:rsid w:val="003026B7"/>
    <w:rsid w:val="00304354"/>
    <w:rsid w:val="003046A7"/>
    <w:rsid w:val="00307E78"/>
    <w:rsid w:val="0031116D"/>
    <w:rsid w:val="00312AAA"/>
    <w:rsid w:val="003209EE"/>
    <w:rsid w:val="0032492F"/>
    <w:rsid w:val="00324AFE"/>
    <w:rsid w:val="00326B6C"/>
    <w:rsid w:val="00330534"/>
    <w:rsid w:val="003307BC"/>
    <w:rsid w:val="00332A8F"/>
    <w:rsid w:val="00332FBF"/>
    <w:rsid w:val="00341D6C"/>
    <w:rsid w:val="003426A3"/>
    <w:rsid w:val="00342C97"/>
    <w:rsid w:val="00343088"/>
    <w:rsid w:val="00343CC5"/>
    <w:rsid w:val="00350ADA"/>
    <w:rsid w:val="00351283"/>
    <w:rsid w:val="0035453B"/>
    <w:rsid w:val="003622A3"/>
    <w:rsid w:val="00366470"/>
    <w:rsid w:val="0036680F"/>
    <w:rsid w:val="00377BF6"/>
    <w:rsid w:val="00383C8C"/>
    <w:rsid w:val="00386E9E"/>
    <w:rsid w:val="00392A53"/>
    <w:rsid w:val="00393ACF"/>
    <w:rsid w:val="003A0629"/>
    <w:rsid w:val="003A09A7"/>
    <w:rsid w:val="003A1B6F"/>
    <w:rsid w:val="003A4D4D"/>
    <w:rsid w:val="003B4548"/>
    <w:rsid w:val="003C061D"/>
    <w:rsid w:val="003C356B"/>
    <w:rsid w:val="003C4205"/>
    <w:rsid w:val="003E5140"/>
    <w:rsid w:val="003F42F4"/>
    <w:rsid w:val="003F5124"/>
    <w:rsid w:val="00400087"/>
    <w:rsid w:val="00404FF4"/>
    <w:rsid w:val="00410B6F"/>
    <w:rsid w:val="004122C3"/>
    <w:rsid w:val="00413935"/>
    <w:rsid w:val="00413A00"/>
    <w:rsid w:val="00416BB5"/>
    <w:rsid w:val="0041710B"/>
    <w:rsid w:val="00425677"/>
    <w:rsid w:val="00433D7F"/>
    <w:rsid w:val="00434A95"/>
    <w:rsid w:val="004414CE"/>
    <w:rsid w:val="00441E8D"/>
    <w:rsid w:val="00443C95"/>
    <w:rsid w:val="004455E8"/>
    <w:rsid w:val="00453C0B"/>
    <w:rsid w:val="004554E5"/>
    <w:rsid w:val="00462C07"/>
    <w:rsid w:val="00466919"/>
    <w:rsid w:val="00470F92"/>
    <w:rsid w:val="00483AC5"/>
    <w:rsid w:val="004841B9"/>
    <w:rsid w:val="00495F62"/>
    <w:rsid w:val="004963F5"/>
    <w:rsid w:val="00496985"/>
    <w:rsid w:val="004A18F0"/>
    <w:rsid w:val="004A1AED"/>
    <w:rsid w:val="004A5092"/>
    <w:rsid w:val="004A720B"/>
    <w:rsid w:val="004B36A4"/>
    <w:rsid w:val="004B43C5"/>
    <w:rsid w:val="004C730B"/>
    <w:rsid w:val="004E6FD6"/>
    <w:rsid w:val="004F351B"/>
    <w:rsid w:val="0050340B"/>
    <w:rsid w:val="00510C62"/>
    <w:rsid w:val="005165A8"/>
    <w:rsid w:val="00516700"/>
    <w:rsid w:val="00520174"/>
    <w:rsid w:val="00521EAA"/>
    <w:rsid w:val="00524C7D"/>
    <w:rsid w:val="00525FA1"/>
    <w:rsid w:val="00527224"/>
    <w:rsid w:val="0053008F"/>
    <w:rsid w:val="00531DC7"/>
    <w:rsid w:val="00533A21"/>
    <w:rsid w:val="00535854"/>
    <w:rsid w:val="00535E70"/>
    <w:rsid w:val="00544637"/>
    <w:rsid w:val="00546080"/>
    <w:rsid w:val="00550477"/>
    <w:rsid w:val="00551A2A"/>
    <w:rsid w:val="00554423"/>
    <w:rsid w:val="005604AC"/>
    <w:rsid w:val="005605C4"/>
    <w:rsid w:val="005607F8"/>
    <w:rsid w:val="00560B85"/>
    <w:rsid w:val="00565F16"/>
    <w:rsid w:val="00584209"/>
    <w:rsid w:val="005862A6"/>
    <w:rsid w:val="00590C84"/>
    <w:rsid w:val="00590D0A"/>
    <w:rsid w:val="0059643D"/>
    <w:rsid w:val="005A1364"/>
    <w:rsid w:val="005B4CED"/>
    <w:rsid w:val="005B67DA"/>
    <w:rsid w:val="005B7B5D"/>
    <w:rsid w:val="005C62A2"/>
    <w:rsid w:val="005D0062"/>
    <w:rsid w:val="005D2308"/>
    <w:rsid w:val="005E10CA"/>
    <w:rsid w:val="005E6509"/>
    <w:rsid w:val="005F2388"/>
    <w:rsid w:val="005F44CD"/>
    <w:rsid w:val="005F4DAD"/>
    <w:rsid w:val="005F6F8E"/>
    <w:rsid w:val="006007A8"/>
    <w:rsid w:val="006019C4"/>
    <w:rsid w:val="006031BC"/>
    <w:rsid w:val="00605E95"/>
    <w:rsid w:val="00606769"/>
    <w:rsid w:val="00606AC4"/>
    <w:rsid w:val="0060729F"/>
    <w:rsid w:val="00607D0F"/>
    <w:rsid w:val="006117BB"/>
    <w:rsid w:val="00621F8F"/>
    <w:rsid w:val="006275D7"/>
    <w:rsid w:val="006302D5"/>
    <w:rsid w:val="00633FD3"/>
    <w:rsid w:val="0063410B"/>
    <w:rsid w:val="00647212"/>
    <w:rsid w:val="00654728"/>
    <w:rsid w:val="006563EC"/>
    <w:rsid w:val="00660B20"/>
    <w:rsid w:val="00661932"/>
    <w:rsid w:val="006633AC"/>
    <w:rsid w:val="006659E8"/>
    <w:rsid w:val="00666153"/>
    <w:rsid w:val="006703D7"/>
    <w:rsid w:val="006718BE"/>
    <w:rsid w:val="00672B0E"/>
    <w:rsid w:val="00681D10"/>
    <w:rsid w:val="0068214B"/>
    <w:rsid w:val="006826DC"/>
    <w:rsid w:val="00686D7E"/>
    <w:rsid w:val="0069557E"/>
    <w:rsid w:val="006A5832"/>
    <w:rsid w:val="006A611E"/>
    <w:rsid w:val="006C22D8"/>
    <w:rsid w:val="006C304E"/>
    <w:rsid w:val="006C6C17"/>
    <w:rsid w:val="006D01F7"/>
    <w:rsid w:val="006D06C8"/>
    <w:rsid w:val="006D0730"/>
    <w:rsid w:val="006E4839"/>
    <w:rsid w:val="006E53D9"/>
    <w:rsid w:val="006E63B8"/>
    <w:rsid w:val="006F5E23"/>
    <w:rsid w:val="0070172A"/>
    <w:rsid w:val="007031DD"/>
    <w:rsid w:val="0070718C"/>
    <w:rsid w:val="00711D64"/>
    <w:rsid w:val="00723A31"/>
    <w:rsid w:val="00734A84"/>
    <w:rsid w:val="0073596F"/>
    <w:rsid w:val="0073667D"/>
    <w:rsid w:val="00736982"/>
    <w:rsid w:val="007471A7"/>
    <w:rsid w:val="007479C7"/>
    <w:rsid w:val="00753004"/>
    <w:rsid w:val="00754DB9"/>
    <w:rsid w:val="007551A7"/>
    <w:rsid w:val="007567E6"/>
    <w:rsid w:val="00760663"/>
    <w:rsid w:val="00760FF0"/>
    <w:rsid w:val="00771262"/>
    <w:rsid w:val="0078513A"/>
    <w:rsid w:val="00787CB7"/>
    <w:rsid w:val="00791495"/>
    <w:rsid w:val="007B0B20"/>
    <w:rsid w:val="007C2E55"/>
    <w:rsid w:val="007C6F40"/>
    <w:rsid w:val="007D076B"/>
    <w:rsid w:val="007D7BC7"/>
    <w:rsid w:val="007E05C8"/>
    <w:rsid w:val="007E34CF"/>
    <w:rsid w:val="007E6EFF"/>
    <w:rsid w:val="007F071E"/>
    <w:rsid w:val="007F4697"/>
    <w:rsid w:val="0080557E"/>
    <w:rsid w:val="0080632E"/>
    <w:rsid w:val="00806341"/>
    <w:rsid w:val="008073A0"/>
    <w:rsid w:val="00816CCF"/>
    <w:rsid w:val="0082474C"/>
    <w:rsid w:val="008260C4"/>
    <w:rsid w:val="00826D1D"/>
    <w:rsid w:val="00831251"/>
    <w:rsid w:val="00833FE0"/>
    <w:rsid w:val="00836FFF"/>
    <w:rsid w:val="00837CF5"/>
    <w:rsid w:val="008401DA"/>
    <w:rsid w:val="00840C66"/>
    <w:rsid w:val="00840CD4"/>
    <w:rsid w:val="008426B2"/>
    <w:rsid w:val="00843966"/>
    <w:rsid w:val="00850DB1"/>
    <w:rsid w:val="00856233"/>
    <w:rsid w:val="00860602"/>
    <w:rsid w:val="00861AA0"/>
    <w:rsid w:val="00861D2B"/>
    <w:rsid w:val="00861DA8"/>
    <w:rsid w:val="00863256"/>
    <w:rsid w:val="00864CF6"/>
    <w:rsid w:val="0086614D"/>
    <w:rsid w:val="00867C73"/>
    <w:rsid w:val="00871CA6"/>
    <w:rsid w:val="00882E68"/>
    <w:rsid w:val="00882ECE"/>
    <w:rsid w:val="008A1614"/>
    <w:rsid w:val="008A4370"/>
    <w:rsid w:val="008A54E7"/>
    <w:rsid w:val="008A58C1"/>
    <w:rsid w:val="008B4D14"/>
    <w:rsid w:val="008C573B"/>
    <w:rsid w:val="008C6B4E"/>
    <w:rsid w:val="008D5CF6"/>
    <w:rsid w:val="008D7761"/>
    <w:rsid w:val="008E49D0"/>
    <w:rsid w:val="008E4B4F"/>
    <w:rsid w:val="008F04DD"/>
    <w:rsid w:val="008F313E"/>
    <w:rsid w:val="008F42ED"/>
    <w:rsid w:val="008F695D"/>
    <w:rsid w:val="008F6B68"/>
    <w:rsid w:val="008F7DDE"/>
    <w:rsid w:val="00901697"/>
    <w:rsid w:val="009017AC"/>
    <w:rsid w:val="0090419C"/>
    <w:rsid w:val="009133D3"/>
    <w:rsid w:val="00913BA3"/>
    <w:rsid w:val="00915259"/>
    <w:rsid w:val="00915FBC"/>
    <w:rsid w:val="00925604"/>
    <w:rsid w:val="00925843"/>
    <w:rsid w:val="00925879"/>
    <w:rsid w:val="0092753B"/>
    <w:rsid w:val="009300CC"/>
    <w:rsid w:val="009318D5"/>
    <w:rsid w:val="009323A5"/>
    <w:rsid w:val="00935045"/>
    <w:rsid w:val="00936677"/>
    <w:rsid w:val="00936CAA"/>
    <w:rsid w:val="00936F54"/>
    <w:rsid w:val="00946837"/>
    <w:rsid w:val="00951F70"/>
    <w:rsid w:val="009522A8"/>
    <w:rsid w:val="00957B42"/>
    <w:rsid w:val="0097009B"/>
    <w:rsid w:val="00970992"/>
    <w:rsid w:val="0097776B"/>
    <w:rsid w:val="00977A3A"/>
    <w:rsid w:val="00983632"/>
    <w:rsid w:val="009867EB"/>
    <w:rsid w:val="009873FA"/>
    <w:rsid w:val="00990274"/>
    <w:rsid w:val="009961F3"/>
    <w:rsid w:val="009A0526"/>
    <w:rsid w:val="009A5D1D"/>
    <w:rsid w:val="009B11E4"/>
    <w:rsid w:val="009B1A99"/>
    <w:rsid w:val="009B47AD"/>
    <w:rsid w:val="009B60A9"/>
    <w:rsid w:val="009B64E1"/>
    <w:rsid w:val="009B7902"/>
    <w:rsid w:val="009C36C8"/>
    <w:rsid w:val="009C532C"/>
    <w:rsid w:val="009C69D5"/>
    <w:rsid w:val="009C77DD"/>
    <w:rsid w:val="009D0544"/>
    <w:rsid w:val="009D0E5D"/>
    <w:rsid w:val="009D1343"/>
    <w:rsid w:val="009D19AE"/>
    <w:rsid w:val="009E12B9"/>
    <w:rsid w:val="009E36AF"/>
    <w:rsid w:val="009E6283"/>
    <w:rsid w:val="009F1ABE"/>
    <w:rsid w:val="009F4816"/>
    <w:rsid w:val="00A00443"/>
    <w:rsid w:val="00A1123C"/>
    <w:rsid w:val="00A1399E"/>
    <w:rsid w:val="00A14CB6"/>
    <w:rsid w:val="00A1790A"/>
    <w:rsid w:val="00A23795"/>
    <w:rsid w:val="00A26BA1"/>
    <w:rsid w:val="00A3039D"/>
    <w:rsid w:val="00A342BD"/>
    <w:rsid w:val="00A35196"/>
    <w:rsid w:val="00A37945"/>
    <w:rsid w:val="00A400DF"/>
    <w:rsid w:val="00A416E3"/>
    <w:rsid w:val="00A445FF"/>
    <w:rsid w:val="00A4673E"/>
    <w:rsid w:val="00A47DA7"/>
    <w:rsid w:val="00A53AA0"/>
    <w:rsid w:val="00A57748"/>
    <w:rsid w:val="00A579F3"/>
    <w:rsid w:val="00A67F9D"/>
    <w:rsid w:val="00A702E5"/>
    <w:rsid w:val="00A7079D"/>
    <w:rsid w:val="00A75151"/>
    <w:rsid w:val="00A76466"/>
    <w:rsid w:val="00A85245"/>
    <w:rsid w:val="00A9632C"/>
    <w:rsid w:val="00A971BC"/>
    <w:rsid w:val="00AA32EA"/>
    <w:rsid w:val="00AA541B"/>
    <w:rsid w:val="00AA6C67"/>
    <w:rsid w:val="00AB1ED7"/>
    <w:rsid w:val="00AB2D9B"/>
    <w:rsid w:val="00AC10F9"/>
    <w:rsid w:val="00AC2E90"/>
    <w:rsid w:val="00AD3672"/>
    <w:rsid w:val="00AD55D2"/>
    <w:rsid w:val="00AD5D10"/>
    <w:rsid w:val="00AD6010"/>
    <w:rsid w:val="00AD79CA"/>
    <w:rsid w:val="00AE004E"/>
    <w:rsid w:val="00AE2B74"/>
    <w:rsid w:val="00AE4963"/>
    <w:rsid w:val="00AF30F4"/>
    <w:rsid w:val="00AF42FB"/>
    <w:rsid w:val="00AF6E37"/>
    <w:rsid w:val="00AF7EA6"/>
    <w:rsid w:val="00B07B0B"/>
    <w:rsid w:val="00B10338"/>
    <w:rsid w:val="00B13E01"/>
    <w:rsid w:val="00B1728F"/>
    <w:rsid w:val="00B2093A"/>
    <w:rsid w:val="00B21360"/>
    <w:rsid w:val="00B21CD1"/>
    <w:rsid w:val="00B222FA"/>
    <w:rsid w:val="00B22DA9"/>
    <w:rsid w:val="00B23219"/>
    <w:rsid w:val="00B24C7D"/>
    <w:rsid w:val="00B3072C"/>
    <w:rsid w:val="00B35AAD"/>
    <w:rsid w:val="00B364B6"/>
    <w:rsid w:val="00B441A1"/>
    <w:rsid w:val="00B461A0"/>
    <w:rsid w:val="00B51751"/>
    <w:rsid w:val="00B54B59"/>
    <w:rsid w:val="00B6227C"/>
    <w:rsid w:val="00B624B5"/>
    <w:rsid w:val="00B643B5"/>
    <w:rsid w:val="00B652D5"/>
    <w:rsid w:val="00B66A0B"/>
    <w:rsid w:val="00B67D2A"/>
    <w:rsid w:val="00B726B3"/>
    <w:rsid w:val="00B76724"/>
    <w:rsid w:val="00B77579"/>
    <w:rsid w:val="00B82D23"/>
    <w:rsid w:val="00B8315C"/>
    <w:rsid w:val="00B836EC"/>
    <w:rsid w:val="00B83F2E"/>
    <w:rsid w:val="00B90432"/>
    <w:rsid w:val="00B91993"/>
    <w:rsid w:val="00B95BC8"/>
    <w:rsid w:val="00BA04C2"/>
    <w:rsid w:val="00BA1D7A"/>
    <w:rsid w:val="00BA4AA4"/>
    <w:rsid w:val="00BA7D6B"/>
    <w:rsid w:val="00BB24F6"/>
    <w:rsid w:val="00BC17F5"/>
    <w:rsid w:val="00BC542E"/>
    <w:rsid w:val="00BD04AA"/>
    <w:rsid w:val="00BD1057"/>
    <w:rsid w:val="00BD14B7"/>
    <w:rsid w:val="00BD1AD9"/>
    <w:rsid w:val="00BD2F16"/>
    <w:rsid w:val="00BE50C3"/>
    <w:rsid w:val="00C00090"/>
    <w:rsid w:val="00C00E02"/>
    <w:rsid w:val="00C04722"/>
    <w:rsid w:val="00C047D7"/>
    <w:rsid w:val="00C265FD"/>
    <w:rsid w:val="00C36DDF"/>
    <w:rsid w:val="00C42632"/>
    <w:rsid w:val="00C4268F"/>
    <w:rsid w:val="00C432BE"/>
    <w:rsid w:val="00C45D98"/>
    <w:rsid w:val="00C479CF"/>
    <w:rsid w:val="00C501C5"/>
    <w:rsid w:val="00C5273F"/>
    <w:rsid w:val="00C56AF5"/>
    <w:rsid w:val="00C60475"/>
    <w:rsid w:val="00C64E73"/>
    <w:rsid w:val="00C65431"/>
    <w:rsid w:val="00C66DBC"/>
    <w:rsid w:val="00C66FF2"/>
    <w:rsid w:val="00C67E3F"/>
    <w:rsid w:val="00C7099D"/>
    <w:rsid w:val="00C71617"/>
    <w:rsid w:val="00C7582E"/>
    <w:rsid w:val="00C762E7"/>
    <w:rsid w:val="00C80238"/>
    <w:rsid w:val="00C82239"/>
    <w:rsid w:val="00C83222"/>
    <w:rsid w:val="00C84B57"/>
    <w:rsid w:val="00C9154D"/>
    <w:rsid w:val="00C91956"/>
    <w:rsid w:val="00C91A52"/>
    <w:rsid w:val="00C93674"/>
    <w:rsid w:val="00C944BB"/>
    <w:rsid w:val="00C97661"/>
    <w:rsid w:val="00CA40F9"/>
    <w:rsid w:val="00CA5EEB"/>
    <w:rsid w:val="00CA7290"/>
    <w:rsid w:val="00CA7AD1"/>
    <w:rsid w:val="00CB0F15"/>
    <w:rsid w:val="00CC1768"/>
    <w:rsid w:val="00CC4ADC"/>
    <w:rsid w:val="00CC530B"/>
    <w:rsid w:val="00CC7F1A"/>
    <w:rsid w:val="00CD2588"/>
    <w:rsid w:val="00CD25AF"/>
    <w:rsid w:val="00CD370D"/>
    <w:rsid w:val="00CD3744"/>
    <w:rsid w:val="00CD4AFC"/>
    <w:rsid w:val="00CE4C7D"/>
    <w:rsid w:val="00CE7E93"/>
    <w:rsid w:val="00D05EBC"/>
    <w:rsid w:val="00D0784A"/>
    <w:rsid w:val="00D138A4"/>
    <w:rsid w:val="00D1442E"/>
    <w:rsid w:val="00D166E9"/>
    <w:rsid w:val="00D22375"/>
    <w:rsid w:val="00D31106"/>
    <w:rsid w:val="00D31902"/>
    <w:rsid w:val="00D45B4B"/>
    <w:rsid w:val="00D46C32"/>
    <w:rsid w:val="00D50CE0"/>
    <w:rsid w:val="00D51869"/>
    <w:rsid w:val="00D52672"/>
    <w:rsid w:val="00D53DEB"/>
    <w:rsid w:val="00D559C4"/>
    <w:rsid w:val="00D5609D"/>
    <w:rsid w:val="00D56DEF"/>
    <w:rsid w:val="00D5782D"/>
    <w:rsid w:val="00D645EC"/>
    <w:rsid w:val="00D70A46"/>
    <w:rsid w:val="00D71E22"/>
    <w:rsid w:val="00D837F6"/>
    <w:rsid w:val="00D84233"/>
    <w:rsid w:val="00D86E3A"/>
    <w:rsid w:val="00D9329E"/>
    <w:rsid w:val="00D9463E"/>
    <w:rsid w:val="00DA0227"/>
    <w:rsid w:val="00DA14DC"/>
    <w:rsid w:val="00DA64FD"/>
    <w:rsid w:val="00DA6CDB"/>
    <w:rsid w:val="00DB166D"/>
    <w:rsid w:val="00DB3045"/>
    <w:rsid w:val="00DB7401"/>
    <w:rsid w:val="00DC4088"/>
    <w:rsid w:val="00DC6BAE"/>
    <w:rsid w:val="00DD4F8A"/>
    <w:rsid w:val="00DD75AA"/>
    <w:rsid w:val="00DE318B"/>
    <w:rsid w:val="00DE4057"/>
    <w:rsid w:val="00DF2B3A"/>
    <w:rsid w:val="00DF37D5"/>
    <w:rsid w:val="00DF3ABA"/>
    <w:rsid w:val="00DF3E95"/>
    <w:rsid w:val="00DF5E44"/>
    <w:rsid w:val="00DF69F4"/>
    <w:rsid w:val="00DF77CA"/>
    <w:rsid w:val="00DF7824"/>
    <w:rsid w:val="00E0114B"/>
    <w:rsid w:val="00E01238"/>
    <w:rsid w:val="00E01274"/>
    <w:rsid w:val="00E015BA"/>
    <w:rsid w:val="00E02103"/>
    <w:rsid w:val="00E04138"/>
    <w:rsid w:val="00E1021A"/>
    <w:rsid w:val="00E17D29"/>
    <w:rsid w:val="00E22348"/>
    <w:rsid w:val="00E316C8"/>
    <w:rsid w:val="00E329FE"/>
    <w:rsid w:val="00E44C4C"/>
    <w:rsid w:val="00E538CA"/>
    <w:rsid w:val="00E53F2A"/>
    <w:rsid w:val="00E555EB"/>
    <w:rsid w:val="00E61A26"/>
    <w:rsid w:val="00E64985"/>
    <w:rsid w:val="00E76678"/>
    <w:rsid w:val="00E774BF"/>
    <w:rsid w:val="00E811A6"/>
    <w:rsid w:val="00E84C06"/>
    <w:rsid w:val="00E92092"/>
    <w:rsid w:val="00E940FE"/>
    <w:rsid w:val="00E95EC3"/>
    <w:rsid w:val="00E972F7"/>
    <w:rsid w:val="00EA4767"/>
    <w:rsid w:val="00EB24E4"/>
    <w:rsid w:val="00EB76D6"/>
    <w:rsid w:val="00EC0C3D"/>
    <w:rsid w:val="00EC2DE4"/>
    <w:rsid w:val="00EC2EC7"/>
    <w:rsid w:val="00EC37D9"/>
    <w:rsid w:val="00ED635F"/>
    <w:rsid w:val="00EE649C"/>
    <w:rsid w:val="00EE65EB"/>
    <w:rsid w:val="00EF2CCF"/>
    <w:rsid w:val="00F020A6"/>
    <w:rsid w:val="00F02529"/>
    <w:rsid w:val="00F028BB"/>
    <w:rsid w:val="00F0411D"/>
    <w:rsid w:val="00F053ED"/>
    <w:rsid w:val="00F060C5"/>
    <w:rsid w:val="00F065E8"/>
    <w:rsid w:val="00F10433"/>
    <w:rsid w:val="00F11E69"/>
    <w:rsid w:val="00F121D7"/>
    <w:rsid w:val="00F15A74"/>
    <w:rsid w:val="00F178CD"/>
    <w:rsid w:val="00F20AD6"/>
    <w:rsid w:val="00F308D0"/>
    <w:rsid w:val="00F32AFA"/>
    <w:rsid w:val="00F33DDD"/>
    <w:rsid w:val="00F54B0C"/>
    <w:rsid w:val="00F56F26"/>
    <w:rsid w:val="00F5755A"/>
    <w:rsid w:val="00F576CD"/>
    <w:rsid w:val="00F70EAC"/>
    <w:rsid w:val="00F740C2"/>
    <w:rsid w:val="00F81C91"/>
    <w:rsid w:val="00F81F7B"/>
    <w:rsid w:val="00F84315"/>
    <w:rsid w:val="00F93146"/>
    <w:rsid w:val="00F93B1B"/>
    <w:rsid w:val="00FB13E4"/>
    <w:rsid w:val="00FB55C3"/>
    <w:rsid w:val="00FB56D6"/>
    <w:rsid w:val="00FC0CBE"/>
    <w:rsid w:val="00FC1C1D"/>
    <w:rsid w:val="00FC2C30"/>
    <w:rsid w:val="00FC39C3"/>
    <w:rsid w:val="00FC45A7"/>
    <w:rsid w:val="00FC78FF"/>
    <w:rsid w:val="00FD1E26"/>
    <w:rsid w:val="00FD1F21"/>
    <w:rsid w:val="00FE2268"/>
    <w:rsid w:val="00FE7F4A"/>
    <w:rsid w:val="00FF1868"/>
    <w:rsid w:val="00FF27EB"/>
    <w:rsid w:val="1F0F7660"/>
    <w:rsid w:val="4845B6A5"/>
    <w:rsid w:val="550484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8B2F0EB"/>
  <w15:docId w15:val="{29F2BBFC-679A-4802-9320-6510612C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45FF"/>
    <w:pPr>
      <w:widowControl w:val="0"/>
      <w:autoSpaceDE w:val="0"/>
      <w:autoSpaceDN w:val="0"/>
      <w:adjustRightInd w:val="0"/>
    </w:pPr>
    <w:rPr>
      <w:sz w:val="24"/>
      <w:szCs w:val="24"/>
    </w:rPr>
  </w:style>
  <w:style w:type="paragraph" w:styleId="Heading1">
    <w:name w:val="heading 1"/>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bCs/>
      <w:sz w:val="20"/>
      <w:szCs w:val="20"/>
    </w:rPr>
  </w:style>
  <w:style w:type="paragraph" w:styleId="Heading2">
    <w:name w:val="heading 2"/>
    <w:basedOn w:val="Normal"/>
    <w:next w:val="Normal"/>
    <w:qFormat/>
    <w:pPr>
      <w:keepNext/>
      <w:jc w:val="center"/>
      <w:outlineLvl w:val="1"/>
    </w:pPr>
    <w:rPr>
      <w:b/>
      <w:bCs/>
    </w:rPr>
  </w:style>
  <w:style w:type="paragraph" w:styleId="Heading4">
    <w:name w:val="heading 4"/>
    <w:basedOn w:val="Normal"/>
    <w:next w:val="Normal"/>
    <w:link w:val="Heading4Char"/>
    <w:semiHidden/>
    <w:unhideWhenUsed/>
    <w:qFormat/>
    <w:rsid w:val="0053008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2">
    <w:name w:val="Level 2"/>
    <w:basedOn w:val="Normal"/>
    <w:pPr>
      <w:numPr>
        <w:ilvl w:val="1"/>
        <w:numId w:val="1"/>
      </w:numPr>
      <w:ind w:left="1440" w:hanging="720"/>
      <w:outlineLvl w:val="1"/>
    </w:pPr>
  </w:style>
  <w:style w:type="paragraph" w:customStyle="1" w:styleId="Level1">
    <w:name w:val="Level 1"/>
    <w:basedOn w:val="Normal"/>
    <w:pPr>
      <w:ind w:left="2880" w:hanging="720"/>
    </w:pPr>
  </w:style>
  <w:style w:type="paragraph" w:styleId="BodyText">
    <w:name w:val="Body Text"/>
    <w:basedOn w:val="Normal"/>
    <w:pPr>
      <w:jc w:val="both"/>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style>
  <w:style w:type="character" w:styleId="PageNumber">
    <w:name w:val="page number"/>
    <w:basedOn w:val="DefaultParagraphFont"/>
  </w:style>
  <w:style w:type="paragraph" w:styleId="Caption">
    <w:name w:val="caption"/>
    <w:basedOn w:val="Normal"/>
    <w:next w:val="Normal"/>
    <w:qFormat/>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bCs/>
      <w:szCs w:val="20"/>
    </w:rPr>
  </w:style>
  <w:style w:type="character" w:styleId="Hyperlink">
    <w:name w:val="Hyperlink"/>
    <w:rsid w:val="008C573B"/>
    <w:rPr>
      <w:color w:val="0000FF"/>
      <w:u w:val="single"/>
    </w:rPr>
  </w:style>
  <w:style w:type="paragraph" w:styleId="BalloonText">
    <w:name w:val="Balloon Text"/>
    <w:basedOn w:val="Normal"/>
    <w:semiHidden/>
    <w:rsid w:val="00244E05"/>
    <w:rPr>
      <w:rFonts w:ascii="Tahoma" w:hAnsi="Tahoma" w:cs="Tahoma"/>
      <w:sz w:val="16"/>
      <w:szCs w:val="16"/>
    </w:rPr>
  </w:style>
  <w:style w:type="character" w:customStyle="1" w:styleId="FooterChar">
    <w:name w:val="Footer Char"/>
    <w:link w:val="Footer"/>
    <w:uiPriority w:val="99"/>
    <w:rsid w:val="002022D6"/>
    <w:rPr>
      <w:sz w:val="24"/>
      <w:szCs w:val="24"/>
    </w:rPr>
  </w:style>
  <w:style w:type="paragraph" w:styleId="ListParagraph">
    <w:name w:val="List Paragraph"/>
    <w:basedOn w:val="Normal"/>
    <w:uiPriority w:val="34"/>
    <w:qFormat/>
    <w:rsid w:val="005F6F8E"/>
    <w:pPr>
      <w:ind w:left="720"/>
    </w:pPr>
  </w:style>
  <w:style w:type="character" w:styleId="CommentReference">
    <w:name w:val="annotation reference"/>
    <w:basedOn w:val="DefaultParagraphFont"/>
    <w:rsid w:val="00434A95"/>
    <w:rPr>
      <w:sz w:val="16"/>
      <w:szCs w:val="16"/>
    </w:rPr>
  </w:style>
  <w:style w:type="paragraph" w:styleId="CommentText">
    <w:name w:val="annotation text"/>
    <w:basedOn w:val="Normal"/>
    <w:link w:val="CommentTextChar"/>
    <w:rsid w:val="00434A95"/>
    <w:rPr>
      <w:sz w:val="20"/>
      <w:szCs w:val="20"/>
    </w:rPr>
  </w:style>
  <w:style w:type="character" w:customStyle="1" w:styleId="CommentTextChar">
    <w:name w:val="Comment Text Char"/>
    <w:basedOn w:val="DefaultParagraphFont"/>
    <w:link w:val="CommentText"/>
    <w:rsid w:val="00434A95"/>
  </w:style>
  <w:style w:type="paragraph" w:styleId="CommentSubject">
    <w:name w:val="annotation subject"/>
    <w:basedOn w:val="CommentText"/>
    <w:next w:val="CommentText"/>
    <w:link w:val="CommentSubjectChar"/>
    <w:rsid w:val="00434A95"/>
    <w:rPr>
      <w:b/>
      <w:bCs/>
    </w:rPr>
  </w:style>
  <w:style w:type="character" w:customStyle="1" w:styleId="CommentSubjectChar">
    <w:name w:val="Comment Subject Char"/>
    <w:basedOn w:val="CommentTextChar"/>
    <w:link w:val="CommentSubject"/>
    <w:rsid w:val="00434A95"/>
    <w:rPr>
      <w:b/>
      <w:bCs/>
    </w:rPr>
  </w:style>
  <w:style w:type="paragraph" w:styleId="FootnoteText">
    <w:name w:val="footnote text"/>
    <w:basedOn w:val="Normal"/>
    <w:link w:val="FootnoteTextChar"/>
    <w:rsid w:val="008F695D"/>
    <w:rPr>
      <w:sz w:val="20"/>
      <w:szCs w:val="20"/>
    </w:rPr>
  </w:style>
  <w:style w:type="character" w:customStyle="1" w:styleId="FootnoteTextChar">
    <w:name w:val="Footnote Text Char"/>
    <w:basedOn w:val="DefaultParagraphFont"/>
    <w:link w:val="FootnoteText"/>
    <w:rsid w:val="008F695D"/>
  </w:style>
  <w:style w:type="paragraph" w:customStyle="1" w:styleId="Default">
    <w:name w:val="Default"/>
    <w:rsid w:val="008F695D"/>
    <w:pPr>
      <w:widowControl w:val="0"/>
      <w:autoSpaceDE w:val="0"/>
      <w:autoSpaceDN w:val="0"/>
      <w:adjustRightInd w:val="0"/>
    </w:pPr>
    <w:rPr>
      <w:color w:val="000000"/>
      <w:sz w:val="24"/>
      <w:szCs w:val="24"/>
    </w:rPr>
  </w:style>
  <w:style w:type="character" w:styleId="FollowedHyperlink">
    <w:name w:val="FollowedHyperlink"/>
    <w:basedOn w:val="DefaultParagraphFont"/>
    <w:rsid w:val="00270ED3"/>
    <w:rPr>
      <w:color w:val="800080" w:themeColor="followedHyperlink"/>
      <w:u w:val="single"/>
    </w:rPr>
  </w:style>
  <w:style w:type="table" w:styleId="TableGrid">
    <w:name w:val="Table Grid"/>
    <w:basedOn w:val="TableNormal"/>
    <w:rsid w:val="00E972F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36EC"/>
    <w:rPr>
      <w:sz w:val="24"/>
      <w:szCs w:val="24"/>
    </w:rPr>
  </w:style>
  <w:style w:type="character" w:customStyle="1" w:styleId="Heading4Char">
    <w:name w:val="Heading 4 Char"/>
    <w:basedOn w:val="DefaultParagraphFont"/>
    <w:link w:val="Heading4"/>
    <w:semiHidden/>
    <w:rsid w:val="0053008F"/>
    <w:rPr>
      <w:rFonts w:asciiTheme="majorHAnsi" w:eastAsiaTheme="majorEastAsia" w:hAnsiTheme="majorHAnsi" w:cstheme="majorBidi"/>
      <w:i/>
      <w:iCs/>
      <w:color w:val="365F91" w:themeColor="accent1" w:themeShade="BF"/>
      <w:sz w:val="24"/>
      <w:szCs w:val="24"/>
    </w:rPr>
  </w:style>
  <w:style w:type="character" w:customStyle="1" w:styleId="HeaderChar">
    <w:name w:val="Header Char"/>
    <w:link w:val="Header"/>
    <w:uiPriority w:val="99"/>
    <w:rsid w:val="00C66FF2"/>
    <w:rPr>
      <w:sz w:val="24"/>
      <w:szCs w:val="24"/>
    </w:rPr>
  </w:style>
  <w:style w:type="character" w:styleId="UnresolvedMention">
    <w:name w:val="Unresolved Mention"/>
    <w:basedOn w:val="DefaultParagraphFont"/>
    <w:uiPriority w:val="99"/>
    <w:semiHidden/>
    <w:unhideWhenUsed/>
    <w:rsid w:val="009B7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fedscope.opm.gov/" TargetMode="External" /><Relationship Id="rId11" Type="http://schemas.openxmlformats.org/officeDocument/2006/relationships/hyperlink" Target="https://www.cbo.gov/publication/52637"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grant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msha.gov/training/state-grant-participants" TargetMode="External" /><Relationship Id="rId2" Type="http://schemas.openxmlformats.org/officeDocument/2006/relationships/hyperlink" Target="https://www.msha.gov/training/brookwood-sago-mine-safety-grants" TargetMode="External" /><Relationship Id="rId3" Type="http://schemas.openxmlformats.org/officeDocument/2006/relationships/hyperlink" Target="https://www.bls.gov/oes/oes_ques.htm" TargetMode="External" /><Relationship Id="rId4" Type="http://schemas.openxmlformats.org/officeDocument/2006/relationships/hyperlink" Target="http://data.bls.gov/cgi-bin/srgate" TargetMode="External" /><Relationship Id="rId5" Type="http://schemas.openxmlformats.org/officeDocument/2006/relationships/hyperlink" Target="http://download.bls.gov/pub/time.series/cm/cm.data.0.Current" TargetMode="External" /><Relationship Id="rId6" Type="http://schemas.openxmlformats.org/officeDocument/2006/relationships/hyperlink" Target="https://data.bls.gov/cgi-bin/srgate" TargetMode="External" /><Relationship Id="rId7" Type="http://schemas.openxmlformats.org/officeDocument/2006/relationships/hyperlink" Target="https://www.regulations.gov/document/EPA-HQ-OPPT-2016-0387-006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6AB35BB0AB064987D5F4BE1270F37A" ma:contentTypeVersion="9" ma:contentTypeDescription="Create a new document." ma:contentTypeScope="" ma:versionID="9c4160904000b5717280fc8c6db2e050">
  <xsd:schema xmlns:xsd="http://www.w3.org/2001/XMLSchema" xmlns:xs="http://www.w3.org/2001/XMLSchema" xmlns:p="http://schemas.microsoft.com/office/2006/metadata/properties" xmlns:ns3="ec604893-7f5f-4deb-9d3c-cdb5bcde3754" xmlns:ns4="82df8729-24b5-4088-b3d5-c64e9e0007ad" targetNamespace="http://schemas.microsoft.com/office/2006/metadata/properties" ma:root="true" ma:fieldsID="df0da0f2ea513ed7f2ecbd13f522389d" ns3:_="" ns4:_="">
    <xsd:import namespace="ec604893-7f5f-4deb-9d3c-cdb5bcde3754"/>
    <xsd:import namespace="82df8729-24b5-4088-b3d5-c64e9e0007a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04893-7f5f-4deb-9d3c-cdb5bcde3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f8729-24b5-4088-b3d5-c64e9e0007a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F1AB9-878A-44E5-BEDF-F85D0ABAD0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B78049-2CF7-4765-BF17-ED38EA5BEB7B}">
  <ds:schemaRefs>
    <ds:schemaRef ds:uri="http://schemas.microsoft.com/sharepoint/v3/contenttype/forms"/>
  </ds:schemaRefs>
</ds:datastoreItem>
</file>

<file path=customXml/itemProps3.xml><?xml version="1.0" encoding="utf-8"?>
<ds:datastoreItem xmlns:ds="http://schemas.openxmlformats.org/officeDocument/2006/customXml" ds:itemID="{0C12FDED-65B4-4F35-9A56-3D56151A9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04893-7f5f-4deb-9d3c-cdb5bcde3754"/>
    <ds:schemaRef ds:uri="82df8729-24b5-4088-b3d5-c64e9e000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C4CCBE-F093-4499-A110-13FED01B2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16</Pages>
  <Words>4936</Words>
  <Characters>28076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SGA ICR</vt:lpstr>
    </vt:vector>
  </TitlesOfParts>
  <Manager>D. King</Manager>
  <Company>U.S. Dept of Labor</Company>
  <LinksUpToDate>false</LinksUpToDate>
  <CharactersWithSpaces>32947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SGA ICR</dc:title>
  <dc:subject>PRA</dc:subject>
  <dc:creator>king-darrin</dc:creator>
  <cp:lastModifiedBy>Moore, Joanna - MSHA</cp:lastModifiedBy>
  <cp:revision>42</cp:revision>
  <cp:lastPrinted>2023-06-20T15:30:00Z</cp:lastPrinted>
  <dcterms:created xsi:type="dcterms:W3CDTF">2023-06-20T15:30:00Z</dcterms:created>
  <dcterms:modified xsi:type="dcterms:W3CDTF">2024-03-26T11:19:00Z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0x010100E06AB35BB0AB064987D5F4BE1270F37A</vt:lpwstr>
  </property>
</Properties>
</file>