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C1DCB" w:rsidP="00307988" w14:paraId="319CF441" w14:textId="77777777">
      <w:pPr>
        <w:suppressAutoHyphens/>
        <w:jc w:val="center"/>
        <w:rPr>
          <w:b/>
        </w:rPr>
      </w:pPr>
      <w:bookmarkStart w:id="0" w:name="_Hlk191043679"/>
      <w:bookmarkStart w:id="1" w:name="_Hlk114563386"/>
      <w:r w:rsidRPr="00307988">
        <w:rPr>
          <w:b/>
          <w:bCs/>
        </w:rPr>
        <w:t>Supporting Statement</w:t>
      </w:r>
      <w:r w:rsidRPr="00307988">
        <w:rPr>
          <w:b/>
        </w:rPr>
        <w:t xml:space="preserve"> for</w:t>
      </w:r>
      <w:r w:rsidRPr="00307988" w:rsidR="00D0267C">
        <w:rPr>
          <w:b/>
        </w:rPr>
        <w:t xml:space="preserve"> </w:t>
      </w:r>
      <w:bookmarkStart w:id="2" w:name="_Hlk191382162"/>
    </w:p>
    <w:p w:rsidR="008C1DCB" w:rsidP="00307988" w14:paraId="2BF60F53" w14:textId="77777777">
      <w:pPr>
        <w:suppressAutoHyphens/>
        <w:jc w:val="center"/>
        <w:rPr>
          <w:b/>
          <w:bCs/>
        </w:rPr>
      </w:pPr>
      <w:r w:rsidRPr="00307988">
        <w:rPr>
          <w:b/>
          <w:bCs/>
        </w:rPr>
        <w:t xml:space="preserve">Applications for Permits to Fire </w:t>
      </w:r>
      <w:r w:rsidRPr="00307988" w:rsidR="00997CC1">
        <w:rPr>
          <w:b/>
          <w:bCs/>
        </w:rPr>
        <w:t>m</w:t>
      </w:r>
      <w:r w:rsidRPr="00307988">
        <w:rPr>
          <w:b/>
          <w:bCs/>
        </w:rPr>
        <w:t xml:space="preserve">ore than 20 Boreholes </w:t>
      </w:r>
    </w:p>
    <w:p w:rsidR="008C1DCB" w:rsidP="00307988" w14:paraId="4795166B" w14:textId="401D18DA">
      <w:pPr>
        <w:suppressAutoHyphens/>
        <w:jc w:val="center"/>
        <w:rPr>
          <w:b/>
          <w:bCs/>
        </w:rPr>
      </w:pPr>
      <w:r w:rsidRPr="00307988">
        <w:rPr>
          <w:b/>
          <w:bCs/>
        </w:rPr>
        <w:t xml:space="preserve">and </w:t>
      </w:r>
      <w:r w:rsidRPr="00307988" w:rsidR="00997CC1">
        <w:rPr>
          <w:b/>
          <w:bCs/>
        </w:rPr>
        <w:t>f</w:t>
      </w:r>
      <w:r w:rsidRPr="00307988">
        <w:rPr>
          <w:b/>
          <w:bCs/>
        </w:rPr>
        <w:t>or Use of Nonpermissible Blasting Units, Explosives, and Shot-</w:t>
      </w:r>
      <w:r w:rsidRPr="00307988" w:rsidR="00997CC1">
        <w:rPr>
          <w:b/>
          <w:bCs/>
        </w:rPr>
        <w:t>F</w:t>
      </w:r>
      <w:r w:rsidRPr="00307988">
        <w:rPr>
          <w:b/>
          <w:bCs/>
        </w:rPr>
        <w:t xml:space="preserve">iring Units; </w:t>
      </w:r>
    </w:p>
    <w:p w:rsidR="00861B3F" w:rsidRPr="00307988" w:rsidP="00307988" w14:paraId="33F0F79A" w14:textId="192F5323">
      <w:pPr>
        <w:suppressAutoHyphens/>
        <w:jc w:val="center"/>
        <w:rPr>
          <w:b/>
          <w:color w:val="FF0000"/>
        </w:rPr>
      </w:pPr>
      <w:r w:rsidRPr="00307988">
        <w:rPr>
          <w:b/>
          <w:bCs/>
        </w:rPr>
        <w:t xml:space="preserve">and Posting Notices of Misfires </w:t>
      </w:r>
      <w:bookmarkEnd w:id="2"/>
      <w:r w:rsidRPr="00307988">
        <w:rPr>
          <w:b/>
        </w:rPr>
        <w:t>Paperwork Reduction Act Submission</w:t>
      </w:r>
      <w:bookmarkEnd w:id="0"/>
    </w:p>
    <w:p w:rsidR="00861B3F" w:rsidRPr="00307988" w:rsidP="00307988" w14:paraId="3E579288" w14:textId="77777777">
      <w:pPr>
        <w:suppressAutoHyphens/>
        <w:jc w:val="center"/>
        <w:rPr>
          <w:b/>
        </w:rPr>
      </w:pPr>
    </w:p>
    <w:p w:rsidR="00861B3F" w:rsidRPr="00307988" w:rsidP="00307988" w14:paraId="409D3F1A" w14:textId="47057D59">
      <w:pPr>
        <w:widowControl/>
        <w:autoSpaceDE/>
        <w:autoSpaceDN/>
        <w:adjustRightInd/>
        <w:rPr>
          <w:rFonts w:eastAsiaTheme="minorHAnsi"/>
          <w:szCs w:val="22"/>
        </w:rPr>
      </w:pPr>
      <w:r w:rsidRPr="00307988">
        <w:rPr>
          <w:bCs/>
        </w:rPr>
        <w:t xml:space="preserve">This </w:t>
      </w:r>
      <w:r w:rsidRPr="00307988" w:rsidR="00B227F0">
        <w:rPr>
          <w:bCs/>
        </w:rPr>
        <w:t>information collection request (</w:t>
      </w:r>
      <w:r w:rsidRPr="00307988" w:rsidR="00B227F0">
        <w:t>ICR)</w:t>
      </w:r>
      <w:r w:rsidRPr="00307988">
        <w:rPr>
          <w:bCs/>
        </w:rPr>
        <w:t xml:space="preserve"> seeks to extend, without chang</w:t>
      </w:r>
      <w:r w:rsidRPr="00307988" w:rsidR="00BC060A">
        <w:rPr>
          <w:bCs/>
        </w:rPr>
        <w:t>e</w:t>
      </w:r>
      <w:r w:rsidRPr="00307988" w:rsidR="002D0F05">
        <w:t>,</w:t>
      </w:r>
      <w:r w:rsidRPr="00307988" w:rsidR="00BC060A">
        <w:t xml:space="preserve"> </w:t>
      </w:r>
      <w:r w:rsidRPr="00307988" w:rsidR="002D0F05">
        <w:rPr>
          <w:bCs/>
        </w:rPr>
        <w:t xml:space="preserve">a currently approved </w:t>
      </w:r>
      <w:r w:rsidRPr="00307988">
        <w:rPr>
          <w:bCs/>
        </w:rPr>
        <w:t>information collection.</w:t>
      </w:r>
    </w:p>
    <w:p w:rsidR="00861B3F" w:rsidRPr="00307988" w:rsidP="00307988" w14:paraId="6B8A9E29" w14:textId="77777777"/>
    <w:p w:rsidR="00861B3F" w:rsidRPr="00307988" w:rsidP="00307988" w14:paraId="3FE2834E" w14:textId="38A69653">
      <w:pPr>
        <w:tabs>
          <w:tab w:val="left" w:pos="-720"/>
        </w:tabs>
        <w:suppressAutoHyphens/>
        <w:rPr>
          <w:b/>
        </w:rPr>
      </w:pPr>
      <w:r w:rsidRPr="00307988">
        <w:rPr>
          <w:b/>
          <w:u w:val="single"/>
        </w:rPr>
        <w:t>OMB Control Number</w:t>
      </w:r>
      <w:r w:rsidRPr="00307988">
        <w:t>: 1219-</w:t>
      </w:r>
      <w:r w:rsidRPr="00307988" w:rsidR="00393806">
        <w:rPr>
          <w:color w:val="000000" w:themeColor="text1"/>
        </w:rPr>
        <w:t>0025</w:t>
      </w:r>
    </w:p>
    <w:p w:rsidR="00861B3F" w:rsidRPr="00307988" w:rsidP="00307988" w14:paraId="6FD41D47" w14:textId="77777777">
      <w:pPr>
        <w:tabs>
          <w:tab w:val="left" w:pos="-720"/>
        </w:tabs>
        <w:suppressAutoHyphens/>
        <w:rPr>
          <w:b/>
        </w:rPr>
      </w:pPr>
    </w:p>
    <w:p w:rsidR="00861B3F" w:rsidRPr="00307988" w:rsidP="00307988" w14:paraId="7B26500A" w14:textId="47981799">
      <w:pPr>
        <w:tabs>
          <w:tab w:val="left" w:pos="-720"/>
        </w:tabs>
        <w:suppressAutoHyphens/>
        <w:rPr>
          <w:b/>
          <w:bCs/>
        </w:rPr>
      </w:pPr>
      <w:r w:rsidRPr="00307988">
        <w:rPr>
          <w:b/>
          <w:u w:val="single"/>
        </w:rPr>
        <w:t>Information Collection Request Title</w:t>
      </w:r>
      <w:r w:rsidRPr="00307988">
        <w:rPr>
          <w:b/>
        </w:rPr>
        <w:t xml:space="preserve">: </w:t>
      </w:r>
      <w:bookmarkStart w:id="3" w:name="_Hlk103349820"/>
      <w:r w:rsidRPr="00307988" w:rsidR="00393806">
        <w:t>Applications for Permits to Fire More than 20 Boreholes and For Use of Nonpermissible Blasting Units, Explosives, and Shot-firing Units; and Posting Notices of Misfires</w:t>
      </w:r>
      <w:r w:rsidRPr="00307988" w:rsidR="00393806">
        <w:rPr>
          <w:b/>
          <w:bCs/>
        </w:rPr>
        <w:t xml:space="preserve"> </w:t>
      </w:r>
      <w:bookmarkEnd w:id="3"/>
    </w:p>
    <w:p w:rsidR="004D5C03" w:rsidRPr="00307988" w:rsidP="00307988" w14:paraId="64CD667C" w14:textId="77777777">
      <w:pPr>
        <w:tabs>
          <w:tab w:val="left" w:pos="-720"/>
        </w:tabs>
        <w:suppressAutoHyphens/>
        <w:rPr>
          <w:b/>
        </w:rPr>
      </w:pPr>
    </w:p>
    <w:p w:rsidR="00861B3F" w:rsidRPr="00307988" w:rsidP="00307988" w14:paraId="07D97EAE" w14:textId="7642A437">
      <w:pPr>
        <w:tabs>
          <w:tab w:val="left" w:pos="-720"/>
        </w:tabs>
        <w:suppressAutoHyphens/>
        <w:rPr>
          <w:b/>
        </w:rPr>
      </w:pPr>
      <w:r w:rsidRPr="00307988">
        <w:rPr>
          <w:b/>
          <w:u w:val="single"/>
        </w:rPr>
        <w:t xml:space="preserve">Type of </w:t>
      </w:r>
      <w:r w:rsidRPr="00307988" w:rsidR="00541732">
        <w:rPr>
          <w:b/>
          <w:u w:val="single"/>
        </w:rPr>
        <w:t xml:space="preserve">OMB </w:t>
      </w:r>
      <w:r w:rsidRPr="00307988">
        <w:rPr>
          <w:b/>
          <w:color w:val="000000" w:themeColor="text1"/>
          <w:u w:val="single"/>
        </w:rPr>
        <w:t>Review</w:t>
      </w:r>
      <w:r w:rsidRPr="00307988">
        <w:rPr>
          <w:b/>
          <w:color w:val="000000" w:themeColor="text1"/>
        </w:rPr>
        <w:t xml:space="preserve">: </w:t>
      </w:r>
      <w:r w:rsidRPr="00307988" w:rsidR="00AA68DD">
        <w:rPr>
          <w:bCs/>
          <w:color w:val="000000" w:themeColor="text1"/>
        </w:rPr>
        <w:t>Extension</w:t>
      </w:r>
      <w:r w:rsidRPr="00307988" w:rsidR="00B108CA">
        <w:rPr>
          <w:bCs/>
          <w:color w:val="000000" w:themeColor="text1"/>
        </w:rPr>
        <w:t xml:space="preserve"> </w:t>
      </w:r>
    </w:p>
    <w:p w:rsidR="00861B3F" w:rsidRPr="00307988" w:rsidP="00307988" w14:paraId="3DDD942E" w14:textId="77777777">
      <w:pPr>
        <w:tabs>
          <w:tab w:val="left" w:pos="-720"/>
        </w:tabs>
        <w:suppressAutoHyphens/>
        <w:rPr>
          <w:b/>
        </w:rPr>
      </w:pPr>
    </w:p>
    <w:p w:rsidR="00AA68DD" w:rsidRPr="00307988" w:rsidP="00307988" w14:paraId="7E2E76E4" w14:textId="77777777">
      <w:pPr>
        <w:rPr>
          <w:b/>
        </w:rPr>
      </w:pPr>
      <w:r w:rsidRPr="00307988">
        <w:rPr>
          <w:b/>
          <w:u w:val="single"/>
        </w:rPr>
        <w:t>Authority</w:t>
      </w:r>
      <w:r w:rsidRPr="00307988">
        <w:rPr>
          <w:b/>
        </w:rPr>
        <w:t>:</w:t>
      </w:r>
      <w:r w:rsidRPr="00307988" w:rsidR="00BA12DF">
        <w:rPr>
          <w:b/>
        </w:rPr>
        <w:t xml:space="preserve"> </w:t>
      </w:r>
    </w:p>
    <w:p w:rsidR="00393806" w:rsidRPr="00307988" w:rsidP="00307988" w14:paraId="58470FEB" w14:textId="75A2B901">
      <w:pPr>
        <w:rPr>
          <w:bCs/>
          <w:color w:val="000000" w:themeColor="text1"/>
        </w:rPr>
      </w:pPr>
      <w:bookmarkStart w:id="4" w:name="_Hlk191043703"/>
      <w:r w:rsidRPr="00307988">
        <w:rPr>
          <w:bCs/>
          <w:color w:val="000000" w:themeColor="text1"/>
        </w:rPr>
        <w:t>Part 75</w:t>
      </w:r>
      <w:r w:rsidRPr="00307988" w:rsidR="005229B1">
        <w:rPr>
          <w:bCs/>
          <w:color w:val="000000" w:themeColor="text1"/>
        </w:rPr>
        <w:t>—</w:t>
      </w:r>
      <w:r w:rsidRPr="00307988">
        <w:rPr>
          <w:bCs/>
          <w:color w:val="000000" w:themeColor="text1"/>
        </w:rPr>
        <w:t>Mandatory Safety Standards—Underground Coal Mines</w:t>
      </w:r>
    </w:p>
    <w:p w:rsidR="00393806" w:rsidRPr="00307988" w:rsidP="00307988" w14:paraId="393A7DEB" w14:textId="77777777">
      <w:pPr>
        <w:ind w:firstLine="720"/>
        <w:rPr>
          <w:bCs/>
          <w:color w:val="000000" w:themeColor="text1"/>
        </w:rPr>
      </w:pPr>
      <w:r w:rsidRPr="00307988">
        <w:rPr>
          <w:bCs/>
          <w:color w:val="000000" w:themeColor="text1"/>
        </w:rPr>
        <w:t>Subpart N—Explosives and Blasting</w:t>
      </w:r>
    </w:p>
    <w:p w:rsidR="00393806" w:rsidRPr="00307988" w:rsidP="00307988" w14:paraId="13FD6828" w14:textId="7EA05245">
      <w:pPr>
        <w:ind w:left="1440"/>
        <w:rPr>
          <w:bCs/>
          <w:color w:val="000000" w:themeColor="text1"/>
        </w:rPr>
      </w:pPr>
      <w:r w:rsidRPr="00307988">
        <w:rPr>
          <w:bCs/>
          <w:color w:val="000000" w:themeColor="text1"/>
        </w:rPr>
        <w:t>30 CFR 75.1321</w:t>
      </w:r>
      <w:r w:rsidRPr="00307988" w:rsidR="005229B1">
        <w:rPr>
          <w:bCs/>
          <w:color w:val="000000" w:themeColor="text1"/>
        </w:rPr>
        <w:t>—</w:t>
      </w:r>
      <w:r w:rsidRPr="00307988">
        <w:rPr>
          <w:bCs/>
          <w:color w:val="000000" w:themeColor="text1"/>
        </w:rPr>
        <w:t>Permits for firing more than 20 boreholes and for use of nonpermissible blasting units.</w:t>
      </w:r>
    </w:p>
    <w:p w:rsidR="00393806" w:rsidRPr="00307988" w:rsidP="00307988" w14:paraId="7B917A74" w14:textId="67812B75">
      <w:pPr>
        <w:ind w:left="720" w:firstLine="720"/>
        <w:rPr>
          <w:bCs/>
          <w:color w:val="000000" w:themeColor="text1"/>
        </w:rPr>
      </w:pPr>
      <w:r w:rsidRPr="00307988">
        <w:rPr>
          <w:bCs/>
          <w:color w:val="000000" w:themeColor="text1"/>
        </w:rPr>
        <w:t>30 CFR 75.1327</w:t>
      </w:r>
      <w:r w:rsidRPr="00307988" w:rsidR="005229B1">
        <w:rPr>
          <w:bCs/>
          <w:color w:val="000000" w:themeColor="text1"/>
        </w:rPr>
        <w:t>—</w:t>
      </w:r>
      <w:r w:rsidRPr="00307988">
        <w:rPr>
          <w:bCs/>
          <w:color w:val="000000" w:themeColor="text1"/>
        </w:rPr>
        <w:t>Misfires.</w:t>
      </w:r>
    </w:p>
    <w:p w:rsidR="00393806" w:rsidRPr="00307988" w:rsidP="00307988" w14:paraId="1713AFA0" w14:textId="77777777">
      <w:pPr>
        <w:rPr>
          <w:bCs/>
          <w:color w:val="000000" w:themeColor="text1"/>
        </w:rPr>
      </w:pPr>
    </w:p>
    <w:p w:rsidR="00393806" w:rsidRPr="00307988" w:rsidP="00307988" w14:paraId="69454DC9" w14:textId="616D1439">
      <w:pPr>
        <w:rPr>
          <w:bCs/>
          <w:color w:val="000000" w:themeColor="text1"/>
        </w:rPr>
      </w:pPr>
      <w:r w:rsidRPr="00307988">
        <w:rPr>
          <w:bCs/>
          <w:color w:val="000000" w:themeColor="text1"/>
        </w:rPr>
        <w:t>Part 77</w:t>
      </w:r>
      <w:r w:rsidRPr="00307988" w:rsidR="005229B1">
        <w:rPr>
          <w:bCs/>
          <w:color w:val="000000" w:themeColor="text1"/>
        </w:rPr>
        <w:t>—</w:t>
      </w:r>
      <w:r w:rsidRPr="00307988">
        <w:rPr>
          <w:bCs/>
          <w:color w:val="000000" w:themeColor="text1"/>
        </w:rPr>
        <w:t>Mandatory Safety Standards, Surface Coal Mines and Surface Work Areas of Underground Coal Mines</w:t>
      </w:r>
    </w:p>
    <w:p w:rsidR="00393806" w:rsidRPr="00307988" w:rsidP="00307988" w14:paraId="22C60EDC" w14:textId="77777777">
      <w:pPr>
        <w:ind w:firstLine="720"/>
        <w:rPr>
          <w:bCs/>
          <w:color w:val="000000" w:themeColor="text1"/>
        </w:rPr>
      </w:pPr>
      <w:r w:rsidRPr="00307988">
        <w:rPr>
          <w:bCs/>
          <w:color w:val="000000" w:themeColor="text1"/>
        </w:rPr>
        <w:t>Subpart T—Slope and Shaft Sinking</w:t>
      </w:r>
    </w:p>
    <w:p w:rsidR="00861B3F" w:rsidRPr="00307988" w:rsidP="00307988" w14:paraId="2F93BBBA" w14:textId="6E210D5A">
      <w:pPr>
        <w:tabs>
          <w:tab w:val="left" w:pos="-720"/>
        </w:tabs>
        <w:suppressAutoHyphens/>
        <w:ind w:left="1440"/>
        <w:rPr>
          <w:b/>
        </w:rPr>
      </w:pPr>
      <w:r w:rsidRPr="00307988">
        <w:rPr>
          <w:bCs/>
          <w:color w:val="000000" w:themeColor="text1"/>
        </w:rPr>
        <w:t>30 CFR 77.1909-1</w:t>
      </w:r>
      <w:r w:rsidRPr="00307988" w:rsidR="005229B1">
        <w:rPr>
          <w:bCs/>
          <w:color w:val="000000" w:themeColor="text1"/>
        </w:rPr>
        <w:t>—</w:t>
      </w:r>
      <w:r w:rsidRPr="00307988">
        <w:rPr>
          <w:bCs/>
          <w:color w:val="000000" w:themeColor="text1"/>
        </w:rPr>
        <w:t>Use of nonpermissible explosives and nonpermissible shot-firing units; approval by Health and Safety District Manager.</w:t>
      </w:r>
    </w:p>
    <w:bookmarkEnd w:id="4"/>
    <w:p w:rsidR="005237EA" w:rsidRPr="00307988" w:rsidP="00307988" w14:paraId="0A722260" w14:textId="77777777">
      <w:pPr>
        <w:rPr>
          <w:b/>
          <w:u w:val="single"/>
        </w:rPr>
      </w:pPr>
    </w:p>
    <w:p w:rsidR="00861B3F" w:rsidRPr="00307988" w:rsidP="00307988" w14:paraId="7777C6C5" w14:textId="13018851">
      <w:pPr>
        <w:rPr>
          <w:b/>
        </w:rPr>
      </w:pPr>
      <w:r w:rsidRPr="00307988">
        <w:rPr>
          <w:b/>
          <w:u w:val="single"/>
        </w:rPr>
        <w:t>Collection Instrument(s)</w:t>
      </w:r>
      <w:r w:rsidRPr="00307988">
        <w:rPr>
          <w:b/>
        </w:rPr>
        <w:t>:</w:t>
      </w:r>
      <w:r w:rsidRPr="00307988">
        <w:t xml:space="preserve"> </w:t>
      </w:r>
      <w:r w:rsidRPr="00307988" w:rsidR="005916FB">
        <w:rPr>
          <w:color w:val="000000" w:themeColor="text1"/>
        </w:rPr>
        <w:t>None</w:t>
      </w:r>
    </w:p>
    <w:p w:rsidR="00861B3F" w:rsidRPr="00307988" w:rsidP="00307988" w14:paraId="3BE9B174" w14:textId="77777777">
      <w:pPr>
        <w:rPr>
          <w:b/>
          <w:bCs/>
          <w:color w:val="000000"/>
        </w:rPr>
      </w:pPr>
    </w:p>
    <w:p w:rsidR="00B227F0" w:rsidRPr="00307988" w:rsidP="00307988" w14:paraId="3261DED4" w14:textId="77777777">
      <w:pPr>
        <w:pStyle w:val="Default"/>
        <w:rPr>
          <w:rFonts w:ascii="Times New Roman" w:hAnsi="Times New Roman" w:cs="Times New Roman"/>
          <w:b/>
          <w:color w:val="auto"/>
        </w:rPr>
      </w:pPr>
      <w:r w:rsidRPr="00307988">
        <w:rPr>
          <w:rFonts w:ascii="Times New Roman" w:hAnsi="Times New Roman" w:cs="Times New Roman"/>
          <w:b/>
          <w:color w:val="auto"/>
        </w:rPr>
        <w:t>General Instructions</w:t>
      </w:r>
    </w:p>
    <w:p w:rsidR="00B227F0" w:rsidRPr="00307988" w:rsidP="00307988" w14:paraId="6FAE27B4" w14:textId="77777777">
      <w:pPr>
        <w:pStyle w:val="Default"/>
        <w:rPr>
          <w:rFonts w:ascii="Times New Roman" w:hAnsi="Times New Roman" w:cs="Times New Roman"/>
          <w:b/>
          <w:color w:val="auto"/>
        </w:rPr>
      </w:pPr>
    </w:p>
    <w:p w:rsidR="00B227F0" w:rsidRPr="00307988" w:rsidP="00307988" w14:paraId="0736298B" w14:textId="3CD73709">
      <w:pPr>
        <w:pStyle w:val="Default"/>
        <w:rPr>
          <w:rFonts w:ascii="Times New Roman" w:hAnsi="Times New Roman" w:cs="Times New Roman"/>
          <w:b/>
          <w:color w:val="auto"/>
        </w:rPr>
      </w:pPr>
      <w:r w:rsidRPr="00307988">
        <w:rPr>
          <w:rFonts w:ascii="Times New Roman" w:hAnsi="Times New Roman" w:cs="Times New Roman"/>
          <w:b/>
          <w:color w:val="auto"/>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rsidR="00B227F0" w:rsidRPr="00307988" w:rsidP="00307988" w14:paraId="43E4646E" w14:textId="77777777">
      <w:pPr>
        <w:pStyle w:val="Default"/>
        <w:rPr>
          <w:rFonts w:ascii="Times New Roman" w:hAnsi="Times New Roman" w:cs="Times New Roman"/>
          <w:b/>
          <w:color w:val="auto"/>
        </w:rPr>
      </w:pPr>
    </w:p>
    <w:p w:rsidR="00B227F0" w:rsidRPr="00307988" w:rsidP="00307988" w14:paraId="2BEDACE0" w14:textId="3864F4A3">
      <w:pPr>
        <w:pStyle w:val="Default"/>
        <w:rPr>
          <w:rFonts w:ascii="Times New Roman" w:hAnsi="Times New Roman" w:cs="Times New Roman"/>
          <w:b/>
          <w:color w:val="auto"/>
        </w:rPr>
      </w:pPr>
      <w:r w:rsidRPr="00307988">
        <w:rPr>
          <w:rFonts w:ascii="Times New Roman" w:hAnsi="Times New Roman" w:cs="Times New Roman"/>
          <w:b/>
          <w:color w:val="auto"/>
        </w:rPr>
        <w:t>Specific Instructions</w:t>
      </w:r>
    </w:p>
    <w:p w:rsidR="00B227F0" w:rsidRPr="00307988" w:rsidP="00307988" w14:paraId="580DC9D7" w14:textId="77777777">
      <w:pPr>
        <w:pStyle w:val="Default"/>
        <w:rPr>
          <w:rFonts w:ascii="Times New Roman" w:hAnsi="Times New Roman" w:cs="Times New Roman"/>
          <w:b/>
          <w:color w:val="auto"/>
        </w:rPr>
      </w:pPr>
    </w:p>
    <w:p w:rsidR="00B227F0" w:rsidRPr="00307988" w:rsidP="00307988" w14:paraId="24052D5A" w14:textId="2767232C">
      <w:pPr>
        <w:pStyle w:val="Default"/>
        <w:rPr>
          <w:rFonts w:ascii="Times New Roman" w:hAnsi="Times New Roman" w:cs="Times New Roman"/>
          <w:color w:val="auto"/>
        </w:rPr>
      </w:pPr>
      <w:r w:rsidRPr="00307988">
        <w:rPr>
          <w:rFonts w:ascii="Times New Roman" w:hAnsi="Times New Roman" w:cs="Times New Roman"/>
          <w:b/>
          <w:color w:val="auto"/>
        </w:rPr>
        <w:t>A.</w:t>
      </w:r>
      <w:r w:rsidRPr="00307988" w:rsidR="007E35A8">
        <w:rPr>
          <w:rFonts w:ascii="Times New Roman" w:hAnsi="Times New Roman" w:cs="Times New Roman"/>
          <w:b/>
          <w:color w:val="auto"/>
        </w:rPr>
        <w:t xml:space="preserve"> </w:t>
      </w:r>
      <w:r w:rsidRPr="00307988">
        <w:rPr>
          <w:rFonts w:ascii="Times New Roman" w:hAnsi="Times New Roman" w:cs="Times New Roman"/>
          <w:b/>
          <w:color w:val="auto"/>
        </w:rPr>
        <w:t>Justification</w:t>
      </w:r>
      <w:r w:rsidRPr="00307988">
        <w:rPr>
          <w:rFonts w:ascii="Times New Roman" w:hAnsi="Times New Roman" w:cs="Times New Roman"/>
          <w:color w:val="auto"/>
        </w:rPr>
        <w:t xml:space="preserve"> </w:t>
      </w:r>
    </w:p>
    <w:p w:rsidR="00B227F0" w:rsidRPr="00307988" w:rsidP="00307988" w14:paraId="75A98CEA" w14:textId="77777777">
      <w:pPr>
        <w:pStyle w:val="Default"/>
        <w:rPr>
          <w:rFonts w:ascii="Times New Roman" w:hAnsi="Times New Roman" w:cs="Times New Roman"/>
          <w:color w:val="auto"/>
        </w:rPr>
      </w:pPr>
      <w:r w:rsidRPr="00307988">
        <w:rPr>
          <w:rFonts w:ascii="Times New Roman" w:hAnsi="Times New Roman" w:cs="Times New Roman"/>
          <w:color w:val="auto"/>
        </w:rPr>
        <w:t xml:space="preserve"> </w:t>
      </w:r>
    </w:p>
    <w:p w:rsidR="00B227F0" w:rsidRPr="00307988" w:rsidP="00307988" w14:paraId="048FE832" w14:textId="026B7277">
      <w:pPr>
        <w:pStyle w:val="Default"/>
        <w:rPr>
          <w:rFonts w:ascii="Times New Roman" w:hAnsi="Times New Roman" w:cs="Times New Roman"/>
          <w:color w:val="auto"/>
        </w:rPr>
      </w:pPr>
      <w:r w:rsidRPr="00307988">
        <w:rPr>
          <w:rFonts w:ascii="Times New Roman" w:hAnsi="Times New Roman" w:cs="Times New Roman"/>
          <w:b/>
          <w:color w:val="auto"/>
        </w:rPr>
        <w:t>1.</w:t>
      </w:r>
      <w:r w:rsidRPr="00307988" w:rsidR="007E35A8">
        <w:rPr>
          <w:rFonts w:ascii="Times New Roman" w:hAnsi="Times New Roman" w:cs="Times New Roman"/>
          <w:color w:val="auto"/>
        </w:rPr>
        <w:t xml:space="preserve"> </w:t>
      </w:r>
      <w:r w:rsidRPr="00307988">
        <w:rPr>
          <w:rFonts w:ascii="Times New Roman" w:hAnsi="Times New Roman" w:cs="Times New Roman"/>
          <w:b/>
          <w:color w:val="auto"/>
        </w:rPr>
        <w:t>Explain the circumstances that make the collection of information necessary.</w:t>
      </w:r>
      <w:r w:rsidRPr="00307988" w:rsidR="007E35A8">
        <w:rPr>
          <w:rFonts w:ascii="Times New Roman" w:hAnsi="Times New Roman" w:cs="Times New Roman"/>
          <w:b/>
          <w:color w:val="auto"/>
        </w:rPr>
        <w:t xml:space="preserve"> </w:t>
      </w:r>
      <w:r w:rsidRPr="00307988">
        <w:rPr>
          <w:rFonts w:ascii="Times New Roman" w:hAnsi="Times New Roman" w:cs="Times New Roman"/>
          <w:b/>
          <w:color w:val="auto"/>
        </w:rPr>
        <w:t>Identify any legal or administrative requirements that necessitate the collection. Attach a copy of</w:t>
      </w:r>
      <w:r w:rsidRPr="00307988" w:rsidR="00AA68DD">
        <w:rPr>
          <w:rFonts w:ascii="Times New Roman" w:hAnsi="Times New Roman" w:cs="Times New Roman"/>
          <w:b/>
          <w:color w:val="auto"/>
        </w:rPr>
        <w:t xml:space="preserve"> </w:t>
      </w:r>
      <w:r w:rsidRPr="00307988">
        <w:rPr>
          <w:rFonts w:ascii="Times New Roman" w:hAnsi="Times New Roman" w:cs="Times New Roman"/>
          <w:b/>
          <w:color w:val="auto"/>
        </w:rPr>
        <w:t xml:space="preserve">the appropriate section of each statute and regulation mandating or authorizing the collection of information. </w:t>
      </w:r>
    </w:p>
    <w:p w:rsidR="00B227F0" w:rsidRPr="00307988" w:rsidP="00307988" w14:paraId="1FCB6AF5" w14:textId="77777777">
      <w:pPr>
        <w:pStyle w:val="Default"/>
        <w:rPr>
          <w:rFonts w:ascii="Times New Roman" w:hAnsi="Times New Roman" w:cs="Times New Roman"/>
          <w:color w:val="auto"/>
        </w:rPr>
      </w:pPr>
      <w:r w:rsidRPr="00307988">
        <w:rPr>
          <w:rFonts w:ascii="Times New Roman" w:hAnsi="Times New Roman" w:cs="Times New Roman"/>
          <w:b/>
          <w:color w:val="auto"/>
        </w:rPr>
        <w:t xml:space="preserve"> </w:t>
      </w:r>
    </w:p>
    <w:p w:rsidR="00CB3898" w:rsidRPr="00307988" w:rsidP="00307988" w14:paraId="30E722ED" w14:textId="2FE7EDC7">
      <w:pPr>
        <w:pStyle w:val="Default"/>
        <w:rPr>
          <w:rFonts w:ascii="Times New Roman" w:hAnsi="Times New Roman" w:cs="Times New Roman"/>
          <w:color w:val="auto"/>
        </w:rPr>
      </w:pPr>
      <w:r w:rsidRPr="00307988">
        <w:rPr>
          <w:rFonts w:ascii="Times New Roman" w:hAnsi="Times New Roman" w:cs="Times New Roman"/>
          <w:color w:val="auto"/>
        </w:rPr>
        <w:t>Section 103(h) of the Federal Mine Safety and Health Act of 1977</w:t>
      </w:r>
      <w:r w:rsidRPr="00307988" w:rsidR="006A05E7">
        <w:rPr>
          <w:rFonts w:ascii="Times New Roman" w:hAnsi="Times New Roman" w:cs="Times New Roman"/>
          <w:color w:val="auto"/>
        </w:rPr>
        <w:t xml:space="preserve"> (Mine Act)</w:t>
      </w:r>
      <w:r w:rsidRPr="00307988">
        <w:rPr>
          <w:rFonts w:ascii="Times New Roman" w:hAnsi="Times New Roman" w:cs="Times New Roman"/>
        </w:rPr>
        <w:t xml:space="preserve"> as amended</w:t>
      </w:r>
      <w:r w:rsidRPr="00307988">
        <w:rPr>
          <w:rFonts w:ascii="Times New Roman" w:hAnsi="Times New Roman" w:cs="Times New Roman"/>
          <w:color w:val="auto"/>
        </w:rPr>
        <w:t xml:space="preserve">, 30 U.S.C. 813(h), authorizes the Mine Safety and Health Administration (MSHA) to collect information necessary to carry out its duty in protecting the safety and health of miners. Further, </w:t>
      </w:r>
      <w:bookmarkStart w:id="5" w:name="_Hlk157593570"/>
      <w:r w:rsidRPr="00307988">
        <w:rPr>
          <w:rFonts w:ascii="Times New Roman" w:hAnsi="Times New Roman" w:cs="Times New Roman"/>
          <w:color w:val="auto"/>
        </w:rPr>
        <w:t xml:space="preserve">section 101(a) of the Mine Act, 30 U.S.C. 811(a), authorizes the Secretary of Labor (Secretary) </w:t>
      </w:r>
      <w:bookmarkEnd w:id="5"/>
      <w:r w:rsidRPr="00307988">
        <w:rPr>
          <w:rFonts w:ascii="Times New Roman" w:hAnsi="Times New Roman" w:cs="Times New Roman"/>
          <w:color w:val="auto"/>
        </w:rPr>
        <w:t>to develop, promulgate, and revise as may be appropriate, improved mandatory health or safety standards for the protection of life and prevention of injuries in coal, metal, and nonmetal mines.</w:t>
      </w:r>
    </w:p>
    <w:p w:rsidR="00F70C76" w:rsidRPr="00307988" w:rsidP="00307988" w14:paraId="308C7C3D" w14:textId="77777777">
      <w:pPr>
        <w:pStyle w:val="Default"/>
        <w:rPr>
          <w:rFonts w:ascii="Times New Roman" w:hAnsi="Times New Roman" w:cs="Times New Roman"/>
          <w:color w:val="auto"/>
        </w:rPr>
      </w:pPr>
    </w:p>
    <w:p w:rsidR="006C4EAD" w:rsidRPr="00307988" w:rsidP="00307988" w14:paraId="0963C76E" w14:textId="301D254E">
      <w:pPr>
        <w:pStyle w:val="Default"/>
        <w:keepNext/>
        <w:widowControl/>
        <w:rPr>
          <w:rFonts w:ascii="Times New Roman" w:hAnsi="Times New Roman" w:cs="Times New Roman"/>
          <w:color w:val="auto"/>
        </w:rPr>
      </w:pPr>
      <w:bookmarkStart w:id="6" w:name="_Hlk169763927"/>
      <w:r w:rsidRPr="00307988">
        <w:rPr>
          <w:rFonts w:ascii="Times New Roman" w:hAnsi="Times New Roman" w:cs="Times New Roman"/>
          <w:color w:val="auto"/>
        </w:rPr>
        <w:t xml:space="preserve">The Paperwork Reduction Act </w:t>
      </w:r>
      <w:r w:rsidRPr="00307988" w:rsidR="00DA6F87">
        <w:rPr>
          <w:rFonts w:ascii="Times New Roman" w:hAnsi="Times New Roman" w:cs="Times New Roman"/>
          <w:color w:val="auto"/>
        </w:rPr>
        <w:t xml:space="preserve">of 1995 </w:t>
      </w:r>
      <w:r w:rsidRPr="00307988">
        <w:rPr>
          <w:rFonts w:ascii="Times New Roman" w:hAnsi="Times New Roman" w:cs="Times New Roman"/>
          <w:color w:val="auto"/>
        </w:rPr>
        <w:t xml:space="preserve">(PRA) governs paperwork burdens imposed by Federal agencies on the public for using identical questions to collect information from 10 or more persons. </w:t>
      </w:r>
      <w:r w:rsidRPr="00307988" w:rsidR="00DA6F87">
        <w:rPr>
          <w:rFonts w:ascii="Times New Roman" w:hAnsi="Times New Roman" w:cs="Times New Roman"/>
          <w:color w:val="auto"/>
        </w:rPr>
        <w:t>The PRA defines p</w:t>
      </w:r>
      <w:r w:rsidRPr="00307988">
        <w:rPr>
          <w:rFonts w:ascii="Times New Roman" w:hAnsi="Times New Roman" w:cs="Times New Roman"/>
          <w:color w:val="auto"/>
        </w:rPr>
        <w:t xml:space="preserve">aperwork burden in 44 U.S.C. 3502(2) as time, effort, or financial resources expended to generate, maintain, or provide information to or for a Federal agency. </w:t>
      </w:r>
      <w:r w:rsidRPr="00307988" w:rsidR="00A66033">
        <w:rPr>
          <w:rFonts w:ascii="Times New Roman" w:hAnsi="Times New Roman" w:cs="Times New Roman"/>
          <w:color w:val="auto"/>
        </w:rPr>
        <w:t>Under 44 U.S.C. 3507, t</w:t>
      </w:r>
      <w:r w:rsidRPr="00307988" w:rsidR="00DA6F87">
        <w:rPr>
          <w:rFonts w:ascii="Times New Roman" w:hAnsi="Times New Roman" w:cs="Times New Roman"/>
          <w:color w:val="auto"/>
        </w:rPr>
        <w:t>he PRA also establishes</w:t>
      </w:r>
      <w:r w:rsidRPr="00307988">
        <w:rPr>
          <w:rFonts w:ascii="Times New Roman" w:hAnsi="Times New Roman" w:cs="Times New Roman"/>
          <w:color w:val="auto"/>
        </w:rPr>
        <w:t xml:space="preserve"> policies and procedures of information collection for controlling paperwork burdens imposed by Federal agencies on the public</w:t>
      </w:r>
      <w:bookmarkStart w:id="7" w:name="_Hlk196912881"/>
      <w:r w:rsidRPr="00307988" w:rsidR="00307988">
        <w:rPr>
          <w:rFonts w:ascii="Times New Roman" w:hAnsi="Times New Roman" w:cs="Times New Roman"/>
          <w:bCs/>
        </w:rPr>
        <w:t>, including evaluating public comments</w:t>
      </w:r>
      <w:bookmarkEnd w:id="7"/>
      <w:r w:rsidRPr="00307988">
        <w:rPr>
          <w:rFonts w:ascii="Times New Roman" w:hAnsi="Times New Roman" w:cs="Times New Roman"/>
          <w:color w:val="auto"/>
        </w:rPr>
        <w:t>.</w:t>
      </w:r>
    </w:p>
    <w:p w:rsidR="006C4EAD" w:rsidRPr="00307988" w:rsidP="00307988" w14:paraId="1007E479" w14:textId="77777777">
      <w:pPr>
        <w:pStyle w:val="Default"/>
        <w:keepNext/>
        <w:widowControl/>
        <w:rPr>
          <w:rFonts w:ascii="Times New Roman" w:hAnsi="Times New Roman" w:cs="Times New Roman"/>
          <w:color w:val="auto"/>
        </w:rPr>
      </w:pPr>
    </w:p>
    <w:p w:rsidR="000B4BBE" w:rsidRPr="00307988" w:rsidP="00307988" w14:paraId="794EB6DC" w14:textId="79C18C27">
      <w:pPr>
        <w:pStyle w:val="Default"/>
        <w:keepNext/>
        <w:widowControl/>
        <w:rPr>
          <w:rFonts w:ascii="Times New Roman" w:hAnsi="Times New Roman" w:cs="Times New Roman"/>
          <w:color w:val="000000" w:themeColor="text1"/>
        </w:rPr>
      </w:pPr>
      <w:r w:rsidRPr="00307988">
        <w:rPr>
          <w:rFonts w:ascii="Times New Roman" w:hAnsi="Times New Roman" w:cs="Times New Roman"/>
          <w:color w:val="auto"/>
        </w:rPr>
        <w:t>To</w:t>
      </w:r>
      <w:r w:rsidRPr="00307988" w:rsidR="007C3301">
        <w:rPr>
          <w:rFonts w:ascii="Times New Roman" w:hAnsi="Times New Roman" w:cs="Times New Roman"/>
          <w:color w:val="auto"/>
        </w:rPr>
        <w:t xml:space="preserve"> fulfill the statutory mandates to promote miners’ health and safety, MSHA requires information </w:t>
      </w:r>
      <w:r w:rsidRPr="00307988" w:rsidR="007B15C5">
        <w:rPr>
          <w:rFonts w:ascii="Times New Roman" w:hAnsi="Times New Roman" w:cs="Times New Roman"/>
          <w:color w:val="auto"/>
        </w:rPr>
        <w:t xml:space="preserve">collected </w:t>
      </w:r>
      <w:r w:rsidRPr="00307988" w:rsidR="007C3301">
        <w:rPr>
          <w:rFonts w:ascii="Times New Roman" w:hAnsi="Times New Roman" w:cs="Times New Roman"/>
          <w:color w:val="auto"/>
        </w:rPr>
        <w:t xml:space="preserve">under the </w:t>
      </w:r>
      <w:r w:rsidRPr="00307988" w:rsidR="00D11A1D">
        <w:rPr>
          <w:rFonts w:ascii="Times New Roman" w:hAnsi="Times New Roman" w:cs="Times New Roman"/>
          <w:color w:val="auto"/>
        </w:rPr>
        <w:t>information collection request (</w:t>
      </w:r>
      <w:r w:rsidRPr="00307988" w:rsidR="003C497A">
        <w:rPr>
          <w:rFonts w:ascii="Times New Roman" w:hAnsi="Times New Roman" w:cs="Times New Roman"/>
          <w:color w:val="auto"/>
        </w:rPr>
        <w:t>ICR</w:t>
      </w:r>
      <w:r w:rsidRPr="00307988" w:rsidR="00307988">
        <w:rPr>
          <w:rFonts w:ascii="Times New Roman" w:hAnsi="Times New Roman" w:cs="Times New Roman"/>
          <w:color w:val="auto"/>
        </w:rPr>
        <w:t>)</w:t>
      </w:r>
      <w:r w:rsidRPr="00307988" w:rsidR="007C3301">
        <w:rPr>
          <w:rFonts w:ascii="Times New Roman" w:hAnsi="Times New Roman" w:cs="Times New Roman"/>
          <w:color w:val="auto"/>
        </w:rPr>
        <w:t xml:space="preserve"> titled “Applications for Permits to Fire </w:t>
      </w:r>
      <w:r w:rsidRPr="00307988" w:rsidR="00997CC1">
        <w:rPr>
          <w:rFonts w:ascii="Times New Roman" w:hAnsi="Times New Roman" w:cs="Times New Roman"/>
          <w:color w:val="auto"/>
        </w:rPr>
        <w:t>m</w:t>
      </w:r>
      <w:r w:rsidRPr="00307988" w:rsidR="007C3301">
        <w:rPr>
          <w:rFonts w:ascii="Times New Roman" w:hAnsi="Times New Roman" w:cs="Times New Roman"/>
          <w:color w:val="auto"/>
        </w:rPr>
        <w:t xml:space="preserve">ore than 20 Boreholes and </w:t>
      </w:r>
      <w:r w:rsidRPr="00307988" w:rsidR="00997CC1">
        <w:rPr>
          <w:rFonts w:ascii="Times New Roman" w:hAnsi="Times New Roman" w:cs="Times New Roman"/>
          <w:color w:val="auto"/>
        </w:rPr>
        <w:t>f</w:t>
      </w:r>
      <w:r w:rsidRPr="00307988" w:rsidR="007C3301">
        <w:rPr>
          <w:rFonts w:ascii="Times New Roman" w:hAnsi="Times New Roman" w:cs="Times New Roman"/>
          <w:color w:val="auto"/>
        </w:rPr>
        <w:t>or Use of Nonpermissible Blasting Units, Explosives, and Shot-</w:t>
      </w:r>
      <w:r w:rsidRPr="00307988" w:rsidR="00997CC1">
        <w:rPr>
          <w:rFonts w:ascii="Times New Roman" w:hAnsi="Times New Roman" w:cs="Times New Roman"/>
          <w:color w:val="auto"/>
        </w:rPr>
        <w:t>F</w:t>
      </w:r>
      <w:r w:rsidRPr="00307988" w:rsidR="007C3301">
        <w:rPr>
          <w:rFonts w:ascii="Times New Roman" w:hAnsi="Times New Roman" w:cs="Times New Roman"/>
          <w:color w:val="auto"/>
        </w:rPr>
        <w:t>iring Units; and Posting Notices of Misfires</w:t>
      </w:r>
      <w:r w:rsidRPr="00307988" w:rsidR="00307988">
        <w:rPr>
          <w:rFonts w:ascii="Times New Roman" w:hAnsi="Times New Roman" w:cs="Times New Roman"/>
          <w:color w:val="auto"/>
        </w:rPr>
        <w:t>.</w:t>
      </w:r>
      <w:r w:rsidRPr="00307988" w:rsidR="007C3301">
        <w:rPr>
          <w:rFonts w:ascii="Times New Roman" w:hAnsi="Times New Roman" w:cs="Times New Roman"/>
          <w:color w:val="auto"/>
        </w:rPr>
        <w:t>”</w:t>
      </w:r>
      <w:r w:rsidRPr="00307988" w:rsidR="007E35A8">
        <w:rPr>
          <w:rFonts w:ascii="Times New Roman" w:hAnsi="Times New Roman" w:cs="Times New Roman"/>
          <w:color w:val="auto"/>
        </w:rPr>
        <w:t xml:space="preserve"> </w:t>
      </w:r>
      <w:r w:rsidRPr="00307988" w:rsidR="007C3301">
        <w:rPr>
          <w:rFonts w:ascii="Times New Roman" w:hAnsi="Times New Roman" w:cs="Times New Roman"/>
          <w:color w:val="auto"/>
        </w:rPr>
        <w:t xml:space="preserve">The information collection is intended </w:t>
      </w:r>
      <w:r w:rsidRPr="00307988">
        <w:rPr>
          <w:rFonts w:ascii="Times New Roman" w:hAnsi="Times New Roman" w:cs="Times New Roman"/>
          <w:color w:val="auto"/>
        </w:rPr>
        <w:t xml:space="preserve">to provide necessary information for MSHA to issue permits to mine operators for </w:t>
      </w:r>
      <w:r w:rsidRPr="00307988" w:rsidR="00FF7094">
        <w:rPr>
          <w:rFonts w:ascii="Times New Roman" w:hAnsi="Times New Roman" w:cs="Times New Roman"/>
          <w:color w:val="000000" w:themeColor="text1"/>
        </w:rPr>
        <w:t>firing of more than 20 boreholes in a round, for</w:t>
      </w:r>
      <w:r w:rsidRPr="00307988" w:rsidR="00FF7094">
        <w:rPr>
          <w:rFonts w:ascii="Times New Roman" w:hAnsi="Times New Roman" w:cs="Times New Roman"/>
          <w:color w:val="auto"/>
        </w:rPr>
        <w:t xml:space="preserve"> </w:t>
      </w:r>
      <w:r w:rsidRPr="00307988">
        <w:rPr>
          <w:rFonts w:ascii="Times New Roman" w:hAnsi="Times New Roman" w:cs="Times New Roman"/>
          <w:color w:val="auto"/>
        </w:rPr>
        <w:t xml:space="preserve">the use of nonpermissible explosives </w:t>
      </w:r>
      <w:r w:rsidRPr="00307988" w:rsidR="0043047A">
        <w:rPr>
          <w:rFonts w:ascii="Times New Roman" w:hAnsi="Times New Roman" w:cs="Times New Roman"/>
          <w:color w:val="auto"/>
        </w:rPr>
        <w:t>and</w:t>
      </w:r>
      <w:r w:rsidRPr="00307988">
        <w:rPr>
          <w:rFonts w:ascii="Times New Roman" w:hAnsi="Times New Roman" w:cs="Times New Roman"/>
          <w:color w:val="auto"/>
        </w:rPr>
        <w:t xml:space="preserve"> shot-firing units,</w:t>
      </w:r>
      <w:r w:rsidRPr="00307988">
        <w:rPr>
          <w:rFonts w:ascii="Times New Roman" w:hAnsi="Times New Roman" w:cs="Times New Roman"/>
          <w:color w:val="000000" w:themeColor="text1"/>
        </w:rPr>
        <w:t xml:space="preserve"> </w:t>
      </w:r>
      <w:r w:rsidRPr="00307988" w:rsidR="003C497A">
        <w:rPr>
          <w:rFonts w:ascii="Times New Roman" w:hAnsi="Times New Roman" w:cs="Times New Roman"/>
          <w:color w:val="000000" w:themeColor="text1"/>
        </w:rPr>
        <w:t>and</w:t>
      </w:r>
      <w:r w:rsidRPr="00307988">
        <w:rPr>
          <w:rFonts w:ascii="Times New Roman" w:hAnsi="Times New Roman" w:cs="Times New Roman"/>
          <w:color w:val="000000" w:themeColor="text1"/>
        </w:rPr>
        <w:t xml:space="preserve"> for</w:t>
      </w:r>
      <w:r w:rsidRPr="00307988" w:rsidR="00FF7094">
        <w:rPr>
          <w:rFonts w:ascii="Times New Roman" w:hAnsi="Times New Roman" w:cs="Times New Roman"/>
          <w:color w:val="auto"/>
        </w:rPr>
        <w:t xml:space="preserve"> necessary posting of misfire notices</w:t>
      </w:r>
      <w:r w:rsidRPr="00307988">
        <w:rPr>
          <w:rFonts w:ascii="Times New Roman" w:hAnsi="Times New Roman" w:cs="Times New Roman"/>
          <w:color w:val="000000" w:themeColor="text1"/>
        </w:rPr>
        <w:t>. The permits inform mine management and miners of the steps that need to be taken to protect the safety of any person exposed to such blasting while using nonpermissible items.</w:t>
      </w:r>
    </w:p>
    <w:p w:rsidR="003C497A" w:rsidRPr="00307988" w:rsidP="00307988" w14:paraId="03E612E5" w14:textId="77777777">
      <w:pPr>
        <w:pStyle w:val="Default"/>
        <w:rPr>
          <w:rFonts w:ascii="Times New Roman" w:hAnsi="Times New Roman" w:cs="Times New Roman"/>
          <w:color w:val="auto"/>
        </w:rPr>
      </w:pPr>
    </w:p>
    <w:p w:rsidR="003C497A" w:rsidRPr="00307988" w:rsidP="00307988" w14:paraId="130F26EC" w14:textId="3BAD2A2C">
      <w:pPr>
        <w:widowControl/>
      </w:pPr>
      <w:r w:rsidRPr="00307988">
        <w:t>Under section 313 of the Mine Act, 30 U.S.C. 873, any explosives used in underground coal mines must be permissible. The Mine Act also provides that under safeguards as the Secretary may prescribe</w:t>
      </w:r>
      <w:r w:rsidRPr="00307988" w:rsidR="00C72434">
        <w:t>,</w:t>
      </w:r>
      <w:r w:rsidRPr="00307988">
        <w:t xml:space="preserve"> the Secretary may permit mine operators to fire more than 20 shots and </w:t>
      </w:r>
      <w:r w:rsidR="00BE2EAE">
        <w:t>allow</w:t>
      </w:r>
      <w:r w:rsidR="005222DB">
        <w:t xml:space="preserve"> </w:t>
      </w:r>
      <w:r w:rsidRPr="00307988">
        <w:t>the use of nonpermissible explosives and shot-firing units in sinking shafts and slopes from the surface in rock. In the case of a misfire</w:t>
      </w:r>
      <w:r w:rsidRPr="00307988" w:rsidR="00226269">
        <w:t>,</w:t>
      </w:r>
      <w:r w:rsidRPr="00307988">
        <w:t xml:space="preserve"> mines must post notices at the entrance of the areas where the misfire occurred. </w:t>
      </w:r>
    </w:p>
    <w:p w:rsidR="003C497A" w:rsidRPr="00307988" w:rsidP="00307988" w14:paraId="00CCAB41" w14:textId="77777777">
      <w:pPr>
        <w:widowControl/>
      </w:pPr>
    </w:p>
    <w:p w:rsidR="003C497A" w:rsidRPr="00307988" w:rsidP="00307988" w14:paraId="63F8C6D3" w14:textId="59B33DA4">
      <w:pPr>
        <w:pStyle w:val="Default"/>
        <w:rPr>
          <w:rFonts w:ascii="Times New Roman" w:hAnsi="Times New Roman" w:cs="Times New Roman"/>
          <w:color w:val="auto"/>
        </w:rPr>
      </w:pPr>
      <w:r w:rsidRPr="00307988">
        <w:rPr>
          <w:rFonts w:ascii="Times New Roman" w:hAnsi="Times New Roman" w:cs="Times New Roman"/>
          <w:color w:val="auto"/>
        </w:rPr>
        <w:t xml:space="preserve">Burden costs associated with the </w:t>
      </w:r>
      <w:r w:rsidRPr="00307988">
        <w:rPr>
          <w:rFonts w:ascii="Times New Roman" w:hAnsi="Times New Roman" w:cs="Times New Roman"/>
          <w:color w:val="auto"/>
        </w:rPr>
        <w:t>ICR</w:t>
      </w:r>
      <w:r w:rsidRPr="00307988">
        <w:rPr>
          <w:rFonts w:ascii="Times New Roman" w:hAnsi="Times New Roman" w:cs="Times New Roman"/>
          <w:color w:val="auto"/>
        </w:rPr>
        <w:t xml:space="preserve"> include: </w:t>
      </w:r>
    </w:p>
    <w:p w:rsidR="003C497A" w:rsidRPr="00307988" w:rsidP="00307988" w14:paraId="284C78A4" w14:textId="4AB81A85">
      <w:pPr>
        <w:pStyle w:val="Default"/>
        <w:numPr>
          <w:ilvl w:val="0"/>
          <w:numId w:val="20"/>
        </w:numPr>
        <w:rPr>
          <w:rFonts w:ascii="Times New Roman" w:hAnsi="Times New Roman" w:cs="Times New Roman"/>
          <w:color w:val="auto"/>
        </w:rPr>
      </w:pPr>
      <w:r w:rsidRPr="00307988">
        <w:rPr>
          <w:rFonts w:ascii="Times New Roman" w:hAnsi="Times New Roman" w:cs="Times New Roman"/>
          <w:color w:val="auto"/>
        </w:rPr>
        <w:t>A</w:t>
      </w:r>
      <w:r w:rsidRPr="00307988" w:rsidR="00C52CE9">
        <w:rPr>
          <w:rFonts w:ascii="Times New Roman" w:hAnsi="Times New Roman" w:cs="Times New Roman"/>
          <w:color w:val="auto"/>
        </w:rPr>
        <w:t>pply</w:t>
      </w:r>
      <w:r w:rsidRPr="00307988" w:rsidR="005237EA">
        <w:rPr>
          <w:rFonts w:ascii="Times New Roman" w:hAnsi="Times New Roman" w:cs="Times New Roman"/>
          <w:color w:val="auto"/>
        </w:rPr>
        <w:t>ing</w:t>
      </w:r>
      <w:r w:rsidRPr="00307988" w:rsidR="00C52CE9">
        <w:rPr>
          <w:rFonts w:ascii="Times New Roman" w:hAnsi="Times New Roman" w:cs="Times New Roman"/>
          <w:color w:val="auto"/>
        </w:rPr>
        <w:t xml:space="preserve"> for permits to fire more than 20 boreholes or </w:t>
      </w:r>
      <w:r w:rsidRPr="00307988">
        <w:rPr>
          <w:rFonts w:ascii="Times New Roman" w:hAnsi="Times New Roman" w:cs="Times New Roman"/>
          <w:color w:val="auto"/>
        </w:rPr>
        <w:t xml:space="preserve">for </w:t>
      </w:r>
      <w:r w:rsidRPr="00307988" w:rsidR="00C52CE9">
        <w:rPr>
          <w:rFonts w:ascii="Times New Roman" w:hAnsi="Times New Roman" w:cs="Times New Roman"/>
          <w:color w:val="auto"/>
        </w:rPr>
        <w:t>use of nonpermissible blasting units, explosives, and shot-firing units</w:t>
      </w:r>
      <w:r w:rsidRPr="00307988">
        <w:rPr>
          <w:rFonts w:ascii="Times New Roman" w:hAnsi="Times New Roman" w:cs="Times New Roman"/>
          <w:color w:val="auto"/>
        </w:rPr>
        <w:t>;</w:t>
      </w:r>
      <w:r w:rsidRPr="00307988" w:rsidR="00D842A5">
        <w:rPr>
          <w:rFonts w:ascii="Times New Roman" w:hAnsi="Times New Roman" w:cs="Times New Roman"/>
          <w:color w:val="auto"/>
        </w:rPr>
        <w:t xml:space="preserve"> and</w:t>
      </w:r>
    </w:p>
    <w:p w:rsidR="00C73040" w:rsidRPr="00307988" w:rsidP="00307988" w14:paraId="66A14350" w14:textId="04FCF190">
      <w:pPr>
        <w:pStyle w:val="Default"/>
        <w:numPr>
          <w:ilvl w:val="0"/>
          <w:numId w:val="20"/>
        </w:numPr>
        <w:rPr>
          <w:rFonts w:ascii="Times New Roman" w:hAnsi="Times New Roman" w:cs="Times New Roman"/>
          <w:color w:val="auto"/>
        </w:rPr>
      </w:pPr>
      <w:r w:rsidRPr="00307988">
        <w:rPr>
          <w:rFonts w:ascii="Times New Roman" w:hAnsi="Times New Roman" w:cs="Times New Roman"/>
          <w:color w:val="auto"/>
        </w:rPr>
        <w:t>P</w:t>
      </w:r>
      <w:r w:rsidRPr="00307988" w:rsidR="00C52CE9">
        <w:rPr>
          <w:rFonts w:ascii="Times New Roman" w:hAnsi="Times New Roman" w:cs="Times New Roman"/>
          <w:color w:val="auto"/>
        </w:rPr>
        <w:t>ost</w:t>
      </w:r>
      <w:r w:rsidRPr="00307988" w:rsidR="005237EA">
        <w:rPr>
          <w:rFonts w:ascii="Times New Roman" w:hAnsi="Times New Roman" w:cs="Times New Roman"/>
          <w:color w:val="auto"/>
        </w:rPr>
        <w:t>ing</w:t>
      </w:r>
      <w:r w:rsidRPr="00307988" w:rsidR="00C52CE9">
        <w:rPr>
          <w:rFonts w:ascii="Times New Roman" w:hAnsi="Times New Roman" w:cs="Times New Roman"/>
          <w:color w:val="auto"/>
        </w:rPr>
        <w:t xml:space="preserve"> of </w:t>
      </w:r>
      <w:r w:rsidRPr="00307988" w:rsidR="00665499">
        <w:rPr>
          <w:rFonts w:ascii="Times New Roman" w:hAnsi="Times New Roman" w:cs="Times New Roman"/>
          <w:color w:val="auto"/>
        </w:rPr>
        <w:t xml:space="preserve">misfire </w:t>
      </w:r>
      <w:r w:rsidRPr="00307988" w:rsidR="00C52CE9">
        <w:rPr>
          <w:rFonts w:ascii="Times New Roman" w:hAnsi="Times New Roman" w:cs="Times New Roman"/>
          <w:color w:val="auto"/>
        </w:rPr>
        <w:t>notices</w:t>
      </w:r>
      <w:r w:rsidRPr="00307988" w:rsidR="001231DD">
        <w:rPr>
          <w:rFonts w:ascii="Times New Roman" w:hAnsi="Times New Roman" w:cs="Times New Roman"/>
          <w:color w:val="auto"/>
        </w:rPr>
        <w:t>.</w:t>
      </w:r>
      <w:r w:rsidRPr="00307988" w:rsidR="000B4BBE">
        <w:rPr>
          <w:rFonts w:ascii="Times New Roman" w:hAnsi="Times New Roman" w:cs="Times New Roman"/>
          <w:color w:val="000000" w:themeColor="text1"/>
        </w:rPr>
        <w:t xml:space="preserve"> </w:t>
      </w:r>
      <w:bookmarkEnd w:id="6"/>
    </w:p>
    <w:p w:rsidR="00997CC1" w:rsidRPr="00307988" w:rsidP="00307988" w14:paraId="5FF4134C" w14:textId="77777777">
      <w:pPr>
        <w:pStyle w:val="Default"/>
        <w:rPr>
          <w:rFonts w:ascii="Times New Roman" w:hAnsi="Times New Roman" w:cs="Times New Roman"/>
          <w:color w:val="auto"/>
        </w:rPr>
      </w:pPr>
    </w:p>
    <w:p w:rsidR="00481BE5" w:rsidRPr="00307988" w:rsidP="00307988" w14:paraId="7197A50E" w14:textId="23C0DF9A">
      <w:pPr>
        <w:pStyle w:val="Default"/>
        <w:rPr>
          <w:rFonts w:ascii="Times New Roman" w:hAnsi="Times New Roman" w:cs="Times New Roman"/>
          <w:color w:val="auto"/>
        </w:rPr>
      </w:pPr>
      <w:r w:rsidRPr="00307988">
        <w:rPr>
          <w:rFonts w:ascii="Times New Roman" w:hAnsi="Times New Roman" w:cs="Times New Roman"/>
          <w:color w:val="auto"/>
        </w:rPr>
        <w:t>Details of the authorities for these costs are described below.</w:t>
      </w:r>
    </w:p>
    <w:p w:rsidR="003C497A" w:rsidRPr="00307988" w:rsidP="00307988" w14:paraId="1D675581" w14:textId="77777777">
      <w:pPr>
        <w:pStyle w:val="Default"/>
        <w:rPr>
          <w:rFonts w:ascii="Times New Roman" w:hAnsi="Times New Roman" w:cs="Times New Roman"/>
          <w:color w:val="auto"/>
        </w:rPr>
      </w:pPr>
    </w:p>
    <w:p w:rsidR="00481BE5" w:rsidRPr="00307988" w:rsidP="00307988" w14:paraId="6D81D522" w14:textId="1B26ED07">
      <w:pPr>
        <w:pStyle w:val="Default"/>
        <w:numPr>
          <w:ilvl w:val="0"/>
          <w:numId w:val="13"/>
        </w:numPr>
        <w:rPr>
          <w:rFonts w:ascii="Times New Roman" w:hAnsi="Times New Roman" w:cs="Times New Roman"/>
          <w:b/>
          <w:bCs/>
          <w:color w:val="000000" w:themeColor="text1"/>
        </w:rPr>
      </w:pPr>
      <w:bookmarkStart w:id="8" w:name="_Hlk191048371"/>
      <w:r w:rsidRPr="00307988">
        <w:rPr>
          <w:rFonts w:ascii="Times New Roman" w:hAnsi="Times New Roman" w:cs="Times New Roman"/>
          <w:b/>
          <w:bCs/>
          <w:color w:val="000000" w:themeColor="text1"/>
        </w:rPr>
        <w:t>Apply</w:t>
      </w:r>
      <w:r w:rsidRPr="00307988" w:rsidR="00CC2E55">
        <w:rPr>
          <w:rFonts w:ascii="Times New Roman" w:hAnsi="Times New Roman" w:cs="Times New Roman"/>
          <w:b/>
          <w:bCs/>
          <w:color w:val="000000" w:themeColor="text1"/>
        </w:rPr>
        <w:t>ing</w:t>
      </w:r>
      <w:r w:rsidRPr="00307988">
        <w:rPr>
          <w:rFonts w:ascii="Times New Roman" w:hAnsi="Times New Roman" w:cs="Times New Roman"/>
          <w:b/>
          <w:bCs/>
          <w:color w:val="000000" w:themeColor="text1"/>
        </w:rPr>
        <w:t xml:space="preserve"> for Permits </w:t>
      </w:r>
      <w:r w:rsidRPr="00307988" w:rsidR="00E02CFC">
        <w:rPr>
          <w:rFonts w:ascii="Times New Roman" w:hAnsi="Times New Roman" w:cs="Times New Roman"/>
          <w:b/>
          <w:bCs/>
          <w:color w:val="000000" w:themeColor="text1"/>
        </w:rPr>
        <w:t xml:space="preserve">for </w:t>
      </w:r>
      <w:r w:rsidRPr="00307988">
        <w:rPr>
          <w:rFonts w:ascii="Times New Roman" w:hAnsi="Times New Roman" w:cs="Times New Roman"/>
          <w:b/>
          <w:bCs/>
          <w:color w:val="000000" w:themeColor="text1"/>
        </w:rPr>
        <w:t>Fir</w:t>
      </w:r>
      <w:r w:rsidRPr="00307988" w:rsidR="00E02CFC">
        <w:rPr>
          <w:rFonts w:ascii="Times New Roman" w:hAnsi="Times New Roman" w:cs="Times New Roman"/>
          <w:b/>
          <w:bCs/>
          <w:color w:val="000000" w:themeColor="text1"/>
        </w:rPr>
        <w:t>ing</w:t>
      </w:r>
      <w:r w:rsidRPr="00307988">
        <w:rPr>
          <w:rFonts w:ascii="Times New Roman" w:hAnsi="Times New Roman" w:cs="Times New Roman"/>
          <w:b/>
          <w:bCs/>
          <w:color w:val="000000" w:themeColor="text1"/>
        </w:rPr>
        <w:t xml:space="preserve"> </w:t>
      </w:r>
      <w:r w:rsidRPr="00307988" w:rsidR="008353BB">
        <w:rPr>
          <w:rFonts w:ascii="Times New Roman" w:hAnsi="Times New Roman" w:cs="Times New Roman"/>
          <w:b/>
          <w:bCs/>
          <w:color w:val="000000" w:themeColor="text1"/>
        </w:rPr>
        <w:t>m</w:t>
      </w:r>
      <w:r w:rsidRPr="00307988">
        <w:rPr>
          <w:rFonts w:ascii="Times New Roman" w:hAnsi="Times New Roman" w:cs="Times New Roman"/>
          <w:b/>
          <w:bCs/>
          <w:color w:val="000000" w:themeColor="text1"/>
        </w:rPr>
        <w:t>ore than 20 Boreholes and for Use of Non</w:t>
      </w:r>
      <w:r w:rsidRPr="00307988" w:rsidR="003C497A">
        <w:rPr>
          <w:rFonts w:ascii="Times New Roman" w:hAnsi="Times New Roman" w:cs="Times New Roman"/>
          <w:b/>
          <w:bCs/>
          <w:color w:val="000000" w:themeColor="text1"/>
        </w:rPr>
        <w:t>p</w:t>
      </w:r>
      <w:r w:rsidRPr="00307988">
        <w:rPr>
          <w:rFonts w:ascii="Times New Roman" w:hAnsi="Times New Roman" w:cs="Times New Roman"/>
          <w:b/>
          <w:bCs/>
          <w:color w:val="000000" w:themeColor="text1"/>
        </w:rPr>
        <w:t>ermissible Blasting Units, Explosives, and Shot-</w:t>
      </w:r>
      <w:r w:rsidRPr="00307988" w:rsidR="00997CC1">
        <w:rPr>
          <w:rFonts w:ascii="Times New Roman" w:hAnsi="Times New Roman" w:cs="Times New Roman"/>
          <w:b/>
          <w:bCs/>
          <w:color w:val="000000" w:themeColor="text1"/>
        </w:rPr>
        <w:t>F</w:t>
      </w:r>
      <w:r w:rsidRPr="00307988">
        <w:rPr>
          <w:rFonts w:ascii="Times New Roman" w:hAnsi="Times New Roman" w:cs="Times New Roman"/>
          <w:b/>
          <w:bCs/>
          <w:color w:val="000000" w:themeColor="text1"/>
        </w:rPr>
        <w:t>iring Units</w:t>
      </w:r>
    </w:p>
    <w:bookmarkEnd w:id="8"/>
    <w:p w:rsidR="00307988" w:rsidP="00307988" w14:paraId="28EA9FA1" w14:textId="77777777">
      <w:pPr>
        <w:pStyle w:val="indent-1"/>
        <w:spacing w:before="0" w:beforeAutospacing="0" w:after="0" w:afterAutospacing="0"/>
        <w:rPr>
          <w:color w:val="000000" w:themeColor="text1"/>
        </w:rPr>
      </w:pPr>
    </w:p>
    <w:p w:rsidR="007975AA" w:rsidRPr="00307988" w:rsidP="00307988" w14:paraId="15D53C71" w14:textId="64F1BCF3">
      <w:pPr>
        <w:pStyle w:val="indent-1"/>
        <w:spacing w:before="0" w:beforeAutospacing="0" w:after="0" w:afterAutospacing="0"/>
        <w:rPr>
          <w:color w:val="000000" w:themeColor="text1"/>
        </w:rPr>
      </w:pPr>
      <w:r w:rsidRPr="00307988">
        <w:rPr>
          <w:color w:val="000000" w:themeColor="text1"/>
        </w:rPr>
        <w:t>Under 30 CFR 75.1321</w:t>
      </w:r>
      <w:r w:rsidRPr="00307988" w:rsidR="003E65AB">
        <w:rPr>
          <w:color w:val="000000" w:themeColor="text1"/>
        </w:rPr>
        <w:t>(a)</w:t>
      </w:r>
      <w:r w:rsidRPr="00307988">
        <w:rPr>
          <w:color w:val="000000" w:themeColor="text1"/>
        </w:rPr>
        <w:t xml:space="preserve">, </w:t>
      </w:r>
      <w:r w:rsidRPr="00307988">
        <w:rPr>
          <w:color w:val="000000" w:themeColor="text1"/>
        </w:rPr>
        <w:t>applications for permits for firing more than 20 boreholes in a round and for the use of nonpermissible blasting units must be submitted, by the mine operator, in writing to the District Manager for the district in which the mine is located and must contain the following information:</w:t>
      </w:r>
    </w:p>
    <w:p w:rsidR="009918CD" w:rsidRPr="00307988" w:rsidP="00307988" w14:paraId="38DAF9F5" w14:textId="77777777">
      <w:pPr>
        <w:pStyle w:val="indent-2"/>
        <w:spacing w:before="0" w:beforeAutospacing="0" w:after="0" w:afterAutospacing="0"/>
        <w:ind w:left="360" w:firstLine="360"/>
      </w:pPr>
      <w:r w:rsidRPr="00307988">
        <w:rPr>
          <w:rStyle w:val="paren"/>
        </w:rPr>
        <w:t>(</w:t>
      </w:r>
      <w:r w:rsidRPr="00307988">
        <w:rPr>
          <w:rStyle w:val="paragraph-hierarchy"/>
        </w:rPr>
        <w:t>1</w:t>
      </w:r>
      <w:r w:rsidRPr="00307988">
        <w:rPr>
          <w:rStyle w:val="paren"/>
        </w:rPr>
        <w:t>)</w:t>
      </w:r>
      <w:r w:rsidRPr="00307988">
        <w:t xml:space="preserve"> The name and address of the mine;</w:t>
      </w:r>
    </w:p>
    <w:p w:rsidR="00397733" w:rsidRPr="00307988" w:rsidP="00307988" w14:paraId="5F3B8F30" w14:textId="1664ECBE">
      <w:pPr>
        <w:pStyle w:val="indent-2"/>
        <w:spacing w:before="0" w:beforeAutospacing="0" w:after="0" w:afterAutospacing="0"/>
        <w:ind w:left="720"/>
      </w:pPr>
      <w:r w:rsidRPr="00307988">
        <w:rPr>
          <w:rStyle w:val="paren"/>
        </w:rPr>
        <w:t>(</w:t>
      </w:r>
      <w:r w:rsidRPr="00307988">
        <w:rPr>
          <w:rStyle w:val="paragraph-hierarchy"/>
        </w:rPr>
        <w:t>2</w:t>
      </w:r>
      <w:r w:rsidRPr="00307988">
        <w:rPr>
          <w:rStyle w:val="paren"/>
        </w:rPr>
        <w:t>)</w:t>
      </w:r>
      <w:r w:rsidRPr="00307988">
        <w:t xml:space="preserve"> The active workings in the mine affected by the permit and the approximate number of boreholes to be fired;</w:t>
      </w:r>
    </w:p>
    <w:p w:rsidR="00397733" w:rsidRPr="00307988" w:rsidP="00307988" w14:paraId="0AF0FC55" w14:textId="77777777">
      <w:pPr>
        <w:pStyle w:val="indent-2"/>
        <w:spacing w:before="0" w:beforeAutospacing="0" w:after="0" w:afterAutospacing="0"/>
        <w:ind w:left="360" w:firstLine="360"/>
      </w:pPr>
      <w:r w:rsidRPr="00307988">
        <w:rPr>
          <w:rStyle w:val="paren"/>
        </w:rPr>
        <w:t>(</w:t>
      </w:r>
      <w:r w:rsidRPr="00307988">
        <w:rPr>
          <w:rStyle w:val="paragraph-hierarchy"/>
        </w:rPr>
        <w:t>3</w:t>
      </w:r>
      <w:r w:rsidRPr="00307988">
        <w:rPr>
          <w:rStyle w:val="paren"/>
        </w:rPr>
        <w:t>)</w:t>
      </w:r>
      <w:r w:rsidRPr="00307988">
        <w:t xml:space="preserve"> The period of time during which the permit will apply;</w:t>
      </w:r>
    </w:p>
    <w:p w:rsidR="00397733" w:rsidRPr="00307988" w:rsidP="00307988" w14:paraId="5A0CFED3" w14:textId="77777777">
      <w:pPr>
        <w:pStyle w:val="indent-2"/>
        <w:spacing w:before="0" w:beforeAutospacing="0" w:after="0" w:afterAutospacing="0"/>
        <w:ind w:left="720"/>
      </w:pPr>
      <w:r w:rsidRPr="00307988">
        <w:rPr>
          <w:rStyle w:val="paren"/>
        </w:rPr>
        <w:t>(</w:t>
      </w:r>
      <w:r w:rsidRPr="00307988">
        <w:rPr>
          <w:rStyle w:val="paragraph-hierarchy"/>
        </w:rPr>
        <w:t>4</w:t>
      </w:r>
      <w:r w:rsidRPr="00307988">
        <w:rPr>
          <w:rStyle w:val="paren"/>
        </w:rPr>
        <w:t>)</w:t>
      </w:r>
      <w:r w:rsidRPr="00307988">
        <w:t xml:space="preserve"> The nature of the development or construction for which they will be used, e.g., overcasts, undercasts, track grading, roof brushing or boom holes;</w:t>
      </w:r>
    </w:p>
    <w:p w:rsidR="00397733" w:rsidRPr="00307988" w:rsidP="00307988" w14:paraId="3F98DC77" w14:textId="3DE60E8F">
      <w:pPr>
        <w:pStyle w:val="indent-2"/>
        <w:spacing w:before="0" w:beforeAutospacing="0" w:after="0" w:afterAutospacing="0"/>
        <w:ind w:left="720"/>
      </w:pPr>
      <w:r w:rsidRPr="00307988">
        <w:rPr>
          <w:rStyle w:val="paren"/>
        </w:rPr>
        <w:t>(</w:t>
      </w:r>
      <w:r w:rsidRPr="00307988">
        <w:rPr>
          <w:rStyle w:val="paragraph-hierarchy"/>
        </w:rPr>
        <w:t>5</w:t>
      </w:r>
      <w:r w:rsidRPr="00307988">
        <w:rPr>
          <w:rStyle w:val="paren"/>
        </w:rPr>
        <w:t>)</w:t>
      </w:r>
      <w:r w:rsidRPr="00307988">
        <w:t xml:space="preserve"> A plan, proposed by </w:t>
      </w:r>
      <w:r w:rsidRPr="00307988" w:rsidR="007975AA">
        <w:t xml:space="preserve">the </w:t>
      </w:r>
      <w:r w:rsidRPr="00307988" w:rsidR="009918CD">
        <w:t xml:space="preserve">mine </w:t>
      </w:r>
      <w:r w:rsidRPr="00307988">
        <w:t>operator designed to protect miners in the mine from the hazards of methane and other explosive gases during each multiple shot, e.g., changes in the mine ventilation system, provisions for auxiliary ventilation and any other safeguards necessary to minimize such hazards;</w:t>
      </w:r>
    </w:p>
    <w:p w:rsidR="00397733" w:rsidRPr="00307988" w:rsidP="00307988" w14:paraId="664E85B7" w14:textId="3DC95177">
      <w:pPr>
        <w:pStyle w:val="indent-2"/>
        <w:spacing w:before="0" w:beforeAutospacing="0" w:after="0" w:afterAutospacing="0"/>
        <w:ind w:left="720"/>
      </w:pPr>
      <w:r w:rsidRPr="00307988">
        <w:rPr>
          <w:rStyle w:val="paren"/>
        </w:rPr>
        <w:t>(</w:t>
      </w:r>
      <w:r w:rsidRPr="00307988">
        <w:rPr>
          <w:rStyle w:val="paragraph-hierarchy"/>
        </w:rPr>
        <w:t>6</w:t>
      </w:r>
      <w:r w:rsidRPr="00307988">
        <w:rPr>
          <w:rStyle w:val="paren"/>
        </w:rPr>
        <w:t>)</w:t>
      </w:r>
      <w:r w:rsidRPr="00307988">
        <w:t xml:space="preserve"> A statement of the specific hazards anticipated by </w:t>
      </w:r>
      <w:r w:rsidRPr="00307988" w:rsidR="007975AA">
        <w:t xml:space="preserve">the </w:t>
      </w:r>
      <w:r w:rsidRPr="00307988" w:rsidR="0059734E">
        <w:t>mine</w:t>
      </w:r>
      <w:r w:rsidRPr="00307988">
        <w:t xml:space="preserve"> operator in blasting for overcasts, undercasts, track grading, brushing of roof, boom holes or other unusual blasting situations such as coalbeds of abnormal thickness; and</w:t>
      </w:r>
    </w:p>
    <w:p w:rsidR="00506174" w:rsidRPr="00307988" w:rsidP="00307988" w14:paraId="105A11BB" w14:textId="49EED95C">
      <w:pPr>
        <w:pStyle w:val="indent-2"/>
        <w:spacing w:before="0" w:beforeAutospacing="0" w:after="0" w:afterAutospacing="0"/>
        <w:ind w:left="720"/>
      </w:pPr>
      <w:r w:rsidRPr="00307988">
        <w:rPr>
          <w:rStyle w:val="paren"/>
        </w:rPr>
        <w:t>(</w:t>
      </w:r>
      <w:r w:rsidRPr="00307988">
        <w:rPr>
          <w:rStyle w:val="paragraph-hierarchy"/>
        </w:rPr>
        <w:t>7</w:t>
      </w:r>
      <w:r w:rsidRPr="00307988">
        <w:rPr>
          <w:rStyle w:val="paren"/>
        </w:rPr>
        <w:t>)</w:t>
      </w:r>
      <w:r w:rsidRPr="00307988">
        <w:t xml:space="preserve"> The method to be employed to avoid the dangers anticipated during development or construction which will ensure the protection of life and the prevention of injuries to the miners exposed to such underground blasting.</w:t>
      </w:r>
    </w:p>
    <w:p w:rsidR="00307988" w:rsidP="00307988" w14:paraId="7A314682" w14:textId="77777777">
      <w:pPr>
        <w:pStyle w:val="indent-2"/>
        <w:spacing w:before="0" w:beforeAutospacing="0" w:after="0" w:afterAutospacing="0"/>
      </w:pPr>
    </w:p>
    <w:p w:rsidR="00225231" w:rsidRPr="00307988" w:rsidP="00307988" w14:paraId="7D1C0CA9" w14:textId="61B1B9C9">
      <w:pPr>
        <w:pStyle w:val="indent-2"/>
        <w:spacing w:before="0" w:beforeAutospacing="0" w:after="0" w:afterAutospacing="0"/>
      </w:pPr>
      <w:r w:rsidRPr="00307988">
        <w:t xml:space="preserve">Under </w:t>
      </w:r>
      <w:r w:rsidRPr="00307988">
        <w:rPr>
          <w:color w:val="000000" w:themeColor="text1"/>
        </w:rPr>
        <w:t>30 CFR 75.1321(b),</w:t>
      </w:r>
      <w:r w:rsidRPr="00307988">
        <w:t xml:space="preserve"> District Manager</w:t>
      </w:r>
      <w:r w:rsidRPr="00307988" w:rsidR="00150533">
        <w:t>s</w:t>
      </w:r>
      <w:r w:rsidRPr="00307988">
        <w:t xml:space="preserve"> may permit the firing of more than 20 boreholes of permissible explosives in a round where </w:t>
      </w:r>
      <w:r w:rsidRPr="00307988" w:rsidR="007975AA">
        <w:t>t</w:t>
      </w:r>
      <w:r w:rsidRPr="00307988">
        <w:t>he</w:t>
      </w:r>
      <w:r w:rsidRPr="00307988" w:rsidR="007975AA">
        <w:t>y</w:t>
      </w:r>
      <w:r w:rsidRPr="00307988">
        <w:t xml:space="preserve"> ha</w:t>
      </w:r>
      <w:r w:rsidRPr="00307988" w:rsidR="007975AA">
        <w:t>ve</w:t>
      </w:r>
      <w:r w:rsidRPr="00307988">
        <w:t xml:space="preserve"> determined that it is necessary to reduce the overall hazard to which miners are exposed during underground blasting. </w:t>
      </w:r>
      <w:r w:rsidRPr="00307988" w:rsidR="007975AA">
        <w:t>The District Manager</w:t>
      </w:r>
      <w:r w:rsidRPr="00307988">
        <w:t xml:space="preserve"> may also permit the use of nonpermissible blasting units if </w:t>
      </w:r>
      <w:r w:rsidRPr="00307988" w:rsidR="007975AA">
        <w:t>t</w:t>
      </w:r>
      <w:r w:rsidRPr="00307988">
        <w:t>he</w:t>
      </w:r>
      <w:r w:rsidRPr="00307988" w:rsidR="007975AA">
        <w:t>y</w:t>
      </w:r>
      <w:r w:rsidRPr="00307988">
        <w:t xml:space="preserve"> find that a permissible blasting unit does not have adequate blasting capacity and that the use of such permissible units will create development or construction hazards</w:t>
      </w:r>
      <w:r w:rsidRPr="00307988" w:rsidR="00E02CFC">
        <w:t xml:space="preserve"> such as e</w:t>
      </w:r>
      <w:r w:rsidRPr="00307988">
        <w:t>xposure to disturbed roof in an adjacent cavity while scaling and supporting the remaining roof prior to wiring a new series of boreholes</w:t>
      </w:r>
      <w:r w:rsidRPr="00307988" w:rsidR="00396781">
        <w:rPr>
          <w:bCs/>
        </w:rPr>
        <w:t>; exposure to underburden boreholes where prior rounds have removed the burden adjacent to a remaining borehole; exposure to an unsupported roof while redrilling large fragmented roof rock following the loss of predrilled boreholes during earlier blasting operations; or any other hazard created by the use of permissible blasting units during underground development or construction</w:t>
      </w:r>
      <w:r w:rsidRPr="00307988" w:rsidR="00E02CFC">
        <w:t>.</w:t>
      </w:r>
    </w:p>
    <w:p w:rsidR="00307988" w:rsidP="00307988" w14:paraId="50EF10B6" w14:textId="77777777">
      <w:pPr>
        <w:pStyle w:val="Default"/>
        <w:rPr>
          <w:rFonts w:ascii="Times New Roman" w:hAnsi="Times New Roman" w:cs="Times New Roman"/>
          <w:color w:val="000000" w:themeColor="text1"/>
        </w:rPr>
      </w:pPr>
    </w:p>
    <w:p w:rsidR="00E02CFC" w:rsidRPr="00307988" w:rsidP="00307988" w14:paraId="76B33068" w14:textId="4F6AD80B">
      <w:pPr>
        <w:pStyle w:val="Default"/>
        <w:rPr>
          <w:rFonts w:ascii="Times New Roman" w:hAnsi="Times New Roman" w:cs="Times New Roman"/>
          <w:color w:val="000000" w:themeColor="text1"/>
        </w:rPr>
      </w:pPr>
      <w:r w:rsidRPr="00307988">
        <w:rPr>
          <w:rFonts w:ascii="Times New Roman" w:hAnsi="Times New Roman" w:cs="Times New Roman"/>
          <w:color w:val="000000" w:themeColor="text1"/>
        </w:rPr>
        <w:t>Under 30 CFR 75.1321(c), permits must be issued on a mine-by-mine basis for periods of time to be specified by the District Manager.</w:t>
      </w:r>
    </w:p>
    <w:p w:rsidR="00E02CFC" w:rsidRPr="00307988" w:rsidP="00307988" w14:paraId="5355071B" w14:textId="77777777">
      <w:pPr>
        <w:pStyle w:val="Default"/>
        <w:rPr>
          <w:rFonts w:ascii="Times New Roman" w:hAnsi="Times New Roman" w:cs="Times New Roman"/>
          <w:color w:val="000000" w:themeColor="text1"/>
        </w:rPr>
      </w:pPr>
    </w:p>
    <w:p w:rsidR="00E02CFC" w:rsidRPr="00307988" w:rsidP="00307988" w14:paraId="036016BA" w14:textId="55A61B37">
      <w:pPr>
        <w:pStyle w:val="Default"/>
        <w:rPr>
          <w:rFonts w:ascii="Times New Roman" w:hAnsi="Times New Roman" w:cs="Times New Roman"/>
          <w:color w:val="000000" w:themeColor="text1"/>
        </w:rPr>
      </w:pPr>
      <w:r w:rsidRPr="00307988">
        <w:rPr>
          <w:rFonts w:ascii="Times New Roman" w:hAnsi="Times New Roman" w:cs="Times New Roman"/>
          <w:color w:val="000000" w:themeColor="text1"/>
        </w:rPr>
        <w:t xml:space="preserve">Under 30 CFR 75.1321(d), permits </w:t>
      </w:r>
      <w:r w:rsidRPr="00307988" w:rsidR="00396781">
        <w:rPr>
          <w:rFonts w:ascii="Times New Roman" w:hAnsi="Times New Roman" w:cs="Times New Roman"/>
          <w:color w:val="000000" w:themeColor="text1"/>
        </w:rPr>
        <w:t xml:space="preserve">must </w:t>
      </w:r>
      <w:r w:rsidRPr="00307988">
        <w:rPr>
          <w:rFonts w:ascii="Times New Roman" w:hAnsi="Times New Roman" w:cs="Times New Roman"/>
          <w:color w:val="000000" w:themeColor="text1"/>
        </w:rPr>
        <w:t xml:space="preserve">specify and include as a condition of their use, any safeguards, in addition to those proposed by the </w:t>
      </w:r>
      <w:r w:rsidRPr="00307988" w:rsidR="00396781">
        <w:rPr>
          <w:rFonts w:ascii="Times New Roman" w:hAnsi="Times New Roman" w:cs="Times New Roman"/>
          <w:color w:val="000000" w:themeColor="text1"/>
        </w:rPr>
        <w:t xml:space="preserve">mine </w:t>
      </w:r>
      <w:r w:rsidRPr="00307988">
        <w:rPr>
          <w:rFonts w:ascii="Times New Roman" w:hAnsi="Times New Roman" w:cs="Times New Roman"/>
          <w:color w:val="000000" w:themeColor="text1"/>
        </w:rPr>
        <w:t xml:space="preserve">operator, which the District Manager </w:t>
      </w:r>
      <w:r w:rsidRPr="00307988">
        <w:rPr>
          <w:rFonts w:ascii="Times New Roman" w:hAnsi="Times New Roman" w:cs="Times New Roman"/>
          <w:color w:val="000000" w:themeColor="text1"/>
        </w:rPr>
        <w:t>issuing such permit</w:t>
      </w:r>
      <w:r w:rsidR="00D36F0C">
        <w:rPr>
          <w:rFonts w:ascii="Times New Roman" w:hAnsi="Times New Roman" w:cs="Times New Roman"/>
          <w:color w:val="000000" w:themeColor="text1"/>
        </w:rPr>
        <w:t>s</w:t>
      </w:r>
      <w:r w:rsidRPr="00307988">
        <w:rPr>
          <w:rFonts w:ascii="Times New Roman" w:hAnsi="Times New Roman" w:cs="Times New Roman"/>
          <w:color w:val="000000" w:themeColor="text1"/>
        </w:rPr>
        <w:t xml:space="preserve"> has determined will be required to ensure the welfare of the miners employed in the mine at the time of the blasting permitted.</w:t>
      </w:r>
    </w:p>
    <w:p w:rsidR="00CC1511" w:rsidRPr="00307988" w:rsidP="00307988" w14:paraId="4734A63F" w14:textId="77777777">
      <w:pPr>
        <w:pStyle w:val="Default"/>
        <w:rPr>
          <w:rFonts w:ascii="Times New Roman" w:hAnsi="Times New Roman" w:cs="Times New Roman"/>
          <w:color w:val="000000" w:themeColor="text1"/>
        </w:rPr>
      </w:pPr>
    </w:p>
    <w:p w:rsidR="007975AA" w:rsidRPr="00307988" w:rsidP="00307988" w14:paraId="416D4A33" w14:textId="05EB0A0B">
      <w:pPr>
        <w:pStyle w:val="Default"/>
        <w:rPr>
          <w:rFonts w:ascii="Times New Roman" w:hAnsi="Times New Roman" w:cs="Times New Roman"/>
          <w:color w:val="000000" w:themeColor="text1"/>
        </w:rPr>
      </w:pPr>
      <w:r w:rsidRPr="00307988">
        <w:rPr>
          <w:rFonts w:ascii="Times New Roman" w:hAnsi="Times New Roman" w:cs="Times New Roman"/>
          <w:color w:val="000000" w:themeColor="text1"/>
        </w:rPr>
        <w:t xml:space="preserve">Under 30 CFR 77.1909-1, </w:t>
      </w:r>
      <w:r w:rsidRPr="00307988">
        <w:rPr>
          <w:rFonts w:ascii="Times New Roman" w:hAnsi="Times New Roman" w:cs="Times New Roman"/>
          <w:color w:val="000000" w:themeColor="text1"/>
        </w:rPr>
        <w:t xml:space="preserve">where the District Manager has determined that the use of nonpermissible </w:t>
      </w:r>
      <w:r w:rsidRPr="00307988" w:rsidR="00396781">
        <w:rPr>
          <w:rFonts w:ascii="Times New Roman" w:hAnsi="Times New Roman" w:cs="Times New Roman"/>
          <w:color w:val="000000" w:themeColor="text1"/>
        </w:rPr>
        <w:t xml:space="preserve">explosives and nonpermissible </w:t>
      </w:r>
      <w:r w:rsidRPr="00307988">
        <w:rPr>
          <w:rFonts w:ascii="Times New Roman" w:hAnsi="Times New Roman" w:cs="Times New Roman"/>
          <w:color w:val="000000" w:themeColor="text1"/>
        </w:rPr>
        <w:t xml:space="preserve">shot-firing units will not pose a hazard to any person during the development of a slope or shaft, </w:t>
      </w:r>
      <w:r w:rsidRPr="00307988" w:rsidR="00C04FEA">
        <w:rPr>
          <w:rFonts w:ascii="Times New Roman" w:hAnsi="Times New Roman" w:cs="Times New Roman"/>
          <w:color w:val="000000" w:themeColor="text1"/>
        </w:rPr>
        <w:t xml:space="preserve">the District Manager </w:t>
      </w:r>
      <w:r w:rsidRPr="00307988">
        <w:rPr>
          <w:rFonts w:ascii="Times New Roman" w:hAnsi="Times New Roman" w:cs="Times New Roman"/>
          <w:color w:val="000000" w:themeColor="text1"/>
        </w:rPr>
        <w:t xml:space="preserve">may, after written application by the operator, approve the use </w:t>
      </w:r>
      <w:r w:rsidRPr="00307988" w:rsidR="00994FB8">
        <w:rPr>
          <w:rFonts w:ascii="Times New Roman" w:hAnsi="Times New Roman" w:cs="Times New Roman"/>
          <w:color w:val="000000" w:themeColor="text1"/>
        </w:rPr>
        <w:t>o</w:t>
      </w:r>
      <w:r w:rsidRPr="00307988">
        <w:rPr>
          <w:rFonts w:ascii="Times New Roman" w:hAnsi="Times New Roman" w:cs="Times New Roman"/>
          <w:color w:val="000000" w:themeColor="text1"/>
        </w:rPr>
        <w:t xml:space="preserve">f such explosives and shot-firing units and issue a permit for the use of such explosives and devices setting forth the safeguards to be employed by the operator to protect the health and safety </w:t>
      </w:r>
      <w:r w:rsidRPr="00307988" w:rsidR="00C56B3F">
        <w:rPr>
          <w:rFonts w:ascii="Times New Roman" w:hAnsi="Times New Roman" w:cs="Times New Roman"/>
          <w:color w:val="000000" w:themeColor="text1"/>
        </w:rPr>
        <w:t>of</w:t>
      </w:r>
      <w:r w:rsidRPr="00307988">
        <w:rPr>
          <w:rFonts w:ascii="Times New Roman" w:hAnsi="Times New Roman" w:cs="Times New Roman"/>
          <w:color w:val="000000" w:themeColor="text1"/>
        </w:rPr>
        <w:t xml:space="preserve"> any person exposed to such blasting.</w:t>
      </w:r>
    </w:p>
    <w:p w:rsidR="00506174" w:rsidRPr="00307988" w:rsidP="00307988" w14:paraId="45D8CCF1" w14:textId="77777777">
      <w:pPr>
        <w:pStyle w:val="Default"/>
        <w:rPr>
          <w:rFonts w:ascii="Times New Roman" w:hAnsi="Times New Roman" w:cs="Times New Roman"/>
          <w:color w:val="000000" w:themeColor="text1"/>
        </w:rPr>
      </w:pPr>
    </w:p>
    <w:p w:rsidR="00481BE5" w:rsidRPr="00307988" w:rsidP="00307988" w14:paraId="79062F50" w14:textId="5E4DFC57">
      <w:pPr>
        <w:pStyle w:val="Default"/>
        <w:numPr>
          <w:ilvl w:val="0"/>
          <w:numId w:val="13"/>
        </w:numPr>
        <w:rPr>
          <w:rFonts w:ascii="Times New Roman" w:hAnsi="Times New Roman" w:cs="Times New Roman"/>
          <w:b/>
          <w:bCs/>
          <w:color w:val="000000" w:themeColor="text1"/>
        </w:rPr>
      </w:pPr>
      <w:bookmarkStart w:id="9" w:name="_Hlk191048381"/>
      <w:r w:rsidRPr="00307988">
        <w:rPr>
          <w:rFonts w:ascii="Times New Roman" w:hAnsi="Times New Roman" w:cs="Times New Roman"/>
          <w:b/>
          <w:bCs/>
          <w:color w:val="000000" w:themeColor="text1"/>
        </w:rPr>
        <w:t>Post</w:t>
      </w:r>
      <w:r w:rsidRPr="00307988" w:rsidR="00CC2E55">
        <w:rPr>
          <w:rFonts w:ascii="Times New Roman" w:hAnsi="Times New Roman" w:cs="Times New Roman"/>
          <w:b/>
          <w:bCs/>
          <w:color w:val="000000" w:themeColor="text1"/>
        </w:rPr>
        <w:t>ing</w:t>
      </w:r>
      <w:r w:rsidRPr="00307988">
        <w:rPr>
          <w:rFonts w:ascii="Times New Roman" w:hAnsi="Times New Roman" w:cs="Times New Roman"/>
          <w:b/>
          <w:bCs/>
          <w:color w:val="000000" w:themeColor="text1"/>
        </w:rPr>
        <w:t xml:space="preserve"> of </w:t>
      </w:r>
      <w:r w:rsidRPr="00307988">
        <w:rPr>
          <w:rFonts w:ascii="Times New Roman" w:hAnsi="Times New Roman" w:cs="Times New Roman"/>
          <w:b/>
          <w:bCs/>
          <w:color w:val="000000" w:themeColor="text1"/>
        </w:rPr>
        <w:t>Misfire</w:t>
      </w:r>
      <w:r w:rsidRPr="00307988">
        <w:rPr>
          <w:rFonts w:ascii="Times New Roman" w:hAnsi="Times New Roman" w:cs="Times New Roman"/>
          <w:b/>
          <w:bCs/>
          <w:color w:val="000000" w:themeColor="text1"/>
        </w:rPr>
        <w:t xml:space="preserve"> Notices </w:t>
      </w:r>
    </w:p>
    <w:bookmarkEnd w:id="9"/>
    <w:p w:rsidR="00481BE5" w:rsidRPr="00307988" w:rsidP="00307988" w14:paraId="7D5208EB" w14:textId="77777777">
      <w:pPr>
        <w:pStyle w:val="Default"/>
        <w:rPr>
          <w:rFonts w:ascii="Times New Roman" w:hAnsi="Times New Roman" w:cs="Times New Roman"/>
          <w:b/>
          <w:bCs/>
          <w:color w:val="000000" w:themeColor="text1"/>
        </w:rPr>
      </w:pPr>
    </w:p>
    <w:p w:rsidR="00E33D1B" w:rsidRPr="00307988" w:rsidP="00307988" w14:paraId="79F3BCA6" w14:textId="7B21334F">
      <w:pPr>
        <w:pStyle w:val="Default"/>
        <w:rPr>
          <w:rFonts w:ascii="Times New Roman" w:hAnsi="Times New Roman" w:cs="Times New Roman"/>
          <w:color w:val="000000" w:themeColor="text1"/>
        </w:rPr>
      </w:pPr>
      <w:r w:rsidRPr="00307988">
        <w:rPr>
          <w:rFonts w:ascii="Times New Roman" w:hAnsi="Times New Roman" w:cs="Times New Roman"/>
          <w:color w:val="000000" w:themeColor="text1"/>
        </w:rPr>
        <w:t>Under</w:t>
      </w:r>
      <w:r w:rsidRPr="00307988" w:rsidR="00481BE5">
        <w:rPr>
          <w:rFonts w:ascii="Times New Roman" w:hAnsi="Times New Roman" w:cs="Times New Roman"/>
          <w:color w:val="000000" w:themeColor="text1"/>
        </w:rPr>
        <w:t xml:space="preserve"> 30 CFR 75.1327</w:t>
      </w:r>
      <w:r w:rsidRPr="00307988">
        <w:rPr>
          <w:rFonts w:ascii="Times New Roman" w:hAnsi="Times New Roman" w:cs="Times New Roman"/>
          <w:color w:val="000000" w:themeColor="text1"/>
        </w:rPr>
        <w:t>(a),</w:t>
      </w:r>
      <w:r w:rsidRPr="00307988" w:rsidR="00CC2E55">
        <w:rPr>
          <w:rFonts w:ascii="Times New Roman" w:hAnsi="Times New Roman" w:cs="Times New Roman"/>
          <w:color w:val="000000" w:themeColor="text1"/>
        </w:rPr>
        <w:t xml:space="preserve"> when misfire</w:t>
      </w:r>
      <w:r w:rsidRPr="00307988" w:rsidR="00396781">
        <w:rPr>
          <w:rFonts w:ascii="Times New Roman" w:hAnsi="Times New Roman" w:cs="Times New Roman"/>
          <w:color w:val="000000" w:themeColor="text1"/>
        </w:rPr>
        <w:t>s</w:t>
      </w:r>
      <w:r w:rsidRPr="00307988" w:rsidR="00CC2E55">
        <w:rPr>
          <w:rFonts w:ascii="Times New Roman" w:hAnsi="Times New Roman" w:cs="Times New Roman"/>
          <w:color w:val="000000" w:themeColor="text1"/>
        </w:rPr>
        <w:t xml:space="preserve"> occur</w:t>
      </w:r>
      <w:r w:rsidRPr="00307988" w:rsidR="00D10ED9">
        <w:rPr>
          <w:rFonts w:ascii="Times New Roman" w:hAnsi="Times New Roman" w:cs="Times New Roman"/>
          <w:color w:val="000000" w:themeColor="text1"/>
        </w:rPr>
        <w:t>,</w:t>
      </w:r>
      <w:r w:rsidRPr="00307988">
        <w:rPr>
          <w:rFonts w:ascii="Times New Roman" w:hAnsi="Times New Roman" w:cs="Times New Roman"/>
          <w:color w:val="000000" w:themeColor="text1"/>
        </w:rPr>
        <w:t xml:space="preserve"> mine operators must</w:t>
      </w:r>
      <w:r w:rsidRPr="00307988" w:rsidR="005E298F">
        <w:rPr>
          <w:rFonts w:ascii="Times New Roman" w:hAnsi="Times New Roman" w:cs="Times New Roman"/>
          <w:color w:val="000000" w:themeColor="text1"/>
        </w:rPr>
        <w:t xml:space="preserve"> ensure that</w:t>
      </w:r>
      <w:r w:rsidRPr="00307988">
        <w:rPr>
          <w:rFonts w:ascii="Times New Roman" w:hAnsi="Times New Roman" w:cs="Times New Roman"/>
          <w:color w:val="000000" w:themeColor="text1"/>
        </w:rPr>
        <w:t xml:space="preserve"> only work by a qualified person to dispose of misfires and other work necessary to protect persons must be done in the affected area.</w:t>
      </w:r>
    </w:p>
    <w:p w:rsidR="00307988" w:rsidP="00307988" w14:paraId="68697598" w14:textId="77777777">
      <w:pPr>
        <w:pStyle w:val="indent-1"/>
        <w:spacing w:before="0" w:beforeAutospacing="0" w:after="0" w:afterAutospacing="0"/>
        <w:rPr>
          <w:color w:val="000000" w:themeColor="text1"/>
        </w:rPr>
      </w:pPr>
    </w:p>
    <w:p w:rsidR="00E33D1B" w:rsidRPr="00307988" w:rsidP="00307988" w14:paraId="311D9E57" w14:textId="7E60F379">
      <w:pPr>
        <w:pStyle w:val="indent-1"/>
        <w:spacing w:before="0" w:beforeAutospacing="0" w:after="0" w:afterAutospacing="0"/>
      </w:pPr>
      <w:r w:rsidRPr="00307988">
        <w:rPr>
          <w:color w:val="000000" w:themeColor="text1"/>
        </w:rPr>
        <w:t>Under 30 CFR 75.1327(b),</w:t>
      </w:r>
      <w:r w:rsidRPr="00307988" w:rsidR="005E298F">
        <w:rPr>
          <w:color w:val="000000" w:themeColor="text1"/>
        </w:rPr>
        <w:t xml:space="preserve"> </w:t>
      </w:r>
      <w:r w:rsidRPr="00307988" w:rsidR="00CC2E55">
        <w:rPr>
          <w:color w:val="000000" w:themeColor="text1"/>
        </w:rPr>
        <w:t>w</w:t>
      </w:r>
      <w:r w:rsidRPr="00307988" w:rsidR="00CC2E55">
        <w:t xml:space="preserve">hen a misfire cannot be disposed of, </w:t>
      </w:r>
      <w:r w:rsidRPr="00307988" w:rsidR="005E298F">
        <w:rPr>
          <w:color w:val="000000" w:themeColor="text1"/>
        </w:rPr>
        <w:t>mine operators must ensure that</w:t>
      </w:r>
      <w:r w:rsidRPr="00307988" w:rsidR="00CC2E55">
        <w:rPr>
          <w:color w:val="000000" w:themeColor="text1"/>
        </w:rPr>
        <w:t>:</w:t>
      </w:r>
    </w:p>
    <w:p w:rsidR="00E33D1B" w:rsidRPr="00307988" w:rsidP="00307988" w14:paraId="58504EB0" w14:textId="79440F2E">
      <w:pPr>
        <w:pStyle w:val="indent-2"/>
        <w:spacing w:before="0" w:beforeAutospacing="0" w:after="0" w:afterAutospacing="0"/>
        <w:ind w:left="720"/>
      </w:pPr>
      <w:r w:rsidRPr="00307988">
        <w:rPr>
          <w:rStyle w:val="paren"/>
        </w:rPr>
        <w:t>(</w:t>
      </w:r>
      <w:r w:rsidRPr="00307988">
        <w:rPr>
          <w:rStyle w:val="paragraph-hierarchy"/>
        </w:rPr>
        <w:t>1</w:t>
      </w:r>
      <w:r w:rsidRPr="00307988">
        <w:rPr>
          <w:rStyle w:val="paren"/>
        </w:rPr>
        <w:t>)</w:t>
      </w:r>
      <w:r w:rsidRPr="00307988">
        <w:t xml:space="preserve"> A qualified person must post each accessible entrance to the area affected by the hazard of the misfire with a warning at a conspicuous location to prohibit entry; and</w:t>
      </w:r>
    </w:p>
    <w:p w:rsidR="00E33D1B" w:rsidP="00307988" w14:paraId="1BE7A309" w14:textId="1D01263C">
      <w:pPr>
        <w:pStyle w:val="indent-2"/>
        <w:spacing w:before="0" w:beforeAutospacing="0" w:after="0" w:afterAutospacing="0"/>
        <w:ind w:left="360" w:firstLine="360"/>
      </w:pPr>
      <w:r w:rsidRPr="00307988">
        <w:rPr>
          <w:rStyle w:val="paren"/>
        </w:rPr>
        <w:t>(</w:t>
      </w:r>
      <w:r w:rsidRPr="00307988">
        <w:rPr>
          <w:rStyle w:val="paragraph-hierarchy"/>
        </w:rPr>
        <w:t>2</w:t>
      </w:r>
      <w:r w:rsidRPr="00307988">
        <w:rPr>
          <w:rStyle w:val="paren"/>
        </w:rPr>
        <w:t>)</w:t>
      </w:r>
      <w:r w:rsidRPr="00307988">
        <w:t xml:space="preserve"> The misfire must be immediately reported to mine management.</w:t>
      </w:r>
    </w:p>
    <w:p w:rsidR="00307988" w:rsidRPr="00307988" w:rsidP="00307988" w14:paraId="677DECC9" w14:textId="77777777">
      <w:pPr>
        <w:pStyle w:val="indent-2"/>
        <w:spacing w:before="0" w:beforeAutospacing="0" w:after="0" w:afterAutospacing="0"/>
        <w:ind w:left="360" w:firstLine="360"/>
      </w:pPr>
    </w:p>
    <w:p w:rsidR="00CB3898" w:rsidRPr="00307988" w:rsidP="00307988" w14:paraId="0CA1ECF3" w14:textId="5BF84D94">
      <w:pPr>
        <w:pStyle w:val="Default"/>
        <w:keepNext/>
        <w:widowControl/>
        <w:rPr>
          <w:rFonts w:ascii="Times New Roman" w:hAnsi="Times New Roman" w:cs="Times New Roman"/>
          <w:b/>
          <w:bCs/>
          <w:color w:val="auto"/>
        </w:rPr>
      </w:pPr>
      <w:r w:rsidRPr="00307988">
        <w:rPr>
          <w:rFonts w:ascii="Times New Roman" w:hAnsi="Times New Roman" w:cs="Times New Roman"/>
          <w:b/>
          <w:bCs/>
          <w:color w:val="auto"/>
        </w:rPr>
        <w:t>2. Indicate how, by whom, and for what purpose the information is to be used. Except for a new collection, indicate the actual use the agency has made of the information received from the current collection.</w:t>
      </w:r>
    </w:p>
    <w:p w:rsidR="00C73040" w:rsidRPr="00307988" w:rsidP="00307988" w14:paraId="6C9C34C2" w14:textId="77777777">
      <w:pPr>
        <w:pStyle w:val="Default"/>
        <w:keepNext/>
        <w:widowControl/>
        <w:rPr>
          <w:rFonts w:ascii="Times New Roman" w:hAnsi="Times New Roman" w:cs="Times New Roman"/>
          <w:b/>
          <w:bCs/>
          <w:color w:val="auto"/>
        </w:rPr>
      </w:pPr>
    </w:p>
    <w:p w:rsidR="00E47C23" w:rsidRPr="00307988" w:rsidP="00307988" w14:paraId="68CEF9A8" w14:textId="31299C60">
      <w:pPr>
        <w:pStyle w:val="Default"/>
        <w:keepNext/>
        <w:widowControl/>
        <w:rPr>
          <w:rFonts w:ascii="Times New Roman" w:hAnsi="Times New Roman" w:cs="Times New Roman"/>
          <w:color w:val="000000" w:themeColor="text1"/>
        </w:rPr>
      </w:pPr>
      <w:r w:rsidRPr="00307988">
        <w:rPr>
          <w:rFonts w:ascii="Times New Roman" w:hAnsi="Times New Roman" w:cs="Times New Roman"/>
          <w:color w:val="000000" w:themeColor="text1"/>
        </w:rPr>
        <w:t>MSHA uses the information requested to issue permit</w:t>
      </w:r>
      <w:r w:rsidRPr="00307988" w:rsidR="00EC2984">
        <w:rPr>
          <w:rFonts w:ascii="Times New Roman" w:hAnsi="Times New Roman" w:cs="Times New Roman"/>
          <w:color w:val="000000" w:themeColor="text1"/>
        </w:rPr>
        <w:t>s</w:t>
      </w:r>
      <w:r w:rsidRPr="00307988">
        <w:rPr>
          <w:rFonts w:ascii="Times New Roman" w:hAnsi="Times New Roman" w:cs="Times New Roman"/>
          <w:color w:val="000000" w:themeColor="text1"/>
        </w:rPr>
        <w:t xml:space="preserve"> to mine operator</w:t>
      </w:r>
      <w:r w:rsidRPr="00307988" w:rsidR="0059734E">
        <w:rPr>
          <w:rFonts w:ascii="Times New Roman" w:hAnsi="Times New Roman" w:cs="Times New Roman"/>
          <w:color w:val="000000" w:themeColor="text1"/>
        </w:rPr>
        <w:t>s</w:t>
      </w:r>
      <w:r w:rsidRPr="00307988" w:rsidR="003C497A">
        <w:rPr>
          <w:rFonts w:ascii="Times New Roman" w:hAnsi="Times New Roman" w:cs="Times New Roman"/>
          <w:color w:val="000000" w:themeColor="text1"/>
        </w:rPr>
        <w:t xml:space="preserve"> for firing more than 20 boreholes in a round,</w:t>
      </w:r>
      <w:r w:rsidRPr="00307988">
        <w:rPr>
          <w:rFonts w:ascii="Times New Roman" w:hAnsi="Times New Roman" w:cs="Times New Roman"/>
          <w:color w:val="000000" w:themeColor="text1"/>
        </w:rPr>
        <w:t xml:space="preserve"> for the use of nonpermissible explosives </w:t>
      </w:r>
      <w:r w:rsidRPr="00307988" w:rsidR="0043047A">
        <w:rPr>
          <w:rFonts w:ascii="Times New Roman" w:hAnsi="Times New Roman" w:cs="Times New Roman"/>
          <w:color w:val="000000" w:themeColor="text1"/>
        </w:rPr>
        <w:t>and</w:t>
      </w:r>
      <w:r w:rsidRPr="00307988">
        <w:rPr>
          <w:rFonts w:ascii="Times New Roman" w:hAnsi="Times New Roman" w:cs="Times New Roman"/>
          <w:color w:val="000000" w:themeColor="text1"/>
        </w:rPr>
        <w:t xml:space="preserve"> shot-firing units</w:t>
      </w:r>
      <w:r w:rsidRPr="00307988" w:rsidR="00CC2E55">
        <w:rPr>
          <w:rFonts w:ascii="Times New Roman" w:hAnsi="Times New Roman" w:cs="Times New Roman"/>
          <w:color w:val="000000" w:themeColor="text1"/>
        </w:rPr>
        <w:t xml:space="preserve">, as well as </w:t>
      </w:r>
      <w:r w:rsidRPr="00307988" w:rsidR="003C497A">
        <w:rPr>
          <w:rFonts w:ascii="Times New Roman" w:hAnsi="Times New Roman" w:cs="Times New Roman"/>
          <w:color w:val="000000" w:themeColor="text1"/>
        </w:rPr>
        <w:t>for</w:t>
      </w:r>
      <w:r w:rsidR="007B2675">
        <w:rPr>
          <w:rFonts w:ascii="Times New Roman" w:hAnsi="Times New Roman" w:cs="Times New Roman"/>
          <w:color w:val="000000" w:themeColor="text1"/>
        </w:rPr>
        <w:t xml:space="preserve"> </w:t>
      </w:r>
      <w:r w:rsidR="00587547">
        <w:rPr>
          <w:rFonts w:ascii="Times New Roman" w:hAnsi="Times New Roman" w:cs="Times New Roman"/>
          <w:color w:val="000000" w:themeColor="text1"/>
        </w:rPr>
        <w:t>the</w:t>
      </w:r>
      <w:r w:rsidRPr="00307988" w:rsidR="003C497A">
        <w:rPr>
          <w:rFonts w:ascii="Times New Roman" w:hAnsi="Times New Roman" w:cs="Times New Roman"/>
          <w:color w:val="auto"/>
        </w:rPr>
        <w:t xml:space="preserve"> necessary posting of misfire notices</w:t>
      </w:r>
      <w:r w:rsidRPr="00307988" w:rsidR="00CC2E55">
        <w:rPr>
          <w:rFonts w:ascii="Times New Roman" w:hAnsi="Times New Roman" w:cs="Times New Roman"/>
          <w:color w:val="000000" w:themeColor="text1"/>
        </w:rPr>
        <w:t xml:space="preserve">. The </w:t>
      </w:r>
      <w:r w:rsidRPr="00307988">
        <w:rPr>
          <w:rFonts w:ascii="Times New Roman" w:hAnsi="Times New Roman" w:cs="Times New Roman"/>
          <w:color w:val="000000" w:themeColor="text1"/>
        </w:rPr>
        <w:t>permit</w:t>
      </w:r>
      <w:r w:rsidRPr="00307988" w:rsidR="00EC2984">
        <w:rPr>
          <w:rFonts w:ascii="Times New Roman" w:hAnsi="Times New Roman" w:cs="Times New Roman"/>
          <w:color w:val="000000" w:themeColor="text1"/>
        </w:rPr>
        <w:t>s</w:t>
      </w:r>
      <w:r w:rsidRPr="00307988">
        <w:rPr>
          <w:rFonts w:ascii="Times New Roman" w:hAnsi="Times New Roman" w:cs="Times New Roman"/>
          <w:color w:val="000000" w:themeColor="text1"/>
        </w:rPr>
        <w:t xml:space="preserve"> inform mine management and miners of the steps</w:t>
      </w:r>
      <w:r w:rsidRPr="00307988" w:rsidR="00CC2E55">
        <w:rPr>
          <w:rFonts w:ascii="Times New Roman" w:hAnsi="Times New Roman" w:cs="Times New Roman"/>
          <w:color w:val="000000" w:themeColor="text1"/>
        </w:rPr>
        <w:t xml:space="preserve"> that need to be taken</w:t>
      </w:r>
      <w:r w:rsidRPr="00307988">
        <w:rPr>
          <w:rFonts w:ascii="Times New Roman" w:hAnsi="Times New Roman" w:cs="Times New Roman"/>
          <w:color w:val="000000" w:themeColor="text1"/>
        </w:rPr>
        <w:t xml:space="preserve"> to protect the safety of any person exposed to such blasting while using nonpermissible items.</w:t>
      </w:r>
    </w:p>
    <w:p w:rsidR="00E47C23" w:rsidRPr="00307988" w:rsidP="00307988" w14:paraId="674C7EA4" w14:textId="77777777">
      <w:pPr>
        <w:pStyle w:val="Default"/>
        <w:keepNext/>
        <w:widowControl/>
        <w:rPr>
          <w:rFonts w:ascii="Times New Roman" w:hAnsi="Times New Roman" w:cs="Times New Roman"/>
          <w:color w:val="000000" w:themeColor="text1"/>
        </w:rPr>
      </w:pPr>
    </w:p>
    <w:p w:rsidR="00E47C23" w:rsidRPr="00307988" w:rsidP="00307988" w14:paraId="7CA346E5" w14:textId="43BA5F2D">
      <w:pPr>
        <w:pStyle w:val="Default"/>
        <w:keepNext/>
        <w:widowControl/>
        <w:rPr>
          <w:rFonts w:ascii="Times New Roman" w:hAnsi="Times New Roman" w:cs="Times New Roman"/>
          <w:color w:val="000000" w:themeColor="text1"/>
        </w:rPr>
      </w:pPr>
      <w:r w:rsidRPr="00307988">
        <w:rPr>
          <w:rFonts w:ascii="Times New Roman" w:hAnsi="Times New Roman" w:cs="Times New Roman"/>
          <w:color w:val="000000" w:themeColor="text1"/>
        </w:rPr>
        <w:t>To obtain permit</w:t>
      </w:r>
      <w:r w:rsidRPr="00307988" w:rsidR="008E7CC4">
        <w:rPr>
          <w:rFonts w:ascii="Times New Roman" w:hAnsi="Times New Roman" w:cs="Times New Roman"/>
          <w:color w:val="000000" w:themeColor="text1"/>
        </w:rPr>
        <w:t>s</w:t>
      </w:r>
      <w:r w:rsidRPr="00307988" w:rsidR="005E34A7">
        <w:rPr>
          <w:rFonts w:ascii="Times New Roman" w:hAnsi="Times New Roman" w:cs="Times New Roman"/>
          <w:color w:val="000000" w:themeColor="text1"/>
        </w:rPr>
        <w:t>,</w:t>
      </w:r>
      <w:r w:rsidRPr="00307988" w:rsidR="0059734E">
        <w:rPr>
          <w:rFonts w:ascii="Times New Roman" w:hAnsi="Times New Roman" w:cs="Times New Roman"/>
          <w:color w:val="000000" w:themeColor="text1"/>
        </w:rPr>
        <w:t xml:space="preserve"> </w:t>
      </w:r>
      <w:r w:rsidRPr="00307988">
        <w:rPr>
          <w:rFonts w:ascii="Times New Roman" w:hAnsi="Times New Roman" w:cs="Times New Roman"/>
          <w:color w:val="000000" w:themeColor="text1"/>
        </w:rPr>
        <w:t>the mine operator</w:t>
      </w:r>
      <w:r w:rsidRPr="00307988" w:rsidR="0059734E">
        <w:rPr>
          <w:rFonts w:ascii="Times New Roman" w:hAnsi="Times New Roman" w:cs="Times New Roman"/>
          <w:color w:val="000000" w:themeColor="text1"/>
        </w:rPr>
        <w:t>s</w:t>
      </w:r>
      <w:r w:rsidRPr="00307988">
        <w:rPr>
          <w:rFonts w:ascii="Times New Roman" w:hAnsi="Times New Roman" w:cs="Times New Roman"/>
          <w:color w:val="000000" w:themeColor="text1"/>
        </w:rPr>
        <w:t xml:space="preserve"> file application</w:t>
      </w:r>
      <w:r w:rsidRPr="00307988" w:rsidR="008E7CC4">
        <w:rPr>
          <w:rFonts w:ascii="Times New Roman" w:hAnsi="Times New Roman" w:cs="Times New Roman"/>
          <w:color w:val="000000" w:themeColor="text1"/>
        </w:rPr>
        <w:t>s</w:t>
      </w:r>
      <w:r w:rsidRPr="00307988">
        <w:rPr>
          <w:rFonts w:ascii="Times New Roman" w:hAnsi="Times New Roman" w:cs="Times New Roman"/>
          <w:color w:val="000000" w:themeColor="text1"/>
        </w:rPr>
        <w:t xml:space="preserve"> with MSHA </w:t>
      </w:r>
      <w:r w:rsidRPr="00307988" w:rsidR="003C497A">
        <w:rPr>
          <w:rFonts w:ascii="Times New Roman" w:hAnsi="Times New Roman" w:cs="Times New Roman"/>
          <w:color w:val="000000" w:themeColor="text1"/>
        </w:rPr>
        <w:t xml:space="preserve">District Managers </w:t>
      </w:r>
      <w:r w:rsidRPr="00307988">
        <w:rPr>
          <w:rFonts w:ascii="Times New Roman" w:hAnsi="Times New Roman" w:cs="Times New Roman"/>
          <w:color w:val="000000" w:themeColor="text1"/>
        </w:rPr>
        <w:t>in the district where the mine is located.</w:t>
      </w:r>
      <w:r w:rsidRPr="00307988" w:rsidR="007E35A8">
        <w:rPr>
          <w:rFonts w:ascii="Times New Roman" w:hAnsi="Times New Roman" w:cs="Times New Roman"/>
          <w:color w:val="000000" w:themeColor="text1"/>
        </w:rPr>
        <w:t xml:space="preserve"> </w:t>
      </w:r>
      <w:r w:rsidRPr="00307988">
        <w:rPr>
          <w:rFonts w:ascii="Times New Roman" w:hAnsi="Times New Roman" w:cs="Times New Roman"/>
          <w:color w:val="000000" w:themeColor="text1"/>
        </w:rPr>
        <w:t xml:space="preserve">Applications contain the name and address of the mine; the designated active workings in which the units will be used and the approximate number of shots to be fired; the period of time during which such units are to be used; the nature of the development or construction for which they will be used; a plan to protect miners; a statement of the specific hazards anticipated; and the method to be employed to avoid the anticipated dangers. </w:t>
      </w:r>
    </w:p>
    <w:p w:rsidR="00E47C23" w:rsidRPr="00307988" w:rsidP="00307988" w14:paraId="1EE3BFEC" w14:textId="77777777">
      <w:pPr>
        <w:pStyle w:val="Default"/>
        <w:keepNext/>
        <w:widowControl/>
        <w:rPr>
          <w:rFonts w:ascii="Times New Roman" w:hAnsi="Times New Roman" w:cs="Times New Roman"/>
          <w:color w:val="000000" w:themeColor="text1"/>
        </w:rPr>
      </w:pPr>
      <w:r w:rsidRPr="00307988">
        <w:rPr>
          <w:rFonts w:ascii="Times New Roman" w:hAnsi="Times New Roman" w:cs="Times New Roman"/>
          <w:color w:val="000000" w:themeColor="text1"/>
        </w:rPr>
        <w:t xml:space="preserve"> </w:t>
      </w:r>
    </w:p>
    <w:p w:rsidR="00E47C23" w:rsidRPr="00307988" w:rsidP="00307988" w14:paraId="69EA44D3" w14:textId="19E48CE5">
      <w:pPr>
        <w:pStyle w:val="Default"/>
        <w:keepNext/>
        <w:widowControl/>
        <w:rPr>
          <w:rFonts w:ascii="Times New Roman" w:hAnsi="Times New Roman" w:cs="Times New Roman"/>
          <w:color w:val="auto"/>
        </w:rPr>
      </w:pPr>
      <w:r w:rsidRPr="00307988">
        <w:rPr>
          <w:rFonts w:ascii="Times New Roman" w:hAnsi="Times New Roman" w:cs="Times New Roman"/>
          <w:color w:val="000000" w:themeColor="text1"/>
        </w:rPr>
        <w:t xml:space="preserve">The </w:t>
      </w:r>
      <w:r w:rsidRPr="00307988" w:rsidR="00150533">
        <w:rPr>
          <w:rFonts w:ascii="Times New Roman" w:hAnsi="Times New Roman" w:cs="Times New Roman"/>
          <w:color w:val="000000" w:themeColor="text1"/>
        </w:rPr>
        <w:t>D</w:t>
      </w:r>
      <w:r w:rsidRPr="00307988">
        <w:rPr>
          <w:rFonts w:ascii="Times New Roman" w:hAnsi="Times New Roman" w:cs="Times New Roman"/>
          <w:color w:val="000000" w:themeColor="text1"/>
        </w:rPr>
        <w:t xml:space="preserve">istrict </w:t>
      </w:r>
      <w:r w:rsidRPr="00307988" w:rsidR="00150533">
        <w:rPr>
          <w:rFonts w:ascii="Times New Roman" w:hAnsi="Times New Roman" w:cs="Times New Roman"/>
          <w:color w:val="000000" w:themeColor="text1"/>
        </w:rPr>
        <w:t>M</w:t>
      </w:r>
      <w:r w:rsidRPr="00307988">
        <w:rPr>
          <w:rFonts w:ascii="Times New Roman" w:hAnsi="Times New Roman" w:cs="Times New Roman"/>
          <w:color w:val="000000" w:themeColor="text1"/>
        </w:rPr>
        <w:t>anager</w:t>
      </w:r>
      <w:r w:rsidRPr="00307988" w:rsidR="00150533">
        <w:rPr>
          <w:rFonts w:ascii="Times New Roman" w:hAnsi="Times New Roman" w:cs="Times New Roman"/>
          <w:color w:val="000000" w:themeColor="text1"/>
        </w:rPr>
        <w:t>s</w:t>
      </w:r>
      <w:r w:rsidRPr="00307988">
        <w:rPr>
          <w:rFonts w:ascii="Times New Roman" w:hAnsi="Times New Roman" w:cs="Times New Roman"/>
          <w:color w:val="000000" w:themeColor="text1"/>
        </w:rPr>
        <w:t xml:space="preserve"> may permit the firing of more than 20 boreholes of permissible explosives in a round when determining that it is necessary to reduce the overall hazard to which miners are exposed during underground blasting.</w:t>
      </w:r>
      <w:r w:rsidRPr="00307988" w:rsidR="007E35A8">
        <w:rPr>
          <w:rFonts w:ascii="Times New Roman" w:hAnsi="Times New Roman" w:cs="Times New Roman"/>
          <w:color w:val="000000" w:themeColor="text1"/>
        </w:rPr>
        <w:t xml:space="preserve"> </w:t>
      </w:r>
      <w:r w:rsidRPr="00307988">
        <w:rPr>
          <w:rFonts w:ascii="Times New Roman" w:hAnsi="Times New Roman" w:cs="Times New Roman"/>
          <w:color w:val="000000" w:themeColor="text1"/>
        </w:rPr>
        <w:t xml:space="preserve">The </w:t>
      </w:r>
      <w:r w:rsidRPr="00307988" w:rsidR="0043047A">
        <w:rPr>
          <w:rFonts w:ascii="Times New Roman" w:hAnsi="Times New Roman" w:cs="Times New Roman"/>
          <w:color w:val="000000" w:themeColor="text1"/>
        </w:rPr>
        <w:t xml:space="preserve">District Managers </w:t>
      </w:r>
      <w:r w:rsidRPr="00307988">
        <w:rPr>
          <w:rFonts w:ascii="Times New Roman" w:hAnsi="Times New Roman" w:cs="Times New Roman"/>
          <w:color w:val="000000" w:themeColor="text1"/>
        </w:rPr>
        <w:t xml:space="preserve">may permit the use of nonpermissible explosives </w:t>
      </w:r>
      <w:r w:rsidRPr="00307988" w:rsidR="0043047A">
        <w:rPr>
          <w:rFonts w:ascii="Times New Roman" w:hAnsi="Times New Roman" w:cs="Times New Roman"/>
          <w:color w:val="000000" w:themeColor="text1"/>
        </w:rPr>
        <w:t>and</w:t>
      </w:r>
      <w:r w:rsidRPr="00307988">
        <w:rPr>
          <w:rFonts w:ascii="Times New Roman" w:hAnsi="Times New Roman" w:cs="Times New Roman"/>
          <w:color w:val="000000" w:themeColor="text1"/>
        </w:rPr>
        <w:t xml:space="preserve"> shot-firing units when finding that a permissible shot-firing unit does not have adequate blasting </w:t>
      </w:r>
      <w:r w:rsidRPr="00307988" w:rsidR="00227035">
        <w:rPr>
          <w:rFonts w:ascii="Times New Roman" w:hAnsi="Times New Roman" w:cs="Times New Roman"/>
          <w:color w:val="000000" w:themeColor="text1"/>
        </w:rPr>
        <w:t>capacity,</w:t>
      </w:r>
      <w:r w:rsidRPr="00307988">
        <w:rPr>
          <w:rFonts w:ascii="Times New Roman" w:hAnsi="Times New Roman" w:cs="Times New Roman"/>
          <w:color w:val="000000" w:themeColor="text1"/>
        </w:rPr>
        <w:t xml:space="preserve"> and the use of such permissible units will create </w:t>
      </w:r>
      <w:r w:rsidRPr="00307988">
        <w:rPr>
          <w:rFonts w:ascii="Times New Roman" w:hAnsi="Times New Roman" w:cs="Times New Roman"/>
          <w:color w:val="000000" w:themeColor="text1"/>
        </w:rPr>
        <w:t>development or construction hazards.</w:t>
      </w:r>
      <w:r w:rsidRPr="00307988" w:rsidR="007E35A8">
        <w:rPr>
          <w:rFonts w:ascii="Times New Roman" w:hAnsi="Times New Roman" w:cs="Times New Roman"/>
          <w:color w:val="000000" w:themeColor="text1"/>
        </w:rPr>
        <w:t xml:space="preserve"> </w:t>
      </w:r>
      <w:r w:rsidRPr="00307988">
        <w:rPr>
          <w:rFonts w:ascii="Times New Roman" w:hAnsi="Times New Roman" w:cs="Times New Roman"/>
          <w:color w:val="000000" w:themeColor="text1"/>
        </w:rPr>
        <w:t xml:space="preserve">As a condition of use, the </w:t>
      </w:r>
      <w:r w:rsidRPr="00307988" w:rsidR="0043047A">
        <w:rPr>
          <w:rFonts w:ascii="Times New Roman" w:hAnsi="Times New Roman" w:cs="Times New Roman"/>
          <w:color w:val="000000" w:themeColor="text1"/>
        </w:rPr>
        <w:t xml:space="preserve">District Managers </w:t>
      </w:r>
      <w:r w:rsidRPr="00307988">
        <w:rPr>
          <w:rFonts w:ascii="Times New Roman" w:hAnsi="Times New Roman" w:cs="Times New Roman"/>
          <w:color w:val="000000" w:themeColor="text1"/>
        </w:rPr>
        <w:t xml:space="preserve">may include safeguards, in addition to those proposed by the </w:t>
      </w:r>
      <w:r w:rsidRPr="00307988" w:rsidR="00150533">
        <w:rPr>
          <w:rFonts w:ascii="Times New Roman" w:hAnsi="Times New Roman" w:cs="Times New Roman"/>
          <w:color w:val="000000" w:themeColor="text1"/>
        </w:rPr>
        <w:t xml:space="preserve">mine </w:t>
      </w:r>
      <w:r w:rsidRPr="00307988">
        <w:rPr>
          <w:rFonts w:ascii="Times New Roman" w:hAnsi="Times New Roman" w:cs="Times New Roman"/>
          <w:color w:val="000000" w:themeColor="text1"/>
        </w:rPr>
        <w:t xml:space="preserve">operator, that are necessary to protect the safety of the miners at the time the </w:t>
      </w:r>
      <w:r w:rsidRPr="00307988" w:rsidR="003B207A">
        <w:rPr>
          <w:rFonts w:ascii="Times New Roman" w:hAnsi="Times New Roman" w:cs="Times New Roman"/>
          <w:color w:val="000000" w:themeColor="text1"/>
        </w:rPr>
        <w:t>D</w:t>
      </w:r>
      <w:r w:rsidRPr="00307988">
        <w:rPr>
          <w:rFonts w:ascii="Times New Roman" w:hAnsi="Times New Roman" w:cs="Times New Roman"/>
          <w:color w:val="000000" w:themeColor="text1"/>
        </w:rPr>
        <w:t xml:space="preserve">istrict </w:t>
      </w:r>
      <w:r w:rsidRPr="00307988" w:rsidR="003B207A">
        <w:rPr>
          <w:rFonts w:ascii="Times New Roman" w:hAnsi="Times New Roman" w:cs="Times New Roman"/>
          <w:color w:val="000000" w:themeColor="text1"/>
        </w:rPr>
        <w:t>M</w:t>
      </w:r>
      <w:r w:rsidRPr="00307988">
        <w:rPr>
          <w:rFonts w:ascii="Times New Roman" w:hAnsi="Times New Roman" w:cs="Times New Roman"/>
          <w:color w:val="000000" w:themeColor="text1"/>
        </w:rPr>
        <w:t>anager</w:t>
      </w:r>
      <w:r w:rsidRPr="00307988" w:rsidR="00150533">
        <w:rPr>
          <w:rFonts w:ascii="Times New Roman" w:hAnsi="Times New Roman" w:cs="Times New Roman"/>
          <w:color w:val="000000" w:themeColor="text1"/>
        </w:rPr>
        <w:t>s</w:t>
      </w:r>
      <w:r w:rsidRPr="00307988">
        <w:rPr>
          <w:rFonts w:ascii="Times New Roman" w:hAnsi="Times New Roman" w:cs="Times New Roman"/>
          <w:color w:val="000000" w:themeColor="text1"/>
        </w:rPr>
        <w:t xml:space="preserve"> permit blasting.</w:t>
      </w:r>
    </w:p>
    <w:p w:rsidR="00B227F0" w:rsidRPr="00307988" w:rsidP="00307988" w14:paraId="59D2F399" w14:textId="3B0BEDD6">
      <w:pPr>
        <w:pStyle w:val="Default"/>
        <w:rPr>
          <w:rFonts w:ascii="Times New Roman" w:hAnsi="Times New Roman" w:cs="Times New Roman"/>
          <w:color w:val="auto"/>
        </w:rPr>
      </w:pPr>
    </w:p>
    <w:p w:rsidR="00CB3898" w:rsidRPr="00307988" w:rsidP="00307988" w14:paraId="440B4438" w14:textId="77777777">
      <w:pPr>
        <w:pStyle w:val="Default"/>
        <w:keepNext/>
        <w:widowControl/>
        <w:rPr>
          <w:rFonts w:ascii="Times New Roman" w:hAnsi="Times New Roman" w:cs="Times New Roman"/>
          <w:b/>
          <w:bCs/>
          <w:color w:val="auto"/>
        </w:rPr>
      </w:pPr>
      <w:r w:rsidRPr="00307988">
        <w:rPr>
          <w:rFonts w:ascii="Times New Roman" w:hAnsi="Times New Roman" w:cs="Times New Roman"/>
          <w:b/>
          <w:bCs/>
          <w:color w:val="auto"/>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C0294" w:rsidRPr="00307988" w:rsidP="00307988" w14:paraId="33312318" w14:textId="77777777">
      <w:pPr>
        <w:pStyle w:val="Default"/>
        <w:keepNext/>
        <w:widowControl/>
        <w:rPr>
          <w:rFonts w:ascii="Times New Roman" w:hAnsi="Times New Roman" w:cs="Times New Roman"/>
          <w:b/>
          <w:bCs/>
          <w:color w:val="auto"/>
        </w:rPr>
      </w:pPr>
    </w:p>
    <w:p w:rsidR="00CC2E55" w:rsidRPr="00307988" w:rsidP="00307988" w14:paraId="742C42EC" w14:textId="094B7479">
      <w:pPr>
        <w:pStyle w:val="Default"/>
        <w:keepNext/>
        <w:widowControl/>
        <w:rPr>
          <w:rFonts w:ascii="Times New Roman" w:hAnsi="Times New Roman" w:cs="Times New Roman"/>
          <w:color w:val="000000" w:themeColor="text1"/>
        </w:rPr>
      </w:pPr>
      <w:r w:rsidRPr="00307988">
        <w:rPr>
          <w:rFonts w:ascii="Times New Roman" w:hAnsi="Times New Roman" w:cs="Times New Roman"/>
          <w:color w:val="000000" w:themeColor="text1"/>
        </w:rPr>
        <w:t>No improved information technology has been identified that would reduce the existing burden.</w:t>
      </w:r>
    </w:p>
    <w:p w:rsidR="00CC2E55" w:rsidRPr="00307988" w:rsidP="00307988" w14:paraId="5C31FF8D" w14:textId="77777777">
      <w:pPr>
        <w:pStyle w:val="Default"/>
        <w:keepNext/>
        <w:widowControl/>
        <w:rPr>
          <w:rFonts w:ascii="Times New Roman" w:hAnsi="Times New Roman" w:cs="Times New Roman"/>
          <w:color w:val="000000" w:themeColor="text1"/>
        </w:rPr>
      </w:pPr>
    </w:p>
    <w:p w:rsidR="00E47C23" w:rsidRPr="00307988" w:rsidP="00307988" w14:paraId="7365C751" w14:textId="09EE0DAE">
      <w:pPr>
        <w:pStyle w:val="Default"/>
        <w:keepNext/>
        <w:widowControl/>
        <w:rPr>
          <w:rFonts w:ascii="Times New Roman" w:hAnsi="Times New Roman" w:cs="Times New Roman"/>
          <w:color w:val="FF0000"/>
        </w:rPr>
      </w:pPr>
      <w:r w:rsidRPr="00307988">
        <w:rPr>
          <w:rFonts w:ascii="Times New Roman" w:hAnsi="Times New Roman" w:cs="Times New Roman"/>
          <w:color w:val="000000" w:themeColor="text1"/>
        </w:rPr>
        <w:t xml:space="preserve">The applications to fire more than 20 boreholes, or to use nonpermissible explosives </w:t>
      </w:r>
      <w:r w:rsidRPr="00307988" w:rsidR="0043047A">
        <w:rPr>
          <w:rFonts w:ascii="Times New Roman" w:hAnsi="Times New Roman" w:cs="Times New Roman"/>
          <w:color w:val="000000" w:themeColor="text1"/>
        </w:rPr>
        <w:t>and</w:t>
      </w:r>
      <w:r w:rsidRPr="00307988">
        <w:rPr>
          <w:rFonts w:ascii="Times New Roman" w:hAnsi="Times New Roman" w:cs="Times New Roman"/>
          <w:color w:val="000000" w:themeColor="text1"/>
        </w:rPr>
        <w:t xml:space="preserve"> shot-firing units in shaft or slope construction are narrative descriptions of the equipment and explosives to be used, the number and pattern of the boreholes to be fired, and the safety precautions to be employed.</w:t>
      </w:r>
      <w:r w:rsidRPr="00307988" w:rsidR="007E35A8">
        <w:rPr>
          <w:rFonts w:ascii="Times New Roman" w:hAnsi="Times New Roman" w:cs="Times New Roman"/>
          <w:color w:val="000000" w:themeColor="text1"/>
        </w:rPr>
        <w:t xml:space="preserve"> </w:t>
      </w:r>
      <w:r w:rsidRPr="00307988">
        <w:rPr>
          <w:rFonts w:ascii="Times New Roman" w:hAnsi="Times New Roman" w:cs="Times New Roman"/>
          <w:color w:val="000000" w:themeColor="text1"/>
        </w:rPr>
        <w:t xml:space="preserve">The applications may </w:t>
      </w:r>
      <w:r w:rsidRPr="00307988" w:rsidR="0043047A">
        <w:rPr>
          <w:rFonts w:ascii="Times New Roman" w:hAnsi="Times New Roman" w:cs="Times New Roman"/>
          <w:color w:val="000000" w:themeColor="text1"/>
        </w:rPr>
        <w:t xml:space="preserve">also </w:t>
      </w:r>
      <w:r w:rsidRPr="00307988">
        <w:rPr>
          <w:rFonts w:ascii="Times New Roman" w:hAnsi="Times New Roman" w:cs="Times New Roman"/>
          <w:color w:val="000000" w:themeColor="text1"/>
        </w:rPr>
        <w:t>include schematics, tables, and drawings.</w:t>
      </w:r>
      <w:r w:rsidRPr="00307988" w:rsidR="007E35A8">
        <w:rPr>
          <w:rFonts w:ascii="Times New Roman" w:hAnsi="Times New Roman" w:cs="Times New Roman"/>
          <w:color w:val="000000" w:themeColor="text1"/>
        </w:rPr>
        <w:t xml:space="preserve"> </w:t>
      </w:r>
      <w:r w:rsidRPr="00307988">
        <w:rPr>
          <w:rFonts w:ascii="Times New Roman" w:hAnsi="Times New Roman" w:cs="Times New Roman"/>
          <w:color w:val="000000" w:themeColor="text1"/>
        </w:rPr>
        <w:t>Such narrative plans and simple graphics can be prepared using personal computers and submitted via email</w:t>
      </w:r>
      <w:r w:rsidRPr="00307988" w:rsidR="0043047A">
        <w:rPr>
          <w:rFonts w:ascii="Times New Roman" w:hAnsi="Times New Roman" w:cs="Times New Roman"/>
          <w:color w:val="000000" w:themeColor="text1"/>
        </w:rPr>
        <w:t>. T</w:t>
      </w:r>
      <w:r w:rsidRPr="00307988">
        <w:rPr>
          <w:rFonts w:ascii="Times New Roman" w:hAnsi="Times New Roman" w:cs="Times New Roman"/>
          <w:color w:val="000000" w:themeColor="text1"/>
        </w:rPr>
        <w:t>he mine operator</w:t>
      </w:r>
      <w:r w:rsidRPr="00307988" w:rsidR="0059734E">
        <w:rPr>
          <w:rFonts w:ascii="Times New Roman" w:hAnsi="Times New Roman" w:cs="Times New Roman"/>
          <w:color w:val="000000" w:themeColor="text1"/>
        </w:rPr>
        <w:t>s</w:t>
      </w:r>
      <w:r w:rsidRPr="00307988">
        <w:rPr>
          <w:rFonts w:ascii="Times New Roman" w:hAnsi="Times New Roman" w:cs="Times New Roman"/>
          <w:color w:val="000000" w:themeColor="text1"/>
        </w:rPr>
        <w:t xml:space="preserve"> ha</w:t>
      </w:r>
      <w:r w:rsidRPr="00307988" w:rsidR="0059734E">
        <w:rPr>
          <w:rFonts w:ascii="Times New Roman" w:hAnsi="Times New Roman" w:cs="Times New Roman"/>
          <w:color w:val="000000" w:themeColor="text1"/>
        </w:rPr>
        <w:t>ve</w:t>
      </w:r>
      <w:r w:rsidRPr="00307988">
        <w:rPr>
          <w:rFonts w:ascii="Times New Roman" w:hAnsi="Times New Roman" w:cs="Times New Roman"/>
          <w:color w:val="000000" w:themeColor="text1"/>
        </w:rPr>
        <w:t xml:space="preserve"> the capability of affixing transmittable authorization signatures, or where the respondent follows an email or facsimile with a signed hard copy.</w:t>
      </w:r>
      <w:r w:rsidRPr="00307988" w:rsidR="007E35A8">
        <w:rPr>
          <w:rFonts w:ascii="Times New Roman" w:hAnsi="Times New Roman" w:cs="Times New Roman"/>
          <w:color w:val="000000" w:themeColor="text1"/>
        </w:rPr>
        <w:t xml:space="preserve"> </w:t>
      </w:r>
    </w:p>
    <w:p w:rsidR="00867990" w:rsidRPr="00307988" w:rsidP="00307988" w14:paraId="6EB826B7" w14:textId="50D5E257">
      <w:pPr>
        <w:pStyle w:val="Default"/>
        <w:keepNext/>
        <w:widowControl/>
        <w:rPr>
          <w:rFonts w:ascii="Times New Roman" w:hAnsi="Times New Roman" w:cs="Times New Roman"/>
          <w:color w:val="FF0000"/>
        </w:rPr>
      </w:pPr>
    </w:p>
    <w:p w:rsidR="00867990" w:rsidRPr="00307988" w:rsidP="00307988" w14:paraId="2718FC51" w14:textId="5344ECEF">
      <w:pPr>
        <w:pStyle w:val="Default"/>
        <w:keepNext/>
        <w:widowControl/>
        <w:rPr>
          <w:rFonts w:ascii="Times New Roman" w:hAnsi="Times New Roman" w:cs="Times New Roman"/>
          <w:color w:val="FF0000"/>
        </w:rPr>
      </w:pPr>
      <w:r w:rsidRPr="00307988">
        <w:rPr>
          <w:rFonts w:ascii="Times New Roman" w:hAnsi="Times New Roman" w:cs="Times New Roman"/>
          <w:color w:val="auto"/>
        </w:rPr>
        <w:t xml:space="preserve">However, to comply with the Government Paperwork Elimination Act, </w:t>
      </w:r>
      <w:r w:rsidRPr="00307988" w:rsidR="008C6C20">
        <w:rPr>
          <w:rFonts w:ascii="Times New Roman" w:hAnsi="Times New Roman" w:cs="Times New Roman"/>
          <w:color w:val="auto"/>
        </w:rPr>
        <w:t xml:space="preserve">mine operators may </w:t>
      </w:r>
      <w:r w:rsidRPr="00307988" w:rsidR="009D4333">
        <w:rPr>
          <w:rFonts w:ascii="Times New Roman" w:hAnsi="Times New Roman" w:cs="Times New Roman"/>
          <w:color w:val="auto"/>
        </w:rPr>
        <w:t xml:space="preserve">retain records </w:t>
      </w:r>
      <w:r w:rsidRPr="00307988">
        <w:rPr>
          <w:rFonts w:ascii="Times New Roman" w:hAnsi="Times New Roman" w:cs="Times New Roman"/>
          <w:color w:val="auto"/>
        </w:rPr>
        <w:t xml:space="preserve">in whatever method they </w:t>
      </w:r>
      <w:r w:rsidRPr="00307988" w:rsidR="009D4333">
        <w:rPr>
          <w:rFonts w:ascii="Times New Roman" w:hAnsi="Times New Roman" w:cs="Times New Roman"/>
          <w:color w:val="auto"/>
        </w:rPr>
        <w:t>choose,</w:t>
      </w:r>
      <w:r w:rsidRPr="00307988" w:rsidR="00CC2E55">
        <w:rPr>
          <w:rFonts w:ascii="Times New Roman" w:hAnsi="Times New Roman" w:cs="Times New Roman"/>
          <w:color w:val="000000" w:themeColor="text1"/>
        </w:rPr>
        <w:t xml:space="preserve"> </w:t>
      </w:r>
      <w:r w:rsidRPr="00307988" w:rsidR="009D4333">
        <w:rPr>
          <w:rFonts w:ascii="Times New Roman" w:hAnsi="Times New Roman" w:cs="Times New Roman"/>
          <w:color w:val="000000" w:themeColor="text1"/>
        </w:rPr>
        <w:t>which may include utilizing computer technology to store the records electronically.</w:t>
      </w:r>
      <w:r w:rsidRPr="00307988" w:rsidR="009D4333">
        <w:rPr>
          <w:rFonts w:ascii="Times New Roman" w:hAnsi="Times New Roman" w:cs="Times New Roman"/>
          <w:color w:val="000000" w:themeColor="text1"/>
        </w:rPr>
        <w:t xml:space="preserve"> </w:t>
      </w:r>
      <w:r w:rsidRPr="00307988" w:rsidR="009D4333">
        <w:rPr>
          <w:rFonts w:ascii="Times New Roman" w:hAnsi="Times New Roman" w:cs="Times New Roman"/>
          <w:color w:val="000000" w:themeColor="text1"/>
        </w:rPr>
        <w:t>A</w:t>
      </w:r>
      <w:r w:rsidRPr="00307988" w:rsidR="00CC2E55">
        <w:rPr>
          <w:rFonts w:ascii="Times New Roman" w:hAnsi="Times New Roman" w:cs="Times New Roman"/>
          <w:color w:val="000000" w:themeColor="text1"/>
        </w:rPr>
        <w:t>pplications may be mailed, emailed, or faxed, using company letterhead stationery</w:t>
      </w:r>
      <w:r w:rsidRPr="00307988" w:rsidR="00CC2E55">
        <w:rPr>
          <w:rFonts w:ascii="Times New Roman" w:hAnsi="Times New Roman" w:cs="Times New Roman"/>
          <w:color w:val="auto"/>
        </w:rPr>
        <w:t>.</w:t>
      </w:r>
      <w:r w:rsidRPr="00307988">
        <w:rPr>
          <w:rFonts w:ascii="Times New Roman" w:hAnsi="Times New Roman" w:cs="Times New Roman"/>
          <w:color w:val="auto"/>
        </w:rPr>
        <w:t xml:space="preserve"> </w:t>
      </w:r>
    </w:p>
    <w:p w:rsidR="00CB3898" w:rsidRPr="00307988" w:rsidP="00307988" w14:paraId="38984DDA" w14:textId="77777777">
      <w:pPr>
        <w:pStyle w:val="Default"/>
        <w:rPr>
          <w:rFonts w:ascii="Times New Roman" w:hAnsi="Times New Roman" w:cs="Times New Roman"/>
          <w:color w:val="auto"/>
        </w:rPr>
      </w:pPr>
    </w:p>
    <w:p w:rsidR="00CB3898" w:rsidRPr="00307988" w:rsidP="00307988" w14:paraId="60804496" w14:textId="77777777">
      <w:pPr>
        <w:pStyle w:val="Default"/>
        <w:keepNext/>
        <w:widowControl/>
        <w:rPr>
          <w:rFonts w:ascii="Times New Roman" w:hAnsi="Times New Roman" w:cs="Times New Roman"/>
          <w:color w:val="auto"/>
        </w:rPr>
      </w:pPr>
      <w:r w:rsidRPr="00307988">
        <w:rPr>
          <w:rFonts w:ascii="Times New Roman" w:hAnsi="Times New Roman" w:cs="Times New Roman"/>
          <w:b/>
          <w:bCs/>
          <w:color w:val="auto"/>
        </w:rPr>
        <w:t>4. Describe efforts to identify duplication. Show specifically why any similar information already available cannot be used or modified for use for the purposes described in Item A.2 above.</w:t>
      </w:r>
    </w:p>
    <w:p w:rsidR="00CB3898" w:rsidRPr="00307988" w:rsidP="00307988" w14:paraId="081BAF24" w14:textId="77777777">
      <w:pPr>
        <w:pStyle w:val="Default"/>
        <w:rPr>
          <w:rFonts w:ascii="Times New Roman" w:hAnsi="Times New Roman" w:cs="Times New Roman"/>
          <w:color w:val="auto"/>
        </w:rPr>
      </w:pPr>
    </w:p>
    <w:p w:rsidR="00C73040" w:rsidRPr="00307988" w:rsidP="00307988" w14:paraId="77B859EC" w14:textId="2425A41F">
      <w:pPr>
        <w:pStyle w:val="Default"/>
        <w:rPr>
          <w:rFonts w:ascii="Times New Roman" w:hAnsi="Times New Roman" w:cs="Times New Roman"/>
          <w:color w:val="auto"/>
        </w:rPr>
      </w:pPr>
      <w:r w:rsidRPr="00307988">
        <w:rPr>
          <w:rFonts w:ascii="Times New Roman" w:hAnsi="Times New Roman" w:cs="Times New Roman"/>
          <w:color w:val="auto"/>
        </w:rPr>
        <w:t xml:space="preserve">No similar </w:t>
      </w:r>
      <w:bookmarkStart w:id="10" w:name="_Hlk172026587"/>
      <w:r w:rsidRPr="00307988" w:rsidR="00052BD8">
        <w:rPr>
          <w:rFonts w:ascii="Times New Roman" w:hAnsi="Times New Roman" w:cs="Times New Roman"/>
          <w:color w:val="auto"/>
        </w:rPr>
        <w:t xml:space="preserve">or duplicate </w:t>
      </w:r>
      <w:bookmarkEnd w:id="10"/>
      <w:r w:rsidRPr="00307988">
        <w:rPr>
          <w:rFonts w:ascii="Times New Roman" w:hAnsi="Times New Roman" w:cs="Times New Roman"/>
          <w:color w:val="auto"/>
        </w:rPr>
        <w:t xml:space="preserve">information is available or submitted to MSHA. </w:t>
      </w:r>
    </w:p>
    <w:p w:rsidR="00B227F0" w:rsidRPr="00307988" w:rsidP="00307988" w14:paraId="2D29A9BF" w14:textId="77777777">
      <w:pPr>
        <w:rPr>
          <w:b/>
          <w:bCs/>
          <w:color w:val="000000"/>
        </w:rPr>
      </w:pPr>
    </w:p>
    <w:p w:rsidR="00B227F0" w:rsidRPr="00307988" w:rsidP="00307988" w14:paraId="156335B6" w14:textId="53160BD5">
      <w:pPr>
        <w:pStyle w:val="Default"/>
        <w:rPr>
          <w:rFonts w:ascii="Times New Roman" w:hAnsi="Times New Roman" w:cs="Times New Roman"/>
          <w:color w:val="auto"/>
        </w:rPr>
      </w:pPr>
      <w:r w:rsidRPr="00307988">
        <w:rPr>
          <w:rFonts w:ascii="Times New Roman" w:hAnsi="Times New Roman" w:cs="Times New Roman"/>
          <w:b/>
          <w:color w:val="auto"/>
        </w:rPr>
        <w:t>5.</w:t>
      </w:r>
      <w:r w:rsidRPr="00307988" w:rsidR="007E35A8">
        <w:rPr>
          <w:rFonts w:ascii="Times New Roman" w:hAnsi="Times New Roman" w:cs="Times New Roman"/>
          <w:b/>
          <w:color w:val="auto"/>
        </w:rPr>
        <w:t xml:space="preserve"> </w:t>
      </w:r>
      <w:r w:rsidRPr="00307988">
        <w:rPr>
          <w:rFonts w:ascii="Times New Roman" w:hAnsi="Times New Roman" w:cs="Times New Roman"/>
          <w:b/>
          <w:color w:val="auto"/>
        </w:rPr>
        <w:t xml:space="preserve">If the collection of information impacts small businesses or other small entities, describe any methods used to minimize burden. </w:t>
      </w:r>
    </w:p>
    <w:p w:rsidR="00B227F0" w:rsidRPr="00307988" w:rsidP="00307988" w14:paraId="1A103BF2" w14:textId="77777777">
      <w:pPr>
        <w:pStyle w:val="Default"/>
        <w:rPr>
          <w:rFonts w:ascii="Times New Roman" w:hAnsi="Times New Roman" w:cs="Times New Roman"/>
          <w:color w:val="auto"/>
        </w:rPr>
      </w:pPr>
      <w:r w:rsidRPr="00307988">
        <w:rPr>
          <w:rFonts w:ascii="Times New Roman" w:hAnsi="Times New Roman" w:cs="Times New Roman"/>
          <w:color w:val="auto"/>
        </w:rPr>
        <w:t xml:space="preserve"> </w:t>
      </w:r>
    </w:p>
    <w:p w:rsidR="00B227F0" w:rsidRPr="00307988" w:rsidP="00307988" w14:paraId="6A189E0E" w14:textId="0D40EFBC">
      <w:pPr>
        <w:rPr>
          <w:b/>
          <w:bCs/>
          <w:color w:val="000000"/>
        </w:rPr>
      </w:pPr>
      <w:bookmarkStart w:id="11" w:name="_Hlk161038748"/>
      <w:r w:rsidRPr="00307988">
        <w:t>The information collection provisions apply to all mine operat</w:t>
      </w:r>
      <w:r w:rsidRPr="00307988" w:rsidR="00D4281C">
        <w:t>or</w:t>
      </w:r>
      <w:r w:rsidRPr="00307988">
        <w:t xml:space="preserve">s, </w:t>
      </w:r>
      <w:bookmarkStart w:id="12" w:name="_Hlk184192506"/>
      <w:r w:rsidRPr="00307988">
        <w:t>both large and small</w:t>
      </w:r>
      <w:bookmarkEnd w:id="12"/>
      <w:r w:rsidRPr="00307988">
        <w:t>. Congress intended that the Secretary enforce the law at all mining operat</w:t>
      </w:r>
      <w:r w:rsidR="00307988">
        <w:t>ion</w:t>
      </w:r>
      <w:r w:rsidRPr="00307988">
        <w:t>s within the Agency’s jurisdiction regardless of size and that information collection and recordkeeping requirements be consistent with efficient and effective enforcement of the Mine Act. [S</w:t>
      </w:r>
      <w:r w:rsidRPr="00307988" w:rsidR="005D1278">
        <w:t>.</w:t>
      </w:r>
      <w:r w:rsidRPr="00307988">
        <w:t xml:space="preserve"> Rep</w:t>
      </w:r>
      <w:r w:rsidRPr="00307988" w:rsidR="005D1278">
        <w:t>.</w:t>
      </w:r>
      <w:r w:rsidRPr="00307988">
        <w:t xml:space="preserve"> No. 95-181 (1977)]. Section 103(e) of the Mine Act</w:t>
      </w:r>
      <w:bookmarkStart w:id="13" w:name="_Hlk172026654"/>
      <w:r w:rsidRPr="00307988" w:rsidR="007E5D54">
        <w:t>, 30 U.S.C. 813(e),</w:t>
      </w:r>
      <w:r w:rsidRPr="00307988">
        <w:t xml:space="preserve"> </w:t>
      </w:r>
      <w:bookmarkEnd w:id="13"/>
      <w:r w:rsidRPr="00307988">
        <w:t>directs the Secretary not to impose an unreasonable burden on small businesses when obtaining any information under the Mine Act. MSHA considered the burden on small mines when developing the collection</w:t>
      </w:r>
      <w:r w:rsidRPr="00307988" w:rsidR="00D4281C">
        <w:t xml:space="preserve"> and</w:t>
      </w:r>
      <w:r w:rsidRPr="00307988" w:rsidR="00052BD8">
        <w:t xml:space="preserve"> believes that these information collection requirements are imposed on all mining operat</w:t>
      </w:r>
      <w:r w:rsidRPr="00307988" w:rsidR="004E6A42">
        <w:t>or</w:t>
      </w:r>
      <w:r w:rsidRPr="00307988" w:rsidR="00052BD8">
        <w:t>s and do not have a significant impact on a substantial number of small business</w:t>
      </w:r>
      <w:r w:rsidR="00307988">
        <w:t>es</w:t>
      </w:r>
      <w:r w:rsidRPr="00307988" w:rsidR="00052BD8">
        <w:t xml:space="preserve"> or </w:t>
      </w:r>
      <w:r w:rsidRPr="00307988" w:rsidR="00F50585">
        <w:t>other</w:t>
      </w:r>
      <w:r w:rsidRPr="00307988" w:rsidR="00052BD8">
        <w:t xml:space="preserve"> small entities. </w:t>
      </w:r>
    </w:p>
    <w:bookmarkEnd w:id="11"/>
    <w:p w:rsidR="00B227F0" w:rsidRPr="00307988" w:rsidP="00307988" w14:paraId="7C2F69CC" w14:textId="77777777">
      <w:pPr>
        <w:rPr>
          <w:b/>
          <w:bCs/>
          <w:color w:val="000000"/>
        </w:rPr>
      </w:pPr>
    </w:p>
    <w:p w:rsidR="00CB3898" w:rsidRPr="00307988" w:rsidP="00307988" w14:paraId="7D497CB0" w14:textId="77777777">
      <w:pPr>
        <w:pStyle w:val="Default"/>
        <w:keepNext/>
        <w:widowControl/>
        <w:rPr>
          <w:rFonts w:ascii="Times New Roman" w:hAnsi="Times New Roman" w:cs="Times New Roman"/>
          <w:b/>
          <w:bCs/>
          <w:color w:val="auto"/>
        </w:rPr>
      </w:pPr>
      <w:r w:rsidRPr="00307988">
        <w:rPr>
          <w:rFonts w:ascii="Times New Roman" w:hAnsi="Times New Roman" w:cs="Times New Roman"/>
          <w:b/>
          <w:bCs/>
          <w:color w:val="auto"/>
        </w:rPr>
        <w:t>6. Describe the consequence to federal program or policy activities if the collection is not conducted or is conducted less frequently, as well as any technical or legal obstacles to reducing burden.</w:t>
      </w:r>
    </w:p>
    <w:p w:rsidR="005C0294" w:rsidRPr="00307988" w:rsidP="00307988" w14:paraId="5D0EEA43" w14:textId="77777777">
      <w:pPr>
        <w:pStyle w:val="Default"/>
        <w:keepNext/>
        <w:widowControl/>
        <w:rPr>
          <w:rFonts w:ascii="Times New Roman" w:hAnsi="Times New Roman" w:cs="Times New Roman"/>
          <w:b/>
          <w:bCs/>
          <w:color w:val="auto"/>
        </w:rPr>
      </w:pPr>
    </w:p>
    <w:p w:rsidR="004C1454" w:rsidRPr="00307988" w:rsidP="00307988" w14:paraId="540BFCBB" w14:textId="641AFEE7">
      <w:pPr>
        <w:pStyle w:val="Default"/>
        <w:keepNext/>
        <w:widowControl/>
        <w:rPr>
          <w:rFonts w:ascii="Times New Roman" w:hAnsi="Times New Roman" w:cs="Times New Roman"/>
          <w:color w:val="000000" w:themeColor="text1"/>
        </w:rPr>
      </w:pPr>
      <w:r w:rsidRPr="00307988">
        <w:rPr>
          <w:rFonts w:ascii="Times New Roman" w:hAnsi="Times New Roman" w:cs="Times New Roman"/>
        </w:rPr>
        <w:t>In the absence of this collection</w:t>
      </w:r>
      <w:r w:rsidRPr="00307988">
        <w:rPr>
          <w:rFonts w:ascii="Times New Roman" w:hAnsi="Times New Roman" w:cs="Times New Roman"/>
        </w:rPr>
        <w:t>, MSHA cannot issue</w:t>
      </w:r>
      <w:r w:rsidRPr="00307988">
        <w:rPr>
          <w:rFonts w:ascii="Times New Roman" w:hAnsi="Times New Roman" w:cs="Times New Roman"/>
        </w:rPr>
        <w:t xml:space="preserve"> permits </w:t>
      </w:r>
      <w:r w:rsidRPr="00307988">
        <w:rPr>
          <w:rFonts w:ascii="Times New Roman" w:hAnsi="Times New Roman" w:cs="Times New Roman"/>
        </w:rPr>
        <w:t>for firing more than 20 boreholes in a round</w:t>
      </w:r>
      <w:r w:rsidR="000C6DA9">
        <w:rPr>
          <w:rFonts w:ascii="Times New Roman" w:hAnsi="Times New Roman" w:cs="Times New Roman"/>
        </w:rPr>
        <w:t xml:space="preserve"> </w:t>
      </w:r>
      <w:r w:rsidR="005214A0">
        <w:rPr>
          <w:rFonts w:ascii="Times New Roman" w:hAnsi="Times New Roman" w:cs="Times New Roman"/>
        </w:rPr>
        <w:t>or</w:t>
      </w:r>
      <w:r w:rsidR="005222DB">
        <w:rPr>
          <w:rFonts w:ascii="Times New Roman" w:hAnsi="Times New Roman" w:cs="Times New Roman"/>
        </w:rPr>
        <w:t xml:space="preserve"> </w:t>
      </w:r>
      <w:r w:rsidRPr="00307988">
        <w:rPr>
          <w:rFonts w:ascii="Times New Roman" w:hAnsi="Times New Roman" w:cs="Times New Roman"/>
        </w:rPr>
        <w:t>for</w:t>
      </w:r>
      <w:r w:rsidRPr="00307988" w:rsidR="00CC2E55">
        <w:rPr>
          <w:rFonts w:ascii="Times New Roman" w:hAnsi="Times New Roman" w:cs="Times New Roman"/>
        </w:rPr>
        <w:t xml:space="preserve"> </w:t>
      </w:r>
      <w:r w:rsidRPr="00307988">
        <w:rPr>
          <w:rFonts w:ascii="Times New Roman" w:hAnsi="Times New Roman" w:cs="Times New Roman"/>
        </w:rPr>
        <w:t xml:space="preserve">use of </w:t>
      </w:r>
      <w:r w:rsidRPr="00307988" w:rsidR="00CC2E55">
        <w:rPr>
          <w:rFonts w:ascii="Times New Roman" w:hAnsi="Times New Roman" w:cs="Times New Roman"/>
        </w:rPr>
        <w:t>nonpermissible</w:t>
      </w:r>
      <w:r w:rsidRPr="00307988">
        <w:rPr>
          <w:rFonts w:ascii="Times New Roman" w:hAnsi="Times New Roman" w:cs="Times New Roman"/>
        </w:rPr>
        <w:t xml:space="preserve"> explosives </w:t>
      </w:r>
      <w:r w:rsidRPr="00307988" w:rsidR="0043047A">
        <w:rPr>
          <w:rFonts w:ascii="Times New Roman" w:hAnsi="Times New Roman" w:cs="Times New Roman"/>
        </w:rPr>
        <w:t>and</w:t>
      </w:r>
      <w:r w:rsidRPr="00307988">
        <w:rPr>
          <w:rFonts w:ascii="Times New Roman" w:hAnsi="Times New Roman" w:cs="Times New Roman"/>
        </w:rPr>
        <w:t xml:space="preserve"> shot-firing units</w:t>
      </w:r>
      <w:r w:rsidRPr="00307988" w:rsidR="00CC2E55">
        <w:rPr>
          <w:rFonts w:ascii="Times New Roman" w:hAnsi="Times New Roman" w:cs="Times New Roman"/>
        </w:rPr>
        <w:t xml:space="preserve">. </w:t>
      </w:r>
      <w:r w:rsidRPr="00307988">
        <w:rPr>
          <w:rFonts w:ascii="Times New Roman" w:hAnsi="Times New Roman" w:cs="Times New Roman"/>
          <w:color w:val="000000" w:themeColor="text1"/>
        </w:rPr>
        <w:t>The permits inform mine management and miners of the steps that need to be taken to protect the safety of any person exposed to such blasting while using nonpermissible items.</w:t>
      </w:r>
    </w:p>
    <w:p w:rsidR="004C1454" w:rsidRPr="00307988" w:rsidP="00307988" w14:paraId="5D8C483B" w14:textId="77777777">
      <w:pPr>
        <w:widowControl/>
      </w:pPr>
    </w:p>
    <w:p w:rsidR="00E47C23" w:rsidRPr="00307988" w:rsidP="00307988" w14:paraId="461B2BDA" w14:textId="02A2F2F1">
      <w:pPr>
        <w:widowControl/>
      </w:pPr>
      <w:r w:rsidRPr="00307988">
        <w:t xml:space="preserve">As a result, </w:t>
      </w:r>
      <w:r w:rsidRPr="00307988">
        <w:t>mine operator</w:t>
      </w:r>
      <w:r w:rsidRPr="00307988" w:rsidR="0059734E">
        <w:t>s</w:t>
      </w:r>
      <w:r w:rsidRPr="00307988">
        <w:t xml:space="preserve"> or shaft and slope contractors would be putting miners at risk.</w:t>
      </w:r>
      <w:r w:rsidRPr="00307988" w:rsidR="007E35A8">
        <w:t xml:space="preserve"> </w:t>
      </w:r>
      <w:r w:rsidRPr="00307988">
        <w:t>There would be no guarantee that mine operator</w:t>
      </w:r>
      <w:r w:rsidRPr="00307988" w:rsidR="0059734E">
        <w:t>s</w:t>
      </w:r>
      <w:r w:rsidRPr="00307988">
        <w:t xml:space="preserve"> would have a </w:t>
      </w:r>
      <w:r w:rsidRPr="00307988" w:rsidR="004C1454">
        <w:t xml:space="preserve">separate </w:t>
      </w:r>
      <w:r w:rsidRPr="00307988">
        <w:t>plan designed to ensure the protection of life and the prevention of injuries to the miners exposed to underground blasting.</w:t>
      </w:r>
      <w:r w:rsidRPr="00307988" w:rsidR="007E35A8">
        <w:t xml:space="preserve"> </w:t>
      </w:r>
      <w:r w:rsidRPr="00307988">
        <w:t>In addition, MSHA would be unable to enforce the safety and health requirements of the Mine Act regarding the use of nonpermissible explosives and/or shot-firing units without this collection.</w:t>
      </w:r>
    </w:p>
    <w:p w:rsidR="00B227F0" w:rsidRPr="00307988" w:rsidP="00307988" w14:paraId="4BE11804" w14:textId="77777777">
      <w:pPr>
        <w:rPr>
          <w:b/>
          <w:bCs/>
          <w:color w:val="000000"/>
        </w:rPr>
      </w:pPr>
    </w:p>
    <w:p w:rsidR="00CB3898" w:rsidRPr="00307988" w:rsidP="00307988" w14:paraId="010929AC" w14:textId="77777777">
      <w:pPr>
        <w:pStyle w:val="Default"/>
        <w:widowControl/>
        <w:rPr>
          <w:rFonts w:ascii="Times New Roman" w:hAnsi="Times New Roman" w:cs="Times New Roman"/>
          <w:b/>
          <w:bCs/>
          <w:color w:val="auto"/>
        </w:rPr>
      </w:pPr>
      <w:r w:rsidRPr="00307988">
        <w:rPr>
          <w:rFonts w:ascii="Times New Roman" w:hAnsi="Times New Roman" w:cs="Times New Roman"/>
          <w:b/>
          <w:bCs/>
          <w:color w:val="auto"/>
        </w:rPr>
        <w:t>7. Explain any special circumstances that would cause an information collection to be conducted in a manner:</w:t>
      </w:r>
    </w:p>
    <w:p w:rsidR="00CB3898" w:rsidRPr="00307988" w:rsidP="00307988" w14:paraId="5790525F" w14:textId="77777777">
      <w:pPr>
        <w:pStyle w:val="ListParagraph"/>
        <w:tabs>
          <w:tab w:val="left" w:pos="720"/>
        </w:tabs>
        <w:spacing w:after="0" w:line="240" w:lineRule="auto"/>
        <w:ind w:left="0"/>
        <w:rPr>
          <w:rFonts w:ascii="Times New Roman" w:hAnsi="Times New Roman"/>
          <w:b/>
          <w:bCs/>
          <w:sz w:val="24"/>
        </w:rPr>
      </w:pPr>
    </w:p>
    <w:p w:rsidR="00CB3898" w:rsidRPr="00307988" w:rsidP="00307988" w14:paraId="56B4EAC4" w14:textId="77777777">
      <w:pPr>
        <w:pStyle w:val="ListParagraph"/>
        <w:numPr>
          <w:ilvl w:val="0"/>
          <w:numId w:val="10"/>
        </w:numPr>
        <w:autoSpaceDE w:val="0"/>
        <w:autoSpaceDN w:val="0"/>
        <w:adjustRightInd w:val="0"/>
        <w:spacing w:after="0" w:line="240" w:lineRule="auto"/>
        <w:ind w:left="360"/>
        <w:rPr>
          <w:rFonts w:ascii="Times New Roman" w:hAnsi="Times New Roman"/>
          <w:b/>
          <w:bCs/>
          <w:sz w:val="24"/>
        </w:rPr>
      </w:pPr>
      <w:r w:rsidRPr="00307988">
        <w:rPr>
          <w:rFonts w:ascii="Times New Roman" w:hAnsi="Times New Roman"/>
          <w:b/>
          <w:bCs/>
          <w:sz w:val="24"/>
        </w:rPr>
        <w:t>Requiring respondents to report information to the agency more often than quarterly;</w:t>
      </w:r>
    </w:p>
    <w:p w:rsidR="00CB3898" w:rsidRPr="00307988" w:rsidP="00307988" w14:paraId="759F47DA" w14:textId="77777777">
      <w:pPr>
        <w:pStyle w:val="Default"/>
        <w:widowControl/>
        <w:tabs>
          <w:tab w:val="left" w:pos="720"/>
        </w:tabs>
        <w:ind w:left="360"/>
        <w:rPr>
          <w:rFonts w:ascii="Times New Roman" w:hAnsi="Times New Roman" w:cs="Times New Roman"/>
          <w:b/>
          <w:bCs/>
          <w:color w:val="auto"/>
        </w:rPr>
      </w:pPr>
    </w:p>
    <w:p w:rsidR="00CB3898" w:rsidRPr="00307988" w:rsidP="00307988" w14:paraId="7A94708D" w14:textId="77777777">
      <w:pPr>
        <w:pStyle w:val="Default"/>
        <w:widowControl/>
        <w:numPr>
          <w:ilvl w:val="0"/>
          <w:numId w:val="10"/>
        </w:numPr>
        <w:tabs>
          <w:tab w:val="left" w:pos="720"/>
        </w:tabs>
        <w:ind w:left="360"/>
        <w:rPr>
          <w:rFonts w:ascii="Times New Roman" w:hAnsi="Times New Roman" w:cs="Times New Roman"/>
          <w:b/>
          <w:bCs/>
          <w:color w:val="auto"/>
        </w:rPr>
      </w:pPr>
      <w:r w:rsidRPr="00307988">
        <w:rPr>
          <w:rFonts w:ascii="Times New Roman" w:hAnsi="Times New Roman" w:cs="Times New Roman"/>
          <w:b/>
          <w:bCs/>
          <w:color w:val="auto"/>
        </w:rPr>
        <w:t>Requiring respondents to prepare a written response to a collection of information in fewer than 30 days after receipt of it;</w:t>
      </w:r>
    </w:p>
    <w:p w:rsidR="00CB3898" w:rsidRPr="00307988" w:rsidP="00307988" w14:paraId="2BAEC2E4" w14:textId="77777777">
      <w:pPr>
        <w:pStyle w:val="Default"/>
        <w:widowControl/>
        <w:tabs>
          <w:tab w:val="left" w:pos="720"/>
        </w:tabs>
        <w:ind w:left="360"/>
        <w:rPr>
          <w:rFonts w:ascii="Times New Roman" w:hAnsi="Times New Roman" w:cs="Times New Roman"/>
          <w:b/>
          <w:bCs/>
          <w:color w:val="auto"/>
        </w:rPr>
      </w:pPr>
    </w:p>
    <w:p w:rsidR="00CB3898" w:rsidRPr="00307988" w:rsidP="00307988" w14:paraId="6A776D6E" w14:textId="77777777">
      <w:pPr>
        <w:pStyle w:val="Default"/>
        <w:widowControl/>
        <w:numPr>
          <w:ilvl w:val="0"/>
          <w:numId w:val="10"/>
        </w:numPr>
        <w:tabs>
          <w:tab w:val="left" w:pos="720"/>
        </w:tabs>
        <w:ind w:left="360"/>
        <w:rPr>
          <w:rFonts w:ascii="Times New Roman" w:hAnsi="Times New Roman" w:cs="Times New Roman"/>
          <w:b/>
          <w:bCs/>
          <w:color w:val="auto"/>
        </w:rPr>
      </w:pPr>
      <w:r w:rsidRPr="00307988">
        <w:rPr>
          <w:rFonts w:ascii="Times New Roman" w:hAnsi="Times New Roman" w:cs="Times New Roman"/>
          <w:b/>
          <w:bCs/>
          <w:color w:val="auto"/>
        </w:rPr>
        <w:t>Requiring respondents to submit more than an original and two copies of any document;</w:t>
      </w:r>
    </w:p>
    <w:p w:rsidR="00CB3898" w:rsidRPr="00307988" w:rsidP="00307988" w14:paraId="02AE158B" w14:textId="77777777">
      <w:pPr>
        <w:pStyle w:val="Default"/>
        <w:widowControl/>
        <w:tabs>
          <w:tab w:val="left" w:pos="720"/>
        </w:tabs>
        <w:ind w:left="360"/>
        <w:rPr>
          <w:rFonts w:ascii="Times New Roman" w:hAnsi="Times New Roman" w:cs="Times New Roman"/>
          <w:b/>
          <w:bCs/>
          <w:color w:val="auto"/>
        </w:rPr>
      </w:pPr>
    </w:p>
    <w:p w:rsidR="00CB3898" w:rsidRPr="00307988" w:rsidP="00307988" w14:paraId="6B7D1D48" w14:textId="77777777">
      <w:pPr>
        <w:pStyle w:val="Default"/>
        <w:widowControl/>
        <w:numPr>
          <w:ilvl w:val="0"/>
          <w:numId w:val="10"/>
        </w:numPr>
        <w:tabs>
          <w:tab w:val="left" w:pos="720"/>
        </w:tabs>
        <w:ind w:left="360"/>
        <w:rPr>
          <w:rFonts w:ascii="Times New Roman" w:hAnsi="Times New Roman" w:cs="Times New Roman"/>
          <w:b/>
          <w:bCs/>
          <w:color w:val="auto"/>
        </w:rPr>
      </w:pPr>
      <w:r w:rsidRPr="00307988">
        <w:rPr>
          <w:rFonts w:ascii="Times New Roman" w:hAnsi="Times New Roman" w:cs="Times New Roman"/>
          <w:b/>
          <w:bCs/>
          <w:color w:val="auto"/>
        </w:rPr>
        <w:t>Requiring respondents to retain records, other than health, medical, government contract, grant-in-aid, or tax records for more than three years;</w:t>
      </w:r>
    </w:p>
    <w:p w:rsidR="00CB3898" w:rsidRPr="00307988" w:rsidP="00307988" w14:paraId="39D93E4F" w14:textId="77777777">
      <w:pPr>
        <w:pStyle w:val="Default"/>
        <w:widowControl/>
        <w:tabs>
          <w:tab w:val="left" w:pos="720"/>
        </w:tabs>
        <w:ind w:left="360"/>
        <w:rPr>
          <w:rFonts w:ascii="Times New Roman" w:hAnsi="Times New Roman" w:cs="Times New Roman"/>
          <w:b/>
          <w:bCs/>
          <w:color w:val="auto"/>
        </w:rPr>
      </w:pPr>
    </w:p>
    <w:p w:rsidR="00CB3898" w:rsidRPr="00307988" w:rsidP="00307988" w14:paraId="5E381D83" w14:textId="77777777">
      <w:pPr>
        <w:pStyle w:val="Default"/>
        <w:widowControl/>
        <w:numPr>
          <w:ilvl w:val="0"/>
          <w:numId w:val="10"/>
        </w:numPr>
        <w:tabs>
          <w:tab w:val="left" w:pos="720"/>
        </w:tabs>
        <w:ind w:left="360"/>
        <w:rPr>
          <w:rFonts w:ascii="Times New Roman" w:hAnsi="Times New Roman" w:cs="Times New Roman"/>
          <w:b/>
          <w:bCs/>
          <w:color w:val="auto"/>
        </w:rPr>
      </w:pPr>
      <w:r w:rsidRPr="00307988">
        <w:rPr>
          <w:rFonts w:ascii="Times New Roman" w:hAnsi="Times New Roman" w:cs="Times New Roman"/>
          <w:b/>
          <w:bCs/>
          <w:color w:val="auto"/>
        </w:rPr>
        <w:t>In connection with a statistical survey, that is not designed to produce valid and reliable results that can be generalized to the universe of study;</w:t>
      </w:r>
    </w:p>
    <w:p w:rsidR="00CB3898" w:rsidRPr="00307988" w:rsidP="00307988" w14:paraId="29D10900" w14:textId="77777777">
      <w:pPr>
        <w:pStyle w:val="Default"/>
        <w:widowControl/>
        <w:tabs>
          <w:tab w:val="left" w:pos="720"/>
        </w:tabs>
        <w:ind w:left="360"/>
        <w:rPr>
          <w:rFonts w:ascii="Times New Roman" w:hAnsi="Times New Roman" w:cs="Times New Roman"/>
          <w:b/>
          <w:bCs/>
          <w:color w:val="auto"/>
        </w:rPr>
      </w:pPr>
    </w:p>
    <w:p w:rsidR="00CB3898" w:rsidRPr="00307988" w:rsidP="00307988" w14:paraId="535319BE" w14:textId="77777777">
      <w:pPr>
        <w:pStyle w:val="Default"/>
        <w:widowControl/>
        <w:numPr>
          <w:ilvl w:val="0"/>
          <w:numId w:val="10"/>
        </w:numPr>
        <w:tabs>
          <w:tab w:val="left" w:pos="720"/>
        </w:tabs>
        <w:ind w:left="360"/>
        <w:rPr>
          <w:rFonts w:ascii="Times New Roman" w:hAnsi="Times New Roman" w:cs="Times New Roman"/>
          <w:b/>
          <w:bCs/>
          <w:color w:val="auto"/>
        </w:rPr>
      </w:pPr>
      <w:r w:rsidRPr="00307988">
        <w:rPr>
          <w:rFonts w:ascii="Times New Roman" w:hAnsi="Times New Roman" w:cs="Times New Roman"/>
          <w:b/>
          <w:bCs/>
          <w:color w:val="auto"/>
        </w:rPr>
        <w:t>Requiring the use of a statistical data classification that has not been reviewed and approved by OMB;</w:t>
      </w:r>
    </w:p>
    <w:p w:rsidR="00CB3898" w:rsidRPr="00307988" w:rsidP="00307988" w14:paraId="360F7893" w14:textId="77777777">
      <w:pPr>
        <w:pStyle w:val="Default"/>
        <w:widowControl/>
        <w:tabs>
          <w:tab w:val="left" w:pos="720"/>
        </w:tabs>
        <w:ind w:left="360"/>
        <w:rPr>
          <w:rFonts w:ascii="Times New Roman" w:hAnsi="Times New Roman" w:cs="Times New Roman"/>
          <w:b/>
          <w:bCs/>
          <w:color w:val="auto"/>
        </w:rPr>
      </w:pPr>
    </w:p>
    <w:p w:rsidR="00CB3898" w:rsidRPr="00307988" w:rsidP="00307988" w14:paraId="0A915E1F" w14:textId="77777777">
      <w:pPr>
        <w:pStyle w:val="Default"/>
        <w:widowControl/>
        <w:numPr>
          <w:ilvl w:val="0"/>
          <w:numId w:val="10"/>
        </w:numPr>
        <w:tabs>
          <w:tab w:val="left" w:pos="720"/>
        </w:tabs>
        <w:ind w:left="360"/>
        <w:rPr>
          <w:rFonts w:ascii="Times New Roman" w:hAnsi="Times New Roman" w:cs="Times New Roman"/>
          <w:b/>
          <w:bCs/>
          <w:color w:val="auto"/>
        </w:rPr>
      </w:pPr>
      <w:r w:rsidRPr="00307988">
        <w:rPr>
          <w:rFonts w:ascii="Times New Roman" w:hAnsi="Times New Roman" w:cs="Times New Roman"/>
          <w:b/>
          <w:bCs/>
          <w:color w:val="auto"/>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CB3898" w:rsidRPr="00307988" w:rsidP="00307988" w14:paraId="05D48004" w14:textId="77777777">
      <w:pPr>
        <w:pStyle w:val="Default"/>
        <w:widowControl/>
        <w:tabs>
          <w:tab w:val="left" w:pos="720"/>
        </w:tabs>
        <w:ind w:left="360"/>
        <w:rPr>
          <w:rFonts w:ascii="Times New Roman" w:hAnsi="Times New Roman" w:cs="Times New Roman"/>
          <w:color w:val="auto"/>
        </w:rPr>
      </w:pPr>
    </w:p>
    <w:p w:rsidR="00CB3898" w:rsidRPr="00307988" w:rsidP="00307988" w14:paraId="443FC822" w14:textId="77777777">
      <w:pPr>
        <w:pStyle w:val="Default"/>
        <w:widowControl/>
        <w:numPr>
          <w:ilvl w:val="0"/>
          <w:numId w:val="10"/>
        </w:numPr>
        <w:tabs>
          <w:tab w:val="left" w:pos="720"/>
        </w:tabs>
        <w:ind w:left="360"/>
        <w:rPr>
          <w:rFonts w:ascii="Times New Roman" w:hAnsi="Times New Roman" w:cs="Times New Roman"/>
          <w:color w:val="auto"/>
        </w:rPr>
      </w:pPr>
      <w:r w:rsidRPr="00307988">
        <w:rPr>
          <w:rFonts w:ascii="Times New Roman" w:hAnsi="Times New Roman" w:cs="Times New Roman"/>
          <w:b/>
          <w:bCs/>
          <w:color w:val="auto"/>
        </w:rPr>
        <w:t>Requiring respondents to submit proprietary trade secret, or other confidential information unless the agency can demonstrate that it has instituted procedures to protect the information's confidentiality to the extent permitted by law.</w:t>
      </w:r>
    </w:p>
    <w:p w:rsidR="00CB3898" w:rsidRPr="00307988" w:rsidP="00307988" w14:paraId="01316DB1" w14:textId="77777777">
      <w:pPr>
        <w:rPr>
          <w:b/>
          <w:bCs/>
          <w:color w:val="000000"/>
        </w:rPr>
      </w:pPr>
    </w:p>
    <w:p w:rsidR="00337135" w:rsidRPr="00307988" w:rsidP="00307988" w14:paraId="1812B0F0" w14:textId="15F9E166">
      <w:pPr>
        <w:pStyle w:val="Default"/>
        <w:keepNext/>
        <w:widowControl/>
        <w:rPr>
          <w:rFonts w:ascii="Times New Roman" w:hAnsi="Times New Roman" w:cs="Times New Roman"/>
          <w:color w:val="auto"/>
        </w:rPr>
      </w:pPr>
      <w:r w:rsidRPr="00307988">
        <w:rPr>
          <w:rFonts w:ascii="Times New Roman" w:hAnsi="Times New Roman" w:cs="Times New Roman"/>
          <w:color w:val="auto"/>
        </w:rPr>
        <w:t xml:space="preserve">This collection of information is consistent with the guidelines in </w:t>
      </w:r>
      <w:r w:rsidRPr="00307988" w:rsidR="00EB338F">
        <w:rPr>
          <w:rFonts w:ascii="Times New Roman" w:hAnsi="Times New Roman" w:cs="Times New Roman"/>
          <w:color w:val="auto"/>
        </w:rPr>
        <w:t>5 CFR 1320.5</w:t>
      </w:r>
      <w:r w:rsidRPr="00307988">
        <w:rPr>
          <w:rFonts w:ascii="Times New Roman" w:hAnsi="Times New Roman" w:cs="Times New Roman"/>
          <w:color w:val="auto"/>
        </w:rPr>
        <w:t>.</w:t>
      </w:r>
    </w:p>
    <w:p w:rsidR="00A663DB" w:rsidRPr="00307988" w:rsidP="00307988" w14:paraId="0E3CEBFF" w14:textId="77777777">
      <w:pPr>
        <w:pStyle w:val="Default"/>
        <w:keepNext/>
        <w:widowControl/>
        <w:rPr>
          <w:rFonts w:ascii="Times New Roman" w:hAnsi="Times New Roman" w:cs="Times New Roman"/>
          <w:color w:val="auto"/>
        </w:rPr>
      </w:pPr>
    </w:p>
    <w:p w:rsidR="00CB3898" w:rsidRPr="00307988" w:rsidP="00307988" w14:paraId="69FD13C8" w14:textId="383A1C94">
      <w:pPr>
        <w:pStyle w:val="Default"/>
        <w:keepNext/>
        <w:widowControl/>
        <w:rPr>
          <w:rFonts w:ascii="Times New Roman" w:hAnsi="Times New Roman" w:cs="Times New Roman"/>
          <w:b/>
          <w:bCs/>
        </w:rPr>
      </w:pPr>
      <w:r w:rsidRPr="00307988">
        <w:rPr>
          <w:rFonts w:ascii="Times New Roman" w:hAnsi="Times New Roman" w:cs="Times New Roman"/>
          <w:b/>
          <w:bCs/>
          <w:color w:val="auto"/>
        </w:rPr>
        <w:t>8. I</w:t>
      </w:r>
      <w:r w:rsidRPr="00307988">
        <w:rPr>
          <w:rFonts w:ascii="Times New Roman" w:hAnsi="Times New Roman" w:cs="Times New Roman"/>
          <w:b/>
          <w:bCs/>
        </w:rPr>
        <w:t xml:space="preserve">f applicable, provide a copy and identify the date and page number of </w:t>
      </w:r>
      <w:r w:rsidRPr="00307988" w:rsidR="00985257">
        <w:rPr>
          <w:rFonts w:ascii="Times New Roman" w:hAnsi="Times New Roman" w:cs="Times New Roman"/>
          <w:b/>
          <w:bCs/>
        </w:rPr>
        <w:t xml:space="preserve">the </w:t>
      </w:r>
      <w:r w:rsidRPr="00307988">
        <w:rPr>
          <w:rFonts w:ascii="Times New Roman" w:hAnsi="Times New Roman" w:cs="Times New Roman"/>
          <w:b/>
          <w:bCs/>
        </w:rPr>
        <w:t xml:space="preserve">publication in the </w:t>
      </w:r>
      <w:r w:rsidRPr="00307988">
        <w:rPr>
          <w:rFonts w:ascii="Times New Roman" w:hAnsi="Times New Roman" w:cs="Times New Roman"/>
          <w:b/>
          <w:bCs/>
          <w:i/>
        </w:rPr>
        <w:t>Federal Register</w:t>
      </w:r>
      <w:r w:rsidRPr="00307988">
        <w:rPr>
          <w:rFonts w:ascii="Times New Roman" w:hAnsi="Times New Roman" w:cs="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CB3898" w:rsidRPr="00307988" w:rsidP="00307988" w14:paraId="2CECD692" w14:textId="77777777">
      <w:pPr>
        <w:pStyle w:val="Default"/>
        <w:keepNext/>
        <w:tabs>
          <w:tab w:val="left" w:pos="720"/>
        </w:tabs>
        <w:ind w:hanging="360"/>
        <w:rPr>
          <w:rFonts w:ascii="Times New Roman" w:hAnsi="Times New Roman" w:cs="Times New Roman"/>
          <w:b/>
          <w:bCs/>
        </w:rPr>
      </w:pPr>
    </w:p>
    <w:p w:rsidR="00CB3898" w:rsidRPr="00307988" w:rsidP="00307988" w14:paraId="14F05CA2" w14:textId="77777777">
      <w:pPr>
        <w:pStyle w:val="Default"/>
        <w:keepNext/>
        <w:tabs>
          <w:tab w:val="left" w:pos="720"/>
        </w:tabs>
        <w:rPr>
          <w:rFonts w:ascii="Times New Roman" w:hAnsi="Times New Roman" w:cs="Times New Roman"/>
          <w:b/>
          <w:bCs/>
        </w:rPr>
      </w:pPr>
      <w:r w:rsidRPr="00307988">
        <w:rPr>
          <w:rFonts w:ascii="Times New Roman" w:hAnsi="Times New Roman" w:cs="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B3898" w:rsidRPr="00307988" w:rsidP="00307988" w14:paraId="641E722A" w14:textId="77777777">
      <w:pPr>
        <w:pStyle w:val="Default"/>
        <w:keepNext/>
        <w:tabs>
          <w:tab w:val="left" w:pos="720"/>
        </w:tabs>
        <w:ind w:hanging="360"/>
        <w:rPr>
          <w:rFonts w:ascii="Times New Roman" w:hAnsi="Times New Roman" w:cs="Times New Roman"/>
          <w:b/>
          <w:bCs/>
        </w:rPr>
      </w:pPr>
    </w:p>
    <w:p w:rsidR="00CB3898" w:rsidRPr="00307988" w:rsidP="00307988" w14:paraId="7F0EA1C0" w14:textId="77777777">
      <w:pPr>
        <w:pStyle w:val="Default"/>
        <w:keepNext/>
        <w:tabs>
          <w:tab w:val="left" w:pos="720"/>
        </w:tabs>
        <w:rPr>
          <w:rFonts w:ascii="Times New Roman" w:hAnsi="Times New Roman" w:cs="Times New Roman"/>
          <w:b/>
          <w:bCs/>
        </w:rPr>
      </w:pPr>
      <w:r w:rsidRPr="00307988">
        <w:rPr>
          <w:rFonts w:ascii="Times New Roman" w:hAnsi="Times New Roman" w:cs="Times New Roman"/>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CB3898" w:rsidRPr="00307988" w:rsidP="00307988" w14:paraId="03F0FACA" w14:textId="77777777">
      <w:pPr>
        <w:rPr>
          <w:b/>
          <w:bCs/>
          <w:color w:val="000000"/>
        </w:rPr>
      </w:pPr>
    </w:p>
    <w:p w:rsidR="007A6FD8" w:rsidRPr="00307988" w:rsidP="00307988" w14:paraId="6531B369" w14:textId="2F87A272">
      <w:pPr>
        <w:rPr>
          <w:color w:val="000000"/>
        </w:rPr>
      </w:pPr>
      <w:bookmarkStart w:id="14" w:name="_Hlk165286212"/>
      <w:r w:rsidRPr="00307988">
        <w:rPr>
          <w:color w:val="000000"/>
        </w:rPr>
        <w:t xml:space="preserve">In accordance with 5 CFR 1320.8(d), MSHA will publish the proposed information collection requirements in the </w:t>
      </w:r>
      <w:r w:rsidRPr="00307988">
        <w:rPr>
          <w:i/>
          <w:iCs/>
          <w:color w:val="000000"/>
        </w:rPr>
        <w:t>Federal Register</w:t>
      </w:r>
      <w:r w:rsidRPr="00307988">
        <w:rPr>
          <w:color w:val="000000"/>
        </w:rPr>
        <w:t xml:space="preserve">, notify the public that these information collection requirements are being reviewed in accordance with the </w:t>
      </w:r>
      <w:r w:rsidR="008C1DCB">
        <w:rPr>
          <w:color w:val="000000"/>
        </w:rPr>
        <w:t>PRA</w:t>
      </w:r>
      <w:r w:rsidRPr="00307988">
        <w:rPr>
          <w:color w:val="000000"/>
        </w:rPr>
        <w:t>, and provid</w:t>
      </w:r>
      <w:r w:rsidR="00307988">
        <w:rPr>
          <w:color w:val="000000"/>
        </w:rPr>
        <w:t>e</w:t>
      </w:r>
      <w:r w:rsidRPr="00307988">
        <w:rPr>
          <w:color w:val="000000"/>
        </w:rPr>
        <w:t xml:space="preserve"> 60 days for the public to submit comments.</w:t>
      </w:r>
      <w:r w:rsidR="001E10C1">
        <w:rPr>
          <w:color w:val="000000"/>
        </w:rPr>
        <w:t xml:space="preserve"> </w:t>
      </w:r>
      <w:r w:rsidRPr="001E10C1" w:rsidR="001E10C1">
        <w:rPr>
          <w:color w:val="000000"/>
        </w:rPr>
        <w:t>MSHA published a 60-day Federal Register notice on July 3, 2025 (90 FR 29575</w:t>
      </w:r>
      <w:r w:rsidR="001E10C1">
        <w:rPr>
          <w:color w:val="000000"/>
        </w:rPr>
        <w:t>).</w:t>
      </w:r>
      <w:r w:rsidR="00B8240C">
        <w:rPr>
          <w:color w:val="000000"/>
        </w:rPr>
        <w:t xml:space="preserve"> MSHA received no comments.</w:t>
      </w:r>
    </w:p>
    <w:bookmarkEnd w:id="14"/>
    <w:p w:rsidR="00C73040" w:rsidRPr="00307988" w:rsidP="00307988" w14:paraId="724A9986" w14:textId="77777777">
      <w:pPr>
        <w:rPr>
          <w:b/>
          <w:bCs/>
          <w:color w:val="000000"/>
        </w:rPr>
      </w:pPr>
    </w:p>
    <w:p w:rsidR="00CB3898" w:rsidRPr="00307988" w:rsidP="00307988" w14:paraId="0473FBF4" w14:textId="77777777">
      <w:pPr>
        <w:pStyle w:val="Default"/>
        <w:keepNext/>
        <w:widowControl/>
        <w:rPr>
          <w:rFonts w:ascii="Times New Roman" w:hAnsi="Times New Roman" w:cs="Times New Roman"/>
          <w:color w:val="auto"/>
        </w:rPr>
      </w:pPr>
      <w:r w:rsidRPr="00307988">
        <w:rPr>
          <w:rFonts w:ascii="Times New Roman" w:hAnsi="Times New Roman" w:cs="Times New Roman"/>
          <w:b/>
          <w:bCs/>
          <w:color w:val="auto"/>
        </w:rPr>
        <w:t>9. Explain any decision to provide any payments or gifts to respondents, other than remuneration of contractors or grantees.</w:t>
      </w:r>
    </w:p>
    <w:p w:rsidR="00CB3898" w:rsidRPr="00307988" w:rsidP="00307988" w14:paraId="70958373" w14:textId="77777777">
      <w:pPr>
        <w:pStyle w:val="Default"/>
        <w:keepNext/>
        <w:widowControl/>
        <w:tabs>
          <w:tab w:val="left" w:pos="720"/>
        </w:tabs>
        <w:rPr>
          <w:rFonts w:ascii="Times New Roman" w:hAnsi="Times New Roman" w:cs="Times New Roman"/>
          <w:color w:val="auto"/>
        </w:rPr>
      </w:pPr>
    </w:p>
    <w:p w:rsidR="00CB3898" w:rsidRPr="00307988" w:rsidP="00307988" w14:paraId="32E0BB61" w14:textId="77777777">
      <w:pPr>
        <w:pStyle w:val="Default"/>
        <w:widowControl/>
        <w:tabs>
          <w:tab w:val="left" w:pos="720"/>
        </w:tabs>
        <w:rPr>
          <w:rFonts w:ascii="Times New Roman" w:hAnsi="Times New Roman" w:cs="Times New Roman"/>
          <w:color w:val="auto"/>
        </w:rPr>
      </w:pPr>
      <w:r w:rsidRPr="00307988">
        <w:rPr>
          <w:rFonts w:ascii="Times New Roman" w:hAnsi="Times New Roman" w:cs="Times New Roman"/>
          <w:color w:val="auto"/>
        </w:rPr>
        <w:t>MSHA does not provide payment or gifts to respondents.</w:t>
      </w:r>
    </w:p>
    <w:p w:rsidR="00CB3898" w:rsidRPr="00307988" w:rsidP="00307988" w14:paraId="1CB014CE" w14:textId="77777777">
      <w:pPr>
        <w:rPr>
          <w:b/>
          <w:bCs/>
          <w:color w:val="000000"/>
        </w:rPr>
      </w:pPr>
    </w:p>
    <w:p w:rsidR="00CB3898" w:rsidRPr="00307988" w:rsidP="00307988" w14:paraId="45EC017F" w14:textId="77777777">
      <w:pPr>
        <w:pStyle w:val="Default"/>
        <w:keepNext/>
        <w:widowControl/>
        <w:rPr>
          <w:rFonts w:ascii="Times New Roman" w:hAnsi="Times New Roman" w:cs="Times New Roman"/>
          <w:b/>
          <w:bCs/>
          <w:color w:val="auto"/>
        </w:rPr>
      </w:pPr>
      <w:r w:rsidRPr="00307988">
        <w:rPr>
          <w:rFonts w:ascii="Times New Roman" w:hAnsi="Times New Roman" w:cs="Times New Roman"/>
          <w:b/>
          <w:bCs/>
          <w:color w:val="auto"/>
        </w:rPr>
        <w:t>10. Describe any assurance of confidentiality provided to respondents and the basis for the assurance in statute, regulation, or agency policy.</w:t>
      </w:r>
    </w:p>
    <w:p w:rsidR="00C33930" w:rsidRPr="00307988" w:rsidP="00307988" w14:paraId="0A5414E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C0294" w:rsidRPr="00307988" w:rsidP="00307988" w14:paraId="2F9B2DD5" w14:textId="65F72B5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07988">
        <w:t>There is no assurance of confidentiality provided to respondents.</w:t>
      </w:r>
      <w:r w:rsidRPr="00307988" w:rsidR="007E35A8">
        <w:t xml:space="preserve"> </w:t>
      </w:r>
    </w:p>
    <w:p w:rsidR="000E39D5" w:rsidRPr="00307988" w:rsidP="00307988" w14:paraId="28DFCBC7" w14:textId="77777777">
      <w:pPr>
        <w:pStyle w:val="Default"/>
        <w:keepNext/>
        <w:widowControl/>
        <w:rPr>
          <w:rFonts w:ascii="Times New Roman" w:hAnsi="Times New Roman" w:cs="Times New Roman"/>
          <w:b/>
          <w:bCs/>
          <w:color w:val="auto"/>
        </w:rPr>
      </w:pPr>
    </w:p>
    <w:p w:rsidR="00CB3898" w:rsidRPr="00307988" w:rsidP="00307988" w14:paraId="19B20D5D" w14:textId="2683C9C2">
      <w:pPr>
        <w:pStyle w:val="Default"/>
        <w:keepNext/>
        <w:widowControl/>
        <w:rPr>
          <w:rFonts w:ascii="Times New Roman" w:hAnsi="Times New Roman" w:cs="Times New Roman"/>
          <w:color w:val="auto"/>
        </w:rPr>
      </w:pPr>
      <w:r w:rsidRPr="00307988">
        <w:rPr>
          <w:rFonts w:ascii="Times New Roman" w:hAnsi="Times New Roman" w:cs="Times New Roman"/>
          <w:b/>
          <w:bCs/>
          <w:color w:val="auto"/>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B3898" w:rsidRPr="00307988" w:rsidP="00307988" w14:paraId="0E3FE669" w14:textId="77777777">
      <w:pPr>
        <w:rPr>
          <w:b/>
          <w:bCs/>
          <w:color w:val="000000"/>
        </w:rPr>
      </w:pPr>
    </w:p>
    <w:p w:rsidR="00CB3898" w:rsidRPr="00307988" w:rsidP="00307988" w14:paraId="5D221538" w14:textId="28A3D02E">
      <w:pPr>
        <w:rPr>
          <w:color w:val="000000"/>
        </w:rPr>
      </w:pPr>
      <w:r w:rsidRPr="00307988">
        <w:rPr>
          <w:color w:val="000000"/>
        </w:rPr>
        <w:t>There are no questions of a sensitive nature.</w:t>
      </w:r>
    </w:p>
    <w:p w:rsidR="00CB3898" w:rsidRPr="00307988" w:rsidP="00307988" w14:paraId="45ED85A8" w14:textId="77777777">
      <w:pPr>
        <w:rPr>
          <w:b/>
          <w:bCs/>
          <w:color w:val="000000"/>
        </w:rPr>
      </w:pPr>
    </w:p>
    <w:p w:rsidR="008F7DDE" w:rsidRPr="00307988" w:rsidP="00307988" w14:paraId="4D2FF76B" w14:textId="00EA6A6D">
      <w:pPr>
        <w:rPr>
          <w:b/>
          <w:bCs/>
          <w:color w:val="000000"/>
        </w:rPr>
      </w:pPr>
      <w:r w:rsidRPr="00307988">
        <w:rPr>
          <w:b/>
          <w:bCs/>
          <w:color w:val="000000"/>
        </w:rPr>
        <w:t>12.</w:t>
      </w:r>
      <w:r w:rsidRPr="00307988" w:rsidR="007E35A8">
        <w:rPr>
          <w:b/>
          <w:bCs/>
          <w:color w:val="000000"/>
        </w:rPr>
        <w:t xml:space="preserve"> </w:t>
      </w:r>
      <w:r w:rsidRPr="00307988">
        <w:rPr>
          <w:b/>
          <w:bCs/>
          <w:color w:val="000000"/>
        </w:rPr>
        <w:t>Provide estimates of the hour burden of the collection of information.</w:t>
      </w:r>
      <w:r w:rsidRPr="00307988" w:rsidR="007E35A8">
        <w:rPr>
          <w:b/>
          <w:bCs/>
          <w:color w:val="000000"/>
        </w:rPr>
        <w:t xml:space="preserve"> </w:t>
      </w:r>
      <w:r w:rsidRPr="00307988">
        <w:rPr>
          <w:b/>
          <w:bCs/>
          <w:color w:val="000000"/>
        </w:rPr>
        <w:t>The statement should:</w:t>
      </w:r>
    </w:p>
    <w:p w:rsidR="008F7DDE" w:rsidRPr="00307988" w:rsidP="00307988" w14:paraId="443392FF" w14:textId="77777777">
      <w:pPr>
        <w:rPr>
          <w:b/>
          <w:bCs/>
          <w:color w:val="000000"/>
        </w:rPr>
      </w:pPr>
    </w:p>
    <w:p w:rsidR="008F7DDE" w:rsidRPr="00307988" w:rsidP="00307988" w14:paraId="099B1349" w14:textId="190132F4">
      <w:pPr>
        <w:pStyle w:val="ListParagraph"/>
        <w:numPr>
          <w:ilvl w:val="0"/>
          <w:numId w:val="1"/>
        </w:numPr>
        <w:tabs>
          <w:tab w:val="left" w:pos="-1440"/>
        </w:tabs>
        <w:spacing w:after="0" w:line="240" w:lineRule="auto"/>
        <w:rPr>
          <w:rFonts w:ascii="Times New Roman" w:hAnsi="Times New Roman"/>
          <w:b/>
          <w:bCs/>
          <w:color w:val="000000"/>
          <w:sz w:val="24"/>
          <w:szCs w:val="24"/>
        </w:rPr>
      </w:pPr>
      <w:r w:rsidRPr="00307988">
        <w:rPr>
          <w:rFonts w:ascii="Times New Roman" w:hAnsi="Times New Roman"/>
          <w:b/>
          <w:bCs/>
          <w:color w:val="000000"/>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w:t>
      </w:r>
      <w:r w:rsidRPr="00307988" w:rsidR="007E35A8">
        <w:rPr>
          <w:rFonts w:ascii="Times New Roman" w:hAnsi="Times New Roman"/>
          <w:b/>
          <w:bCs/>
          <w:color w:val="000000"/>
          <w:sz w:val="24"/>
          <w:szCs w:val="24"/>
        </w:rPr>
        <w:t xml:space="preserve"> </w:t>
      </w:r>
      <w:r w:rsidRPr="00307988">
        <w:rPr>
          <w:rFonts w:ascii="Times New Roman" w:hAnsi="Times New Roman"/>
          <w:b/>
          <w:bCs/>
          <w:color w:val="000000"/>
          <w:sz w:val="24"/>
          <w:szCs w:val="24"/>
        </w:rPr>
        <w:t>Consultation with a sample (fewer than 10) of potential respondents is desirable.</w:t>
      </w:r>
      <w:r w:rsidRPr="00307988" w:rsidR="007E35A8">
        <w:rPr>
          <w:rFonts w:ascii="Times New Roman" w:hAnsi="Times New Roman"/>
          <w:b/>
          <w:bCs/>
          <w:color w:val="000000"/>
          <w:sz w:val="24"/>
          <w:szCs w:val="24"/>
        </w:rPr>
        <w:t xml:space="preserve"> </w:t>
      </w:r>
      <w:r w:rsidRPr="00307988">
        <w:rPr>
          <w:rFonts w:ascii="Times New Roman" w:hAnsi="Times New Roman"/>
          <w:b/>
          <w:bCs/>
          <w:color w:val="000000"/>
          <w:sz w:val="24"/>
          <w:szCs w:val="24"/>
        </w:rPr>
        <w:t>If the hour burden on respondents is expected to vary widely because of differences in activity, size, or complexity, show the range of estimated hour burden, and explain the reasons for the variance.</w:t>
      </w:r>
      <w:r w:rsidRPr="00307988" w:rsidR="007E35A8">
        <w:rPr>
          <w:rFonts w:ascii="Times New Roman" w:hAnsi="Times New Roman"/>
          <w:b/>
          <w:bCs/>
          <w:color w:val="000000"/>
          <w:sz w:val="24"/>
          <w:szCs w:val="24"/>
        </w:rPr>
        <w:t xml:space="preserve"> </w:t>
      </w:r>
      <w:r w:rsidRPr="00307988">
        <w:rPr>
          <w:rFonts w:ascii="Times New Roman" w:hAnsi="Times New Roman"/>
          <w:b/>
          <w:bCs/>
          <w:color w:val="000000"/>
          <w:sz w:val="24"/>
          <w:szCs w:val="24"/>
        </w:rPr>
        <w:t xml:space="preserve">Generally, estimates should not include burden hours for customary and usual business practices. </w:t>
      </w:r>
    </w:p>
    <w:p w:rsidR="008F7DDE" w:rsidRPr="00307988" w:rsidP="00307988" w14:paraId="1D3F9869" w14:textId="77777777">
      <w:pPr>
        <w:pStyle w:val="ListParagraph"/>
        <w:numPr>
          <w:ilvl w:val="0"/>
          <w:numId w:val="1"/>
        </w:numPr>
        <w:tabs>
          <w:tab w:val="left" w:pos="-1440"/>
        </w:tabs>
        <w:spacing w:after="0" w:line="240" w:lineRule="auto"/>
        <w:rPr>
          <w:rFonts w:ascii="Times New Roman" w:hAnsi="Times New Roman"/>
          <w:b/>
          <w:bCs/>
          <w:color w:val="000000"/>
          <w:sz w:val="24"/>
          <w:szCs w:val="24"/>
        </w:rPr>
      </w:pPr>
      <w:r w:rsidRPr="00307988">
        <w:rPr>
          <w:rFonts w:ascii="Times New Roman" w:hAnsi="Times New Roman"/>
          <w:b/>
          <w:bCs/>
          <w:color w:val="000000"/>
          <w:sz w:val="24"/>
          <w:szCs w:val="24"/>
        </w:rPr>
        <w:t>If this request for approval covers more than one form, provide separate hour burden estimates for each form and aggregate the hour burdens.</w:t>
      </w:r>
    </w:p>
    <w:p w:rsidR="008F7DDE" w:rsidRPr="00307988" w:rsidP="00307988" w14:paraId="2BC6B329" w14:textId="20AC66C2">
      <w:pPr>
        <w:pStyle w:val="ListParagraph"/>
        <w:numPr>
          <w:ilvl w:val="0"/>
          <w:numId w:val="1"/>
        </w:numPr>
        <w:tabs>
          <w:tab w:val="left" w:pos="-1440"/>
        </w:tabs>
        <w:spacing w:after="0" w:line="240" w:lineRule="auto"/>
        <w:rPr>
          <w:rFonts w:ascii="Times New Roman" w:hAnsi="Times New Roman"/>
          <w:b/>
          <w:bCs/>
          <w:color w:val="000000"/>
          <w:sz w:val="24"/>
          <w:szCs w:val="24"/>
        </w:rPr>
      </w:pPr>
      <w:r w:rsidRPr="00307988">
        <w:rPr>
          <w:rFonts w:ascii="Times New Roman" w:hAnsi="Times New Roman"/>
          <w:b/>
          <w:bCs/>
          <w:color w:val="000000"/>
          <w:sz w:val="24"/>
          <w:szCs w:val="24"/>
        </w:rPr>
        <w:t>Provide estimates of annualized cost to respondents for the hour burdens for collections of information, identifying and using appropriate wage rate categories.</w:t>
      </w:r>
      <w:r w:rsidRPr="00307988" w:rsidR="007E35A8">
        <w:rPr>
          <w:rFonts w:ascii="Times New Roman" w:hAnsi="Times New Roman"/>
          <w:b/>
          <w:bCs/>
          <w:color w:val="000000"/>
          <w:sz w:val="24"/>
          <w:szCs w:val="24"/>
        </w:rPr>
        <w:t xml:space="preserve"> </w:t>
      </w:r>
      <w:r w:rsidRPr="00307988">
        <w:rPr>
          <w:rFonts w:ascii="Times New Roman" w:hAnsi="Times New Roman"/>
          <w:b/>
          <w:bCs/>
          <w:color w:val="000000"/>
          <w:sz w:val="24"/>
          <w:szCs w:val="24"/>
        </w:rPr>
        <w:t>The cost of contracting out or paying outside parties for information collection activities should not be included here.</w:t>
      </w:r>
      <w:r w:rsidRPr="00307988" w:rsidR="007E35A8">
        <w:rPr>
          <w:rFonts w:ascii="Times New Roman" w:hAnsi="Times New Roman"/>
          <w:b/>
          <w:bCs/>
          <w:color w:val="000000"/>
          <w:sz w:val="24"/>
          <w:szCs w:val="24"/>
        </w:rPr>
        <w:t xml:space="preserve"> </w:t>
      </w:r>
      <w:r w:rsidRPr="00307988">
        <w:rPr>
          <w:rFonts w:ascii="Times New Roman" w:hAnsi="Times New Roman"/>
          <w:b/>
          <w:bCs/>
          <w:color w:val="000000"/>
          <w:sz w:val="24"/>
          <w:szCs w:val="24"/>
        </w:rPr>
        <w:t>Instead, this cost should be included under ‘Annual Cost to Federal Government’.</w:t>
      </w:r>
    </w:p>
    <w:p w:rsidR="00013AE9" w:rsidRPr="00307988" w:rsidP="00307988" w14:paraId="26F54DD5" w14:textId="77777777"/>
    <w:p w:rsidR="008F7DDE" w:rsidRPr="00307988" w:rsidP="00307988" w14:paraId="7315BACB" w14:textId="10EEE989">
      <w:pPr>
        <w:rPr>
          <w:b/>
          <w:bCs/>
          <w:iCs/>
        </w:rPr>
      </w:pPr>
      <w:r w:rsidRPr="00307988">
        <w:rPr>
          <w:b/>
          <w:bCs/>
          <w:iCs/>
        </w:rPr>
        <w:t>Respondents</w:t>
      </w:r>
    </w:p>
    <w:p w:rsidR="00F50585" w:rsidRPr="00307988" w:rsidP="00307988" w14:paraId="388A23E1" w14:textId="77777777">
      <w:pPr>
        <w:contextualSpacing/>
      </w:pPr>
      <w:bookmarkStart w:id="15" w:name="_Hlk171945184"/>
    </w:p>
    <w:p w:rsidR="00BF32A1" w:rsidRPr="00307988" w:rsidP="00307988" w14:paraId="1D935101" w14:textId="5808CF2C">
      <w:pPr>
        <w:contextualSpacing/>
      </w:pPr>
      <w:r w:rsidRPr="00307988">
        <w:t xml:space="preserve">In this section, an estimate is provided for the annual burden to </w:t>
      </w:r>
      <w:r w:rsidRPr="00307988" w:rsidR="00F465B4">
        <w:t>33 coal</w:t>
      </w:r>
      <w:r w:rsidRPr="00307988">
        <w:t xml:space="preserve"> mines </w:t>
      </w:r>
      <w:r w:rsidRPr="00307988" w:rsidR="00F465B4">
        <w:t>in 2024</w:t>
      </w:r>
      <w:r w:rsidRPr="00307988">
        <w:t xml:space="preserve">. </w:t>
      </w:r>
      <w:r w:rsidRPr="00307988">
        <w:t xml:space="preserve">All information related to quantities and inspection rates are estimated by MSHA’s Headquarters Enforcement Division based on field experience with different types of mining operations, sizes of mines, and the frequency of inspections dictated by statute. Mine operators provide MSHA Headquarters Enforcement Division the number of mines and employment, and from this information MSHA tracks the number of active and inactive mines and mine types throughout the United States. </w:t>
      </w:r>
      <w:bookmarkEnd w:id="15"/>
    </w:p>
    <w:p w:rsidR="00BF32A1" w:rsidRPr="00307988" w:rsidP="00307988" w14:paraId="37975514" w14:textId="77777777"/>
    <w:p w:rsidR="00F465B4" w:rsidRPr="00307988" w:rsidP="00307988" w14:paraId="134514B5" w14:textId="5FE21664">
      <w:pPr>
        <w:widowControl/>
        <w:autoSpaceDE/>
        <w:autoSpaceDN/>
        <w:adjustRightInd/>
        <w:rPr>
          <w:rFonts w:eastAsia="Calibri"/>
          <w:color w:val="000000"/>
          <w:szCs w:val="22"/>
          <w14:ligatures w14:val="standardContextual"/>
        </w:rPr>
      </w:pPr>
      <w:r w:rsidRPr="00307988">
        <w:rPr>
          <w:iCs/>
        </w:rPr>
        <w:t xml:space="preserve">Based on data provided by each MSHA local District Office, there were 33 coal mines in 2024 affected by this </w:t>
      </w:r>
      <w:r w:rsidRPr="00307988" w:rsidR="00D10ED9">
        <w:rPr>
          <w:iCs/>
        </w:rPr>
        <w:t>ICR</w:t>
      </w:r>
      <w:r w:rsidRPr="00307988">
        <w:rPr>
          <w:iCs/>
        </w:rPr>
        <w:t>.</w:t>
      </w:r>
    </w:p>
    <w:p w:rsidR="008F7DDE" w:rsidRPr="00307988" w:rsidP="00307988" w14:paraId="2D91560A" w14:textId="77777777">
      <w:pPr>
        <w:rPr>
          <w:iCs/>
        </w:rPr>
      </w:pPr>
    </w:p>
    <w:p w:rsidR="00B227F0" w:rsidRPr="00307988" w:rsidP="00307988" w14:paraId="73FF745E" w14:textId="77777777">
      <w:pPr>
        <w:rPr>
          <w:b/>
        </w:rPr>
      </w:pPr>
      <w:bookmarkStart w:id="16" w:name="_Hlk189055170"/>
      <w:r w:rsidRPr="00307988">
        <w:rPr>
          <w:b/>
        </w:rPr>
        <w:t>Wage Rates Determinations</w:t>
      </w:r>
      <w:r>
        <w:rPr>
          <w:rStyle w:val="FootnoteReference"/>
          <w:b/>
        </w:rPr>
        <w:footnoteReference w:id="3"/>
      </w:r>
    </w:p>
    <w:bookmarkEnd w:id="16"/>
    <w:p w:rsidR="00B227F0" w:rsidRPr="00307988" w:rsidP="00307988" w14:paraId="2A20346F" w14:textId="77777777"/>
    <w:p w:rsidR="008F7DDE" w:rsidRPr="00307988" w:rsidP="00307988" w14:paraId="095FE9F1" w14:textId="6AC393A5">
      <w:bookmarkStart w:id="19" w:name="_Hlk189054988"/>
      <w:r w:rsidRPr="00307988">
        <w:t>MSHA use</w:t>
      </w:r>
      <w:r w:rsidRPr="00307988" w:rsidR="004E6A42">
        <w:t>s</w:t>
      </w:r>
      <w:r w:rsidRPr="00307988">
        <w:t xml:space="preserve"> data from the May 202</w:t>
      </w:r>
      <w:r w:rsidRPr="00307988" w:rsidR="009A3438">
        <w:t>3</w:t>
      </w:r>
      <w:r w:rsidRPr="00307988">
        <w:t xml:space="preserve"> Occupational Employment and Wage Statistics (OEWS) </w:t>
      </w:r>
      <w:r w:rsidRPr="00307988">
        <w:t>published by the Bureau of Labor Statistics (BLS) for hourly wage rates</w:t>
      </w:r>
      <w:r>
        <w:rPr>
          <w:vertAlign w:val="superscript"/>
        </w:rPr>
        <w:footnoteReference w:id="4"/>
      </w:r>
      <w:r w:rsidRPr="00307988">
        <w:t xml:space="preserve"> and adjust</w:t>
      </w:r>
      <w:r w:rsidRPr="00307988" w:rsidR="00F74113">
        <w:t>s</w:t>
      </w:r>
      <w:r w:rsidRPr="00307988">
        <w:t xml:space="preserve"> the rates for</w:t>
      </w:r>
      <w:r w:rsidRPr="00307988" w:rsidR="009D1762">
        <w:t xml:space="preserve"> </w:t>
      </w:r>
      <w:r w:rsidRPr="00307988">
        <w:t>benefits</w:t>
      </w:r>
      <w:r w:rsidRPr="00307988" w:rsidR="00EC1441">
        <w:t>,</w:t>
      </w:r>
      <w:r>
        <w:rPr>
          <w:vertAlign w:val="superscript"/>
        </w:rPr>
        <w:footnoteReference w:id="5"/>
      </w:r>
      <w:r w:rsidRPr="00307988">
        <w:t xml:space="preserve"> wage inflation,</w:t>
      </w:r>
      <w:r>
        <w:rPr>
          <w:vertAlign w:val="superscript"/>
        </w:rPr>
        <w:footnoteReference w:id="6"/>
      </w:r>
      <w:r w:rsidRPr="00307988">
        <w:t xml:space="preserve"> </w:t>
      </w:r>
      <w:r w:rsidRPr="00307988" w:rsidR="008C0F50">
        <w:t>and overhead costs</w:t>
      </w:r>
      <w:r w:rsidRPr="00307988" w:rsidR="005D15DB">
        <w:t>.</w:t>
      </w:r>
      <w:r>
        <w:rPr>
          <w:rStyle w:val="FootnoteReference"/>
        </w:rPr>
        <w:footnoteReference w:id="7"/>
      </w:r>
      <w:r w:rsidRPr="00307988">
        <w:t xml:space="preserve"> The occupations listed below in Table 12-1 are those that were determined to be relevant for the cost calculations.</w:t>
      </w:r>
    </w:p>
    <w:bookmarkEnd w:id="19"/>
    <w:p w:rsidR="008F7DDE" w:rsidRPr="00307988" w:rsidP="00307988" w14:paraId="3F9E7700" w14:textId="77777777">
      <w:pPr>
        <w:rPr>
          <w:iCs/>
        </w:rPr>
      </w:pPr>
    </w:p>
    <w:p w:rsidR="008F7DDE" w:rsidRPr="00307988" w:rsidP="00307988" w14:paraId="27201460" w14:textId="308B3065">
      <w:pPr>
        <w:ind w:right="720"/>
        <w:rPr>
          <w:b/>
          <w:bCs/>
        </w:rPr>
      </w:pPr>
      <w:bookmarkStart w:id="21" w:name="_Hlk114568286"/>
      <w:r w:rsidRPr="00307988">
        <w:rPr>
          <w:b/>
          <w:bCs/>
          <w:iCs/>
        </w:rPr>
        <w:t>Table 12-1</w:t>
      </w:r>
      <w:r w:rsidRPr="00307988" w:rsidR="00B227F0">
        <w:rPr>
          <w:b/>
          <w:bCs/>
          <w:iCs/>
        </w:rPr>
        <w:t xml:space="preserve">. </w:t>
      </w:r>
      <w:r w:rsidRPr="00307988">
        <w:rPr>
          <w:b/>
          <w:bCs/>
          <w:iCs/>
        </w:rPr>
        <w:t>Hourly Wage Rates</w:t>
      </w:r>
    </w:p>
    <w:tbl>
      <w:tblPr>
        <w:tblStyle w:val="TableGrid"/>
        <w:tblW w:w="0" w:type="auto"/>
        <w:tblLook w:val="04A0"/>
      </w:tblPr>
      <w:tblGrid>
        <w:gridCol w:w="1567"/>
        <w:gridCol w:w="871"/>
        <w:gridCol w:w="1029"/>
        <w:gridCol w:w="1134"/>
        <w:gridCol w:w="1182"/>
        <w:gridCol w:w="1634"/>
        <w:gridCol w:w="1933"/>
      </w:tblGrid>
      <w:tr w14:paraId="079B285C" w14:textId="77777777" w:rsidTr="007628FE">
        <w:tblPrEx>
          <w:tblW w:w="0" w:type="auto"/>
          <w:tblLook w:val="04A0"/>
        </w:tblPrEx>
        <w:tc>
          <w:tcPr>
            <w:tcW w:w="1567" w:type="dxa"/>
            <w:shd w:val="clear" w:color="auto" w:fill="8EAADB" w:themeFill="accent1" w:themeFillTint="99"/>
            <w:vAlign w:val="center"/>
          </w:tcPr>
          <w:bookmarkEnd w:id="21"/>
          <w:p w:rsidR="006C29C4" w:rsidRPr="00307988" w:rsidP="00307988" w14:paraId="1EE2587D" w14:textId="77777777">
            <w:pPr>
              <w:rPr>
                <w:iCs/>
                <w:sz w:val="20"/>
                <w:szCs w:val="20"/>
              </w:rPr>
            </w:pPr>
            <w:r w:rsidRPr="00307988">
              <w:rPr>
                <w:iCs/>
                <w:sz w:val="20"/>
                <w:szCs w:val="20"/>
              </w:rPr>
              <w:t>Occupation</w:t>
            </w:r>
          </w:p>
        </w:tc>
        <w:tc>
          <w:tcPr>
            <w:tcW w:w="871" w:type="dxa"/>
            <w:shd w:val="clear" w:color="auto" w:fill="8EAADB" w:themeFill="accent1" w:themeFillTint="99"/>
            <w:vAlign w:val="center"/>
          </w:tcPr>
          <w:p w:rsidR="006C29C4" w:rsidRPr="00307988" w:rsidP="00307988" w14:paraId="6C697F9C" w14:textId="77777777">
            <w:pPr>
              <w:jc w:val="center"/>
              <w:rPr>
                <w:iCs/>
                <w:sz w:val="20"/>
                <w:szCs w:val="20"/>
              </w:rPr>
            </w:pPr>
            <w:r w:rsidRPr="00307988">
              <w:rPr>
                <w:iCs/>
                <w:sz w:val="20"/>
                <w:szCs w:val="20"/>
              </w:rPr>
              <w:t>NAICS Code</w:t>
            </w:r>
          </w:p>
        </w:tc>
        <w:tc>
          <w:tcPr>
            <w:tcW w:w="1029" w:type="dxa"/>
            <w:shd w:val="clear" w:color="auto" w:fill="8EAADB" w:themeFill="accent1" w:themeFillTint="99"/>
            <w:vAlign w:val="center"/>
          </w:tcPr>
          <w:p w:rsidR="006C29C4" w:rsidRPr="00307988" w:rsidP="00307988" w14:paraId="26517976" w14:textId="02A852BF">
            <w:pPr>
              <w:jc w:val="center"/>
              <w:rPr>
                <w:iCs/>
                <w:sz w:val="20"/>
                <w:szCs w:val="20"/>
              </w:rPr>
            </w:pPr>
            <w:r w:rsidRPr="00307988">
              <w:rPr>
                <w:iCs/>
                <w:sz w:val="20"/>
                <w:szCs w:val="20"/>
              </w:rPr>
              <w:t>Mean Wage Rate</w:t>
            </w:r>
          </w:p>
        </w:tc>
        <w:tc>
          <w:tcPr>
            <w:tcW w:w="1134" w:type="dxa"/>
            <w:shd w:val="clear" w:color="auto" w:fill="8EAADB" w:themeFill="accent1" w:themeFillTint="99"/>
            <w:vAlign w:val="center"/>
          </w:tcPr>
          <w:p w:rsidR="006C29C4" w:rsidRPr="00307988" w:rsidP="00307988" w14:paraId="1EAD6C07" w14:textId="77777777">
            <w:pPr>
              <w:jc w:val="center"/>
              <w:rPr>
                <w:iCs/>
                <w:sz w:val="20"/>
                <w:szCs w:val="20"/>
              </w:rPr>
            </w:pPr>
            <w:r w:rsidRPr="00307988">
              <w:rPr>
                <w:iCs/>
                <w:sz w:val="20"/>
                <w:szCs w:val="20"/>
              </w:rPr>
              <w:t>Benefit Multiplier</w:t>
            </w:r>
          </w:p>
        </w:tc>
        <w:tc>
          <w:tcPr>
            <w:tcW w:w="1182" w:type="dxa"/>
            <w:shd w:val="clear" w:color="auto" w:fill="8EAADB" w:themeFill="accent1" w:themeFillTint="99"/>
            <w:vAlign w:val="center"/>
          </w:tcPr>
          <w:p w:rsidR="006C29C4" w:rsidRPr="00307988" w:rsidP="00307988" w14:paraId="7E15F8F1" w14:textId="77777777">
            <w:pPr>
              <w:jc w:val="center"/>
              <w:rPr>
                <w:iCs/>
                <w:sz w:val="20"/>
                <w:szCs w:val="20"/>
              </w:rPr>
            </w:pPr>
            <w:r w:rsidRPr="00307988">
              <w:rPr>
                <w:iCs/>
                <w:sz w:val="20"/>
                <w:szCs w:val="20"/>
              </w:rPr>
              <w:t>Inflation Multiplier</w:t>
            </w:r>
          </w:p>
        </w:tc>
        <w:tc>
          <w:tcPr>
            <w:tcW w:w="1634" w:type="dxa"/>
            <w:shd w:val="clear" w:color="auto" w:fill="8EAADB" w:themeFill="accent1" w:themeFillTint="99"/>
            <w:vAlign w:val="center"/>
          </w:tcPr>
          <w:p w:rsidR="006C29C4" w:rsidRPr="00307988" w:rsidP="00307988" w14:paraId="3B2CC1CA" w14:textId="707B7DE7">
            <w:pPr>
              <w:jc w:val="center"/>
              <w:rPr>
                <w:iCs/>
                <w:sz w:val="20"/>
                <w:szCs w:val="20"/>
              </w:rPr>
            </w:pPr>
            <w:r w:rsidRPr="00307988">
              <w:rPr>
                <w:iCs/>
                <w:sz w:val="20"/>
                <w:szCs w:val="20"/>
              </w:rPr>
              <w:t>Overhead Cost Multiplier</w:t>
            </w:r>
          </w:p>
        </w:tc>
        <w:tc>
          <w:tcPr>
            <w:tcW w:w="1933" w:type="dxa"/>
            <w:shd w:val="clear" w:color="auto" w:fill="8EAADB" w:themeFill="accent1" w:themeFillTint="99"/>
            <w:vAlign w:val="center"/>
          </w:tcPr>
          <w:p w:rsidR="006C29C4" w:rsidRPr="00307988" w:rsidP="00307988" w14:paraId="2BFC42CB" w14:textId="6C8B684A">
            <w:pPr>
              <w:jc w:val="center"/>
              <w:rPr>
                <w:iCs/>
                <w:sz w:val="20"/>
                <w:szCs w:val="20"/>
              </w:rPr>
            </w:pPr>
            <w:r w:rsidRPr="00307988">
              <w:rPr>
                <w:iCs/>
                <w:sz w:val="20"/>
                <w:szCs w:val="20"/>
              </w:rPr>
              <w:t>Loaded Hourly Wage Rate</w:t>
            </w:r>
          </w:p>
        </w:tc>
      </w:tr>
      <w:tr w14:paraId="692A2EF1" w14:textId="77777777" w:rsidTr="007628FE">
        <w:tblPrEx>
          <w:tblW w:w="0" w:type="auto"/>
          <w:tblLook w:val="04A0"/>
        </w:tblPrEx>
        <w:tc>
          <w:tcPr>
            <w:tcW w:w="1567" w:type="dxa"/>
            <w:shd w:val="clear" w:color="auto" w:fill="8EAADB" w:themeFill="accent1" w:themeFillTint="99"/>
            <w:vAlign w:val="center"/>
          </w:tcPr>
          <w:p w:rsidR="009A3438" w:rsidRPr="00307988" w:rsidP="00307988" w14:paraId="077030A5" w14:textId="77777777">
            <w:pPr>
              <w:jc w:val="center"/>
              <w:rPr>
                <w:iCs/>
                <w:sz w:val="20"/>
                <w:szCs w:val="20"/>
              </w:rPr>
            </w:pPr>
          </w:p>
        </w:tc>
        <w:tc>
          <w:tcPr>
            <w:tcW w:w="871" w:type="dxa"/>
            <w:shd w:val="clear" w:color="auto" w:fill="8EAADB" w:themeFill="accent1" w:themeFillTint="99"/>
            <w:vAlign w:val="center"/>
          </w:tcPr>
          <w:p w:rsidR="009A3438" w:rsidRPr="00307988" w:rsidP="00307988" w14:paraId="7606DB2B" w14:textId="77777777">
            <w:pPr>
              <w:jc w:val="center"/>
              <w:rPr>
                <w:iCs/>
                <w:sz w:val="20"/>
                <w:szCs w:val="20"/>
              </w:rPr>
            </w:pPr>
          </w:p>
        </w:tc>
        <w:tc>
          <w:tcPr>
            <w:tcW w:w="1029" w:type="dxa"/>
            <w:shd w:val="clear" w:color="auto" w:fill="8EAADB" w:themeFill="accent1" w:themeFillTint="99"/>
          </w:tcPr>
          <w:p w:rsidR="009A3438" w:rsidRPr="00307988" w:rsidP="00307988" w14:paraId="0012E76D" w14:textId="6E1F14B4">
            <w:pPr>
              <w:jc w:val="center"/>
              <w:rPr>
                <w:iCs/>
                <w:sz w:val="20"/>
                <w:szCs w:val="20"/>
              </w:rPr>
            </w:pPr>
            <w:r w:rsidRPr="00307988">
              <w:rPr>
                <w:iCs/>
                <w:sz w:val="20"/>
                <w:szCs w:val="20"/>
              </w:rPr>
              <w:t>A</w:t>
            </w:r>
          </w:p>
        </w:tc>
        <w:tc>
          <w:tcPr>
            <w:tcW w:w="1134" w:type="dxa"/>
            <w:shd w:val="clear" w:color="auto" w:fill="8EAADB" w:themeFill="accent1" w:themeFillTint="99"/>
          </w:tcPr>
          <w:p w:rsidR="009A3438" w:rsidRPr="00307988" w:rsidP="00307988" w14:paraId="7044FC2A" w14:textId="396A3CFF">
            <w:pPr>
              <w:jc w:val="center"/>
              <w:rPr>
                <w:iCs/>
                <w:sz w:val="20"/>
                <w:szCs w:val="20"/>
              </w:rPr>
            </w:pPr>
            <w:r w:rsidRPr="00307988">
              <w:rPr>
                <w:iCs/>
                <w:sz w:val="20"/>
                <w:szCs w:val="20"/>
              </w:rPr>
              <w:t>B</w:t>
            </w:r>
          </w:p>
        </w:tc>
        <w:tc>
          <w:tcPr>
            <w:tcW w:w="1182" w:type="dxa"/>
            <w:shd w:val="clear" w:color="auto" w:fill="8EAADB" w:themeFill="accent1" w:themeFillTint="99"/>
          </w:tcPr>
          <w:p w:rsidR="009A3438" w:rsidRPr="00307988" w:rsidP="00307988" w14:paraId="218AC09C" w14:textId="3BB2C300">
            <w:pPr>
              <w:jc w:val="center"/>
              <w:rPr>
                <w:iCs/>
                <w:sz w:val="20"/>
                <w:szCs w:val="20"/>
              </w:rPr>
            </w:pPr>
            <w:r w:rsidRPr="00307988">
              <w:rPr>
                <w:iCs/>
                <w:sz w:val="20"/>
                <w:szCs w:val="20"/>
              </w:rPr>
              <w:t>C</w:t>
            </w:r>
          </w:p>
        </w:tc>
        <w:tc>
          <w:tcPr>
            <w:tcW w:w="1634" w:type="dxa"/>
            <w:shd w:val="clear" w:color="auto" w:fill="8EAADB" w:themeFill="accent1" w:themeFillTint="99"/>
          </w:tcPr>
          <w:p w:rsidR="009A3438" w:rsidRPr="00307988" w:rsidP="00307988" w14:paraId="630BF0C5" w14:textId="53EFB1F6">
            <w:pPr>
              <w:jc w:val="center"/>
              <w:rPr>
                <w:iCs/>
                <w:sz w:val="20"/>
                <w:szCs w:val="20"/>
              </w:rPr>
            </w:pPr>
            <w:r w:rsidRPr="00307988">
              <w:rPr>
                <w:iCs/>
                <w:sz w:val="20"/>
                <w:szCs w:val="20"/>
              </w:rPr>
              <w:t>D</w:t>
            </w:r>
          </w:p>
        </w:tc>
        <w:tc>
          <w:tcPr>
            <w:tcW w:w="1933" w:type="dxa"/>
            <w:shd w:val="clear" w:color="auto" w:fill="8EAADB" w:themeFill="accent1" w:themeFillTint="99"/>
          </w:tcPr>
          <w:p w:rsidR="009A3438" w:rsidRPr="00307988" w:rsidP="00307988" w14:paraId="5C209613" w14:textId="2D8B17D7">
            <w:pPr>
              <w:jc w:val="center"/>
              <w:rPr>
                <w:iCs/>
                <w:sz w:val="20"/>
                <w:szCs w:val="20"/>
              </w:rPr>
            </w:pPr>
            <w:r w:rsidRPr="00307988">
              <w:rPr>
                <w:iCs/>
                <w:sz w:val="20"/>
                <w:szCs w:val="20"/>
              </w:rPr>
              <w:t>A x B x C x D</w:t>
            </w:r>
          </w:p>
        </w:tc>
      </w:tr>
      <w:tr w14:paraId="4E50488C" w14:textId="77777777" w:rsidTr="002869B3">
        <w:tblPrEx>
          <w:tblW w:w="0" w:type="auto"/>
          <w:tblLook w:val="04A0"/>
        </w:tblPrEx>
        <w:tc>
          <w:tcPr>
            <w:tcW w:w="1567" w:type="dxa"/>
            <w:vAlign w:val="bottom"/>
          </w:tcPr>
          <w:p w:rsidR="00C6732E" w:rsidRPr="00307988" w:rsidP="00307988" w14:paraId="66681741" w14:textId="0A4498A7">
            <w:pPr>
              <w:rPr>
                <w:iCs/>
                <w:sz w:val="20"/>
                <w:szCs w:val="20"/>
              </w:rPr>
            </w:pPr>
            <w:r w:rsidRPr="00307988">
              <w:rPr>
                <w:color w:val="000000"/>
                <w:sz w:val="20"/>
                <w:szCs w:val="20"/>
              </w:rPr>
              <w:t>Engineer[a]</w:t>
            </w:r>
          </w:p>
        </w:tc>
        <w:tc>
          <w:tcPr>
            <w:tcW w:w="871" w:type="dxa"/>
            <w:vAlign w:val="bottom"/>
          </w:tcPr>
          <w:p w:rsidR="00C6732E" w:rsidRPr="00307988" w:rsidP="00307988" w14:paraId="4250FD8B" w14:textId="06C49B30">
            <w:pPr>
              <w:jc w:val="center"/>
              <w:rPr>
                <w:iCs/>
                <w:sz w:val="20"/>
                <w:szCs w:val="20"/>
              </w:rPr>
            </w:pPr>
            <w:r w:rsidRPr="00307988">
              <w:rPr>
                <w:color w:val="000000"/>
                <w:sz w:val="20"/>
                <w:szCs w:val="20"/>
              </w:rPr>
              <w:t>212100</w:t>
            </w:r>
          </w:p>
        </w:tc>
        <w:tc>
          <w:tcPr>
            <w:tcW w:w="1029" w:type="dxa"/>
            <w:vAlign w:val="bottom"/>
          </w:tcPr>
          <w:p w:rsidR="00C6732E" w:rsidRPr="00307988" w:rsidP="00307988" w14:paraId="381B8AAC" w14:textId="04A0FA0D">
            <w:pPr>
              <w:jc w:val="center"/>
              <w:rPr>
                <w:iCs/>
                <w:sz w:val="20"/>
                <w:szCs w:val="20"/>
              </w:rPr>
            </w:pPr>
            <w:r w:rsidRPr="00307988">
              <w:rPr>
                <w:color w:val="000000"/>
                <w:sz w:val="20"/>
                <w:szCs w:val="20"/>
              </w:rPr>
              <w:t xml:space="preserve">$50.59 </w:t>
            </w:r>
          </w:p>
        </w:tc>
        <w:tc>
          <w:tcPr>
            <w:tcW w:w="1134" w:type="dxa"/>
            <w:vAlign w:val="bottom"/>
          </w:tcPr>
          <w:p w:rsidR="00C6732E" w:rsidRPr="00307988" w:rsidP="00307988" w14:paraId="13A3C5C6" w14:textId="16F0EBB8">
            <w:pPr>
              <w:jc w:val="center"/>
              <w:rPr>
                <w:iCs/>
                <w:sz w:val="20"/>
                <w:szCs w:val="20"/>
              </w:rPr>
            </w:pPr>
            <w:r w:rsidRPr="00307988">
              <w:rPr>
                <w:color w:val="000000"/>
                <w:sz w:val="20"/>
                <w:szCs w:val="20"/>
              </w:rPr>
              <w:t>1.456</w:t>
            </w:r>
          </w:p>
        </w:tc>
        <w:tc>
          <w:tcPr>
            <w:tcW w:w="1182" w:type="dxa"/>
            <w:vAlign w:val="bottom"/>
          </w:tcPr>
          <w:p w:rsidR="00C6732E" w:rsidRPr="00307988" w:rsidP="00307988" w14:paraId="0CE6F5E1" w14:textId="668EEE27">
            <w:pPr>
              <w:jc w:val="center"/>
              <w:rPr>
                <w:iCs/>
                <w:sz w:val="20"/>
                <w:szCs w:val="20"/>
              </w:rPr>
            </w:pPr>
            <w:r w:rsidRPr="00307988">
              <w:rPr>
                <w:color w:val="000000"/>
                <w:sz w:val="20"/>
                <w:szCs w:val="20"/>
              </w:rPr>
              <w:t>1.048</w:t>
            </w:r>
          </w:p>
        </w:tc>
        <w:tc>
          <w:tcPr>
            <w:tcW w:w="1634" w:type="dxa"/>
            <w:vAlign w:val="bottom"/>
          </w:tcPr>
          <w:p w:rsidR="00C6732E" w:rsidRPr="00307988" w:rsidP="00307988" w14:paraId="5EA137E5" w14:textId="47E4DCF6">
            <w:pPr>
              <w:jc w:val="center"/>
              <w:rPr>
                <w:iCs/>
                <w:sz w:val="20"/>
                <w:szCs w:val="20"/>
              </w:rPr>
            </w:pPr>
            <w:r w:rsidRPr="00307988">
              <w:rPr>
                <w:color w:val="000000"/>
                <w:sz w:val="20"/>
                <w:szCs w:val="20"/>
              </w:rPr>
              <w:t>1.01</w:t>
            </w:r>
          </w:p>
        </w:tc>
        <w:tc>
          <w:tcPr>
            <w:tcW w:w="1933" w:type="dxa"/>
            <w:vAlign w:val="bottom"/>
          </w:tcPr>
          <w:p w:rsidR="00C6732E" w:rsidRPr="00307988" w:rsidP="00307988" w14:paraId="13736E04" w14:textId="31FDB437">
            <w:pPr>
              <w:jc w:val="center"/>
              <w:rPr>
                <w:iCs/>
                <w:sz w:val="20"/>
                <w:szCs w:val="20"/>
              </w:rPr>
            </w:pPr>
            <w:r w:rsidRPr="00307988">
              <w:rPr>
                <w:color w:val="000000"/>
                <w:sz w:val="20"/>
                <w:szCs w:val="20"/>
              </w:rPr>
              <w:t xml:space="preserve">$77.97 </w:t>
            </w:r>
          </w:p>
        </w:tc>
      </w:tr>
      <w:tr w14:paraId="2116D62F" w14:textId="77777777" w:rsidTr="002869B3">
        <w:tblPrEx>
          <w:tblW w:w="0" w:type="auto"/>
          <w:tblLook w:val="04A0"/>
        </w:tblPrEx>
        <w:tc>
          <w:tcPr>
            <w:tcW w:w="1567" w:type="dxa"/>
            <w:vAlign w:val="bottom"/>
          </w:tcPr>
          <w:p w:rsidR="00C6732E" w:rsidRPr="00307988" w:rsidP="00307988" w14:paraId="78FC0C6E" w14:textId="6CF77C91">
            <w:pPr>
              <w:rPr>
                <w:iCs/>
                <w:sz w:val="20"/>
                <w:szCs w:val="20"/>
              </w:rPr>
            </w:pPr>
            <w:r w:rsidRPr="00307988">
              <w:rPr>
                <w:color w:val="000000"/>
                <w:sz w:val="20"/>
                <w:szCs w:val="20"/>
              </w:rPr>
              <w:t>Miner[b]</w:t>
            </w:r>
          </w:p>
        </w:tc>
        <w:tc>
          <w:tcPr>
            <w:tcW w:w="871" w:type="dxa"/>
            <w:vAlign w:val="bottom"/>
          </w:tcPr>
          <w:p w:rsidR="00C6732E" w:rsidRPr="00307988" w:rsidP="00307988" w14:paraId="7875D58A" w14:textId="5DB3E0DD">
            <w:pPr>
              <w:jc w:val="center"/>
              <w:rPr>
                <w:iCs/>
                <w:sz w:val="20"/>
                <w:szCs w:val="20"/>
              </w:rPr>
            </w:pPr>
            <w:r w:rsidRPr="00307988">
              <w:rPr>
                <w:color w:val="000000"/>
                <w:sz w:val="20"/>
                <w:szCs w:val="20"/>
              </w:rPr>
              <w:t>212100</w:t>
            </w:r>
          </w:p>
        </w:tc>
        <w:tc>
          <w:tcPr>
            <w:tcW w:w="1029" w:type="dxa"/>
            <w:vAlign w:val="bottom"/>
          </w:tcPr>
          <w:p w:rsidR="00C6732E" w:rsidRPr="00307988" w:rsidP="00307988" w14:paraId="5B8DF974" w14:textId="6D72B7AA">
            <w:pPr>
              <w:jc w:val="center"/>
              <w:rPr>
                <w:iCs/>
                <w:sz w:val="20"/>
                <w:szCs w:val="20"/>
              </w:rPr>
            </w:pPr>
            <w:r w:rsidRPr="00307988">
              <w:rPr>
                <w:color w:val="000000"/>
                <w:sz w:val="20"/>
                <w:szCs w:val="20"/>
              </w:rPr>
              <w:t xml:space="preserve">$31.57 </w:t>
            </w:r>
          </w:p>
        </w:tc>
        <w:tc>
          <w:tcPr>
            <w:tcW w:w="1134" w:type="dxa"/>
            <w:vAlign w:val="bottom"/>
          </w:tcPr>
          <w:p w:rsidR="00C6732E" w:rsidRPr="00307988" w:rsidP="00307988" w14:paraId="70A7CDC0" w14:textId="7EBD2CB3">
            <w:pPr>
              <w:jc w:val="center"/>
              <w:rPr>
                <w:iCs/>
                <w:sz w:val="20"/>
                <w:szCs w:val="20"/>
              </w:rPr>
            </w:pPr>
            <w:r w:rsidRPr="00307988">
              <w:rPr>
                <w:color w:val="000000"/>
                <w:sz w:val="20"/>
                <w:szCs w:val="20"/>
              </w:rPr>
              <w:t>1.456</w:t>
            </w:r>
          </w:p>
        </w:tc>
        <w:tc>
          <w:tcPr>
            <w:tcW w:w="1182" w:type="dxa"/>
            <w:vAlign w:val="bottom"/>
          </w:tcPr>
          <w:p w:rsidR="00C6732E" w:rsidRPr="00307988" w:rsidP="00307988" w14:paraId="708D2D31" w14:textId="29B39C1B">
            <w:pPr>
              <w:jc w:val="center"/>
              <w:rPr>
                <w:iCs/>
                <w:sz w:val="20"/>
                <w:szCs w:val="20"/>
              </w:rPr>
            </w:pPr>
            <w:r w:rsidRPr="00307988">
              <w:rPr>
                <w:color w:val="000000"/>
                <w:sz w:val="20"/>
                <w:szCs w:val="20"/>
              </w:rPr>
              <w:t>1.048</w:t>
            </w:r>
          </w:p>
        </w:tc>
        <w:tc>
          <w:tcPr>
            <w:tcW w:w="1634" w:type="dxa"/>
            <w:vAlign w:val="bottom"/>
          </w:tcPr>
          <w:p w:rsidR="00C6732E" w:rsidRPr="00307988" w:rsidP="00307988" w14:paraId="5BCF5861" w14:textId="750F6852">
            <w:pPr>
              <w:jc w:val="center"/>
              <w:rPr>
                <w:iCs/>
                <w:sz w:val="20"/>
                <w:szCs w:val="20"/>
              </w:rPr>
            </w:pPr>
            <w:r w:rsidRPr="00307988">
              <w:rPr>
                <w:color w:val="000000"/>
                <w:sz w:val="20"/>
                <w:szCs w:val="20"/>
              </w:rPr>
              <w:t>1.01</w:t>
            </w:r>
          </w:p>
        </w:tc>
        <w:tc>
          <w:tcPr>
            <w:tcW w:w="1933" w:type="dxa"/>
            <w:vAlign w:val="bottom"/>
          </w:tcPr>
          <w:p w:rsidR="00C6732E" w:rsidRPr="00307988" w:rsidP="00307988" w14:paraId="730BA71C" w14:textId="6B220494">
            <w:pPr>
              <w:jc w:val="center"/>
              <w:rPr>
                <w:iCs/>
                <w:sz w:val="20"/>
                <w:szCs w:val="20"/>
              </w:rPr>
            </w:pPr>
            <w:r w:rsidRPr="00307988">
              <w:rPr>
                <w:color w:val="000000"/>
                <w:sz w:val="20"/>
                <w:szCs w:val="20"/>
              </w:rPr>
              <w:t xml:space="preserve">$48.65 </w:t>
            </w:r>
          </w:p>
        </w:tc>
      </w:tr>
    </w:tbl>
    <w:p w:rsidR="004C1454" w:rsidRPr="00307988" w:rsidP="00307988" w14:paraId="3FA0DE3F" w14:textId="13168619">
      <w:pPr>
        <w:pStyle w:val="Default"/>
        <w:rPr>
          <w:rFonts w:ascii="Times New Roman" w:hAnsi="Times New Roman" w:cs="Times New Roman"/>
          <w:sz w:val="20"/>
          <w:szCs w:val="20"/>
        </w:rPr>
      </w:pPr>
      <w:bookmarkStart w:id="22" w:name="_Hlk114568297"/>
      <w:r w:rsidRPr="00307988">
        <w:rPr>
          <w:rFonts w:ascii="Times New Roman" w:hAnsi="Times New Roman" w:cs="Times New Roman"/>
          <w:sz w:val="20"/>
          <w:szCs w:val="20"/>
        </w:rPr>
        <w:t xml:space="preserve">Notes: </w:t>
      </w:r>
    </w:p>
    <w:p w:rsidR="008C1F83" w:rsidRPr="00307988" w:rsidP="00307988" w14:paraId="1B810AB0" w14:textId="4AF6F9F8">
      <w:pPr>
        <w:pStyle w:val="Default"/>
        <w:rPr>
          <w:rFonts w:ascii="Times New Roman" w:hAnsi="Times New Roman" w:cs="Times New Roman"/>
          <w:sz w:val="20"/>
          <w:szCs w:val="20"/>
        </w:rPr>
      </w:pPr>
      <w:r w:rsidRPr="00307988">
        <w:rPr>
          <w:rFonts w:ascii="Times New Roman" w:hAnsi="Times New Roman" w:cs="Times New Roman"/>
          <w:sz w:val="20"/>
          <w:szCs w:val="20"/>
        </w:rPr>
        <w:t xml:space="preserve">Benefit Multiplier – </w:t>
      </w:r>
      <w:r w:rsidRPr="00307988" w:rsidR="00B227F0">
        <w:rPr>
          <w:rFonts w:ascii="Times New Roman" w:hAnsi="Times New Roman" w:cs="Times New Roman"/>
          <w:sz w:val="20"/>
          <w:szCs w:val="20"/>
        </w:rPr>
        <w:t>MSHA use</w:t>
      </w:r>
      <w:r w:rsidRPr="00307988" w:rsidR="0045114A">
        <w:rPr>
          <w:rFonts w:ascii="Times New Roman" w:hAnsi="Times New Roman" w:cs="Times New Roman"/>
          <w:sz w:val="20"/>
          <w:szCs w:val="20"/>
        </w:rPr>
        <w:t>s</w:t>
      </w:r>
      <w:r w:rsidRPr="00307988" w:rsidR="00B227F0">
        <w:rPr>
          <w:rFonts w:ascii="Times New Roman" w:hAnsi="Times New Roman" w:cs="Times New Roman"/>
          <w:sz w:val="20"/>
          <w:szCs w:val="20"/>
        </w:rPr>
        <w:t xml:space="preserve"> the latest 4-quarter moving average 202</w:t>
      </w:r>
      <w:r w:rsidRPr="00307988" w:rsidR="009A3438">
        <w:rPr>
          <w:rFonts w:ascii="Times New Roman" w:hAnsi="Times New Roman" w:cs="Times New Roman"/>
          <w:sz w:val="20"/>
          <w:szCs w:val="20"/>
        </w:rPr>
        <w:t>3</w:t>
      </w:r>
      <w:r w:rsidRPr="00307988" w:rsidR="00B227F0">
        <w:rPr>
          <w:rFonts w:ascii="Times New Roman" w:hAnsi="Times New Roman" w:cs="Times New Roman"/>
          <w:sz w:val="20"/>
          <w:szCs w:val="20"/>
        </w:rPr>
        <w:t>Q</w:t>
      </w:r>
      <w:r w:rsidRPr="00307988" w:rsidR="00C9513A">
        <w:rPr>
          <w:rFonts w:ascii="Times New Roman" w:hAnsi="Times New Roman" w:cs="Times New Roman"/>
          <w:sz w:val="20"/>
          <w:szCs w:val="20"/>
        </w:rPr>
        <w:t>4</w:t>
      </w:r>
      <w:r w:rsidRPr="00307988" w:rsidR="00B227F0">
        <w:rPr>
          <w:rFonts w:ascii="Times New Roman" w:hAnsi="Times New Roman" w:cs="Times New Roman"/>
          <w:sz w:val="20"/>
          <w:szCs w:val="20"/>
        </w:rPr>
        <w:t>-202</w:t>
      </w:r>
      <w:r w:rsidRPr="00307988" w:rsidR="00EC1441">
        <w:rPr>
          <w:rFonts w:ascii="Times New Roman" w:hAnsi="Times New Roman" w:cs="Times New Roman"/>
          <w:sz w:val="20"/>
          <w:szCs w:val="20"/>
        </w:rPr>
        <w:t>4</w:t>
      </w:r>
      <w:r w:rsidRPr="00307988" w:rsidR="00B227F0">
        <w:rPr>
          <w:rFonts w:ascii="Times New Roman" w:hAnsi="Times New Roman" w:cs="Times New Roman"/>
          <w:sz w:val="20"/>
          <w:szCs w:val="20"/>
        </w:rPr>
        <w:t>Q</w:t>
      </w:r>
      <w:r w:rsidRPr="00307988" w:rsidR="00C9513A">
        <w:rPr>
          <w:rFonts w:ascii="Times New Roman" w:hAnsi="Times New Roman" w:cs="Times New Roman"/>
          <w:sz w:val="20"/>
          <w:szCs w:val="20"/>
        </w:rPr>
        <w:t>3</w:t>
      </w:r>
      <w:r w:rsidRPr="00307988" w:rsidR="00B227F0">
        <w:rPr>
          <w:rFonts w:ascii="Times New Roman" w:hAnsi="Times New Roman" w:cs="Times New Roman"/>
          <w:sz w:val="20"/>
          <w:szCs w:val="20"/>
        </w:rPr>
        <w:t xml:space="preserve"> to determine that 3</w:t>
      </w:r>
      <w:r w:rsidRPr="00307988" w:rsidR="00EC1441">
        <w:rPr>
          <w:rFonts w:ascii="Times New Roman" w:hAnsi="Times New Roman" w:cs="Times New Roman"/>
          <w:sz w:val="20"/>
          <w:szCs w:val="20"/>
        </w:rPr>
        <w:t>1</w:t>
      </w:r>
      <w:r w:rsidRPr="00307988" w:rsidR="00B227F0">
        <w:rPr>
          <w:rFonts w:ascii="Times New Roman" w:hAnsi="Times New Roman" w:cs="Times New Roman"/>
          <w:sz w:val="20"/>
          <w:szCs w:val="20"/>
        </w:rPr>
        <w:t>.</w:t>
      </w:r>
      <w:r w:rsidRPr="00307988" w:rsidR="00C9513A">
        <w:rPr>
          <w:rFonts w:ascii="Times New Roman" w:hAnsi="Times New Roman" w:cs="Times New Roman"/>
          <w:sz w:val="20"/>
          <w:szCs w:val="20"/>
        </w:rPr>
        <w:t>3</w:t>
      </w:r>
      <w:r w:rsidRPr="00307988" w:rsidR="00B227F0">
        <w:rPr>
          <w:rFonts w:ascii="Times New Roman" w:hAnsi="Times New Roman" w:cs="Times New Roman"/>
          <w:sz w:val="20"/>
          <w:szCs w:val="20"/>
        </w:rPr>
        <w:t xml:space="preserve"> percent of total loaded wages are benefits for private industry workers in construction, extraction, farming, fishing, and forestry occupations. The benefit multiplier is 1.4</w:t>
      </w:r>
      <w:r w:rsidRPr="00307988" w:rsidR="00C9513A">
        <w:rPr>
          <w:rFonts w:ascii="Times New Roman" w:hAnsi="Times New Roman" w:cs="Times New Roman"/>
          <w:sz w:val="20"/>
          <w:szCs w:val="20"/>
        </w:rPr>
        <w:t>56</w:t>
      </w:r>
      <w:r w:rsidRPr="00307988" w:rsidR="00D60D9E">
        <w:rPr>
          <w:rFonts w:ascii="Times New Roman" w:hAnsi="Times New Roman" w:cs="Times New Roman"/>
          <w:sz w:val="20"/>
          <w:szCs w:val="20"/>
        </w:rPr>
        <w:t xml:space="preserve"> </w:t>
      </w:r>
      <w:r w:rsidRPr="00307988" w:rsidR="00B227F0">
        <w:rPr>
          <w:rFonts w:ascii="Times New Roman" w:hAnsi="Times New Roman" w:cs="Times New Roman"/>
          <w:sz w:val="20"/>
          <w:szCs w:val="20"/>
        </w:rPr>
        <w:t>= 1+(0.3</w:t>
      </w:r>
      <w:r w:rsidRPr="00307988" w:rsidR="00EC1441">
        <w:rPr>
          <w:rFonts w:ascii="Times New Roman" w:hAnsi="Times New Roman" w:cs="Times New Roman"/>
          <w:sz w:val="20"/>
          <w:szCs w:val="20"/>
        </w:rPr>
        <w:t>1</w:t>
      </w:r>
      <w:r w:rsidRPr="00307988" w:rsidR="00C9513A">
        <w:rPr>
          <w:rFonts w:ascii="Times New Roman" w:hAnsi="Times New Roman" w:cs="Times New Roman"/>
          <w:sz w:val="20"/>
          <w:szCs w:val="20"/>
        </w:rPr>
        <w:t>3</w:t>
      </w:r>
      <w:r w:rsidRPr="00307988" w:rsidR="00B227F0">
        <w:rPr>
          <w:rFonts w:ascii="Times New Roman" w:hAnsi="Times New Roman" w:cs="Times New Roman"/>
          <w:sz w:val="20"/>
          <w:szCs w:val="20"/>
        </w:rPr>
        <w:t>/</w:t>
      </w:r>
      <w:r w:rsidRPr="00307988" w:rsidR="00C12BD3">
        <w:rPr>
          <w:rFonts w:ascii="Times New Roman" w:hAnsi="Times New Roman" w:cs="Times New Roman"/>
          <w:sz w:val="20"/>
          <w:szCs w:val="20"/>
        </w:rPr>
        <w:t xml:space="preserve"> </w:t>
      </w:r>
      <w:r w:rsidRPr="00307988" w:rsidR="00B227F0">
        <w:rPr>
          <w:rFonts w:ascii="Times New Roman" w:hAnsi="Times New Roman" w:cs="Times New Roman"/>
          <w:sz w:val="20"/>
          <w:szCs w:val="20"/>
        </w:rPr>
        <w:t>(1-0.3</w:t>
      </w:r>
      <w:r w:rsidRPr="00307988" w:rsidR="00EC1441">
        <w:rPr>
          <w:rFonts w:ascii="Times New Roman" w:hAnsi="Times New Roman" w:cs="Times New Roman"/>
          <w:sz w:val="20"/>
          <w:szCs w:val="20"/>
        </w:rPr>
        <w:t>1</w:t>
      </w:r>
      <w:r w:rsidRPr="00307988" w:rsidR="00C9513A">
        <w:rPr>
          <w:rFonts w:ascii="Times New Roman" w:hAnsi="Times New Roman" w:cs="Times New Roman"/>
          <w:sz w:val="20"/>
          <w:szCs w:val="20"/>
        </w:rPr>
        <w:t>3</w:t>
      </w:r>
      <w:r w:rsidRPr="00307988" w:rsidR="00B227F0">
        <w:rPr>
          <w:rFonts w:ascii="Times New Roman" w:hAnsi="Times New Roman" w:cs="Times New Roman"/>
          <w:sz w:val="20"/>
          <w:szCs w:val="20"/>
        </w:rPr>
        <w:t xml:space="preserve">)). </w:t>
      </w:r>
    </w:p>
    <w:p w:rsidR="008C1F83" w:rsidRPr="00307988" w:rsidP="00307988" w14:paraId="73F07397" w14:textId="51FC2211">
      <w:pPr>
        <w:pStyle w:val="Default"/>
        <w:rPr>
          <w:rFonts w:ascii="Times New Roman" w:hAnsi="Times New Roman" w:cs="Times New Roman"/>
          <w:sz w:val="20"/>
          <w:szCs w:val="20"/>
        </w:rPr>
      </w:pPr>
      <w:r w:rsidRPr="00307988">
        <w:rPr>
          <w:rFonts w:ascii="Times New Roman" w:hAnsi="Times New Roman" w:cs="Times New Roman"/>
          <w:sz w:val="20"/>
          <w:szCs w:val="20"/>
        </w:rPr>
        <w:t xml:space="preserve">Inflation Multiplier – </w:t>
      </w:r>
      <w:r w:rsidRPr="00307988" w:rsidR="00B227F0">
        <w:rPr>
          <w:rFonts w:ascii="Times New Roman" w:hAnsi="Times New Roman" w:cs="Times New Roman"/>
          <w:sz w:val="20"/>
          <w:szCs w:val="20"/>
        </w:rPr>
        <w:t xml:space="preserve">The inflation multiplier </w:t>
      </w:r>
      <w:r w:rsidRPr="00307988" w:rsidR="0045114A">
        <w:rPr>
          <w:rFonts w:ascii="Times New Roman" w:hAnsi="Times New Roman" w:cs="Times New Roman"/>
          <w:sz w:val="20"/>
          <w:szCs w:val="20"/>
        </w:rPr>
        <w:t>i</w:t>
      </w:r>
      <w:r w:rsidRPr="00307988" w:rsidR="00B227F0">
        <w:rPr>
          <w:rFonts w:ascii="Times New Roman" w:hAnsi="Times New Roman" w:cs="Times New Roman"/>
          <w:sz w:val="20"/>
          <w:szCs w:val="20"/>
        </w:rPr>
        <w:t>s determined by using the employment price index from the most current quarter, 202</w:t>
      </w:r>
      <w:r w:rsidRPr="00307988" w:rsidR="00EC1441">
        <w:rPr>
          <w:rFonts w:ascii="Times New Roman" w:hAnsi="Times New Roman" w:cs="Times New Roman"/>
          <w:sz w:val="20"/>
          <w:szCs w:val="20"/>
        </w:rPr>
        <w:t>4</w:t>
      </w:r>
      <w:r w:rsidRPr="00307988" w:rsidR="00B227F0">
        <w:rPr>
          <w:rFonts w:ascii="Times New Roman" w:hAnsi="Times New Roman" w:cs="Times New Roman"/>
          <w:sz w:val="20"/>
          <w:szCs w:val="20"/>
        </w:rPr>
        <w:t>Q</w:t>
      </w:r>
      <w:r w:rsidRPr="00307988" w:rsidR="00C9513A">
        <w:rPr>
          <w:rFonts w:ascii="Times New Roman" w:hAnsi="Times New Roman" w:cs="Times New Roman"/>
          <w:sz w:val="20"/>
          <w:szCs w:val="20"/>
        </w:rPr>
        <w:t>3</w:t>
      </w:r>
      <w:r w:rsidRPr="00307988" w:rsidR="00B227F0">
        <w:rPr>
          <w:rFonts w:ascii="Times New Roman" w:hAnsi="Times New Roman" w:cs="Times New Roman"/>
          <w:sz w:val="20"/>
          <w:szCs w:val="20"/>
        </w:rPr>
        <w:t>, divided by the base year and quarter of the OEWS employment and wage statistics, 20</w:t>
      </w:r>
      <w:r w:rsidRPr="00307988" w:rsidR="009A3438">
        <w:rPr>
          <w:rFonts w:ascii="Times New Roman" w:hAnsi="Times New Roman" w:cs="Times New Roman"/>
          <w:sz w:val="20"/>
          <w:szCs w:val="20"/>
        </w:rPr>
        <w:t>23</w:t>
      </w:r>
      <w:r w:rsidRPr="00307988" w:rsidR="00B227F0">
        <w:rPr>
          <w:rFonts w:ascii="Times New Roman" w:hAnsi="Times New Roman" w:cs="Times New Roman"/>
          <w:sz w:val="20"/>
          <w:szCs w:val="20"/>
        </w:rPr>
        <w:t>Q2, for private industry workers in construction, extraction, farming, fishing, and forestry occupations, current dollar index. The inflation multiplier is 1.0</w:t>
      </w:r>
      <w:r w:rsidRPr="00307988" w:rsidR="00C9513A">
        <w:rPr>
          <w:rFonts w:ascii="Times New Roman" w:hAnsi="Times New Roman" w:cs="Times New Roman"/>
          <w:sz w:val="20"/>
          <w:szCs w:val="20"/>
        </w:rPr>
        <w:t>48</w:t>
      </w:r>
      <w:r w:rsidRPr="00307988" w:rsidR="00B227F0">
        <w:rPr>
          <w:rFonts w:ascii="Times New Roman" w:hAnsi="Times New Roman" w:cs="Times New Roman"/>
          <w:sz w:val="20"/>
          <w:szCs w:val="20"/>
        </w:rPr>
        <w:t xml:space="preserve"> = </w:t>
      </w:r>
      <w:r w:rsidRPr="00307988" w:rsidR="009A3438">
        <w:rPr>
          <w:rFonts w:ascii="Times New Roman" w:hAnsi="Times New Roman" w:cs="Times New Roman"/>
          <w:sz w:val="20"/>
          <w:szCs w:val="20"/>
        </w:rPr>
        <w:t>16</w:t>
      </w:r>
      <w:r w:rsidRPr="00307988" w:rsidR="00C9513A">
        <w:rPr>
          <w:rFonts w:ascii="Times New Roman" w:hAnsi="Times New Roman" w:cs="Times New Roman"/>
          <w:sz w:val="20"/>
          <w:szCs w:val="20"/>
        </w:rPr>
        <w:t>4.8</w:t>
      </w:r>
      <w:r w:rsidRPr="00307988" w:rsidR="00B227F0">
        <w:rPr>
          <w:rFonts w:ascii="Times New Roman" w:hAnsi="Times New Roman" w:cs="Times New Roman"/>
          <w:sz w:val="20"/>
          <w:szCs w:val="20"/>
        </w:rPr>
        <w:t>/</w:t>
      </w:r>
      <w:r w:rsidRPr="00307988" w:rsidR="009A3438">
        <w:rPr>
          <w:rFonts w:ascii="Times New Roman" w:hAnsi="Times New Roman" w:cs="Times New Roman"/>
          <w:sz w:val="20"/>
          <w:szCs w:val="20"/>
        </w:rPr>
        <w:t>157.3</w:t>
      </w:r>
      <w:r w:rsidRPr="00307988" w:rsidR="00B227F0">
        <w:rPr>
          <w:rFonts w:ascii="Times New Roman" w:hAnsi="Times New Roman" w:cs="Times New Roman"/>
          <w:sz w:val="20"/>
          <w:szCs w:val="20"/>
        </w:rPr>
        <w:t xml:space="preserve">. </w:t>
      </w:r>
    </w:p>
    <w:p w:rsidR="00B227F0" w:rsidRPr="00307988" w:rsidP="00307988" w14:paraId="79FBD567" w14:textId="1B08290F">
      <w:pPr>
        <w:pStyle w:val="Default"/>
        <w:rPr>
          <w:rFonts w:ascii="Times New Roman" w:hAnsi="Times New Roman" w:cs="Times New Roman"/>
          <w:sz w:val="20"/>
          <w:szCs w:val="20"/>
        </w:rPr>
      </w:pPr>
      <w:r w:rsidRPr="00307988">
        <w:rPr>
          <w:rFonts w:ascii="Times New Roman" w:hAnsi="Times New Roman" w:cs="Times New Roman"/>
          <w:sz w:val="20"/>
          <w:szCs w:val="20"/>
        </w:rPr>
        <w:t xml:space="preserve">Overhead Multiplier – </w:t>
      </w:r>
      <w:r w:rsidRPr="00307988">
        <w:rPr>
          <w:rFonts w:ascii="Times New Roman" w:hAnsi="Times New Roman" w:cs="Times New Roman"/>
          <w:sz w:val="20"/>
          <w:szCs w:val="20"/>
        </w:rPr>
        <w:t>MSHA use</w:t>
      </w:r>
      <w:r w:rsidRPr="00307988" w:rsidR="0045114A">
        <w:rPr>
          <w:rFonts w:ascii="Times New Roman" w:hAnsi="Times New Roman" w:cs="Times New Roman"/>
          <w:sz w:val="20"/>
          <w:szCs w:val="20"/>
        </w:rPr>
        <w:t>s</w:t>
      </w:r>
      <w:r w:rsidRPr="00307988">
        <w:rPr>
          <w:rFonts w:ascii="Times New Roman" w:hAnsi="Times New Roman" w:cs="Times New Roman"/>
          <w:sz w:val="20"/>
          <w:szCs w:val="20"/>
        </w:rPr>
        <w:t xml:space="preserve"> the overhead multiplier of 1.</w:t>
      </w:r>
      <w:r w:rsidRPr="00307988" w:rsidR="00F430D7">
        <w:rPr>
          <w:rFonts w:ascii="Times New Roman" w:hAnsi="Times New Roman" w:cs="Times New Roman"/>
          <w:sz w:val="20"/>
          <w:szCs w:val="20"/>
        </w:rPr>
        <w:t>01</w:t>
      </w:r>
      <w:r w:rsidRPr="00307988">
        <w:rPr>
          <w:rFonts w:ascii="Times New Roman" w:hAnsi="Times New Roman" w:cs="Times New Roman"/>
          <w:sz w:val="20"/>
          <w:szCs w:val="20"/>
        </w:rPr>
        <w:t>.</w:t>
      </w:r>
    </w:p>
    <w:p w:rsidR="00C6732E" w:rsidRPr="00307988" w:rsidP="00307988" w14:paraId="3B4DAB2E" w14:textId="21E323DF">
      <w:pPr>
        <w:rPr>
          <w:sz w:val="20"/>
          <w:szCs w:val="20"/>
        </w:rPr>
      </w:pPr>
      <w:r w:rsidRPr="00307988">
        <w:rPr>
          <w:sz w:val="20"/>
          <w:szCs w:val="20"/>
        </w:rPr>
        <w:t xml:space="preserve">[a] </w:t>
      </w:r>
      <w:r w:rsidRPr="00307988" w:rsidR="008F7DDE">
        <w:rPr>
          <w:sz w:val="20"/>
          <w:szCs w:val="20"/>
        </w:rPr>
        <w:t xml:space="preserve">The Standard Occupation Codes (SOC) used for this occupation are </w:t>
      </w:r>
      <w:r w:rsidRPr="00307988">
        <w:rPr>
          <w:sz w:val="20"/>
          <w:szCs w:val="20"/>
        </w:rPr>
        <w:t>(17-2071), (17-2081), (17-2112), (17-2141), and (17-2151).</w:t>
      </w:r>
    </w:p>
    <w:p w:rsidR="00C6732E" w:rsidRPr="00307988" w:rsidP="00307988" w14:paraId="0AEB72E0" w14:textId="286B7529">
      <w:pPr>
        <w:rPr>
          <w:sz w:val="20"/>
          <w:szCs w:val="20"/>
        </w:rPr>
      </w:pPr>
      <w:r w:rsidRPr="00307988">
        <w:rPr>
          <w:sz w:val="20"/>
          <w:szCs w:val="20"/>
        </w:rPr>
        <w:t>[b]</w:t>
      </w:r>
      <w:r w:rsidRPr="00307988" w:rsidR="008F7DDE">
        <w:rPr>
          <w:sz w:val="20"/>
          <w:szCs w:val="20"/>
        </w:rPr>
        <w:t xml:space="preserve"> The SOC</w:t>
      </w:r>
      <w:r w:rsidRPr="00307988" w:rsidR="00236BA7">
        <w:rPr>
          <w:sz w:val="20"/>
          <w:szCs w:val="20"/>
        </w:rPr>
        <w:t>s</w:t>
      </w:r>
      <w:r w:rsidRPr="00307988" w:rsidR="008F7DDE">
        <w:rPr>
          <w:sz w:val="20"/>
          <w:szCs w:val="20"/>
        </w:rPr>
        <w:t xml:space="preserve"> used for this occupation are </w:t>
      </w:r>
      <w:r w:rsidRPr="00307988" w:rsidR="009A3438">
        <w:rPr>
          <w:sz w:val="20"/>
          <w:szCs w:val="20"/>
        </w:rPr>
        <w:t>(</w:t>
      </w:r>
      <w:r w:rsidRPr="00307988">
        <w:rPr>
          <w:sz w:val="20"/>
          <w:szCs w:val="20"/>
        </w:rPr>
        <w:t>47-5000</w:t>
      </w:r>
      <w:r w:rsidRPr="00307988" w:rsidR="009A3438">
        <w:rPr>
          <w:sz w:val="20"/>
          <w:szCs w:val="20"/>
        </w:rPr>
        <w:t xml:space="preserve">), </w:t>
      </w:r>
      <w:r w:rsidRPr="00307988" w:rsidR="008F7DDE">
        <w:rPr>
          <w:sz w:val="20"/>
          <w:szCs w:val="20"/>
        </w:rPr>
        <w:t>(</w:t>
      </w:r>
      <w:r w:rsidRPr="00307988">
        <w:rPr>
          <w:sz w:val="20"/>
          <w:szCs w:val="20"/>
        </w:rPr>
        <w:t>49-9043</w:t>
      </w:r>
      <w:r w:rsidRPr="00307988" w:rsidR="008F7DDE">
        <w:rPr>
          <w:sz w:val="20"/>
          <w:szCs w:val="20"/>
        </w:rPr>
        <w:t>),</w:t>
      </w:r>
      <w:r w:rsidRPr="00307988" w:rsidR="009A3438">
        <w:rPr>
          <w:sz w:val="20"/>
          <w:szCs w:val="20"/>
        </w:rPr>
        <w:t xml:space="preserve"> (</w:t>
      </w:r>
      <w:r w:rsidRPr="00307988">
        <w:rPr>
          <w:sz w:val="20"/>
          <w:szCs w:val="20"/>
        </w:rPr>
        <w:t>49-9071</w:t>
      </w:r>
      <w:r w:rsidRPr="00307988" w:rsidR="009A3438">
        <w:rPr>
          <w:sz w:val="20"/>
          <w:szCs w:val="20"/>
        </w:rPr>
        <w:t>), (</w:t>
      </w:r>
      <w:r w:rsidRPr="00307988">
        <w:rPr>
          <w:sz w:val="20"/>
          <w:szCs w:val="20"/>
        </w:rPr>
        <w:t>51-9021</w:t>
      </w:r>
      <w:r w:rsidRPr="00307988" w:rsidR="009A3438">
        <w:rPr>
          <w:sz w:val="20"/>
          <w:szCs w:val="20"/>
        </w:rPr>
        <w:t>),</w:t>
      </w:r>
      <w:r w:rsidRPr="00307988">
        <w:rPr>
          <w:sz w:val="20"/>
          <w:szCs w:val="20"/>
        </w:rPr>
        <w:t xml:space="preserve"> and</w:t>
      </w:r>
      <w:r w:rsidRPr="00307988" w:rsidR="009A3438">
        <w:rPr>
          <w:sz w:val="20"/>
          <w:szCs w:val="20"/>
        </w:rPr>
        <w:t xml:space="preserve"> (</w:t>
      </w:r>
      <w:r w:rsidRPr="00307988">
        <w:rPr>
          <w:sz w:val="20"/>
          <w:szCs w:val="20"/>
        </w:rPr>
        <w:t>53-7000).</w:t>
      </w:r>
    </w:p>
    <w:bookmarkEnd w:id="22"/>
    <w:p w:rsidR="008F7DDE" w:rsidRPr="00307988" w:rsidP="00307988" w14:paraId="005AE4E8" w14:textId="77777777">
      <w:pPr>
        <w:ind w:right="720"/>
      </w:pPr>
    </w:p>
    <w:p w:rsidR="00EA6474" w:rsidRPr="00307988" w:rsidP="00307988" w14:paraId="18F91EEC" w14:textId="77777777">
      <w:pPr>
        <w:pStyle w:val="Default"/>
        <w:rPr>
          <w:rFonts w:ascii="Times New Roman" w:hAnsi="Times New Roman" w:cs="Times New Roman"/>
          <w:b/>
          <w:bCs/>
        </w:rPr>
      </w:pPr>
      <w:bookmarkStart w:id="23" w:name="_Hlk114568327"/>
      <w:r w:rsidRPr="00307988">
        <w:rPr>
          <w:rFonts w:ascii="Times New Roman" w:hAnsi="Times New Roman" w:cs="Times New Roman"/>
          <w:b/>
          <w:bCs/>
        </w:rPr>
        <w:t>Hour Burden</w:t>
      </w:r>
    </w:p>
    <w:p w:rsidR="00EA6474" w:rsidRPr="00307988" w:rsidP="00307988" w14:paraId="4E72742E" w14:textId="77777777">
      <w:pPr>
        <w:pStyle w:val="Default"/>
        <w:rPr>
          <w:rFonts w:ascii="Times New Roman" w:hAnsi="Times New Roman" w:cs="Times New Roman"/>
          <w:b/>
          <w:bCs/>
        </w:rPr>
      </w:pPr>
    </w:p>
    <w:p w:rsidR="00C361F0" w:rsidRPr="00307988" w:rsidP="00307988" w14:paraId="4DE9E73C" w14:textId="0F66E767">
      <w:pPr>
        <w:pStyle w:val="Default"/>
        <w:numPr>
          <w:ilvl w:val="0"/>
          <w:numId w:val="15"/>
        </w:numPr>
        <w:rPr>
          <w:rFonts w:ascii="Times New Roman" w:hAnsi="Times New Roman" w:cs="Times New Roman"/>
          <w:b/>
          <w:bCs/>
          <w:color w:val="000000" w:themeColor="text1"/>
        </w:rPr>
      </w:pPr>
      <w:r w:rsidRPr="00307988">
        <w:rPr>
          <w:rFonts w:ascii="Times New Roman" w:hAnsi="Times New Roman" w:cs="Times New Roman"/>
          <w:b/>
          <w:bCs/>
          <w:color w:val="000000" w:themeColor="text1"/>
        </w:rPr>
        <w:t>Apply</w:t>
      </w:r>
      <w:r w:rsidRPr="00307988" w:rsidR="00985257">
        <w:rPr>
          <w:rFonts w:ascii="Times New Roman" w:hAnsi="Times New Roman" w:cs="Times New Roman"/>
          <w:b/>
          <w:bCs/>
          <w:color w:val="000000" w:themeColor="text1"/>
        </w:rPr>
        <w:t>ing</w:t>
      </w:r>
      <w:r w:rsidRPr="00307988">
        <w:rPr>
          <w:rFonts w:ascii="Times New Roman" w:hAnsi="Times New Roman" w:cs="Times New Roman"/>
          <w:b/>
          <w:bCs/>
          <w:color w:val="000000" w:themeColor="text1"/>
        </w:rPr>
        <w:t xml:space="preserve"> for Permits </w:t>
      </w:r>
      <w:r w:rsidRPr="00307988" w:rsidR="008353BB">
        <w:rPr>
          <w:rFonts w:ascii="Times New Roman" w:hAnsi="Times New Roman" w:cs="Times New Roman"/>
          <w:b/>
          <w:bCs/>
          <w:color w:val="000000" w:themeColor="text1"/>
        </w:rPr>
        <w:t>for</w:t>
      </w:r>
      <w:r w:rsidRPr="00307988">
        <w:rPr>
          <w:rFonts w:ascii="Times New Roman" w:hAnsi="Times New Roman" w:cs="Times New Roman"/>
          <w:b/>
          <w:bCs/>
          <w:color w:val="000000" w:themeColor="text1"/>
        </w:rPr>
        <w:t xml:space="preserve"> Fir</w:t>
      </w:r>
      <w:r w:rsidRPr="00307988" w:rsidR="008353BB">
        <w:rPr>
          <w:rFonts w:ascii="Times New Roman" w:hAnsi="Times New Roman" w:cs="Times New Roman"/>
          <w:b/>
          <w:bCs/>
          <w:color w:val="000000" w:themeColor="text1"/>
        </w:rPr>
        <w:t>ing</w:t>
      </w:r>
      <w:r w:rsidRPr="00307988">
        <w:rPr>
          <w:rFonts w:ascii="Times New Roman" w:hAnsi="Times New Roman" w:cs="Times New Roman"/>
          <w:b/>
          <w:bCs/>
          <w:color w:val="000000" w:themeColor="text1"/>
        </w:rPr>
        <w:t xml:space="preserve"> </w:t>
      </w:r>
      <w:r w:rsidRPr="00307988" w:rsidR="008353BB">
        <w:rPr>
          <w:rFonts w:ascii="Times New Roman" w:hAnsi="Times New Roman" w:cs="Times New Roman"/>
          <w:b/>
          <w:bCs/>
          <w:color w:val="000000" w:themeColor="text1"/>
        </w:rPr>
        <w:t>m</w:t>
      </w:r>
      <w:r w:rsidRPr="00307988">
        <w:rPr>
          <w:rFonts w:ascii="Times New Roman" w:hAnsi="Times New Roman" w:cs="Times New Roman"/>
          <w:b/>
          <w:bCs/>
          <w:color w:val="000000" w:themeColor="text1"/>
        </w:rPr>
        <w:t>ore than 20 Boreholes and for Use of Non</w:t>
      </w:r>
      <w:r w:rsidRPr="00307988" w:rsidR="003C497A">
        <w:rPr>
          <w:rFonts w:ascii="Times New Roman" w:hAnsi="Times New Roman" w:cs="Times New Roman"/>
          <w:b/>
          <w:bCs/>
          <w:color w:val="000000" w:themeColor="text1"/>
        </w:rPr>
        <w:t>p</w:t>
      </w:r>
      <w:r w:rsidRPr="00307988">
        <w:rPr>
          <w:rFonts w:ascii="Times New Roman" w:hAnsi="Times New Roman" w:cs="Times New Roman"/>
          <w:b/>
          <w:bCs/>
          <w:color w:val="000000" w:themeColor="text1"/>
        </w:rPr>
        <w:t>ermissible Blasting Units, Explosives, and Shot-</w:t>
      </w:r>
      <w:r w:rsidRPr="00307988" w:rsidR="00997CC1">
        <w:rPr>
          <w:rFonts w:ascii="Times New Roman" w:hAnsi="Times New Roman" w:cs="Times New Roman"/>
          <w:b/>
          <w:bCs/>
          <w:color w:val="000000" w:themeColor="text1"/>
        </w:rPr>
        <w:t>F</w:t>
      </w:r>
      <w:r w:rsidRPr="00307988">
        <w:rPr>
          <w:rFonts w:ascii="Times New Roman" w:hAnsi="Times New Roman" w:cs="Times New Roman"/>
          <w:b/>
          <w:bCs/>
          <w:color w:val="000000" w:themeColor="text1"/>
        </w:rPr>
        <w:t>iring Units</w:t>
      </w:r>
    </w:p>
    <w:p w:rsidR="00812CC1" w:rsidRPr="00307988" w:rsidP="00307988" w14:paraId="265D5D5B" w14:textId="77777777">
      <w:pPr>
        <w:pStyle w:val="Default"/>
        <w:rPr>
          <w:rFonts w:ascii="Times New Roman" w:hAnsi="Times New Roman" w:cs="Times New Roman"/>
          <w:b/>
          <w:bCs/>
          <w:color w:val="000000" w:themeColor="text1"/>
        </w:rPr>
      </w:pPr>
    </w:p>
    <w:p w:rsidR="00997CC1" w:rsidRPr="00307988" w:rsidP="00307988" w14:paraId="243E9C9B" w14:textId="0A42C1F2">
      <w:pPr>
        <w:ind w:right="720"/>
        <w:rPr>
          <w:color w:val="000000" w:themeColor="text1"/>
        </w:rPr>
      </w:pPr>
      <w:r w:rsidRPr="00307988">
        <w:t xml:space="preserve">Under </w:t>
      </w:r>
      <w:r w:rsidRPr="00307988" w:rsidR="00DC1AEF">
        <w:t>30 CFR 75.1321</w:t>
      </w:r>
      <w:r w:rsidRPr="00307988">
        <w:t>(a)</w:t>
      </w:r>
      <w:r w:rsidRPr="00307988" w:rsidR="00DC1AEF">
        <w:t xml:space="preserve"> and 77.1909-1, mine operators may apply for permit</w:t>
      </w:r>
      <w:r w:rsidRPr="00307988" w:rsidR="008E7CC4">
        <w:t>s</w:t>
      </w:r>
      <w:r w:rsidRPr="00307988" w:rsidR="00DC1AEF">
        <w:t xml:space="preserve"> </w:t>
      </w:r>
      <w:r w:rsidRPr="00307988">
        <w:t>for</w:t>
      </w:r>
      <w:r w:rsidRPr="00307988" w:rsidR="00DC1AEF">
        <w:t xml:space="preserve"> </w:t>
      </w:r>
      <w:r w:rsidRPr="00307988" w:rsidR="00166B7C">
        <w:t xml:space="preserve">firing more than 20 boreholes in a round, </w:t>
      </w:r>
      <w:r w:rsidRPr="00307988">
        <w:t xml:space="preserve">or </w:t>
      </w:r>
      <w:r w:rsidRPr="00307988" w:rsidR="00166B7C">
        <w:t xml:space="preserve">for the use of nonpermissible blasting units, </w:t>
      </w:r>
      <w:r w:rsidRPr="00307988" w:rsidR="00166B7C">
        <w:rPr>
          <w:color w:val="000000" w:themeColor="text1"/>
        </w:rPr>
        <w:t>nonpermissible explosives</w:t>
      </w:r>
      <w:r w:rsidRPr="00307988" w:rsidR="00985257">
        <w:rPr>
          <w:color w:val="000000" w:themeColor="text1"/>
        </w:rPr>
        <w:t xml:space="preserve"> and/</w:t>
      </w:r>
      <w:r w:rsidRPr="00307988" w:rsidR="00166B7C">
        <w:rPr>
          <w:color w:val="000000" w:themeColor="text1"/>
        </w:rPr>
        <w:t xml:space="preserve">or nonpermissible shot-firing units. </w:t>
      </w:r>
    </w:p>
    <w:p w:rsidR="004C1454" w:rsidRPr="00307988" w:rsidP="00307988" w14:paraId="1A22BA9E" w14:textId="77777777">
      <w:pPr>
        <w:ind w:right="720"/>
        <w:rPr>
          <w:color w:val="000000" w:themeColor="text1"/>
        </w:rPr>
      </w:pPr>
    </w:p>
    <w:p w:rsidR="004C1454" w:rsidRPr="00307988" w:rsidP="00307988" w14:paraId="28C4E53B" w14:textId="363F2700">
      <w:pPr>
        <w:pStyle w:val="Default"/>
        <w:rPr>
          <w:rFonts w:ascii="Times New Roman" w:hAnsi="Times New Roman" w:cs="Times New Roman"/>
          <w:color w:val="000000" w:themeColor="text1"/>
        </w:rPr>
      </w:pPr>
      <w:r w:rsidRPr="00307988">
        <w:rPr>
          <w:rFonts w:ascii="Times New Roman" w:hAnsi="Times New Roman" w:cs="Times New Roman"/>
          <w:color w:val="000000" w:themeColor="text1"/>
        </w:rPr>
        <w:t>Permit applications, which contain all pertinent information, are submitted one time by any participating mine. There are no requirements for the respondent to report the ongoing or occasional use of the District Manager-approved blasting plan, including the use of nonpermissible explosives and shot-firing units or the firing of more than 20 boreholes. However, while mine operators are not explicitly required to submit information more than once, revised applications do need to be submitted to MSHA when the conditions outlined in 30 CFR 75.1321(a)(6) occur.</w:t>
      </w:r>
    </w:p>
    <w:p w:rsidR="00997CC1" w:rsidRPr="00307988" w:rsidP="00307988" w14:paraId="7FBD72A6" w14:textId="77777777">
      <w:pPr>
        <w:ind w:right="720"/>
        <w:rPr>
          <w:color w:val="000000" w:themeColor="text1"/>
        </w:rPr>
      </w:pPr>
    </w:p>
    <w:p w:rsidR="00997CC1" w:rsidRPr="00307988" w:rsidP="00307988" w14:paraId="1FFA3C92" w14:textId="7FAD6417">
      <w:pPr>
        <w:widowControl/>
        <w:autoSpaceDE/>
        <w:autoSpaceDN/>
        <w:adjustRightInd/>
      </w:pPr>
      <w:r w:rsidRPr="00307988">
        <w:t>In 2024, a total of 33 permit applications were received</w:t>
      </w:r>
      <w:r w:rsidRPr="00307988">
        <w:rPr>
          <w:iCs/>
        </w:rPr>
        <w:t xml:space="preserve"> from 33 coal mines</w:t>
      </w:r>
      <w:r w:rsidRPr="00307988">
        <w:t xml:space="preserve">, including 25 applications </w:t>
      </w:r>
      <w:r w:rsidRPr="00307988">
        <w:t xml:space="preserve">for firing more than 20 boreholes in a round </w:t>
      </w:r>
      <w:r w:rsidRPr="00307988">
        <w:t>under 30 CFR 75.1321</w:t>
      </w:r>
      <w:r w:rsidRPr="00307988">
        <w:t>(a)</w:t>
      </w:r>
      <w:r w:rsidRPr="00307988">
        <w:t xml:space="preserve"> and 8 applications </w:t>
      </w:r>
      <w:r w:rsidRPr="00307988">
        <w:t xml:space="preserve">for use of nonpermissible blasting units, </w:t>
      </w:r>
      <w:r w:rsidRPr="00307988">
        <w:rPr>
          <w:color w:val="000000" w:themeColor="text1"/>
        </w:rPr>
        <w:t>explosives, or shot-firing units</w:t>
      </w:r>
      <w:r w:rsidRPr="00307988">
        <w:t xml:space="preserve"> </w:t>
      </w:r>
      <w:r w:rsidRPr="00307988">
        <w:t xml:space="preserve">under 30 CFR 77.1909-1. </w:t>
      </w:r>
    </w:p>
    <w:p w:rsidR="00997CC1" w:rsidRPr="00307988" w:rsidP="00307988" w14:paraId="1463B994" w14:textId="77777777">
      <w:pPr>
        <w:ind w:right="720"/>
      </w:pPr>
    </w:p>
    <w:p w:rsidR="009A3438" w:rsidRPr="00307988" w:rsidP="00307988" w14:paraId="3E0F48EE" w14:textId="33A87FB6">
      <w:pPr>
        <w:ind w:right="720"/>
      </w:pPr>
      <w:r w:rsidRPr="00307988">
        <w:t>MSHA estimates that</w:t>
      </w:r>
      <w:r w:rsidRPr="00307988" w:rsidR="00166B7C">
        <w:t xml:space="preserve"> </w:t>
      </w:r>
      <w:r w:rsidRPr="00307988" w:rsidR="00997CC1">
        <w:t xml:space="preserve">it takes </w:t>
      </w:r>
      <w:r w:rsidRPr="00307988">
        <w:t>an engineer, earning $7</w:t>
      </w:r>
      <w:r w:rsidRPr="00307988" w:rsidR="00166B7C">
        <w:t>7.97</w:t>
      </w:r>
      <w:r w:rsidRPr="00307988">
        <w:t xml:space="preserve"> per hour</w:t>
      </w:r>
      <w:r w:rsidRPr="00307988" w:rsidR="00166B7C">
        <w:t>,</w:t>
      </w:r>
      <w:r w:rsidRPr="00307988">
        <w:t xml:space="preserve"> 1 hour to prepare and submit </w:t>
      </w:r>
      <w:r w:rsidRPr="00307988" w:rsidR="00997CC1">
        <w:t xml:space="preserve">a </w:t>
      </w:r>
      <w:r w:rsidRPr="00307988">
        <w:t xml:space="preserve">permit application. </w:t>
      </w:r>
    </w:p>
    <w:bookmarkEnd w:id="23"/>
    <w:p w:rsidR="008F7DDE" w:rsidRPr="00307988" w:rsidP="00307988" w14:paraId="75BF07C9" w14:textId="77777777">
      <w:pPr>
        <w:autoSpaceDE/>
        <w:autoSpaceDN/>
        <w:adjustRightInd/>
        <w:ind w:right="720"/>
      </w:pPr>
    </w:p>
    <w:p w:rsidR="00052BD8" w:rsidRPr="00307988" w:rsidP="00307988" w14:paraId="7FF16E26" w14:textId="7EAEE305">
      <w:pPr>
        <w:widowControl/>
        <w:autoSpaceDE/>
        <w:autoSpaceDN/>
        <w:adjustRightInd/>
        <w:rPr>
          <w:b/>
          <w:bCs/>
          <w:color w:val="000000"/>
        </w:rPr>
      </w:pPr>
      <w:bookmarkStart w:id="24" w:name="_Hlk114568917"/>
      <w:r w:rsidRPr="00307988">
        <w:rPr>
          <w:b/>
          <w:bCs/>
          <w:color w:val="000000"/>
        </w:rPr>
        <w:t xml:space="preserve">Table 12-2. Estimated Annual Respondent Hour and Cost Burden, </w:t>
      </w:r>
      <w:r w:rsidRPr="00307988" w:rsidR="00985257">
        <w:rPr>
          <w:b/>
          <w:bCs/>
          <w:color w:val="000000"/>
        </w:rPr>
        <w:t>Preparing and Submitting</w:t>
      </w:r>
      <w:r w:rsidRPr="00307988">
        <w:rPr>
          <w:b/>
          <w:bCs/>
          <w:color w:val="000000"/>
        </w:rPr>
        <w:t xml:space="preserve"> Permit</w:t>
      </w:r>
      <w:r w:rsidRPr="00307988" w:rsidR="00997CC1">
        <w:rPr>
          <w:b/>
          <w:bCs/>
          <w:color w:val="000000"/>
        </w:rPr>
        <w:t xml:space="preserve"> Application</w:t>
      </w:r>
      <w:r w:rsidRPr="00307988">
        <w:rPr>
          <w:b/>
          <w:bCs/>
          <w:color w:val="000000"/>
        </w:rPr>
        <w:t xml:space="preserve">s </w:t>
      </w:r>
      <w:bookmarkStart w:id="25" w:name="_Hlk189823230"/>
      <w:r w:rsidRPr="00307988">
        <w:rPr>
          <w:b/>
          <w:bCs/>
          <w:color w:val="000000"/>
        </w:rPr>
        <w:t>(30 CFR 75.1321</w:t>
      </w:r>
      <w:r w:rsidRPr="00307988" w:rsidR="00997CC1">
        <w:rPr>
          <w:b/>
          <w:bCs/>
          <w:color w:val="000000"/>
        </w:rPr>
        <w:t>(a)</w:t>
      </w:r>
      <w:r w:rsidRPr="00307988">
        <w:rPr>
          <w:b/>
          <w:bCs/>
          <w:color w:val="000000"/>
        </w:rPr>
        <w:t xml:space="preserve"> and</w:t>
      </w:r>
      <w:r w:rsidRPr="00307988" w:rsidR="007E35A8">
        <w:rPr>
          <w:b/>
          <w:bCs/>
          <w:color w:val="000000"/>
        </w:rPr>
        <w:t xml:space="preserve"> </w:t>
      </w:r>
      <w:r w:rsidRPr="00307988">
        <w:rPr>
          <w:b/>
          <w:bCs/>
          <w:color w:val="000000"/>
        </w:rPr>
        <w:t>77.1909-1)</w:t>
      </w:r>
    </w:p>
    <w:tbl>
      <w:tblPr>
        <w:tblStyle w:val="TableGrid"/>
        <w:tblW w:w="9445" w:type="dxa"/>
        <w:tblLayout w:type="fixed"/>
        <w:tblLook w:val="04A0"/>
      </w:tblPr>
      <w:tblGrid>
        <w:gridCol w:w="1435"/>
        <w:gridCol w:w="1260"/>
        <w:gridCol w:w="1170"/>
        <w:gridCol w:w="1440"/>
        <w:gridCol w:w="1080"/>
        <w:gridCol w:w="990"/>
        <w:gridCol w:w="990"/>
        <w:gridCol w:w="1080"/>
      </w:tblGrid>
      <w:tr w14:paraId="25A98629" w14:textId="77777777" w:rsidTr="002869B3">
        <w:tblPrEx>
          <w:tblW w:w="9445" w:type="dxa"/>
          <w:tblLayout w:type="fixed"/>
          <w:tblLook w:val="04A0"/>
        </w:tblPrEx>
        <w:trPr>
          <w:trHeight w:val="747"/>
        </w:trPr>
        <w:tc>
          <w:tcPr>
            <w:tcW w:w="1435" w:type="dxa"/>
            <w:shd w:val="clear" w:color="auto" w:fill="8EAADB" w:themeFill="accent1" w:themeFillTint="99"/>
            <w:vAlign w:val="center"/>
            <w:hideMark/>
          </w:tcPr>
          <w:p w:rsidR="00147FD3" w:rsidRPr="00307988" w:rsidP="00307988" w14:paraId="77F9E0DB" w14:textId="16483E97">
            <w:pPr>
              <w:widowControl/>
              <w:autoSpaceDE/>
              <w:autoSpaceDN/>
              <w:adjustRightInd/>
              <w:rPr>
                <w:rFonts w:eastAsiaTheme="minorHAnsi"/>
                <w:sz w:val="20"/>
                <w:szCs w:val="20"/>
              </w:rPr>
            </w:pPr>
            <w:bookmarkStart w:id="26" w:name="_Hlk114568834"/>
            <w:bookmarkEnd w:id="24"/>
            <w:bookmarkEnd w:id="25"/>
            <w:r w:rsidRPr="00307988">
              <w:rPr>
                <w:color w:val="000000"/>
                <w:sz w:val="20"/>
                <w:szCs w:val="20"/>
              </w:rPr>
              <w:t>Activity (Occupation)</w:t>
            </w:r>
          </w:p>
        </w:tc>
        <w:tc>
          <w:tcPr>
            <w:tcW w:w="1260" w:type="dxa"/>
            <w:shd w:val="clear" w:color="auto" w:fill="8EAADB" w:themeFill="accent1" w:themeFillTint="99"/>
            <w:vAlign w:val="center"/>
            <w:hideMark/>
          </w:tcPr>
          <w:p w:rsidR="00147FD3" w:rsidRPr="00307988" w:rsidP="00307988" w14:paraId="48341AAF" w14:textId="1DE9C9F8">
            <w:pPr>
              <w:widowControl/>
              <w:autoSpaceDE/>
              <w:autoSpaceDN/>
              <w:adjustRightInd/>
              <w:jc w:val="center"/>
              <w:rPr>
                <w:rFonts w:eastAsiaTheme="minorHAnsi"/>
                <w:sz w:val="20"/>
                <w:szCs w:val="20"/>
              </w:rPr>
            </w:pPr>
            <w:r w:rsidRPr="00307988">
              <w:rPr>
                <w:color w:val="000000"/>
                <w:sz w:val="20"/>
                <w:szCs w:val="20"/>
              </w:rPr>
              <w:t>Number of Respondents (Mines)</w:t>
            </w:r>
          </w:p>
        </w:tc>
        <w:tc>
          <w:tcPr>
            <w:tcW w:w="1170" w:type="dxa"/>
            <w:shd w:val="clear" w:color="auto" w:fill="8EAADB" w:themeFill="accent1" w:themeFillTint="99"/>
            <w:vAlign w:val="center"/>
          </w:tcPr>
          <w:p w:rsidR="00147FD3" w:rsidRPr="00307988" w:rsidP="00307988" w14:paraId="11F0965A" w14:textId="70C823C9">
            <w:pPr>
              <w:widowControl/>
              <w:autoSpaceDE/>
              <w:autoSpaceDN/>
              <w:adjustRightInd/>
              <w:jc w:val="center"/>
              <w:rPr>
                <w:rFonts w:eastAsiaTheme="minorHAnsi"/>
                <w:sz w:val="20"/>
                <w:szCs w:val="20"/>
              </w:rPr>
            </w:pPr>
            <w:r w:rsidRPr="00307988">
              <w:rPr>
                <w:color w:val="000000"/>
                <w:sz w:val="20"/>
                <w:szCs w:val="20"/>
              </w:rPr>
              <w:t>Number of Responses per Respondent</w:t>
            </w:r>
          </w:p>
        </w:tc>
        <w:tc>
          <w:tcPr>
            <w:tcW w:w="1440" w:type="dxa"/>
            <w:shd w:val="clear" w:color="auto" w:fill="8EAADB" w:themeFill="accent1" w:themeFillTint="99"/>
            <w:vAlign w:val="center"/>
          </w:tcPr>
          <w:p w:rsidR="00147FD3" w:rsidRPr="00307988" w:rsidP="00307988" w14:paraId="55C4A7F3" w14:textId="00BACA80">
            <w:pPr>
              <w:widowControl/>
              <w:autoSpaceDE/>
              <w:autoSpaceDN/>
              <w:adjustRightInd/>
              <w:jc w:val="center"/>
              <w:rPr>
                <w:rFonts w:eastAsiaTheme="minorHAnsi"/>
                <w:sz w:val="20"/>
                <w:szCs w:val="20"/>
              </w:rPr>
            </w:pPr>
            <w:r w:rsidRPr="00307988">
              <w:rPr>
                <w:color w:val="000000"/>
                <w:sz w:val="20"/>
                <w:szCs w:val="20"/>
              </w:rPr>
              <w:t>Total Responses (Applications)</w:t>
            </w:r>
          </w:p>
        </w:tc>
        <w:tc>
          <w:tcPr>
            <w:tcW w:w="1080" w:type="dxa"/>
            <w:shd w:val="clear" w:color="auto" w:fill="8EAADB" w:themeFill="accent1" w:themeFillTint="99"/>
            <w:vAlign w:val="center"/>
          </w:tcPr>
          <w:p w:rsidR="00147FD3" w:rsidRPr="00307988" w:rsidP="00307988" w14:paraId="746C0A63" w14:textId="5E821BD0">
            <w:pPr>
              <w:widowControl/>
              <w:autoSpaceDE/>
              <w:autoSpaceDN/>
              <w:adjustRightInd/>
              <w:jc w:val="center"/>
              <w:rPr>
                <w:rFonts w:eastAsiaTheme="minorHAnsi"/>
                <w:sz w:val="20"/>
                <w:szCs w:val="20"/>
              </w:rPr>
            </w:pPr>
            <w:r w:rsidRPr="00307988">
              <w:rPr>
                <w:color w:val="000000"/>
                <w:sz w:val="20"/>
                <w:szCs w:val="20"/>
              </w:rPr>
              <w:t>Average Burden (Hours)</w:t>
            </w:r>
          </w:p>
        </w:tc>
        <w:tc>
          <w:tcPr>
            <w:tcW w:w="990" w:type="dxa"/>
            <w:shd w:val="clear" w:color="auto" w:fill="8EAADB" w:themeFill="accent1" w:themeFillTint="99"/>
            <w:vAlign w:val="center"/>
            <w:hideMark/>
          </w:tcPr>
          <w:p w:rsidR="00147FD3" w:rsidRPr="00307988" w:rsidP="00307988" w14:paraId="6FD7747E" w14:textId="5E6B3445">
            <w:pPr>
              <w:widowControl/>
              <w:autoSpaceDE/>
              <w:autoSpaceDN/>
              <w:adjustRightInd/>
              <w:jc w:val="center"/>
              <w:rPr>
                <w:rFonts w:eastAsiaTheme="minorHAnsi"/>
                <w:sz w:val="20"/>
                <w:szCs w:val="20"/>
              </w:rPr>
            </w:pPr>
            <w:r w:rsidRPr="00307988">
              <w:rPr>
                <w:color w:val="000000"/>
                <w:sz w:val="20"/>
                <w:szCs w:val="20"/>
              </w:rPr>
              <w:t>Total Burden (Hours)</w:t>
            </w:r>
          </w:p>
        </w:tc>
        <w:tc>
          <w:tcPr>
            <w:tcW w:w="990" w:type="dxa"/>
            <w:shd w:val="clear" w:color="auto" w:fill="8EAADB" w:themeFill="accent1" w:themeFillTint="99"/>
            <w:vAlign w:val="center"/>
            <w:hideMark/>
          </w:tcPr>
          <w:p w:rsidR="00147FD3" w:rsidRPr="00307988" w:rsidP="00307988" w14:paraId="379D01C8" w14:textId="51C12131">
            <w:pPr>
              <w:widowControl/>
              <w:autoSpaceDE/>
              <w:autoSpaceDN/>
              <w:adjustRightInd/>
              <w:jc w:val="center"/>
              <w:rPr>
                <w:rFonts w:eastAsiaTheme="minorHAnsi"/>
                <w:sz w:val="20"/>
                <w:szCs w:val="20"/>
              </w:rPr>
            </w:pPr>
            <w:r w:rsidRPr="00307988">
              <w:rPr>
                <w:color w:val="000000"/>
                <w:sz w:val="20"/>
                <w:szCs w:val="20"/>
              </w:rPr>
              <w:t>Hourly Wage Rate</w:t>
            </w:r>
          </w:p>
        </w:tc>
        <w:tc>
          <w:tcPr>
            <w:tcW w:w="1080" w:type="dxa"/>
            <w:shd w:val="clear" w:color="auto" w:fill="8EAADB" w:themeFill="accent1" w:themeFillTint="99"/>
            <w:vAlign w:val="center"/>
            <w:hideMark/>
          </w:tcPr>
          <w:p w:rsidR="00147FD3" w:rsidRPr="00307988" w:rsidP="00307988" w14:paraId="1D5A20D0" w14:textId="59111519">
            <w:pPr>
              <w:widowControl/>
              <w:autoSpaceDE/>
              <w:autoSpaceDN/>
              <w:adjustRightInd/>
              <w:jc w:val="center"/>
              <w:rPr>
                <w:rFonts w:eastAsiaTheme="minorHAnsi"/>
                <w:sz w:val="20"/>
                <w:szCs w:val="20"/>
              </w:rPr>
            </w:pPr>
            <w:r w:rsidRPr="00307988">
              <w:rPr>
                <w:color w:val="000000"/>
                <w:sz w:val="20"/>
                <w:szCs w:val="20"/>
              </w:rPr>
              <w:t>Total Burden Cost</w:t>
            </w:r>
          </w:p>
        </w:tc>
      </w:tr>
      <w:tr w14:paraId="317ADA85" w14:textId="77777777" w:rsidTr="00985257">
        <w:tblPrEx>
          <w:tblW w:w="9445" w:type="dxa"/>
          <w:tblLayout w:type="fixed"/>
          <w:tblLook w:val="04A0"/>
        </w:tblPrEx>
        <w:trPr>
          <w:trHeight w:val="363"/>
        </w:trPr>
        <w:tc>
          <w:tcPr>
            <w:tcW w:w="1435" w:type="dxa"/>
            <w:noWrap/>
            <w:vAlign w:val="bottom"/>
            <w:hideMark/>
          </w:tcPr>
          <w:p w:rsidR="00147FD3" w:rsidRPr="00307988" w:rsidP="00307988" w14:paraId="738C8804" w14:textId="5BC8164A">
            <w:pPr>
              <w:widowControl/>
              <w:autoSpaceDE/>
              <w:autoSpaceDN/>
              <w:adjustRightInd/>
              <w:rPr>
                <w:rFonts w:eastAsiaTheme="minorHAnsi"/>
                <w:bCs/>
                <w:sz w:val="20"/>
                <w:szCs w:val="20"/>
              </w:rPr>
            </w:pPr>
            <w:r w:rsidRPr="00307988">
              <w:rPr>
                <w:color w:val="000000"/>
                <w:sz w:val="20"/>
                <w:szCs w:val="20"/>
              </w:rPr>
              <w:t>Prepar</w:t>
            </w:r>
            <w:r w:rsidRPr="00307988" w:rsidR="00997CC1">
              <w:rPr>
                <w:color w:val="000000"/>
                <w:sz w:val="20"/>
                <w:szCs w:val="20"/>
              </w:rPr>
              <w:t>ing</w:t>
            </w:r>
            <w:r w:rsidRPr="00307988">
              <w:rPr>
                <w:color w:val="000000"/>
                <w:sz w:val="20"/>
                <w:szCs w:val="20"/>
              </w:rPr>
              <w:t xml:space="preserve"> and </w:t>
            </w:r>
            <w:r w:rsidRPr="00307988" w:rsidR="001C4004">
              <w:rPr>
                <w:color w:val="000000"/>
                <w:sz w:val="20"/>
                <w:szCs w:val="20"/>
              </w:rPr>
              <w:t>S</w:t>
            </w:r>
            <w:r w:rsidRPr="00307988" w:rsidR="00BA1BC0">
              <w:rPr>
                <w:color w:val="000000"/>
                <w:sz w:val="20"/>
                <w:szCs w:val="20"/>
              </w:rPr>
              <w:t>ubmitting</w:t>
            </w:r>
            <w:r w:rsidRPr="00307988">
              <w:rPr>
                <w:color w:val="000000"/>
                <w:sz w:val="20"/>
                <w:szCs w:val="20"/>
              </w:rPr>
              <w:t xml:space="preserve"> </w:t>
            </w:r>
            <w:r w:rsidRPr="00307988" w:rsidR="00C4790A">
              <w:rPr>
                <w:color w:val="000000"/>
                <w:sz w:val="20"/>
                <w:szCs w:val="20"/>
              </w:rPr>
              <w:t xml:space="preserve">Permit </w:t>
            </w:r>
            <w:r w:rsidRPr="00307988">
              <w:rPr>
                <w:color w:val="000000"/>
                <w:sz w:val="20"/>
                <w:szCs w:val="20"/>
              </w:rPr>
              <w:t>Applications</w:t>
            </w:r>
            <w:r w:rsidRPr="00307988">
              <w:rPr>
                <w:color w:val="000000"/>
                <w:sz w:val="20"/>
                <w:szCs w:val="20"/>
              </w:rPr>
              <w:t xml:space="preserve"> (Engineer)</w:t>
            </w:r>
          </w:p>
        </w:tc>
        <w:tc>
          <w:tcPr>
            <w:tcW w:w="1260" w:type="dxa"/>
            <w:noWrap/>
            <w:vAlign w:val="center"/>
          </w:tcPr>
          <w:p w:rsidR="00147FD3" w:rsidRPr="00307988" w:rsidP="00307988" w14:paraId="714AF956" w14:textId="1D5C964F">
            <w:pPr>
              <w:widowControl/>
              <w:autoSpaceDE/>
              <w:autoSpaceDN/>
              <w:adjustRightInd/>
              <w:jc w:val="right"/>
              <w:rPr>
                <w:rFonts w:eastAsiaTheme="minorHAnsi"/>
                <w:bCs/>
                <w:sz w:val="20"/>
                <w:szCs w:val="20"/>
              </w:rPr>
            </w:pPr>
            <w:r w:rsidRPr="00307988">
              <w:rPr>
                <w:color w:val="000000"/>
                <w:sz w:val="20"/>
                <w:szCs w:val="20"/>
              </w:rPr>
              <w:t>33</w:t>
            </w:r>
          </w:p>
        </w:tc>
        <w:tc>
          <w:tcPr>
            <w:tcW w:w="1170" w:type="dxa"/>
            <w:vAlign w:val="center"/>
          </w:tcPr>
          <w:p w:rsidR="00147FD3" w:rsidRPr="00307988" w:rsidP="00307988" w14:paraId="644C4A0E" w14:textId="03FF09AD">
            <w:pPr>
              <w:widowControl/>
              <w:autoSpaceDE/>
              <w:autoSpaceDN/>
              <w:adjustRightInd/>
              <w:jc w:val="right"/>
              <w:rPr>
                <w:rFonts w:eastAsiaTheme="minorHAnsi"/>
                <w:bCs/>
                <w:sz w:val="20"/>
                <w:szCs w:val="20"/>
              </w:rPr>
            </w:pPr>
            <w:r w:rsidRPr="00307988">
              <w:rPr>
                <w:color w:val="000000"/>
                <w:sz w:val="20"/>
                <w:szCs w:val="20"/>
              </w:rPr>
              <w:t>1</w:t>
            </w:r>
          </w:p>
        </w:tc>
        <w:tc>
          <w:tcPr>
            <w:tcW w:w="1440" w:type="dxa"/>
            <w:vAlign w:val="center"/>
          </w:tcPr>
          <w:p w:rsidR="00147FD3" w:rsidRPr="00307988" w:rsidP="00307988" w14:paraId="5DC1F7FD" w14:textId="6A22F56E">
            <w:pPr>
              <w:widowControl/>
              <w:autoSpaceDE/>
              <w:autoSpaceDN/>
              <w:adjustRightInd/>
              <w:jc w:val="right"/>
              <w:rPr>
                <w:rFonts w:eastAsiaTheme="minorHAnsi"/>
                <w:bCs/>
                <w:sz w:val="20"/>
                <w:szCs w:val="20"/>
              </w:rPr>
            </w:pPr>
            <w:r w:rsidRPr="00307988">
              <w:rPr>
                <w:color w:val="000000"/>
                <w:sz w:val="20"/>
                <w:szCs w:val="20"/>
              </w:rPr>
              <w:t>33</w:t>
            </w:r>
          </w:p>
        </w:tc>
        <w:tc>
          <w:tcPr>
            <w:tcW w:w="1080" w:type="dxa"/>
            <w:vAlign w:val="center"/>
          </w:tcPr>
          <w:p w:rsidR="00147FD3" w:rsidRPr="00307988" w:rsidP="00307988" w14:paraId="75539D3E" w14:textId="5A2E7705">
            <w:pPr>
              <w:widowControl/>
              <w:autoSpaceDE/>
              <w:autoSpaceDN/>
              <w:adjustRightInd/>
              <w:jc w:val="right"/>
              <w:rPr>
                <w:rFonts w:eastAsiaTheme="minorHAnsi"/>
                <w:bCs/>
                <w:sz w:val="20"/>
                <w:szCs w:val="20"/>
              </w:rPr>
            </w:pPr>
            <w:r w:rsidRPr="00307988">
              <w:rPr>
                <w:color w:val="000000"/>
                <w:sz w:val="20"/>
                <w:szCs w:val="20"/>
              </w:rPr>
              <w:t>1</w:t>
            </w:r>
          </w:p>
        </w:tc>
        <w:tc>
          <w:tcPr>
            <w:tcW w:w="990" w:type="dxa"/>
            <w:noWrap/>
            <w:vAlign w:val="center"/>
          </w:tcPr>
          <w:p w:rsidR="00147FD3" w:rsidRPr="00307988" w:rsidP="00307988" w14:paraId="23C448CA" w14:textId="4398D089">
            <w:pPr>
              <w:widowControl/>
              <w:autoSpaceDE/>
              <w:autoSpaceDN/>
              <w:adjustRightInd/>
              <w:jc w:val="right"/>
              <w:rPr>
                <w:rFonts w:eastAsiaTheme="minorHAnsi"/>
                <w:bCs/>
                <w:sz w:val="20"/>
                <w:szCs w:val="20"/>
              </w:rPr>
            </w:pPr>
            <w:r w:rsidRPr="00307988">
              <w:rPr>
                <w:color w:val="000000"/>
                <w:sz w:val="20"/>
                <w:szCs w:val="20"/>
              </w:rPr>
              <w:t>33.00</w:t>
            </w:r>
          </w:p>
        </w:tc>
        <w:tc>
          <w:tcPr>
            <w:tcW w:w="990" w:type="dxa"/>
            <w:noWrap/>
            <w:vAlign w:val="center"/>
            <w:hideMark/>
          </w:tcPr>
          <w:p w:rsidR="00147FD3" w:rsidRPr="00307988" w:rsidP="00307988" w14:paraId="3C292B33" w14:textId="260C01E8">
            <w:pPr>
              <w:widowControl/>
              <w:autoSpaceDE/>
              <w:autoSpaceDN/>
              <w:adjustRightInd/>
              <w:jc w:val="right"/>
              <w:rPr>
                <w:rFonts w:eastAsiaTheme="minorHAnsi"/>
                <w:bCs/>
                <w:sz w:val="20"/>
                <w:szCs w:val="20"/>
              </w:rPr>
            </w:pPr>
            <w:r w:rsidRPr="00307988">
              <w:rPr>
                <w:color w:val="000000"/>
                <w:sz w:val="20"/>
                <w:szCs w:val="20"/>
              </w:rPr>
              <w:t xml:space="preserve">$77.97 </w:t>
            </w:r>
          </w:p>
        </w:tc>
        <w:tc>
          <w:tcPr>
            <w:tcW w:w="1080" w:type="dxa"/>
            <w:noWrap/>
            <w:vAlign w:val="center"/>
            <w:hideMark/>
          </w:tcPr>
          <w:p w:rsidR="00147FD3" w:rsidRPr="00307988" w:rsidP="00307988" w14:paraId="126B17C0" w14:textId="35B1DFC6">
            <w:pPr>
              <w:widowControl/>
              <w:autoSpaceDE/>
              <w:autoSpaceDN/>
              <w:adjustRightInd/>
              <w:jc w:val="right"/>
              <w:rPr>
                <w:rFonts w:eastAsiaTheme="minorHAnsi"/>
                <w:bCs/>
                <w:sz w:val="20"/>
                <w:szCs w:val="20"/>
              </w:rPr>
            </w:pPr>
            <w:r w:rsidRPr="00307988">
              <w:rPr>
                <w:color w:val="000000"/>
                <w:sz w:val="20"/>
                <w:szCs w:val="20"/>
              </w:rPr>
              <w:t xml:space="preserve">$2,573.01 </w:t>
            </w:r>
          </w:p>
        </w:tc>
      </w:tr>
      <w:tr w14:paraId="45D0E5A5" w14:textId="77777777" w:rsidTr="002869B3">
        <w:tblPrEx>
          <w:tblW w:w="9445" w:type="dxa"/>
          <w:tblLayout w:type="fixed"/>
          <w:tblLook w:val="04A0"/>
        </w:tblPrEx>
        <w:trPr>
          <w:trHeight w:val="363"/>
        </w:trPr>
        <w:tc>
          <w:tcPr>
            <w:tcW w:w="1435" w:type="dxa"/>
            <w:shd w:val="clear" w:color="auto" w:fill="auto"/>
            <w:noWrap/>
            <w:vAlign w:val="bottom"/>
            <w:hideMark/>
          </w:tcPr>
          <w:p w:rsidR="00147FD3" w:rsidRPr="00307988" w:rsidP="00307988" w14:paraId="5D26DC1F" w14:textId="21B4A120">
            <w:pPr>
              <w:widowControl/>
              <w:autoSpaceDE/>
              <w:autoSpaceDN/>
              <w:adjustRightInd/>
              <w:jc w:val="right"/>
              <w:rPr>
                <w:rFonts w:eastAsiaTheme="minorHAnsi"/>
                <w:b/>
                <w:bCs/>
                <w:i/>
                <w:iCs/>
                <w:sz w:val="20"/>
                <w:szCs w:val="20"/>
              </w:rPr>
            </w:pPr>
            <w:r w:rsidRPr="00307988">
              <w:rPr>
                <w:b/>
                <w:bCs/>
                <w:i/>
                <w:iCs/>
                <w:color w:val="000000"/>
                <w:sz w:val="20"/>
                <w:szCs w:val="20"/>
              </w:rPr>
              <w:t>Subtotal (Rounded)</w:t>
            </w:r>
          </w:p>
        </w:tc>
        <w:tc>
          <w:tcPr>
            <w:tcW w:w="1260" w:type="dxa"/>
            <w:shd w:val="clear" w:color="auto" w:fill="auto"/>
            <w:vAlign w:val="center"/>
          </w:tcPr>
          <w:p w:rsidR="00147FD3" w:rsidRPr="00307988" w:rsidP="00307988" w14:paraId="36D77C69" w14:textId="639F60BD">
            <w:pPr>
              <w:widowControl/>
              <w:autoSpaceDE/>
              <w:autoSpaceDN/>
              <w:adjustRightInd/>
              <w:jc w:val="right"/>
              <w:rPr>
                <w:rFonts w:eastAsiaTheme="minorHAnsi"/>
                <w:b/>
                <w:bCs/>
                <w:i/>
                <w:iCs/>
                <w:sz w:val="20"/>
                <w:szCs w:val="20"/>
              </w:rPr>
            </w:pPr>
            <w:r w:rsidRPr="00307988">
              <w:rPr>
                <w:b/>
                <w:bCs/>
                <w:i/>
                <w:iCs/>
                <w:color w:val="000000"/>
                <w:sz w:val="20"/>
                <w:szCs w:val="20"/>
              </w:rPr>
              <w:t>33</w:t>
            </w:r>
          </w:p>
        </w:tc>
        <w:tc>
          <w:tcPr>
            <w:tcW w:w="1170" w:type="dxa"/>
            <w:shd w:val="clear" w:color="auto" w:fill="000000" w:themeFill="text1"/>
            <w:vAlign w:val="center"/>
          </w:tcPr>
          <w:p w:rsidR="00147FD3" w:rsidRPr="00307988" w:rsidP="00307988" w14:paraId="03CC983F" w14:textId="744F296B">
            <w:pPr>
              <w:widowControl/>
              <w:autoSpaceDE/>
              <w:autoSpaceDN/>
              <w:adjustRightInd/>
              <w:jc w:val="right"/>
              <w:rPr>
                <w:rFonts w:eastAsiaTheme="minorHAnsi"/>
                <w:b/>
                <w:bCs/>
                <w:i/>
                <w:iCs/>
                <w:sz w:val="20"/>
                <w:szCs w:val="20"/>
              </w:rPr>
            </w:pPr>
            <w:r w:rsidRPr="00307988">
              <w:rPr>
                <w:b/>
                <w:bCs/>
                <w:i/>
                <w:iCs/>
                <w:color w:val="000000"/>
                <w:sz w:val="20"/>
                <w:szCs w:val="20"/>
              </w:rPr>
              <w:t> </w:t>
            </w:r>
          </w:p>
        </w:tc>
        <w:tc>
          <w:tcPr>
            <w:tcW w:w="1440" w:type="dxa"/>
            <w:shd w:val="clear" w:color="auto" w:fill="auto"/>
            <w:vAlign w:val="center"/>
          </w:tcPr>
          <w:p w:rsidR="00147FD3" w:rsidRPr="00307988" w:rsidP="00307988" w14:paraId="5AF96308" w14:textId="1BF4EA41">
            <w:pPr>
              <w:widowControl/>
              <w:autoSpaceDE/>
              <w:autoSpaceDN/>
              <w:adjustRightInd/>
              <w:jc w:val="right"/>
              <w:rPr>
                <w:rFonts w:eastAsiaTheme="minorHAnsi"/>
                <w:b/>
                <w:bCs/>
                <w:i/>
                <w:iCs/>
                <w:sz w:val="20"/>
                <w:szCs w:val="20"/>
              </w:rPr>
            </w:pPr>
            <w:r w:rsidRPr="00307988">
              <w:rPr>
                <w:b/>
                <w:bCs/>
                <w:i/>
                <w:iCs/>
                <w:color w:val="000000"/>
                <w:sz w:val="20"/>
                <w:szCs w:val="20"/>
              </w:rPr>
              <w:t>33</w:t>
            </w:r>
          </w:p>
        </w:tc>
        <w:tc>
          <w:tcPr>
            <w:tcW w:w="1080" w:type="dxa"/>
            <w:shd w:val="clear" w:color="auto" w:fill="000000" w:themeFill="text1"/>
            <w:vAlign w:val="center"/>
          </w:tcPr>
          <w:p w:rsidR="00147FD3" w:rsidRPr="00307988" w:rsidP="00307988" w14:paraId="2C5901F3" w14:textId="1DCB872C">
            <w:pPr>
              <w:widowControl/>
              <w:autoSpaceDE/>
              <w:autoSpaceDN/>
              <w:adjustRightInd/>
              <w:jc w:val="right"/>
              <w:rPr>
                <w:rFonts w:eastAsiaTheme="minorHAnsi"/>
                <w:b/>
                <w:bCs/>
                <w:i/>
                <w:iCs/>
                <w:sz w:val="20"/>
                <w:szCs w:val="20"/>
              </w:rPr>
            </w:pPr>
            <w:r w:rsidRPr="00307988">
              <w:rPr>
                <w:b/>
                <w:bCs/>
                <w:i/>
                <w:iCs/>
                <w:color w:val="000000"/>
                <w:sz w:val="20"/>
                <w:szCs w:val="20"/>
              </w:rPr>
              <w:t> </w:t>
            </w:r>
          </w:p>
        </w:tc>
        <w:tc>
          <w:tcPr>
            <w:tcW w:w="990" w:type="dxa"/>
            <w:shd w:val="clear" w:color="auto" w:fill="auto"/>
            <w:vAlign w:val="center"/>
          </w:tcPr>
          <w:p w:rsidR="00147FD3" w:rsidRPr="00307988" w:rsidP="00307988" w14:paraId="6DAC8B29" w14:textId="240D685F">
            <w:pPr>
              <w:widowControl/>
              <w:autoSpaceDE/>
              <w:autoSpaceDN/>
              <w:adjustRightInd/>
              <w:jc w:val="right"/>
              <w:rPr>
                <w:rFonts w:eastAsiaTheme="minorHAnsi"/>
                <w:b/>
                <w:bCs/>
                <w:i/>
                <w:iCs/>
                <w:sz w:val="20"/>
                <w:szCs w:val="20"/>
              </w:rPr>
            </w:pPr>
            <w:r w:rsidRPr="00307988">
              <w:rPr>
                <w:b/>
                <w:bCs/>
                <w:i/>
                <w:iCs/>
                <w:color w:val="000000"/>
                <w:sz w:val="20"/>
                <w:szCs w:val="20"/>
              </w:rPr>
              <w:t>33</w:t>
            </w:r>
          </w:p>
        </w:tc>
        <w:tc>
          <w:tcPr>
            <w:tcW w:w="990" w:type="dxa"/>
            <w:shd w:val="clear" w:color="auto" w:fill="000000" w:themeFill="text1"/>
            <w:noWrap/>
            <w:vAlign w:val="center"/>
            <w:hideMark/>
          </w:tcPr>
          <w:p w:rsidR="00147FD3" w:rsidRPr="00307988" w:rsidP="00307988" w14:paraId="0F639377" w14:textId="3169BFA2">
            <w:pPr>
              <w:widowControl/>
              <w:autoSpaceDE/>
              <w:autoSpaceDN/>
              <w:adjustRightInd/>
              <w:jc w:val="right"/>
              <w:rPr>
                <w:rFonts w:eastAsiaTheme="minorHAnsi"/>
                <w:b/>
                <w:bCs/>
                <w:i/>
                <w:iCs/>
                <w:sz w:val="20"/>
                <w:szCs w:val="20"/>
              </w:rPr>
            </w:pPr>
            <w:r w:rsidRPr="00307988">
              <w:rPr>
                <w:b/>
                <w:bCs/>
                <w:i/>
                <w:iCs/>
                <w:color w:val="000000"/>
                <w:sz w:val="20"/>
                <w:szCs w:val="20"/>
              </w:rPr>
              <w:t> </w:t>
            </w:r>
          </w:p>
        </w:tc>
        <w:tc>
          <w:tcPr>
            <w:tcW w:w="1080" w:type="dxa"/>
            <w:shd w:val="clear" w:color="auto" w:fill="auto"/>
            <w:noWrap/>
            <w:vAlign w:val="center"/>
            <w:hideMark/>
          </w:tcPr>
          <w:p w:rsidR="00147FD3" w:rsidRPr="00307988" w:rsidP="00307988" w14:paraId="7A1D0189" w14:textId="29960133">
            <w:pPr>
              <w:widowControl/>
              <w:autoSpaceDE/>
              <w:autoSpaceDN/>
              <w:adjustRightInd/>
              <w:jc w:val="right"/>
              <w:rPr>
                <w:rFonts w:eastAsiaTheme="minorHAnsi"/>
                <w:b/>
                <w:bCs/>
                <w:i/>
                <w:iCs/>
                <w:sz w:val="20"/>
                <w:szCs w:val="20"/>
              </w:rPr>
            </w:pPr>
            <w:r w:rsidRPr="00307988">
              <w:rPr>
                <w:b/>
                <w:bCs/>
                <w:i/>
                <w:iCs/>
                <w:color w:val="000000"/>
                <w:sz w:val="20"/>
                <w:szCs w:val="20"/>
              </w:rPr>
              <w:t xml:space="preserve">$2,573 </w:t>
            </w:r>
          </w:p>
        </w:tc>
      </w:tr>
      <w:bookmarkEnd w:id="26"/>
    </w:tbl>
    <w:p w:rsidR="001B41E5" w:rsidRPr="00307988" w:rsidP="00307988" w14:paraId="02970308" w14:textId="77777777">
      <w:pPr>
        <w:keepLines/>
        <w:autoSpaceDE/>
        <w:autoSpaceDN/>
        <w:adjustRightInd/>
        <w:ind w:right="720"/>
        <w:rPr>
          <w:sz w:val="20"/>
          <w:szCs w:val="20"/>
        </w:rPr>
      </w:pPr>
    </w:p>
    <w:p w:rsidR="00D02861" w:rsidRPr="00307988" w:rsidP="00B54FCA" w14:paraId="70D8E321" w14:textId="77777777">
      <w:pPr>
        <w:widowControl/>
        <w:autoSpaceDE/>
        <w:autoSpaceDN/>
        <w:adjustRightInd/>
      </w:pPr>
    </w:p>
    <w:p w:rsidR="008F7DDE" w:rsidRPr="00307988" w:rsidP="00307988" w14:paraId="33EC2BC7" w14:textId="5E3C0A8C">
      <w:pPr>
        <w:pStyle w:val="Default"/>
        <w:numPr>
          <w:ilvl w:val="0"/>
          <w:numId w:val="16"/>
        </w:numPr>
        <w:rPr>
          <w:rFonts w:ascii="Times New Roman" w:hAnsi="Times New Roman" w:cs="Times New Roman"/>
          <w:b/>
          <w:bCs/>
          <w:color w:val="000000" w:themeColor="text1"/>
        </w:rPr>
      </w:pPr>
      <w:bookmarkStart w:id="27" w:name="_Hlk114568871"/>
      <w:r w:rsidRPr="00307988">
        <w:rPr>
          <w:rFonts w:ascii="Times New Roman" w:hAnsi="Times New Roman" w:cs="Times New Roman"/>
          <w:b/>
          <w:bCs/>
          <w:color w:val="000000" w:themeColor="text1"/>
        </w:rPr>
        <w:t xml:space="preserve"> Post</w:t>
      </w:r>
      <w:r w:rsidRPr="00307988" w:rsidR="00B23234">
        <w:rPr>
          <w:rFonts w:ascii="Times New Roman" w:hAnsi="Times New Roman" w:cs="Times New Roman"/>
          <w:b/>
          <w:bCs/>
          <w:color w:val="000000" w:themeColor="text1"/>
        </w:rPr>
        <w:t>ing</w:t>
      </w:r>
      <w:r w:rsidRPr="00307988">
        <w:rPr>
          <w:rFonts w:ascii="Times New Roman" w:hAnsi="Times New Roman" w:cs="Times New Roman"/>
          <w:b/>
          <w:bCs/>
          <w:color w:val="000000" w:themeColor="text1"/>
        </w:rPr>
        <w:t xml:space="preserve"> Misfires Notices </w:t>
      </w:r>
    </w:p>
    <w:bookmarkEnd w:id="27"/>
    <w:p w:rsidR="008F7DDE" w:rsidRPr="00307988" w:rsidP="00307988" w14:paraId="52EE5C78" w14:textId="77777777">
      <w:pPr>
        <w:widowControl/>
        <w:autoSpaceDE/>
        <w:autoSpaceDN/>
        <w:adjustRightInd/>
        <w:ind w:right="720"/>
      </w:pPr>
    </w:p>
    <w:p w:rsidR="00997CC1" w:rsidRPr="00307988" w:rsidP="00307988" w14:paraId="21356758" w14:textId="34A3BCC2">
      <w:pPr>
        <w:pStyle w:val="Default"/>
        <w:rPr>
          <w:rFonts w:ascii="Times New Roman" w:hAnsi="Times New Roman" w:cs="Times New Roman"/>
        </w:rPr>
      </w:pPr>
      <w:r w:rsidRPr="00307988">
        <w:rPr>
          <w:rFonts w:ascii="Times New Roman" w:hAnsi="Times New Roman" w:cs="Times New Roman"/>
          <w:color w:val="000000" w:themeColor="text1"/>
        </w:rPr>
        <w:t>Under 30 CFR 75.1327(</w:t>
      </w:r>
      <w:r w:rsidRPr="00307988" w:rsidR="00AC766F">
        <w:rPr>
          <w:rFonts w:ascii="Times New Roman" w:hAnsi="Times New Roman" w:cs="Times New Roman"/>
          <w:color w:val="000000" w:themeColor="text1"/>
        </w:rPr>
        <w:t>b</w:t>
      </w:r>
      <w:r w:rsidRPr="00307988">
        <w:rPr>
          <w:rFonts w:ascii="Times New Roman" w:hAnsi="Times New Roman" w:cs="Times New Roman"/>
          <w:color w:val="000000" w:themeColor="text1"/>
        </w:rPr>
        <w:t xml:space="preserve">), </w:t>
      </w:r>
      <w:r w:rsidRPr="00307988" w:rsidR="00985257">
        <w:rPr>
          <w:rFonts w:ascii="Times New Roman" w:hAnsi="Times New Roman" w:cs="Times New Roman"/>
          <w:color w:val="000000" w:themeColor="text1"/>
        </w:rPr>
        <w:t xml:space="preserve">when misfires occur, </w:t>
      </w:r>
      <w:r w:rsidRPr="00307988">
        <w:rPr>
          <w:rFonts w:ascii="Times New Roman" w:hAnsi="Times New Roman" w:cs="Times New Roman"/>
          <w:color w:val="000000" w:themeColor="text1"/>
        </w:rPr>
        <w:t>mine operators must</w:t>
      </w:r>
      <w:r w:rsidRPr="00307988" w:rsidR="00D14D91">
        <w:rPr>
          <w:rFonts w:ascii="Times New Roman" w:hAnsi="Times New Roman" w:cs="Times New Roman"/>
        </w:rPr>
        <w:t xml:space="preserve"> ensure that</w:t>
      </w:r>
      <w:r w:rsidRPr="00307988" w:rsidR="00166B7C">
        <w:rPr>
          <w:rFonts w:ascii="Times New Roman" w:hAnsi="Times New Roman" w:cs="Times New Roman"/>
        </w:rPr>
        <w:t xml:space="preserve"> a qualified person post</w:t>
      </w:r>
      <w:r w:rsidRPr="00307988" w:rsidR="00D14D91">
        <w:rPr>
          <w:rFonts w:ascii="Times New Roman" w:hAnsi="Times New Roman" w:cs="Times New Roman"/>
        </w:rPr>
        <w:t>s</w:t>
      </w:r>
      <w:r w:rsidRPr="00307988" w:rsidR="00166B7C">
        <w:rPr>
          <w:rFonts w:ascii="Times New Roman" w:hAnsi="Times New Roman" w:cs="Times New Roman"/>
        </w:rPr>
        <w:t xml:space="preserve"> warning notice</w:t>
      </w:r>
      <w:r w:rsidRPr="00307988" w:rsidR="0019037B">
        <w:rPr>
          <w:rFonts w:ascii="Times New Roman" w:hAnsi="Times New Roman" w:cs="Times New Roman"/>
        </w:rPr>
        <w:t>s</w:t>
      </w:r>
      <w:r w:rsidRPr="00307988">
        <w:rPr>
          <w:rFonts w:ascii="Times New Roman" w:hAnsi="Times New Roman" w:cs="Times New Roman"/>
        </w:rPr>
        <w:t xml:space="preserve"> at</w:t>
      </w:r>
      <w:r w:rsidRPr="00307988" w:rsidR="00166B7C">
        <w:rPr>
          <w:rFonts w:ascii="Times New Roman" w:hAnsi="Times New Roman" w:cs="Times New Roman"/>
        </w:rPr>
        <w:t xml:space="preserve"> </w:t>
      </w:r>
      <w:r w:rsidRPr="00307988">
        <w:rPr>
          <w:rFonts w:ascii="Times New Roman" w:hAnsi="Times New Roman" w:cs="Times New Roman"/>
        </w:rPr>
        <w:t xml:space="preserve">conspicuous locations such as </w:t>
      </w:r>
      <w:r w:rsidRPr="00307988" w:rsidR="00166B7C">
        <w:rPr>
          <w:rFonts w:ascii="Times New Roman" w:hAnsi="Times New Roman" w:cs="Times New Roman"/>
        </w:rPr>
        <w:t>the entrance to the affected area.</w:t>
      </w:r>
      <w:r w:rsidRPr="00307988" w:rsidR="007E35A8">
        <w:rPr>
          <w:rFonts w:ascii="Times New Roman" w:hAnsi="Times New Roman" w:cs="Times New Roman"/>
        </w:rPr>
        <w:t xml:space="preserve"> </w:t>
      </w:r>
    </w:p>
    <w:p w:rsidR="00997CC1" w:rsidRPr="00307988" w:rsidP="00307988" w14:paraId="663BE514" w14:textId="77777777">
      <w:pPr>
        <w:pStyle w:val="Default"/>
        <w:rPr>
          <w:rFonts w:ascii="Times New Roman" w:hAnsi="Times New Roman" w:cs="Times New Roman"/>
        </w:rPr>
      </w:pPr>
    </w:p>
    <w:p w:rsidR="00997CC1" w:rsidRPr="00307988" w:rsidP="00307988" w14:paraId="1F324675" w14:textId="23608D07">
      <w:pPr>
        <w:pStyle w:val="Default"/>
        <w:rPr>
          <w:rFonts w:ascii="Times New Roman" w:hAnsi="Times New Roman" w:cs="Times New Roman"/>
        </w:rPr>
      </w:pPr>
      <w:r w:rsidRPr="00307988">
        <w:rPr>
          <w:rFonts w:ascii="Times New Roman" w:hAnsi="Times New Roman" w:cs="Times New Roman"/>
        </w:rPr>
        <w:t xml:space="preserve">Misfires are rare and none were reported for 2024. Hence, there were no required postings of warning notices. However, for this renewal, </w:t>
      </w:r>
      <w:r w:rsidRPr="00307988" w:rsidR="00985257">
        <w:rPr>
          <w:rFonts w:ascii="Times New Roman" w:hAnsi="Times New Roman" w:cs="Times New Roman"/>
        </w:rPr>
        <w:t>MSHA will assume that there will be</w:t>
      </w:r>
      <w:r w:rsidRPr="00307988">
        <w:rPr>
          <w:rFonts w:ascii="Times New Roman" w:hAnsi="Times New Roman" w:cs="Times New Roman"/>
        </w:rPr>
        <w:t xml:space="preserve"> one misfire</w:t>
      </w:r>
      <w:r w:rsidRPr="00307988" w:rsidR="00985257">
        <w:rPr>
          <w:rFonts w:ascii="Times New Roman" w:hAnsi="Times New Roman" w:cs="Times New Roman"/>
        </w:rPr>
        <w:t xml:space="preserve"> annually,</w:t>
      </w:r>
      <w:r w:rsidRPr="00307988">
        <w:rPr>
          <w:rFonts w:ascii="Times New Roman" w:hAnsi="Times New Roman" w:cs="Times New Roman"/>
        </w:rPr>
        <w:t xml:space="preserve"> which will require posting of a warning notice. </w:t>
      </w:r>
    </w:p>
    <w:p w:rsidR="00997CC1" w:rsidRPr="00307988" w:rsidP="00307988" w14:paraId="50777F12" w14:textId="77777777">
      <w:pPr>
        <w:pStyle w:val="Default"/>
        <w:rPr>
          <w:rFonts w:ascii="Times New Roman" w:hAnsi="Times New Roman" w:cs="Times New Roman"/>
        </w:rPr>
      </w:pPr>
    </w:p>
    <w:p w:rsidR="00852693" w:rsidRPr="00307988" w:rsidP="00307988" w14:paraId="06C935F0" w14:textId="18FECA74">
      <w:pPr>
        <w:pStyle w:val="Default"/>
        <w:rPr>
          <w:rFonts w:ascii="Times New Roman" w:hAnsi="Times New Roman" w:cs="Times New Roman"/>
        </w:rPr>
      </w:pPr>
      <w:r w:rsidRPr="00307988">
        <w:rPr>
          <w:rFonts w:ascii="Times New Roman" w:hAnsi="Times New Roman" w:cs="Times New Roman"/>
        </w:rPr>
        <w:t xml:space="preserve">MSHA assumes this </w:t>
      </w:r>
      <w:r w:rsidRPr="00307988" w:rsidR="00997CC1">
        <w:rPr>
          <w:rFonts w:ascii="Times New Roman" w:hAnsi="Times New Roman" w:cs="Times New Roman"/>
        </w:rPr>
        <w:t xml:space="preserve">it takes </w:t>
      </w:r>
      <w:r w:rsidRPr="00307988">
        <w:rPr>
          <w:rFonts w:ascii="Times New Roman" w:hAnsi="Times New Roman" w:cs="Times New Roman"/>
        </w:rPr>
        <w:t>a miner, earning $48.65 per hour, 20 minutes to post warning notice</w:t>
      </w:r>
      <w:r w:rsidRPr="00307988" w:rsidR="0019037B">
        <w:rPr>
          <w:rFonts w:ascii="Times New Roman" w:hAnsi="Times New Roman" w:cs="Times New Roman"/>
        </w:rPr>
        <w:t>s</w:t>
      </w:r>
      <w:r w:rsidRPr="00307988">
        <w:rPr>
          <w:rFonts w:ascii="Times New Roman" w:hAnsi="Times New Roman" w:cs="Times New Roman"/>
        </w:rPr>
        <w:t xml:space="preserve"> regarding the presence of a misfire that has not been remediated.</w:t>
      </w:r>
    </w:p>
    <w:p w:rsidR="00052BD8" w:rsidRPr="00307988" w:rsidP="00307988" w14:paraId="335B1B15" w14:textId="77777777">
      <w:pPr>
        <w:pStyle w:val="Default"/>
        <w:rPr>
          <w:rFonts w:ascii="Times New Roman" w:hAnsi="Times New Roman" w:cs="Times New Roman"/>
        </w:rPr>
      </w:pPr>
    </w:p>
    <w:p w:rsidR="00052BD8" w:rsidRPr="00307988" w:rsidP="00307988" w14:paraId="5B2F53EE" w14:textId="7C81BD59">
      <w:pPr>
        <w:widowControl/>
        <w:autoSpaceDE/>
        <w:autoSpaceDN/>
        <w:adjustRightInd/>
        <w:rPr>
          <w:b/>
          <w:bCs/>
          <w:color w:val="000000"/>
        </w:rPr>
      </w:pPr>
      <w:r w:rsidRPr="00307988">
        <w:rPr>
          <w:b/>
          <w:bCs/>
          <w:color w:val="000000"/>
        </w:rPr>
        <w:t>Table 12-3. Estimated Annual Respondent Hour and Cost Burden, Post</w:t>
      </w:r>
      <w:r w:rsidRPr="00307988" w:rsidR="00985257">
        <w:rPr>
          <w:b/>
          <w:bCs/>
          <w:color w:val="000000"/>
        </w:rPr>
        <w:t>ing</w:t>
      </w:r>
      <w:r w:rsidRPr="00307988">
        <w:rPr>
          <w:b/>
          <w:bCs/>
          <w:color w:val="000000"/>
        </w:rPr>
        <w:t xml:space="preserve"> Misfire Notices (30 CFR 75.1327(</w:t>
      </w:r>
      <w:r w:rsidRPr="00307988" w:rsidR="00AC766F">
        <w:rPr>
          <w:b/>
          <w:bCs/>
          <w:color w:val="000000"/>
        </w:rPr>
        <w:t>b</w:t>
      </w:r>
      <w:r w:rsidRPr="00307988">
        <w:rPr>
          <w:b/>
          <w:bCs/>
          <w:color w:val="000000"/>
        </w:rPr>
        <w:t>))</w:t>
      </w:r>
    </w:p>
    <w:tbl>
      <w:tblPr>
        <w:tblStyle w:val="TableGrid"/>
        <w:tblW w:w="9445" w:type="dxa"/>
        <w:tblLayout w:type="fixed"/>
        <w:tblLook w:val="04A0"/>
      </w:tblPr>
      <w:tblGrid>
        <w:gridCol w:w="1525"/>
        <w:gridCol w:w="1350"/>
        <w:gridCol w:w="1260"/>
        <w:gridCol w:w="1170"/>
        <w:gridCol w:w="1260"/>
        <w:gridCol w:w="990"/>
        <w:gridCol w:w="990"/>
        <w:gridCol w:w="900"/>
      </w:tblGrid>
      <w:tr w14:paraId="611EA342" w14:textId="77777777" w:rsidTr="007628FE">
        <w:tblPrEx>
          <w:tblW w:w="9445" w:type="dxa"/>
          <w:tblLayout w:type="fixed"/>
          <w:tblLook w:val="04A0"/>
        </w:tblPrEx>
        <w:trPr>
          <w:trHeight w:val="747"/>
        </w:trPr>
        <w:tc>
          <w:tcPr>
            <w:tcW w:w="1525" w:type="dxa"/>
            <w:shd w:val="clear" w:color="auto" w:fill="8EAADB" w:themeFill="accent1" w:themeFillTint="99"/>
            <w:vAlign w:val="center"/>
            <w:hideMark/>
          </w:tcPr>
          <w:p w:rsidR="00147FD3" w:rsidRPr="00307988" w:rsidP="00307988" w14:paraId="787E0B84" w14:textId="1849FA84">
            <w:pPr>
              <w:widowControl/>
              <w:autoSpaceDE/>
              <w:autoSpaceDN/>
              <w:adjustRightInd/>
              <w:rPr>
                <w:rFonts w:eastAsiaTheme="minorHAnsi"/>
                <w:sz w:val="20"/>
                <w:szCs w:val="20"/>
              </w:rPr>
            </w:pPr>
            <w:r w:rsidRPr="00307988">
              <w:rPr>
                <w:color w:val="000000"/>
                <w:sz w:val="20"/>
                <w:szCs w:val="20"/>
              </w:rPr>
              <w:t>Activity (Occupation)</w:t>
            </w:r>
          </w:p>
        </w:tc>
        <w:tc>
          <w:tcPr>
            <w:tcW w:w="1350" w:type="dxa"/>
            <w:shd w:val="clear" w:color="auto" w:fill="8EAADB" w:themeFill="accent1" w:themeFillTint="99"/>
            <w:vAlign w:val="center"/>
            <w:hideMark/>
          </w:tcPr>
          <w:p w:rsidR="00147FD3" w:rsidRPr="00307988" w:rsidP="00307988" w14:paraId="168CB912" w14:textId="015F9DC5">
            <w:pPr>
              <w:widowControl/>
              <w:autoSpaceDE/>
              <w:autoSpaceDN/>
              <w:adjustRightInd/>
              <w:jc w:val="center"/>
              <w:rPr>
                <w:rFonts w:eastAsiaTheme="minorHAnsi"/>
                <w:sz w:val="20"/>
                <w:szCs w:val="20"/>
              </w:rPr>
            </w:pPr>
            <w:r w:rsidRPr="00307988">
              <w:rPr>
                <w:color w:val="000000"/>
                <w:sz w:val="20"/>
                <w:szCs w:val="20"/>
              </w:rPr>
              <w:t>Number of Respondents (Mines)</w:t>
            </w:r>
          </w:p>
        </w:tc>
        <w:tc>
          <w:tcPr>
            <w:tcW w:w="1260" w:type="dxa"/>
            <w:shd w:val="clear" w:color="auto" w:fill="8EAADB" w:themeFill="accent1" w:themeFillTint="99"/>
            <w:vAlign w:val="center"/>
          </w:tcPr>
          <w:p w:rsidR="00147FD3" w:rsidRPr="00307988" w:rsidP="00307988" w14:paraId="2FA4B398" w14:textId="0C15AED4">
            <w:pPr>
              <w:widowControl/>
              <w:autoSpaceDE/>
              <w:autoSpaceDN/>
              <w:adjustRightInd/>
              <w:jc w:val="center"/>
              <w:rPr>
                <w:rFonts w:eastAsiaTheme="minorHAnsi"/>
                <w:sz w:val="20"/>
                <w:szCs w:val="20"/>
              </w:rPr>
            </w:pPr>
            <w:r w:rsidRPr="00307988">
              <w:rPr>
                <w:color w:val="000000"/>
                <w:sz w:val="20"/>
                <w:szCs w:val="20"/>
              </w:rPr>
              <w:t>Number of Responses per Respondent</w:t>
            </w:r>
          </w:p>
        </w:tc>
        <w:tc>
          <w:tcPr>
            <w:tcW w:w="1170" w:type="dxa"/>
            <w:shd w:val="clear" w:color="auto" w:fill="8EAADB" w:themeFill="accent1" w:themeFillTint="99"/>
            <w:vAlign w:val="center"/>
          </w:tcPr>
          <w:p w:rsidR="00147FD3" w:rsidRPr="00307988" w:rsidP="00307988" w14:paraId="5C8A8FB4" w14:textId="2A1CDC28">
            <w:pPr>
              <w:widowControl/>
              <w:autoSpaceDE/>
              <w:autoSpaceDN/>
              <w:adjustRightInd/>
              <w:jc w:val="center"/>
              <w:rPr>
                <w:rFonts w:eastAsiaTheme="minorHAnsi"/>
                <w:sz w:val="20"/>
                <w:szCs w:val="20"/>
              </w:rPr>
            </w:pPr>
            <w:r w:rsidRPr="00307988">
              <w:rPr>
                <w:color w:val="000000"/>
                <w:sz w:val="20"/>
                <w:szCs w:val="20"/>
              </w:rPr>
              <w:t>Total Responses (</w:t>
            </w:r>
            <w:r w:rsidRPr="00307988" w:rsidR="00BA1BC0">
              <w:rPr>
                <w:color w:val="000000"/>
                <w:sz w:val="20"/>
                <w:szCs w:val="20"/>
              </w:rPr>
              <w:t>Post</w:t>
            </w:r>
            <w:r w:rsidRPr="00307988">
              <w:rPr>
                <w:color w:val="000000"/>
                <w:sz w:val="20"/>
                <w:szCs w:val="20"/>
              </w:rPr>
              <w:t>s)</w:t>
            </w:r>
          </w:p>
        </w:tc>
        <w:tc>
          <w:tcPr>
            <w:tcW w:w="1260" w:type="dxa"/>
            <w:shd w:val="clear" w:color="auto" w:fill="8EAADB" w:themeFill="accent1" w:themeFillTint="99"/>
            <w:vAlign w:val="center"/>
          </w:tcPr>
          <w:p w:rsidR="00147FD3" w:rsidRPr="00307988" w:rsidP="00307988" w14:paraId="4AB7E327" w14:textId="3B91D64D">
            <w:pPr>
              <w:widowControl/>
              <w:autoSpaceDE/>
              <w:autoSpaceDN/>
              <w:adjustRightInd/>
              <w:jc w:val="center"/>
              <w:rPr>
                <w:rFonts w:eastAsiaTheme="minorHAnsi"/>
                <w:sz w:val="20"/>
                <w:szCs w:val="20"/>
              </w:rPr>
            </w:pPr>
            <w:r w:rsidRPr="00307988">
              <w:rPr>
                <w:color w:val="000000"/>
                <w:sz w:val="20"/>
                <w:szCs w:val="20"/>
              </w:rPr>
              <w:t>Average Burden (Hours)</w:t>
            </w:r>
          </w:p>
        </w:tc>
        <w:tc>
          <w:tcPr>
            <w:tcW w:w="990" w:type="dxa"/>
            <w:shd w:val="clear" w:color="auto" w:fill="8EAADB" w:themeFill="accent1" w:themeFillTint="99"/>
            <w:vAlign w:val="center"/>
            <w:hideMark/>
          </w:tcPr>
          <w:p w:rsidR="00147FD3" w:rsidRPr="00307988" w:rsidP="00307988" w14:paraId="0B922530" w14:textId="2DD407BE">
            <w:pPr>
              <w:widowControl/>
              <w:autoSpaceDE/>
              <w:autoSpaceDN/>
              <w:adjustRightInd/>
              <w:jc w:val="center"/>
              <w:rPr>
                <w:rFonts w:eastAsiaTheme="minorHAnsi"/>
                <w:sz w:val="20"/>
                <w:szCs w:val="20"/>
              </w:rPr>
            </w:pPr>
            <w:r w:rsidRPr="00307988">
              <w:rPr>
                <w:color w:val="000000"/>
                <w:sz w:val="20"/>
                <w:szCs w:val="20"/>
              </w:rPr>
              <w:t>Total Burden (Hours)</w:t>
            </w:r>
          </w:p>
        </w:tc>
        <w:tc>
          <w:tcPr>
            <w:tcW w:w="990" w:type="dxa"/>
            <w:shd w:val="clear" w:color="auto" w:fill="8EAADB" w:themeFill="accent1" w:themeFillTint="99"/>
            <w:vAlign w:val="center"/>
            <w:hideMark/>
          </w:tcPr>
          <w:p w:rsidR="00147FD3" w:rsidRPr="00307988" w:rsidP="00307988" w14:paraId="00A96A00" w14:textId="5869E747">
            <w:pPr>
              <w:widowControl/>
              <w:autoSpaceDE/>
              <w:autoSpaceDN/>
              <w:adjustRightInd/>
              <w:jc w:val="center"/>
              <w:rPr>
                <w:rFonts w:eastAsiaTheme="minorHAnsi"/>
                <w:sz w:val="20"/>
                <w:szCs w:val="20"/>
              </w:rPr>
            </w:pPr>
            <w:r w:rsidRPr="00307988">
              <w:rPr>
                <w:color w:val="000000"/>
                <w:sz w:val="20"/>
                <w:szCs w:val="20"/>
              </w:rPr>
              <w:t>Hourly Wage Rate</w:t>
            </w:r>
          </w:p>
        </w:tc>
        <w:tc>
          <w:tcPr>
            <w:tcW w:w="900" w:type="dxa"/>
            <w:shd w:val="clear" w:color="auto" w:fill="8EAADB" w:themeFill="accent1" w:themeFillTint="99"/>
            <w:vAlign w:val="center"/>
            <w:hideMark/>
          </w:tcPr>
          <w:p w:rsidR="00147FD3" w:rsidRPr="00307988" w:rsidP="00307988" w14:paraId="7E542104" w14:textId="61F5ABA5">
            <w:pPr>
              <w:widowControl/>
              <w:autoSpaceDE/>
              <w:autoSpaceDN/>
              <w:adjustRightInd/>
              <w:jc w:val="center"/>
              <w:rPr>
                <w:rFonts w:eastAsiaTheme="minorHAnsi"/>
                <w:sz w:val="20"/>
                <w:szCs w:val="20"/>
              </w:rPr>
            </w:pPr>
            <w:r w:rsidRPr="00307988">
              <w:rPr>
                <w:color w:val="000000"/>
                <w:sz w:val="20"/>
                <w:szCs w:val="20"/>
              </w:rPr>
              <w:t>Total Burden Cost</w:t>
            </w:r>
          </w:p>
        </w:tc>
      </w:tr>
      <w:tr w14:paraId="4FECECC9" w14:textId="77777777" w:rsidTr="008C1F83">
        <w:tblPrEx>
          <w:tblW w:w="9445" w:type="dxa"/>
          <w:tblLayout w:type="fixed"/>
          <w:tblLook w:val="04A0"/>
        </w:tblPrEx>
        <w:trPr>
          <w:trHeight w:val="363"/>
        </w:trPr>
        <w:tc>
          <w:tcPr>
            <w:tcW w:w="1525" w:type="dxa"/>
            <w:noWrap/>
            <w:vAlign w:val="center"/>
            <w:hideMark/>
          </w:tcPr>
          <w:p w:rsidR="00147FD3" w:rsidRPr="00307988" w:rsidP="00307988" w14:paraId="605CBB20" w14:textId="6B12E553">
            <w:pPr>
              <w:widowControl/>
              <w:autoSpaceDE/>
              <w:autoSpaceDN/>
              <w:adjustRightInd/>
              <w:rPr>
                <w:rFonts w:eastAsiaTheme="minorHAnsi"/>
                <w:bCs/>
                <w:sz w:val="20"/>
                <w:szCs w:val="20"/>
              </w:rPr>
            </w:pPr>
            <w:r w:rsidRPr="00307988">
              <w:rPr>
                <w:color w:val="000000"/>
                <w:sz w:val="20"/>
                <w:szCs w:val="20"/>
              </w:rPr>
              <w:t>Post</w:t>
            </w:r>
            <w:r w:rsidRPr="00307988" w:rsidR="00985257">
              <w:rPr>
                <w:color w:val="000000"/>
                <w:sz w:val="20"/>
                <w:szCs w:val="20"/>
              </w:rPr>
              <w:t>ing</w:t>
            </w:r>
            <w:r w:rsidRPr="00307988">
              <w:rPr>
                <w:color w:val="000000"/>
                <w:sz w:val="20"/>
                <w:szCs w:val="20"/>
              </w:rPr>
              <w:t xml:space="preserve"> Misfire Notices </w:t>
            </w:r>
            <w:r w:rsidRPr="00307988">
              <w:rPr>
                <w:color w:val="000000"/>
                <w:sz w:val="20"/>
                <w:szCs w:val="20"/>
              </w:rPr>
              <w:t>(Miner)</w:t>
            </w:r>
          </w:p>
        </w:tc>
        <w:tc>
          <w:tcPr>
            <w:tcW w:w="1350" w:type="dxa"/>
            <w:noWrap/>
            <w:vAlign w:val="center"/>
          </w:tcPr>
          <w:p w:rsidR="00147FD3" w:rsidRPr="00307988" w:rsidP="00307988" w14:paraId="60839BA8" w14:textId="4EF48F39">
            <w:pPr>
              <w:widowControl/>
              <w:autoSpaceDE/>
              <w:autoSpaceDN/>
              <w:adjustRightInd/>
              <w:jc w:val="right"/>
              <w:rPr>
                <w:rFonts w:eastAsiaTheme="minorHAnsi"/>
                <w:bCs/>
                <w:sz w:val="20"/>
                <w:szCs w:val="20"/>
              </w:rPr>
            </w:pPr>
            <w:r w:rsidRPr="00307988">
              <w:rPr>
                <w:color w:val="000000"/>
                <w:sz w:val="20"/>
                <w:szCs w:val="20"/>
              </w:rPr>
              <w:t>33</w:t>
            </w:r>
          </w:p>
        </w:tc>
        <w:tc>
          <w:tcPr>
            <w:tcW w:w="1260" w:type="dxa"/>
            <w:vAlign w:val="center"/>
          </w:tcPr>
          <w:p w:rsidR="00147FD3" w:rsidRPr="00307988" w:rsidP="00307988" w14:paraId="33F75E7D" w14:textId="1727511B">
            <w:pPr>
              <w:widowControl/>
              <w:autoSpaceDE/>
              <w:autoSpaceDN/>
              <w:adjustRightInd/>
              <w:jc w:val="right"/>
              <w:rPr>
                <w:rFonts w:eastAsiaTheme="minorHAnsi"/>
                <w:bCs/>
                <w:sz w:val="20"/>
                <w:szCs w:val="20"/>
              </w:rPr>
            </w:pPr>
            <w:r w:rsidRPr="00307988">
              <w:rPr>
                <w:color w:val="000000"/>
                <w:sz w:val="20"/>
                <w:szCs w:val="20"/>
              </w:rPr>
              <w:t>0.03</w:t>
            </w:r>
          </w:p>
        </w:tc>
        <w:tc>
          <w:tcPr>
            <w:tcW w:w="1170" w:type="dxa"/>
            <w:vAlign w:val="center"/>
          </w:tcPr>
          <w:p w:rsidR="00147FD3" w:rsidRPr="00307988" w:rsidP="00307988" w14:paraId="33F0AED0" w14:textId="79DCDBC1">
            <w:pPr>
              <w:widowControl/>
              <w:autoSpaceDE/>
              <w:autoSpaceDN/>
              <w:adjustRightInd/>
              <w:jc w:val="right"/>
              <w:rPr>
                <w:rFonts w:eastAsiaTheme="minorHAnsi"/>
                <w:bCs/>
                <w:sz w:val="20"/>
                <w:szCs w:val="20"/>
              </w:rPr>
            </w:pPr>
            <w:r w:rsidRPr="00307988">
              <w:rPr>
                <w:color w:val="000000"/>
                <w:sz w:val="20"/>
                <w:szCs w:val="20"/>
              </w:rPr>
              <w:t>1</w:t>
            </w:r>
          </w:p>
        </w:tc>
        <w:tc>
          <w:tcPr>
            <w:tcW w:w="1260" w:type="dxa"/>
            <w:vAlign w:val="center"/>
          </w:tcPr>
          <w:p w:rsidR="00147FD3" w:rsidRPr="00307988" w:rsidP="00307988" w14:paraId="336F2D64" w14:textId="28E76A62">
            <w:pPr>
              <w:widowControl/>
              <w:autoSpaceDE/>
              <w:autoSpaceDN/>
              <w:adjustRightInd/>
              <w:jc w:val="right"/>
              <w:rPr>
                <w:rFonts w:eastAsiaTheme="minorHAnsi"/>
                <w:bCs/>
                <w:sz w:val="20"/>
                <w:szCs w:val="20"/>
              </w:rPr>
            </w:pPr>
            <w:r w:rsidRPr="00307988">
              <w:rPr>
                <w:color w:val="000000"/>
                <w:sz w:val="20"/>
                <w:szCs w:val="20"/>
              </w:rPr>
              <w:t>0.33</w:t>
            </w:r>
          </w:p>
        </w:tc>
        <w:tc>
          <w:tcPr>
            <w:tcW w:w="990" w:type="dxa"/>
            <w:noWrap/>
            <w:vAlign w:val="center"/>
          </w:tcPr>
          <w:p w:rsidR="00147FD3" w:rsidRPr="00307988" w:rsidP="00307988" w14:paraId="4B2D2846" w14:textId="50E90166">
            <w:pPr>
              <w:widowControl/>
              <w:autoSpaceDE/>
              <w:autoSpaceDN/>
              <w:adjustRightInd/>
              <w:jc w:val="right"/>
              <w:rPr>
                <w:rFonts w:eastAsiaTheme="minorHAnsi"/>
                <w:bCs/>
                <w:sz w:val="20"/>
                <w:szCs w:val="20"/>
              </w:rPr>
            </w:pPr>
            <w:r w:rsidRPr="00307988">
              <w:rPr>
                <w:color w:val="000000"/>
                <w:sz w:val="20"/>
                <w:szCs w:val="20"/>
              </w:rPr>
              <w:t>0.33</w:t>
            </w:r>
          </w:p>
        </w:tc>
        <w:tc>
          <w:tcPr>
            <w:tcW w:w="990" w:type="dxa"/>
            <w:noWrap/>
            <w:vAlign w:val="center"/>
            <w:hideMark/>
          </w:tcPr>
          <w:p w:rsidR="00147FD3" w:rsidRPr="00307988" w:rsidP="00307988" w14:paraId="1E6EE231" w14:textId="5A5F32A7">
            <w:pPr>
              <w:widowControl/>
              <w:autoSpaceDE/>
              <w:autoSpaceDN/>
              <w:adjustRightInd/>
              <w:jc w:val="right"/>
              <w:rPr>
                <w:rFonts w:eastAsiaTheme="minorHAnsi"/>
                <w:bCs/>
                <w:sz w:val="20"/>
                <w:szCs w:val="20"/>
              </w:rPr>
            </w:pPr>
            <w:r w:rsidRPr="00307988">
              <w:rPr>
                <w:color w:val="000000"/>
                <w:sz w:val="20"/>
                <w:szCs w:val="20"/>
              </w:rPr>
              <w:t xml:space="preserve">$48.65 </w:t>
            </w:r>
          </w:p>
        </w:tc>
        <w:tc>
          <w:tcPr>
            <w:tcW w:w="900" w:type="dxa"/>
            <w:noWrap/>
            <w:vAlign w:val="center"/>
            <w:hideMark/>
          </w:tcPr>
          <w:p w:rsidR="00147FD3" w:rsidRPr="00307988" w:rsidP="00307988" w14:paraId="1EE846B2" w14:textId="11271334">
            <w:pPr>
              <w:widowControl/>
              <w:autoSpaceDE/>
              <w:autoSpaceDN/>
              <w:adjustRightInd/>
              <w:jc w:val="right"/>
              <w:rPr>
                <w:rFonts w:eastAsiaTheme="minorHAnsi"/>
                <w:bCs/>
                <w:sz w:val="20"/>
                <w:szCs w:val="20"/>
              </w:rPr>
            </w:pPr>
            <w:r w:rsidRPr="00307988">
              <w:rPr>
                <w:color w:val="000000"/>
                <w:sz w:val="20"/>
                <w:szCs w:val="20"/>
              </w:rPr>
              <w:t xml:space="preserve">$16.22 </w:t>
            </w:r>
          </w:p>
        </w:tc>
      </w:tr>
      <w:tr w14:paraId="0175F907" w14:textId="77777777" w:rsidTr="008C1F83">
        <w:tblPrEx>
          <w:tblW w:w="9445" w:type="dxa"/>
          <w:tblLayout w:type="fixed"/>
          <w:tblLook w:val="04A0"/>
        </w:tblPrEx>
        <w:trPr>
          <w:trHeight w:val="363"/>
        </w:trPr>
        <w:tc>
          <w:tcPr>
            <w:tcW w:w="1525" w:type="dxa"/>
            <w:shd w:val="clear" w:color="auto" w:fill="auto"/>
            <w:noWrap/>
            <w:vAlign w:val="center"/>
            <w:hideMark/>
          </w:tcPr>
          <w:p w:rsidR="00147FD3" w:rsidRPr="00307988" w:rsidP="00307988" w14:paraId="357A0E7C" w14:textId="23185FE6">
            <w:pPr>
              <w:widowControl/>
              <w:autoSpaceDE/>
              <w:autoSpaceDN/>
              <w:adjustRightInd/>
              <w:jc w:val="right"/>
              <w:rPr>
                <w:rFonts w:eastAsiaTheme="minorHAnsi"/>
                <w:b/>
                <w:bCs/>
                <w:i/>
                <w:iCs/>
                <w:sz w:val="20"/>
                <w:szCs w:val="20"/>
              </w:rPr>
            </w:pPr>
            <w:r w:rsidRPr="00307988">
              <w:rPr>
                <w:b/>
                <w:bCs/>
                <w:i/>
                <w:iCs/>
                <w:color w:val="000000"/>
                <w:sz w:val="20"/>
                <w:szCs w:val="20"/>
              </w:rPr>
              <w:t>Subtotal (Rounded)</w:t>
            </w:r>
          </w:p>
        </w:tc>
        <w:tc>
          <w:tcPr>
            <w:tcW w:w="1350" w:type="dxa"/>
            <w:shd w:val="clear" w:color="auto" w:fill="auto"/>
            <w:vAlign w:val="center"/>
          </w:tcPr>
          <w:p w:rsidR="00147FD3" w:rsidRPr="00307988" w:rsidP="00307988" w14:paraId="268A783A" w14:textId="6B1B7EC7">
            <w:pPr>
              <w:widowControl/>
              <w:autoSpaceDE/>
              <w:autoSpaceDN/>
              <w:adjustRightInd/>
              <w:jc w:val="right"/>
              <w:rPr>
                <w:rFonts w:eastAsiaTheme="minorHAnsi"/>
                <w:b/>
                <w:bCs/>
                <w:i/>
                <w:iCs/>
                <w:sz w:val="20"/>
                <w:szCs w:val="20"/>
              </w:rPr>
            </w:pPr>
            <w:r w:rsidRPr="00307988">
              <w:rPr>
                <w:b/>
                <w:bCs/>
                <w:i/>
                <w:iCs/>
                <w:color w:val="000000"/>
                <w:sz w:val="20"/>
                <w:szCs w:val="20"/>
              </w:rPr>
              <w:t>1</w:t>
            </w:r>
          </w:p>
        </w:tc>
        <w:tc>
          <w:tcPr>
            <w:tcW w:w="1260" w:type="dxa"/>
            <w:shd w:val="clear" w:color="auto" w:fill="000000" w:themeFill="text1"/>
            <w:vAlign w:val="center"/>
          </w:tcPr>
          <w:p w:rsidR="00147FD3" w:rsidRPr="00307988" w:rsidP="00307988" w14:paraId="2932FFFF" w14:textId="18DB974D">
            <w:pPr>
              <w:widowControl/>
              <w:autoSpaceDE/>
              <w:autoSpaceDN/>
              <w:adjustRightInd/>
              <w:jc w:val="right"/>
              <w:rPr>
                <w:rFonts w:eastAsiaTheme="minorHAnsi"/>
                <w:b/>
                <w:bCs/>
                <w:i/>
                <w:iCs/>
                <w:sz w:val="20"/>
                <w:szCs w:val="20"/>
              </w:rPr>
            </w:pPr>
            <w:r w:rsidRPr="00307988">
              <w:rPr>
                <w:b/>
                <w:bCs/>
                <w:i/>
                <w:iCs/>
                <w:color w:val="000000"/>
                <w:sz w:val="20"/>
                <w:szCs w:val="20"/>
              </w:rPr>
              <w:t> </w:t>
            </w:r>
          </w:p>
        </w:tc>
        <w:tc>
          <w:tcPr>
            <w:tcW w:w="1170" w:type="dxa"/>
            <w:shd w:val="clear" w:color="auto" w:fill="auto"/>
            <w:vAlign w:val="center"/>
          </w:tcPr>
          <w:p w:rsidR="00147FD3" w:rsidRPr="00307988" w:rsidP="00307988" w14:paraId="24939296" w14:textId="3B4813F4">
            <w:pPr>
              <w:widowControl/>
              <w:autoSpaceDE/>
              <w:autoSpaceDN/>
              <w:adjustRightInd/>
              <w:jc w:val="right"/>
              <w:rPr>
                <w:rFonts w:eastAsiaTheme="minorHAnsi"/>
                <w:b/>
                <w:bCs/>
                <w:i/>
                <w:iCs/>
                <w:sz w:val="20"/>
                <w:szCs w:val="20"/>
              </w:rPr>
            </w:pPr>
            <w:r w:rsidRPr="00307988">
              <w:rPr>
                <w:b/>
                <w:bCs/>
                <w:i/>
                <w:iCs/>
                <w:color w:val="000000"/>
                <w:sz w:val="20"/>
                <w:szCs w:val="20"/>
              </w:rPr>
              <w:t>1</w:t>
            </w:r>
          </w:p>
        </w:tc>
        <w:tc>
          <w:tcPr>
            <w:tcW w:w="1260" w:type="dxa"/>
            <w:shd w:val="clear" w:color="auto" w:fill="000000" w:themeFill="text1"/>
            <w:vAlign w:val="center"/>
          </w:tcPr>
          <w:p w:rsidR="00147FD3" w:rsidRPr="00307988" w:rsidP="00307988" w14:paraId="4C6B39C4" w14:textId="57324D35">
            <w:pPr>
              <w:widowControl/>
              <w:autoSpaceDE/>
              <w:autoSpaceDN/>
              <w:adjustRightInd/>
              <w:jc w:val="right"/>
              <w:rPr>
                <w:rFonts w:eastAsiaTheme="minorHAnsi"/>
                <w:b/>
                <w:bCs/>
                <w:i/>
                <w:iCs/>
                <w:sz w:val="20"/>
                <w:szCs w:val="20"/>
              </w:rPr>
            </w:pPr>
            <w:r w:rsidRPr="00307988">
              <w:rPr>
                <w:b/>
                <w:bCs/>
                <w:i/>
                <w:iCs/>
                <w:color w:val="000000"/>
                <w:sz w:val="20"/>
                <w:szCs w:val="20"/>
              </w:rPr>
              <w:t> </w:t>
            </w:r>
          </w:p>
        </w:tc>
        <w:tc>
          <w:tcPr>
            <w:tcW w:w="990" w:type="dxa"/>
            <w:shd w:val="clear" w:color="auto" w:fill="auto"/>
            <w:vAlign w:val="center"/>
          </w:tcPr>
          <w:p w:rsidR="00147FD3" w:rsidRPr="00307988" w:rsidP="00307988" w14:paraId="4893F3A9" w14:textId="7923C242">
            <w:pPr>
              <w:widowControl/>
              <w:autoSpaceDE/>
              <w:autoSpaceDN/>
              <w:adjustRightInd/>
              <w:jc w:val="right"/>
              <w:rPr>
                <w:rFonts w:eastAsiaTheme="minorHAnsi"/>
                <w:b/>
                <w:bCs/>
                <w:i/>
                <w:iCs/>
                <w:sz w:val="20"/>
                <w:szCs w:val="20"/>
              </w:rPr>
            </w:pPr>
            <w:r w:rsidRPr="00307988">
              <w:rPr>
                <w:b/>
                <w:bCs/>
                <w:i/>
                <w:iCs/>
                <w:color w:val="000000"/>
                <w:sz w:val="20"/>
                <w:szCs w:val="20"/>
              </w:rPr>
              <w:t>0</w:t>
            </w:r>
            <w:r w:rsidRPr="00307988" w:rsidR="004C1454">
              <w:rPr>
                <w:b/>
                <w:bCs/>
                <w:i/>
                <w:iCs/>
                <w:color w:val="000000"/>
                <w:sz w:val="20"/>
                <w:szCs w:val="20"/>
              </w:rPr>
              <w:t>.3</w:t>
            </w:r>
          </w:p>
        </w:tc>
        <w:tc>
          <w:tcPr>
            <w:tcW w:w="990" w:type="dxa"/>
            <w:shd w:val="clear" w:color="auto" w:fill="000000" w:themeFill="text1"/>
            <w:noWrap/>
            <w:vAlign w:val="center"/>
            <w:hideMark/>
          </w:tcPr>
          <w:p w:rsidR="00147FD3" w:rsidRPr="00307988" w:rsidP="00307988" w14:paraId="6EF783F7" w14:textId="1695C1AF">
            <w:pPr>
              <w:widowControl/>
              <w:autoSpaceDE/>
              <w:autoSpaceDN/>
              <w:adjustRightInd/>
              <w:jc w:val="right"/>
              <w:rPr>
                <w:rFonts w:eastAsiaTheme="minorHAnsi"/>
                <w:b/>
                <w:bCs/>
                <w:i/>
                <w:iCs/>
                <w:sz w:val="20"/>
                <w:szCs w:val="20"/>
              </w:rPr>
            </w:pPr>
            <w:r w:rsidRPr="00307988">
              <w:rPr>
                <w:b/>
                <w:bCs/>
                <w:i/>
                <w:iCs/>
                <w:color w:val="000000"/>
                <w:sz w:val="20"/>
                <w:szCs w:val="20"/>
              </w:rPr>
              <w:t> </w:t>
            </w:r>
          </w:p>
        </w:tc>
        <w:tc>
          <w:tcPr>
            <w:tcW w:w="900" w:type="dxa"/>
            <w:shd w:val="clear" w:color="auto" w:fill="auto"/>
            <w:noWrap/>
            <w:vAlign w:val="center"/>
            <w:hideMark/>
          </w:tcPr>
          <w:p w:rsidR="00147FD3" w:rsidRPr="00307988" w:rsidP="00307988" w14:paraId="288E9850" w14:textId="6BE057A8">
            <w:pPr>
              <w:widowControl/>
              <w:autoSpaceDE/>
              <w:autoSpaceDN/>
              <w:adjustRightInd/>
              <w:jc w:val="right"/>
              <w:rPr>
                <w:rFonts w:eastAsiaTheme="minorHAnsi"/>
                <w:b/>
                <w:bCs/>
                <w:i/>
                <w:iCs/>
                <w:sz w:val="20"/>
                <w:szCs w:val="20"/>
              </w:rPr>
            </w:pPr>
            <w:r w:rsidRPr="00307988">
              <w:rPr>
                <w:b/>
                <w:bCs/>
                <w:i/>
                <w:iCs/>
                <w:color w:val="000000"/>
                <w:sz w:val="20"/>
                <w:szCs w:val="20"/>
              </w:rPr>
              <w:t xml:space="preserve">$16 </w:t>
            </w:r>
          </w:p>
        </w:tc>
      </w:tr>
    </w:tbl>
    <w:p w:rsidR="004826E9" w:rsidRPr="00307988" w:rsidP="00307988" w14:paraId="047E3C04" w14:textId="5EEA7894">
      <w:pPr>
        <w:widowControl/>
        <w:autoSpaceDE/>
        <w:autoSpaceDN/>
        <w:adjustRightInd/>
        <w:rPr>
          <w:sz w:val="20"/>
          <w:szCs w:val="20"/>
        </w:rPr>
      </w:pPr>
      <w:r w:rsidRPr="00307988">
        <w:rPr>
          <w:sz w:val="20"/>
          <w:szCs w:val="20"/>
        </w:rPr>
        <w:t xml:space="preserve">Note: </w:t>
      </w:r>
      <w:r w:rsidRPr="00307988">
        <w:rPr>
          <w:bCs/>
          <w:sz w:val="20"/>
          <w:szCs w:val="20"/>
        </w:rPr>
        <w:t>The number of responses per respondent is calculated by dividing the number of responses by the number of respondents and rounded.</w:t>
      </w:r>
    </w:p>
    <w:p w:rsidR="00FC513D" w:rsidRPr="00307988" w:rsidP="00307988" w14:paraId="2D314F31" w14:textId="77777777">
      <w:pPr>
        <w:widowControl/>
        <w:autoSpaceDE/>
        <w:autoSpaceDN/>
        <w:adjustRightInd/>
        <w:ind w:right="720"/>
      </w:pPr>
    </w:p>
    <w:p w:rsidR="00EA6474" w:rsidRPr="00307988" w:rsidP="00307988" w14:paraId="6CEF18D4" w14:textId="77777777">
      <w:pPr>
        <w:pStyle w:val="Default"/>
        <w:rPr>
          <w:rFonts w:ascii="Times New Roman" w:hAnsi="Times New Roman" w:cs="Times New Roman"/>
          <w:b/>
          <w:bCs/>
        </w:rPr>
      </w:pPr>
      <w:bookmarkStart w:id="28" w:name="_Hlk181187861"/>
      <w:bookmarkStart w:id="29" w:name="_Hlk114568991"/>
      <w:r w:rsidRPr="00307988">
        <w:rPr>
          <w:rFonts w:ascii="Times New Roman" w:hAnsi="Times New Roman" w:cs="Times New Roman"/>
          <w:b/>
          <w:bCs/>
        </w:rPr>
        <w:t>Hour Burden Summary</w:t>
      </w:r>
    </w:p>
    <w:p w:rsidR="00EA6474" w:rsidRPr="00307988" w:rsidP="00307988" w14:paraId="18F30ECF" w14:textId="77777777">
      <w:pPr>
        <w:widowControl/>
        <w:rPr>
          <w:bCs/>
        </w:rPr>
      </w:pPr>
    </w:p>
    <w:p w:rsidR="00052BD8" w:rsidRPr="00307988" w:rsidP="00307988" w14:paraId="6A157573" w14:textId="1A6ED0B4">
      <w:pPr>
        <w:widowControl/>
        <w:rPr>
          <w:bCs/>
        </w:rPr>
      </w:pPr>
      <w:r w:rsidRPr="00307988">
        <w:t xml:space="preserve">MSHA estimates that the </w:t>
      </w:r>
      <w:r w:rsidRPr="00307988" w:rsidR="00A94D14">
        <w:t>33</w:t>
      </w:r>
      <w:r w:rsidRPr="00307988">
        <w:t xml:space="preserve"> respondents (</w:t>
      </w:r>
      <w:r w:rsidRPr="00307988" w:rsidR="00A538FD">
        <w:t xml:space="preserve">underground </w:t>
      </w:r>
      <w:r w:rsidRPr="00307988" w:rsidR="00F0114A">
        <w:t>coal mines</w:t>
      </w:r>
      <w:r w:rsidRPr="00307988">
        <w:t xml:space="preserve">) would incur, on average, an annual collection burden of </w:t>
      </w:r>
      <w:r w:rsidRPr="00307988" w:rsidR="00A94D14">
        <w:t>33</w:t>
      </w:r>
      <w:r w:rsidRPr="00307988">
        <w:t xml:space="preserve"> hours with an associated annual cost of $</w:t>
      </w:r>
      <w:r w:rsidRPr="00307988" w:rsidR="00A94D14">
        <w:t>2,589</w:t>
      </w:r>
      <w:r w:rsidRPr="00307988">
        <w:t xml:space="preserve">. </w:t>
      </w:r>
      <w:bookmarkStart w:id="30" w:name="_Hlk172027024"/>
      <w:r w:rsidRPr="00307988">
        <w:t>The annual respondent hour and cost burden i</w:t>
      </w:r>
      <w:r w:rsidRPr="00307988" w:rsidR="00EA383A">
        <w:t>s</w:t>
      </w:r>
      <w:r w:rsidRPr="00307988">
        <w:t xml:space="preserve"> summarized in </w:t>
      </w:r>
      <w:r w:rsidRPr="00307988" w:rsidR="00AD607F">
        <w:t xml:space="preserve">the </w:t>
      </w:r>
      <w:r w:rsidRPr="00307988" w:rsidR="00DB2DFB">
        <w:t>s</w:t>
      </w:r>
      <w:r w:rsidRPr="00307988" w:rsidR="00AD607F">
        <w:t>ummary table below.</w:t>
      </w:r>
    </w:p>
    <w:bookmarkEnd w:id="28"/>
    <w:bookmarkEnd w:id="30"/>
    <w:p w:rsidR="00052BD8" w:rsidRPr="00307988" w:rsidP="00307988" w14:paraId="2CE2D9AF" w14:textId="77777777">
      <w:pPr>
        <w:widowControl/>
        <w:rPr>
          <w:bCs/>
        </w:rPr>
      </w:pPr>
    </w:p>
    <w:p w:rsidR="008F7DDE" w:rsidRPr="00307988" w:rsidP="00307988" w14:paraId="3E6EB7E2" w14:textId="22C3B26B">
      <w:pPr>
        <w:widowControl/>
        <w:autoSpaceDE/>
        <w:autoSpaceDN/>
        <w:adjustRightInd/>
        <w:rPr>
          <w:b/>
          <w:bCs/>
          <w:color w:val="000000"/>
        </w:rPr>
      </w:pPr>
      <w:bookmarkStart w:id="31" w:name="_Hlk114568999"/>
      <w:bookmarkEnd w:id="29"/>
      <w:r w:rsidRPr="00307988">
        <w:rPr>
          <w:b/>
          <w:bCs/>
          <w:color w:val="000000"/>
        </w:rPr>
        <w:t>Table 12-</w:t>
      </w:r>
      <w:r w:rsidRPr="00307988" w:rsidR="00812CC1">
        <w:rPr>
          <w:b/>
          <w:bCs/>
          <w:color w:val="000000"/>
        </w:rPr>
        <w:t>4</w:t>
      </w:r>
      <w:r w:rsidRPr="00307988" w:rsidR="00D75BE4">
        <w:rPr>
          <w:b/>
          <w:bCs/>
          <w:color w:val="000000"/>
        </w:rPr>
        <w:t xml:space="preserve">. </w:t>
      </w:r>
      <w:bookmarkStart w:id="32" w:name="_Hlk167267643"/>
      <w:r w:rsidRPr="00307988" w:rsidR="00D75BE4">
        <w:rPr>
          <w:b/>
          <w:bCs/>
          <w:color w:val="000000"/>
        </w:rPr>
        <w:t>E</w:t>
      </w:r>
      <w:r w:rsidRPr="00307988" w:rsidR="000D5FB5">
        <w:rPr>
          <w:b/>
          <w:bCs/>
          <w:color w:val="000000"/>
        </w:rPr>
        <w:t>stimated Annual Respondent Hour and Cost Burden</w:t>
      </w:r>
      <w:bookmarkEnd w:id="32"/>
      <w:r w:rsidRPr="00307988" w:rsidR="000D5FB5">
        <w:rPr>
          <w:b/>
          <w:bCs/>
          <w:color w:val="000000"/>
        </w:rPr>
        <w:t>, Summary</w:t>
      </w:r>
    </w:p>
    <w:tbl>
      <w:tblPr>
        <w:tblStyle w:val="TableGrid"/>
        <w:tblW w:w="9414" w:type="dxa"/>
        <w:tblInd w:w="-5" w:type="dxa"/>
        <w:tblLayout w:type="fixed"/>
        <w:tblLook w:val="04A0"/>
      </w:tblPr>
      <w:tblGrid>
        <w:gridCol w:w="1620"/>
        <w:gridCol w:w="1350"/>
        <w:gridCol w:w="1228"/>
        <w:gridCol w:w="1202"/>
        <w:gridCol w:w="927"/>
        <w:gridCol w:w="1143"/>
        <w:gridCol w:w="828"/>
        <w:gridCol w:w="1116"/>
      </w:tblGrid>
      <w:tr w14:paraId="374ECECE" w14:textId="77777777" w:rsidTr="002869B3">
        <w:tblPrEx>
          <w:tblW w:w="9414" w:type="dxa"/>
          <w:tblInd w:w="-5" w:type="dxa"/>
          <w:tblLayout w:type="fixed"/>
          <w:tblLook w:val="04A0"/>
        </w:tblPrEx>
        <w:trPr>
          <w:trHeight w:val="614"/>
        </w:trPr>
        <w:tc>
          <w:tcPr>
            <w:tcW w:w="1620" w:type="dxa"/>
            <w:shd w:val="clear" w:color="auto" w:fill="8EAADB" w:themeFill="accent1" w:themeFillTint="99"/>
            <w:vAlign w:val="center"/>
          </w:tcPr>
          <w:p w:rsidR="000D5FB5" w:rsidRPr="00307988" w:rsidP="00307988" w14:paraId="4645E488" w14:textId="4DA3D2A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0"/>
                <w:szCs w:val="20"/>
              </w:rPr>
            </w:pPr>
            <w:bookmarkStart w:id="33" w:name="_Hlk114568982"/>
            <w:bookmarkEnd w:id="31"/>
            <w:r w:rsidRPr="00307988">
              <w:rPr>
                <w:sz w:val="20"/>
                <w:szCs w:val="20"/>
              </w:rPr>
              <w:t>Activity</w:t>
            </w:r>
          </w:p>
        </w:tc>
        <w:tc>
          <w:tcPr>
            <w:tcW w:w="1350" w:type="dxa"/>
            <w:shd w:val="clear" w:color="auto" w:fill="8EAADB" w:themeFill="accent1" w:themeFillTint="99"/>
            <w:vAlign w:val="center"/>
          </w:tcPr>
          <w:p w:rsidR="000D5FB5" w:rsidRPr="00307988" w:rsidP="00307988" w14:paraId="373F7A9C" w14:textId="0599399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0"/>
                <w:szCs w:val="20"/>
              </w:rPr>
            </w:pPr>
            <w:r w:rsidRPr="00307988">
              <w:rPr>
                <w:sz w:val="20"/>
                <w:szCs w:val="20"/>
              </w:rPr>
              <w:t xml:space="preserve">Number of </w:t>
            </w:r>
            <w:r w:rsidRPr="00307988">
              <w:rPr>
                <w:sz w:val="20"/>
                <w:szCs w:val="20"/>
              </w:rPr>
              <w:t>Respondents</w:t>
            </w:r>
          </w:p>
          <w:p w:rsidR="00FA0B6E" w:rsidRPr="00307988" w:rsidP="00307988" w14:paraId="025D001D" w14:textId="63B99DD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0"/>
                <w:szCs w:val="20"/>
              </w:rPr>
            </w:pPr>
            <w:r w:rsidRPr="00307988">
              <w:rPr>
                <w:sz w:val="20"/>
                <w:szCs w:val="20"/>
              </w:rPr>
              <w:t>(Mines)</w:t>
            </w:r>
          </w:p>
        </w:tc>
        <w:tc>
          <w:tcPr>
            <w:tcW w:w="1228" w:type="dxa"/>
            <w:shd w:val="clear" w:color="auto" w:fill="8EAADB" w:themeFill="accent1" w:themeFillTint="99"/>
            <w:vAlign w:val="center"/>
          </w:tcPr>
          <w:p w:rsidR="000D5FB5" w:rsidRPr="00307988" w:rsidP="00307988" w14:paraId="1D6E3657" w14:textId="33F2E7E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0"/>
                <w:szCs w:val="20"/>
              </w:rPr>
            </w:pPr>
            <w:r w:rsidRPr="00307988">
              <w:rPr>
                <w:sz w:val="20"/>
                <w:szCs w:val="20"/>
              </w:rPr>
              <w:t xml:space="preserve">Number of </w:t>
            </w:r>
            <w:r w:rsidRPr="00307988">
              <w:rPr>
                <w:sz w:val="20"/>
                <w:szCs w:val="20"/>
              </w:rPr>
              <w:t>Responses per Respondent</w:t>
            </w:r>
          </w:p>
        </w:tc>
        <w:tc>
          <w:tcPr>
            <w:tcW w:w="1202" w:type="dxa"/>
            <w:shd w:val="clear" w:color="auto" w:fill="8EAADB" w:themeFill="accent1" w:themeFillTint="99"/>
            <w:vAlign w:val="center"/>
          </w:tcPr>
          <w:p w:rsidR="000D5FB5" w:rsidRPr="00307988" w:rsidP="00307988" w14:paraId="7C987A6C" w14:textId="1F94026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0"/>
                <w:szCs w:val="20"/>
              </w:rPr>
            </w:pPr>
            <w:r w:rsidRPr="00307988">
              <w:rPr>
                <w:sz w:val="20"/>
                <w:szCs w:val="20"/>
              </w:rPr>
              <w:t>Total Responses</w:t>
            </w:r>
          </w:p>
        </w:tc>
        <w:tc>
          <w:tcPr>
            <w:tcW w:w="927" w:type="dxa"/>
            <w:shd w:val="clear" w:color="auto" w:fill="8EAADB" w:themeFill="accent1" w:themeFillTint="99"/>
            <w:vAlign w:val="center"/>
          </w:tcPr>
          <w:p w:rsidR="000D5FB5" w:rsidRPr="00307988" w:rsidP="00307988" w14:paraId="0622A6EB" w14:textId="6C596F4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0"/>
                <w:szCs w:val="20"/>
              </w:rPr>
            </w:pPr>
            <w:r w:rsidRPr="00307988">
              <w:rPr>
                <w:sz w:val="20"/>
                <w:szCs w:val="20"/>
              </w:rPr>
              <w:t>Average Burden (Hours)</w:t>
            </w:r>
          </w:p>
        </w:tc>
        <w:tc>
          <w:tcPr>
            <w:tcW w:w="1143" w:type="dxa"/>
            <w:shd w:val="clear" w:color="auto" w:fill="8EAADB" w:themeFill="accent1" w:themeFillTint="99"/>
            <w:vAlign w:val="center"/>
          </w:tcPr>
          <w:p w:rsidR="000D5FB5" w:rsidRPr="00307988" w:rsidP="00307988" w14:paraId="3758A1F8" w14:textId="1505273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0"/>
                <w:szCs w:val="20"/>
              </w:rPr>
            </w:pPr>
            <w:r w:rsidRPr="00307988">
              <w:rPr>
                <w:sz w:val="20"/>
                <w:szCs w:val="20"/>
              </w:rPr>
              <w:t>Total Burden (Hours)</w:t>
            </w:r>
          </w:p>
        </w:tc>
        <w:tc>
          <w:tcPr>
            <w:tcW w:w="828" w:type="dxa"/>
            <w:shd w:val="clear" w:color="auto" w:fill="8EAADB" w:themeFill="accent1" w:themeFillTint="99"/>
            <w:vAlign w:val="center"/>
          </w:tcPr>
          <w:p w:rsidR="000D5FB5" w:rsidRPr="00307988" w:rsidP="00307988" w14:paraId="3DEDF306" w14:textId="3028D35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0"/>
                <w:szCs w:val="20"/>
              </w:rPr>
            </w:pPr>
            <w:r w:rsidRPr="00307988">
              <w:rPr>
                <w:sz w:val="20"/>
                <w:szCs w:val="20"/>
              </w:rPr>
              <w:t>Hourly Wage Rate</w:t>
            </w:r>
          </w:p>
        </w:tc>
        <w:tc>
          <w:tcPr>
            <w:tcW w:w="1116" w:type="dxa"/>
            <w:shd w:val="clear" w:color="auto" w:fill="8EAADB" w:themeFill="accent1" w:themeFillTint="99"/>
            <w:vAlign w:val="center"/>
          </w:tcPr>
          <w:p w:rsidR="000D5FB5" w:rsidRPr="00307988" w:rsidP="00307988" w14:paraId="6772B9CD" w14:textId="01BD1FB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0"/>
                <w:szCs w:val="20"/>
              </w:rPr>
            </w:pPr>
            <w:r w:rsidRPr="00307988">
              <w:rPr>
                <w:sz w:val="20"/>
                <w:szCs w:val="20"/>
              </w:rPr>
              <w:t>Total Burden Cost</w:t>
            </w:r>
          </w:p>
        </w:tc>
      </w:tr>
      <w:tr w14:paraId="4282501E" w14:textId="77777777" w:rsidTr="007628FE">
        <w:tblPrEx>
          <w:tblW w:w="9414" w:type="dxa"/>
          <w:tblInd w:w="-5" w:type="dxa"/>
          <w:tblLayout w:type="fixed"/>
          <w:tblLook w:val="04A0"/>
        </w:tblPrEx>
        <w:trPr>
          <w:trHeight w:val="307"/>
        </w:trPr>
        <w:tc>
          <w:tcPr>
            <w:tcW w:w="1620" w:type="dxa"/>
            <w:vAlign w:val="center"/>
          </w:tcPr>
          <w:p w:rsidR="00812CC1" w:rsidRPr="00307988" w:rsidP="00307988" w14:paraId="65608CCD" w14:textId="702EA11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Cs/>
                <w:sz w:val="20"/>
                <w:szCs w:val="20"/>
              </w:rPr>
            </w:pPr>
            <w:r w:rsidRPr="00307988">
              <w:rPr>
                <w:color w:val="000000"/>
                <w:sz w:val="20"/>
                <w:szCs w:val="20"/>
              </w:rPr>
              <w:t xml:space="preserve">I. </w:t>
            </w:r>
            <w:r w:rsidRPr="00307988" w:rsidR="00C4790A">
              <w:rPr>
                <w:color w:val="000000"/>
                <w:sz w:val="20"/>
                <w:szCs w:val="20"/>
              </w:rPr>
              <w:t xml:space="preserve">Preparing and submitting Permit Applications </w:t>
            </w:r>
          </w:p>
        </w:tc>
        <w:tc>
          <w:tcPr>
            <w:tcW w:w="1350" w:type="dxa"/>
            <w:vAlign w:val="center"/>
          </w:tcPr>
          <w:p w:rsidR="00812CC1" w:rsidRPr="00307988" w:rsidP="00307988" w14:paraId="440677C1" w14:textId="7A9C0CC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sidRPr="00307988">
              <w:rPr>
                <w:color w:val="000000"/>
                <w:sz w:val="20"/>
                <w:szCs w:val="20"/>
              </w:rPr>
              <w:t>33</w:t>
            </w:r>
          </w:p>
        </w:tc>
        <w:tc>
          <w:tcPr>
            <w:tcW w:w="1228" w:type="dxa"/>
            <w:vAlign w:val="center"/>
          </w:tcPr>
          <w:p w:rsidR="00812CC1" w:rsidRPr="00307988" w:rsidP="00307988" w14:paraId="0C47DEFD" w14:textId="4FA33B1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sidRPr="00307988">
              <w:rPr>
                <w:color w:val="000000"/>
                <w:sz w:val="20"/>
                <w:szCs w:val="20"/>
              </w:rPr>
              <w:t>1</w:t>
            </w:r>
          </w:p>
        </w:tc>
        <w:tc>
          <w:tcPr>
            <w:tcW w:w="1202" w:type="dxa"/>
            <w:vAlign w:val="center"/>
          </w:tcPr>
          <w:p w:rsidR="00812CC1" w:rsidRPr="00307988" w:rsidP="00307988" w14:paraId="22AA57E9" w14:textId="441E7A2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sidRPr="00307988">
              <w:rPr>
                <w:color w:val="000000"/>
                <w:sz w:val="20"/>
                <w:szCs w:val="20"/>
              </w:rPr>
              <w:t>33</w:t>
            </w:r>
          </w:p>
        </w:tc>
        <w:tc>
          <w:tcPr>
            <w:tcW w:w="927" w:type="dxa"/>
            <w:vAlign w:val="center"/>
          </w:tcPr>
          <w:p w:rsidR="00812CC1" w:rsidRPr="00307988" w:rsidP="00307988" w14:paraId="5A9D5146" w14:textId="60412F1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sidRPr="00307988">
              <w:rPr>
                <w:color w:val="000000"/>
                <w:sz w:val="20"/>
                <w:szCs w:val="20"/>
              </w:rPr>
              <w:t>1</w:t>
            </w:r>
          </w:p>
        </w:tc>
        <w:tc>
          <w:tcPr>
            <w:tcW w:w="1143" w:type="dxa"/>
            <w:vAlign w:val="center"/>
          </w:tcPr>
          <w:p w:rsidR="00812CC1" w:rsidRPr="00307988" w:rsidP="00307988" w14:paraId="75208E80" w14:textId="3FB8680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sidRPr="00307988">
              <w:rPr>
                <w:color w:val="000000"/>
                <w:sz w:val="20"/>
                <w:szCs w:val="20"/>
              </w:rPr>
              <w:t>33.00</w:t>
            </w:r>
          </w:p>
        </w:tc>
        <w:tc>
          <w:tcPr>
            <w:tcW w:w="828" w:type="dxa"/>
            <w:vAlign w:val="center"/>
          </w:tcPr>
          <w:p w:rsidR="00812CC1" w:rsidRPr="00307988" w:rsidP="00307988" w14:paraId="124E61EC" w14:textId="47E722F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eastAsiaTheme="minorHAnsi"/>
                <w:sz w:val="20"/>
                <w:szCs w:val="20"/>
              </w:rPr>
            </w:pPr>
            <w:r w:rsidRPr="00307988">
              <w:rPr>
                <w:color w:val="000000"/>
                <w:sz w:val="20"/>
                <w:szCs w:val="20"/>
              </w:rPr>
              <w:t>$</w:t>
            </w:r>
            <w:r w:rsidRPr="00307988">
              <w:rPr>
                <w:color w:val="000000"/>
                <w:sz w:val="20"/>
                <w:szCs w:val="20"/>
              </w:rPr>
              <w:t xml:space="preserve">77.97 </w:t>
            </w:r>
          </w:p>
        </w:tc>
        <w:tc>
          <w:tcPr>
            <w:tcW w:w="1116" w:type="dxa"/>
            <w:vAlign w:val="center"/>
          </w:tcPr>
          <w:p w:rsidR="00812CC1" w:rsidRPr="00307988" w:rsidP="00307988" w14:paraId="2DDE4177" w14:textId="0934F9F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sz w:val="20"/>
                <w:szCs w:val="20"/>
              </w:rPr>
            </w:pPr>
            <w:r w:rsidRPr="00307988">
              <w:rPr>
                <w:color w:val="000000"/>
                <w:sz w:val="20"/>
                <w:szCs w:val="20"/>
              </w:rPr>
              <w:t xml:space="preserve">  </w:t>
            </w:r>
            <w:r w:rsidRPr="00307988" w:rsidR="00787C4B">
              <w:rPr>
                <w:color w:val="000000"/>
                <w:sz w:val="20"/>
                <w:szCs w:val="20"/>
              </w:rPr>
              <w:t>$</w:t>
            </w:r>
            <w:r w:rsidRPr="00307988">
              <w:rPr>
                <w:color w:val="000000"/>
                <w:sz w:val="20"/>
                <w:szCs w:val="20"/>
              </w:rPr>
              <w:t xml:space="preserve">2,573.01 </w:t>
            </w:r>
          </w:p>
        </w:tc>
      </w:tr>
      <w:tr w14:paraId="698B4B23" w14:textId="77777777" w:rsidTr="007628FE">
        <w:tblPrEx>
          <w:tblW w:w="9414" w:type="dxa"/>
          <w:tblInd w:w="-5" w:type="dxa"/>
          <w:tblLayout w:type="fixed"/>
          <w:tblLook w:val="04A0"/>
        </w:tblPrEx>
        <w:trPr>
          <w:trHeight w:val="307"/>
        </w:trPr>
        <w:tc>
          <w:tcPr>
            <w:tcW w:w="1620" w:type="dxa"/>
            <w:vAlign w:val="center"/>
          </w:tcPr>
          <w:p w:rsidR="00812CC1" w:rsidRPr="00307988" w:rsidP="00307988" w14:paraId="1C48593B" w14:textId="3A44B64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Cs/>
                <w:sz w:val="20"/>
                <w:szCs w:val="20"/>
              </w:rPr>
            </w:pPr>
            <w:r w:rsidRPr="00307988">
              <w:rPr>
                <w:color w:val="000000"/>
                <w:sz w:val="20"/>
                <w:szCs w:val="20"/>
              </w:rPr>
              <w:t xml:space="preserve">II. </w:t>
            </w:r>
            <w:r w:rsidRPr="00307988" w:rsidR="00064A13">
              <w:rPr>
                <w:color w:val="000000"/>
                <w:sz w:val="20"/>
                <w:szCs w:val="20"/>
              </w:rPr>
              <w:t>Post</w:t>
            </w:r>
            <w:r w:rsidRPr="00307988" w:rsidR="00A538FD">
              <w:rPr>
                <w:color w:val="000000"/>
                <w:sz w:val="20"/>
                <w:szCs w:val="20"/>
              </w:rPr>
              <w:t>ing</w:t>
            </w:r>
            <w:r w:rsidRPr="00307988" w:rsidR="00064A13">
              <w:rPr>
                <w:color w:val="000000"/>
                <w:sz w:val="20"/>
                <w:szCs w:val="20"/>
              </w:rPr>
              <w:t xml:space="preserve"> Misfire Notices </w:t>
            </w:r>
          </w:p>
        </w:tc>
        <w:tc>
          <w:tcPr>
            <w:tcW w:w="1350" w:type="dxa"/>
            <w:vAlign w:val="center"/>
          </w:tcPr>
          <w:p w:rsidR="00812CC1" w:rsidRPr="00307988" w:rsidP="00307988" w14:paraId="1E93E71B" w14:textId="25EDDAC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sidRPr="00307988">
              <w:rPr>
                <w:color w:val="000000"/>
                <w:sz w:val="20"/>
                <w:szCs w:val="20"/>
              </w:rPr>
              <w:t>33</w:t>
            </w:r>
          </w:p>
        </w:tc>
        <w:tc>
          <w:tcPr>
            <w:tcW w:w="1228" w:type="dxa"/>
            <w:vAlign w:val="center"/>
          </w:tcPr>
          <w:p w:rsidR="00812CC1" w:rsidRPr="00307988" w:rsidP="00307988" w14:paraId="5708A8A6" w14:textId="30EEE19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sidRPr="00307988">
              <w:rPr>
                <w:color w:val="000000"/>
                <w:sz w:val="20"/>
                <w:szCs w:val="20"/>
              </w:rPr>
              <w:t>0.03</w:t>
            </w:r>
          </w:p>
        </w:tc>
        <w:tc>
          <w:tcPr>
            <w:tcW w:w="1202" w:type="dxa"/>
            <w:vAlign w:val="center"/>
          </w:tcPr>
          <w:p w:rsidR="00812CC1" w:rsidRPr="00307988" w:rsidP="00307988" w14:paraId="7A7D1551" w14:textId="5534F59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sidRPr="00307988">
              <w:rPr>
                <w:color w:val="000000"/>
                <w:sz w:val="20"/>
                <w:szCs w:val="20"/>
              </w:rPr>
              <w:t>1</w:t>
            </w:r>
          </w:p>
        </w:tc>
        <w:tc>
          <w:tcPr>
            <w:tcW w:w="927" w:type="dxa"/>
            <w:vAlign w:val="center"/>
          </w:tcPr>
          <w:p w:rsidR="00812CC1" w:rsidRPr="00307988" w:rsidP="00307988" w14:paraId="26E3ADAA" w14:textId="6C80CE8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sidRPr="00307988">
              <w:rPr>
                <w:color w:val="000000"/>
                <w:sz w:val="20"/>
                <w:szCs w:val="20"/>
              </w:rPr>
              <w:t>0.33</w:t>
            </w:r>
          </w:p>
        </w:tc>
        <w:tc>
          <w:tcPr>
            <w:tcW w:w="1143" w:type="dxa"/>
            <w:vAlign w:val="center"/>
          </w:tcPr>
          <w:p w:rsidR="00812CC1" w:rsidRPr="00307988" w:rsidP="00307988" w14:paraId="5C159E58" w14:textId="3EB7F08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sidRPr="00307988">
              <w:rPr>
                <w:color w:val="000000"/>
                <w:sz w:val="20"/>
                <w:szCs w:val="20"/>
              </w:rPr>
              <w:t>0.33</w:t>
            </w:r>
          </w:p>
        </w:tc>
        <w:tc>
          <w:tcPr>
            <w:tcW w:w="828" w:type="dxa"/>
            <w:vAlign w:val="center"/>
          </w:tcPr>
          <w:p w:rsidR="00812CC1" w:rsidRPr="00307988" w:rsidP="00307988" w14:paraId="3D181E2F" w14:textId="5750CA1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eastAsiaTheme="minorHAnsi"/>
                <w:sz w:val="20"/>
                <w:szCs w:val="20"/>
              </w:rPr>
            </w:pPr>
            <w:r w:rsidRPr="00307988">
              <w:rPr>
                <w:color w:val="000000"/>
                <w:sz w:val="20"/>
                <w:szCs w:val="20"/>
              </w:rPr>
              <w:t>$</w:t>
            </w:r>
            <w:r w:rsidRPr="00307988">
              <w:rPr>
                <w:color w:val="000000"/>
                <w:sz w:val="20"/>
                <w:szCs w:val="20"/>
              </w:rPr>
              <w:t xml:space="preserve">48.65 </w:t>
            </w:r>
          </w:p>
        </w:tc>
        <w:tc>
          <w:tcPr>
            <w:tcW w:w="1116" w:type="dxa"/>
            <w:vAlign w:val="center"/>
          </w:tcPr>
          <w:p w:rsidR="00812CC1" w:rsidRPr="00307988" w:rsidP="00307988" w14:paraId="760644D3" w14:textId="5165168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sz w:val="20"/>
                <w:szCs w:val="20"/>
              </w:rPr>
            </w:pPr>
            <w:r w:rsidRPr="00307988">
              <w:rPr>
                <w:color w:val="000000"/>
                <w:sz w:val="20"/>
                <w:szCs w:val="20"/>
              </w:rPr>
              <w:t>$</w:t>
            </w:r>
            <w:r w:rsidRPr="00307988">
              <w:rPr>
                <w:color w:val="000000"/>
                <w:sz w:val="20"/>
                <w:szCs w:val="20"/>
              </w:rPr>
              <w:t xml:space="preserve">16.22 </w:t>
            </w:r>
          </w:p>
        </w:tc>
      </w:tr>
      <w:tr w14:paraId="7CDDDCD7" w14:textId="77777777" w:rsidTr="007628FE">
        <w:tblPrEx>
          <w:tblW w:w="9414" w:type="dxa"/>
          <w:tblInd w:w="-5" w:type="dxa"/>
          <w:tblLayout w:type="fixed"/>
          <w:tblLook w:val="04A0"/>
        </w:tblPrEx>
        <w:trPr>
          <w:trHeight w:val="307"/>
        </w:trPr>
        <w:tc>
          <w:tcPr>
            <w:tcW w:w="1620" w:type="dxa"/>
            <w:shd w:val="clear" w:color="auto" w:fill="auto"/>
            <w:vAlign w:val="center"/>
          </w:tcPr>
          <w:p w:rsidR="00812CC1" w:rsidRPr="00307988" w:rsidP="00307988" w14:paraId="1FCE5A8E" w14:textId="2E1E8B9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
                <w:i/>
                <w:iCs/>
                <w:sz w:val="20"/>
                <w:szCs w:val="20"/>
              </w:rPr>
            </w:pPr>
            <w:r w:rsidRPr="00307988">
              <w:rPr>
                <w:b/>
                <w:bCs/>
                <w:i/>
                <w:iCs/>
                <w:color w:val="000000"/>
                <w:sz w:val="20"/>
                <w:szCs w:val="20"/>
              </w:rPr>
              <w:t>Total (Rounded)</w:t>
            </w:r>
          </w:p>
        </w:tc>
        <w:tc>
          <w:tcPr>
            <w:tcW w:w="1350" w:type="dxa"/>
            <w:shd w:val="clear" w:color="auto" w:fill="auto"/>
            <w:vAlign w:val="center"/>
          </w:tcPr>
          <w:p w:rsidR="00812CC1" w:rsidRPr="00307988" w:rsidP="00307988" w14:paraId="4A74AF16" w14:textId="47FF867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
                <w:i/>
                <w:iCs/>
                <w:sz w:val="20"/>
                <w:szCs w:val="20"/>
              </w:rPr>
            </w:pPr>
            <w:r w:rsidRPr="00307988">
              <w:rPr>
                <w:b/>
                <w:bCs/>
                <w:i/>
                <w:iCs/>
                <w:color w:val="000000"/>
                <w:sz w:val="20"/>
                <w:szCs w:val="20"/>
              </w:rPr>
              <w:t>33</w:t>
            </w:r>
          </w:p>
        </w:tc>
        <w:tc>
          <w:tcPr>
            <w:tcW w:w="1228" w:type="dxa"/>
            <w:shd w:val="clear" w:color="auto" w:fill="000000" w:themeFill="text1"/>
            <w:vAlign w:val="center"/>
          </w:tcPr>
          <w:p w:rsidR="00812CC1" w:rsidRPr="00307988" w:rsidP="00307988" w14:paraId="27642701" w14:textId="30D72CE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
                <w:i/>
                <w:iCs/>
                <w:sz w:val="20"/>
                <w:szCs w:val="20"/>
              </w:rPr>
            </w:pPr>
            <w:r w:rsidRPr="00307988">
              <w:rPr>
                <w:b/>
                <w:bCs/>
                <w:i/>
                <w:iCs/>
                <w:color w:val="000000"/>
                <w:sz w:val="20"/>
                <w:szCs w:val="20"/>
              </w:rPr>
              <w:t> </w:t>
            </w:r>
          </w:p>
        </w:tc>
        <w:tc>
          <w:tcPr>
            <w:tcW w:w="1202" w:type="dxa"/>
            <w:shd w:val="clear" w:color="auto" w:fill="auto"/>
            <w:vAlign w:val="center"/>
          </w:tcPr>
          <w:p w:rsidR="00812CC1" w:rsidRPr="00307988" w:rsidP="00307988" w14:paraId="7F92697B" w14:textId="49E3267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
                <w:i/>
                <w:iCs/>
                <w:sz w:val="20"/>
                <w:szCs w:val="20"/>
              </w:rPr>
            </w:pPr>
            <w:r w:rsidRPr="00307988">
              <w:rPr>
                <w:b/>
                <w:bCs/>
                <w:i/>
                <w:iCs/>
                <w:color w:val="000000"/>
                <w:sz w:val="20"/>
                <w:szCs w:val="20"/>
              </w:rPr>
              <w:t>34</w:t>
            </w:r>
          </w:p>
        </w:tc>
        <w:tc>
          <w:tcPr>
            <w:tcW w:w="927" w:type="dxa"/>
            <w:shd w:val="clear" w:color="auto" w:fill="000000" w:themeFill="text1"/>
            <w:vAlign w:val="center"/>
          </w:tcPr>
          <w:p w:rsidR="00812CC1" w:rsidRPr="00307988" w:rsidP="00307988" w14:paraId="5A3702C1" w14:textId="2A4756B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
                <w:i/>
                <w:iCs/>
                <w:sz w:val="20"/>
                <w:szCs w:val="20"/>
              </w:rPr>
            </w:pPr>
            <w:r w:rsidRPr="00307988">
              <w:rPr>
                <w:b/>
                <w:bCs/>
                <w:i/>
                <w:iCs/>
                <w:color w:val="000000"/>
                <w:sz w:val="20"/>
                <w:szCs w:val="20"/>
              </w:rPr>
              <w:t> </w:t>
            </w:r>
          </w:p>
        </w:tc>
        <w:tc>
          <w:tcPr>
            <w:tcW w:w="1143" w:type="dxa"/>
            <w:shd w:val="clear" w:color="auto" w:fill="auto"/>
            <w:vAlign w:val="center"/>
          </w:tcPr>
          <w:p w:rsidR="00812CC1" w:rsidRPr="00307988" w:rsidP="00307988" w14:paraId="382DBFCD" w14:textId="0DD62F6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
                <w:i/>
                <w:iCs/>
                <w:sz w:val="20"/>
                <w:szCs w:val="20"/>
              </w:rPr>
            </w:pPr>
            <w:r w:rsidRPr="00307988">
              <w:rPr>
                <w:b/>
                <w:bCs/>
                <w:i/>
                <w:iCs/>
                <w:color w:val="000000"/>
                <w:sz w:val="20"/>
                <w:szCs w:val="20"/>
              </w:rPr>
              <w:t>33</w:t>
            </w:r>
          </w:p>
        </w:tc>
        <w:tc>
          <w:tcPr>
            <w:tcW w:w="828" w:type="dxa"/>
            <w:shd w:val="clear" w:color="auto" w:fill="000000" w:themeFill="text1"/>
            <w:vAlign w:val="center"/>
          </w:tcPr>
          <w:p w:rsidR="00812CC1" w:rsidRPr="00307988" w:rsidP="00307988" w14:paraId="0A662691" w14:textId="6CE641F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
                <w:i/>
                <w:iCs/>
                <w:sz w:val="20"/>
                <w:szCs w:val="20"/>
              </w:rPr>
            </w:pPr>
            <w:r w:rsidRPr="00307988">
              <w:rPr>
                <w:b/>
                <w:bCs/>
                <w:i/>
                <w:iCs/>
                <w:color w:val="000000"/>
                <w:sz w:val="20"/>
                <w:szCs w:val="20"/>
              </w:rPr>
              <w:t> </w:t>
            </w:r>
          </w:p>
        </w:tc>
        <w:tc>
          <w:tcPr>
            <w:tcW w:w="1116" w:type="dxa"/>
            <w:vAlign w:val="center"/>
          </w:tcPr>
          <w:p w:rsidR="00812CC1" w:rsidRPr="00307988" w:rsidP="00307988" w14:paraId="509B9CDE" w14:textId="64DE096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
                <w:i/>
                <w:iCs/>
                <w:sz w:val="20"/>
                <w:szCs w:val="20"/>
              </w:rPr>
            </w:pPr>
            <w:r w:rsidRPr="00307988">
              <w:rPr>
                <w:b/>
                <w:bCs/>
                <w:i/>
                <w:iCs/>
                <w:color w:val="000000"/>
                <w:sz w:val="20"/>
                <w:szCs w:val="20"/>
              </w:rPr>
              <w:t xml:space="preserve">$2,589 </w:t>
            </w:r>
          </w:p>
        </w:tc>
      </w:tr>
    </w:tbl>
    <w:p w:rsidR="008F7DDE" w:rsidRPr="00307988" w:rsidP="00307988" w14:paraId="2C1D294F" w14:textId="3CB7EB37">
      <w:pPr>
        <w:widowControl/>
        <w:rPr>
          <w:sz w:val="18"/>
          <w:szCs w:val="18"/>
        </w:rPr>
      </w:pPr>
      <w:bookmarkStart w:id="34" w:name="_Hlk185344491"/>
      <w:bookmarkStart w:id="35" w:name="_Hlk181188185"/>
      <w:bookmarkEnd w:id="33"/>
      <w:r w:rsidRPr="00307988">
        <w:rPr>
          <w:sz w:val="18"/>
          <w:szCs w:val="18"/>
        </w:rPr>
        <w:t>Note</w:t>
      </w:r>
      <w:r w:rsidRPr="00307988" w:rsidR="00A538FD">
        <w:rPr>
          <w:sz w:val="18"/>
          <w:szCs w:val="18"/>
        </w:rPr>
        <w:t>s</w:t>
      </w:r>
      <w:r w:rsidRPr="00307988">
        <w:rPr>
          <w:sz w:val="18"/>
          <w:szCs w:val="18"/>
        </w:rPr>
        <w:t xml:space="preserve">: The </w:t>
      </w:r>
      <w:r w:rsidRPr="00307988" w:rsidR="00D02861">
        <w:rPr>
          <w:sz w:val="18"/>
          <w:szCs w:val="18"/>
        </w:rPr>
        <w:t>total number</w:t>
      </w:r>
      <w:r w:rsidRPr="00307988">
        <w:rPr>
          <w:sz w:val="18"/>
          <w:szCs w:val="18"/>
        </w:rPr>
        <w:t xml:space="preserve"> of respondents </w:t>
      </w:r>
      <w:bookmarkStart w:id="36" w:name="_Hlk172641234"/>
      <w:bookmarkStart w:id="37" w:name="_Hlk172027061"/>
      <w:r w:rsidRPr="00307988" w:rsidR="00BF32A1">
        <w:rPr>
          <w:sz w:val="18"/>
          <w:szCs w:val="18"/>
        </w:rPr>
        <w:t xml:space="preserve">is </w:t>
      </w:r>
      <w:r w:rsidRPr="00307988" w:rsidR="00BF32A1">
        <w:rPr>
          <w:bCs/>
          <w:sz w:val="20"/>
        </w:rPr>
        <w:t>not a sum of respondents from each cost category</w:t>
      </w:r>
      <w:bookmarkEnd w:id="36"/>
      <w:r w:rsidRPr="00307988" w:rsidR="00BF32A1">
        <w:rPr>
          <w:bCs/>
          <w:sz w:val="20"/>
        </w:rPr>
        <w:t>. It corresponds to the number of</w:t>
      </w:r>
      <w:bookmarkEnd w:id="34"/>
      <w:r w:rsidRPr="00307988" w:rsidR="00054CF2">
        <w:rPr>
          <w:bCs/>
          <w:sz w:val="20"/>
        </w:rPr>
        <w:t xml:space="preserve"> coal mines filing petition</w:t>
      </w:r>
      <w:r w:rsidRPr="00307988" w:rsidR="0012509D">
        <w:rPr>
          <w:bCs/>
          <w:sz w:val="20"/>
        </w:rPr>
        <w:t>s</w:t>
      </w:r>
      <w:bookmarkEnd w:id="35"/>
      <w:bookmarkEnd w:id="37"/>
      <w:r w:rsidRPr="00307988">
        <w:rPr>
          <w:sz w:val="18"/>
          <w:szCs w:val="18"/>
        </w:rPr>
        <w:t>.</w:t>
      </w:r>
      <w:r w:rsidRPr="00307988" w:rsidR="00A538FD">
        <w:rPr>
          <w:sz w:val="18"/>
          <w:szCs w:val="18"/>
        </w:rPr>
        <w:t xml:space="preserve"> </w:t>
      </w:r>
      <w:r w:rsidRPr="00307988" w:rsidR="00BA1BC0">
        <w:rPr>
          <w:sz w:val="18"/>
          <w:szCs w:val="18"/>
        </w:rPr>
        <w:t>T</w:t>
      </w:r>
      <w:r w:rsidRPr="00307988" w:rsidR="00A538FD">
        <w:rPr>
          <w:bCs/>
          <w:sz w:val="20"/>
          <w:szCs w:val="20"/>
        </w:rPr>
        <w:t>he number of responses per respondent is calculated by dividing the number of responses by the number of respondents and rounded.</w:t>
      </w:r>
    </w:p>
    <w:p w:rsidR="00D75BE4" w:rsidRPr="00307988" w:rsidP="00307988" w14:paraId="29DB2914" w14:textId="77777777">
      <w:pPr>
        <w:widowControl/>
        <w:rPr>
          <w:sz w:val="20"/>
          <w:szCs w:val="20"/>
        </w:rPr>
      </w:pPr>
    </w:p>
    <w:p w:rsidR="008F7DDE" w:rsidRPr="00307988" w:rsidP="00307988" w14:paraId="75C67996" w14:textId="5B628040">
      <w:pPr>
        <w:rPr>
          <w:b/>
          <w:bCs/>
          <w:color w:val="000000"/>
        </w:rPr>
      </w:pPr>
      <w:r w:rsidRPr="00307988">
        <w:rPr>
          <w:b/>
          <w:bCs/>
          <w:color w:val="000000"/>
        </w:rPr>
        <w:t>13.</w:t>
      </w:r>
      <w:r w:rsidRPr="00307988" w:rsidR="007E35A8">
        <w:rPr>
          <w:b/>
          <w:bCs/>
          <w:color w:val="000000"/>
        </w:rPr>
        <w:t xml:space="preserve"> </w:t>
      </w:r>
      <w:r w:rsidRPr="00307988">
        <w:rPr>
          <w:b/>
          <w:bCs/>
          <w:color w:val="000000"/>
        </w:rPr>
        <w:t>Provide an estimate of the total annual cost burden to respondents or record keepers resulting from the collection of information.</w:t>
      </w:r>
      <w:r w:rsidRPr="00307988" w:rsidR="007E35A8">
        <w:rPr>
          <w:b/>
          <w:bCs/>
          <w:color w:val="000000"/>
        </w:rPr>
        <w:t xml:space="preserve"> </w:t>
      </w:r>
      <w:r w:rsidRPr="00307988">
        <w:rPr>
          <w:b/>
          <w:bCs/>
          <w:color w:val="000000"/>
        </w:rPr>
        <w:t>(Do not include the cost of any hour burden already reflected on the burden worksheet).</w:t>
      </w:r>
    </w:p>
    <w:p w:rsidR="008F7DDE" w:rsidRPr="00307988" w:rsidP="00307988" w14:paraId="5A33710B" w14:textId="58CC6A1A">
      <w:pPr>
        <w:pStyle w:val="ListParagraph"/>
        <w:numPr>
          <w:ilvl w:val="0"/>
          <w:numId w:val="2"/>
        </w:numPr>
        <w:tabs>
          <w:tab w:val="left" w:pos="-1440"/>
        </w:tabs>
        <w:spacing w:after="0" w:line="240" w:lineRule="auto"/>
        <w:rPr>
          <w:rFonts w:ascii="Times New Roman" w:hAnsi="Times New Roman"/>
          <w:b/>
          <w:bCs/>
          <w:color w:val="000000"/>
          <w:sz w:val="24"/>
          <w:szCs w:val="24"/>
        </w:rPr>
      </w:pPr>
      <w:r w:rsidRPr="00307988">
        <w:rPr>
          <w:rFonts w:ascii="Times New Roman" w:hAnsi="Times New Roman"/>
          <w:b/>
          <w:bCs/>
          <w:color w:val="000000"/>
          <w:sz w:val="24"/>
          <w:szCs w:val="24"/>
        </w:rPr>
        <w:t>The cost estimate should be split into two components: (a) a total capital and start-up cost component (annualized over its expected useful life); and (b) a total operation and maintenance and purchase of services component.</w:t>
      </w:r>
      <w:r w:rsidRPr="00307988" w:rsidR="007E35A8">
        <w:rPr>
          <w:rFonts w:ascii="Times New Roman" w:hAnsi="Times New Roman"/>
          <w:b/>
          <w:bCs/>
          <w:color w:val="000000"/>
          <w:sz w:val="24"/>
          <w:szCs w:val="24"/>
        </w:rPr>
        <w:t xml:space="preserve"> </w:t>
      </w:r>
      <w:r w:rsidRPr="00307988">
        <w:rPr>
          <w:rFonts w:ascii="Times New Roman" w:hAnsi="Times New Roman"/>
          <w:b/>
          <w:bCs/>
          <w:color w:val="000000"/>
          <w:sz w:val="24"/>
          <w:szCs w:val="24"/>
        </w:rPr>
        <w:t>The estimates should take into account costs associated with generating, maintaining, and disclosing or providing the information.</w:t>
      </w:r>
      <w:r w:rsidRPr="00307988" w:rsidR="007E35A8">
        <w:rPr>
          <w:rFonts w:ascii="Times New Roman" w:hAnsi="Times New Roman"/>
          <w:b/>
          <w:bCs/>
          <w:color w:val="000000"/>
          <w:sz w:val="24"/>
          <w:szCs w:val="24"/>
        </w:rPr>
        <w:t xml:space="preserve"> </w:t>
      </w:r>
      <w:r w:rsidRPr="00307988">
        <w:rPr>
          <w:rFonts w:ascii="Times New Roman" w:hAnsi="Times New Roman"/>
          <w:b/>
          <w:bCs/>
          <w:color w:val="000000"/>
          <w:sz w:val="24"/>
          <w:szCs w:val="24"/>
        </w:rPr>
        <w:t>Include descriptions of methods used to estimate major cost factors including system and technology acquisition, expected useful life of capital equipment, the discount rate(s), and the time period over which costs will be incurred.</w:t>
      </w:r>
      <w:r w:rsidRPr="00307988" w:rsidR="007E35A8">
        <w:rPr>
          <w:rFonts w:ascii="Times New Roman" w:hAnsi="Times New Roman"/>
          <w:b/>
          <w:bCs/>
          <w:color w:val="000000"/>
          <w:sz w:val="24"/>
          <w:szCs w:val="24"/>
        </w:rPr>
        <w:t xml:space="preserve"> </w:t>
      </w:r>
      <w:r w:rsidRPr="00307988">
        <w:rPr>
          <w:rFonts w:ascii="Times New Roman" w:hAnsi="Times New Roman"/>
          <w:b/>
          <w:bCs/>
          <w:color w:val="000000"/>
          <w:sz w:val="24"/>
          <w:szCs w:val="24"/>
        </w:rPr>
        <w:t xml:space="preserve">Capital and start-up costs include, among other items, </w:t>
      </w:r>
      <w:r w:rsidRPr="00307988">
        <w:rPr>
          <w:rFonts w:ascii="Times New Roman" w:hAnsi="Times New Roman"/>
          <w:b/>
          <w:bCs/>
          <w:color w:val="000000"/>
          <w:sz w:val="24"/>
          <w:szCs w:val="24"/>
        </w:rPr>
        <w:t>preparations for collecting information such as purchasing computers and software; monitoring, sampling, drilling and testing equipment; and record storage facilities.</w:t>
      </w:r>
    </w:p>
    <w:p w:rsidR="008F7DDE" w:rsidRPr="00307988" w:rsidP="00307988" w14:paraId="02848F16" w14:textId="295050C4">
      <w:pPr>
        <w:pStyle w:val="ListParagraph"/>
        <w:numPr>
          <w:ilvl w:val="0"/>
          <w:numId w:val="2"/>
        </w:numPr>
        <w:tabs>
          <w:tab w:val="left" w:pos="-1440"/>
        </w:tabs>
        <w:spacing w:after="0" w:line="240" w:lineRule="auto"/>
        <w:rPr>
          <w:rFonts w:ascii="Times New Roman" w:hAnsi="Times New Roman"/>
          <w:b/>
          <w:bCs/>
          <w:color w:val="000000"/>
          <w:sz w:val="24"/>
          <w:szCs w:val="24"/>
        </w:rPr>
      </w:pPr>
      <w:r w:rsidRPr="00307988">
        <w:rPr>
          <w:rFonts w:ascii="Times New Roman" w:hAnsi="Times New Roman"/>
          <w:b/>
          <w:bCs/>
          <w:color w:val="000000"/>
          <w:sz w:val="24"/>
          <w:szCs w:val="24"/>
        </w:rPr>
        <w:t>If cost estimates are expected to vary widely, agencies should present ranges of cost burdens and explain the reasons for the variance.</w:t>
      </w:r>
      <w:r w:rsidRPr="00307988" w:rsidR="007E35A8">
        <w:rPr>
          <w:rFonts w:ascii="Times New Roman" w:hAnsi="Times New Roman"/>
          <w:b/>
          <w:bCs/>
          <w:color w:val="000000"/>
          <w:sz w:val="24"/>
          <w:szCs w:val="24"/>
        </w:rPr>
        <w:t xml:space="preserve"> </w:t>
      </w:r>
      <w:r w:rsidRPr="00307988">
        <w:rPr>
          <w:rFonts w:ascii="Times New Roman" w:hAnsi="Times New Roman"/>
          <w:b/>
          <w:bCs/>
          <w:color w:val="000000"/>
          <w:sz w:val="24"/>
          <w:szCs w:val="24"/>
        </w:rPr>
        <w:t>The cost of purchasing or contracting out information collection services should be a part of this cost burden estimate.</w:t>
      </w:r>
      <w:r w:rsidRPr="00307988" w:rsidR="007E35A8">
        <w:rPr>
          <w:rFonts w:ascii="Times New Roman" w:hAnsi="Times New Roman"/>
          <w:b/>
          <w:bCs/>
          <w:color w:val="000000"/>
          <w:sz w:val="24"/>
          <w:szCs w:val="24"/>
        </w:rPr>
        <w:t xml:space="preserve"> </w:t>
      </w:r>
      <w:r w:rsidRPr="00307988">
        <w:rPr>
          <w:rFonts w:ascii="Times New Roman" w:hAnsi="Times New Roman"/>
          <w:b/>
          <w:bCs/>
          <w:color w:val="000000"/>
          <w:sz w:val="24"/>
          <w:szCs w:val="24"/>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8F7DDE" w:rsidRPr="00307988" w:rsidP="00307988" w14:paraId="3271FB89" w14:textId="77777777">
      <w:pPr>
        <w:pStyle w:val="ListParagraph"/>
        <w:numPr>
          <w:ilvl w:val="0"/>
          <w:numId w:val="2"/>
        </w:numPr>
        <w:tabs>
          <w:tab w:val="left" w:pos="-1440"/>
        </w:tabs>
        <w:spacing w:after="0" w:line="240" w:lineRule="auto"/>
        <w:rPr>
          <w:rFonts w:ascii="Times New Roman" w:hAnsi="Times New Roman"/>
          <w:b/>
          <w:bCs/>
          <w:color w:val="000000"/>
          <w:sz w:val="24"/>
          <w:szCs w:val="24"/>
        </w:rPr>
      </w:pPr>
      <w:r w:rsidRPr="00307988">
        <w:rPr>
          <w:rFonts w:ascii="Times New Roman" w:hAnsi="Times New Roman"/>
          <w:b/>
          <w:bCs/>
          <w:color w:val="000000"/>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F7DDE" w:rsidRPr="00307988" w:rsidP="00307988" w14:paraId="701EA8DD" w14:textId="77777777">
      <w:pPr>
        <w:rPr>
          <w:b/>
          <w:bCs/>
          <w:color w:val="000000"/>
        </w:rPr>
      </w:pPr>
      <w:bookmarkStart w:id="38" w:name="OLE_LINK6"/>
      <w:bookmarkStart w:id="39" w:name="OLE_LINK7"/>
    </w:p>
    <w:p w:rsidR="003C497A" w:rsidRPr="00307988" w:rsidP="00307988" w14:paraId="4BC04225" w14:textId="77777777">
      <w:pPr>
        <w:pStyle w:val="Default"/>
        <w:numPr>
          <w:ilvl w:val="0"/>
          <w:numId w:val="17"/>
        </w:numPr>
        <w:rPr>
          <w:rFonts w:ascii="Times New Roman" w:hAnsi="Times New Roman" w:cs="Times New Roman"/>
          <w:b/>
          <w:bCs/>
          <w:color w:val="000000" w:themeColor="text1"/>
        </w:rPr>
      </w:pPr>
      <w:bookmarkStart w:id="40" w:name="_Hlk114570255"/>
      <w:r w:rsidRPr="00307988">
        <w:rPr>
          <w:rFonts w:ascii="Times New Roman" w:hAnsi="Times New Roman" w:cs="Times New Roman"/>
          <w:b/>
          <w:bCs/>
          <w:color w:val="000000" w:themeColor="text1"/>
        </w:rPr>
        <w:t>Applying for Permits for Firing more than 20 Boreholes and for Use of Nonpermissible Blasting Units, Explosives, and Shot-Firing Units</w:t>
      </w:r>
    </w:p>
    <w:bookmarkEnd w:id="40"/>
    <w:p w:rsidR="00052BD8" w:rsidRPr="00307988" w:rsidP="00307988" w14:paraId="38EA6D47" w14:textId="77777777">
      <w:pPr>
        <w:pStyle w:val="Default"/>
        <w:rPr>
          <w:rFonts w:ascii="Times New Roman" w:hAnsi="Times New Roman" w:cs="Times New Roman"/>
          <w:b/>
        </w:rPr>
      </w:pPr>
    </w:p>
    <w:p w:rsidR="00BA1BC0" w:rsidRPr="00307988" w:rsidP="00307988" w14:paraId="577949E2" w14:textId="5F945F5F">
      <w:pPr>
        <w:widowControl/>
        <w:rPr>
          <w:color w:val="000000" w:themeColor="text1"/>
        </w:rPr>
      </w:pPr>
      <w:r w:rsidRPr="00307988">
        <w:t>Under 30 CFR 75.1321</w:t>
      </w:r>
      <w:r w:rsidRPr="00307988">
        <w:t>(a)</w:t>
      </w:r>
      <w:r w:rsidRPr="00307988">
        <w:t xml:space="preserve"> and 77.1909-1, mine operators may apply for permit</w:t>
      </w:r>
      <w:r w:rsidRPr="00307988" w:rsidR="008E7CC4">
        <w:t>s</w:t>
      </w:r>
      <w:r w:rsidRPr="00307988">
        <w:t xml:space="preserve"> to </w:t>
      </w:r>
      <w:r w:rsidRPr="00307988" w:rsidR="00F0114A">
        <w:t>fire</w:t>
      </w:r>
      <w:r w:rsidRPr="00307988">
        <w:t xml:space="preserve"> more than 20 boreholes in a round, for the use of nonpermissible blasting units, </w:t>
      </w:r>
      <w:r w:rsidRPr="00307988">
        <w:rPr>
          <w:color w:val="000000" w:themeColor="text1"/>
        </w:rPr>
        <w:t xml:space="preserve">nonpermissible explosives </w:t>
      </w:r>
      <w:r w:rsidRPr="00307988" w:rsidR="00A538FD">
        <w:rPr>
          <w:color w:val="000000" w:themeColor="text1"/>
        </w:rPr>
        <w:t>and</w:t>
      </w:r>
      <w:r w:rsidRPr="00307988">
        <w:rPr>
          <w:color w:val="000000" w:themeColor="text1"/>
        </w:rPr>
        <w:t xml:space="preserve"> nonpermissible shot-firing units. </w:t>
      </w:r>
    </w:p>
    <w:p w:rsidR="00BA1BC0" w:rsidRPr="00307988" w:rsidP="00307988" w14:paraId="6845FFBF" w14:textId="77777777">
      <w:pPr>
        <w:widowControl/>
        <w:rPr>
          <w:color w:val="000000" w:themeColor="text1"/>
        </w:rPr>
      </w:pPr>
    </w:p>
    <w:p w:rsidR="00BA1BC0" w:rsidRPr="00307988" w:rsidP="00307988" w14:paraId="6EF7CD0D" w14:textId="6660667B">
      <w:pPr>
        <w:widowControl/>
      </w:pPr>
      <w:r w:rsidRPr="00307988">
        <w:t>MSHA estimates that the narrative and any tables, charts, or drawings created for use in permit application</w:t>
      </w:r>
      <w:r w:rsidRPr="00307988" w:rsidR="008E7CC4">
        <w:t>s</w:t>
      </w:r>
      <w:r w:rsidRPr="00307988">
        <w:t xml:space="preserve"> can be developed on normal office equipment used in the customary and usual course of business.</w:t>
      </w:r>
      <w:r w:rsidRPr="00307988" w:rsidR="007E35A8">
        <w:t xml:space="preserve"> Applications </w:t>
      </w:r>
      <w:r w:rsidRPr="00307988">
        <w:t>submitted by email or fax would not incur mailing costs.</w:t>
      </w:r>
      <w:r w:rsidRPr="00307988" w:rsidR="007E35A8">
        <w:t xml:space="preserve"> </w:t>
      </w:r>
    </w:p>
    <w:p w:rsidR="00BA1BC0" w:rsidRPr="00307988" w:rsidP="00307988" w14:paraId="7162F445" w14:textId="77777777">
      <w:pPr>
        <w:widowControl/>
      </w:pPr>
    </w:p>
    <w:p w:rsidR="003123CC" w:rsidRPr="00307988" w:rsidP="00307988" w14:paraId="62E38267" w14:textId="3912B54F">
      <w:pPr>
        <w:widowControl/>
      </w:pPr>
      <w:r w:rsidRPr="00307988">
        <w:t xml:space="preserve">MSHA estimates that out of 33 mines, 47 percent of respondents </w:t>
      </w:r>
      <w:r w:rsidRPr="00307988" w:rsidR="00CB0549">
        <w:t xml:space="preserve">would </w:t>
      </w:r>
      <w:r w:rsidRPr="00307988">
        <w:t xml:space="preserve">mail their physical applications (16 applications), and 53 percent will submit them electronically (17 applications). </w:t>
      </w:r>
      <w:r w:rsidRPr="00307988">
        <w:t xml:space="preserve">MSHA estimates that the cost to </w:t>
      </w:r>
      <w:r w:rsidRPr="00307988">
        <w:t xml:space="preserve">copying and </w:t>
      </w:r>
      <w:r w:rsidRPr="00307988">
        <w:t>mail</w:t>
      </w:r>
      <w:r w:rsidRPr="00307988">
        <w:t>ing</w:t>
      </w:r>
      <w:r w:rsidRPr="00307988">
        <w:t xml:space="preserve"> an application is approximately </w:t>
      </w:r>
      <w:r w:rsidRPr="00307988">
        <w:t xml:space="preserve">$10, including $3 for copying and </w:t>
      </w:r>
      <w:r w:rsidRPr="00307988">
        <w:t>$7</w:t>
      </w:r>
      <w:r w:rsidRPr="00307988">
        <w:t xml:space="preserve"> for mailing</w:t>
      </w:r>
      <w:r w:rsidRPr="00307988">
        <w:t>.</w:t>
      </w:r>
      <w:r w:rsidRPr="00307988" w:rsidR="007E35A8">
        <w:t xml:space="preserve"> </w:t>
      </w:r>
    </w:p>
    <w:p w:rsidR="00FB1C38" w:rsidRPr="00307988" w:rsidP="00307988" w14:paraId="3DBD1FCF" w14:textId="77777777">
      <w:pPr>
        <w:rPr>
          <w:bCs/>
          <w:color w:val="000000"/>
        </w:rPr>
      </w:pPr>
    </w:p>
    <w:p w:rsidR="002869B3" w:rsidRPr="00307988" w:rsidP="00307988" w14:paraId="1153D2D4" w14:textId="1A7F2FFB">
      <w:pPr>
        <w:widowControl/>
        <w:autoSpaceDE/>
        <w:autoSpaceDN/>
        <w:adjustRightInd/>
        <w:rPr>
          <w:b/>
          <w:bCs/>
          <w:color w:val="000000"/>
        </w:rPr>
      </w:pPr>
      <w:bookmarkStart w:id="41" w:name="_Hlk114570323"/>
      <w:r w:rsidRPr="00307988">
        <w:rPr>
          <w:b/>
          <w:bCs/>
          <w:color w:val="000000"/>
        </w:rPr>
        <w:t xml:space="preserve">Table 13-1 Estimated Annual Respondent or Recordkeeper Cost Burden, Copying and Mailing Physical Permit Applications (30 CFR 75.1321 and 77.1909-1) </w:t>
      </w:r>
    </w:p>
    <w:tbl>
      <w:tblPr>
        <w:tblStyle w:val="TableGrid"/>
        <w:tblW w:w="9355" w:type="dxa"/>
        <w:tblLook w:val="04A0"/>
      </w:tblPr>
      <w:tblGrid>
        <w:gridCol w:w="1705"/>
        <w:gridCol w:w="2070"/>
        <w:gridCol w:w="2430"/>
        <w:gridCol w:w="3150"/>
      </w:tblGrid>
      <w:tr w14:paraId="1E382AC4" w14:textId="77777777" w:rsidTr="007628FE">
        <w:tblPrEx>
          <w:tblW w:w="9355" w:type="dxa"/>
          <w:tblLook w:val="04A0"/>
        </w:tblPrEx>
        <w:trPr>
          <w:trHeight w:val="615"/>
        </w:trPr>
        <w:tc>
          <w:tcPr>
            <w:tcW w:w="1705" w:type="dxa"/>
            <w:shd w:val="clear" w:color="auto" w:fill="8EAADB" w:themeFill="accent1" w:themeFillTint="99"/>
            <w:vAlign w:val="center"/>
            <w:hideMark/>
          </w:tcPr>
          <w:p w:rsidR="003D2E5A" w:rsidRPr="00307988" w:rsidP="00307988" w14:paraId="34B33440" w14:textId="70B9CEC7">
            <w:pPr>
              <w:widowControl/>
              <w:autoSpaceDE/>
              <w:autoSpaceDN/>
              <w:adjustRightInd/>
              <w:rPr>
                <w:rFonts w:eastAsiaTheme="minorHAnsi"/>
                <w:sz w:val="20"/>
                <w:szCs w:val="20"/>
              </w:rPr>
            </w:pPr>
            <w:bookmarkStart w:id="42" w:name="_Hlk114570317"/>
            <w:bookmarkEnd w:id="38"/>
            <w:bookmarkEnd w:id="39"/>
            <w:bookmarkEnd w:id="41"/>
            <w:r w:rsidRPr="00307988">
              <w:rPr>
                <w:color w:val="000000"/>
                <w:sz w:val="20"/>
                <w:szCs w:val="20"/>
              </w:rPr>
              <w:t>Cost components</w:t>
            </w:r>
          </w:p>
        </w:tc>
        <w:tc>
          <w:tcPr>
            <w:tcW w:w="2070" w:type="dxa"/>
            <w:shd w:val="clear" w:color="auto" w:fill="8EAADB" w:themeFill="accent1" w:themeFillTint="99"/>
            <w:vAlign w:val="center"/>
            <w:hideMark/>
          </w:tcPr>
          <w:p w:rsidR="003D2E5A" w:rsidRPr="00307988" w:rsidP="00307988" w14:paraId="59E84281" w14:textId="0A376E1D">
            <w:pPr>
              <w:widowControl/>
              <w:autoSpaceDE/>
              <w:autoSpaceDN/>
              <w:adjustRightInd/>
              <w:jc w:val="center"/>
              <w:rPr>
                <w:rFonts w:eastAsiaTheme="minorHAnsi"/>
                <w:sz w:val="20"/>
                <w:szCs w:val="20"/>
              </w:rPr>
            </w:pPr>
            <w:r w:rsidRPr="00307988">
              <w:rPr>
                <w:color w:val="000000"/>
                <w:sz w:val="20"/>
                <w:szCs w:val="20"/>
              </w:rPr>
              <w:t>Number of Responses (</w:t>
            </w:r>
            <w:r w:rsidRPr="00307988" w:rsidR="00C4790A">
              <w:rPr>
                <w:color w:val="000000"/>
                <w:sz w:val="20"/>
                <w:szCs w:val="20"/>
              </w:rPr>
              <w:t>Applications</w:t>
            </w:r>
            <w:r w:rsidRPr="00307988">
              <w:rPr>
                <w:color w:val="000000"/>
                <w:sz w:val="20"/>
                <w:szCs w:val="20"/>
              </w:rPr>
              <w:t>)</w:t>
            </w:r>
          </w:p>
        </w:tc>
        <w:tc>
          <w:tcPr>
            <w:tcW w:w="2430" w:type="dxa"/>
            <w:shd w:val="clear" w:color="auto" w:fill="8EAADB" w:themeFill="accent1" w:themeFillTint="99"/>
            <w:vAlign w:val="center"/>
          </w:tcPr>
          <w:p w:rsidR="003D2E5A" w:rsidRPr="00307988" w:rsidP="00307988" w14:paraId="3E4C451A" w14:textId="799A1797">
            <w:pPr>
              <w:widowControl/>
              <w:autoSpaceDE/>
              <w:autoSpaceDN/>
              <w:adjustRightInd/>
              <w:jc w:val="center"/>
              <w:rPr>
                <w:rFonts w:eastAsiaTheme="minorHAnsi"/>
                <w:sz w:val="20"/>
                <w:szCs w:val="20"/>
              </w:rPr>
            </w:pPr>
            <w:r w:rsidRPr="00307988">
              <w:rPr>
                <w:color w:val="000000"/>
                <w:sz w:val="20"/>
                <w:szCs w:val="20"/>
              </w:rPr>
              <w:t>Unit Cost</w:t>
            </w:r>
            <w:r w:rsidRPr="00307988" w:rsidR="00A538FD">
              <w:rPr>
                <w:color w:val="000000"/>
                <w:sz w:val="20"/>
                <w:szCs w:val="20"/>
              </w:rPr>
              <w:t xml:space="preserve"> per Response</w:t>
            </w:r>
          </w:p>
        </w:tc>
        <w:tc>
          <w:tcPr>
            <w:tcW w:w="3150" w:type="dxa"/>
            <w:shd w:val="clear" w:color="auto" w:fill="8EAADB" w:themeFill="accent1" w:themeFillTint="99"/>
            <w:vAlign w:val="center"/>
            <w:hideMark/>
          </w:tcPr>
          <w:p w:rsidR="003D2E5A" w:rsidRPr="00307988" w:rsidP="00307988" w14:paraId="0F03C20D" w14:textId="546E812B">
            <w:pPr>
              <w:widowControl/>
              <w:autoSpaceDE/>
              <w:autoSpaceDN/>
              <w:adjustRightInd/>
              <w:jc w:val="center"/>
              <w:rPr>
                <w:rFonts w:eastAsiaTheme="minorHAnsi"/>
                <w:sz w:val="20"/>
                <w:szCs w:val="20"/>
              </w:rPr>
            </w:pPr>
            <w:r w:rsidRPr="00307988">
              <w:rPr>
                <w:color w:val="000000"/>
                <w:sz w:val="20"/>
                <w:szCs w:val="20"/>
              </w:rPr>
              <w:t>Cost to Recordkeepers</w:t>
            </w:r>
          </w:p>
        </w:tc>
      </w:tr>
      <w:tr w14:paraId="2180E5D0" w14:textId="77777777" w:rsidTr="007628FE">
        <w:tblPrEx>
          <w:tblW w:w="9355" w:type="dxa"/>
          <w:tblLook w:val="04A0"/>
        </w:tblPrEx>
        <w:trPr>
          <w:trHeight w:val="300"/>
        </w:trPr>
        <w:tc>
          <w:tcPr>
            <w:tcW w:w="1705" w:type="dxa"/>
            <w:noWrap/>
            <w:vAlign w:val="center"/>
            <w:hideMark/>
          </w:tcPr>
          <w:p w:rsidR="003D2E5A" w:rsidRPr="00307988" w:rsidP="00307988" w14:paraId="6BCD63F6" w14:textId="7108DD15">
            <w:pPr>
              <w:widowControl/>
              <w:autoSpaceDE/>
              <w:autoSpaceDN/>
              <w:adjustRightInd/>
              <w:rPr>
                <w:rFonts w:eastAsiaTheme="minorHAnsi"/>
                <w:bCs/>
                <w:sz w:val="20"/>
                <w:szCs w:val="20"/>
              </w:rPr>
            </w:pPr>
            <w:r w:rsidRPr="00307988">
              <w:rPr>
                <w:color w:val="000000"/>
                <w:sz w:val="20"/>
                <w:szCs w:val="20"/>
              </w:rPr>
              <w:t xml:space="preserve">Copying and </w:t>
            </w:r>
            <w:r w:rsidRPr="00307988">
              <w:rPr>
                <w:color w:val="000000"/>
                <w:sz w:val="20"/>
                <w:szCs w:val="20"/>
              </w:rPr>
              <w:t>Mail</w:t>
            </w:r>
            <w:r w:rsidRPr="00307988" w:rsidR="00A538FD">
              <w:rPr>
                <w:color w:val="000000"/>
                <w:sz w:val="20"/>
                <w:szCs w:val="20"/>
              </w:rPr>
              <w:t>ing</w:t>
            </w:r>
            <w:r w:rsidRPr="00307988">
              <w:rPr>
                <w:color w:val="000000"/>
                <w:sz w:val="20"/>
                <w:szCs w:val="20"/>
              </w:rPr>
              <w:t xml:space="preserve"> </w:t>
            </w:r>
            <w:r w:rsidRPr="00307988">
              <w:rPr>
                <w:color w:val="000000"/>
                <w:sz w:val="20"/>
                <w:szCs w:val="20"/>
              </w:rPr>
              <w:t xml:space="preserve">Permit </w:t>
            </w:r>
            <w:r w:rsidRPr="00307988">
              <w:rPr>
                <w:color w:val="000000"/>
                <w:sz w:val="20"/>
                <w:szCs w:val="20"/>
              </w:rPr>
              <w:t>Application</w:t>
            </w:r>
            <w:r w:rsidRPr="00307988" w:rsidR="008E7CC4">
              <w:rPr>
                <w:color w:val="000000"/>
                <w:sz w:val="20"/>
                <w:szCs w:val="20"/>
              </w:rPr>
              <w:t>s</w:t>
            </w:r>
          </w:p>
        </w:tc>
        <w:tc>
          <w:tcPr>
            <w:tcW w:w="2070" w:type="dxa"/>
            <w:noWrap/>
            <w:vAlign w:val="center"/>
          </w:tcPr>
          <w:p w:rsidR="003D2E5A" w:rsidRPr="00307988" w:rsidP="00307988" w14:paraId="4180CE80" w14:textId="115FF02D">
            <w:pPr>
              <w:widowControl/>
              <w:autoSpaceDE/>
              <w:autoSpaceDN/>
              <w:adjustRightInd/>
              <w:jc w:val="center"/>
              <w:rPr>
                <w:rFonts w:eastAsiaTheme="minorHAnsi"/>
                <w:bCs/>
                <w:sz w:val="20"/>
                <w:szCs w:val="20"/>
              </w:rPr>
            </w:pPr>
            <w:r w:rsidRPr="00307988">
              <w:rPr>
                <w:color w:val="000000"/>
                <w:sz w:val="20"/>
                <w:szCs w:val="20"/>
              </w:rPr>
              <w:t>16</w:t>
            </w:r>
          </w:p>
        </w:tc>
        <w:tc>
          <w:tcPr>
            <w:tcW w:w="2430" w:type="dxa"/>
            <w:vAlign w:val="center"/>
          </w:tcPr>
          <w:p w:rsidR="003D2E5A" w:rsidRPr="00307988" w:rsidP="00307988" w14:paraId="057EE157" w14:textId="7C166AC8">
            <w:pPr>
              <w:widowControl/>
              <w:autoSpaceDE/>
              <w:autoSpaceDN/>
              <w:adjustRightInd/>
              <w:jc w:val="center"/>
              <w:rPr>
                <w:rFonts w:eastAsiaTheme="minorHAnsi"/>
                <w:bCs/>
                <w:sz w:val="20"/>
                <w:szCs w:val="20"/>
              </w:rPr>
            </w:pPr>
            <w:r w:rsidRPr="00307988">
              <w:rPr>
                <w:color w:val="000000"/>
                <w:sz w:val="20"/>
                <w:szCs w:val="20"/>
              </w:rPr>
              <w:t>$</w:t>
            </w:r>
            <w:r w:rsidRPr="00307988" w:rsidR="00BA1BC0">
              <w:rPr>
                <w:color w:val="000000"/>
                <w:sz w:val="20"/>
                <w:szCs w:val="20"/>
              </w:rPr>
              <w:t>10</w:t>
            </w:r>
            <w:r w:rsidRPr="00307988">
              <w:rPr>
                <w:color w:val="000000"/>
                <w:sz w:val="20"/>
                <w:szCs w:val="20"/>
              </w:rPr>
              <w:t>.00</w:t>
            </w:r>
          </w:p>
        </w:tc>
        <w:tc>
          <w:tcPr>
            <w:tcW w:w="3150" w:type="dxa"/>
            <w:noWrap/>
            <w:vAlign w:val="center"/>
          </w:tcPr>
          <w:p w:rsidR="003D2E5A" w:rsidRPr="00307988" w:rsidP="00307988" w14:paraId="6F977C1A" w14:textId="6A585CF6">
            <w:pPr>
              <w:widowControl/>
              <w:autoSpaceDE/>
              <w:autoSpaceDN/>
              <w:adjustRightInd/>
              <w:jc w:val="center"/>
              <w:rPr>
                <w:rFonts w:eastAsiaTheme="minorHAnsi"/>
                <w:bCs/>
                <w:sz w:val="20"/>
                <w:szCs w:val="20"/>
              </w:rPr>
            </w:pPr>
            <w:r w:rsidRPr="00307988">
              <w:rPr>
                <w:color w:val="000000"/>
                <w:sz w:val="20"/>
                <w:szCs w:val="20"/>
              </w:rPr>
              <w:t>$1</w:t>
            </w:r>
            <w:r w:rsidRPr="00307988" w:rsidR="00BA1BC0">
              <w:rPr>
                <w:color w:val="000000"/>
                <w:sz w:val="20"/>
                <w:szCs w:val="20"/>
              </w:rPr>
              <w:t>60</w:t>
            </w:r>
            <w:r w:rsidRPr="00307988">
              <w:rPr>
                <w:color w:val="000000"/>
                <w:sz w:val="20"/>
                <w:szCs w:val="20"/>
              </w:rPr>
              <w:t>.00</w:t>
            </w:r>
          </w:p>
        </w:tc>
      </w:tr>
      <w:tr w14:paraId="16A7972C" w14:textId="77777777" w:rsidTr="007628FE">
        <w:tblPrEx>
          <w:tblW w:w="9355" w:type="dxa"/>
          <w:tblLook w:val="04A0"/>
        </w:tblPrEx>
        <w:trPr>
          <w:trHeight w:val="300"/>
        </w:trPr>
        <w:tc>
          <w:tcPr>
            <w:tcW w:w="1705" w:type="dxa"/>
            <w:noWrap/>
            <w:vAlign w:val="center"/>
            <w:hideMark/>
          </w:tcPr>
          <w:p w:rsidR="003D2E5A" w:rsidRPr="00307988" w:rsidP="00307988" w14:paraId="5A972BF5" w14:textId="3E01E0C3">
            <w:pPr>
              <w:widowControl/>
              <w:autoSpaceDE/>
              <w:autoSpaceDN/>
              <w:adjustRightInd/>
              <w:jc w:val="right"/>
              <w:rPr>
                <w:rFonts w:eastAsiaTheme="minorHAnsi"/>
                <w:b/>
                <w:bCs/>
                <w:i/>
                <w:iCs/>
                <w:sz w:val="20"/>
                <w:szCs w:val="20"/>
              </w:rPr>
            </w:pPr>
            <w:r w:rsidRPr="00307988">
              <w:rPr>
                <w:b/>
                <w:bCs/>
                <w:i/>
                <w:iCs/>
                <w:color w:val="000000"/>
                <w:sz w:val="20"/>
                <w:szCs w:val="20"/>
              </w:rPr>
              <w:t xml:space="preserve"> Subt</w:t>
            </w:r>
            <w:r w:rsidRPr="00307988">
              <w:rPr>
                <w:b/>
                <w:bCs/>
                <w:i/>
                <w:iCs/>
                <w:color w:val="000000"/>
                <w:sz w:val="20"/>
                <w:szCs w:val="20"/>
              </w:rPr>
              <w:t>otal (Rounded)</w:t>
            </w:r>
          </w:p>
        </w:tc>
        <w:tc>
          <w:tcPr>
            <w:tcW w:w="2070" w:type="dxa"/>
            <w:vAlign w:val="center"/>
          </w:tcPr>
          <w:p w:rsidR="003D2E5A" w:rsidRPr="00307988" w:rsidP="00307988" w14:paraId="747E4053" w14:textId="6461E994">
            <w:pPr>
              <w:widowControl/>
              <w:autoSpaceDE/>
              <w:autoSpaceDN/>
              <w:adjustRightInd/>
              <w:jc w:val="center"/>
              <w:rPr>
                <w:rFonts w:eastAsiaTheme="minorHAnsi"/>
                <w:b/>
                <w:i/>
                <w:iCs/>
                <w:sz w:val="20"/>
                <w:szCs w:val="20"/>
              </w:rPr>
            </w:pPr>
            <w:r w:rsidRPr="00307988">
              <w:rPr>
                <w:b/>
                <w:bCs/>
                <w:i/>
                <w:iCs/>
                <w:color w:val="000000"/>
                <w:sz w:val="20"/>
                <w:szCs w:val="20"/>
              </w:rPr>
              <w:t>16</w:t>
            </w:r>
          </w:p>
        </w:tc>
        <w:tc>
          <w:tcPr>
            <w:tcW w:w="2430" w:type="dxa"/>
            <w:shd w:val="clear" w:color="auto" w:fill="000000" w:themeFill="text1"/>
            <w:vAlign w:val="center"/>
          </w:tcPr>
          <w:p w:rsidR="003D2E5A" w:rsidRPr="00307988" w:rsidP="00307988" w14:paraId="2A76A6B1" w14:textId="1F0DF6F8">
            <w:pPr>
              <w:widowControl/>
              <w:autoSpaceDE/>
              <w:autoSpaceDN/>
              <w:adjustRightInd/>
              <w:jc w:val="center"/>
              <w:rPr>
                <w:rFonts w:eastAsiaTheme="minorHAnsi"/>
                <w:bCs/>
                <w:i/>
                <w:iCs/>
                <w:sz w:val="20"/>
                <w:szCs w:val="20"/>
              </w:rPr>
            </w:pPr>
            <w:r w:rsidRPr="00307988">
              <w:rPr>
                <w:b/>
                <w:bCs/>
                <w:i/>
                <w:iCs/>
                <w:color w:val="000000"/>
                <w:sz w:val="20"/>
                <w:szCs w:val="20"/>
              </w:rPr>
              <w:t> </w:t>
            </w:r>
          </w:p>
        </w:tc>
        <w:tc>
          <w:tcPr>
            <w:tcW w:w="3150" w:type="dxa"/>
            <w:noWrap/>
            <w:vAlign w:val="center"/>
          </w:tcPr>
          <w:p w:rsidR="003D2E5A" w:rsidRPr="00307988" w:rsidP="00307988" w14:paraId="24E59591" w14:textId="6BD1796A">
            <w:pPr>
              <w:widowControl/>
              <w:autoSpaceDE/>
              <w:autoSpaceDN/>
              <w:adjustRightInd/>
              <w:jc w:val="center"/>
              <w:rPr>
                <w:rFonts w:eastAsiaTheme="minorHAnsi"/>
                <w:b/>
                <w:bCs/>
                <w:i/>
                <w:iCs/>
                <w:sz w:val="20"/>
                <w:szCs w:val="20"/>
              </w:rPr>
            </w:pPr>
            <w:r w:rsidRPr="00307988">
              <w:rPr>
                <w:b/>
                <w:bCs/>
                <w:i/>
                <w:iCs/>
                <w:color w:val="000000"/>
                <w:sz w:val="20"/>
                <w:szCs w:val="20"/>
              </w:rPr>
              <w:t>$1</w:t>
            </w:r>
            <w:r w:rsidRPr="00307988" w:rsidR="00BA1BC0">
              <w:rPr>
                <w:b/>
                <w:bCs/>
                <w:i/>
                <w:iCs/>
                <w:color w:val="000000"/>
                <w:sz w:val="20"/>
                <w:szCs w:val="20"/>
              </w:rPr>
              <w:t>60</w:t>
            </w:r>
          </w:p>
        </w:tc>
      </w:tr>
      <w:bookmarkEnd w:id="42"/>
    </w:tbl>
    <w:p w:rsidR="008F7DDE" w:rsidRPr="00307988" w:rsidP="00307988" w14:paraId="7C9AFFCB" w14:textId="24B6F126">
      <w:pPr>
        <w:rPr>
          <w:b/>
          <w:bCs/>
          <w:color w:val="000000"/>
        </w:rPr>
      </w:pPr>
    </w:p>
    <w:p w:rsidR="003123CC" w:rsidRPr="00307988" w:rsidP="00307988" w14:paraId="0E716480" w14:textId="0036218C">
      <w:pPr>
        <w:pStyle w:val="Default"/>
        <w:numPr>
          <w:ilvl w:val="0"/>
          <w:numId w:val="15"/>
        </w:numPr>
        <w:rPr>
          <w:rFonts w:ascii="Times New Roman" w:hAnsi="Times New Roman" w:cs="Times New Roman"/>
          <w:b/>
          <w:bCs/>
          <w:color w:val="000000" w:themeColor="text1"/>
        </w:rPr>
      </w:pPr>
      <w:r w:rsidRPr="00307988">
        <w:rPr>
          <w:rFonts w:ascii="Times New Roman" w:hAnsi="Times New Roman" w:cs="Times New Roman"/>
          <w:b/>
          <w:bCs/>
          <w:color w:val="000000" w:themeColor="text1"/>
        </w:rPr>
        <w:t>Post</w:t>
      </w:r>
      <w:r w:rsidRPr="00307988" w:rsidR="00A538FD">
        <w:rPr>
          <w:rFonts w:ascii="Times New Roman" w:hAnsi="Times New Roman" w:cs="Times New Roman"/>
          <w:b/>
          <w:bCs/>
          <w:color w:val="000000" w:themeColor="text1"/>
        </w:rPr>
        <w:t>ing</w:t>
      </w:r>
      <w:r w:rsidRPr="00307988">
        <w:rPr>
          <w:rFonts w:ascii="Times New Roman" w:hAnsi="Times New Roman" w:cs="Times New Roman"/>
          <w:b/>
          <w:bCs/>
          <w:color w:val="000000" w:themeColor="text1"/>
        </w:rPr>
        <w:t xml:space="preserve"> Misfire Notices</w:t>
      </w:r>
    </w:p>
    <w:p w:rsidR="003123CC" w:rsidRPr="00307988" w:rsidP="00307988" w14:paraId="2F294D94" w14:textId="77777777">
      <w:pPr>
        <w:pStyle w:val="ListParagraph"/>
        <w:spacing w:after="0" w:line="240" w:lineRule="auto"/>
        <w:rPr>
          <w:rFonts w:ascii="Times New Roman" w:hAnsi="Times New Roman"/>
          <w:b/>
          <w:color w:val="000000"/>
          <w:sz w:val="24"/>
          <w:szCs w:val="24"/>
        </w:rPr>
      </w:pPr>
    </w:p>
    <w:p w:rsidR="00550EE3" w:rsidRPr="00307988" w:rsidP="00307988" w14:paraId="271059C9" w14:textId="34F5C034">
      <w:pPr>
        <w:widowControl/>
      </w:pPr>
      <w:r w:rsidRPr="00307988">
        <w:rPr>
          <w:color w:val="000000" w:themeColor="text1"/>
        </w:rPr>
        <w:t>Under 30 CFR 75.1327(</w:t>
      </w:r>
      <w:r w:rsidRPr="00307988" w:rsidR="00AC766F">
        <w:rPr>
          <w:color w:val="000000" w:themeColor="text1"/>
        </w:rPr>
        <w:t>b</w:t>
      </w:r>
      <w:r w:rsidRPr="00307988">
        <w:rPr>
          <w:color w:val="000000" w:themeColor="text1"/>
        </w:rPr>
        <w:t xml:space="preserve">), mine operators must post a notification of a misfire. </w:t>
      </w:r>
      <w:r w:rsidRPr="00307988" w:rsidR="004965C4">
        <w:t>MSHA estimates there will be one misfire each year</w:t>
      </w:r>
      <w:r w:rsidRPr="00307988" w:rsidR="00A538FD">
        <w:t xml:space="preserve"> and</w:t>
      </w:r>
      <w:r w:rsidRPr="00307988">
        <w:t xml:space="preserve"> that the sign of a misfire will be non-reusable, pre-printed “danger/misfire” placards.</w:t>
      </w:r>
      <w:r w:rsidRPr="00307988" w:rsidR="007E35A8">
        <w:t xml:space="preserve"> </w:t>
      </w:r>
      <w:r w:rsidRPr="00307988">
        <w:t>The estimated cost of placards is approximately $10 each.</w:t>
      </w:r>
    </w:p>
    <w:p w:rsidR="003123CC" w:rsidRPr="00307988" w:rsidP="00307988" w14:paraId="7DE5A46A" w14:textId="77777777">
      <w:pPr>
        <w:rPr>
          <w:b/>
          <w:bCs/>
          <w:color w:val="000000"/>
        </w:rPr>
      </w:pPr>
    </w:p>
    <w:p w:rsidR="003123CC" w:rsidRPr="00307988" w:rsidP="00307988" w14:paraId="2212C33A" w14:textId="793048DC">
      <w:pPr>
        <w:rPr>
          <w:b/>
          <w:bCs/>
          <w:color w:val="000000"/>
        </w:rPr>
      </w:pPr>
      <w:r w:rsidRPr="00307988">
        <w:rPr>
          <w:b/>
          <w:bCs/>
          <w:color w:val="000000"/>
        </w:rPr>
        <w:t>Table 13-</w:t>
      </w:r>
      <w:r w:rsidRPr="00307988" w:rsidR="00550EE3">
        <w:rPr>
          <w:b/>
          <w:bCs/>
          <w:color w:val="000000"/>
        </w:rPr>
        <w:t>2</w:t>
      </w:r>
      <w:r w:rsidRPr="00307988">
        <w:rPr>
          <w:b/>
          <w:bCs/>
          <w:color w:val="000000"/>
        </w:rPr>
        <w:t xml:space="preserve"> Estimated Annual Respondent or Recordkeeper Cost Burden, </w:t>
      </w:r>
      <w:r w:rsidRPr="00307988" w:rsidR="00B23234">
        <w:rPr>
          <w:b/>
          <w:bCs/>
          <w:color w:val="000000"/>
        </w:rPr>
        <w:t>Printing</w:t>
      </w:r>
      <w:r w:rsidRPr="00307988" w:rsidR="00650BDA">
        <w:rPr>
          <w:b/>
          <w:bCs/>
          <w:color w:val="000000"/>
        </w:rPr>
        <w:t xml:space="preserve"> Misfire Notices (30 CFR 75.1327(</w:t>
      </w:r>
      <w:r w:rsidRPr="00307988" w:rsidR="00AC766F">
        <w:rPr>
          <w:b/>
          <w:bCs/>
          <w:color w:val="000000"/>
        </w:rPr>
        <w:t>b</w:t>
      </w:r>
      <w:r w:rsidRPr="00307988" w:rsidR="00650BDA">
        <w:rPr>
          <w:b/>
          <w:bCs/>
          <w:color w:val="000000"/>
        </w:rPr>
        <w:t>))</w:t>
      </w:r>
    </w:p>
    <w:tbl>
      <w:tblPr>
        <w:tblStyle w:val="TableGrid"/>
        <w:tblW w:w="9355" w:type="dxa"/>
        <w:tblLook w:val="04A0"/>
      </w:tblPr>
      <w:tblGrid>
        <w:gridCol w:w="1705"/>
        <w:gridCol w:w="2070"/>
        <w:gridCol w:w="2430"/>
        <w:gridCol w:w="3150"/>
      </w:tblGrid>
      <w:tr w14:paraId="42367890" w14:textId="77777777" w:rsidTr="003A3E6E">
        <w:tblPrEx>
          <w:tblW w:w="9355" w:type="dxa"/>
          <w:tblLook w:val="04A0"/>
        </w:tblPrEx>
        <w:trPr>
          <w:trHeight w:val="615"/>
        </w:trPr>
        <w:tc>
          <w:tcPr>
            <w:tcW w:w="1705" w:type="dxa"/>
            <w:shd w:val="clear" w:color="auto" w:fill="8EAADB" w:themeFill="accent1" w:themeFillTint="99"/>
            <w:vAlign w:val="center"/>
            <w:hideMark/>
          </w:tcPr>
          <w:p w:rsidR="00650BDA" w:rsidRPr="00307988" w:rsidP="00307988" w14:paraId="042DC227" w14:textId="710F95F7">
            <w:pPr>
              <w:widowControl/>
              <w:autoSpaceDE/>
              <w:autoSpaceDN/>
              <w:adjustRightInd/>
              <w:rPr>
                <w:rFonts w:eastAsiaTheme="minorHAnsi"/>
                <w:sz w:val="20"/>
                <w:szCs w:val="20"/>
              </w:rPr>
            </w:pPr>
            <w:r w:rsidRPr="00307988">
              <w:rPr>
                <w:color w:val="000000"/>
                <w:sz w:val="20"/>
                <w:szCs w:val="20"/>
              </w:rPr>
              <w:t>Cost components</w:t>
            </w:r>
          </w:p>
        </w:tc>
        <w:tc>
          <w:tcPr>
            <w:tcW w:w="2070" w:type="dxa"/>
            <w:shd w:val="clear" w:color="auto" w:fill="8EAADB" w:themeFill="accent1" w:themeFillTint="99"/>
            <w:vAlign w:val="center"/>
            <w:hideMark/>
          </w:tcPr>
          <w:p w:rsidR="00650BDA" w:rsidRPr="00307988" w:rsidP="00307988" w14:paraId="6A7DF71B" w14:textId="706214CF">
            <w:pPr>
              <w:widowControl/>
              <w:autoSpaceDE/>
              <w:autoSpaceDN/>
              <w:adjustRightInd/>
              <w:jc w:val="center"/>
              <w:rPr>
                <w:rFonts w:eastAsiaTheme="minorHAnsi"/>
                <w:sz w:val="20"/>
                <w:szCs w:val="20"/>
              </w:rPr>
            </w:pPr>
            <w:r w:rsidRPr="00307988">
              <w:rPr>
                <w:color w:val="000000"/>
                <w:sz w:val="20"/>
                <w:szCs w:val="20"/>
              </w:rPr>
              <w:t>Number of Responses (Posts)</w:t>
            </w:r>
          </w:p>
        </w:tc>
        <w:tc>
          <w:tcPr>
            <w:tcW w:w="2430" w:type="dxa"/>
            <w:shd w:val="clear" w:color="auto" w:fill="8EAADB" w:themeFill="accent1" w:themeFillTint="99"/>
            <w:vAlign w:val="center"/>
          </w:tcPr>
          <w:p w:rsidR="00650BDA" w:rsidRPr="00307988" w:rsidP="00307988" w14:paraId="7D7DB5B3" w14:textId="64B4C706">
            <w:pPr>
              <w:widowControl/>
              <w:autoSpaceDE/>
              <w:autoSpaceDN/>
              <w:adjustRightInd/>
              <w:jc w:val="center"/>
              <w:rPr>
                <w:rFonts w:eastAsiaTheme="minorHAnsi"/>
                <w:sz w:val="20"/>
                <w:szCs w:val="20"/>
              </w:rPr>
            </w:pPr>
            <w:r w:rsidRPr="00307988">
              <w:rPr>
                <w:color w:val="000000"/>
                <w:sz w:val="20"/>
                <w:szCs w:val="20"/>
              </w:rPr>
              <w:t>Unit Cost</w:t>
            </w:r>
            <w:r w:rsidRPr="00307988" w:rsidR="00A538FD">
              <w:rPr>
                <w:color w:val="000000"/>
                <w:sz w:val="20"/>
                <w:szCs w:val="20"/>
              </w:rPr>
              <w:t xml:space="preserve"> per Response</w:t>
            </w:r>
          </w:p>
        </w:tc>
        <w:tc>
          <w:tcPr>
            <w:tcW w:w="3150" w:type="dxa"/>
            <w:shd w:val="clear" w:color="auto" w:fill="8EAADB" w:themeFill="accent1" w:themeFillTint="99"/>
            <w:vAlign w:val="center"/>
            <w:hideMark/>
          </w:tcPr>
          <w:p w:rsidR="00650BDA" w:rsidRPr="00307988" w:rsidP="00307988" w14:paraId="5AB08DA2" w14:textId="3FAC354C">
            <w:pPr>
              <w:widowControl/>
              <w:autoSpaceDE/>
              <w:autoSpaceDN/>
              <w:adjustRightInd/>
              <w:jc w:val="center"/>
              <w:rPr>
                <w:rFonts w:eastAsiaTheme="minorHAnsi"/>
                <w:sz w:val="20"/>
                <w:szCs w:val="20"/>
              </w:rPr>
            </w:pPr>
            <w:r w:rsidRPr="00307988">
              <w:rPr>
                <w:color w:val="000000"/>
                <w:sz w:val="20"/>
                <w:szCs w:val="20"/>
              </w:rPr>
              <w:t>Cost to Recordkeepers</w:t>
            </w:r>
          </w:p>
        </w:tc>
      </w:tr>
      <w:tr w14:paraId="7F6CA751" w14:textId="77777777" w:rsidTr="003A3E6E">
        <w:tblPrEx>
          <w:tblW w:w="9355" w:type="dxa"/>
          <w:tblLook w:val="04A0"/>
        </w:tblPrEx>
        <w:trPr>
          <w:trHeight w:val="300"/>
        </w:trPr>
        <w:tc>
          <w:tcPr>
            <w:tcW w:w="1705" w:type="dxa"/>
            <w:noWrap/>
            <w:vAlign w:val="center"/>
            <w:hideMark/>
          </w:tcPr>
          <w:p w:rsidR="00650BDA" w:rsidRPr="00307988" w:rsidP="00307988" w14:paraId="3EBBF7B1" w14:textId="4C680E71">
            <w:pPr>
              <w:widowControl/>
              <w:autoSpaceDE/>
              <w:autoSpaceDN/>
              <w:adjustRightInd/>
              <w:rPr>
                <w:rFonts w:eastAsiaTheme="minorHAnsi"/>
                <w:bCs/>
                <w:sz w:val="20"/>
                <w:szCs w:val="20"/>
              </w:rPr>
            </w:pPr>
            <w:r w:rsidRPr="00307988">
              <w:rPr>
                <w:color w:val="000000"/>
                <w:sz w:val="20"/>
                <w:szCs w:val="20"/>
              </w:rPr>
              <w:t xml:space="preserve">Printing </w:t>
            </w:r>
            <w:r w:rsidRPr="00307988">
              <w:rPr>
                <w:color w:val="000000"/>
                <w:sz w:val="20"/>
                <w:szCs w:val="20"/>
              </w:rPr>
              <w:t xml:space="preserve">Misfire Notices </w:t>
            </w:r>
          </w:p>
        </w:tc>
        <w:tc>
          <w:tcPr>
            <w:tcW w:w="2070" w:type="dxa"/>
            <w:noWrap/>
            <w:vAlign w:val="center"/>
          </w:tcPr>
          <w:p w:rsidR="00650BDA" w:rsidRPr="00307988" w:rsidP="00307988" w14:paraId="4C1A10CD" w14:textId="5436D36A">
            <w:pPr>
              <w:widowControl/>
              <w:autoSpaceDE/>
              <w:autoSpaceDN/>
              <w:adjustRightInd/>
              <w:jc w:val="center"/>
              <w:rPr>
                <w:rFonts w:eastAsiaTheme="minorHAnsi"/>
                <w:bCs/>
                <w:sz w:val="20"/>
                <w:szCs w:val="20"/>
              </w:rPr>
            </w:pPr>
            <w:r w:rsidRPr="00307988">
              <w:rPr>
                <w:color w:val="000000"/>
                <w:sz w:val="20"/>
                <w:szCs w:val="20"/>
              </w:rPr>
              <w:t>1</w:t>
            </w:r>
          </w:p>
        </w:tc>
        <w:tc>
          <w:tcPr>
            <w:tcW w:w="2430" w:type="dxa"/>
            <w:vAlign w:val="center"/>
          </w:tcPr>
          <w:p w:rsidR="00650BDA" w:rsidRPr="00307988" w:rsidP="00307988" w14:paraId="1F035799" w14:textId="56596BAA">
            <w:pPr>
              <w:widowControl/>
              <w:autoSpaceDE/>
              <w:autoSpaceDN/>
              <w:adjustRightInd/>
              <w:jc w:val="center"/>
              <w:rPr>
                <w:rFonts w:eastAsiaTheme="minorHAnsi"/>
                <w:bCs/>
                <w:sz w:val="20"/>
                <w:szCs w:val="20"/>
              </w:rPr>
            </w:pPr>
            <w:r w:rsidRPr="00307988">
              <w:rPr>
                <w:color w:val="000000"/>
                <w:sz w:val="20"/>
                <w:szCs w:val="20"/>
              </w:rPr>
              <w:t>$10.00</w:t>
            </w:r>
          </w:p>
        </w:tc>
        <w:tc>
          <w:tcPr>
            <w:tcW w:w="3150" w:type="dxa"/>
            <w:noWrap/>
            <w:vAlign w:val="center"/>
          </w:tcPr>
          <w:p w:rsidR="00650BDA" w:rsidRPr="00307988" w:rsidP="00307988" w14:paraId="5E445B3A" w14:textId="4D4B2C9E">
            <w:pPr>
              <w:widowControl/>
              <w:autoSpaceDE/>
              <w:autoSpaceDN/>
              <w:adjustRightInd/>
              <w:jc w:val="center"/>
              <w:rPr>
                <w:rFonts w:eastAsiaTheme="minorHAnsi"/>
                <w:bCs/>
                <w:sz w:val="20"/>
                <w:szCs w:val="20"/>
              </w:rPr>
            </w:pPr>
            <w:r w:rsidRPr="00307988">
              <w:rPr>
                <w:color w:val="000000"/>
                <w:sz w:val="20"/>
                <w:szCs w:val="20"/>
              </w:rPr>
              <w:t>$10.00</w:t>
            </w:r>
          </w:p>
        </w:tc>
      </w:tr>
      <w:tr w14:paraId="3970B73E" w14:textId="77777777" w:rsidTr="003A3E6E">
        <w:tblPrEx>
          <w:tblW w:w="9355" w:type="dxa"/>
          <w:tblLook w:val="04A0"/>
        </w:tblPrEx>
        <w:trPr>
          <w:trHeight w:val="300"/>
        </w:trPr>
        <w:tc>
          <w:tcPr>
            <w:tcW w:w="1705" w:type="dxa"/>
            <w:noWrap/>
            <w:vAlign w:val="center"/>
            <w:hideMark/>
          </w:tcPr>
          <w:p w:rsidR="00650BDA" w:rsidRPr="00307988" w:rsidP="00307988" w14:paraId="12AB932B" w14:textId="4EFEDBE4">
            <w:pPr>
              <w:widowControl/>
              <w:autoSpaceDE/>
              <w:autoSpaceDN/>
              <w:adjustRightInd/>
              <w:jc w:val="right"/>
              <w:rPr>
                <w:rFonts w:eastAsiaTheme="minorHAnsi"/>
                <w:b/>
                <w:bCs/>
                <w:i/>
                <w:iCs/>
                <w:sz w:val="20"/>
                <w:szCs w:val="20"/>
              </w:rPr>
            </w:pPr>
            <w:r w:rsidRPr="00307988">
              <w:rPr>
                <w:b/>
                <w:bCs/>
                <w:i/>
                <w:iCs/>
                <w:color w:val="000000"/>
                <w:sz w:val="20"/>
                <w:szCs w:val="20"/>
              </w:rPr>
              <w:t>Subtotal (Rounded)</w:t>
            </w:r>
          </w:p>
        </w:tc>
        <w:tc>
          <w:tcPr>
            <w:tcW w:w="2070" w:type="dxa"/>
            <w:vAlign w:val="center"/>
          </w:tcPr>
          <w:p w:rsidR="00650BDA" w:rsidRPr="00307988" w:rsidP="00307988" w14:paraId="5B39A07A" w14:textId="22825D15">
            <w:pPr>
              <w:widowControl/>
              <w:autoSpaceDE/>
              <w:autoSpaceDN/>
              <w:adjustRightInd/>
              <w:jc w:val="center"/>
              <w:rPr>
                <w:rFonts w:eastAsiaTheme="minorHAnsi"/>
                <w:b/>
                <w:i/>
                <w:iCs/>
                <w:sz w:val="20"/>
                <w:szCs w:val="20"/>
              </w:rPr>
            </w:pPr>
            <w:r w:rsidRPr="00307988">
              <w:rPr>
                <w:b/>
                <w:bCs/>
                <w:i/>
                <w:iCs/>
                <w:color w:val="000000"/>
                <w:sz w:val="20"/>
                <w:szCs w:val="20"/>
              </w:rPr>
              <w:t>1</w:t>
            </w:r>
          </w:p>
        </w:tc>
        <w:tc>
          <w:tcPr>
            <w:tcW w:w="2430" w:type="dxa"/>
            <w:shd w:val="clear" w:color="auto" w:fill="000000" w:themeFill="text1"/>
            <w:vAlign w:val="center"/>
          </w:tcPr>
          <w:p w:rsidR="00650BDA" w:rsidRPr="00307988" w:rsidP="00307988" w14:paraId="4CCE4994" w14:textId="7E39C52B">
            <w:pPr>
              <w:widowControl/>
              <w:autoSpaceDE/>
              <w:autoSpaceDN/>
              <w:adjustRightInd/>
              <w:jc w:val="center"/>
              <w:rPr>
                <w:rFonts w:eastAsiaTheme="minorHAnsi"/>
                <w:bCs/>
                <w:i/>
                <w:iCs/>
                <w:sz w:val="20"/>
                <w:szCs w:val="20"/>
              </w:rPr>
            </w:pPr>
            <w:r w:rsidRPr="00307988">
              <w:rPr>
                <w:b/>
                <w:bCs/>
                <w:i/>
                <w:iCs/>
                <w:color w:val="000000"/>
                <w:sz w:val="20"/>
                <w:szCs w:val="20"/>
              </w:rPr>
              <w:t> </w:t>
            </w:r>
          </w:p>
        </w:tc>
        <w:tc>
          <w:tcPr>
            <w:tcW w:w="3150" w:type="dxa"/>
            <w:noWrap/>
            <w:vAlign w:val="center"/>
          </w:tcPr>
          <w:p w:rsidR="00650BDA" w:rsidRPr="00307988" w:rsidP="00307988" w14:paraId="20E983C4" w14:textId="0FA1580E">
            <w:pPr>
              <w:widowControl/>
              <w:autoSpaceDE/>
              <w:autoSpaceDN/>
              <w:adjustRightInd/>
              <w:jc w:val="center"/>
              <w:rPr>
                <w:rFonts w:eastAsiaTheme="minorHAnsi"/>
                <w:b/>
                <w:bCs/>
                <w:i/>
                <w:iCs/>
                <w:sz w:val="20"/>
                <w:szCs w:val="20"/>
              </w:rPr>
            </w:pPr>
            <w:r w:rsidRPr="00307988">
              <w:rPr>
                <w:b/>
                <w:bCs/>
                <w:i/>
                <w:iCs/>
                <w:color w:val="000000"/>
                <w:sz w:val="20"/>
                <w:szCs w:val="20"/>
              </w:rPr>
              <w:t>$10</w:t>
            </w:r>
          </w:p>
        </w:tc>
      </w:tr>
    </w:tbl>
    <w:p w:rsidR="003123CC" w:rsidRPr="00307988" w:rsidP="00307988" w14:paraId="457FA764" w14:textId="77777777">
      <w:pPr>
        <w:rPr>
          <w:b/>
          <w:bCs/>
          <w:color w:val="000000"/>
        </w:rPr>
      </w:pPr>
    </w:p>
    <w:p w:rsidR="00715424" w:rsidRPr="00307988" w:rsidP="00307988" w14:paraId="023347D9" w14:textId="77777777">
      <w:pPr>
        <w:pStyle w:val="Default"/>
        <w:rPr>
          <w:rFonts w:ascii="Times New Roman" w:hAnsi="Times New Roman" w:cs="Times New Roman"/>
          <w:b/>
          <w:bCs/>
        </w:rPr>
      </w:pPr>
      <w:r w:rsidRPr="00307988">
        <w:rPr>
          <w:rFonts w:ascii="Times New Roman" w:hAnsi="Times New Roman" w:cs="Times New Roman"/>
          <w:b/>
          <w:bCs/>
        </w:rPr>
        <w:t>Cost Burden to Respondents or Recordkeepers Summary</w:t>
      </w:r>
    </w:p>
    <w:p w:rsidR="00715424" w:rsidRPr="00307988" w:rsidP="00307988" w14:paraId="045802B6" w14:textId="77777777">
      <w:pPr>
        <w:pStyle w:val="Default"/>
        <w:tabs>
          <w:tab w:val="left" w:pos="9000"/>
          <w:tab w:val="left" w:pos="9090"/>
        </w:tabs>
        <w:rPr>
          <w:rFonts w:ascii="Times New Roman" w:hAnsi="Times New Roman" w:cs="Times New Roman"/>
          <w:b/>
          <w:bCs/>
        </w:rPr>
      </w:pPr>
    </w:p>
    <w:p w:rsidR="00715424" w:rsidRPr="00307988" w:rsidP="00307988" w14:paraId="3F6CC069" w14:textId="61F9FFE9">
      <w:pPr>
        <w:widowControl/>
      </w:pPr>
      <w:r w:rsidRPr="00307988">
        <w:t xml:space="preserve">The annual cost burden to respondents or recordkeepers is summarized in the </w:t>
      </w:r>
      <w:r w:rsidRPr="00307988" w:rsidR="00DB2DFB">
        <w:t>s</w:t>
      </w:r>
      <w:r w:rsidRPr="00307988">
        <w:t>ummary table below.</w:t>
      </w:r>
    </w:p>
    <w:p w:rsidR="00D0267C" w:rsidRPr="00307988" w:rsidP="00307988" w14:paraId="2D7951EA" w14:textId="539E5A25">
      <w:pPr>
        <w:widowControl/>
        <w:autoSpaceDE/>
        <w:autoSpaceDN/>
        <w:adjustRightInd/>
        <w:rPr>
          <w:b/>
          <w:bCs/>
        </w:rPr>
      </w:pPr>
    </w:p>
    <w:p w:rsidR="00715424" w:rsidRPr="00307988" w:rsidP="00307988" w14:paraId="05A79ECF" w14:textId="14E843AF">
      <w:pPr>
        <w:tabs>
          <w:tab w:val="left" w:pos="9000"/>
          <w:tab w:val="left" w:pos="9090"/>
        </w:tabs>
        <w:rPr>
          <w:b/>
          <w:bCs/>
        </w:rPr>
      </w:pPr>
      <w:r w:rsidRPr="00307988">
        <w:rPr>
          <w:b/>
          <w:bCs/>
        </w:rPr>
        <w:t xml:space="preserve">Table 13-13. Estimated Annual Cost Burden to Respondents or Recordkeepers, Summary </w:t>
      </w:r>
    </w:p>
    <w:tbl>
      <w:tblPr>
        <w:tblStyle w:val="TableGrid"/>
        <w:tblW w:w="9355" w:type="dxa"/>
        <w:tblLook w:val="04A0"/>
      </w:tblPr>
      <w:tblGrid>
        <w:gridCol w:w="2515"/>
        <w:gridCol w:w="1260"/>
        <w:gridCol w:w="2430"/>
        <w:gridCol w:w="3150"/>
      </w:tblGrid>
      <w:tr w14:paraId="4E9C68DE" w14:textId="77777777" w:rsidTr="002869B3">
        <w:tblPrEx>
          <w:tblW w:w="9355" w:type="dxa"/>
          <w:tblLook w:val="04A0"/>
        </w:tblPrEx>
        <w:trPr>
          <w:trHeight w:val="615"/>
        </w:trPr>
        <w:tc>
          <w:tcPr>
            <w:tcW w:w="2515" w:type="dxa"/>
            <w:shd w:val="clear" w:color="auto" w:fill="8EAADB" w:themeFill="accent1" w:themeFillTint="99"/>
            <w:vAlign w:val="center"/>
            <w:hideMark/>
          </w:tcPr>
          <w:p w:rsidR="0078547A" w:rsidRPr="00307988" w:rsidP="00307988" w14:paraId="06DF8F63" w14:textId="77777777">
            <w:pPr>
              <w:widowControl/>
              <w:autoSpaceDE/>
              <w:autoSpaceDN/>
              <w:adjustRightInd/>
              <w:rPr>
                <w:rFonts w:eastAsiaTheme="minorHAnsi"/>
                <w:sz w:val="20"/>
                <w:szCs w:val="20"/>
              </w:rPr>
            </w:pPr>
            <w:r w:rsidRPr="00307988">
              <w:rPr>
                <w:rFonts w:eastAsiaTheme="minorHAnsi"/>
                <w:sz w:val="20"/>
                <w:szCs w:val="20"/>
              </w:rPr>
              <w:t>Cost Component</w:t>
            </w:r>
          </w:p>
        </w:tc>
        <w:tc>
          <w:tcPr>
            <w:tcW w:w="1260" w:type="dxa"/>
            <w:shd w:val="clear" w:color="auto" w:fill="8EAADB" w:themeFill="accent1" w:themeFillTint="99"/>
            <w:vAlign w:val="center"/>
            <w:hideMark/>
          </w:tcPr>
          <w:p w:rsidR="0078547A" w:rsidRPr="00307988" w:rsidP="00307988" w14:paraId="498C7339" w14:textId="77777777">
            <w:pPr>
              <w:widowControl/>
              <w:autoSpaceDE/>
              <w:autoSpaceDN/>
              <w:adjustRightInd/>
              <w:jc w:val="center"/>
              <w:rPr>
                <w:rFonts w:eastAsiaTheme="minorHAnsi"/>
                <w:sz w:val="20"/>
                <w:szCs w:val="20"/>
              </w:rPr>
            </w:pPr>
            <w:r w:rsidRPr="00307988">
              <w:rPr>
                <w:rFonts w:eastAsiaTheme="minorHAnsi"/>
                <w:sz w:val="20"/>
                <w:szCs w:val="20"/>
              </w:rPr>
              <w:t>Number of Responses</w:t>
            </w:r>
          </w:p>
        </w:tc>
        <w:tc>
          <w:tcPr>
            <w:tcW w:w="2430" w:type="dxa"/>
            <w:shd w:val="clear" w:color="auto" w:fill="8EAADB" w:themeFill="accent1" w:themeFillTint="99"/>
            <w:vAlign w:val="center"/>
          </w:tcPr>
          <w:p w:rsidR="0078547A" w:rsidRPr="00307988" w:rsidP="00307988" w14:paraId="2C2D3CA2" w14:textId="0C2982E7">
            <w:pPr>
              <w:widowControl/>
              <w:autoSpaceDE/>
              <w:autoSpaceDN/>
              <w:adjustRightInd/>
              <w:jc w:val="center"/>
              <w:rPr>
                <w:rFonts w:eastAsiaTheme="minorHAnsi"/>
                <w:sz w:val="20"/>
                <w:szCs w:val="20"/>
              </w:rPr>
            </w:pPr>
            <w:r w:rsidRPr="00307988">
              <w:rPr>
                <w:rFonts w:eastAsiaTheme="minorHAnsi"/>
                <w:sz w:val="20"/>
                <w:szCs w:val="20"/>
              </w:rPr>
              <w:t>Unit Cost</w:t>
            </w:r>
            <w:r w:rsidRPr="00307988" w:rsidR="00A538FD">
              <w:rPr>
                <w:rFonts w:eastAsiaTheme="minorHAnsi"/>
                <w:sz w:val="20"/>
                <w:szCs w:val="20"/>
              </w:rPr>
              <w:t xml:space="preserve"> per Response</w:t>
            </w:r>
          </w:p>
        </w:tc>
        <w:tc>
          <w:tcPr>
            <w:tcW w:w="3150" w:type="dxa"/>
            <w:shd w:val="clear" w:color="auto" w:fill="8EAADB" w:themeFill="accent1" w:themeFillTint="99"/>
            <w:vAlign w:val="center"/>
            <w:hideMark/>
          </w:tcPr>
          <w:p w:rsidR="0078547A" w:rsidRPr="00307988" w:rsidP="00307988" w14:paraId="5E7BCE0B" w14:textId="77777777">
            <w:pPr>
              <w:widowControl/>
              <w:autoSpaceDE/>
              <w:autoSpaceDN/>
              <w:adjustRightInd/>
              <w:jc w:val="center"/>
              <w:rPr>
                <w:rFonts w:eastAsiaTheme="minorHAnsi"/>
                <w:sz w:val="20"/>
                <w:szCs w:val="20"/>
              </w:rPr>
            </w:pPr>
            <w:r w:rsidRPr="00307988">
              <w:rPr>
                <w:rFonts w:eastAsiaTheme="minorHAnsi"/>
                <w:sz w:val="20"/>
                <w:szCs w:val="20"/>
              </w:rPr>
              <w:t>Cost to Recordkeepers</w:t>
            </w:r>
          </w:p>
        </w:tc>
      </w:tr>
      <w:tr w14:paraId="3ACC9ADB" w14:textId="77777777" w:rsidTr="002869B3">
        <w:tblPrEx>
          <w:tblW w:w="9355" w:type="dxa"/>
          <w:tblLook w:val="04A0"/>
        </w:tblPrEx>
        <w:trPr>
          <w:trHeight w:val="260"/>
        </w:trPr>
        <w:tc>
          <w:tcPr>
            <w:tcW w:w="2515" w:type="dxa"/>
            <w:noWrap/>
            <w:vAlign w:val="center"/>
            <w:hideMark/>
          </w:tcPr>
          <w:p w:rsidR="00C4790A" w:rsidRPr="00307988" w:rsidP="00307988" w14:paraId="616FE390" w14:textId="39060655">
            <w:pPr>
              <w:widowControl/>
              <w:autoSpaceDE/>
              <w:autoSpaceDN/>
              <w:adjustRightInd/>
              <w:rPr>
                <w:rFonts w:eastAsiaTheme="minorHAnsi"/>
                <w:bCs/>
                <w:sz w:val="20"/>
                <w:szCs w:val="20"/>
              </w:rPr>
            </w:pPr>
            <w:r w:rsidRPr="00307988">
              <w:rPr>
                <w:color w:val="000000"/>
                <w:sz w:val="20"/>
                <w:szCs w:val="20"/>
              </w:rPr>
              <w:t>I. Copying and Mailing Permit Applications</w:t>
            </w:r>
          </w:p>
        </w:tc>
        <w:tc>
          <w:tcPr>
            <w:tcW w:w="1260" w:type="dxa"/>
            <w:noWrap/>
            <w:vAlign w:val="center"/>
          </w:tcPr>
          <w:p w:rsidR="00C4790A" w:rsidRPr="00307988" w:rsidP="00307988" w14:paraId="1C7A0021" w14:textId="372DCD30">
            <w:pPr>
              <w:widowControl/>
              <w:autoSpaceDE/>
              <w:autoSpaceDN/>
              <w:adjustRightInd/>
              <w:jc w:val="right"/>
              <w:rPr>
                <w:rFonts w:eastAsiaTheme="minorHAnsi"/>
                <w:bCs/>
                <w:sz w:val="20"/>
                <w:szCs w:val="20"/>
              </w:rPr>
            </w:pPr>
            <w:r w:rsidRPr="00307988">
              <w:rPr>
                <w:color w:val="000000"/>
                <w:sz w:val="20"/>
                <w:szCs w:val="20"/>
              </w:rPr>
              <w:t>16</w:t>
            </w:r>
          </w:p>
        </w:tc>
        <w:tc>
          <w:tcPr>
            <w:tcW w:w="2430" w:type="dxa"/>
            <w:vAlign w:val="center"/>
          </w:tcPr>
          <w:p w:rsidR="00C4790A" w:rsidRPr="00307988" w:rsidP="00307988" w14:paraId="0F63AC49" w14:textId="64193A41">
            <w:pPr>
              <w:widowControl/>
              <w:autoSpaceDE/>
              <w:autoSpaceDN/>
              <w:adjustRightInd/>
              <w:jc w:val="right"/>
              <w:rPr>
                <w:rFonts w:eastAsiaTheme="minorHAnsi"/>
                <w:bCs/>
                <w:sz w:val="20"/>
                <w:szCs w:val="20"/>
              </w:rPr>
            </w:pPr>
            <w:r w:rsidRPr="00307988">
              <w:rPr>
                <w:color w:val="000000"/>
                <w:sz w:val="20"/>
                <w:szCs w:val="20"/>
              </w:rPr>
              <w:t>$10.00</w:t>
            </w:r>
          </w:p>
        </w:tc>
        <w:tc>
          <w:tcPr>
            <w:tcW w:w="3150" w:type="dxa"/>
            <w:noWrap/>
            <w:vAlign w:val="center"/>
          </w:tcPr>
          <w:p w:rsidR="00C4790A" w:rsidRPr="00307988" w:rsidP="00307988" w14:paraId="7DD52C21" w14:textId="36DCC16E">
            <w:pPr>
              <w:widowControl/>
              <w:autoSpaceDE/>
              <w:autoSpaceDN/>
              <w:adjustRightInd/>
              <w:jc w:val="right"/>
              <w:rPr>
                <w:rFonts w:eastAsiaTheme="minorHAnsi"/>
                <w:bCs/>
                <w:sz w:val="20"/>
                <w:szCs w:val="20"/>
              </w:rPr>
            </w:pPr>
            <w:r w:rsidRPr="00307988">
              <w:rPr>
                <w:color w:val="000000"/>
                <w:sz w:val="20"/>
                <w:szCs w:val="20"/>
              </w:rPr>
              <w:t>$160.00</w:t>
            </w:r>
          </w:p>
        </w:tc>
      </w:tr>
      <w:tr w14:paraId="4427B054" w14:textId="77777777" w:rsidTr="002869B3">
        <w:tblPrEx>
          <w:tblW w:w="9355" w:type="dxa"/>
          <w:tblLook w:val="04A0"/>
        </w:tblPrEx>
        <w:trPr>
          <w:trHeight w:val="300"/>
        </w:trPr>
        <w:tc>
          <w:tcPr>
            <w:tcW w:w="2515" w:type="dxa"/>
            <w:noWrap/>
            <w:vAlign w:val="center"/>
          </w:tcPr>
          <w:p w:rsidR="00C4790A" w:rsidRPr="00307988" w:rsidP="00307988" w14:paraId="6E7A998C" w14:textId="5BC099F6">
            <w:pPr>
              <w:widowControl/>
              <w:autoSpaceDE/>
              <w:autoSpaceDN/>
              <w:adjustRightInd/>
              <w:rPr>
                <w:rFonts w:eastAsiaTheme="minorHAnsi"/>
                <w:bCs/>
                <w:sz w:val="20"/>
                <w:szCs w:val="20"/>
              </w:rPr>
            </w:pPr>
            <w:r w:rsidRPr="00307988">
              <w:rPr>
                <w:color w:val="000000"/>
                <w:sz w:val="20"/>
                <w:szCs w:val="20"/>
              </w:rPr>
              <w:t xml:space="preserve">II. </w:t>
            </w:r>
            <w:r w:rsidRPr="00307988" w:rsidR="00B23234">
              <w:rPr>
                <w:color w:val="000000"/>
                <w:sz w:val="20"/>
                <w:szCs w:val="20"/>
              </w:rPr>
              <w:t xml:space="preserve">Printing </w:t>
            </w:r>
            <w:r w:rsidRPr="00307988">
              <w:rPr>
                <w:color w:val="000000"/>
                <w:sz w:val="20"/>
                <w:szCs w:val="20"/>
              </w:rPr>
              <w:t xml:space="preserve">Misfire Notices </w:t>
            </w:r>
          </w:p>
        </w:tc>
        <w:tc>
          <w:tcPr>
            <w:tcW w:w="1260" w:type="dxa"/>
            <w:noWrap/>
            <w:vAlign w:val="center"/>
          </w:tcPr>
          <w:p w:rsidR="00C4790A" w:rsidRPr="00307988" w:rsidP="00307988" w14:paraId="7061766F" w14:textId="06DF6BC1">
            <w:pPr>
              <w:widowControl/>
              <w:autoSpaceDE/>
              <w:autoSpaceDN/>
              <w:adjustRightInd/>
              <w:jc w:val="right"/>
              <w:rPr>
                <w:rFonts w:eastAsiaTheme="minorHAnsi"/>
                <w:bCs/>
                <w:sz w:val="20"/>
                <w:szCs w:val="20"/>
              </w:rPr>
            </w:pPr>
            <w:r w:rsidRPr="00307988">
              <w:rPr>
                <w:color w:val="000000"/>
                <w:sz w:val="20"/>
                <w:szCs w:val="20"/>
              </w:rPr>
              <w:t>1</w:t>
            </w:r>
          </w:p>
        </w:tc>
        <w:tc>
          <w:tcPr>
            <w:tcW w:w="2430" w:type="dxa"/>
            <w:vAlign w:val="center"/>
          </w:tcPr>
          <w:p w:rsidR="00C4790A" w:rsidRPr="00307988" w:rsidP="00307988" w14:paraId="660973C9" w14:textId="24420601">
            <w:pPr>
              <w:widowControl/>
              <w:autoSpaceDE/>
              <w:autoSpaceDN/>
              <w:adjustRightInd/>
              <w:jc w:val="right"/>
              <w:rPr>
                <w:rFonts w:eastAsiaTheme="minorHAnsi"/>
                <w:bCs/>
                <w:sz w:val="20"/>
                <w:szCs w:val="20"/>
              </w:rPr>
            </w:pPr>
            <w:r w:rsidRPr="00307988">
              <w:rPr>
                <w:color w:val="000000"/>
                <w:sz w:val="20"/>
                <w:szCs w:val="20"/>
              </w:rPr>
              <w:t>$10.00</w:t>
            </w:r>
          </w:p>
        </w:tc>
        <w:tc>
          <w:tcPr>
            <w:tcW w:w="3150" w:type="dxa"/>
            <w:noWrap/>
            <w:vAlign w:val="center"/>
          </w:tcPr>
          <w:p w:rsidR="00C4790A" w:rsidRPr="00307988" w:rsidP="00307988" w14:paraId="13ABE2C7" w14:textId="13ED0751">
            <w:pPr>
              <w:widowControl/>
              <w:autoSpaceDE/>
              <w:autoSpaceDN/>
              <w:adjustRightInd/>
              <w:jc w:val="right"/>
              <w:rPr>
                <w:rFonts w:eastAsiaTheme="minorHAnsi"/>
                <w:bCs/>
                <w:sz w:val="20"/>
                <w:szCs w:val="20"/>
              </w:rPr>
            </w:pPr>
            <w:r w:rsidRPr="00307988">
              <w:rPr>
                <w:color w:val="000000"/>
                <w:sz w:val="20"/>
                <w:szCs w:val="20"/>
              </w:rPr>
              <w:t>$10.00</w:t>
            </w:r>
          </w:p>
        </w:tc>
      </w:tr>
      <w:tr w14:paraId="598B415F" w14:textId="77777777" w:rsidTr="002869B3">
        <w:tblPrEx>
          <w:tblW w:w="9355" w:type="dxa"/>
          <w:tblLook w:val="04A0"/>
        </w:tblPrEx>
        <w:trPr>
          <w:trHeight w:val="300"/>
        </w:trPr>
        <w:tc>
          <w:tcPr>
            <w:tcW w:w="2515" w:type="dxa"/>
            <w:noWrap/>
            <w:vAlign w:val="center"/>
            <w:hideMark/>
          </w:tcPr>
          <w:p w:rsidR="00C4790A" w:rsidRPr="00307988" w:rsidP="00307988" w14:paraId="1D99F161" w14:textId="073E75B0">
            <w:pPr>
              <w:widowControl/>
              <w:autoSpaceDE/>
              <w:autoSpaceDN/>
              <w:adjustRightInd/>
              <w:jc w:val="right"/>
              <w:rPr>
                <w:rFonts w:eastAsiaTheme="minorHAnsi"/>
                <w:b/>
                <w:bCs/>
                <w:i/>
                <w:iCs/>
                <w:sz w:val="20"/>
                <w:szCs w:val="20"/>
              </w:rPr>
            </w:pPr>
            <w:r w:rsidRPr="00307988">
              <w:rPr>
                <w:b/>
                <w:bCs/>
                <w:i/>
                <w:iCs/>
                <w:color w:val="000000"/>
                <w:sz w:val="20"/>
                <w:szCs w:val="20"/>
              </w:rPr>
              <w:t>Total (Rounded)</w:t>
            </w:r>
          </w:p>
        </w:tc>
        <w:tc>
          <w:tcPr>
            <w:tcW w:w="1260" w:type="dxa"/>
            <w:vAlign w:val="center"/>
          </w:tcPr>
          <w:p w:rsidR="00C4790A" w:rsidRPr="00307988" w:rsidP="00307988" w14:paraId="35CDD481" w14:textId="5B0D2961">
            <w:pPr>
              <w:widowControl/>
              <w:autoSpaceDE/>
              <w:autoSpaceDN/>
              <w:adjustRightInd/>
              <w:jc w:val="right"/>
              <w:rPr>
                <w:rFonts w:eastAsiaTheme="minorHAnsi"/>
                <w:b/>
                <w:sz w:val="20"/>
                <w:szCs w:val="20"/>
              </w:rPr>
            </w:pPr>
            <w:r w:rsidRPr="00307988">
              <w:rPr>
                <w:b/>
                <w:bCs/>
                <w:i/>
                <w:iCs/>
                <w:color w:val="000000"/>
                <w:sz w:val="20"/>
                <w:szCs w:val="20"/>
              </w:rPr>
              <w:t>17</w:t>
            </w:r>
          </w:p>
        </w:tc>
        <w:tc>
          <w:tcPr>
            <w:tcW w:w="2430" w:type="dxa"/>
            <w:shd w:val="clear" w:color="auto" w:fill="000000" w:themeFill="text1"/>
            <w:vAlign w:val="center"/>
          </w:tcPr>
          <w:p w:rsidR="00C4790A" w:rsidRPr="00307988" w:rsidP="00307988" w14:paraId="345E3088" w14:textId="22F952A6">
            <w:pPr>
              <w:widowControl/>
              <w:autoSpaceDE/>
              <w:autoSpaceDN/>
              <w:adjustRightInd/>
              <w:jc w:val="right"/>
              <w:rPr>
                <w:rFonts w:eastAsiaTheme="minorHAnsi"/>
                <w:bCs/>
                <w:sz w:val="20"/>
                <w:szCs w:val="20"/>
              </w:rPr>
            </w:pPr>
            <w:r w:rsidRPr="00307988">
              <w:rPr>
                <w:b/>
                <w:bCs/>
                <w:i/>
                <w:iCs/>
                <w:color w:val="000000"/>
                <w:sz w:val="20"/>
                <w:szCs w:val="20"/>
              </w:rPr>
              <w:t> </w:t>
            </w:r>
          </w:p>
        </w:tc>
        <w:tc>
          <w:tcPr>
            <w:tcW w:w="3150" w:type="dxa"/>
            <w:noWrap/>
            <w:vAlign w:val="center"/>
          </w:tcPr>
          <w:p w:rsidR="00C4790A" w:rsidRPr="00307988" w:rsidP="00307988" w14:paraId="1C7898D1" w14:textId="51E45DB4">
            <w:pPr>
              <w:widowControl/>
              <w:autoSpaceDE/>
              <w:autoSpaceDN/>
              <w:adjustRightInd/>
              <w:jc w:val="right"/>
              <w:rPr>
                <w:rFonts w:eastAsiaTheme="minorHAnsi"/>
                <w:b/>
                <w:bCs/>
                <w:sz w:val="20"/>
                <w:szCs w:val="20"/>
              </w:rPr>
            </w:pPr>
            <w:r w:rsidRPr="00307988">
              <w:rPr>
                <w:b/>
                <w:bCs/>
                <w:i/>
                <w:iCs/>
                <w:color w:val="000000"/>
                <w:sz w:val="20"/>
                <w:szCs w:val="20"/>
              </w:rPr>
              <w:t>$170</w:t>
            </w:r>
          </w:p>
        </w:tc>
      </w:tr>
    </w:tbl>
    <w:p w:rsidR="00715424" w:rsidRPr="00307988" w:rsidP="00307988" w14:paraId="2E2D0E62" w14:textId="77777777">
      <w:pPr>
        <w:rPr>
          <w:b/>
          <w:bCs/>
        </w:rPr>
      </w:pPr>
    </w:p>
    <w:p w:rsidR="00715424" w:rsidRPr="00307988" w:rsidP="00307988" w14:paraId="38CE725D" w14:textId="77777777">
      <w:pPr>
        <w:rPr>
          <w:b/>
          <w:bCs/>
          <w:color w:val="000000"/>
        </w:rPr>
      </w:pPr>
    </w:p>
    <w:p w:rsidR="008F7DDE" w:rsidRPr="00307988" w:rsidP="00307988" w14:paraId="6154050E" w14:textId="0173004F">
      <w:pPr>
        <w:rPr>
          <w:bCs/>
          <w:color w:val="000000"/>
        </w:rPr>
      </w:pPr>
      <w:r w:rsidRPr="00307988">
        <w:rPr>
          <w:b/>
          <w:bCs/>
          <w:color w:val="000000"/>
        </w:rPr>
        <w:t>14.</w:t>
      </w:r>
      <w:r w:rsidRPr="00307988" w:rsidR="007E35A8">
        <w:rPr>
          <w:b/>
          <w:bCs/>
          <w:color w:val="000000"/>
        </w:rPr>
        <w:t xml:space="preserve"> </w:t>
      </w:r>
      <w:r w:rsidRPr="00307988">
        <w:rPr>
          <w:b/>
          <w:bCs/>
          <w:color w:val="000000"/>
        </w:rPr>
        <w:t>Provide estimates of annualized cost to the Federal government.</w:t>
      </w:r>
      <w:r w:rsidRPr="00307988" w:rsidR="007E35A8">
        <w:rPr>
          <w:b/>
          <w:bCs/>
          <w:color w:val="000000"/>
        </w:rPr>
        <w:t xml:space="preserve"> </w:t>
      </w:r>
      <w:r w:rsidRPr="00307988">
        <w:rPr>
          <w:b/>
          <w:bCs/>
          <w:color w:val="000000"/>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307988" w:rsidR="007E35A8">
        <w:rPr>
          <w:b/>
          <w:bCs/>
          <w:color w:val="000000"/>
        </w:rPr>
        <w:t xml:space="preserve"> </w:t>
      </w:r>
      <w:r w:rsidRPr="00307988">
        <w:rPr>
          <w:b/>
          <w:bCs/>
          <w:color w:val="000000"/>
        </w:rPr>
        <w:t>Agencies also may aggregate cost estimates from Items 12, 13, and 14 in a single table.</w:t>
      </w:r>
    </w:p>
    <w:p w:rsidR="00EB362F" w:rsidRPr="00307988" w:rsidP="00307988" w14:paraId="7C844DF4" w14:textId="77777777">
      <w:pPr>
        <w:rPr>
          <w:b/>
          <w:bCs/>
          <w:color w:val="000000"/>
          <w:szCs w:val="22"/>
        </w:rPr>
      </w:pPr>
    </w:p>
    <w:p w:rsidR="00F74113" w:rsidRPr="00307988" w:rsidP="00307988" w14:paraId="4E8483F0" w14:textId="77777777">
      <w:pPr>
        <w:rPr>
          <w:color w:val="000000"/>
        </w:rPr>
      </w:pPr>
      <w:r w:rsidRPr="00307988">
        <w:rPr>
          <w:color w:val="000000"/>
        </w:rPr>
        <w:t>MSHA uses data from the FedScope published by the Office of Personnel Management (OPM) for hourly wage rates of Federal employees and adjusts the rates for benefits and overhead. The occupations listed below in Table 14-1 are those that were determined to be relevant for the Federal government cost calculations.</w:t>
      </w:r>
    </w:p>
    <w:p w:rsidR="00F74113" w:rsidRPr="00307988" w:rsidP="00307988" w14:paraId="375D8972" w14:textId="77777777">
      <w:pPr>
        <w:rPr>
          <w:b/>
          <w:bCs/>
          <w:color w:val="000000"/>
          <w:szCs w:val="22"/>
        </w:rPr>
      </w:pPr>
    </w:p>
    <w:p w:rsidR="00D22375" w:rsidRPr="00307988" w:rsidP="00307988" w14:paraId="76B4F606" w14:textId="5F3E5B0A">
      <w:pPr>
        <w:rPr>
          <w:b/>
          <w:bCs/>
          <w:color w:val="000000"/>
        </w:rPr>
      </w:pPr>
      <w:r w:rsidRPr="00307988">
        <w:rPr>
          <w:b/>
          <w:bCs/>
          <w:color w:val="000000"/>
        </w:rPr>
        <w:t>Table 14-1</w:t>
      </w:r>
      <w:r w:rsidRPr="00307988" w:rsidR="00D73216">
        <w:rPr>
          <w:b/>
          <w:bCs/>
          <w:color w:val="000000"/>
        </w:rPr>
        <w:t>.</w:t>
      </w:r>
      <w:r w:rsidRPr="00307988">
        <w:rPr>
          <w:b/>
          <w:bCs/>
          <w:color w:val="000000"/>
        </w:rPr>
        <w:t xml:space="preserve"> Federal Hourly Wage Rates</w:t>
      </w:r>
    </w:p>
    <w:tbl>
      <w:tblPr>
        <w:tblStyle w:val="TableGrid"/>
        <w:tblW w:w="9445" w:type="dxa"/>
        <w:tblLook w:val="04A0"/>
      </w:tblPr>
      <w:tblGrid>
        <w:gridCol w:w="2965"/>
        <w:gridCol w:w="1350"/>
        <w:gridCol w:w="1260"/>
        <w:gridCol w:w="2070"/>
        <w:gridCol w:w="1800"/>
      </w:tblGrid>
      <w:tr w14:paraId="0F79EAD2" w14:textId="77777777" w:rsidTr="007628FE">
        <w:tblPrEx>
          <w:tblW w:w="9445" w:type="dxa"/>
          <w:tblLook w:val="04A0"/>
        </w:tblPrEx>
        <w:trPr>
          <w:trHeight w:val="478"/>
        </w:trPr>
        <w:tc>
          <w:tcPr>
            <w:tcW w:w="2965" w:type="dxa"/>
            <w:shd w:val="clear" w:color="auto" w:fill="8EAADB" w:themeFill="accent1" w:themeFillTint="99"/>
            <w:vAlign w:val="center"/>
          </w:tcPr>
          <w:p w:rsidR="00D22375" w:rsidRPr="00307988" w:rsidP="00307988" w14:paraId="191EF5D1" w14:textId="3FBB28D8">
            <w:pPr>
              <w:rPr>
                <w:iCs/>
                <w:sz w:val="20"/>
              </w:rPr>
            </w:pPr>
            <w:r w:rsidRPr="00307988">
              <w:rPr>
                <w:iCs/>
                <w:sz w:val="20"/>
              </w:rPr>
              <w:t>Occupation</w:t>
            </w:r>
          </w:p>
        </w:tc>
        <w:tc>
          <w:tcPr>
            <w:tcW w:w="1350" w:type="dxa"/>
            <w:shd w:val="clear" w:color="auto" w:fill="8EAADB" w:themeFill="accent1" w:themeFillTint="99"/>
            <w:vAlign w:val="center"/>
          </w:tcPr>
          <w:p w:rsidR="00D22375" w:rsidRPr="00307988" w:rsidP="00307988" w14:paraId="53C91EFA" w14:textId="77777777">
            <w:pPr>
              <w:jc w:val="center"/>
              <w:rPr>
                <w:iCs/>
                <w:sz w:val="20"/>
              </w:rPr>
            </w:pPr>
            <w:r w:rsidRPr="00307988">
              <w:rPr>
                <w:iCs/>
                <w:sz w:val="20"/>
              </w:rPr>
              <w:t>Occupation Code</w:t>
            </w:r>
          </w:p>
        </w:tc>
        <w:tc>
          <w:tcPr>
            <w:tcW w:w="1260" w:type="dxa"/>
            <w:shd w:val="clear" w:color="auto" w:fill="8EAADB" w:themeFill="accent1" w:themeFillTint="99"/>
            <w:vAlign w:val="center"/>
          </w:tcPr>
          <w:p w:rsidR="00D22375" w:rsidRPr="00307988" w:rsidP="00307988" w14:paraId="65B644AB" w14:textId="33DF7F9C">
            <w:pPr>
              <w:jc w:val="center"/>
              <w:rPr>
                <w:iCs/>
                <w:sz w:val="20"/>
              </w:rPr>
            </w:pPr>
            <w:r w:rsidRPr="00307988">
              <w:rPr>
                <w:iCs/>
                <w:sz w:val="20"/>
              </w:rPr>
              <w:t>Mean</w:t>
            </w:r>
            <w:r w:rsidRPr="00307988" w:rsidR="00BC2CDC">
              <w:rPr>
                <w:iCs/>
                <w:sz w:val="20"/>
              </w:rPr>
              <w:t xml:space="preserve"> </w:t>
            </w:r>
            <w:r w:rsidRPr="00307988">
              <w:rPr>
                <w:iCs/>
                <w:sz w:val="20"/>
              </w:rPr>
              <w:t>Wage Rate</w:t>
            </w:r>
          </w:p>
        </w:tc>
        <w:tc>
          <w:tcPr>
            <w:tcW w:w="2070" w:type="dxa"/>
            <w:shd w:val="clear" w:color="auto" w:fill="8EAADB" w:themeFill="accent1" w:themeFillTint="99"/>
            <w:vAlign w:val="center"/>
          </w:tcPr>
          <w:p w:rsidR="00D22375" w:rsidRPr="00307988" w:rsidP="00307988" w14:paraId="1C754AE3" w14:textId="7AB02101">
            <w:pPr>
              <w:jc w:val="center"/>
              <w:rPr>
                <w:iCs/>
                <w:sz w:val="20"/>
              </w:rPr>
            </w:pPr>
            <w:r w:rsidRPr="00307988">
              <w:rPr>
                <w:iCs/>
                <w:sz w:val="20"/>
              </w:rPr>
              <w:t>Benefit</w:t>
            </w:r>
            <w:r w:rsidRPr="00307988" w:rsidR="00F16D8E">
              <w:rPr>
                <w:iCs/>
                <w:sz w:val="20"/>
              </w:rPr>
              <w:t xml:space="preserve"> &amp; Overhead </w:t>
            </w:r>
            <w:r w:rsidRPr="00307988">
              <w:rPr>
                <w:iCs/>
                <w:sz w:val="20"/>
              </w:rPr>
              <w:t>Multiplier</w:t>
            </w:r>
            <w:r w:rsidRPr="00307988" w:rsidR="00B24B40">
              <w:rPr>
                <w:iCs/>
                <w:sz w:val="20"/>
              </w:rPr>
              <w:t xml:space="preserve"> [a]</w:t>
            </w:r>
          </w:p>
        </w:tc>
        <w:tc>
          <w:tcPr>
            <w:tcW w:w="1800" w:type="dxa"/>
            <w:shd w:val="clear" w:color="auto" w:fill="8EAADB" w:themeFill="accent1" w:themeFillTint="99"/>
            <w:vAlign w:val="center"/>
          </w:tcPr>
          <w:p w:rsidR="00D22375" w:rsidRPr="00307988" w:rsidP="00307988" w14:paraId="5AC6961E" w14:textId="77777777">
            <w:pPr>
              <w:jc w:val="center"/>
              <w:rPr>
                <w:iCs/>
                <w:sz w:val="20"/>
              </w:rPr>
            </w:pPr>
            <w:r w:rsidRPr="00307988">
              <w:rPr>
                <w:iCs/>
                <w:sz w:val="20"/>
              </w:rPr>
              <w:t>Loaded Hourly Wage Rate</w:t>
            </w:r>
          </w:p>
        </w:tc>
      </w:tr>
      <w:tr w14:paraId="2DA2475E" w14:textId="77777777" w:rsidTr="007628FE">
        <w:tblPrEx>
          <w:tblW w:w="9445" w:type="dxa"/>
          <w:tblLook w:val="04A0"/>
        </w:tblPrEx>
        <w:trPr>
          <w:trHeight w:val="233"/>
        </w:trPr>
        <w:tc>
          <w:tcPr>
            <w:tcW w:w="2965" w:type="dxa"/>
            <w:shd w:val="clear" w:color="auto" w:fill="8EAADB" w:themeFill="accent1" w:themeFillTint="99"/>
            <w:vAlign w:val="center"/>
          </w:tcPr>
          <w:p w:rsidR="00D75BE4" w:rsidRPr="00307988" w:rsidP="00307988" w14:paraId="595E4D13" w14:textId="77777777">
            <w:pPr>
              <w:rPr>
                <w:iCs/>
                <w:sz w:val="20"/>
              </w:rPr>
            </w:pPr>
          </w:p>
        </w:tc>
        <w:tc>
          <w:tcPr>
            <w:tcW w:w="1350" w:type="dxa"/>
            <w:shd w:val="clear" w:color="auto" w:fill="8EAADB" w:themeFill="accent1" w:themeFillTint="99"/>
            <w:vAlign w:val="center"/>
          </w:tcPr>
          <w:p w:rsidR="00D75BE4" w:rsidRPr="00307988" w:rsidP="00307988" w14:paraId="11BFAB25" w14:textId="77777777">
            <w:pPr>
              <w:jc w:val="center"/>
              <w:rPr>
                <w:iCs/>
                <w:sz w:val="20"/>
              </w:rPr>
            </w:pPr>
          </w:p>
        </w:tc>
        <w:tc>
          <w:tcPr>
            <w:tcW w:w="1260" w:type="dxa"/>
            <w:shd w:val="clear" w:color="auto" w:fill="8EAADB" w:themeFill="accent1" w:themeFillTint="99"/>
            <w:vAlign w:val="center"/>
          </w:tcPr>
          <w:p w:rsidR="00D75BE4" w:rsidRPr="00307988" w:rsidP="00307988" w14:paraId="01156ABC" w14:textId="03605850">
            <w:pPr>
              <w:jc w:val="center"/>
              <w:rPr>
                <w:iCs/>
                <w:sz w:val="20"/>
              </w:rPr>
            </w:pPr>
            <w:r w:rsidRPr="00307988">
              <w:rPr>
                <w:iCs/>
                <w:sz w:val="20"/>
              </w:rPr>
              <w:t>A</w:t>
            </w:r>
          </w:p>
        </w:tc>
        <w:tc>
          <w:tcPr>
            <w:tcW w:w="2070" w:type="dxa"/>
            <w:shd w:val="clear" w:color="auto" w:fill="8EAADB" w:themeFill="accent1" w:themeFillTint="99"/>
            <w:vAlign w:val="center"/>
          </w:tcPr>
          <w:p w:rsidR="00D75BE4" w:rsidRPr="00307988" w:rsidP="00307988" w14:paraId="2DAC5BEE" w14:textId="22289476">
            <w:pPr>
              <w:jc w:val="center"/>
              <w:rPr>
                <w:iCs/>
                <w:sz w:val="20"/>
              </w:rPr>
            </w:pPr>
            <w:r w:rsidRPr="00307988">
              <w:rPr>
                <w:iCs/>
                <w:sz w:val="20"/>
              </w:rPr>
              <w:t>B</w:t>
            </w:r>
          </w:p>
        </w:tc>
        <w:tc>
          <w:tcPr>
            <w:tcW w:w="1800" w:type="dxa"/>
            <w:shd w:val="clear" w:color="auto" w:fill="8EAADB" w:themeFill="accent1" w:themeFillTint="99"/>
            <w:vAlign w:val="center"/>
          </w:tcPr>
          <w:p w:rsidR="00D75BE4" w:rsidRPr="00307988" w:rsidP="00307988" w14:paraId="484F84B1" w14:textId="748779E7">
            <w:pPr>
              <w:jc w:val="center"/>
              <w:rPr>
                <w:iCs/>
                <w:sz w:val="20"/>
              </w:rPr>
            </w:pPr>
            <w:r w:rsidRPr="00307988">
              <w:rPr>
                <w:iCs/>
                <w:sz w:val="20"/>
              </w:rPr>
              <w:t>A x B</w:t>
            </w:r>
          </w:p>
        </w:tc>
      </w:tr>
      <w:tr w14:paraId="331CBA19" w14:textId="77777777" w:rsidTr="007628FE">
        <w:tblPrEx>
          <w:tblW w:w="9445" w:type="dxa"/>
          <w:tblLook w:val="04A0"/>
        </w:tblPrEx>
        <w:trPr>
          <w:trHeight w:val="246"/>
        </w:trPr>
        <w:tc>
          <w:tcPr>
            <w:tcW w:w="2965" w:type="dxa"/>
            <w:vAlign w:val="center"/>
          </w:tcPr>
          <w:p w:rsidR="00DC42E5" w:rsidRPr="00307988" w:rsidP="00307988" w14:paraId="53323FAC" w14:textId="5525FC1F">
            <w:pPr>
              <w:rPr>
                <w:iCs/>
                <w:sz w:val="20"/>
              </w:rPr>
            </w:pPr>
            <w:r w:rsidRPr="00307988">
              <w:rPr>
                <w:iCs/>
                <w:sz w:val="20"/>
              </w:rPr>
              <w:t xml:space="preserve">GS-12 </w:t>
            </w:r>
            <w:r w:rsidRPr="00307988" w:rsidR="00DF1EC0">
              <w:rPr>
                <w:iCs/>
                <w:sz w:val="20"/>
              </w:rPr>
              <w:t xml:space="preserve">Technical Specialist </w:t>
            </w:r>
            <w:r w:rsidRPr="00307988">
              <w:rPr>
                <w:iCs/>
                <w:sz w:val="20"/>
              </w:rPr>
              <w:t>[b]</w:t>
            </w:r>
          </w:p>
        </w:tc>
        <w:tc>
          <w:tcPr>
            <w:tcW w:w="1350" w:type="dxa"/>
            <w:vAlign w:val="center"/>
          </w:tcPr>
          <w:p w:rsidR="00DC42E5" w:rsidRPr="00307988" w:rsidP="00307988" w14:paraId="49C18AF7" w14:textId="2D46260A">
            <w:pPr>
              <w:jc w:val="center"/>
              <w:rPr>
                <w:iCs/>
                <w:sz w:val="20"/>
              </w:rPr>
            </w:pPr>
            <w:r w:rsidRPr="00307988">
              <w:rPr>
                <w:color w:val="000000"/>
                <w:sz w:val="20"/>
                <w:szCs w:val="20"/>
              </w:rPr>
              <w:t>1822</w:t>
            </w:r>
          </w:p>
        </w:tc>
        <w:tc>
          <w:tcPr>
            <w:tcW w:w="1260" w:type="dxa"/>
            <w:vAlign w:val="center"/>
          </w:tcPr>
          <w:p w:rsidR="00DC42E5" w:rsidRPr="00307988" w:rsidP="00307988" w14:paraId="20FD0BA3" w14:textId="772E17A9">
            <w:pPr>
              <w:jc w:val="center"/>
              <w:rPr>
                <w:iCs/>
                <w:sz w:val="20"/>
              </w:rPr>
            </w:pPr>
            <w:r w:rsidRPr="00307988">
              <w:rPr>
                <w:color w:val="000000"/>
                <w:sz w:val="20"/>
                <w:szCs w:val="20"/>
              </w:rPr>
              <w:t xml:space="preserve">$47.55 </w:t>
            </w:r>
          </w:p>
        </w:tc>
        <w:tc>
          <w:tcPr>
            <w:tcW w:w="2070" w:type="dxa"/>
            <w:vAlign w:val="center"/>
          </w:tcPr>
          <w:p w:rsidR="00DC42E5" w:rsidRPr="00307988" w:rsidP="00307988" w14:paraId="26B420E4" w14:textId="7A391E83">
            <w:pPr>
              <w:jc w:val="center"/>
              <w:rPr>
                <w:iCs/>
                <w:sz w:val="20"/>
              </w:rPr>
            </w:pPr>
            <w:r w:rsidRPr="00307988">
              <w:rPr>
                <w:color w:val="000000"/>
                <w:sz w:val="20"/>
                <w:szCs w:val="20"/>
              </w:rPr>
              <w:t>1.586</w:t>
            </w:r>
          </w:p>
        </w:tc>
        <w:tc>
          <w:tcPr>
            <w:tcW w:w="1800" w:type="dxa"/>
            <w:vAlign w:val="center"/>
          </w:tcPr>
          <w:p w:rsidR="00DC42E5" w:rsidRPr="00307988" w:rsidP="00307988" w14:paraId="675E98E7" w14:textId="66E27D89">
            <w:pPr>
              <w:jc w:val="center"/>
              <w:rPr>
                <w:iCs/>
                <w:sz w:val="20"/>
              </w:rPr>
            </w:pPr>
            <w:r w:rsidRPr="00307988">
              <w:rPr>
                <w:color w:val="000000"/>
                <w:sz w:val="20"/>
                <w:szCs w:val="20"/>
              </w:rPr>
              <w:t xml:space="preserve">$75.41 </w:t>
            </w:r>
          </w:p>
        </w:tc>
      </w:tr>
    </w:tbl>
    <w:p w:rsidR="00BC2CDC" w:rsidRPr="00307988" w:rsidP="00307988" w14:paraId="7020BEF5" w14:textId="77777777">
      <w:pPr>
        <w:rPr>
          <w:color w:val="000000"/>
          <w:sz w:val="20"/>
          <w:szCs w:val="20"/>
        </w:rPr>
      </w:pPr>
      <w:r w:rsidRPr="00307988">
        <w:rPr>
          <w:color w:val="000000"/>
          <w:sz w:val="20"/>
          <w:szCs w:val="20"/>
        </w:rPr>
        <w:t xml:space="preserve">Note: Hourly wage rates developed from Office of Personnel Management (OPM) September 2023 FedScope </w:t>
      </w:r>
      <w:r w:rsidRPr="00307988">
        <w:rPr>
          <w:color w:val="000000"/>
          <w:sz w:val="20"/>
          <w:szCs w:val="20"/>
        </w:rPr>
        <w:t xml:space="preserve">Employment Cube, </w:t>
      </w:r>
      <w:hyperlink r:id="rId6" w:history="1">
        <w:r w:rsidRPr="00307988">
          <w:rPr>
            <w:color w:val="0000FF"/>
            <w:sz w:val="20"/>
            <w:szCs w:val="20"/>
            <w:u w:val="single"/>
          </w:rPr>
          <w:t>http://www.fedscope.opm.gov/</w:t>
        </w:r>
      </w:hyperlink>
      <w:r w:rsidRPr="00307988">
        <w:rPr>
          <w:color w:val="000000"/>
          <w:sz w:val="20"/>
          <w:szCs w:val="20"/>
        </w:rPr>
        <w:t xml:space="preserve">. </w:t>
      </w:r>
    </w:p>
    <w:p w:rsidR="00B94D82" w:rsidRPr="00307988" w:rsidP="00307988" w14:paraId="6BAFD197" w14:textId="19F6E835">
      <w:pPr>
        <w:rPr>
          <w:color w:val="000000"/>
          <w:sz w:val="20"/>
          <w:szCs w:val="20"/>
        </w:rPr>
      </w:pPr>
      <w:bookmarkStart w:id="43" w:name="_Hlk167360775"/>
      <w:r w:rsidRPr="00307988">
        <w:rPr>
          <w:color w:val="000000"/>
          <w:sz w:val="20"/>
          <w:szCs w:val="20"/>
        </w:rPr>
        <w:t xml:space="preserve">[a] </w:t>
      </w:r>
      <w:r w:rsidRPr="00307988">
        <w:rPr>
          <w:color w:val="000000"/>
          <w:sz w:val="20"/>
          <w:szCs w:val="20"/>
        </w:rPr>
        <w:t>Benefit and overhead multiplier = 1 + (MSHA personnel benefits, travel</w:t>
      </w:r>
      <w:r w:rsidRPr="00307988" w:rsidR="005A0BDD">
        <w:rPr>
          <w:color w:val="000000"/>
          <w:sz w:val="20"/>
          <w:szCs w:val="20"/>
        </w:rPr>
        <w:t xml:space="preserve"> </w:t>
      </w:r>
      <w:bookmarkStart w:id="44" w:name="_Hlk172027222"/>
      <w:r w:rsidRPr="00307988" w:rsidR="005A0BDD">
        <w:rPr>
          <w:color w:val="000000"/>
          <w:sz w:val="20"/>
          <w:szCs w:val="20"/>
        </w:rPr>
        <w:t>and</w:t>
      </w:r>
      <w:r w:rsidRPr="00307988">
        <w:rPr>
          <w:color w:val="000000"/>
          <w:sz w:val="20"/>
          <w:szCs w:val="20"/>
        </w:rPr>
        <w:t xml:space="preserve"> </w:t>
      </w:r>
      <w:r w:rsidRPr="00307988" w:rsidR="005A0BDD">
        <w:rPr>
          <w:color w:val="000000"/>
          <w:sz w:val="20"/>
          <w:szCs w:val="20"/>
        </w:rPr>
        <w:t>transportation</w:t>
      </w:r>
      <w:bookmarkEnd w:id="44"/>
      <w:r w:rsidRPr="00307988" w:rsidR="005A0BDD">
        <w:rPr>
          <w:color w:val="000000"/>
          <w:sz w:val="20"/>
          <w:szCs w:val="20"/>
        </w:rPr>
        <w:t xml:space="preserve">, </w:t>
      </w:r>
      <w:r w:rsidRPr="00307988">
        <w:rPr>
          <w:color w:val="000000"/>
          <w:sz w:val="20"/>
          <w:szCs w:val="20"/>
        </w:rPr>
        <w:t xml:space="preserve">and rental expenses </w:t>
      </w:r>
      <w:r w:rsidRPr="00307988" w:rsidR="00E16933">
        <w:rPr>
          <w:color w:val="000000"/>
          <w:sz w:val="20"/>
          <w:szCs w:val="20"/>
        </w:rPr>
        <w:t>/</w:t>
      </w:r>
      <w:r w:rsidRPr="00307988">
        <w:rPr>
          <w:color w:val="000000"/>
          <w:sz w:val="20"/>
          <w:szCs w:val="20"/>
        </w:rPr>
        <w:t xml:space="preserve"> MSHA personnel compensation)</w:t>
      </w:r>
      <w:r w:rsidRPr="00307988" w:rsidR="0071655A">
        <w:rPr>
          <w:color w:val="000000"/>
          <w:sz w:val="20"/>
          <w:szCs w:val="20"/>
        </w:rPr>
        <w:t xml:space="preserve"> </w:t>
      </w:r>
      <w:bookmarkStart w:id="45" w:name="_Hlk172027172"/>
      <w:r w:rsidRPr="00307988" w:rsidR="0071655A">
        <w:rPr>
          <w:color w:val="000000"/>
          <w:sz w:val="20"/>
          <w:szCs w:val="20"/>
        </w:rPr>
        <w:t xml:space="preserve">= (1+ ((76,679+20+5,309+5,932+17,577+71) / 180,071) </w:t>
      </w:r>
      <w:r w:rsidRPr="00307988">
        <w:rPr>
          <w:color w:val="000000"/>
          <w:sz w:val="20"/>
          <w:szCs w:val="20"/>
        </w:rPr>
        <w:t xml:space="preserve">(FY 2024 budget submission, use FY2023 Revised Enacted Budget: </w:t>
      </w:r>
      <w:hyperlink r:id="rId7" w:history="1">
        <w:r w:rsidRPr="00307988">
          <w:rPr>
            <w:rStyle w:val="Hyperlink"/>
            <w:sz w:val="20"/>
            <w:szCs w:val="20"/>
          </w:rPr>
          <w:t>https://www.dol.gov/sites/dolgov/files/general/budget/2024/CBJ-2024-V2-13.pdf</w:t>
        </w:r>
      </w:hyperlink>
      <w:r w:rsidRPr="00307988">
        <w:rPr>
          <w:color w:val="000000"/>
          <w:sz w:val="20"/>
          <w:szCs w:val="20"/>
        </w:rPr>
        <w:t>)</w:t>
      </w:r>
      <w:bookmarkEnd w:id="45"/>
      <w:r w:rsidRPr="00307988">
        <w:rPr>
          <w:color w:val="000000"/>
          <w:sz w:val="20"/>
          <w:szCs w:val="20"/>
        </w:rPr>
        <w:t>.</w:t>
      </w:r>
    </w:p>
    <w:p w:rsidR="00FD26C5" w:rsidRPr="00307988" w:rsidP="00307988" w14:paraId="00A43573" w14:textId="4938302B">
      <w:pPr>
        <w:rPr>
          <w:color w:val="000000"/>
          <w:sz w:val="20"/>
          <w:szCs w:val="20"/>
        </w:rPr>
      </w:pPr>
      <w:r w:rsidRPr="00307988">
        <w:rPr>
          <w:color w:val="000000"/>
          <w:sz w:val="20"/>
          <w:szCs w:val="20"/>
        </w:rPr>
        <w:t xml:space="preserve">[b] </w:t>
      </w:r>
      <w:r w:rsidRPr="00307988">
        <w:rPr>
          <w:color w:val="000000"/>
          <w:sz w:val="20"/>
          <w:szCs w:val="20"/>
        </w:rPr>
        <w:t xml:space="preserve">Data search qualifiers </w:t>
      </w:r>
      <w:r w:rsidRPr="00307988" w:rsidR="00E16933">
        <w:rPr>
          <w:color w:val="000000"/>
          <w:sz w:val="20"/>
          <w:szCs w:val="20"/>
        </w:rPr>
        <w:t>a</w:t>
      </w:r>
      <w:r w:rsidRPr="00307988">
        <w:rPr>
          <w:color w:val="000000"/>
          <w:sz w:val="20"/>
          <w:szCs w:val="20"/>
        </w:rPr>
        <w:t>re: Agency = DLMS, Occupation = 1822 (Mine Safety and Health Inspection), Work Schedule = Full-Time, Salary Grade = GS-12, Measure = Average Salary. The hourly wage is the annual salary divided by 2,087. In order to include the cost of benefits and overhead, MSHA multiplie</w:t>
      </w:r>
      <w:r w:rsidRPr="00307988" w:rsidR="00E16933">
        <w:rPr>
          <w:color w:val="000000"/>
          <w:sz w:val="20"/>
          <w:szCs w:val="20"/>
        </w:rPr>
        <w:t>s</w:t>
      </w:r>
      <w:r w:rsidRPr="00307988">
        <w:rPr>
          <w:color w:val="000000"/>
          <w:sz w:val="20"/>
          <w:szCs w:val="20"/>
        </w:rPr>
        <w:t xml:space="preserve"> the average annual salary by a </w:t>
      </w:r>
      <w:r w:rsidRPr="00307988" w:rsidR="00725CCD">
        <w:rPr>
          <w:color w:val="000000"/>
          <w:sz w:val="20"/>
          <w:szCs w:val="20"/>
        </w:rPr>
        <w:t>F</w:t>
      </w:r>
      <w:r w:rsidRPr="00307988">
        <w:rPr>
          <w:color w:val="000000"/>
          <w:sz w:val="20"/>
          <w:szCs w:val="20"/>
        </w:rPr>
        <w:t xml:space="preserve">ederal benefit and overhead multiplier for MSHA of 1.586. Rate equals $75.41 = </w:t>
      </w:r>
      <w:r w:rsidRPr="00307988" w:rsidR="00404CA4">
        <w:rPr>
          <w:color w:val="000000"/>
          <w:sz w:val="20"/>
          <w:szCs w:val="20"/>
        </w:rPr>
        <w:t>(</w:t>
      </w:r>
      <w:r w:rsidRPr="00307988">
        <w:rPr>
          <w:color w:val="000000"/>
          <w:sz w:val="20"/>
          <w:szCs w:val="20"/>
        </w:rPr>
        <w:t>($99,228 / 2,087</w:t>
      </w:r>
      <w:r w:rsidRPr="00307988" w:rsidR="00404CA4">
        <w:rPr>
          <w:color w:val="000000"/>
          <w:sz w:val="20"/>
          <w:szCs w:val="20"/>
        </w:rPr>
        <w:t>)</w:t>
      </w:r>
      <w:r w:rsidRPr="00307988">
        <w:rPr>
          <w:color w:val="000000"/>
          <w:sz w:val="20"/>
          <w:szCs w:val="20"/>
        </w:rPr>
        <w:t xml:space="preserve"> x 1.586).</w:t>
      </w:r>
    </w:p>
    <w:bookmarkEnd w:id="43"/>
    <w:p w:rsidR="009A5D1D" w:rsidRPr="00307988" w:rsidP="00307988" w14:paraId="3EFD0CCB" w14:textId="77777777">
      <w:pPr>
        <w:rPr>
          <w:color w:val="000000"/>
          <w:sz w:val="18"/>
          <w:szCs w:val="18"/>
        </w:rPr>
      </w:pPr>
    </w:p>
    <w:p w:rsidR="00052BD8" w:rsidRPr="00307988" w:rsidP="00307988" w14:paraId="5E374D3A" w14:textId="24101F09">
      <w:pPr>
        <w:pStyle w:val="ListParagraph"/>
        <w:numPr>
          <w:ilvl w:val="0"/>
          <w:numId w:val="14"/>
        </w:numPr>
        <w:spacing w:after="0" w:line="240" w:lineRule="auto"/>
        <w:rPr>
          <w:rFonts w:ascii="Times New Roman" w:hAnsi="Times New Roman"/>
          <w:b/>
          <w:color w:val="000000"/>
          <w:sz w:val="24"/>
        </w:rPr>
      </w:pPr>
      <w:r w:rsidRPr="00307988">
        <w:rPr>
          <w:rFonts w:ascii="Times New Roman" w:hAnsi="Times New Roman"/>
          <w:b/>
          <w:color w:val="000000"/>
          <w:sz w:val="24"/>
        </w:rPr>
        <w:t>Review</w:t>
      </w:r>
      <w:r w:rsidRPr="00307988" w:rsidR="004639F6">
        <w:rPr>
          <w:rFonts w:ascii="Times New Roman" w:hAnsi="Times New Roman"/>
          <w:b/>
          <w:color w:val="000000"/>
          <w:sz w:val="24"/>
        </w:rPr>
        <w:t>ing</w:t>
      </w:r>
      <w:r w:rsidRPr="00307988">
        <w:rPr>
          <w:rFonts w:ascii="Times New Roman" w:hAnsi="Times New Roman"/>
          <w:b/>
          <w:color w:val="000000"/>
          <w:sz w:val="24"/>
        </w:rPr>
        <w:t xml:space="preserve"> of </w:t>
      </w:r>
      <w:r w:rsidRPr="00307988" w:rsidR="003C497A">
        <w:rPr>
          <w:rFonts w:ascii="Times New Roman" w:hAnsi="Times New Roman"/>
          <w:b/>
          <w:color w:val="000000"/>
          <w:sz w:val="24"/>
        </w:rPr>
        <w:t>Applications for Permits for</w:t>
      </w:r>
      <w:r w:rsidRPr="00307988">
        <w:rPr>
          <w:rFonts w:ascii="Times New Roman" w:hAnsi="Times New Roman"/>
          <w:b/>
          <w:color w:val="000000"/>
          <w:sz w:val="24"/>
        </w:rPr>
        <w:t xml:space="preserve"> Fir</w:t>
      </w:r>
      <w:r w:rsidRPr="00307988" w:rsidR="003C497A">
        <w:rPr>
          <w:rFonts w:ascii="Times New Roman" w:hAnsi="Times New Roman"/>
          <w:b/>
          <w:color w:val="000000"/>
          <w:sz w:val="24"/>
        </w:rPr>
        <w:t>ing</w:t>
      </w:r>
      <w:r w:rsidRPr="00307988">
        <w:rPr>
          <w:rFonts w:ascii="Times New Roman" w:hAnsi="Times New Roman"/>
          <w:b/>
          <w:color w:val="000000"/>
          <w:sz w:val="24"/>
        </w:rPr>
        <w:t xml:space="preserve"> </w:t>
      </w:r>
      <w:r w:rsidRPr="00307988" w:rsidR="003C497A">
        <w:rPr>
          <w:rFonts w:ascii="Times New Roman" w:hAnsi="Times New Roman"/>
          <w:b/>
          <w:color w:val="000000"/>
          <w:sz w:val="24"/>
        </w:rPr>
        <w:t>m</w:t>
      </w:r>
      <w:r w:rsidRPr="00307988">
        <w:rPr>
          <w:rFonts w:ascii="Times New Roman" w:hAnsi="Times New Roman"/>
          <w:b/>
          <w:color w:val="000000"/>
          <w:sz w:val="24"/>
        </w:rPr>
        <w:t>ore than 20 Boreholes and for Use of Non</w:t>
      </w:r>
      <w:r w:rsidRPr="00307988" w:rsidR="004639F6">
        <w:rPr>
          <w:rFonts w:ascii="Times New Roman" w:hAnsi="Times New Roman"/>
          <w:b/>
          <w:color w:val="000000"/>
          <w:sz w:val="24"/>
        </w:rPr>
        <w:t>p</w:t>
      </w:r>
      <w:r w:rsidRPr="00307988">
        <w:rPr>
          <w:rFonts w:ascii="Times New Roman" w:hAnsi="Times New Roman"/>
          <w:b/>
          <w:color w:val="000000"/>
          <w:sz w:val="24"/>
        </w:rPr>
        <w:t>ermissible Blasting Units, Explosives, and Shot-</w:t>
      </w:r>
      <w:r w:rsidRPr="00307988" w:rsidR="003C497A">
        <w:rPr>
          <w:rFonts w:ascii="Times New Roman" w:hAnsi="Times New Roman"/>
          <w:b/>
          <w:color w:val="000000"/>
          <w:sz w:val="24"/>
        </w:rPr>
        <w:t>F</w:t>
      </w:r>
      <w:r w:rsidRPr="00307988">
        <w:rPr>
          <w:rFonts w:ascii="Times New Roman" w:hAnsi="Times New Roman"/>
          <w:b/>
          <w:color w:val="000000"/>
          <w:sz w:val="24"/>
        </w:rPr>
        <w:t>iring Units</w:t>
      </w:r>
    </w:p>
    <w:p w:rsidR="0029325D" w:rsidRPr="00307988" w:rsidP="00307988" w14:paraId="634CDE2F" w14:textId="77777777">
      <w:pPr>
        <w:rPr>
          <w:b/>
          <w:color w:val="000000"/>
        </w:rPr>
      </w:pPr>
    </w:p>
    <w:p w:rsidR="00C4790A" w:rsidRPr="00307988" w:rsidP="00307988" w14:paraId="17E13B5D" w14:textId="630871C2">
      <w:pPr>
        <w:widowControl/>
      </w:pPr>
      <w:r w:rsidRPr="00307988">
        <w:t>Under 30 CFR 75.1321</w:t>
      </w:r>
      <w:r w:rsidRPr="00307988" w:rsidR="00F0114A">
        <w:t>(b), the District Manager</w:t>
      </w:r>
      <w:r w:rsidRPr="00307988" w:rsidR="00150533">
        <w:t>s</w:t>
      </w:r>
      <w:r w:rsidRPr="00307988" w:rsidR="00F0114A">
        <w:t xml:space="preserve"> may permit the firing of more than 20 boreholes of permissible explosives in a round where </w:t>
      </w:r>
      <w:r w:rsidRPr="00307988" w:rsidR="00D0267C">
        <w:t>the District Manager</w:t>
      </w:r>
      <w:r w:rsidRPr="00307988" w:rsidR="00BF71A6">
        <w:t>s</w:t>
      </w:r>
      <w:r w:rsidRPr="00307988" w:rsidR="00F0114A">
        <w:t xml:space="preserve"> </w:t>
      </w:r>
      <w:r w:rsidRPr="00307988" w:rsidR="00BF71A6">
        <w:t xml:space="preserve">have </w:t>
      </w:r>
      <w:r w:rsidRPr="00307988" w:rsidR="00F0114A">
        <w:t xml:space="preserve">determined that it is necessary to reduce the overall hazard to which miners are exposed during underground blasting. </w:t>
      </w:r>
      <w:r w:rsidRPr="00307988" w:rsidR="00C04FEA">
        <w:t>The District Manager</w:t>
      </w:r>
      <w:r w:rsidRPr="00307988" w:rsidR="00BF71A6">
        <w:t>s</w:t>
      </w:r>
      <w:r w:rsidRPr="00307988" w:rsidR="00C04FEA">
        <w:t xml:space="preserve"> </w:t>
      </w:r>
      <w:r w:rsidRPr="00307988">
        <w:t xml:space="preserve">may also permit the use of nonpermissible blasting units if </w:t>
      </w:r>
      <w:r w:rsidRPr="00307988" w:rsidR="00BF71A6">
        <w:t>they</w:t>
      </w:r>
      <w:r w:rsidRPr="00307988">
        <w:t xml:space="preserve"> find that a permissible blasting unit does not have adequate blasting capacity and that the use of such permissible units will create development or construction hazards.</w:t>
      </w:r>
    </w:p>
    <w:p w:rsidR="00C4790A" w:rsidRPr="00307988" w:rsidP="00307988" w14:paraId="6817BED0" w14:textId="77777777">
      <w:pPr>
        <w:widowControl/>
      </w:pPr>
    </w:p>
    <w:p w:rsidR="007D370D" w:rsidRPr="00307988" w:rsidP="00307988" w14:paraId="4027B5BF" w14:textId="345A0F76">
      <w:pPr>
        <w:widowControl/>
      </w:pPr>
      <w:r w:rsidRPr="00307988">
        <w:t>Under 30 CFR 77.1909-1, the District Manager</w:t>
      </w:r>
      <w:r w:rsidRPr="00307988" w:rsidR="00150533">
        <w:t>s</w:t>
      </w:r>
      <w:r w:rsidRPr="00307988">
        <w:t xml:space="preserve"> may approve the use of </w:t>
      </w:r>
      <w:r w:rsidRPr="00307988">
        <w:t>nonpermissible explosives and nonpermissible shot-firing units, after written application by the operator, approve the use of such explosives and shot-firing units</w:t>
      </w:r>
      <w:r w:rsidRPr="00307988" w:rsidR="00E24837">
        <w:t>,</w:t>
      </w:r>
      <w:r w:rsidRPr="00307988">
        <w:t xml:space="preserve"> and issue a permit for their use if it is determined that the use of such explosives and shot-firing units will not pose a hazard to any person during the development of a slope or shaft, and to protect the health and safety of any person exposed to such blasting.</w:t>
      </w:r>
    </w:p>
    <w:p w:rsidR="007D370D" w:rsidRPr="00307988" w:rsidP="00307988" w14:paraId="6EA195A3" w14:textId="4E74270B">
      <w:pPr>
        <w:widowControl/>
      </w:pPr>
    </w:p>
    <w:p w:rsidR="00BD2023" w:rsidRPr="00307988" w:rsidP="00307988" w14:paraId="6BEED1C8" w14:textId="4DCC2713">
      <w:pPr>
        <w:widowControl/>
      </w:pPr>
      <w:r w:rsidRPr="00307988">
        <w:t xml:space="preserve">MSHA receives </w:t>
      </w:r>
      <w:r w:rsidRPr="00307988" w:rsidR="00334081">
        <w:t>33</w:t>
      </w:r>
      <w:r w:rsidRPr="00307988">
        <w:t xml:space="preserve"> </w:t>
      </w:r>
      <w:r w:rsidRPr="00307988" w:rsidR="007D370D">
        <w:t>applications for permit</w:t>
      </w:r>
      <w:r w:rsidRPr="00307988" w:rsidR="004639F6">
        <w:t xml:space="preserve"> p</w:t>
      </w:r>
      <w:r w:rsidRPr="00307988">
        <w:t xml:space="preserve">er year. MSHA estimates that </w:t>
      </w:r>
      <w:r w:rsidRPr="00307988" w:rsidR="007D370D">
        <w:t xml:space="preserve">it </w:t>
      </w:r>
      <w:r w:rsidRPr="00307988">
        <w:t>take</w:t>
      </w:r>
      <w:r w:rsidRPr="00307988" w:rsidR="007D370D">
        <w:t>s</w:t>
      </w:r>
      <w:r w:rsidRPr="00307988">
        <w:t xml:space="preserve"> </w:t>
      </w:r>
      <w:r w:rsidRPr="00307988" w:rsidR="007D370D">
        <w:t xml:space="preserve">a MSHA GS-12 technical specialist, earning $75.41 per hour, </w:t>
      </w:r>
      <w:r w:rsidRPr="00307988">
        <w:t xml:space="preserve">4 hours to review </w:t>
      </w:r>
      <w:r w:rsidRPr="00307988" w:rsidR="004639F6">
        <w:t xml:space="preserve">a petition </w:t>
      </w:r>
      <w:r w:rsidRPr="00307988">
        <w:t>and prepar</w:t>
      </w:r>
      <w:r w:rsidRPr="00307988" w:rsidR="004639F6">
        <w:t>e</w:t>
      </w:r>
      <w:r w:rsidRPr="00307988">
        <w:t xml:space="preserve"> </w:t>
      </w:r>
      <w:r w:rsidRPr="00307988" w:rsidR="004639F6">
        <w:t>a</w:t>
      </w:r>
      <w:r w:rsidRPr="00307988">
        <w:t xml:space="preserve"> written response to</w:t>
      </w:r>
      <w:r w:rsidRPr="00307988" w:rsidR="004639F6">
        <w:t xml:space="preserve"> </w:t>
      </w:r>
      <w:r w:rsidRPr="00307988">
        <w:t xml:space="preserve">the mine operator. </w:t>
      </w:r>
    </w:p>
    <w:p w:rsidR="00BD3666" w:rsidRPr="00307988" w:rsidP="00307988" w14:paraId="71A548EC" w14:textId="0993D132">
      <w:pPr>
        <w:widowControl/>
        <w:autoSpaceDE/>
        <w:autoSpaceDN/>
        <w:adjustRightInd/>
        <w:rPr>
          <w:b/>
          <w:color w:val="000000"/>
        </w:rPr>
      </w:pPr>
    </w:p>
    <w:p w:rsidR="00D22375" w:rsidRPr="00307988" w:rsidP="00307988" w14:paraId="700A7EA9" w14:textId="72CE5BD1">
      <w:pPr>
        <w:rPr>
          <w:b/>
          <w:color w:val="000000"/>
        </w:rPr>
      </w:pPr>
      <w:r w:rsidRPr="00307988">
        <w:rPr>
          <w:b/>
          <w:color w:val="000000"/>
        </w:rPr>
        <w:t>Table 14-2</w:t>
      </w:r>
      <w:r w:rsidRPr="00307988" w:rsidR="00D73216">
        <w:rPr>
          <w:b/>
          <w:color w:val="000000"/>
        </w:rPr>
        <w:t>.</w:t>
      </w:r>
      <w:r w:rsidRPr="00307988">
        <w:rPr>
          <w:b/>
          <w:color w:val="000000"/>
        </w:rPr>
        <w:t xml:space="preserve"> Estimated Federal Hour and Cost Burden, </w:t>
      </w:r>
      <w:r w:rsidRPr="00307988" w:rsidR="00334081">
        <w:rPr>
          <w:b/>
          <w:color w:val="000000"/>
        </w:rPr>
        <w:t>Review</w:t>
      </w:r>
      <w:r w:rsidRPr="00307988" w:rsidR="007D370D">
        <w:rPr>
          <w:b/>
          <w:color w:val="000000"/>
        </w:rPr>
        <w:t>ing</w:t>
      </w:r>
      <w:r w:rsidRPr="00307988" w:rsidR="00334081">
        <w:rPr>
          <w:b/>
          <w:color w:val="000000"/>
        </w:rPr>
        <w:t xml:space="preserve"> </w:t>
      </w:r>
      <w:r w:rsidRPr="00307988" w:rsidR="007D370D">
        <w:rPr>
          <w:b/>
          <w:color w:val="000000"/>
        </w:rPr>
        <w:t>Permit Application</w:t>
      </w:r>
      <w:r w:rsidRPr="00307988" w:rsidR="00334081">
        <w:rPr>
          <w:b/>
          <w:color w:val="000000"/>
        </w:rPr>
        <w:t>s (30 CFR 75.1321</w:t>
      </w:r>
      <w:r w:rsidRPr="00307988" w:rsidR="007D370D">
        <w:rPr>
          <w:b/>
          <w:color w:val="000000"/>
        </w:rPr>
        <w:t>(b)</w:t>
      </w:r>
      <w:r w:rsidRPr="00307988" w:rsidR="00334081">
        <w:rPr>
          <w:b/>
          <w:color w:val="000000"/>
        </w:rPr>
        <w:t xml:space="preserve"> and</w:t>
      </w:r>
      <w:r w:rsidRPr="00307988" w:rsidR="007E35A8">
        <w:rPr>
          <w:b/>
          <w:color w:val="000000"/>
        </w:rPr>
        <w:t xml:space="preserve"> </w:t>
      </w:r>
      <w:r w:rsidRPr="00307988" w:rsidR="00334081">
        <w:rPr>
          <w:b/>
          <w:color w:val="000000"/>
        </w:rPr>
        <w:t>77.1909-1)</w:t>
      </w:r>
    </w:p>
    <w:tbl>
      <w:tblPr>
        <w:tblStyle w:val="TableGrid"/>
        <w:tblW w:w="9245" w:type="dxa"/>
        <w:tblInd w:w="-5" w:type="dxa"/>
        <w:tblLayout w:type="fixed"/>
        <w:tblLook w:val="04A0"/>
      </w:tblPr>
      <w:tblGrid>
        <w:gridCol w:w="2610"/>
        <w:gridCol w:w="1350"/>
        <w:gridCol w:w="1440"/>
        <w:gridCol w:w="1253"/>
        <w:gridCol w:w="1178"/>
        <w:gridCol w:w="1414"/>
      </w:tblGrid>
      <w:tr w14:paraId="3FC83096" w14:textId="77777777" w:rsidTr="002869B3">
        <w:tblPrEx>
          <w:tblW w:w="9245" w:type="dxa"/>
          <w:tblInd w:w="-5" w:type="dxa"/>
          <w:tblLayout w:type="fixed"/>
          <w:tblLook w:val="04A0"/>
        </w:tblPrEx>
        <w:trPr>
          <w:trHeight w:val="766"/>
        </w:trPr>
        <w:tc>
          <w:tcPr>
            <w:tcW w:w="2610" w:type="dxa"/>
            <w:shd w:val="clear" w:color="auto" w:fill="8EAADB" w:themeFill="accent1" w:themeFillTint="99"/>
            <w:vAlign w:val="center"/>
            <w:hideMark/>
          </w:tcPr>
          <w:p w:rsidR="00E807A0" w:rsidRPr="00307988" w:rsidP="00307988" w14:paraId="5F9D18D4" w14:textId="43B6A7B6">
            <w:pPr>
              <w:widowControl/>
              <w:autoSpaceDE/>
              <w:autoSpaceDN/>
              <w:adjustRightInd/>
              <w:rPr>
                <w:color w:val="000000"/>
                <w:sz w:val="20"/>
                <w:szCs w:val="20"/>
              </w:rPr>
            </w:pPr>
            <w:bookmarkStart w:id="46" w:name="_Hlk115692850"/>
            <w:r w:rsidRPr="00307988">
              <w:rPr>
                <w:color w:val="000000"/>
                <w:sz w:val="20"/>
                <w:szCs w:val="20"/>
              </w:rPr>
              <w:t>Federal Occupation</w:t>
            </w:r>
          </w:p>
        </w:tc>
        <w:tc>
          <w:tcPr>
            <w:tcW w:w="1350" w:type="dxa"/>
            <w:shd w:val="clear" w:color="auto" w:fill="8EAADB" w:themeFill="accent1" w:themeFillTint="99"/>
            <w:vAlign w:val="center"/>
            <w:hideMark/>
          </w:tcPr>
          <w:p w:rsidR="00E807A0" w:rsidRPr="00307988" w:rsidP="00307988" w14:paraId="28CE77D3" w14:textId="0AEA80FB">
            <w:pPr>
              <w:widowControl/>
              <w:autoSpaceDE/>
              <w:autoSpaceDN/>
              <w:adjustRightInd/>
              <w:jc w:val="center"/>
              <w:rPr>
                <w:rFonts w:eastAsia="Calibri"/>
                <w:sz w:val="20"/>
                <w:szCs w:val="20"/>
              </w:rPr>
            </w:pPr>
            <w:r w:rsidRPr="00307988">
              <w:rPr>
                <w:color w:val="000000"/>
                <w:sz w:val="20"/>
                <w:szCs w:val="20"/>
              </w:rPr>
              <w:t>Number of Responses (</w:t>
            </w:r>
            <w:r w:rsidRPr="00307988" w:rsidR="00334081">
              <w:rPr>
                <w:color w:val="000000"/>
                <w:sz w:val="20"/>
                <w:szCs w:val="20"/>
              </w:rPr>
              <w:t>Review of Petitions</w:t>
            </w:r>
            <w:r w:rsidRPr="00307988">
              <w:rPr>
                <w:color w:val="000000"/>
                <w:sz w:val="20"/>
                <w:szCs w:val="20"/>
              </w:rPr>
              <w:t>)</w:t>
            </w:r>
          </w:p>
        </w:tc>
        <w:tc>
          <w:tcPr>
            <w:tcW w:w="1440" w:type="dxa"/>
            <w:shd w:val="clear" w:color="auto" w:fill="8EAADB" w:themeFill="accent1" w:themeFillTint="99"/>
            <w:vAlign w:val="center"/>
          </w:tcPr>
          <w:p w:rsidR="00E807A0" w:rsidRPr="00307988" w:rsidP="00307988" w14:paraId="13D7A854" w14:textId="26871998">
            <w:pPr>
              <w:widowControl/>
              <w:autoSpaceDE/>
              <w:autoSpaceDN/>
              <w:adjustRightInd/>
              <w:jc w:val="center"/>
              <w:rPr>
                <w:rFonts w:eastAsia="Calibri"/>
                <w:sz w:val="20"/>
                <w:szCs w:val="20"/>
              </w:rPr>
            </w:pPr>
            <w:r w:rsidRPr="00307988">
              <w:rPr>
                <w:color w:val="000000"/>
                <w:sz w:val="20"/>
                <w:szCs w:val="20"/>
              </w:rPr>
              <w:t>Average Burden (Hours)</w:t>
            </w:r>
          </w:p>
        </w:tc>
        <w:tc>
          <w:tcPr>
            <w:tcW w:w="1253" w:type="dxa"/>
            <w:shd w:val="clear" w:color="auto" w:fill="8EAADB" w:themeFill="accent1" w:themeFillTint="99"/>
            <w:vAlign w:val="center"/>
            <w:hideMark/>
          </w:tcPr>
          <w:p w:rsidR="00E807A0" w:rsidRPr="00307988" w:rsidP="00307988" w14:paraId="53616DB7" w14:textId="27EDAC65">
            <w:pPr>
              <w:widowControl/>
              <w:autoSpaceDE/>
              <w:autoSpaceDN/>
              <w:adjustRightInd/>
              <w:jc w:val="center"/>
              <w:rPr>
                <w:rFonts w:eastAsia="Calibri"/>
                <w:sz w:val="20"/>
                <w:szCs w:val="20"/>
              </w:rPr>
            </w:pPr>
            <w:r w:rsidRPr="00307988">
              <w:rPr>
                <w:color w:val="000000"/>
                <w:sz w:val="20"/>
                <w:szCs w:val="20"/>
              </w:rPr>
              <w:t>Total Burden (Hours)</w:t>
            </w:r>
          </w:p>
        </w:tc>
        <w:tc>
          <w:tcPr>
            <w:tcW w:w="1178" w:type="dxa"/>
            <w:shd w:val="clear" w:color="auto" w:fill="8EAADB" w:themeFill="accent1" w:themeFillTint="99"/>
            <w:vAlign w:val="center"/>
            <w:hideMark/>
          </w:tcPr>
          <w:p w:rsidR="00E807A0" w:rsidRPr="00307988" w:rsidP="00307988" w14:paraId="5BBADF18" w14:textId="63FB5FCD">
            <w:pPr>
              <w:widowControl/>
              <w:autoSpaceDE/>
              <w:autoSpaceDN/>
              <w:adjustRightInd/>
              <w:jc w:val="center"/>
              <w:rPr>
                <w:rFonts w:eastAsia="Calibri"/>
                <w:sz w:val="20"/>
                <w:szCs w:val="20"/>
              </w:rPr>
            </w:pPr>
            <w:r w:rsidRPr="00307988">
              <w:rPr>
                <w:color w:val="000000"/>
                <w:sz w:val="20"/>
                <w:szCs w:val="20"/>
              </w:rPr>
              <w:t>Hourly Wage Rate</w:t>
            </w:r>
          </w:p>
        </w:tc>
        <w:tc>
          <w:tcPr>
            <w:tcW w:w="1414" w:type="dxa"/>
            <w:shd w:val="clear" w:color="auto" w:fill="8EAADB" w:themeFill="accent1" w:themeFillTint="99"/>
            <w:vAlign w:val="center"/>
            <w:hideMark/>
          </w:tcPr>
          <w:p w:rsidR="00E807A0" w:rsidRPr="00307988" w:rsidP="00307988" w14:paraId="2B0D7EDA" w14:textId="3D9735C2">
            <w:pPr>
              <w:widowControl/>
              <w:autoSpaceDE/>
              <w:autoSpaceDN/>
              <w:adjustRightInd/>
              <w:jc w:val="center"/>
              <w:rPr>
                <w:rFonts w:eastAsia="Calibri"/>
                <w:sz w:val="20"/>
                <w:szCs w:val="20"/>
              </w:rPr>
            </w:pPr>
            <w:r w:rsidRPr="00307988">
              <w:rPr>
                <w:color w:val="000000"/>
                <w:sz w:val="20"/>
                <w:szCs w:val="20"/>
              </w:rPr>
              <w:t>Total Burden Cost</w:t>
            </w:r>
          </w:p>
        </w:tc>
      </w:tr>
      <w:tr w14:paraId="5968AA4A" w14:textId="77777777" w:rsidTr="002869B3">
        <w:tblPrEx>
          <w:tblW w:w="9245" w:type="dxa"/>
          <w:tblInd w:w="-5" w:type="dxa"/>
          <w:tblLayout w:type="fixed"/>
          <w:tblLook w:val="04A0"/>
        </w:tblPrEx>
        <w:trPr>
          <w:trHeight w:val="372"/>
        </w:trPr>
        <w:tc>
          <w:tcPr>
            <w:tcW w:w="2610" w:type="dxa"/>
            <w:noWrap/>
            <w:vAlign w:val="center"/>
            <w:hideMark/>
          </w:tcPr>
          <w:p w:rsidR="00334081" w:rsidRPr="00307988" w:rsidP="00307988" w14:paraId="7DFCB797" w14:textId="6CF617BC">
            <w:pPr>
              <w:widowControl/>
              <w:autoSpaceDE/>
              <w:autoSpaceDN/>
              <w:adjustRightInd/>
              <w:rPr>
                <w:rFonts w:eastAsia="Calibri"/>
                <w:bCs/>
                <w:sz w:val="20"/>
                <w:szCs w:val="20"/>
              </w:rPr>
            </w:pPr>
            <w:r w:rsidRPr="00307988">
              <w:rPr>
                <w:color w:val="000000"/>
                <w:sz w:val="20"/>
                <w:szCs w:val="20"/>
              </w:rPr>
              <w:t xml:space="preserve">GS-12 </w:t>
            </w:r>
            <w:r w:rsidRPr="00307988" w:rsidR="00227035">
              <w:rPr>
                <w:color w:val="000000"/>
                <w:sz w:val="20"/>
                <w:szCs w:val="20"/>
              </w:rPr>
              <w:t>Technical Specialist</w:t>
            </w:r>
          </w:p>
        </w:tc>
        <w:tc>
          <w:tcPr>
            <w:tcW w:w="1350" w:type="dxa"/>
            <w:noWrap/>
            <w:vAlign w:val="center"/>
          </w:tcPr>
          <w:p w:rsidR="00334081" w:rsidRPr="00307988" w:rsidP="00307988" w14:paraId="631C1889" w14:textId="1EC9A5C7">
            <w:pPr>
              <w:widowControl/>
              <w:autoSpaceDE/>
              <w:autoSpaceDN/>
              <w:adjustRightInd/>
              <w:jc w:val="right"/>
              <w:rPr>
                <w:rFonts w:eastAsia="Calibri"/>
                <w:bCs/>
                <w:sz w:val="20"/>
                <w:szCs w:val="20"/>
              </w:rPr>
            </w:pPr>
            <w:r w:rsidRPr="00307988">
              <w:rPr>
                <w:color w:val="000000"/>
                <w:sz w:val="20"/>
                <w:szCs w:val="20"/>
              </w:rPr>
              <w:t>33</w:t>
            </w:r>
          </w:p>
        </w:tc>
        <w:tc>
          <w:tcPr>
            <w:tcW w:w="1440" w:type="dxa"/>
            <w:vAlign w:val="center"/>
          </w:tcPr>
          <w:p w:rsidR="00334081" w:rsidRPr="00307988" w:rsidP="00307988" w14:paraId="47E62333" w14:textId="38E9872E">
            <w:pPr>
              <w:widowControl/>
              <w:autoSpaceDE/>
              <w:autoSpaceDN/>
              <w:adjustRightInd/>
              <w:jc w:val="right"/>
              <w:rPr>
                <w:rFonts w:eastAsia="Calibri"/>
                <w:bCs/>
                <w:sz w:val="20"/>
                <w:szCs w:val="20"/>
              </w:rPr>
            </w:pPr>
            <w:r w:rsidRPr="00307988">
              <w:rPr>
                <w:color w:val="000000"/>
                <w:sz w:val="20"/>
                <w:szCs w:val="20"/>
              </w:rPr>
              <w:t>4.00</w:t>
            </w:r>
          </w:p>
        </w:tc>
        <w:tc>
          <w:tcPr>
            <w:tcW w:w="1253" w:type="dxa"/>
            <w:noWrap/>
            <w:vAlign w:val="center"/>
          </w:tcPr>
          <w:p w:rsidR="00334081" w:rsidRPr="00307988" w:rsidP="00307988" w14:paraId="62E136CA" w14:textId="71F3B8EA">
            <w:pPr>
              <w:widowControl/>
              <w:autoSpaceDE/>
              <w:autoSpaceDN/>
              <w:adjustRightInd/>
              <w:jc w:val="right"/>
              <w:rPr>
                <w:rFonts w:eastAsia="Calibri"/>
                <w:bCs/>
                <w:sz w:val="20"/>
                <w:szCs w:val="20"/>
              </w:rPr>
            </w:pPr>
            <w:r w:rsidRPr="00307988">
              <w:rPr>
                <w:color w:val="000000"/>
                <w:sz w:val="20"/>
                <w:szCs w:val="20"/>
              </w:rPr>
              <w:t>132</w:t>
            </w:r>
          </w:p>
        </w:tc>
        <w:tc>
          <w:tcPr>
            <w:tcW w:w="1178" w:type="dxa"/>
            <w:noWrap/>
            <w:vAlign w:val="center"/>
            <w:hideMark/>
          </w:tcPr>
          <w:p w:rsidR="00334081" w:rsidRPr="00307988" w:rsidP="00307988" w14:paraId="74FFC65C" w14:textId="37F97358">
            <w:pPr>
              <w:widowControl/>
              <w:autoSpaceDE/>
              <w:autoSpaceDN/>
              <w:adjustRightInd/>
              <w:jc w:val="right"/>
              <w:rPr>
                <w:rFonts w:eastAsia="Calibri"/>
                <w:bCs/>
                <w:sz w:val="20"/>
                <w:szCs w:val="20"/>
              </w:rPr>
            </w:pPr>
            <w:r w:rsidRPr="00307988">
              <w:rPr>
                <w:color w:val="000000"/>
                <w:sz w:val="20"/>
                <w:szCs w:val="20"/>
              </w:rPr>
              <w:t>$75.41</w:t>
            </w:r>
          </w:p>
        </w:tc>
        <w:tc>
          <w:tcPr>
            <w:tcW w:w="1414" w:type="dxa"/>
            <w:noWrap/>
            <w:vAlign w:val="center"/>
            <w:hideMark/>
          </w:tcPr>
          <w:p w:rsidR="00334081" w:rsidRPr="00307988" w:rsidP="00307988" w14:paraId="1369B59B" w14:textId="77CACE1B">
            <w:pPr>
              <w:widowControl/>
              <w:autoSpaceDE/>
              <w:autoSpaceDN/>
              <w:adjustRightInd/>
              <w:jc w:val="right"/>
              <w:rPr>
                <w:rFonts w:eastAsia="Calibri"/>
                <w:bCs/>
                <w:sz w:val="20"/>
                <w:szCs w:val="20"/>
              </w:rPr>
            </w:pPr>
            <w:r w:rsidRPr="00307988">
              <w:rPr>
                <w:color w:val="000000"/>
                <w:sz w:val="20"/>
                <w:szCs w:val="20"/>
              </w:rPr>
              <w:t xml:space="preserve">$9,954.12 </w:t>
            </w:r>
          </w:p>
        </w:tc>
      </w:tr>
      <w:tr w14:paraId="5CEB0AD0" w14:textId="77777777" w:rsidTr="002869B3">
        <w:tblPrEx>
          <w:tblW w:w="9245" w:type="dxa"/>
          <w:tblInd w:w="-5" w:type="dxa"/>
          <w:tblLayout w:type="fixed"/>
          <w:tblLook w:val="04A0"/>
        </w:tblPrEx>
        <w:trPr>
          <w:trHeight w:val="372"/>
        </w:trPr>
        <w:tc>
          <w:tcPr>
            <w:tcW w:w="2610" w:type="dxa"/>
            <w:shd w:val="clear" w:color="auto" w:fill="auto"/>
            <w:noWrap/>
            <w:vAlign w:val="center"/>
            <w:hideMark/>
          </w:tcPr>
          <w:p w:rsidR="00334081" w:rsidRPr="00307988" w:rsidP="00307988" w14:paraId="61756CF7" w14:textId="3A51EB87">
            <w:pPr>
              <w:widowControl/>
              <w:autoSpaceDE/>
              <w:autoSpaceDN/>
              <w:adjustRightInd/>
              <w:jc w:val="right"/>
              <w:rPr>
                <w:rFonts w:eastAsia="Calibri"/>
                <w:b/>
                <w:bCs/>
                <w:i/>
                <w:iCs/>
                <w:sz w:val="20"/>
                <w:szCs w:val="20"/>
              </w:rPr>
            </w:pPr>
            <w:r w:rsidRPr="00307988">
              <w:rPr>
                <w:b/>
                <w:bCs/>
                <w:i/>
                <w:iCs/>
                <w:color w:val="000000"/>
                <w:sz w:val="20"/>
                <w:szCs w:val="20"/>
              </w:rPr>
              <w:t>Subtotal (Rounded)</w:t>
            </w:r>
          </w:p>
        </w:tc>
        <w:tc>
          <w:tcPr>
            <w:tcW w:w="1350" w:type="dxa"/>
            <w:shd w:val="clear" w:color="auto" w:fill="auto"/>
            <w:vAlign w:val="center"/>
          </w:tcPr>
          <w:p w:rsidR="00334081" w:rsidRPr="00307988" w:rsidP="00307988" w14:paraId="70E2185E" w14:textId="05EE6101">
            <w:pPr>
              <w:widowControl/>
              <w:autoSpaceDE/>
              <w:autoSpaceDN/>
              <w:adjustRightInd/>
              <w:jc w:val="right"/>
              <w:rPr>
                <w:rFonts w:eastAsia="Calibri"/>
                <w:b/>
                <w:bCs/>
                <w:i/>
                <w:iCs/>
                <w:sz w:val="20"/>
                <w:szCs w:val="20"/>
              </w:rPr>
            </w:pPr>
            <w:r w:rsidRPr="00307988">
              <w:rPr>
                <w:b/>
                <w:bCs/>
                <w:i/>
                <w:iCs/>
                <w:color w:val="000000"/>
                <w:sz w:val="20"/>
                <w:szCs w:val="20"/>
              </w:rPr>
              <w:t>33</w:t>
            </w:r>
          </w:p>
        </w:tc>
        <w:tc>
          <w:tcPr>
            <w:tcW w:w="1440" w:type="dxa"/>
            <w:shd w:val="clear" w:color="auto" w:fill="000000"/>
            <w:vAlign w:val="center"/>
          </w:tcPr>
          <w:p w:rsidR="00334081" w:rsidRPr="00307988" w:rsidP="00307988" w14:paraId="2CCDC9C8" w14:textId="5BC0E8AE">
            <w:pPr>
              <w:widowControl/>
              <w:autoSpaceDE/>
              <w:autoSpaceDN/>
              <w:adjustRightInd/>
              <w:jc w:val="right"/>
              <w:rPr>
                <w:rFonts w:eastAsia="Calibri"/>
                <w:b/>
                <w:bCs/>
                <w:i/>
                <w:iCs/>
                <w:sz w:val="20"/>
                <w:szCs w:val="20"/>
              </w:rPr>
            </w:pPr>
            <w:r w:rsidRPr="00307988">
              <w:rPr>
                <w:b/>
                <w:bCs/>
                <w:i/>
                <w:iCs/>
                <w:color w:val="000000"/>
                <w:sz w:val="20"/>
                <w:szCs w:val="20"/>
              </w:rPr>
              <w:t> </w:t>
            </w:r>
          </w:p>
        </w:tc>
        <w:tc>
          <w:tcPr>
            <w:tcW w:w="1253" w:type="dxa"/>
            <w:shd w:val="clear" w:color="auto" w:fill="auto"/>
            <w:vAlign w:val="center"/>
          </w:tcPr>
          <w:p w:rsidR="00334081" w:rsidRPr="00307988" w:rsidP="00307988" w14:paraId="6DC2CC67" w14:textId="51607461">
            <w:pPr>
              <w:widowControl/>
              <w:autoSpaceDE/>
              <w:autoSpaceDN/>
              <w:adjustRightInd/>
              <w:jc w:val="right"/>
              <w:rPr>
                <w:rFonts w:eastAsia="Calibri"/>
                <w:b/>
                <w:bCs/>
                <w:i/>
                <w:iCs/>
                <w:sz w:val="20"/>
                <w:szCs w:val="20"/>
              </w:rPr>
            </w:pPr>
            <w:r w:rsidRPr="00307988">
              <w:rPr>
                <w:b/>
                <w:bCs/>
                <w:i/>
                <w:iCs/>
                <w:color w:val="000000"/>
                <w:sz w:val="20"/>
                <w:szCs w:val="20"/>
              </w:rPr>
              <w:t>132</w:t>
            </w:r>
          </w:p>
        </w:tc>
        <w:tc>
          <w:tcPr>
            <w:tcW w:w="1178" w:type="dxa"/>
            <w:shd w:val="clear" w:color="auto" w:fill="000000"/>
            <w:noWrap/>
            <w:vAlign w:val="center"/>
            <w:hideMark/>
          </w:tcPr>
          <w:p w:rsidR="00334081" w:rsidRPr="00307988" w:rsidP="00307988" w14:paraId="652887F2" w14:textId="2CA929B4">
            <w:pPr>
              <w:widowControl/>
              <w:autoSpaceDE/>
              <w:autoSpaceDN/>
              <w:adjustRightInd/>
              <w:jc w:val="right"/>
              <w:rPr>
                <w:rFonts w:eastAsia="Calibri"/>
                <w:b/>
                <w:bCs/>
                <w:i/>
                <w:iCs/>
                <w:sz w:val="20"/>
                <w:szCs w:val="20"/>
              </w:rPr>
            </w:pPr>
            <w:r w:rsidRPr="00307988">
              <w:rPr>
                <w:b/>
                <w:bCs/>
                <w:i/>
                <w:iCs/>
                <w:color w:val="000000"/>
                <w:sz w:val="20"/>
                <w:szCs w:val="20"/>
              </w:rPr>
              <w:t> </w:t>
            </w:r>
          </w:p>
        </w:tc>
        <w:tc>
          <w:tcPr>
            <w:tcW w:w="1414" w:type="dxa"/>
            <w:shd w:val="clear" w:color="auto" w:fill="auto"/>
            <w:noWrap/>
            <w:vAlign w:val="center"/>
            <w:hideMark/>
          </w:tcPr>
          <w:p w:rsidR="00334081" w:rsidRPr="00307988" w:rsidP="00307988" w14:paraId="5EF44AEB" w14:textId="73C56E7C">
            <w:pPr>
              <w:widowControl/>
              <w:autoSpaceDE/>
              <w:autoSpaceDN/>
              <w:adjustRightInd/>
              <w:jc w:val="right"/>
              <w:rPr>
                <w:rFonts w:eastAsia="Calibri"/>
                <w:b/>
                <w:bCs/>
                <w:i/>
                <w:iCs/>
                <w:sz w:val="20"/>
                <w:szCs w:val="20"/>
              </w:rPr>
            </w:pPr>
            <w:r w:rsidRPr="00307988">
              <w:rPr>
                <w:b/>
                <w:bCs/>
                <w:i/>
                <w:iCs/>
                <w:color w:val="000000"/>
                <w:sz w:val="20"/>
                <w:szCs w:val="20"/>
              </w:rPr>
              <w:t xml:space="preserve">$9,954 </w:t>
            </w:r>
          </w:p>
        </w:tc>
      </w:tr>
    </w:tbl>
    <w:bookmarkEnd w:id="46"/>
    <w:p w:rsidR="001576A1" w:rsidRPr="00307988" w:rsidP="00307988" w14:paraId="09F7F9DE" w14:textId="043D2614">
      <w:pPr>
        <w:tabs>
          <w:tab w:val="left" w:pos="2496"/>
        </w:tabs>
        <w:rPr>
          <w:b/>
          <w:bCs/>
          <w:color w:val="000000"/>
        </w:rPr>
      </w:pPr>
      <w:r w:rsidRPr="00307988">
        <w:rPr>
          <w:b/>
          <w:bCs/>
          <w:color w:val="000000"/>
        </w:rPr>
        <w:tab/>
      </w:r>
    </w:p>
    <w:p w:rsidR="00DB2DFB" w:rsidRPr="00307988" w:rsidP="00307988" w14:paraId="2EC81F02" w14:textId="77777777">
      <w:pPr>
        <w:pStyle w:val="Default"/>
        <w:rPr>
          <w:rFonts w:ascii="Times New Roman" w:hAnsi="Times New Roman" w:cs="Times New Roman"/>
          <w:b/>
          <w:bCs/>
        </w:rPr>
      </w:pPr>
      <w:r w:rsidRPr="00307988">
        <w:rPr>
          <w:rFonts w:ascii="Times New Roman" w:hAnsi="Times New Roman" w:cs="Times New Roman"/>
          <w:b/>
          <w:bCs/>
        </w:rPr>
        <w:t>Cost Summary to the Federal Government</w:t>
      </w:r>
    </w:p>
    <w:p w:rsidR="00DB2DFB" w:rsidRPr="00307988" w:rsidP="00307988" w14:paraId="4E5A4D2B" w14:textId="77777777">
      <w:pPr>
        <w:pStyle w:val="Default"/>
        <w:tabs>
          <w:tab w:val="left" w:pos="9000"/>
          <w:tab w:val="left" w:pos="9090"/>
        </w:tabs>
        <w:rPr>
          <w:rFonts w:ascii="Times New Roman" w:hAnsi="Times New Roman" w:cs="Times New Roman"/>
          <w:b/>
          <w:bCs/>
        </w:rPr>
      </w:pPr>
    </w:p>
    <w:p w:rsidR="00DB2DFB" w:rsidRPr="00307988" w:rsidP="00307988" w14:paraId="794F425C" w14:textId="77777777">
      <w:pPr>
        <w:widowControl/>
      </w:pPr>
      <w:r w:rsidRPr="00307988">
        <w:t>The annual cost burden to the Federal government is summarized in the summary table below.</w:t>
      </w:r>
    </w:p>
    <w:p w:rsidR="00DB2DFB" w:rsidRPr="00307988" w:rsidP="00307988" w14:paraId="70B1B828" w14:textId="77777777">
      <w:pPr>
        <w:tabs>
          <w:tab w:val="left" w:pos="9000"/>
          <w:tab w:val="left" w:pos="9090"/>
        </w:tabs>
        <w:rPr>
          <w:b/>
          <w:bCs/>
        </w:rPr>
      </w:pPr>
    </w:p>
    <w:p w:rsidR="00DC42E5" w:rsidRPr="00307988" w:rsidP="00307988" w14:paraId="7DBC2097" w14:textId="326691F4">
      <w:pPr>
        <w:rPr>
          <w:b/>
          <w:color w:val="000000"/>
        </w:rPr>
      </w:pPr>
      <w:r w:rsidRPr="00307988">
        <w:rPr>
          <w:b/>
          <w:color w:val="000000"/>
        </w:rPr>
        <w:t>Table 14-3. Estimated Federal Hour and Cost Burden, Summary</w:t>
      </w:r>
    </w:p>
    <w:tbl>
      <w:tblPr>
        <w:tblStyle w:val="TableGrid"/>
        <w:tblW w:w="9245" w:type="dxa"/>
        <w:tblInd w:w="-5" w:type="dxa"/>
        <w:tblLayout w:type="fixed"/>
        <w:tblLook w:val="04A0"/>
      </w:tblPr>
      <w:tblGrid>
        <w:gridCol w:w="2610"/>
        <w:gridCol w:w="1350"/>
        <w:gridCol w:w="1440"/>
        <w:gridCol w:w="1253"/>
        <w:gridCol w:w="1178"/>
        <w:gridCol w:w="1414"/>
      </w:tblGrid>
      <w:tr w14:paraId="0E7A6076" w14:textId="77777777" w:rsidTr="001038E8">
        <w:tblPrEx>
          <w:tblW w:w="9245" w:type="dxa"/>
          <w:tblInd w:w="-5" w:type="dxa"/>
          <w:tblLayout w:type="fixed"/>
          <w:tblLook w:val="04A0"/>
        </w:tblPrEx>
        <w:trPr>
          <w:trHeight w:val="766"/>
        </w:trPr>
        <w:tc>
          <w:tcPr>
            <w:tcW w:w="2610" w:type="dxa"/>
            <w:shd w:val="clear" w:color="auto" w:fill="8EAADB" w:themeFill="accent1" w:themeFillTint="99"/>
            <w:vAlign w:val="center"/>
            <w:hideMark/>
          </w:tcPr>
          <w:p w:rsidR="00943646" w:rsidRPr="00307988" w:rsidP="00307988" w14:paraId="353B47BA" w14:textId="552F4267">
            <w:pPr>
              <w:widowControl/>
              <w:autoSpaceDE/>
              <w:autoSpaceDN/>
              <w:adjustRightInd/>
              <w:rPr>
                <w:color w:val="000000"/>
                <w:sz w:val="20"/>
                <w:szCs w:val="20"/>
              </w:rPr>
            </w:pPr>
            <w:r w:rsidRPr="00307988">
              <w:rPr>
                <w:color w:val="000000"/>
                <w:sz w:val="20"/>
                <w:szCs w:val="20"/>
              </w:rPr>
              <w:t>Activity</w:t>
            </w:r>
          </w:p>
        </w:tc>
        <w:tc>
          <w:tcPr>
            <w:tcW w:w="1350" w:type="dxa"/>
            <w:shd w:val="clear" w:color="auto" w:fill="8EAADB" w:themeFill="accent1" w:themeFillTint="99"/>
            <w:vAlign w:val="center"/>
            <w:hideMark/>
          </w:tcPr>
          <w:p w:rsidR="00943646" w:rsidRPr="00307988" w:rsidP="00307988" w14:paraId="3E3B829D" w14:textId="2A69F3C3">
            <w:pPr>
              <w:widowControl/>
              <w:autoSpaceDE/>
              <w:autoSpaceDN/>
              <w:adjustRightInd/>
              <w:jc w:val="center"/>
              <w:rPr>
                <w:rFonts w:eastAsia="Calibri"/>
                <w:sz w:val="20"/>
                <w:szCs w:val="20"/>
              </w:rPr>
            </w:pPr>
            <w:r w:rsidRPr="00307988">
              <w:rPr>
                <w:color w:val="000000"/>
                <w:sz w:val="20"/>
                <w:szCs w:val="20"/>
              </w:rPr>
              <w:t>Number of Responses</w:t>
            </w:r>
          </w:p>
        </w:tc>
        <w:tc>
          <w:tcPr>
            <w:tcW w:w="1440" w:type="dxa"/>
            <w:shd w:val="clear" w:color="auto" w:fill="8EAADB" w:themeFill="accent1" w:themeFillTint="99"/>
            <w:vAlign w:val="center"/>
          </w:tcPr>
          <w:p w:rsidR="00943646" w:rsidRPr="00307988" w:rsidP="00307988" w14:paraId="0C0E84EC" w14:textId="1DF1340B">
            <w:pPr>
              <w:widowControl/>
              <w:autoSpaceDE/>
              <w:autoSpaceDN/>
              <w:adjustRightInd/>
              <w:jc w:val="center"/>
              <w:rPr>
                <w:rFonts w:eastAsia="Calibri"/>
                <w:sz w:val="20"/>
                <w:szCs w:val="20"/>
              </w:rPr>
            </w:pPr>
            <w:r w:rsidRPr="00307988">
              <w:rPr>
                <w:color w:val="000000"/>
                <w:sz w:val="20"/>
                <w:szCs w:val="20"/>
              </w:rPr>
              <w:t xml:space="preserve">Average Burden </w:t>
            </w:r>
            <w:r w:rsidRPr="00307988" w:rsidR="004639F6">
              <w:rPr>
                <w:color w:val="000000"/>
                <w:sz w:val="20"/>
                <w:szCs w:val="20"/>
              </w:rPr>
              <w:t xml:space="preserve">per Response </w:t>
            </w:r>
            <w:r w:rsidRPr="00307988">
              <w:rPr>
                <w:color w:val="000000"/>
                <w:sz w:val="20"/>
                <w:szCs w:val="20"/>
              </w:rPr>
              <w:t>(Hours)</w:t>
            </w:r>
          </w:p>
        </w:tc>
        <w:tc>
          <w:tcPr>
            <w:tcW w:w="1253" w:type="dxa"/>
            <w:shd w:val="clear" w:color="auto" w:fill="8EAADB" w:themeFill="accent1" w:themeFillTint="99"/>
            <w:vAlign w:val="center"/>
            <w:hideMark/>
          </w:tcPr>
          <w:p w:rsidR="00943646" w:rsidRPr="00307988" w:rsidP="00307988" w14:paraId="240E1AF1" w14:textId="3C795141">
            <w:pPr>
              <w:widowControl/>
              <w:autoSpaceDE/>
              <w:autoSpaceDN/>
              <w:adjustRightInd/>
              <w:jc w:val="center"/>
              <w:rPr>
                <w:rFonts w:eastAsia="Calibri"/>
                <w:sz w:val="20"/>
                <w:szCs w:val="20"/>
              </w:rPr>
            </w:pPr>
            <w:r w:rsidRPr="00307988">
              <w:rPr>
                <w:color w:val="000000"/>
                <w:sz w:val="20"/>
                <w:szCs w:val="20"/>
              </w:rPr>
              <w:t>Total Burden (Hours)</w:t>
            </w:r>
          </w:p>
        </w:tc>
        <w:tc>
          <w:tcPr>
            <w:tcW w:w="1178" w:type="dxa"/>
            <w:shd w:val="clear" w:color="auto" w:fill="8EAADB" w:themeFill="accent1" w:themeFillTint="99"/>
            <w:vAlign w:val="center"/>
            <w:hideMark/>
          </w:tcPr>
          <w:p w:rsidR="00943646" w:rsidRPr="00307988" w:rsidP="00307988" w14:paraId="4C2C54C9" w14:textId="44E7E90D">
            <w:pPr>
              <w:widowControl/>
              <w:autoSpaceDE/>
              <w:autoSpaceDN/>
              <w:adjustRightInd/>
              <w:jc w:val="center"/>
              <w:rPr>
                <w:rFonts w:eastAsia="Calibri"/>
                <w:sz w:val="20"/>
                <w:szCs w:val="20"/>
              </w:rPr>
            </w:pPr>
            <w:r w:rsidRPr="00307988">
              <w:rPr>
                <w:color w:val="000000"/>
                <w:sz w:val="20"/>
                <w:szCs w:val="20"/>
              </w:rPr>
              <w:t>Hourly Wage Rate</w:t>
            </w:r>
          </w:p>
        </w:tc>
        <w:tc>
          <w:tcPr>
            <w:tcW w:w="1414" w:type="dxa"/>
            <w:shd w:val="clear" w:color="auto" w:fill="8EAADB" w:themeFill="accent1" w:themeFillTint="99"/>
            <w:vAlign w:val="center"/>
            <w:hideMark/>
          </w:tcPr>
          <w:p w:rsidR="00943646" w:rsidRPr="00307988" w:rsidP="00307988" w14:paraId="5BBD7690" w14:textId="47926DC1">
            <w:pPr>
              <w:widowControl/>
              <w:autoSpaceDE/>
              <w:autoSpaceDN/>
              <w:adjustRightInd/>
              <w:jc w:val="center"/>
              <w:rPr>
                <w:rFonts w:eastAsia="Calibri"/>
                <w:sz w:val="20"/>
                <w:szCs w:val="20"/>
              </w:rPr>
            </w:pPr>
            <w:r w:rsidRPr="00307988">
              <w:rPr>
                <w:color w:val="000000"/>
                <w:sz w:val="20"/>
                <w:szCs w:val="20"/>
              </w:rPr>
              <w:t>Total Burden Cost</w:t>
            </w:r>
          </w:p>
        </w:tc>
      </w:tr>
      <w:tr w14:paraId="0F9363A4" w14:textId="77777777" w:rsidTr="001038E8">
        <w:tblPrEx>
          <w:tblW w:w="9245" w:type="dxa"/>
          <w:tblInd w:w="-5" w:type="dxa"/>
          <w:tblLayout w:type="fixed"/>
          <w:tblLook w:val="04A0"/>
        </w:tblPrEx>
        <w:trPr>
          <w:trHeight w:val="372"/>
        </w:trPr>
        <w:tc>
          <w:tcPr>
            <w:tcW w:w="2610" w:type="dxa"/>
            <w:noWrap/>
            <w:vAlign w:val="center"/>
            <w:hideMark/>
          </w:tcPr>
          <w:p w:rsidR="00943646" w:rsidRPr="00307988" w:rsidP="00307988" w14:paraId="07D342CC" w14:textId="4D6EEF54">
            <w:pPr>
              <w:rPr>
                <w:rFonts w:eastAsia="Calibri"/>
                <w:bCs/>
                <w:sz w:val="20"/>
                <w:szCs w:val="20"/>
              </w:rPr>
            </w:pPr>
            <w:r w:rsidRPr="00307988">
              <w:rPr>
                <w:color w:val="000000"/>
                <w:sz w:val="20"/>
                <w:szCs w:val="20"/>
              </w:rPr>
              <w:t xml:space="preserve">I. </w:t>
            </w:r>
            <w:r w:rsidRPr="00307988">
              <w:rPr>
                <w:color w:val="000000"/>
                <w:sz w:val="20"/>
                <w:szCs w:val="20"/>
              </w:rPr>
              <w:t>Review</w:t>
            </w:r>
            <w:r w:rsidRPr="00307988" w:rsidR="004639F6">
              <w:rPr>
                <w:color w:val="000000"/>
                <w:sz w:val="20"/>
                <w:szCs w:val="20"/>
              </w:rPr>
              <w:t>ing</w:t>
            </w:r>
            <w:r w:rsidRPr="00307988">
              <w:rPr>
                <w:color w:val="000000"/>
                <w:sz w:val="20"/>
                <w:szCs w:val="20"/>
              </w:rPr>
              <w:t xml:space="preserve"> </w:t>
            </w:r>
            <w:r w:rsidRPr="00307988" w:rsidR="00B23234">
              <w:rPr>
                <w:color w:val="000000"/>
                <w:sz w:val="20"/>
                <w:szCs w:val="20"/>
              </w:rPr>
              <w:t>Permit Applications</w:t>
            </w:r>
          </w:p>
        </w:tc>
        <w:tc>
          <w:tcPr>
            <w:tcW w:w="1350" w:type="dxa"/>
            <w:noWrap/>
            <w:vAlign w:val="center"/>
          </w:tcPr>
          <w:p w:rsidR="00943646" w:rsidRPr="00307988" w:rsidP="00307988" w14:paraId="4EB63ADD" w14:textId="023783F5">
            <w:pPr>
              <w:widowControl/>
              <w:autoSpaceDE/>
              <w:autoSpaceDN/>
              <w:adjustRightInd/>
              <w:jc w:val="right"/>
              <w:rPr>
                <w:rFonts w:eastAsia="Calibri"/>
                <w:bCs/>
                <w:sz w:val="20"/>
                <w:szCs w:val="20"/>
              </w:rPr>
            </w:pPr>
            <w:r w:rsidRPr="00307988">
              <w:rPr>
                <w:color w:val="000000"/>
                <w:sz w:val="20"/>
                <w:szCs w:val="20"/>
              </w:rPr>
              <w:t>33</w:t>
            </w:r>
          </w:p>
        </w:tc>
        <w:tc>
          <w:tcPr>
            <w:tcW w:w="1440" w:type="dxa"/>
            <w:vAlign w:val="center"/>
          </w:tcPr>
          <w:p w:rsidR="00943646" w:rsidRPr="00307988" w:rsidP="00307988" w14:paraId="3FFD1750" w14:textId="26CDF678">
            <w:pPr>
              <w:widowControl/>
              <w:autoSpaceDE/>
              <w:autoSpaceDN/>
              <w:adjustRightInd/>
              <w:jc w:val="right"/>
              <w:rPr>
                <w:rFonts w:eastAsia="Calibri"/>
                <w:bCs/>
                <w:sz w:val="20"/>
                <w:szCs w:val="20"/>
              </w:rPr>
            </w:pPr>
            <w:r w:rsidRPr="00307988">
              <w:rPr>
                <w:color w:val="000000"/>
                <w:sz w:val="20"/>
                <w:szCs w:val="20"/>
              </w:rPr>
              <w:t>4.00</w:t>
            </w:r>
          </w:p>
        </w:tc>
        <w:tc>
          <w:tcPr>
            <w:tcW w:w="1253" w:type="dxa"/>
            <w:noWrap/>
            <w:vAlign w:val="center"/>
          </w:tcPr>
          <w:p w:rsidR="00943646" w:rsidRPr="00307988" w:rsidP="00307988" w14:paraId="6B742888" w14:textId="4675105E">
            <w:pPr>
              <w:widowControl/>
              <w:autoSpaceDE/>
              <w:autoSpaceDN/>
              <w:adjustRightInd/>
              <w:jc w:val="right"/>
              <w:rPr>
                <w:rFonts w:eastAsia="Calibri"/>
                <w:bCs/>
                <w:sz w:val="20"/>
                <w:szCs w:val="20"/>
              </w:rPr>
            </w:pPr>
            <w:r w:rsidRPr="00307988">
              <w:rPr>
                <w:color w:val="000000"/>
                <w:sz w:val="20"/>
                <w:szCs w:val="20"/>
              </w:rPr>
              <w:t>132</w:t>
            </w:r>
          </w:p>
        </w:tc>
        <w:tc>
          <w:tcPr>
            <w:tcW w:w="1178" w:type="dxa"/>
            <w:noWrap/>
            <w:vAlign w:val="center"/>
            <w:hideMark/>
          </w:tcPr>
          <w:p w:rsidR="00943646" w:rsidRPr="00307988" w:rsidP="00307988" w14:paraId="6243ECC1" w14:textId="245CC57F">
            <w:pPr>
              <w:widowControl/>
              <w:autoSpaceDE/>
              <w:autoSpaceDN/>
              <w:adjustRightInd/>
              <w:jc w:val="right"/>
              <w:rPr>
                <w:rFonts w:eastAsia="Calibri"/>
                <w:bCs/>
                <w:sz w:val="20"/>
                <w:szCs w:val="20"/>
              </w:rPr>
            </w:pPr>
            <w:r w:rsidRPr="00307988">
              <w:rPr>
                <w:color w:val="000000"/>
                <w:sz w:val="20"/>
                <w:szCs w:val="20"/>
              </w:rPr>
              <w:t>$75.41</w:t>
            </w:r>
          </w:p>
        </w:tc>
        <w:tc>
          <w:tcPr>
            <w:tcW w:w="1414" w:type="dxa"/>
            <w:noWrap/>
            <w:vAlign w:val="center"/>
            <w:hideMark/>
          </w:tcPr>
          <w:p w:rsidR="00943646" w:rsidRPr="00307988" w:rsidP="00307988" w14:paraId="62DE91FC" w14:textId="318F6AE1">
            <w:pPr>
              <w:widowControl/>
              <w:autoSpaceDE/>
              <w:autoSpaceDN/>
              <w:adjustRightInd/>
              <w:jc w:val="right"/>
              <w:rPr>
                <w:rFonts w:eastAsia="Calibri"/>
                <w:bCs/>
                <w:sz w:val="20"/>
                <w:szCs w:val="20"/>
              </w:rPr>
            </w:pPr>
            <w:r w:rsidRPr="00307988">
              <w:rPr>
                <w:color w:val="000000"/>
                <w:sz w:val="20"/>
                <w:szCs w:val="20"/>
              </w:rPr>
              <w:t>$9,954.12</w:t>
            </w:r>
          </w:p>
        </w:tc>
      </w:tr>
      <w:tr w14:paraId="72D5B3CC" w14:textId="77777777" w:rsidTr="001038E8">
        <w:tblPrEx>
          <w:tblW w:w="9245" w:type="dxa"/>
          <w:tblInd w:w="-5" w:type="dxa"/>
          <w:tblLayout w:type="fixed"/>
          <w:tblLook w:val="04A0"/>
        </w:tblPrEx>
        <w:trPr>
          <w:trHeight w:val="372"/>
        </w:trPr>
        <w:tc>
          <w:tcPr>
            <w:tcW w:w="2610" w:type="dxa"/>
            <w:shd w:val="clear" w:color="auto" w:fill="auto"/>
            <w:noWrap/>
            <w:vAlign w:val="center"/>
            <w:hideMark/>
          </w:tcPr>
          <w:p w:rsidR="00943646" w:rsidRPr="00307988" w:rsidP="00307988" w14:paraId="24623E0E" w14:textId="33E04348">
            <w:pPr>
              <w:widowControl/>
              <w:autoSpaceDE/>
              <w:autoSpaceDN/>
              <w:adjustRightInd/>
              <w:jc w:val="right"/>
              <w:rPr>
                <w:rFonts w:eastAsia="Calibri"/>
                <w:b/>
                <w:bCs/>
                <w:i/>
                <w:iCs/>
                <w:sz w:val="20"/>
                <w:szCs w:val="20"/>
              </w:rPr>
            </w:pPr>
            <w:r w:rsidRPr="00307988">
              <w:rPr>
                <w:rFonts w:eastAsia="Calibri"/>
                <w:b/>
                <w:bCs/>
                <w:i/>
                <w:iCs/>
                <w:sz w:val="20"/>
                <w:szCs w:val="20"/>
              </w:rPr>
              <w:t>T</w:t>
            </w:r>
            <w:r w:rsidRPr="00307988">
              <w:rPr>
                <w:rFonts w:eastAsia="Calibri"/>
                <w:b/>
                <w:bCs/>
                <w:i/>
                <w:iCs/>
                <w:sz w:val="20"/>
                <w:szCs w:val="20"/>
              </w:rPr>
              <w:t>otal (Rounded)</w:t>
            </w:r>
          </w:p>
        </w:tc>
        <w:tc>
          <w:tcPr>
            <w:tcW w:w="1350" w:type="dxa"/>
            <w:shd w:val="clear" w:color="auto" w:fill="auto"/>
            <w:vAlign w:val="center"/>
          </w:tcPr>
          <w:p w:rsidR="00943646" w:rsidRPr="00307988" w:rsidP="00307988" w14:paraId="67F370C1" w14:textId="66040CD5">
            <w:pPr>
              <w:widowControl/>
              <w:autoSpaceDE/>
              <w:autoSpaceDN/>
              <w:adjustRightInd/>
              <w:jc w:val="right"/>
              <w:rPr>
                <w:rFonts w:eastAsia="Calibri"/>
                <w:b/>
                <w:bCs/>
                <w:i/>
                <w:iCs/>
                <w:sz w:val="20"/>
                <w:szCs w:val="20"/>
              </w:rPr>
            </w:pPr>
            <w:r w:rsidRPr="00307988">
              <w:rPr>
                <w:b/>
                <w:bCs/>
                <w:i/>
                <w:iCs/>
                <w:color w:val="000000"/>
                <w:sz w:val="20"/>
                <w:szCs w:val="20"/>
              </w:rPr>
              <w:t>33</w:t>
            </w:r>
          </w:p>
        </w:tc>
        <w:tc>
          <w:tcPr>
            <w:tcW w:w="1440" w:type="dxa"/>
            <w:shd w:val="clear" w:color="auto" w:fill="000000"/>
            <w:vAlign w:val="center"/>
          </w:tcPr>
          <w:p w:rsidR="00943646" w:rsidRPr="00307988" w:rsidP="00307988" w14:paraId="01399BDF" w14:textId="446D3214">
            <w:pPr>
              <w:widowControl/>
              <w:autoSpaceDE/>
              <w:autoSpaceDN/>
              <w:adjustRightInd/>
              <w:jc w:val="right"/>
              <w:rPr>
                <w:rFonts w:eastAsia="Calibri"/>
                <w:b/>
                <w:bCs/>
                <w:i/>
                <w:iCs/>
                <w:sz w:val="20"/>
                <w:szCs w:val="20"/>
              </w:rPr>
            </w:pPr>
            <w:r w:rsidRPr="00307988">
              <w:rPr>
                <w:b/>
                <w:bCs/>
                <w:i/>
                <w:iCs/>
                <w:color w:val="000000"/>
                <w:sz w:val="20"/>
                <w:szCs w:val="20"/>
              </w:rPr>
              <w:t> </w:t>
            </w:r>
          </w:p>
        </w:tc>
        <w:tc>
          <w:tcPr>
            <w:tcW w:w="1253" w:type="dxa"/>
            <w:shd w:val="clear" w:color="auto" w:fill="auto"/>
            <w:vAlign w:val="center"/>
          </w:tcPr>
          <w:p w:rsidR="00943646" w:rsidRPr="00307988" w:rsidP="00307988" w14:paraId="1A1D61E0" w14:textId="2C26F5EB">
            <w:pPr>
              <w:widowControl/>
              <w:autoSpaceDE/>
              <w:autoSpaceDN/>
              <w:adjustRightInd/>
              <w:jc w:val="right"/>
              <w:rPr>
                <w:rFonts w:eastAsia="Calibri"/>
                <w:b/>
                <w:bCs/>
                <w:i/>
                <w:iCs/>
                <w:sz w:val="20"/>
                <w:szCs w:val="20"/>
              </w:rPr>
            </w:pPr>
            <w:r w:rsidRPr="00307988">
              <w:rPr>
                <w:b/>
                <w:bCs/>
                <w:i/>
                <w:iCs/>
                <w:color w:val="000000"/>
                <w:sz w:val="20"/>
                <w:szCs w:val="20"/>
              </w:rPr>
              <w:t>132</w:t>
            </w:r>
          </w:p>
        </w:tc>
        <w:tc>
          <w:tcPr>
            <w:tcW w:w="1178" w:type="dxa"/>
            <w:shd w:val="clear" w:color="auto" w:fill="000000"/>
            <w:noWrap/>
            <w:vAlign w:val="center"/>
            <w:hideMark/>
          </w:tcPr>
          <w:p w:rsidR="00943646" w:rsidRPr="00307988" w:rsidP="00307988" w14:paraId="74409A20" w14:textId="6DB50B3D">
            <w:pPr>
              <w:widowControl/>
              <w:autoSpaceDE/>
              <w:autoSpaceDN/>
              <w:adjustRightInd/>
              <w:jc w:val="right"/>
              <w:rPr>
                <w:rFonts w:eastAsia="Calibri"/>
                <w:b/>
                <w:bCs/>
                <w:i/>
                <w:iCs/>
                <w:sz w:val="20"/>
                <w:szCs w:val="20"/>
              </w:rPr>
            </w:pPr>
            <w:r w:rsidRPr="00307988">
              <w:rPr>
                <w:b/>
                <w:bCs/>
                <w:i/>
                <w:iCs/>
                <w:color w:val="000000"/>
                <w:sz w:val="20"/>
                <w:szCs w:val="20"/>
              </w:rPr>
              <w:t> </w:t>
            </w:r>
          </w:p>
        </w:tc>
        <w:tc>
          <w:tcPr>
            <w:tcW w:w="1414" w:type="dxa"/>
            <w:shd w:val="clear" w:color="auto" w:fill="auto"/>
            <w:noWrap/>
            <w:vAlign w:val="center"/>
            <w:hideMark/>
          </w:tcPr>
          <w:p w:rsidR="00943646" w:rsidRPr="00307988" w:rsidP="00307988" w14:paraId="6D65BB77" w14:textId="3C273F84">
            <w:pPr>
              <w:widowControl/>
              <w:autoSpaceDE/>
              <w:autoSpaceDN/>
              <w:adjustRightInd/>
              <w:jc w:val="right"/>
              <w:rPr>
                <w:rFonts w:eastAsia="Calibri"/>
                <w:b/>
                <w:bCs/>
                <w:i/>
                <w:iCs/>
                <w:sz w:val="20"/>
                <w:szCs w:val="20"/>
              </w:rPr>
            </w:pPr>
            <w:r w:rsidRPr="00307988">
              <w:rPr>
                <w:b/>
                <w:bCs/>
                <w:i/>
                <w:iCs/>
                <w:color w:val="000000"/>
                <w:sz w:val="20"/>
                <w:szCs w:val="20"/>
              </w:rPr>
              <w:t>$9,954</w:t>
            </w:r>
          </w:p>
        </w:tc>
      </w:tr>
    </w:tbl>
    <w:p w:rsidR="00DB2DFB" w:rsidRPr="00307988" w:rsidP="00307988" w14:paraId="23EA844D" w14:textId="77777777">
      <w:pPr>
        <w:tabs>
          <w:tab w:val="left" w:pos="2496"/>
        </w:tabs>
        <w:rPr>
          <w:b/>
          <w:bCs/>
          <w:color w:val="000000"/>
        </w:rPr>
      </w:pPr>
    </w:p>
    <w:p w:rsidR="00DB2DFB" w:rsidRPr="00307988" w:rsidP="00307988" w14:paraId="6096B359" w14:textId="77777777">
      <w:pPr>
        <w:tabs>
          <w:tab w:val="left" w:pos="2496"/>
        </w:tabs>
        <w:rPr>
          <w:b/>
          <w:bCs/>
          <w:color w:val="000000"/>
        </w:rPr>
      </w:pPr>
    </w:p>
    <w:p w:rsidR="008F7DDE" w:rsidRPr="00307988" w:rsidP="00307988" w14:paraId="59DEF6F8" w14:textId="3D81EBDC">
      <w:pPr>
        <w:rPr>
          <w:b/>
          <w:bCs/>
          <w:color w:val="000000"/>
        </w:rPr>
      </w:pPr>
      <w:r w:rsidRPr="00307988">
        <w:rPr>
          <w:b/>
          <w:bCs/>
          <w:color w:val="000000"/>
        </w:rPr>
        <w:t>15.</w:t>
      </w:r>
      <w:r w:rsidRPr="00307988" w:rsidR="007E35A8">
        <w:rPr>
          <w:b/>
          <w:bCs/>
          <w:color w:val="000000"/>
        </w:rPr>
        <w:t xml:space="preserve"> </w:t>
      </w:r>
      <w:r w:rsidRPr="00307988">
        <w:rPr>
          <w:b/>
          <w:bCs/>
          <w:color w:val="000000"/>
        </w:rPr>
        <w:t>Explain the reasons for any program changes or adjustments on the burden worksheet.</w:t>
      </w:r>
    </w:p>
    <w:p w:rsidR="00D73216" w:rsidRPr="00307988" w:rsidP="00307988" w14:paraId="606F6AFA" w14:textId="77777777">
      <w:pPr>
        <w:rPr>
          <w:b/>
          <w:bCs/>
          <w:color w:val="000000"/>
        </w:rPr>
      </w:pPr>
    </w:p>
    <w:p w:rsidR="008F7DDE" w:rsidRPr="00307988" w:rsidP="00307988" w14:paraId="59B56D9F" w14:textId="1F751E25">
      <w:pPr>
        <w:widowControl/>
        <w:rPr>
          <w:iCs/>
          <w:color w:val="000000" w:themeColor="text1"/>
        </w:rPr>
      </w:pPr>
      <w:r w:rsidRPr="00307988">
        <w:rPr>
          <w:iCs/>
          <w:color w:val="000000" w:themeColor="text1"/>
          <w:u w:val="single"/>
        </w:rPr>
        <w:t xml:space="preserve">Number of </w:t>
      </w:r>
      <w:r w:rsidRPr="00307988">
        <w:rPr>
          <w:iCs/>
          <w:color w:val="000000" w:themeColor="text1"/>
          <w:u w:val="single"/>
        </w:rPr>
        <w:t>Respondents</w:t>
      </w:r>
      <w:r w:rsidRPr="00307988">
        <w:rPr>
          <w:iCs/>
          <w:color w:val="000000" w:themeColor="text1"/>
        </w:rPr>
        <w:t xml:space="preserve">: The </w:t>
      </w:r>
      <w:r w:rsidRPr="00307988" w:rsidR="00EA6474">
        <w:rPr>
          <w:iCs/>
          <w:color w:val="000000" w:themeColor="text1"/>
        </w:rPr>
        <w:t xml:space="preserve">estimated </w:t>
      </w:r>
      <w:r w:rsidRPr="00307988">
        <w:rPr>
          <w:iCs/>
          <w:color w:val="000000" w:themeColor="text1"/>
        </w:rPr>
        <w:t xml:space="preserve">number of respondents </w:t>
      </w:r>
      <w:r w:rsidRPr="00307988" w:rsidR="00213993">
        <w:rPr>
          <w:iCs/>
          <w:color w:val="000000" w:themeColor="text1"/>
        </w:rPr>
        <w:t xml:space="preserve">decreased from 41 to 33 </w:t>
      </w:r>
      <w:r w:rsidRPr="00307988" w:rsidR="00213993">
        <w:rPr>
          <w:color w:val="000000" w:themeColor="text1"/>
        </w:rPr>
        <w:t xml:space="preserve">due to a decline in the number of </w:t>
      </w:r>
      <w:r w:rsidRPr="00307988" w:rsidR="007D370D">
        <w:rPr>
          <w:color w:val="000000" w:themeColor="text1"/>
        </w:rPr>
        <w:t>permit application</w:t>
      </w:r>
      <w:r w:rsidRPr="00307988" w:rsidR="00213993">
        <w:rPr>
          <w:color w:val="000000" w:themeColor="text1"/>
        </w:rPr>
        <w:t>s.</w:t>
      </w:r>
      <w:bookmarkStart w:id="47" w:name="_Hlk125973945"/>
    </w:p>
    <w:p w:rsidR="008F7DDE" w:rsidRPr="00307988" w:rsidP="00307988" w14:paraId="203B4B53" w14:textId="77777777">
      <w:pPr>
        <w:widowControl/>
        <w:rPr>
          <w:iCs/>
          <w:color w:val="000000" w:themeColor="text1"/>
        </w:rPr>
      </w:pPr>
    </w:p>
    <w:p w:rsidR="008F7DDE" w:rsidRPr="00307988" w:rsidP="00307988" w14:paraId="1DC56B79" w14:textId="5C3C7153">
      <w:pPr>
        <w:widowControl/>
        <w:rPr>
          <w:iCs/>
          <w:color w:val="000000" w:themeColor="text1"/>
        </w:rPr>
      </w:pPr>
      <w:r w:rsidRPr="00307988">
        <w:rPr>
          <w:iCs/>
          <w:color w:val="000000" w:themeColor="text1"/>
          <w:u w:val="single"/>
        </w:rPr>
        <w:t xml:space="preserve">Number of </w:t>
      </w:r>
      <w:r w:rsidRPr="00307988">
        <w:rPr>
          <w:iCs/>
          <w:color w:val="000000" w:themeColor="text1"/>
          <w:u w:val="single"/>
        </w:rPr>
        <w:t>Responses</w:t>
      </w:r>
      <w:r w:rsidRPr="00307988">
        <w:rPr>
          <w:iCs/>
          <w:color w:val="000000" w:themeColor="text1"/>
        </w:rPr>
        <w:t xml:space="preserve">: The </w:t>
      </w:r>
      <w:r w:rsidRPr="00307988" w:rsidR="00EA6474">
        <w:rPr>
          <w:iCs/>
          <w:color w:val="000000" w:themeColor="text1"/>
        </w:rPr>
        <w:t xml:space="preserve">estimated </w:t>
      </w:r>
      <w:r w:rsidRPr="00307988">
        <w:rPr>
          <w:iCs/>
          <w:color w:val="000000" w:themeColor="text1"/>
        </w:rPr>
        <w:t xml:space="preserve">number of responses </w:t>
      </w:r>
      <w:r w:rsidRPr="00307988" w:rsidR="00213993">
        <w:rPr>
          <w:iCs/>
          <w:color w:val="000000" w:themeColor="text1"/>
        </w:rPr>
        <w:t xml:space="preserve">decreased from 42 to 34 </w:t>
      </w:r>
      <w:r w:rsidRPr="00307988" w:rsidR="00213993">
        <w:rPr>
          <w:color w:val="000000" w:themeColor="text1"/>
        </w:rPr>
        <w:t xml:space="preserve">due to a decline in the number of </w:t>
      </w:r>
      <w:r w:rsidRPr="00307988" w:rsidR="00E0318E">
        <w:rPr>
          <w:color w:val="000000" w:themeColor="text1"/>
        </w:rPr>
        <w:t>permit application</w:t>
      </w:r>
      <w:r w:rsidRPr="00307988" w:rsidR="00213993">
        <w:rPr>
          <w:color w:val="000000" w:themeColor="text1"/>
        </w:rPr>
        <w:t>s.</w:t>
      </w:r>
    </w:p>
    <w:p w:rsidR="008F7DDE" w:rsidRPr="00307988" w:rsidP="00307988" w14:paraId="39B8BCE6" w14:textId="77777777">
      <w:pPr>
        <w:widowControl/>
        <w:rPr>
          <w:iCs/>
          <w:color w:val="000000" w:themeColor="text1"/>
        </w:rPr>
      </w:pPr>
    </w:p>
    <w:p w:rsidR="008F7DDE" w:rsidRPr="00307988" w:rsidP="00307988" w14:paraId="7F33A961" w14:textId="1692C870">
      <w:pPr>
        <w:widowControl/>
        <w:rPr>
          <w:iCs/>
          <w:color w:val="000000" w:themeColor="text1"/>
        </w:rPr>
      </w:pPr>
      <w:r w:rsidRPr="00307988">
        <w:rPr>
          <w:iCs/>
          <w:color w:val="000000" w:themeColor="text1"/>
          <w:u w:val="single"/>
        </w:rPr>
        <w:t xml:space="preserve">Annual </w:t>
      </w:r>
      <w:r w:rsidRPr="00307988" w:rsidR="00EA6474">
        <w:rPr>
          <w:iCs/>
          <w:color w:val="000000" w:themeColor="text1"/>
          <w:u w:val="single"/>
        </w:rPr>
        <w:t xml:space="preserve">Time </w:t>
      </w:r>
      <w:r w:rsidRPr="00307988">
        <w:rPr>
          <w:iCs/>
          <w:color w:val="000000" w:themeColor="text1"/>
          <w:u w:val="single"/>
        </w:rPr>
        <w:t>Burden</w:t>
      </w:r>
      <w:r w:rsidRPr="00307988">
        <w:rPr>
          <w:iCs/>
          <w:color w:val="000000" w:themeColor="text1"/>
        </w:rPr>
        <w:t xml:space="preserve">: The </w:t>
      </w:r>
      <w:r w:rsidRPr="00307988" w:rsidR="00EA6474">
        <w:rPr>
          <w:iCs/>
          <w:color w:val="000000" w:themeColor="text1"/>
        </w:rPr>
        <w:t>estimated annual time</w:t>
      </w:r>
      <w:r w:rsidRPr="00307988">
        <w:rPr>
          <w:iCs/>
          <w:color w:val="000000" w:themeColor="text1"/>
        </w:rPr>
        <w:t xml:space="preserve"> burden </w:t>
      </w:r>
      <w:r w:rsidRPr="00307988" w:rsidR="00213993">
        <w:rPr>
          <w:iCs/>
          <w:color w:val="000000" w:themeColor="text1"/>
        </w:rPr>
        <w:t xml:space="preserve">decreased from 41 to 33 hours </w:t>
      </w:r>
      <w:r w:rsidRPr="00307988" w:rsidR="00213993">
        <w:rPr>
          <w:color w:val="000000" w:themeColor="text1"/>
        </w:rPr>
        <w:t xml:space="preserve">due to a decline in the number of </w:t>
      </w:r>
      <w:r w:rsidRPr="00307988" w:rsidR="00E0318E">
        <w:rPr>
          <w:color w:val="000000" w:themeColor="text1"/>
        </w:rPr>
        <w:t>permit application</w:t>
      </w:r>
      <w:r w:rsidRPr="00307988" w:rsidR="00213993">
        <w:rPr>
          <w:color w:val="000000" w:themeColor="text1"/>
        </w:rPr>
        <w:t>s.</w:t>
      </w:r>
    </w:p>
    <w:p w:rsidR="00EA6474" w:rsidRPr="00307988" w:rsidP="00307988" w14:paraId="74E099CF" w14:textId="77777777">
      <w:pPr>
        <w:widowControl/>
        <w:rPr>
          <w:iCs/>
          <w:color w:val="000000" w:themeColor="text1"/>
        </w:rPr>
      </w:pPr>
    </w:p>
    <w:p w:rsidR="00EA6474" w:rsidRPr="00307988" w:rsidP="00307988" w14:paraId="7A2540F6" w14:textId="378C0DDF">
      <w:pPr>
        <w:widowControl/>
        <w:rPr>
          <w:color w:val="000000" w:themeColor="text1"/>
        </w:rPr>
      </w:pPr>
      <w:bookmarkStart w:id="48" w:name="_Hlk161303117"/>
      <w:r w:rsidRPr="00307988">
        <w:rPr>
          <w:color w:val="000000" w:themeColor="text1"/>
          <w:u w:val="single"/>
        </w:rPr>
        <w:t xml:space="preserve">Annual </w:t>
      </w:r>
      <w:r w:rsidRPr="00307988">
        <w:rPr>
          <w:color w:val="000000" w:themeColor="text1"/>
          <w:u w:val="single"/>
        </w:rPr>
        <w:t>Burden Costs</w:t>
      </w:r>
      <w:r w:rsidRPr="00307988">
        <w:rPr>
          <w:color w:val="000000" w:themeColor="text1"/>
        </w:rPr>
        <w:t xml:space="preserve">: The estimated annual burden costs </w:t>
      </w:r>
      <w:r w:rsidRPr="00307988" w:rsidR="00213993">
        <w:rPr>
          <w:color w:val="000000" w:themeColor="text1"/>
        </w:rPr>
        <w:t xml:space="preserve">decreased from $2,937 to $2,589 due to a decline in the number of </w:t>
      </w:r>
      <w:r w:rsidRPr="00307988" w:rsidR="00E0318E">
        <w:rPr>
          <w:color w:val="000000" w:themeColor="text1"/>
        </w:rPr>
        <w:t>permit applications</w:t>
      </w:r>
      <w:r w:rsidRPr="00307988" w:rsidR="00213993">
        <w:rPr>
          <w:color w:val="000000" w:themeColor="text1"/>
        </w:rPr>
        <w:t>.</w:t>
      </w:r>
    </w:p>
    <w:bookmarkEnd w:id="48"/>
    <w:p w:rsidR="008F7DDE" w:rsidRPr="00307988" w:rsidP="00307988" w14:paraId="7BF5E8AB" w14:textId="77777777">
      <w:pPr>
        <w:widowControl/>
        <w:rPr>
          <w:iCs/>
          <w:color w:val="000000" w:themeColor="text1"/>
        </w:rPr>
      </w:pPr>
    </w:p>
    <w:p w:rsidR="008F7DDE" w:rsidRPr="00307988" w:rsidP="00307988" w14:paraId="23EBE0D5" w14:textId="650AB01A">
      <w:pPr>
        <w:widowControl/>
        <w:rPr>
          <w:iCs/>
          <w:color w:val="000000" w:themeColor="text1"/>
        </w:rPr>
      </w:pPr>
      <w:bookmarkStart w:id="49" w:name="_Hlk161302820"/>
      <w:r w:rsidRPr="00307988">
        <w:rPr>
          <w:iCs/>
          <w:color w:val="000000" w:themeColor="text1"/>
          <w:u w:val="single"/>
        </w:rPr>
        <w:t xml:space="preserve">Annual </w:t>
      </w:r>
      <w:r w:rsidRPr="00307988" w:rsidR="00F72BA5">
        <w:rPr>
          <w:iCs/>
          <w:color w:val="000000" w:themeColor="text1"/>
          <w:u w:val="single"/>
        </w:rPr>
        <w:t>Other</w:t>
      </w:r>
      <w:r w:rsidRPr="00307988" w:rsidR="006E6E0F">
        <w:rPr>
          <w:iCs/>
          <w:color w:val="000000" w:themeColor="text1"/>
          <w:u w:val="single"/>
        </w:rPr>
        <w:t xml:space="preserve"> </w:t>
      </w:r>
      <w:r w:rsidRPr="00307988" w:rsidR="00F72BA5">
        <w:rPr>
          <w:iCs/>
          <w:color w:val="000000" w:themeColor="text1"/>
          <w:u w:val="single"/>
        </w:rPr>
        <w:t xml:space="preserve">Burden </w:t>
      </w:r>
      <w:r w:rsidRPr="00307988">
        <w:rPr>
          <w:iCs/>
          <w:color w:val="000000" w:themeColor="text1"/>
          <w:u w:val="single"/>
        </w:rPr>
        <w:t>Costs</w:t>
      </w:r>
      <w:bookmarkEnd w:id="49"/>
      <w:r w:rsidRPr="00307988">
        <w:rPr>
          <w:iCs/>
          <w:color w:val="000000" w:themeColor="text1"/>
        </w:rPr>
        <w:t xml:space="preserve">: The estimated annual </w:t>
      </w:r>
      <w:r w:rsidRPr="00307988" w:rsidR="00EA6474">
        <w:rPr>
          <w:iCs/>
          <w:color w:val="000000" w:themeColor="text1"/>
        </w:rPr>
        <w:t xml:space="preserve">other burden </w:t>
      </w:r>
      <w:r w:rsidRPr="00307988">
        <w:rPr>
          <w:iCs/>
          <w:color w:val="000000" w:themeColor="text1"/>
        </w:rPr>
        <w:t xml:space="preserve">cost </w:t>
      </w:r>
      <w:r w:rsidRPr="00307988" w:rsidR="00E0318E">
        <w:rPr>
          <w:iCs/>
          <w:color w:val="000000" w:themeColor="text1"/>
        </w:rPr>
        <w:t>in</w:t>
      </w:r>
      <w:r w:rsidRPr="00307988" w:rsidR="00213993">
        <w:rPr>
          <w:iCs/>
          <w:color w:val="000000" w:themeColor="text1"/>
        </w:rPr>
        <w:t>creased from $150 to $1</w:t>
      </w:r>
      <w:r w:rsidRPr="00307988" w:rsidR="00E0318E">
        <w:rPr>
          <w:iCs/>
          <w:color w:val="000000" w:themeColor="text1"/>
        </w:rPr>
        <w:t>70</w:t>
      </w:r>
      <w:r w:rsidRPr="00307988" w:rsidR="00213993">
        <w:rPr>
          <w:iCs/>
          <w:color w:val="000000" w:themeColor="text1"/>
        </w:rPr>
        <w:t xml:space="preserve"> </w:t>
      </w:r>
      <w:r w:rsidRPr="00307988" w:rsidR="00213993">
        <w:rPr>
          <w:color w:val="000000" w:themeColor="text1"/>
        </w:rPr>
        <w:t>due to a</w:t>
      </w:r>
      <w:r w:rsidR="008C1DCB">
        <w:rPr>
          <w:color w:val="000000" w:themeColor="text1"/>
        </w:rPr>
        <w:t>n increase</w:t>
      </w:r>
      <w:r w:rsidRPr="00307988" w:rsidR="00E0318E">
        <w:rPr>
          <w:color w:val="000000" w:themeColor="text1"/>
        </w:rPr>
        <w:t xml:space="preserve"> in</w:t>
      </w:r>
      <w:r w:rsidR="008C1DCB">
        <w:rPr>
          <w:color w:val="000000" w:themeColor="text1"/>
        </w:rPr>
        <w:t xml:space="preserve"> copying and mailing cost</w:t>
      </w:r>
      <w:r w:rsidR="008F78B4">
        <w:rPr>
          <w:color w:val="000000" w:themeColor="text1"/>
        </w:rPr>
        <w:t>s</w:t>
      </w:r>
      <w:r w:rsidRPr="00307988" w:rsidR="00213993">
        <w:rPr>
          <w:color w:val="000000" w:themeColor="text1"/>
        </w:rPr>
        <w:t>.</w:t>
      </w:r>
    </w:p>
    <w:bookmarkEnd w:id="1"/>
    <w:p w:rsidR="00013AE9" w:rsidRPr="00307988" w:rsidP="00307988" w14:paraId="2EF094E0" w14:textId="3E813641">
      <w:pPr>
        <w:rPr>
          <w:color w:val="000000" w:themeColor="text1"/>
        </w:rPr>
      </w:pPr>
    </w:p>
    <w:p w:rsidR="00E0318E" w:rsidRPr="00307988" w:rsidP="00307988" w14:paraId="03AF77FA" w14:textId="38D2D1B3">
      <w:pPr>
        <w:widowControl/>
        <w:rPr>
          <w:color w:val="000000" w:themeColor="text1"/>
        </w:rPr>
      </w:pPr>
      <w:bookmarkStart w:id="50" w:name="_Hlk172027419"/>
      <w:r w:rsidRPr="00307988">
        <w:rPr>
          <w:color w:val="000000" w:themeColor="text1"/>
          <w:u w:val="single"/>
        </w:rPr>
        <w:t>Federal Hours</w:t>
      </w:r>
      <w:r w:rsidRPr="00307988">
        <w:rPr>
          <w:color w:val="000000" w:themeColor="text1"/>
        </w:rPr>
        <w:t xml:space="preserve">: The estimated annual federal hours </w:t>
      </w:r>
      <w:r w:rsidRPr="00307988" w:rsidR="00213993">
        <w:rPr>
          <w:color w:val="000000" w:themeColor="text1"/>
        </w:rPr>
        <w:t xml:space="preserve">decreased from 164 to 132 due to a decline in the number of </w:t>
      </w:r>
      <w:r w:rsidRPr="00307988">
        <w:rPr>
          <w:color w:val="000000" w:themeColor="text1"/>
        </w:rPr>
        <w:t>permit applications.</w:t>
      </w:r>
    </w:p>
    <w:p w:rsidR="00D73216" w:rsidRPr="00307988" w:rsidP="00307988" w14:paraId="02A7409A" w14:textId="77777777">
      <w:pPr>
        <w:rPr>
          <w:color w:val="000000" w:themeColor="text1"/>
        </w:rPr>
      </w:pPr>
    </w:p>
    <w:p w:rsidR="00E0318E" w:rsidRPr="00307988" w:rsidP="00307988" w14:paraId="142BE72B" w14:textId="659B3050">
      <w:pPr>
        <w:widowControl/>
        <w:rPr>
          <w:color w:val="000000" w:themeColor="text1"/>
        </w:rPr>
      </w:pPr>
      <w:r w:rsidRPr="00307988">
        <w:rPr>
          <w:color w:val="000000" w:themeColor="text1"/>
          <w:u w:val="single"/>
        </w:rPr>
        <w:t>Federal Costs</w:t>
      </w:r>
      <w:r w:rsidRPr="00307988">
        <w:rPr>
          <w:color w:val="000000" w:themeColor="text1"/>
        </w:rPr>
        <w:t xml:space="preserve">: The estimated annual federal costs </w:t>
      </w:r>
      <w:r w:rsidRPr="00307988" w:rsidR="00213993">
        <w:rPr>
          <w:color w:val="000000" w:themeColor="text1"/>
        </w:rPr>
        <w:t xml:space="preserve">decreased from $10,659 to $9,954 due to a decline in the number of </w:t>
      </w:r>
      <w:r w:rsidRPr="00307988">
        <w:rPr>
          <w:color w:val="000000" w:themeColor="text1"/>
        </w:rPr>
        <w:t>permit applications.</w:t>
      </w:r>
    </w:p>
    <w:p w:rsidR="00D73216" w:rsidRPr="00307988" w:rsidP="00307988" w14:paraId="645CF9C7" w14:textId="77777777">
      <w:pPr>
        <w:rPr>
          <w:color w:val="000000" w:themeColor="text1"/>
        </w:rPr>
      </w:pPr>
    </w:p>
    <w:bookmarkEnd w:id="50"/>
    <w:p w:rsidR="00EA6474" w:rsidRPr="00307988" w:rsidP="00307988" w14:paraId="00732E73" w14:textId="40902866">
      <w:pPr>
        <w:rPr>
          <w:b/>
          <w:bCs/>
          <w:szCs w:val="22"/>
        </w:rPr>
      </w:pPr>
      <w:r w:rsidRPr="00307988">
        <w:rPr>
          <w:b/>
          <w:bCs/>
        </w:rPr>
        <w:t>Table 15-1</w:t>
      </w:r>
      <w:r w:rsidRPr="00307988">
        <w:rPr>
          <w:b/>
          <w:bCs/>
        </w:rPr>
        <w:t>. Summary of Changes</w:t>
      </w:r>
      <w:r w:rsidRPr="00307988">
        <w:rPr>
          <w:b/>
          <w:bCs/>
        </w:rPr>
        <w:t xml:space="preserve"> </w:t>
      </w:r>
    </w:p>
    <w:tbl>
      <w:tblPr>
        <w:tblStyle w:val="TableGrid"/>
        <w:tblW w:w="8447" w:type="dxa"/>
        <w:tblLook w:val="04A0"/>
      </w:tblPr>
      <w:tblGrid>
        <w:gridCol w:w="3505"/>
        <w:gridCol w:w="1816"/>
        <w:gridCol w:w="1694"/>
        <w:gridCol w:w="1432"/>
      </w:tblGrid>
      <w:tr w14:paraId="32319052" w14:textId="77777777" w:rsidTr="002869B3">
        <w:tblPrEx>
          <w:tblW w:w="8447" w:type="dxa"/>
          <w:tblLook w:val="04A0"/>
        </w:tblPrEx>
        <w:trPr>
          <w:trHeight w:val="306"/>
        </w:trPr>
        <w:tc>
          <w:tcPr>
            <w:tcW w:w="3505" w:type="dxa"/>
            <w:shd w:val="clear" w:color="auto" w:fill="8EAADB" w:themeFill="accent1" w:themeFillTint="99"/>
            <w:noWrap/>
            <w:hideMark/>
          </w:tcPr>
          <w:p w:rsidR="009B782E" w:rsidRPr="00307988" w:rsidP="00307988" w14:paraId="512D63FD" w14:textId="77777777">
            <w:pPr>
              <w:pStyle w:val="Default"/>
              <w:rPr>
                <w:rFonts w:ascii="Times New Roman" w:hAnsi="Times New Roman" w:cs="Times New Roman"/>
                <w:sz w:val="20"/>
                <w:szCs w:val="20"/>
              </w:rPr>
            </w:pPr>
          </w:p>
        </w:tc>
        <w:tc>
          <w:tcPr>
            <w:tcW w:w="1816" w:type="dxa"/>
            <w:shd w:val="clear" w:color="auto" w:fill="8EAADB" w:themeFill="accent1" w:themeFillTint="99"/>
            <w:noWrap/>
            <w:hideMark/>
          </w:tcPr>
          <w:p w:rsidR="009B782E" w:rsidRPr="00307988" w:rsidP="00307988" w14:paraId="5561B474" w14:textId="1819A5A4">
            <w:pPr>
              <w:pStyle w:val="Default"/>
              <w:jc w:val="center"/>
              <w:rPr>
                <w:rFonts w:ascii="Times New Roman" w:hAnsi="Times New Roman" w:cs="Times New Roman"/>
                <w:sz w:val="20"/>
                <w:szCs w:val="20"/>
              </w:rPr>
            </w:pPr>
            <w:r w:rsidRPr="00307988">
              <w:rPr>
                <w:rFonts w:ascii="Times New Roman" w:hAnsi="Times New Roman" w:cs="Times New Roman"/>
                <w:sz w:val="20"/>
                <w:szCs w:val="20"/>
              </w:rPr>
              <w:t>Currently Approved ICR</w:t>
            </w:r>
          </w:p>
        </w:tc>
        <w:tc>
          <w:tcPr>
            <w:tcW w:w="1694" w:type="dxa"/>
            <w:shd w:val="clear" w:color="auto" w:fill="8EAADB" w:themeFill="accent1" w:themeFillTint="99"/>
          </w:tcPr>
          <w:p w:rsidR="009B782E" w:rsidRPr="00307988" w:rsidP="00307988" w14:paraId="2054B44A" w14:textId="2AF45055">
            <w:pPr>
              <w:pStyle w:val="Default"/>
              <w:jc w:val="center"/>
              <w:rPr>
                <w:rFonts w:ascii="Times New Roman" w:hAnsi="Times New Roman" w:cs="Times New Roman"/>
                <w:sz w:val="20"/>
                <w:szCs w:val="20"/>
              </w:rPr>
            </w:pPr>
            <w:r w:rsidRPr="00307988">
              <w:rPr>
                <w:rFonts w:ascii="Times New Roman" w:hAnsi="Times New Roman" w:cs="Times New Roman"/>
                <w:sz w:val="20"/>
                <w:szCs w:val="20"/>
              </w:rPr>
              <w:t>Update</w:t>
            </w:r>
            <w:r w:rsidRPr="00307988">
              <w:rPr>
                <w:rFonts w:ascii="Times New Roman" w:hAnsi="Times New Roman" w:cs="Times New Roman"/>
                <w:sz w:val="20"/>
                <w:szCs w:val="20"/>
              </w:rPr>
              <w:t>d ICR</w:t>
            </w:r>
          </w:p>
        </w:tc>
        <w:tc>
          <w:tcPr>
            <w:tcW w:w="1432" w:type="dxa"/>
            <w:shd w:val="clear" w:color="auto" w:fill="8EAADB" w:themeFill="accent1" w:themeFillTint="99"/>
            <w:noWrap/>
            <w:hideMark/>
          </w:tcPr>
          <w:p w:rsidR="009B782E" w:rsidRPr="00307988" w:rsidP="00307988" w14:paraId="6C952ECE" w14:textId="79BA98DA">
            <w:pPr>
              <w:pStyle w:val="Default"/>
              <w:jc w:val="center"/>
              <w:rPr>
                <w:rFonts w:ascii="Times New Roman" w:hAnsi="Times New Roman" w:cs="Times New Roman"/>
                <w:sz w:val="20"/>
                <w:szCs w:val="20"/>
              </w:rPr>
            </w:pPr>
            <w:r w:rsidRPr="00307988">
              <w:rPr>
                <w:rFonts w:ascii="Times New Roman" w:hAnsi="Times New Roman" w:cs="Times New Roman"/>
                <w:sz w:val="20"/>
                <w:szCs w:val="20"/>
              </w:rPr>
              <w:t>Currently Approved ICR</w:t>
            </w:r>
          </w:p>
        </w:tc>
      </w:tr>
      <w:tr w14:paraId="4457D028" w14:textId="77777777" w:rsidTr="007628FE">
        <w:tblPrEx>
          <w:tblW w:w="8447" w:type="dxa"/>
          <w:tblLook w:val="04A0"/>
        </w:tblPrEx>
        <w:trPr>
          <w:trHeight w:val="322"/>
        </w:trPr>
        <w:tc>
          <w:tcPr>
            <w:tcW w:w="3505" w:type="dxa"/>
            <w:noWrap/>
            <w:vAlign w:val="center"/>
            <w:hideMark/>
          </w:tcPr>
          <w:p w:rsidR="004E4FB5" w:rsidRPr="00307988" w:rsidP="00307988" w14:paraId="327A5A74" w14:textId="77777777">
            <w:pPr>
              <w:pStyle w:val="Default"/>
              <w:rPr>
                <w:rFonts w:ascii="Times New Roman" w:hAnsi="Times New Roman" w:cs="Times New Roman"/>
                <w:sz w:val="20"/>
                <w:szCs w:val="20"/>
              </w:rPr>
            </w:pPr>
            <w:r w:rsidRPr="00307988">
              <w:rPr>
                <w:rFonts w:ascii="Times New Roman" w:hAnsi="Times New Roman" w:cs="Times New Roman"/>
                <w:sz w:val="20"/>
                <w:szCs w:val="20"/>
              </w:rPr>
              <w:t>Number of Respondents</w:t>
            </w:r>
          </w:p>
        </w:tc>
        <w:tc>
          <w:tcPr>
            <w:tcW w:w="1816" w:type="dxa"/>
            <w:noWrap/>
            <w:vAlign w:val="center"/>
          </w:tcPr>
          <w:p w:rsidR="004E4FB5" w:rsidRPr="00307988" w:rsidP="00307988" w14:paraId="1AECE49E" w14:textId="7184B014">
            <w:pPr>
              <w:pStyle w:val="Default"/>
              <w:jc w:val="right"/>
              <w:rPr>
                <w:rFonts w:ascii="Times New Roman" w:hAnsi="Times New Roman" w:cs="Times New Roman"/>
                <w:sz w:val="20"/>
                <w:szCs w:val="20"/>
              </w:rPr>
            </w:pPr>
            <w:r w:rsidRPr="00307988">
              <w:rPr>
                <w:rFonts w:ascii="Times New Roman" w:hAnsi="Times New Roman" w:cs="Times New Roman"/>
                <w:sz w:val="20"/>
                <w:szCs w:val="20"/>
              </w:rPr>
              <w:t>41</w:t>
            </w:r>
          </w:p>
        </w:tc>
        <w:tc>
          <w:tcPr>
            <w:tcW w:w="1694" w:type="dxa"/>
            <w:vAlign w:val="center"/>
          </w:tcPr>
          <w:p w:rsidR="004E4FB5" w:rsidRPr="00307988" w:rsidP="00307988" w14:paraId="0D0B3806" w14:textId="0A63EAAD">
            <w:pPr>
              <w:pStyle w:val="Default"/>
              <w:jc w:val="right"/>
              <w:rPr>
                <w:rFonts w:ascii="Times New Roman" w:hAnsi="Times New Roman" w:cs="Times New Roman"/>
                <w:sz w:val="20"/>
                <w:szCs w:val="20"/>
              </w:rPr>
            </w:pPr>
            <w:r w:rsidRPr="00307988">
              <w:rPr>
                <w:rFonts w:ascii="Times New Roman" w:hAnsi="Times New Roman" w:cs="Times New Roman"/>
                <w:sz w:val="20"/>
                <w:szCs w:val="20"/>
              </w:rPr>
              <w:t>33</w:t>
            </w:r>
          </w:p>
        </w:tc>
        <w:tc>
          <w:tcPr>
            <w:tcW w:w="1432" w:type="dxa"/>
            <w:noWrap/>
            <w:vAlign w:val="center"/>
          </w:tcPr>
          <w:p w:rsidR="004E4FB5" w:rsidRPr="00307988" w:rsidP="00307988" w14:paraId="0271019F" w14:textId="362EA89E">
            <w:pPr>
              <w:pStyle w:val="Default"/>
              <w:jc w:val="right"/>
              <w:rPr>
                <w:rFonts w:ascii="Times New Roman" w:hAnsi="Times New Roman" w:cs="Times New Roman"/>
                <w:sz w:val="20"/>
                <w:szCs w:val="20"/>
              </w:rPr>
            </w:pPr>
            <w:r w:rsidRPr="00307988">
              <w:rPr>
                <w:rFonts w:ascii="Times New Roman" w:hAnsi="Times New Roman" w:cs="Times New Roman"/>
                <w:sz w:val="20"/>
                <w:szCs w:val="20"/>
              </w:rPr>
              <w:t>-8</w:t>
            </w:r>
          </w:p>
        </w:tc>
      </w:tr>
      <w:tr w14:paraId="764610AB" w14:textId="77777777" w:rsidTr="007628FE">
        <w:tblPrEx>
          <w:tblW w:w="8447" w:type="dxa"/>
          <w:tblLook w:val="04A0"/>
        </w:tblPrEx>
        <w:trPr>
          <w:trHeight w:val="322"/>
        </w:trPr>
        <w:tc>
          <w:tcPr>
            <w:tcW w:w="3505" w:type="dxa"/>
            <w:noWrap/>
            <w:vAlign w:val="center"/>
            <w:hideMark/>
          </w:tcPr>
          <w:p w:rsidR="004E4FB5" w:rsidRPr="00307988" w:rsidP="00307988" w14:paraId="77D96C7E" w14:textId="77777777">
            <w:pPr>
              <w:pStyle w:val="Default"/>
              <w:rPr>
                <w:rFonts w:ascii="Times New Roman" w:hAnsi="Times New Roman" w:cs="Times New Roman"/>
                <w:sz w:val="20"/>
                <w:szCs w:val="20"/>
              </w:rPr>
            </w:pPr>
            <w:r w:rsidRPr="00307988">
              <w:rPr>
                <w:rFonts w:ascii="Times New Roman" w:hAnsi="Times New Roman" w:cs="Times New Roman"/>
                <w:sz w:val="20"/>
                <w:szCs w:val="20"/>
              </w:rPr>
              <w:t>Number of Responses</w:t>
            </w:r>
          </w:p>
        </w:tc>
        <w:tc>
          <w:tcPr>
            <w:tcW w:w="1816" w:type="dxa"/>
            <w:noWrap/>
            <w:vAlign w:val="center"/>
          </w:tcPr>
          <w:p w:rsidR="004E4FB5" w:rsidRPr="00307988" w:rsidP="00307988" w14:paraId="6B240612" w14:textId="370790F6">
            <w:pPr>
              <w:pStyle w:val="Default"/>
              <w:jc w:val="right"/>
              <w:rPr>
                <w:rFonts w:ascii="Times New Roman" w:hAnsi="Times New Roman" w:cs="Times New Roman"/>
                <w:sz w:val="20"/>
                <w:szCs w:val="20"/>
              </w:rPr>
            </w:pPr>
            <w:r w:rsidRPr="00307988">
              <w:rPr>
                <w:rFonts w:ascii="Times New Roman" w:hAnsi="Times New Roman" w:cs="Times New Roman"/>
                <w:sz w:val="20"/>
                <w:szCs w:val="20"/>
              </w:rPr>
              <w:t>42</w:t>
            </w:r>
          </w:p>
        </w:tc>
        <w:tc>
          <w:tcPr>
            <w:tcW w:w="1694" w:type="dxa"/>
            <w:vAlign w:val="center"/>
          </w:tcPr>
          <w:p w:rsidR="004E4FB5" w:rsidRPr="00307988" w:rsidP="00307988" w14:paraId="6009DABF" w14:textId="385105DC">
            <w:pPr>
              <w:pStyle w:val="Default"/>
              <w:jc w:val="right"/>
              <w:rPr>
                <w:rFonts w:ascii="Times New Roman" w:hAnsi="Times New Roman" w:cs="Times New Roman"/>
                <w:sz w:val="20"/>
                <w:szCs w:val="20"/>
              </w:rPr>
            </w:pPr>
            <w:r w:rsidRPr="00307988">
              <w:rPr>
                <w:rFonts w:ascii="Times New Roman" w:hAnsi="Times New Roman" w:cs="Times New Roman"/>
                <w:sz w:val="20"/>
                <w:szCs w:val="20"/>
              </w:rPr>
              <w:t>34</w:t>
            </w:r>
          </w:p>
        </w:tc>
        <w:tc>
          <w:tcPr>
            <w:tcW w:w="1432" w:type="dxa"/>
            <w:noWrap/>
            <w:vAlign w:val="center"/>
          </w:tcPr>
          <w:p w:rsidR="004E4FB5" w:rsidRPr="00307988" w:rsidP="00307988" w14:paraId="7519B51D" w14:textId="175A9042">
            <w:pPr>
              <w:pStyle w:val="Default"/>
              <w:jc w:val="right"/>
              <w:rPr>
                <w:rFonts w:ascii="Times New Roman" w:hAnsi="Times New Roman" w:cs="Times New Roman"/>
                <w:sz w:val="20"/>
                <w:szCs w:val="20"/>
              </w:rPr>
            </w:pPr>
            <w:r w:rsidRPr="00307988">
              <w:rPr>
                <w:rFonts w:ascii="Times New Roman" w:hAnsi="Times New Roman" w:cs="Times New Roman"/>
                <w:sz w:val="20"/>
                <w:szCs w:val="20"/>
              </w:rPr>
              <w:t>-8</w:t>
            </w:r>
          </w:p>
        </w:tc>
      </w:tr>
      <w:tr w14:paraId="191D5E22" w14:textId="77777777" w:rsidTr="007628FE">
        <w:tblPrEx>
          <w:tblW w:w="8447" w:type="dxa"/>
          <w:tblLook w:val="04A0"/>
        </w:tblPrEx>
        <w:trPr>
          <w:trHeight w:val="322"/>
        </w:trPr>
        <w:tc>
          <w:tcPr>
            <w:tcW w:w="3505" w:type="dxa"/>
            <w:noWrap/>
            <w:vAlign w:val="center"/>
            <w:hideMark/>
          </w:tcPr>
          <w:p w:rsidR="004E4FB5" w:rsidRPr="00307988" w:rsidP="00307988" w14:paraId="78FA6921" w14:textId="77777777">
            <w:pPr>
              <w:pStyle w:val="Default"/>
              <w:rPr>
                <w:rFonts w:ascii="Times New Roman" w:hAnsi="Times New Roman" w:cs="Times New Roman"/>
                <w:sz w:val="20"/>
                <w:szCs w:val="20"/>
              </w:rPr>
            </w:pPr>
            <w:r w:rsidRPr="00307988">
              <w:rPr>
                <w:rFonts w:ascii="Times New Roman" w:hAnsi="Times New Roman" w:cs="Times New Roman"/>
                <w:sz w:val="20"/>
                <w:szCs w:val="20"/>
              </w:rPr>
              <w:t>Annual Time Burden</w:t>
            </w:r>
          </w:p>
        </w:tc>
        <w:tc>
          <w:tcPr>
            <w:tcW w:w="1816" w:type="dxa"/>
            <w:noWrap/>
            <w:vAlign w:val="center"/>
          </w:tcPr>
          <w:p w:rsidR="004E4FB5" w:rsidRPr="00307988" w:rsidP="00307988" w14:paraId="399FFE51" w14:textId="085CE475">
            <w:pPr>
              <w:pStyle w:val="Default"/>
              <w:jc w:val="right"/>
              <w:rPr>
                <w:rFonts w:ascii="Times New Roman" w:hAnsi="Times New Roman" w:cs="Times New Roman"/>
                <w:sz w:val="20"/>
                <w:szCs w:val="20"/>
              </w:rPr>
            </w:pPr>
            <w:r w:rsidRPr="00307988">
              <w:rPr>
                <w:rFonts w:ascii="Times New Roman" w:hAnsi="Times New Roman" w:cs="Times New Roman"/>
                <w:sz w:val="20"/>
                <w:szCs w:val="20"/>
              </w:rPr>
              <w:t>41</w:t>
            </w:r>
          </w:p>
        </w:tc>
        <w:tc>
          <w:tcPr>
            <w:tcW w:w="1694" w:type="dxa"/>
            <w:vAlign w:val="center"/>
          </w:tcPr>
          <w:p w:rsidR="004E4FB5" w:rsidRPr="00307988" w:rsidP="00307988" w14:paraId="49EC2F7C" w14:textId="6EB523FC">
            <w:pPr>
              <w:pStyle w:val="Default"/>
              <w:jc w:val="right"/>
              <w:rPr>
                <w:rFonts w:ascii="Times New Roman" w:hAnsi="Times New Roman" w:cs="Times New Roman"/>
                <w:sz w:val="20"/>
                <w:szCs w:val="20"/>
              </w:rPr>
            </w:pPr>
            <w:r w:rsidRPr="00307988">
              <w:rPr>
                <w:rFonts w:ascii="Times New Roman" w:hAnsi="Times New Roman" w:cs="Times New Roman"/>
                <w:sz w:val="20"/>
                <w:szCs w:val="20"/>
              </w:rPr>
              <w:t>33</w:t>
            </w:r>
          </w:p>
        </w:tc>
        <w:tc>
          <w:tcPr>
            <w:tcW w:w="1432" w:type="dxa"/>
            <w:noWrap/>
            <w:vAlign w:val="center"/>
          </w:tcPr>
          <w:p w:rsidR="004E4FB5" w:rsidRPr="00307988" w:rsidP="00307988" w14:paraId="04E67B85" w14:textId="36325F54">
            <w:pPr>
              <w:pStyle w:val="Default"/>
              <w:jc w:val="right"/>
              <w:rPr>
                <w:rFonts w:ascii="Times New Roman" w:hAnsi="Times New Roman" w:cs="Times New Roman"/>
                <w:sz w:val="20"/>
                <w:szCs w:val="20"/>
              </w:rPr>
            </w:pPr>
            <w:r w:rsidRPr="00307988">
              <w:rPr>
                <w:rFonts w:ascii="Times New Roman" w:hAnsi="Times New Roman" w:cs="Times New Roman"/>
                <w:sz w:val="20"/>
                <w:szCs w:val="20"/>
              </w:rPr>
              <w:t>-8</w:t>
            </w:r>
          </w:p>
        </w:tc>
      </w:tr>
      <w:tr w14:paraId="70E95A48" w14:textId="77777777" w:rsidTr="007628FE">
        <w:tblPrEx>
          <w:tblW w:w="8447" w:type="dxa"/>
          <w:tblLook w:val="04A0"/>
        </w:tblPrEx>
        <w:trPr>
          <w:trHeight w:val="322"/>
        </w:trPr>
        <w:tc>
          <w:tcPr>
            <w:tcW w:w="3505" w:type="dxa"/>
            <w:noWrap/>
            <w:vAlign w:val="center"/>
          </w:tcPr>
          <w:p w:rsidR="004E4FB5" w:rsidRPr="00307988" w:rsidP="00307988" w14:paraId="16B0F667" w14:textId="00DCC5A6">
            <w:pPr>
              <w:pStyle w:val="Default"/>
              <w:rPr>
                <w:rFonts w:ascii="Times New Roman" w:hAnsi="Times New Roman" w:cs="Times New Roman"/>
                <w:sz w:val="20"/>
                <w:szCs w:val="20"/>
              </w:rPr>
            </w:pPr>
            <w:r w:rsidRPr="00307988">
              <w:rPr>
                <w:rFonts w:ascii="Times New Roman" w:hAnsi="Times New Roman" w:cs="Times New Roman"/>
                <w:sz w:val="20"/>
                <w:szCs w:val="20"/>
              </w:rPr>
              <w:t>Annual Burden Costs</w:t>
            </w:r>
          </w:p>
        </w:tc>
        <w:tc>
          <w:tcPr>
            <w:tcW w:w="1816" w:type="dxa"/>
            <w:noWrap/>
            <w:vAlign w:val="center"/>
          </w:tcPr>
          <w:p w:rsidR="004E4FB5" w:rsidRPr="00307988" w:rsidP="00307988" w14:paraId="1DE97BCD" w14:textId="3097278E">
            <w:pPr>
              <w:pStyle w:val="Default"/>
              <w:jc w:val="right"/>
              <w:rPr>
                <w:rFonts w:ascii="Times New Roman" w:hAnsi="Times New Roman" w:cs="Times New Roman"/>
                <w:sz w:val="20"/>
                <w:szCs w:val="20"/>
              </w:rPr>
            </w:pPr>
            <w:r w:rsidRPr="00307988">
              <w:rPr>
                <w:rFonts w:ascii="Times New Roman" w:hAnsi="Times New Roman" w:cs="Times New Roman"/>
                <w:sz w:val="20"/>
                <w:szCs w:val="20"/>
              </w:rPr>
              <w:t>$2,937</w:t>
            </w:r>
          </w:p>
        </w:tc>
        <w:tc>
          <w:tcPr>
            <w:tcW w:w="1694" w:type="dxa"/>
            <w:vAlign w:val="center"/>
          </w:tcPr>
          <w:p w:rsidR="004E4FB5" w:rsidRPr="00307988" w:rsidP="00307988" w14:paraId="213F2BA9" w14:textId="31D5398C">
            <w:pPr>
              <w:pStyle w:val="Default"/>
              <w:jc w:val="right"/>
              <w:rPr>
                <w:rFonts w:ascii="Times New Roman" w:hAnsi="Times New Roman" w:cs="Times New Roman"/>
                <w:sz w:val="20"/>
                <w:szCs w:val="20"/>
              </w:rPr>
            </w:pPr>
            <w:r w:rsidRPr="00307988">
              <w:rPr>
                <w:rFonts w:ascii="Times New Roman" w:hAnsi="Times New Roman" w:cs="Times New Roman"/>
                <w:sz w:val="20"/>
                <w:szCs w:val="20"/>
              </w:rPr>
              <w:t>$2,589</w:t>
            </w:r>
          </w:p>
        </w:tc>
        <w:tc>
          <w:tcPr>
            <w:tcW w:w="1432" w:type="dxa"/>
            <w:noWrap/>
            <w:vAlign w:val="center"/>
          </w:tcPr>
          <w:p w:rsidR="004E4FB5" w:rsidRPr="00307988" w:rsidP="00307988" w14:paraId="0F7AB11D" w14:textId="5C0D6F5C">
            <w:pPr>
              <w:pStyle w:val="Default"/>
              <w:jc w:val="right"/>
              <w:rPr>
                <w:rFonts w:ascii="Times New Roman" w:hAnsi="Times New Roman" w:cs="Times New Roman"/>
                <w:sz w:val="20"/>
                <w:szCs w:val="20"/>
              </w:rPr>
            </w:pPr>
            <w:r w:rsidRPr="00307988">
              <w:rPr>
                <w:rFonts w:ascii="Times New Roman" w:hAnsi="Times New Roman" w:cs="Times New Roman"/>
                <w:sz w:val="20"/>
                <w:szCs w:val="20"/>
              </w:rPr>
              <w:t>-$348</w:t>
            </w:r>
          </w:p>
        </w:tc>
      </w:tr>
      <w:tr w14:paraId="57E25265" w14:textId="77777777" w:rsidTr="007628FE">
        <w:tblPrEx>
          <w:tblW w:w="8447" w:type="dxa"/>
          <w:tblLook w:val="04A0"/>
        </w:tblPrEx>
        <w:trPr>
          <w:trHeight w:val="322"/>
        </w:trPr>
        <w:tc>
          <w:tcPr>
            <w:tcW w:w="3505" w:type="dxa"/>
            <w:noWrap/>
            <w:vAlign w:val="center"/>
            <w:hideMark/>
          </w:tcPr>
          <w:p w:rsidR="004E4FB5" w:rsidRPr="00307988" w:rsidP="00307988" w14:paraId="43397790" w14:textId="6CFD6CE2">
            <w:pPr>
              <w:pStyle w:val="Default"/>
              <w:rPr>
                <w:rFonts w:ascii="Times New Roman" w:hAnsi="Times New Roman" w:cs="Times New Roman"/>
                <w:sz w:val="20"/>
                <w:szCs w:val="20"/>
              </w:rPr>
            </w:pPr>
            <w:r w:rsidRPr="00307988">
              <w:rPr>
                <w:rFonts w:ascii="Times New Roman" w:hAnsi="Times New Roman" w:cs="Times New Roman"/>
                <w:sz w:val="20"/>
                <w:szCs w:val="20"/>
              </w:rPr>
              <w:t xml:space="preserve">Annual Other Burden Costs </w:t>
            </w:r>
          </w:p>
        </w:tc>
        <w:tc>
          <w:tcPr>
            <w:tcW w:w="1816" w:type="dxa"/>
            <w:noWrap/>
            <w:vAlign w:val="center"/>
            <w:hideMark/>
          </w:tcPr>
          <w:p w:rsidR="004E4FB5" w:rsidRPr="00307988" w:rsidP="00307988" w14:paraId="0EACAF73" w14:textId="514714C2">
            <w:pPr>
              <w:pStyle w:val="Default"/>
              <w:jc w:val="right"/>
              <w:rPr>
                <w:rFonts w:ascii="Times New Roman" w:hAnsi="Times New Roman" w:cs="Times New Roman"/>
                <w:sz w:val="20"/>
                <w:szCs w:val="20"/>
              </w:rPr>
            </w:pPr>
            <w:r w:rsidRPr="00307988">
              <w:rPr>
                <w:rFonts w:ascii="Times New Roman" w:hAnsi="Times New Roman" w:cs="Times New Roman"/>
                <w:sz w:val="20"/>
                <w:szCs w:val="20"/>
              </w:rPr>
              <w:t>$150</w:t>
            </w:r>
          </w:p>
        </w:tc>
        <w:tc>
          <w:tcPr>
            <w:tcW w:w="1694" w:type="dxa"/>
            <w:vAlign w:val="center"/>
          </w:tcPr>
          <w:p w:rsidR="004E4FB5" w:rsidRPr="00307988" w:rsidP="00307988" w14:paraId="11D383FB" w14:textId="6AEE0E13">
            <w:pPr>
              <w:pStyle w:val="Default"/>
              <w:jc w:val="right"/>
              <w:rPr>
                <w:rFonts w:ascii="Times New Roman" w:hAnsi="Times New Roman" w:cs="Times New Roman"/>
                <w:sz w:val="20"/>
                <w:szCs w:val="20"/>
              </w:rPr>
            </w:pPr>
            <w:r w:rsidRPr="00307988">
              <w:rPr>
                <w:rFonts w:ascii="Times New Roman" w:hAnsi="Times New Roman" w:cs="Times New Roman"/>
                <w:sz w:val="20"/>
                <w:szCs w:val="20"/>
              </w:rPr>
              <w:t>$1</w:t>
            </w:r>
            <w:r w:rsidRPr="00307988" w:rsidR="00E0318E">
              <w:rPr>
                <w:rFonts w:ascii="Times New Roman" w:hAnsi="Times New Roman" w:cs="Times New Roman"/>
                <w:sz w:val="20"/>
                <w:szCs w:val="20"/>
              </w:rPr>
              <w:t>70</w:t>
            </w:r>
          </w:p>
        </w:tc>
        <w:tc>
          <w:tcPr>
            <w:tcW w:w="1432" w:type="dxa"/>
            <w:noWrap/>
            <w:vAlign w:val="center"/>
            <w:hideMark/>
          </w:tcPr>
          <w:p w:rsidR="004E4FB5" w:rsidRPr="00307988" w:rsidP="00307988" w14:paraId="7A7AE64F" w14:textId="1B98F762">
            <w:pPr>
              <w:pStyle w:val="Default"/>
              <w:jc w:val="right"/>
              <w:rPr>
                <w:rFonts w:ascii="Times New Roman" w:hAnsi="Times New Roman" w:cs="Times New Roman"/>
                <w:sz w:val="20"/>
                <w:szCs w:val="20"/>
              </w:rPr>
            </w:pPr>
            <w:r w:rsidRPr="00307988">
              <w:rPr>
                <w:rFonts w:ascii="Times New Roman" w:hAnsi="Times New Roman" w:cs="Times New Roman"/>
                <w:sz w:val="20"/>
                <w:szCs w:val="20"/>
              </w:rPr>
              <w:t>$2</w:t>
            </w:r>
            <w:r w:rsidRPr="00307988" w:rsidR="00E0318E">
              <w:rPr>
                <w:rFonts w:ascii="Times New Roman" w:hAnsi="Times New Roman" w:cs="Times New Roman"/>
                <w:sz w:val="20"/>
                <w:szCs w:val="20"/>
              </w:rPr>
              <w:t>0</w:t>
            </w:r>
          </w:p>
        </w:tc>
      </w:tr>
      <w:tr w14:paraId="5D6474F8" w14:textId="77777777" w:rsidTr="007628FE">
        <w:tblPrEx>
          <w:tblW w:w="8447" w:type="dxa"/>
          <w:tblLook w:val="04A0"/>
        </w:tblPrEx>
        <w:trPr>
          <w:trHeight w:val="322"/>
        </w:trPr>
        <w:tc>
          <w:tcPr>
            <w:tcW w:w="3505" w:type="dxa"/>
            <w:noWrap/>
            <w:vAlign w:val="center"/>
          </w:tcPr>
          <w:p w:rsidR="004E4FB5" w:rsidRPr="00307988" w:rsidP="00307988" w14:paraId="207FC389" w14:textId="77777777">
            <w:pPr>
              <w:pStyle w:val="Default"/>
              <w:rPr>
                <w:rFonts w:ascii="Times New Roman" w:hAnsi="Times New Roman" w:cs="Times New Roman"/>
                <w:sz w:val="20"/>
                <w:szCs w:val="20"/>
              </w:rPr>
            </w:pPr>
          </w:p>
        </w:tc>
        <w:tc>
          <w:tcPr>
            <w:tcW w:w="1816" w:type="dxa"/>
            <w:noWrap/>
            <w:vAlign w:val="center"/>
          </w:tcPr>
          <w:p w:rsidR="004E4FB5" w:rsidRPr="00307988" w:rsidP="00307988" w14:paraId="607D2640" w14:textId="12595769">
            <w:pPr>
              <w:pStyle w:val="Default"/>
              <w:jc w:val="right"/>
              <w:rPr>
                <w:rFonts w:ascii="Times New Roman" w:hAnsi="Times New Roman" w:cs="Times New Roman"/>
                <w:sz w:val="20"/>
                <w:szCs w:val="20"/>
              </w:rPr>
            </w:pPr>
            <w:r w:rsidRPr="00307988">
              <w:rPr>
                <w:rFonts w:ascii="Times New Roman" w:hAnsi="Times New Roman" w:cs="Times New Roman"/>
                <w:sz w:val="20"/>
                <w:szCs w:val="20"/>
              </w:rPr>
              <w:t> </w:t>
            </w:r>
          </w:p>
        </w:tc>
        <w:tc>
          <w:tcPr>
            <w:tcW w:w="1694" w:type="dxa"/>
            <w:vAlign w:val="center"/>
          </w:tcPr>
          <w:p w:rsidR="004E4FB5" w:rsidRPr="00307988" w:rsidP="00307988" w14:paraId="3C314A07" w14:textId="087B0C46">
            <w:pPr>
              <w:pStyle w:val="Default"/>
              <w:jc w:val="right"/>
              <w:rPr>
                <w:rFonts w:ascii="Times New Roman" w:hAnsi="Times New Roman" w:cs="Times New Roman"/>
                <w:sz w:val="20"/>
                <w:szCs w:val="20"/>
              </w:rPr>
            </w:pPr>
            <w:r w:rsidRPr="00307988">
              <w:rPr>
                <w:rFonts w:ascii="Times New Roman" w:hAnsi="Times New Roman" w:cs="Times New Roman"/>
                <w:sz w:val="20"/>
                <w:szCs w:val="20"/>
              </w:rPr>
              <w:t> </w:t>
            </w:r>
          </w:p>
        </w:tc>
        <w:tc>
          <w:tcPr>
            <w:tcW w:w="1432" w:type="dxa"/>
            <w:noWrap/>
            <w:vAlign w:val="center"/>
          </w:tcPr>
          <w:p w:rsidR="004E4FB5" w:rsidRPr="00307988" w:rsidP="00307988" w14:paraId="49F1D425" w14:textId="73928496">
            <w:pPr>
              <w:pStyle w:val="Default"/>
              <w:jc w:val="right"/>
              <w:rPr>
                <w:rFonts w:ascii="Times New Roman" w:hAnsi="Times New Roman" w:cs="Times New Roman"/>
                <w:sz w:val="20"/>
                <w:szCs w:val="20"/>
              </w:rPr>
            </w:pPr>
            <w:r w:rsidRPr="00307988">
              <w:rPr>
                <w:rFonts w:ascii="Times New Roman" w:hAnsi="Times New Roman" w:cs="Times New Roman"/>
                <w:sz w:val="20"/>
                <w:szCs w:val="20"/>
              </w:rPr>
              <w:t> </w:t>
            </w:r>
          </w:p>
        </w:tc>
      </w:tr>
      <w:tr w14:paraId="742C5BD3" w14:textId="77777777" w:rsidTr="007628FE">
        <w:tblPrEx>
          <w:tblW w:w="8447" w:type="dxa"/>
          <w:tblLook w:val="04A0"/>
        </w:tblPrEx>
        <w:trPr>
          <w:trHeight w:val="322"/>
        </w:trPr>
        <w:tc>
          <w:tcPr>
            <w:tcW w:w="3505" w:type="dxa"/>
            <w:noWrap/>
            <w:vAlign w:val="center"/>
          </w:tcPr>
          <w:p w:rsidR="004E4FB5" w:rsidRPr="00307988" w:rsidP="00307988" w14:paraId="71E82CA7" w14:textId="56571B61">
            <w:pPr>
              <w:pStyle w:val="Default"/>
              <w:rPr>
                <w:rFonts w:ascii="Times New Roman" w:hAnsi="Times New Roman" w:cs="Times New Roman"/>
                <w:sz w:val="20"/>
                <w:szCs w:val="20"/>
              </w:rPr>
            </w:pPr>
            <w:r w:rsidRPr="00307988">
              <w:rPr>
                <w:rFonts w:ascii="Times New Roman" w:hAnsi="Times New Roman" w:cs="Times New Roman"/>
                <w:sz w:val="20"/>
                <w:szCs w:val="20"/>
              </w:rPr>
              <w:t>Federal Hours</w:t>
            </w:r>
          </w:p>
        </w:tc>
        <w:tc>
          <w:tcPr>
            <w:tcW w:w="1816" w:type="dxa"/>
            <w:noWrap/>
            <w:vAlign w:val="center"/>
          </w:tcPr>
          <w:p w:rsidR="004E4FB5" w:rsidRPr="00307988" w:rsidP="00307988" w14:paraId="7305E559" w14:textId="66C23B97">
            <w:pPr>
              <w:pStyle w:val="Default"/>
              <w:jc w:val="right"/>
              <w:rPr>
                <w:rFonts w:ascii="Times New Roman" w:hAnsi="Times New Roman" w:cs="Times New Roman"/>
                <w:sz w:val="20"/>
                <w:szCs w:val="20"/>
              </w:rPr>
            </w:pPr>
            <w:r w:rsidRPr="00307988">
              <w:rPr>
                <w:rFonts w:ascii="Times New Roman" w:hAnsi="Times New Roman" w:cs="Times New Roman"/>
                <w:sz w:val="20"/>
                <w:szCs w:val="20"/>
              </w:rPr>
              <w:t>164</w:t>
            </w:r>
          </w:p>
        </w:tc>
        <w:tc>
          <w:tcPr>
            <w:tcW w:w="1694" w:type="dxa"/>
            <w:vAlign w:val="center"/>
          </w:tcPr>
          <w:p w:rsidR="004E4FB5" w:rsidRPr="00307988" w:rsidP="00307988" w14:paraId="443C69B7" w14:textId="44750A83">
            <w:pPr>
              <w:pStyle w:val="Default"/>
              <w:jc w:val="right"/>
              <w:rPr>
                <w:rFonts w:ascii="Times New Roman" w:hAnsi="Times New Roman" w:cs="Times New Roman"/>
                <w:sz w:val="20"/>
                <w:szCs w:val="20"/>
              </w:rPr>
            </w:pPr>
            <w:r w:rsidRPr="00307988">
              <w:rPr>
                <w:rFonts w:ascii="Times New Roman" w:hAnsi="Times New Roman" w:cs="Times New Roman"/>
                <w:sz w:val="20"/>
                <w:szCs w:val="20"/>
              </w:rPr>
              <w:t>132</w:t>
            </w:r>
          </w:p>
        </w:tc>
        <w:tc>
          <w:tcPr>
            <w:tcW w:w="1432" w:type="dxa"/>
            <w:noWrap/>
            <w:vAlign w:val="center"/>
          </w:tcPr>
          <w:p w:rsidR="004E4FB5" w:rsidRPr="00307988" w:rsidP="00307988" w14:paraId="5CB057FD" w14:textId="59212AB1">
            <w:pPr>
              <w:pStyle w:val="Default"/>
              <w:jc w:val="right"/>
              <w:rPr>
                <w:rFonts w:ascii="Times New Roman" w:hAnsi="Times New Roman" w:cs="Times New Roman"/>
                <w:sz w:val="20"/>
                <w:szCs w:val="20"/>
              </w:rPr>
            </w:pPr>
            <w:r w:rsidRPr="00307988">
              <w:rPr>
                <w:rFonts w:ascii="Times New Roman" w:hAnsi="Times New Roman" w:cs="Times New Roman"/>
                <w:sz w:val="20"/>
                <w:szCs w:val="20"/>
              </w:rPr>
              <w:t>-32</w:t>
            </w:r>
          </w:p>
        </w:tc>
      </w:tr>
      <w:tr w14:paraId="22428B5A" w14:textId="77777777" w:rsidTr="007628FE">
        <w:tblPrEx>
          <w:tblW w:w="8447" w:type="dxa"/>
          <w:tblLook w:val="04A0"/>
        </w:tblPrEx>
        <w:trPr>
          <w:trHeight w:val="322"/>
        </w:trPr>
        <w:tc>
          <w:tcPr>
            <w:tcW w:w="3505" w:type="dxa"/>
            <w:noWrap/>
            <w:vAlign w:val="center"/>
          </w:tcPr>
          <w:p w:rsidR="004E4FB5" w:rsidRPr="00307988" w:rsidP="00307988" w14:paraId="64CBA277" w14:textId="686F9FBD">
            <w:pPr>
              <w:pStyle w:val="Default"/>
              <w:rPr>
                <w:rFonts w:ascii="Times New Roman" w:hAnsi="Times New Roman" w:cs="Times New Roman"/>
                <w:sz w:val="20"/>
                <w:szCs w:val="20"/>
              </w:rPr>
            </w:pPr>
            <w:r w:rsidRPr="00307988">
              <w:rPr>
                <w:rFonts w:ascii="Times New Roman" w:hAnsi="Times New Roman" w:cs="Times New Roman"/>
                <w:sz w:val="20"/>
                <w:szCs w:val="20"/>
              </w:rPr>
              <w:t>Federal Costs</w:t>
            </w:r>
          </w:p>
        </w:tc>
        <w:tc>
          <w:tcPr>
            <w:tcW w:w="1816" w:type="dxa"/>
            <w:noWrap/>
            <w:vAlign w:val="center"/>
          </w:tcPr>
          <w:p w:rsidR="004E4FB5" w:rsidRPr="00307988" w:rsidP="00307988" w14:paraId="73248FF6" w14:textId="1D5014E4">
            <w:pPr>
              <w:pStyle w:val="Default"/>
              <w:jc w:val="right"/>
              <w:rPr>
                <w:rFonts w:ascii="Times New Roman" w:hAnsi="Times New Roman" w:cs="Times New Roman"/>
                <w:sz w:val="20"/>
                <w:szCs w:val="20"/>
              </w:rPr>
            </w:pPr>
            <w:r w:rsidRPr="00307988">
              <w:rPr>
                <w:rFonts w:ascii="Times New Roman" w:hAnsi="Times New Roman" w:cs="Times New Roman"/>
                <w:sz w:val="20"/>
                <w:szCs w:val="20"/>
              </w:rPr>
              <w:t>$10,659</w:t>
            </w:r>
          </w:p>
        </w:tc>
        <w:tc>
          <w:tcPr>
            <w:tcW w:w="1694" w:type="dxa"/>
            <w:vAlign w:val="center"/>
          </w:tcPr>
          <w:p w:rsidR="004E4FB5" w:rsidRPr="00307988" w:rsidP="00307988" w14:paraId="5CB3BD50" w14:textId="243E32A4">
            <w:pPr>
              <w:pStyle w:val="Default"/>
              <w:jc w:val="right"/>
              <w:rPr>
                <w:rFonts w:ascii="Times New Roman" w:hAnsi="Times New Roman" w:cs="Times New Roman"/>
                <w:sz w:val="20"/>
                <w:szCs w:val="20"/>
              </w:rPr>
            </w:pPr>
            <w:r w:rsidRPr="00307988">
              <w:rPr>
                <w:rFonts w:ascii="Times New Roman" w:hAnsi="Times New Roman" w:cs="Times New Roman"/>
                <w:sz w:val="20"/>
                <w:szCs w:val="20"/>
              </w:rPr>
              <w:t>$9,954</w:t>
            </w:r>
          </w:p>
        </w:tc>
        <w:tc>
          <w:tcPr>
            <w:tcW w:w="1432" w:type="dxa"/>
            <w:noWrap/>
            <w:vAlign w:val="center"/>
          </w:tcPr>
          <w:p w:rsidR="004E4FB5" w:rsidRPr="00307988" w:rsidP="00307988" w14:paraId="76728418" w14:textId="01297FD2">
            <w:pPr>
              <w:pStyle w:val="Default"/>
              <w:jc w:val="right"/>
              <w:rPr>
                <w:rFonts w:ascii="Times New Roman" w:hAnsi="Times New Roman" w:cs="Times New Roman"/>
                <w:sz w:val="20"/>
                <w:szCs w:val="20"/>
              </w:rPr>
            </w:pPr>
            <w:r w:rsidRPr="00307988">
              <w:rPr>
                <w:rFonts w:ascii="Times New Roman" w:hAnsi="Times New Roman" w:cs="Times New Roman"/>
                <w:sz w:val="20"/>
                <w:szCs w:val="20"/>
              </w:rPr>
              <w:t>-$705</w:t>
            </w:r>
          </w:p>
        </w:tc>
      </w:tr>
      <w:bookmarkEnd w:id="47"/>
    </w:tbl>
    <w:p w:rsidR="00440FD0" w:rsidRPr="00307988" w:rsidP="00307988" w14:paraId="13D6483B" w14:textId="2C462059"/>
    <w:p w:rsidR="00BF6E22" w:rsidRPr="00307988" w:rsidP="00307988" w14:paraId="6FFB8F25" w14:textId="49B37466">
      <w:pPr>
        <w:rPr>
          <w:b/>
          <w:bCs/>
        </w:rPr>
      </w:pPr>
      <w:r w:rsidRPr="00307988">
        <w:rPr>
          <w:b/>
          <w:bCs/>
        </w:rPr>
        <w:t>16.</w:t>
      </w:r>
      <w:r w:rsidRPr="00307988" w:rsidR="007E35A8">
        <w:rPr>
          <w:b/>
          <w:bCs/>
        </w:rPr>
        <w:t xml:space="preserve"> </w:t>
      </w:r>
      <w:r w:rsidRPr="00307988">
        <w:rPr>
          <w:b/>
          <w:bCs/>
        </w:rPr>
        <w:t>For collections of information whose results will be published, outline plans for tabulation, and publication.</w:t>
      </w:r>
      <w:r w:rsidRPr="00307988" w:rsidR="007E35A8">
        <w:rPr>
          <w:b/>
          <w:bCs/>
        </w:rPr>
        <w:t xml:space="preserve"> </w:t>
      </w:r>
      <w:r w:rsidRPr="00307988">
        <w:rPr>
          <w:b/>
          <w:bCs/>
        </w:rPr>
        <w:t>Address any complex analytical techniques that will be used.</w:t>
      </w:r>
      <w:r w:rsidRPr="00307988" w:rsidR="007E35A8">
        <w:rPr>
          <w:b/>
          <w:bCs/>
        </w:rPr>
        <w:t xml:space="preserve"> </w:t>
      </w:r>
      <w:r w:rsidRPr="00307988">
        <w:rPr>
          <w:b/>
          <w:bCs/>
        </w:rPr>
        <w:t>Provide the time schedule for the entire project, including beginning and ending dates of the collection of information, completion of report, publication dates, and other actions.</w:t>
      </w:r>
    </w:p>
    <w:p w:rsidR="00BF6E22" w:rsidRPr="00307988" w:rsidP="00307988" w14:paraId="20AF7A3A" w14:textId="77777777"/>
    <w:p w:rsidR="00BF6E22" w:rsidRPr="00307988" w:rsidP="00307988" w14:paraId="06F0B93F" w14:textId="77777777">
      <w:r w:rsidRPr="00307988">
        <w:t>MSHA does not intend to publish the results of this information collection.</w:t>
      </w:r>
    </w:p>
    <w:p w:rsidR="00BF6E22" w:rsidRPr="00307988" w:rsidP="00307988" w14:paraId="5BFF65E0" w14:textId="77777777"/>
    <w:p w:rsidR="00BF6E22" w:rsidRPr="00307988" w:rsidP="00307988" w14:paraId="6FF420DB" w14:textId="04853F08">
      <w:pPr>
        <w:rPr>
          <w:b/>
          <w:bCs/>
        </w:rPr>
      </w:pPr>
      <w:r w:rsidRPr="00307988">
        <w:rPr>
          <w:b/>
          <w:bCs/>
        </w:rPr>
        <w:t>17.</w:t>
      </w:r>
      <w:r w:rsidRPr="00307988" w:rsidR="007E35A8">
        <w:rPr>
          <w:b/>
          <w:bCs/>
        </w:rPr>
        <w:t xml:space="preserve"> </w:t>
      </w:r>
      <w:r w:rsidRPr="00307988">
        <w:rPr>
          <w:b/>
          <w:bCs/>
        </w:rPr>
        <w:t>If seeking approval to not display the expiration date for OMB approval of the information collection, explain the reasons that display would be inappropriate.</w:t>
      </w:r>
    </w:p>
    <w:p w:rsidR="00BF6E22" w:rsidRPr="00307988" w:rsidP="00307988" w14:paraId="039D73A3" w14:textId="77777777"/>
    <w:p w:rsidR="00BF6E22" w:rsidRPr="00307988" w:rsidP="00307988" w14:paraId="4A69F447" w14:textId="77777777">
      <w:r w:rsidRPr="00307988">
        <w:t>MSHA is not seeking approval to not display the expiration date for OMB approval of this information collection and there is no form associated with this collection.</w:t>
      </w:r>
    </w:p>
    <w:p w:rsidR="00D0267C" w:rsidRPr="00307988" w:rsidP="00307988" w14:paraId="18943C70" w14:textId="666AB3AA">
      <w:pPr>
        <w:widowControl/>
        <w:autoSpaceDE/>
        <w:autoSpaceDN/>
        <w:adjustRightInd/>
        <w:rPr>
          <w:b/>
          <w:bCs/>
        </w:rPr>
      </w:pPr>
    </w:p>
    <w:p w:rsidR="00BF6E22" w:rsidRPr="00307988" w:rsidP="00307988" w14:paraId="234DA17B" w14:textId="435B1728">
      <w:pPr>
        <w:rPr>
          <w:b/>
          <w:bCs/>
        </w:rPr>
      </w:pPr>
      <w:r w:rsidRPr="00307988">
        <w:rPr>
          <w:b/>
          <w:bCs/>
        </w:rPr>
        <w:t>18. Explain each exception to the topics of the certification statement identified in “Certification for Paperwork Reduction Act Submissions.”</w:t>
      </w:r>
    </w:p>
    <w:p w:rsidR="00BF6E22" w:rsidRPr="00307988" w:rsidP="00307988" w14:paraId="7438AC1E" w14:textId="77777777"/>
    <w:p w:rsidR="00BF6E22" w:rsidRPr="00307988" w:rsidP="00307988" w14:paraId="3D300332" w14:textId="77777777">
      <w:r w:rsidRPr="00307988">
        <w:t>There are no certification exceptions identified with this information collection.</w:t>
      </w:r>
    </w:p>
    <w:p w:rsidR="00BF6E22" w:rsidRPr="00307988" w:rsidP="00307988" w14:paraId="75F75839" w14:textId="77777777"/>
    <w:p w:rsidR="00BF6E22" w:rsidRPr="00307988" w:rsidP="00307988" w14:paraId="2D00725A" w14:textId="4C3A230C">
      <w:pPr>
        <w:rPr>
          <w:b/>
          <w:bCs/>
        </w:rPr>
      </w:pPr>
      <w:r w:rsidRPr="00307988">
        <w:rPr>
          <w:b/>
          <w:bCs/>
        </w:rPr>
        <w:t xml:space="preserve">B. Collections of </w:t>
      </w:r>
      <w:r w:rsidRPr="00307988" w:rsidR="009D7943">
        <w:rPr>
          <w:b/>
          <w:bCs/>
        </w:rPr>
        <w:t>i</w:t>
      </w:r>
      <w:r w:rsidRPr="00307988">
        <w:rPr>
          <w:b/>
          <w:bCs/>
        </w:rPr>
        <w:t xml:space="preserve">nformation </w:t>
      </w:r>
      <w:r w:rsidRPr="00307988" w:rsidR="009D7943">
        <w:rPr>
          <w:b/>
          <w:bCs/>
        </w:rPr>
        <w:t>e</w:t>
      </w:r>
      <w:r w:rsidRPr="00307988">
        <w:rPr>
          <w:b/>
          <w:bCs/>
        </w:rPr>
        <w:t xml:space="preserve">mploying </w:t>
      </w:r>
      <w:r w:rsidRPr="00307988" w:rsidR="009D7943">
        <w:rPr>
          <w:b/>
          <w:bCs/>
        </w:rPr>
        <w:t>s</w:t>
      </w:r>
      <w:r w:rsidRPr="00307988">
        <w:rPr>
          <w:b/>
          <w:bCs/>
        </w:rPr>
        <w:t xml:space="preserve">tatistical </w:t>
      </w:r>
      <w:r w:rsidRPr="00307988" w:rsidR="009D7943">
        <w:rPr>
          <w:b/>
          <w:bCs/>
        </w:rPr>
        <w:t>m</w:t>
      </w:r>
      <w:r w:rsidRPr="00307988">
        <w:rPr>
          <w:b/>
          <w:bCs/>
        </w:rPr>
        <w:t>ethods</w:t>
      </w:r>
    </w:p>
    <w:p w:rsidR="00BF6E22" w:rsidRPr="00307988" w:rsidP="00307988" w14:paraId="052FB30D" w14:textId="77777777"/>
    <w:p w:rsidR="00BF6E22" w:rsidRPr="00307988" w:rsidP="00307988" w14:paraId="1953C05D" w14:textId="11F4B0B9">
      <w:r w:rsidRPr="00307988">
        <w:t>As statistical analysis is not required by the regulation, questions 1 through 5 do not apply.</w:t>
      </w: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TUR">
    <w:altName w:val="Courier New"/>
    <w:charset w:val="00"/>
    <w:family w:val="modern"/>
    <w:pitch w:val="fixed"/>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BKHFG M+ Courier">
    <w:altName w:val="Courier New"/>
    <w:panose1 w:val="00000000000000000000"/>
    <w:charset w:val="00"/>
    <w:family w:val="moder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52285403"/>
      <w:docPartObj>
        <w:docPartGallery w:val="Page Numbers (Bottom of Page)"/>
        <w:docPartUnique/>
      </w:docPartObj>
    </w:sdtPr>
    <w:sdtEndPr>
      <w:rPr>
        <w:noProof/>
      </w:rPr>
    </w:sdtEndPr>
    <w:sdtContent>
      <w:p w:rsidR="00486656" w:rsidRPr="007628FE" w14:paraId="2E67DFAF" w14:textId="30071FF2">
        <w:pPr>
          <w:pStyle w:val="Footer"/>
          <w:jc w:val="center"/>
        </w:pPr>
        <w:r w:rsidRPr="007628FE">
          <w:fldChar w:fldCharType="begin"/>
        </w:r>
        <w:r w:rsidRPr="007628FE">
          <w:instrText xml:space="preserve"> PAGE   \* MERGEFORMAT </w:instrText>
        </w:r>
        <w:r w:rsidRPr="007628FE">
          <w:fldChar w:fldCharType="separate"/>
        </w:r>
        <w:r w:rsidRPr="007628FE">
          <w:rPr>
            <w:noProof/>
          </w:rPr>
          <w:t>2</w:t>
        </w:r>
        <w:r w:rsidRPr="007628FE">
          <w:rPr>
            <w:noProof/>
          </w:rPr>
          <w:fldChar w:fldCharType="end"/>
        </w:r>
      </w:p>
    </w:sdtContent>
  </w:sdt>
  <w:p w:rsidR="002B7F3A" w14:paraId="54AC582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451FC" w:rsidP="008F7DDE" w14:paraId="6A6A71B5" w14:textId="77777777">
      <w:r>
        <w:separator/>
      </w:r>
    </w:p>
  </w:footnote>
  <w:footnote w:type="continuationSeparator" w:id="1">
    <w:p w:rsidR="00B451FC" w:rsidP="008F7DDE" w14:paraId="5C3F68A0" w14:textId="77777777">
      <w:r>
        <w:continuationSeparator/>
      </w:r>
    </w:p>
  </w:footnote>
  <w:footnote w:type="continuationNotice" w:id="2">
    <w:p w:rsidR="00B451FC" w14:paraId="495A6C04" w14:textId="77777777"/>
  </w:footnote>
  <w:footnote w:id="3">
    <w:p w:rsidR="00985257" w:rsidRPr="00F72BA5" w:rsidP="00B227F0" w14:paraId="6A68CC1A" w14:textId="6B2E10D5">
      <w:pPr>
        <w:pStyle w:val="FootnoteText"/>
      </w:pPr>
      <w:bookmarkStart w:id="17" w:name="_Hlk189055246"/>
      <w:bookmarkStart w:id="18" w:name="_Hlk189055216"/>
      <w:r w:rsidRPr="00F72BA5">
        <w:rPr>
          <w:rStyle w:val="FootnoteReference"/>
        </w:rPr>
        <w:footnoteRef/>
      </w:r>
      <w:r w:rsidRPr="00F72BA5">
        <w:t xml:space="preserve"> </w:t>
      </w:r>
      <w:bookmarkEnd w:id="17"/>
      <w:r w:rsidRPr="00F72BA5">
        <w:t>For all wage rates,</w:t>
      </w:r>
      <w:r w:rsidR="004D3B38">
        <w:t xml:space="preserve"> including Federal wage rates,</w:t>
      </w:r>
      <w:r w:rsidRPr="00F72BA5">
        <w:t xml:space="preserve"> MSHA use</w:t>
      </w:r>
      <w:r w:rsidR="00965B90">
        <w:t>s</w:t>
      </w:r>
      <w:r w:rsidRPr="00F72BA5">
        <w:t xml:space="preserve"> the relevant precision throughout the calculation to avoid compound rounding errors and rounds at the final rate value. Displayed intermediate calculation values are presented to explain the calculation and are representative, but the final rate value reflects the correct rounding and final estimate.</w:t>
      </w:r>
    </w:p>
    <w:bookmarkEnd w:id="18"/>
    <w:p w:rsidR="00B227F0" w:rsidRPr="00F72BA5" w:rsidP="00B227F0" w14:paraId="2205EF57" w14:textId="77777777">
      <w:pPr>
        <w:pStyle w:val="FootnoteText"/>
      </w:pPr>
    </w:p>
  </w:footnote>
  <w:footnote w:id="4">
    <w:p w:rsidR="00B227F0" w:rsidRPr="00F72BA5" w:rsidP="00B227F0" w14:paraId="58BBB219" w14:textId="5646FCF7">
      <w:pPr>
        <w:pStyle w:val="FootnoteText"/>
      </w:pPr>
      <w:r w:rsidRPr="00F72BA5">
        <w:rPr>
          <w:rStyle w:val="FootnoteReference"/>
        </w:rPr>
        <w:footnoteRef/>
      </w:r>
      <w:r w:rsidRPr="00F72BA5">
        <w:rPr>
          <w:rStyle w:val="FootnoteReference"/>
        </w:rPr>
        <w:t xml:space="preserve"> </w:t>
      </w:r>
      <w:r w:rsidRPr="00F72BA5">
        <w:rPr>
          <w:rStyle w:val="ui-provider"/>
        </w:rPr>
        <w:t>To obtain OEWS data, follow BLS’s directions in its Frequently Asked Questions: “E. How to get OEWS data. 4. What are the different ways to obtain OEWS estimates from this website?”</w:t>
      </w:r>
      <w:r w:rsidR="002A01B1">
        <w:rPr>
          <w:rStyle w:val="ui-provider"/>
        </w:rPr>
        <w:t xml:space="preserve"> </w:t>
      </w:r>
      <w:r w:rsidRPr="00F72BA5">
        <w:rPr>
          <w:rStyle w:val="ui-provider"/>
        </w:rPr>
        <w:t>at </w:t>
      </w:r>
      <w:hyperlink r:id="rId1" w:tgtFrame="_blank" w:tooltip="https://www.bls.gov/oes/oes_ques.htm" w:history="1">
        <w:r w:rsidRPr="00F72BA5">
          <w:rPr>
            <w:rStyle w:val="Hyperlink"/>
          </w:rPr>
          <w:t>https://www.bls.gov/oes/oes_ques.htm</w:t>
        </w:r>
      </w:hyperlink>
      <w:r w:rsidRPr="00F72BA5">
        <w:t xml:space="preserve">. </w:t>
      </w:r>
      <w:bookmarkStart w:id="20" w:name="_Hlk172026849"/>
      <w:r w:rsidRPr="002A01B1" w:rsidR="002A01B1">
        <w:t>The average wage rate is calculated as the employment-weighted average of hourly mean wages for the occupation.</w:t>
      </w:r>
    </w:p>
    <w:bookmarkEnd w:id="20"/>
    <w:p w:rsidR="00B227F0" w:rsidRPr="00F72BA5" w:rsidP="00B227F0" w14:paraId="33AC4C96" w14:textId="77777777">
      <w:pPr>
        <w:pStyle w:val="FootnoteText"/>
      </w:pPr>
    </w:p>
  </w:footnote>
  <w:footnote w:id="5">
    <w:p w:rsidR="00B227F0" w:rsidRPr="00F72BA5" w:rsidP="00B227F0" w14:paraId="7402F8B8" w14:textId="1031510C">
      <w:pPr>
        <w:pStyle w:val="FootnoteText"/>
      </w:pPr>
      <w:r w:rsidRPr="00F72BA5">
        <w:rPr>
          <w:rStyle w:val="FootnoteReference"/>
        </w:rPr>
        <w:footnoteRef/>
      </w:r>
      <w:r w:rsidRPr="00F72BA5">
        <w:t xml:space="preserve"> The benefit multiplier comes from BLS Employer Costs for Employee Compensation accessed by menu at </w:t>
      </w:r>
      <w:hyperlink r:id="rId2" w:history="1">
        <w:r w:rsidRPr="00F72BA5">
          <w:rPr>
            <w:rStyle w:val="Hyperlink"/>
          </w:rPr>
          <w:t>http://data.bls.gov/cgi-bin/srgate</w:t>
        </w:r>
      </w:hyperlink>
      <w:r w:rsidRPr="00F72BA5">
        <w:t xml:space="preserve"> or directly at </w:t>
      </w:r>
      <w:hyperlink r:id="rId3" w:history="1">
        <w:r w:rsidRPr="00F72BA5">
          <w:rPr>
            <w:rStyle w:val="Hyperlink"/>
          </w:rPr>
          <w:t>http://download.bls.gov/pub/time.series/cm/cm.data.0.Current</w:t>
        </w:r>
      </w:hyperlink>
      <w:r w:rsidRPr="00F72BA5">
        <w:t>. Insert the data series CMU2030000405000D and CMU2030000405000P, Private Industry Total benefits for Construction, extraction, farming, fishing, and forestry occupations, which is divided by 100 to convert to a decimal value. MSHA use</w:t>
      </w:r>
      <w:r w:rsidR="0045114A">
        <w:t>s</w:t>
      </w:r>
      <w:r w:rsidRPr="00F72BA5">
        <w:t xml:space="preserve"> the latest 4-quarter moving average to determine what percent of total loaded wages are benefits. MSHA computes the benefit multiplier with a number of detailed calculations, but it may be approximated with the formula 1 + (benefit percentage</w:t>
      </w:r>
      <w:r w:rsidR="00E16933">
        <w:t xml:space="preserve"> </w:t>
      </w:r>
      <w:r w:rsidRPr="00F72BA5">
        <w:t>/</w:t>
      </w:r>
      <w:r w:rsidR="00E16933">
        <w:t xml:space="preserve"> </w:t>
      </w:r>
      <w:r w:rsidRPr="00F72BA5">
        <w:t>(1-benefit percentage)).</w:t>
      </w:r>
    </w:p>
    <w:p w:rsidR="00B227F0" w:rsidRPr="00F72BA5" w:rsidP="00B227F0" w14:paraId="310CB011" w14:textId="77777777">
      <w:pPr>
        <w:pStyle w:val="FootnoteText"/>
      </w:pPr>
    </w:p>
  </w:footnote>
  <w:footnote w:id="6">
    <w:p w:rsidR="00B227F0" w:rsidRPr="00F72BA5" w:rsidP="00B227F0" w14:paraId="4ECB5484" w14:textId="4EFEE7E4">
      <w:pPr>
        <w:pStyle w:val="FootnoteText"/>
      </w:pPr>
      <w:r w:rsidRPr="00F72BA5">
        <w:rPr>
          <w:rStyle w:val="FootnoteReference"/>
        </w:rPr>
        <w:footnoteRef/>
      </w:r>
      <w:r w:rsidRPr="00F72BA5">
        <w:rPr>
          <w:rStyle w:val="FootnoteReference"/>
        </w:rPr>
        <w:t xml:space="preserve"> </w:t>
      </w:r>
      <w:r w:rsidRPr="00F72BA5">
        <w:t>Wage inflation is the change in Series ID: CIS2020000405000I; Seasonally adjusted; Series Title: Wages and salaries for Private industry workers in Construction, extraction, farming, fishing, and forestry occupations, Index. (</w:t>
      </w:r>
      <w:hyperlink r:id="rId4" w:history="1">
        <w:r w:rsidRPr="00F72BA5">
          <w:rPr>
            <w:rStyle w:val="Hyperlink"/>
          </w:rPr>
          <w:t>https://data.bls.gov/cgi-bin/srgate</w:t>
        </w:r>
      </w:hyperlink>
      <w:r w:rsidRPr="00F72BA5">
        <w:t>; Inflation Multiplier = (Current Quarter Cost Index Value / OEWS Wage Base Quarter Index Value).</w:t>
      </w:r>
    </w:p>
    <w:p w:rsidR="00B227F0" w:rsidRPr="00F72BA5" w:rsidP="00B227F0" w14:paraId="69762BB6" w14:textId="77777777">
      <w:pPr>
        <w:pStyle w:val="FootnoteText"/>
      </w:pPr>
    </w:p>
  </w:footnote>
  <w:footnote w:id="7">
    <w:p w:rsidR="00717914" w:rsidRPr="00F72BA5" w14:paraId="72DF9276" w14:textId="10063D0F">
      <w:pPr>
        <w:pStyle w:val="FootnoteText"/>
      </w:pPr>
      <w:r w:rsidRPr="00F72BA5">
        <w:rPr>
          <w:rStyle w:val="FootnoteReference"/>
        </w:rPr>
        <w:footnoteRef/>
      </w:r>
      <w:r w:rsidRPr="00F72BA5">
        <w:t xml:space="preserve"> </w:t>
      </w:r>
      <w:r w:rsidRPr="00883AE8" w:rsidR="00883AE8">
        <w:t>MSHA use</w:t>
      </w:r>
      <w:r w:rsidR="00965B90">
        <w:t>s</w:t>
      </w:r>
      <w:r w:rsidRPr="00883AE8" w:rsidR="00883AE8">
        <w:t xml:space="preserve"> an overhead rate of 1 percent. The mining environment generally involves very little overhead, especially costs associated with workers engaged in administrative or clerical tasks.</w:t>
      </w:r>
      <w:r w:rsidRPr="00883AE8" w:rsidR="00883AE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7CC1" w:rsidRPr="002869B3" w:rsidP="005F2600" w14:paraId="1B93B6F4" w14:textId="5C9CA0C8">
    <w:pPr>
      <w:pStyle w:val="Header"/>
    </w:pPr>
    <w:r w:rsidRPr="00997CC1">
      <w:t xml:space="preserve">Applications for Permits to Fire more than 20 Boreholes and for Use of Nonpermissible Blasting Units, Explosives, and Shot-Firing Units; and Posting Notices of Misfires </w:t>
    </w:r>
  </w:p>
  <w:p w:rsidR="005F2600" w:rsidRPr="005F2600" w:rsidP="005F2600" w14:paraId="7E1D1D4B" w14:textId="7FD0FCFB">
    <w:pPr>
      <w:pStyle w:val="Header"/>
    </w:pPr>
    <w:r w:rsidRPr="005F2600">
      <w:t>OMB Control N</w:t>
    </w:r>
    <w:r w:rsidR="0034283F">
      <w:t>umber</w:t>
    </w:r>
    <w:r w:rsidRPr="005F2600">
      <w:t>: 1219-</w:t>
    </w:r>
    <w:r w:rsidR="00393806">
      <w:t>0025</w:t>
    </w:r>
  </w:p>
  <w:p w:rsidR="005F2600" w14:paraId="3A8C5B1D" w14:textId="4C200058">
    <w:pPr>
      <w:pStyle w:val="Header"/>
    </w:pPr>
    <w:r w:rsidRPr="005F2600">
      <w:t xml:space="preserve">OMB Expiration Date: </w:t>
    </w:r>
    <w:r w:rsidR="00393806">
      <w:t>12</w:t>
    </w:r>
    <w:r w:rsidRPr="005F2600">
      <w:t>/</w:t>
    </w:r>
    <w:r w:rsidR="00393806">
      <w:t>31</w:t>
    </w:r>
    <w:r w:rsidRPr="005F2600">
      <w:t>/202</w:t>
    </w:r>
    <w:r w:rsidR="00393806">
      <w:t>5</w:t>
    </w:r>
  </w:p>
  <w:p w:rsidR="005F2600" w14:paraId="06B9D3B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BE0D38"/>
    <w:multiLevelType w:val="hybridMultilevel"/>
    <w:tmpl w:val="4E9AF09E"/>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E025BE5"/>
    <w:multiLevelType w:val="hybridMultilevel"/>
    <w:tmpl w:val="241463CC"/>
    <w:lvl w:ilvl="0">
      <w:start w:val="1"/>
      <w:numFmt w:val="upperRoman"/>
      <w:lvlText w:val="%1."/>
      <w:lvlJc w:val="left"/>
      <w:pPr>
        <w:ind w:left="1080" w:hanging="720"/>
      </w:pPr>
      <w:rPr>
        <w:rFonts w:eastAsia="Times New Roman"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3855D28"/>
    <w:multiLevelType w:val="hybridMultilevel"/>
    <w:tmpl w:val="C6041B30"/>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879760B"/>
    <w:multiLevelType w:val="hybridMultilevel"/>
    <w:tmpl w:val="91060AA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9031133"/>
    <w:multiLevelType w:val="hybridMultilevel"/>
    <w:tmpl w:val="7916C29E"/>
    <w:lvl w:ilvl="0">
      <w:start w:val="1"/>
      <w:numFmt w:val="upp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C323A4A"/>
    <w:multiLevelType w:val="hybridMultilevel"/>
    <w:tmpl w:val="E488DA7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F371207"/>
    <w:multiLevelType w:val="hybridMultilevel"/>
    <w:tmpl w:val="B224A9DE"/>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29370FF"/>
    <w:multiLevelType w:val="hybridMultilevel"/>
    <w:tmpl w:val="4B964AA6"/>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3A906DA"/>
    <w:multiLevelType w:val="hybridMultilevel"/>
    <w:tmpl w:val="899EFF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91A6A39"/>
    <w:multiLevelType w:val="hybridMultilevel"/>
    <w:tmpl w:val="C9043A52"/>
    <w:lvl w:ilvl="0">
      <w:start w:val="1"/>
      <w:numFmt w:val="upp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021732D"/>
    <w:multiLevelType w:val="hybridMultilevel"/>
    <w:tmpl w:val="EC5291D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7251F6A"/>
    <w:multiLevelType w:val="hybridMultilevel"/>
    <w:tmpl w:val="B050797A"/>
    <w:lvl w:ilvl="0">
      <w:start w:val="2"/>
      <w:numFmt w:val="upp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F3F74CA"/>
    <w:multiLevelType w:val="hybridMultilevel"/>
    <w:tmpl w:val="8054B0F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8796D21"/>
    <w:multiLevelType w:val="hybridMultilevel"/>
    <w:tmpl w:val="9D4861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C1C770F"/>
    <w:multiLevelType w:val="hybridMultilevel"/>
    <w:tmpl w:val="8054B0F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2744BE3"/>
    <w:multiLevelType w:val="hybridMultilevel"/>
    <w:tmpl w:val="A35EC4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47C32AA"/>
    <w:multiLevelType w:val="hybridMultilevel"/>
    <w:tmpl w:val="C9043A52"/>
    <w:lvl w:ilvl="0">
      <w:start w:val="1"/>
      <w:numFmt w:val="upp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59C5BFB"/>
    <w:multiLevelType w:val="hybridMultilevel"/>
    <w:tmpl w:val="3BF2FDCC"/>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7610D5C"/>
    <w:multiLevelType w:val="hybridMultilevel"/>
    <w:tmpl w:val="12D0130C"/>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E29435D"/>
    <w:multiLevelType w:val="hybridMultilevel"/>
    <w:tmpl w:val="0A7C8F58"/>
    <w:lvl w:ilvl="0">
      <w:start w:val="1"/>
      <w:numFmt w:val="upp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18998352">
    <w:abstractNumId w:val="15"/>
  </w:num>
  <w:num w:numId="2" w16cid:durableId="150290488">
    <w:abstractNumId w:val="8"/>
  </w:num>
  <w:num w:numId="3" w16cid:durableId="1674651207">
    <w:abstractNumId w:val="4"/>
  </w:num>
  <w:num w:numId="4" w16cid:durableId="1621256169">
    <w:abstractNumId w:val="6"/>
  </w:num>
  <w:num w:numId="5" w16cid:durableId="510918898">
    <w:abstractNumId w:val="3"/>
  </w:num>
  <w:num w:numId="6" w16cid:durableId="579600951">
    <w:abstractNumId w:val="5"/>
  </w:num>
  <w:num w:numId="7" w16cid:durableId="1133324415">
    <w:abstractNumId w:val="18"/>
  </w:num>
  <w:num w:numId="8" w16cid:durableId="1291131469">
    <w:abstractNumId w:val="12"/>
  </w:num>
  <w:num w:numId="9" w16cid:durableId="1525441457">
    <w:abstractNumId w:val="14"/>
  </w:num>
  <w:num w:numId="10" w16cid:durableId="1831020027">
    <w:abstractNumId w:val="13"/>
  </w:num>
  <w:num w:numId="11" w16cid:durableId="251738593">
    <w:abstractNumId w:val="10"/>
  </w:num>
  <w:num w:numId="12" w16cid:durableId="774373476">
    <w:abstractNumId w:val="7"/>
  </w:num>
  <w:num w:numId="13" w16cid:durableId="178810899">
    <w:abstractNumId w:val="17"/>
  </w:num>
  <w:num w:numId="14" w16cid:durableId="595405936">
    <w:abstractNumId w:val="19"/>
  </w:num>
  <w:num w:numId="15" w16cid:durableId="1419404341">
    <w:abstractNumId w:val="0"/>
  </w:num>
  <w:num w:numId="16" w16cid:durableId="229777408">
    <w:abstractNumId w:val="11"/>
  </w:num>
  <w:num w:numId="17" w16cid:durableId="696929500">
    <w:abstractNumId w:val="16"/>
  </w:num>
  <w:num w:numId="18" w16cid:durableId="1375887576">
    <w:abstractNumId w:val="9"/>
  </w:num>
  <w:num w:numId="19" w16cid:durableId="1727531872">
    <w:abstractNumId w:val="1"/>
  </w:num>
  <w:num w:numId="20" w16cid:durableId="1458062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DDE"/>
    <w:rsid w:val="0000078D"/>
    <w:rsid w:val="00013AE9"/>
    <w:rsid w:val="00014B2D"/>
    <w:rsid w:val="00044393"/>
    <w:rsid w:val="00047D03"/>
    <w:rsid w:val="00052BD8"/>
    <w:rsid w:val="00054CF2"/>
    <w:rsid w:val="0006198A"/>
    <w:rsid w:val="00064A13"/>
    <w:rsid w:val="0009243F"/>
    <w:rsid w:val="000A1F21"/>
    <w:rsid w:val="000B1BBB"/>
    <w:rsid w:val="000B4BBE"/>
    <w:rsid w:val="000C4082"/>
    <w:rsid w:val="000C6DA9"/>
    <w:rsid w:val="000D5FB5"/>
    <w:rsid w:val="000E39D5"/>
    <w:rsid w:val="000E6F0E"/>
    <w:rsid w:val="000F4604"/>
    <w:rsid w:val="000F6D56"/>
    <w:rsid w:val="00102205"/>
    <w:rsid w:val="00116BCF"/>
    <w:rsid w:val="001173F9"/>
    <w:rsid w:val="001231DD"/>
    <w:rsid w:val="0012509D"/>
    <w:rsid w:val="00133719"/>
    <w:rsid w:val="00136CA4"/>
    <w:rsid w:val="0014126B"/>
    <w:rsid w:val="001475F6"/>
    <w:rsid w:val="001477F7"/>
    <w:rsid w:val="00147FD3"/>
    <w:rsid w:val="00150533"/>
    <w:rsid w:val="0015585D"/>
    <w:rsid w:val="001576A1"/>
    <w:rsid w:val="00166B7C"/>
    <w:rsid w:val="00173FC7"/>
    <w:rsid w:val="00174597"/>
    <w:rsid w:val="00182BF3"/>
    <w:rsid w:val="0019037B"/>
    <w:rsid w:val="00191BFC"/>
    <w:rsid w:val="001935AE"/>
    <w:rsid w:val="001A28D4"/>
    <w:rsid w:val="001B0307"/>
    <w:rsid w:val="001B2868"/>
    <w:rsid w:val="001B41E5"/>
    <w:rsid w:val="001C1D1E"/>
    <w:rsid w:val="001C4004"/>
    <w:rsid w:val="001D40A5"/>
    <w:rsid w:val="001E10C1"/>
    <w:rsid w:val="001E5D59"/>
    <w:rsid w:val="0020537B"/>
    <w:rsid w:val="00213993"/>
    <w:rsid w:val="00225231"/>
    <w:rsid w:val="00226269"/>
    <w:rsid w:val="00226C01"/>
    <w:rsid w:val="00227035"/>
    <w:rsid w:val="00232594"/>
    <w:rsid w:val="00236BA7"/>
    <w:rsid w:val="00236EC9"/>
    <w:rsid w:val="00243236"/>
    <w:rsid w:val="00244765"/>
    <w:rsid w:val="002541CF"/>
    <w:rsid w:val="00256CF7"/>
    <w:rsid w:val="00267BD6"/>
    <w:rsid w:val="002735BE"/>
    <w:rsid w:val="00276D02"/>
    <w:rsid w:val="00281E99"/>
    <w:rsid w:val="00282329"/>
    <w:rsid w:val="002869B3"/>
    <w:rsid w:val="00287411"/>
    <w:rsid w:val="0029325D"/>
    <w:rsid w:val="0029332E"/>
    <w:rsid w:val="00294924"/>
    <w:rsid w:val="00296458"/>
    <w:rsid w:val="002A01B1"/>
    <w:rsid w:val="002A32C5"/>
    <w:rsid w:val="002A413D"/>
    <w:rsid w:val="002A4C25"/>
    <w:rsid w:val="002A6775"/>
    <w:rsid w:val="002B663F"/>
    <w:rsid w:val="002B7F3A"/>
    <w:rsid w:val="002C0622"/>
    <w:rsid w:val="002D0F05"/>
    <w:rsid w:val="002D52D2"/>
    <w:rsid w:val="002D76E8"/>
    <w:rsid w:val="002E6374"/>
    <w:rsid w:val="002F57C6"/>
    <w:rsid w:val="0030264E"/>
    <w:rsid w:val="003049D9"/>
    <w:rsid w:val="00307988"/>
    <w:rsid w:val="003123CC"/>
    <w:rsid w:val="00324BEF"/>
    <w:rsid w:val="00330944"/>
    <w:rsid w:val="0033291C"/>
    <w:rsid w:val="00334081"/>
    <w:rsid w:val="00337135"/>
    <w:rsid w:val="0034283F"/>
    <w:rsid w:val="00343B17"/>
    <w:rsid w:val="003447B5"/>
    <w:rsid w:val="00352F18"/>
    <w:rsid w:val="00355BCC"/>
    <w:rsid w:val="00370D01"/>
    <w:rsid w:val="003752D3"/>
    <w:rsid w:val="003930C8"/>
    <w:rsid w:val="00393806"/>
    <w:rsid w:val="00396781"/>
    <w:rsid w:val="00397733"/>
    <w:rsid w:val="003A2414"/>
    <w:rsid w:val="003B207A"/>
    <w:rsid w:val="003C497A"/>
    <w:rsid w:val="003D2E5A"/>
    <w:rsid w:val="003D4AAC"/>
    <w:rsid w:val="003D671C"/>
    <w:rsid w:val="003D7437"/>
    <w:rsid w:val="003D7AD7"/>
    <w:rsid w:val="003E5A01"/>
    <w:rsid w:val="003E5DB2"/>
    <w:rsid w:val="003E65AB"/>
    <w:rsid w:val="004015FA"/>
    <w:rsid w:val="00404CA4"/>
    <w:rsid w:val="004070C7"/>
    <w:rsid w:val="00415311"/>
    <w:rsid w:val="0042640E"/>
    <w:rsid w:val="0043047A"/>
    <w:rsid w:val="004334FA"/>
    <w:rsid w:val="00434266"/>
    <w:rsid w:val="00440FD0"/>
    <w:rsid w:val="00444A43"/>
    <w:rsid w:val="0045114A"/>
    <w:rsid w:val="004639F6"/>
    <w:rsid w:val="00476DB9"/>
    <w:rsid w:val="00481BE5"/>
    <w:rsid w:val="004826E9"/>
    <w:rsid w:val="00486656"/>
    <w:rsid w:val="004871C7"/>
    <w:rsid w:val="0049087D"/>
    <w:rsid w:val="00495D0A"/>
    <w:rsid w:val="004965C4"/>
    <w:rsid w:val="004B66F7"/>
    <w:rsid w:val="004C01B4"/>
    <w:rsid w:val="004C1454"/>
    <w:rsid w:val="004D00D5"/>
    <w:rsid w:val="004D3B38"/>
    <w:rsid w:val="004D5C03"/>
    <w:rsid w:val="004E22B2"/>
    <w:rsid w:val="004E4FB5"/>
    <w:rsid w:val="004E6A42"/>
    <w:rsid w:val="004E7140"/>
    <w:rsid w:val="004F1BB3"/>
    <w:rsid w:val="004F5226"/>
    <w:rsid w:val="00506174"/>
    <w:rsid w:val="00511E47"/>
    <w:rsid w:val="005214A0"/>
    <w:rsid w:val="005222DB"/>
    <w:rsid w:val="005229B1"/>
    <w:rsid w:val="00522EC1"/>
    <w:rsid w:val="005237EA"/>
    <w:rsid w:val="00523CC5"/>
    <w:rsid w:val="00526725"/>
    <w:rsid w:val="00526A8C"/>
    <w:rsid w:val="0053086A"/>
    <w:rsid w:val="00541732"/>
    <w:rsid w:val="005448B0"/>
    <w:rsid w:val="00547B51"/>
    <w:rsid w:val="00550EE3"/>
    <w:rsid w:val="00567826"/>
    <w:rsid w:val="00570010"/>
    <w:rsid w:val="005762A1"/>
    <w:rsid w:val="005821B3"/>
    <w:rsid w:val="0058734D"/>
    <w:rsid w:val="00587547"/>
    <w:rsid w:val="00587619"/>
    <w:rsid w:val="0059136E"/>
    <w:rsid w:val="005916FB"/>
    <w:rsid w:val="0059734E"/>
    <w:rsid w:val="005A03A5"/>
    <w:rsid w:val="005A0497"/>
    <w:rsid w:val="005A0BDD"/>
    <w:rsid w:val="005B37DA"/>
    <w:rsid w:val="005C0294"/>
    <w:rsid w:val="005C4DD0"/>
    <w:rsid w:val="005D1278"/>
    <w:rsid w:val="005D15DB"/>
    <w:rsid w:val="005E0AC8"/>
    <w:rsid w:val="005E298F"/>
    <w:rsid w:val="005E34A7"/>
    <w:rsid w:val="005E589E"/>
    <w:rsid w:val="005F2070"/>
    <w:rsid w:val="005F2600"/>
    <w:rsid w:val="005F5DD1"/>
    <w:rsid w:val="0060017B"/>
    <w:rsid w:val="00623AF3"/>
    <w:rsid w:val="00641F0B"/>
    <w:rsid w:val="00645AD8"/>
    <w:rsid w:val="00650BDA"/>
    <w:rsid w:val="0065264F"/>
    <w:rsid w:val="006543ED"/>
    <w:rsid w:val="00665499"/>
    <w:rsid w:val="00670251"/>
    <w:rsid w:val="00675C9A"/>
    <w:rsid w:val="0067779A"/>
    <w:rsid w:val="00686001"/>
    <w:rsid w:val="00686081"/>
    <w:rsid w:val="0069248F"/>
    <w:rsid w:val="00693C15"/>
    <w:rsid w:val="0069721B"/>
    <w:rsid w:val="006A05E7"/>
    <w:rsid w:val="006A7860"/>
    <w:rsid w:val="006B44B0"/>
    <w:rsid w:val="006C29C4"/>
    <w:rsid w:val="006C4EAD"/>
    <w:rsid w:val="006E46BE"/>
    <w:rsid w:val="006E6E0F"/>
    <w:rsid w:val="006E7096"/>
    <w:rsid w:val="006F1B13"/>
    <w:rsid w:val="007035F5"/>
    <w:rsid w:val="00715424"/>
    <w:rsid w:val="0071655A"/>
    <w:rsid w:val="00717914"/>
    <w:rsid w:val="007242E5"/>
    <w:rsid w:val="00725CCD"/>
    <w:rsid w:val="00760C09"/>
    <w:rsid w:val="007628FE"/>
    <w:rsid w:val="00771811"/>
    <w:rsid w:val="007734DB"/>
    <w:rsid w:val="00774109"/>
    <w:rsid w:val="0078084A"/>
    <w:rsid w:val="0078547A"/>
    <w:rsid w:val="007863E3"/>
    <w:rsid w:val="00787C4B"/>
    <w:rsid w:val="00790714"/>
    <w:rsid w:val="007975AA"/>
    <w:rsid w:val="007A35F2"/>
    <w:rsid w:val="007A6B63"/>
    <w:rsid w:val="007A6FD8"/>
    <w:rsid w:val="007B15C5"/>
    <w:rsid w:val="007B2675"/>
    <w:rsid w:val="007C3301"/>
    <w:rsid w:val="007C50C3"/>
    <w:rsid w:val="007C69B4"/>
    <w:rsid w:val="007D0B90"/>
    <w:rsid w:val="007D250C"/>
    <w:rsid w:val="007D370D"/>
    <w:rsid w:val="007D6934"/>
    <w:rsid w:val="007E25D1"/>
    <w:rsid w:val="007E3200"/>
    <w:rsid w:val="007E35A8"/>
    <w:rsid w:val="007E5D54"/>
    <w:rsid w:val="007E6F31"/>
    <w:rsid w:val="007F14C4"/>
    <w:rsid w:val="007F7B38"/>
    <w:rsid w:val="0080539E"/>
    <w:rsid w:val="00812CC1"/>
    <w:rsid w:val="00815310"/>
    <w:rsid w:val="00817660"/>
    <w:rsid w:val="008214EE"/>
    <w:rsid w:val="0082378A"/>
    <w:rsid w:val="008353BB"/>
    <w:rsid w:val="008354DA"/>
    <w:rsid w:val="00844D63"/>
    <w:rsid w:val="00850E32"/>
    <w:rsid w:val="00852693"/>
    <w:rsid w:val="00857854"/>
    <w:rsid w:val="00861B3F"/>
    <w:rsid w:val="008665F7"/>
    <w:rsid w:val="00867990"/>
    <w:rsid w:val="00877AAC"/>
    <w:rsid w:val="00883AE8"/>
    <w:rsid w:val="00887A82"/>
    <w:rsid w:val="00896AAE"/>
    <w:rsid w:val="008A1158"/>
    <w:rsid w:val="008A37DA"/>
    <w:rsid w:val="008B3F57"/>
    <w:rsid w:val="008C0F50"/>
    <w:rsid w:val="008C1DCB"/>
    <w:rsid w:val="008C1F83"/>
    <w:rsid w:val="008C3F7A"/>
    <w:rsid w:val="008C6C20"/>
    <w:rsid w:val="008D4232"/>
    <w:rsid w:val="008E0692"/>
    <w:rsid w:val="008E6AFA"/>
    <w:rsid w:val="008E7CC4"/>
    <w:rsid w:val="008F149A"/>
    <w:rsid w:val="008F78B4"/>
    <w:rsid w:val="008F7DDE"/>
    <w:rsid w:val="00901B46"/>
    <w:rsid w:val="00931E96"/>
    <w:rsid w:val="00942C27"/>
    <w:rsid w:val="00943646"/>
    <w:rsid w:val="00952C31"/>
    <w:rsid w:val="00953221"/>
    <w:rsid w:val="00965B90"/>
    <w:rsid w:val="009706F4"/>
    <w:rsid w:val="00974E17"/>
    <w:rsid w:val="0098144C"/>
    <w:rsid w:val="00985257"/>
    <w:rsid w:val="00986BFD"/>
    <w:rsid w:val="009872AE"/>
    <w:rsid w:val="009918CD"/>
    <w:rsid w:val="00994FB8"/>
    <w:rsid w:val="00997CC1"/>
    <w:rsid w:val="009A1D89"/>
    <w:rsid w:val="009A3438"/>
    <w:rsid w:val="009A3492"/>
    <w:rsid w:val="009A5D1D"/>
    <w:rsid w:val="009B3492"/>
    <w:rsid w:val="009B782E"/>
    <w:rsid w:val="009C6DE3"/>
    <w:rsid w:val="009D1762"/>
    <w:rsid w:val="009D4333"/>
    <w:rsid w:val="009D476D"/>
    <w:rsid w:val="009D75F5"/>
    <w:rsid w:val="009D7943"/>
    <w:rsid w:val="009E31B2"/>
    <w:rsid w:val="009E65A6"/>
    <w:rsid w:val="009F2ECF"/>
    <w:rsid w:val="009F708E"/>
    <w:rsid w:val="00A06511"/>
    <w:rsid w:val="00A15850"/>
    <w:rsid w:val="00A20EC9"/>
    <w:rsid w:val="00A25F30"/>
    <w:rsid w:val="00A3534F"/>
    <w:rsid w:val="00A45BDE"/>
    <w:rsid w:val="00A538FD"/>
    <w:rsid w:val="00A53C9A"/>
    <w:rsid w:val="00A54CAD"/>
    <w:rsid w:val="00A66033"/>
    <w:rsid w:val="00A663DB"/>
    <w:rsid w:val="00A908FE"/>
    <w:rsid w:val="00A91990"/>
    <w:rsid w:val="00A94D14"/>
    <w:rsid w:val="00AA3DC8"/>
    <w:rsid w:val="00AA3F77"/>
    <w:rsid w:val="00AA68DD"/>
    <w:rsid w:val="00AC1377"/>
    <w:rsid w:val="00AC3344"/>
    <w:rsid w:val="00AC766F"/>
    <w:rsid w:val="00AD607F"/>
    <w:rsid w:val="00AE4A36"/>
    <w:rsid w:val="00AF4FB1"/>
    <w:rsid w:val="00AF7E4D"/>
    <w:rsid w:val="00B04A5B"/>
    <w:rsid w:val="00B07A57"/>
    <w:rsid w:val="00B108CA"/>
    <w:rsid w:val="00B11FC9"/>
    <w:rsid w:val="00B213CF"/>
    <w:rsid w:val="00B227F0"/>
    <w:rsid w:val="00B23234"/>
    <w:rsid w:val="00B24B40"/>
    <w:rsid w:val="00B36281"/>
    <w:rsid w:val="00B451FC"/>
    <w:rsid w:val="00B54FCA"/>
    <w:rsid w:val="00B6778E"/>
    <w:rsid w:val="00B73C0A"/>
    <w:rsid w:val="00B814CC"/>
    <w:rsid w:val="00B8240C"/>
    <w:rsid w:val="00B8503A"/>
    <w:rsid w:val="00B94D82"/>
    <w:rsid w:val="00B96004"/>
    <w:rsid w:val="00B9733C"/>
    <w:rsid w:val="00B974C8"/>
    <w:rsid w:val="00BA12DF"/>
    <w:rsid w:val="00BA1BC0"/>
    <w:rsid w:val="00BB05B5"/>
    <w:rsid w:val="00BB39FC"/>
    <w:rsid w:val="00BC060A"/>
    <w:rsid w:val="00BC2CDC"/>
    <w:rsid w:val="00BD0D21"/>
    <w:rsid w:val="00BD2023"/>
    <w:rsid w:val="00BD2A4C"/>
    <w:rsid w:val="00BD3666"/>
    <w:rsid w:val="00BD7BA9"/>
    <w:rsid w:val="00BE2EAE"/>
    <w:rsid w:val="00BE3949"/>
    <w:rsid w:val="00BF32A1"/>
    <w:rsid w:val="00BF399D"/>
    <w:rsid w:val="00BF3A3A"/>
    <w:rsid w:val="00BF55A0"/>
    <w:rsid w:val="00BF6551"/>
    <w:rsid w:val="00BF6E22"/>
    <w:rsid w:val="00BF71A6"/>
    <w:rsid w:val="00C04FEA"/>
    <w:rsid w:val="00C07C20"/>
    <w:rsid w:val="00C12BD3"/>
    <w:rsid w:val="00C323C3"/>
    <w:rsid w:val="00C33930"/>
    <w:rsid w:val="00C361F0"/>
    <w:rsid w:val="00C37B7A"/>
    <w:rsid w:val="00C43F96"/>
    <w:rsid w:val="00C4790A"/>
    <w:rsid w:val="00C47DD3"/>
    <w:rsid w:val="00C52CE9"/>
    <w:rsid w:val="00C56B3F"/>
    <w:rsid w:val="00C63EB9"/>
    <w:rsid w:val="00C6558D"/>
    <w:rsid w:val="00C6732E"/>
    <w:rsid w:val="00C72434"/>
    <w:rsid w:val="00C73040"/>
    <w:rsid w:val="00C914E5"/>
    <w:rsid w:val="00C91CC1"/>
    <w:rsid w:val="00C9513A"/>
    <w:rsid w:val="00CB0549"/>
    <w:rsid w:val="00CB3898"/>
    <w:rsid w:val="00CB491B"/>
    <w:rsid w:val="00CB5144"/>
    <w:rsid w:val="00CC1511"/>
    <w:rsid w:val="00CC2E55"/>
    <w:rsid w:val="00CC3881"/>
    <w:rsid w:val="00CD69BD"/>
    <w:rsid w:val="00CE0C07"/>
    <w:rsid w:val="00D0267C"/>
    <w:rsid w:val="00D02861"/>
    <w:rsid w:val="00D04952"/>
    <w:rsid w:val="00D10DDA"/>
    <w:rsid w:val="00D10ED9"/>
    <w:rsid w:val="00D11A1D"/>
    <w:rsid w:val="00D14D91"/>
    <w:rsid w:val="00D17B0E"/>
    <w:rsid w:val="00D20DD6"/>
    <w:rsid w:val="00D22375"/>
    <w:rsid w:val="00D35F15"/>
    <w:rsid w:val="00D36F0C"/>
    <w:rsid w:val="00D40D2C"/>
    <w:rsid w:val="00D4281C"/>
    <w:rsid w:val="00D60D9E"/>
    <w:rsid w:val="00D642F1"/>
    <w:rsid w:val="00D73216"/>
    <w:rsid w:val="00D757FD"/>
    <w:rsid w:val="00D75BE4"/>
    <w:rsid w:val="00D76161"/>
    <w:rsid w:val="00D842A5"/>
    <w:rsid w:val="00D84E6D"/>
    <w:rsid w:val="00D87B90"/>
    <w:rsid w:val="00DA41D0"/>
    <w:rsid w:val="00DA6F87"/>
    <w:rsid w:val="00DB025E"/>
    <w:rsid w:val="00DB2DFB"/>
    <w:rsid w:val="00DC0957"/>
    <w:rsid w:val="00DC0CB7"/>
    <w:rsid w:val="00DC1AEF"/>
    <w:rsid w:val="00DC42E5"/>
    <w:rsid w:val="00DC7EEF"/>
    <w:rsid w:val="00DD39BA"/>
    <w:rsid w:val="00DD674B"/>
    <w:rsid w:val="00DF1EC0"/>
    <w:rsid w:val="00DF3B0C"/>
    <w:rsid w:val="00E01FF0"/>
    <w:rsid w:val="00E02CFC"/>
    <w:rsid w:val="00E0318E"/>
    <w:rsid w:val="00E11557"/>
    <w:rsid w:val="00E132C9"/>
    <w:rsid w:val="00E16933"/>
    <w:rsid w:val="00E20567"/>
    <w:rsid w:val="00E22270"/>
    <w:rsid w:val="00E24837"/>
    <w:rsid w:val="00E249B9"/>
    <w:rsid w:val="00E31DFC"/>
    <w:rsid w:val="00E33D1B"/>
    <w:rsid w:val="00E41CF0"/>
    <w:rsid w:val="00E47C23"/>
    <w:rsid w:val="00E66DB8"/>
    <w:rsid w:val="00E765A2"/>
    <w:rsid w:val="00E807A0"/>
    <w:rsid w:val="00EA3744"/>
    <w:rsid w:val="00EA383A"/>
    <w:rsid w:val="00EA6474"/>
    <w:rsid w:val="00EB338F"/>
    <w:rsid w:val="00EB362F"/>
    <w:rsid w:val="00EC1441"/>
    <w:rsid w:val="00EC1EC3"/>
    <w:rsid w:val="00EC24F3"/>
    <w:rsid w:val="00EC2984"/>
    <w:rsid w:val="00ED246F"/>
    <w:rsid w:val="00ED306A"/>
    <w:rsid w:val="00EE1944"/>
    <w:rsid w:val="00EE2BC2"/>
    <w:rsid w:val="00EE2CD2"/>
    <w:rsid w:val="00EE5E66"/>
    <w:rsid w:val="00F0114A"/>
    <w:rsid w:val="00F110CF"/>
    <w:rsid w:val="00F15B5F"/>
    <w:rsid w:val="00F16D8E"/>
    <w:rsid w:val="00F20786"/>
    <w:rsid w:val="00F430D7"/>
    <w:rsid w:val="00F465B4"/>
    <w:rsid w:val="00F50585"/>
    <w:rsid w:val="00F60BA3"/>
    <w:rsid w:val="00F70C76"/>
    <w:rsid w:val="00F72BA5"/>
    <w:rsid w:val="00F74113"/>
    <w:rsid w:val="00F80159"/>
    <w:rsid w:val="00F92F23"/>
    <w:rsid w:val="00FA0B6E"/>
    <w:rsid w:val="00FA7ADB"/>
    <w:rsid w:val="00FB1C38"/>
    <w:rsid w:val="00FC02D5"/>
    <w:rsid w:val="00FC198D"/>
    <w:rsid w:val="00FC513D"/>
    <w:rsid w:val="00FD26C5"/>
    <w:rsid w:val="00FD3C82"/>
    <w:rsid w:val="00FF709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A4C34A"/>
  <w15:chartTrackingRefBased/>
  <w15:docId w15:val="{223D7FE0-849D-42E4-B102-8F0F61948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330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8F7DDE"/>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F7DDE"/>
    <w:rPr>
      <w:rFonts w:ascii="Arial" w:eastAsia="Times New Roman" w:hAnsi="Arial" w:cs="Times New Roman"/>
      <w:b/>
      <w:bCs/>
      <w:kern w:val="32"/>
      <w:sz w:val="32"/>
      <w:szCs w:val="32"/>
    </w:rPr>
  </w:style>
  <w:style w:type="paragraph" w:styleId="FootnoteText">
    <w:name w:val="footnote text"/>
    <w:basedOn w:val="Normal"/>
    <w:link w:val="FootnoteTextChar"/>
    <w:rsid w:val="008F7DDE"/>
    <w:pPr>
      <w:widowControl/>
      <w:autoSpaceDE/>
      <w:autoSpaceDN/>
      <w:adjustRightInd/>
    </w:pPr>
    <w:rPr>
      <w:sz w:val="20"/>
      <w:szCs w:val="20"/>
    </w:rPr>
  </w:style>
  <w:style w:type="character" w:customStyle="1" w:styleId="FootnoteTextChar">
    <w:name w:val="Footnote Text Char"/>
    <w:basedOn w:val="DefaultParagraphFont"/>
    <w:link w:val="FootnoteText"/>
    <w:rsid w:val="008F7DDE"/>
    <w:rPr>
      <w:rFonts w:ascii="Times New Roman" w:eastAsia="Times New Roman" w:hAnsi="Times New Roman" w:cs="Times New Roman"/>
      <w:sz w:val="20"/>
      <w:szCs w:val="20"/>
    </w:rPr>
  </w:style>
  <w:style w:type="character" w:styleId="FootnoteReference">
    <w:name w:val="footnote reference"/>
    <w:basedOn w:val="DefaultParagraphFont"/>
    <w:rsid w:val="008F7DDE"/>
    <w:rPr>
      <w:rFonts w:cs="Times New Roman"/>
      <w:vertAlign w:val="superscript"/>
    </w:rPr>
  </w:style>
  <w:style w:type="character" w:styleId="Hyperlink">
    <w:name w:val="Hyperlink"/>
    <w:basedOn w:val="DefaultParagraphFont"/>
    <w:uiPriority w:val="99"/>
    <w:rsid w:val="008F7DDE"/>
    <w:rPr>
      <w:rFonts w:cs="Times New Roman"/>
      <w:color w:val="0000FF"/>
      <w:u w:val="single"/>
    </w:rPr>
  </w:style>
  <w:style w:type="paragraph" w:styleId="CommentText">
    <w:name w:val="annotation text"/>
    <w:basedOn w:val="Normal"/>
    <w:link w:val="CommentTextChar"/>
    <w:rsid w:val="008F7DDE"/>
    <w:rPr>
      <w:rFonts w:ascii="Courier New TUR" w:hAnsi="Courier New TUR"/>
      <w:sz w:val="20"/>
      <w:szCs w:val="20"/>
    </w:rPr>
  </w:style>
  <w:style w:type="character" w:customStyle="1" w:styleId="CommentTextChar">
    <w:name w:val="Comment Text Char"/>
    <w:basedOn w:val="DefaultParagraphFont"/>
    <w:link w:val="CommentText"/>
    <w:rsid w:val="008F7DDE"/>
    <w:rPr>
      <w:rFonts w:ascii="Courier New TUR" w:eastAsia="Times New Roman" w:hAnsi="Courier New TUR" w:cs="Times New Roman"/>
      <w:sz w:val="20"/>
      <w:szCs w:val="20"/>
    </w:rPr>
  </w:style>
  <w:style w:type="character" w:styleId="CommentReference">
    <w:name w:val="annotation reference"/>
    <w:basedOn w:val="DefaultParagraphFont"/>
    <w:rsid w:val="008F7DDE"/>
    <w:rPr>
      <w:rFonts w:cs="Times New Roman"/>
      <w:sz w:val="16"/>
    </w:rPr>
  </w:style>
  <w:style w:type="table" w:styleId="TableGrid">
    <w:name w:val="Table Grid"/>
    <w:basedOn w:val="TableNormal"/>
    <w:rsid w:val="008F7D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7DDE"/>
    <w:pPr>
      <w:widowControl/>
      <w:autoSpaceDE/>
      <w:autoSpaceDN/>
      <w:adjustRightInd/>
      <w:spacing w:after="200" w:line="276" w:lineRule="auto"/>
      <w:ind w:left="720"/>
      <w:contextualSpacing/>
    </w:pPr>
    <w:rPr>
      <w:rFonts w:ascii="Calibri" w:hAnsi="Calibri"/>
      <w:sz w:val="22"/>
      <w:szCs w:val="22"/>
    </w:rPr>
  </w:style>
  <w:style w:type="paragraph" w:styleId="Revision">
    <w:name w:val="Revision"/>
    <w:hidden/>
    <w:uiPriority w:val="99"/>
    <w:semiHidden/>
    <w:rsid w:val="00526725"/>
    <w:pPr>
      <w:spacing w:after="0" w:line="240" w:lineRule="auto"/>
    </w:pPr>
    <w:rPr>
      <w:rFonts w:ascii="Courier" w:eastAsia="Times New Roman" w:hAnsi="Courier" w:cs="Times New Roman"/>
      <w:sz w:val="24"/>
      <w:szCs w:val="24"/>
    </w:rPr>
  </w:style>
  <w:style w:type="character" w:styleId="UnresolvedMention">
    <w:name w:val="Unresolved Mention"/>
    <w:basedOn w:val="DefaultParagraphFont"/>
    <w:uiPriority w:val="99"/>
    <w:semiHidden/>
    <w:unhideWhenUsed/>
    <w:rsid w:val="007C69B4"/>
    <w:rPr>
      <w:color w:val="605E5C"/>
      <w:shd w:val="clear" w:color="auto" w:fill="E1DFDD"/>
    </w:rPr>
  </w:style>
  <w:style w:type="paragraph" w:styleId="Header">
    <w:name w:val="header"/>
    <w:basedOn w:val="Normal"/>
    <w:link w:val="HeaderChar"/>
    <w:uiPriority w:val="99"/>
    <w:unhideWhenUsed/>
    <w:rsid w:val="005F2600"/>
    <w:pPr>
      <w:tabs>
        <w:tab w:val="center" w:pos="4680"/>
        <w:tab w:val="right" w:pos="9360"/>
      </w:tabs>
    </w:pPr>
  </w:style>
  <w:style w:type="character" w:customStyle="1" w:styleId="HeaderChar">
    <w:name w:val="Header Char"/>
    <w:basedOn w:val="DefaultParagraphFont"/>
    <w:link w:val="Header"/>
    <w:uiPriority w:val="99"/>
    <w:rsid w:val="005F2600"/>
    <w:rPr>
      <w:rFonts w:ascii="Courier" w:eastAsia="Times New Roman" w:hAnsi="Courier" w:cs="Times New Roman"/>
      <w:sz w:val="24"/>
      <w:szCs w:val="24"/>
    </w:rPr>
  </w:style>
  <w:style w:type="paragraph" w:styleId="Footer">
    <w:name w:val="footer"/>
    <w:basedOn w:val="Normal"/>
    <w:link w:val="FooterChar"/>
    <w:uiPriority w:val="99"/>
    <w:unhideWhenUsed/>
    <w:rsid w:val="005F2600"/>
    <w:pPr>
      <w:tabs>
        <w:tab w:val="center" w:pos="4680"/>
        <w:tab w:val="right" w:pos="9360"/>
      </w:tabs>
    </w:pPr>
  </w:style>
  <w:style w:type="character" w:customStyle="1" w:styleId="FooterChar">
    <w:name w:val="Footer Char"/>
    <w:basedOn w:val="DefaultParagraphFont"/>
    <w:link w:val="Footer"/>
    <w:uiPriority w:val="99"/>
    <w:rsid w:val="005F2600"/>
    <w:rPr>
      <w:rFonts w:ascii="Courier" w:eastAsia="Times New Roman" w:hAnsi="Courier" w:cs="Times New Roman"/>
      <w:sz w:val="24"/>
      <w:szCs w:val="24"/>
    </w:rPr>
  </w:style>
  <w:style w:type="paragraph" w:styleId="CommentSubject">
    <w:name w:val="annotation subject"/>
    <w:basedOn w:val="CommentText"/>
    <w:next w:val="CommentText"/>
    <w:link w:val="CommentSubjectChar"/>
    <w:uiPriority w:val="99"/>
    <w:semiHidden/>
    <w:unhideWhenUsed/>
    <w:rsid w:val="001B0307"/>
    <w:rPr>
      <w:rFonts w:ascii="Courier" w:hAnsi="Courier"/>
      <w:b/>
      <w:bCs/>
    </w:rPr>
  </w:style>
  <w:style w:type="character" w:customStyle="1" w:styleId="CommentSubjectChar">
    <w:name w:val="Comment Subject Char"/>
    <w:basedOn w:val="CommentTextChar"/>
    <w:link w:val="CommentSubject"/>
    <w:uiPriority w:val="99"/>
    <w:semiHidden/>
    <w:rsid w:val="001B0307"/>
    <w:rPr>
      <w:rFonts w:ascii="Courier" w:eastAsia="Times New Roman" w:hAnsi="Courier" w:cs="Times New Roman"/>
      <w:b/>
      <w:bCs/>
      <w:sz w:val="20"/>
      <w:szCs w:val="20"/>
    </w:rPr>
  </w:style>
  <w:style w:type="paragraph" w:customStyle="1" w:styleId="Default">
    <w:name w:val="Default"/>
    <w:rsid w:val="00B227F0"/>
    <w:pPr>
      <w:widowControl w:val="0"/>
      <w:autoSpaceDE w:val="0"/>
      <w:autoSpaceDN w:val="0"/>
      <w:adjustRightInd w:val="0"/>
      <w:spacing w:after="0" w:line="240" w:lineRule="auto"/>
    </w:pPr>
    <w:rPr>
      <w:rFonts w:ascii="BKHFG M+ Courier" w:eastAsia="Times New Roman" w:hAnsi="BKHFG M+ Courier" w:cs="BKHFG M+ Courier"/>
      <w:color w:val="000000"/>
      <w:sz w:val="24"/>
      <w:szCs w:val="24"/>
    </w:rPr>
  </w:style>
  <w:style w:type="character" w:customStyle="1" w:styleId="ui-provider">
    <w:name w:val="ui-provider"/>
    <w:basedOn w:val="DefaultParagraphFont"/>
    <w:rsid w:val="00B227F0"/>
  </w:style>
  <w:style w:type="character" w:styleId="FollowedHyperlink">
    <w:name w:val="FollowedHyperlink"/>
    <w:basedOn w:val="DefaultParagraphFont"/>
    <w:uiPriority w:val="99"/>
    <w:semiHidden/>
    <w:unhideWhenUsed/>
    <w:rsid w:val="00FD26C5"/>
    <w:rPr>
      <w:color w:val="954F72" w:themeColor="followedHyperlink"/>
      <w:u w:val="single"/>
    </w:rPr>
  </w:style>
  <w:style w:type="paragraph" w:customStyle="1" w:styleId="BodyText12pt">
    <w:name w:val="Body Text + 12pt"/>
    <w:basedOn w:val="BodyText"/>
    <w:link w:val="BodyText12ptChar"/>
    <w:rsid w:val="0029325D"/>
    <w:pPr>
      <w:widowControl/>
      <w:autoSpaceDE/>
      <w:autoSpaceDN/>
      <w:adjustRightInd/>
      <w:spacing w:after="0"/>
    </w:pPr>
    <w:rPr>
      <w:szCs w:val="20"/>
    </w:rPr>
  </w:style>
  <w:style w:type="character" w:customStyle="1" w:styleId="BodyText12ptChar">
    <w:name w:val="Body Text + 12pt Char"/>
    <w:link w:val="BodyText12pt"/>
    <w:locked/>
    <w:rsid w:val="0029325D"/>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29325D"/>
    <w:pPr>
      <w:spacing w:after="120"/>
    </w:pPr>
  </w:style>
  <w:style w:type="character" w:customStyle="1" w:styleId="BodyTextChar">
    <w:name w:val="Body Text Char"/>
    <w:basedOn w:val="DefaultParagraphFont"/>
    <w:link w:val="BodyText"/>
    <w:uiPriority w:val="99"/>
    <w:semiHidden/>
    <w:rsid w:val="0029325D"/>
    <w:rPr>
      <w:rFonts w:ascii="Courier" w:eastAsia="Times New Roman" w:hAnsi="Courier" w:cs="Times New Roman"/>
      <w:sz w:val="24"/>
      <w:szCs w:val="24"/>
    </w:rPr>
  </w:style>
  <w:style w:type="paragraph" w:customStyle="1" w:styleId="indent-1">
    <w:name w:val="indent-1"/>
    <w:basedOn w:val="Normal"/>
    <w:rsid w:val="00397733"/>
    <w:pPr>
      <w:widowControl/>
      <w:autoSpaceDE/>
      <w:autoSpaceDN/>
      <w:adjustRightInd/>
      <w:spacing w:before="100" w:beforeAutospacing="1" w:after="100" w:afterAutospacing="1"/>
    </w:pPr>
  </w:style>
  <w:style w:type="paragraph" w:customStyle="1" w:styleId="indent-2">
    <w:name w:val="indent-2"/>
    <w:basedOn w:val="Normal"/>
    <w:rsid w:val="00397733"/>
    <w:pPr>
      <w:widowControl/>
      <w:autoSpaceDE/>
      <w:autoSpaceDN/>
      <w:adjustRightInd/>
      <w:spacing w:before="100" w:beforeAutospacing="1" w:after="100" w:afterAutospacing="1"/>
    </w:pPr>
  </w:style>
  <w:style w:type="character" w:customStyle="1" w:styleId="paragraph-hierarchy">
    <w:name w:val="paragraph-hierarchy"/>
    <w:basedOn w:val="DefaultParagraphFont"/>
    <w:rsid w:val="00397733"/>
  </w:style>
  <w:style w:type="character" w:customStyle="1" w:styleId="paren">
    <w:name w:val="paren"/>
    <w:basedOn w:val="DefaultParagraphFont"/>
    <w:rsid w:val="00397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fedscope.opm.gov/" TargetMode="External" /><Relationship Id="rId7" Type="http://schemas.openxmlformats.org/officeDocument/2006/relationships/hyperlink" Target="https://www.dol.gov/sites/dolgov/files/general/budget/2024/CBJ-2024-V2-13.pdf" TargetMode="External" /><Relationship Id="rId8" Type="http://schemas.openxmlformats.org/officeDocument/2006/relationships/header" Target="header1.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oes_ques.htm" TargetMode="External" /><Relationship Id="rId2" Type="http://schemas.openxmlformats.org/officeDocument/2006/relationships/hyperlink" Target="http://data.bls.gov/cgi-bin/srgate" TargetMode="External" /><Relationship Id="rId3" Type="http://schemas.openxmlformats.org/officeDocument/2006/relationships/hyperlink" Target="http://download.bls.gov/pub/time.series/cm/cm.data.0.Current" TargetMode="External" /><Relationship Id="rId4" Type="http://schemas.openxmlformats.org/officeDocument/2006/relationships/hyperlink" Target="https://data.bls.gov/cgi-bin/srga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20DB2-D0EE-4B3E-8F86-B8A1F6F24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5586</Words>
  <Characters>31842</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Ramsey, Joseph E - MSHA</dc:creator>
  <cp:lastModifiedBy>Moore, Joanna - MSHA</cp:lastModifiedBy>
  <cp:revision>4</cp:revision>
  <dcterms:created xsi:type="dcterms:W3CDTF">2025-05-05T12:01:00Z</dcterms:created>
  <dcterms:modified xsi:type="dcterms:W3CDTF">2025-09-03T11:46:00Z</dcterms:modified>
</cp:coreProperties>
</file>