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F5327" w:rsidRPr="00A16561" w:rsidP="00A16561" w14:paraId="1C8B9D6C" w14:textId="77777777">
      <w:pPr>
        <w:suppressAutoHyphens/>
        <w:jc w:val="center"/>
        <w:rPr>
          <w:b/>
          <w:bCs/>
        </w:rPr>
      </w:pPr>
      <w:bookmarkStart w:id="0" w:name="_Hlk114563386"/>
      <w:r w:rsidRPr="00A16561">
        <w:rPr>
          <w:b/>
          <w:bCs/>
        </w:rPr>
        <w:t xml:space="preserve">Supporting Statement for </w:t>
      </w:r>
    </w:p>
    <w:p w:rsidR="00861B3F" w:rsidRPr="00A16561" w:rsidP="00A16561" w14:paraId="33F0F79A" w14:textId="5601C266">
      <w:pPr>
        <w:suppressAutoHyphens/>
        <w:jc w:val="center"/>
        <w:rPr>
          <w:b/>
          <w:color w:val="FF0000"/>
        </w:rPr>
      </w:pPr>
      <w:r w:rsidRPr="00A16561">
        <w:rPr>
          <w:b/>
          <w:bCs/>
        </w:rPr>
        <w:t xml:space="preserve">High-Voltage Continuous Mining Machine Standards for Underground Coal Mines Paperwork Reduction Act Submission </w:t>
      </w:r>
    </w:p>
    <w:p w:rsidR="00861B3F" w:rsidRPr="00A16561" w:rsidP="00A16561" w14:paraId="3E579288" w14:textId="77777777">
      <w:pPr>
        <w:suppressAutoHyphens/>
        <w:jc w:val="center"/>
        <w:rPr>
          <w:b/>
        </w:rPr>
      </w:pPr>
    </w:p>
    <w:p w:rsidR="00861B3F" w:rsidRPr="00A16561" w:rsidP="00A16561" w14:paraId="409D3F1A" w14:textId="15D93E08">
      <w:pPr>
        <w:widowControl/>
        <w:autoSpaceDE/>
        <w:autoSpaceDN/>
        <w:adjustRightInd/>
        <w:rPr>
          <w:rFonts w:eastAsiaTheme="minorHAnsi"/>
          <w:szCs w:val="22"/>
        </w:rPr>
      </w:pPr>
      <w:r w:rsidRPr="00A16561">
        <w:rPr>
          <w:bCs/>
        </w:rPr>
        <w:t xml:space="preserve">This </w:t>
      </w:r>
      <w:r w:rsidRPr="00A16561" w:rsidR="00B227F0">
        <w:rPr>
          <w:bCs/>
        </w:rPr>
        <w:t>information collection request (</w:t>
      </w:r>
      <w:r w:rsidRPr="00A16561" w:rsidR="00B227F0">
        <w:t>ICR)</w:t>
      </w:r>
      <w:r w:rsidRPr="00A16561">
        <w:rPr>
          <w:bCs/>
        </w:rPr>
        <w:t xml:space="preserve"> seeks to extend, without chang</w:t>
      </w:r>
      <w:r w:rsidRPr="00A16561" w:rsidR="00BC060A">
        <w:rPr>
          <w:bCs/>
        </w:rPr>
        <w:t>e</w:t>
      </w:r>
      <w:r w:rsidRPr="00A16561" w:rsidR="002D0F05">
        <w:t>,</w:t>
      </w:r>
      <w:r w:rsidRPr="00A16561" w:rsidR="00BC060A">
        <w:t xml:space="preserve"> </w:t>
      </w:r>
      <w:r w:rsidRPr="00A16561" w:rsidR="002D0F05">
        <w:rPr>
          <w:bCs/>
        </w:rPr>
        <w:t xml:space="preserve">a currently approved </w:t>
      </w:r>
      <w:r w:rsidRPr="00A16561">
        <w:rPr>
          <w:bCs/>
        </w:rPr>
        <w:t>information collection.</w:t>
      </w:r>
    </w:p>
    <w:p w:rsidR="00861B3F" w:rsidRPr="00A16561" w:rsidP="00A16561" w14:paraId="6B8A9E29" w14:textId="77777777"/>
    <w:p w:rsidR="00861B3F" w:rsidRPr="00A16561" w:rsidP="00A16561" w14:paraId="3FE2834E" w14:textId="3B84F598">
      <w:pPr>
        <w:tabs>
          <w:tab w:val="left" w:pos="-720"/>
        </w:tabs>
        <w:suppressAutoHyphens/>
        <w:rPr>
          <w:b/>
        </w:rPr>
      </w:pPr>
      <w:r w:rsidRPr="00A16561">
        <w:rPr>
          <w:b/>
          <w:u w:val="single"/>
        </w:rPr>
        <w:t>OMB Control Number</w:t>
      </w:r>
      <w:r w:rsidRPr="00A16561">
        <w:t>: 1219-</w:t>
      </w:r>
      <w:r w:rsidRPr="00A16561" w:rsidR="00FD0DF4">
        <w:t>0140</w:t>
      </w:r>
    </w:p>
    <w:p w:rsidR="00861B3F" w:rsidRPr="00A16561" w:rsidP="00A16561" w14:paraId="6FD41D47" w14:textId="77777777">
      <w:pPr>
        <w:tabs>
          <w:tab w:val="left" w:pos="-720"/>
        </w:tabs>
        <w:suppressAutoHyphens/>
        <w:rPr>
          <w:b/>
        </w:rPr>
      </w:pPr>
    </w:p>
    <w:p w:rsidR="00FD0DF4" w:rsidRPr="00A16561" w:rsidP="00A16561" w14:paraId="79CBBCDA" w14:textId="77777777">
      <w:pPr>
        <w:tabs>
          <w:tab w:val="left" w:pos="-720"/>
        </w:tabs>
        <w:suppressAutoHyphens/>
        <w:rPr>
          <w:b/>
        </w:rPr>
      </w:pPr>
      <w:r w:rsidRPr="00A16561">
        <w:rPr>
          <w:b/>
          <w:u w:val="single"/>
        </w:rPr>
        <w:t>Information Collection Request Title</w:t>
      </w:r>
      <w:r w:rsidRPr="00A16561">
        <w:rPr>
          <w:b/>
        </w:rPr>
        <w:t xml:space="preserve">: </w:t>
      </w:r>
      <w:bookmarkStart w:id="1" w:name="_Hlk174600760"/>
      <w:bookmarkStart w:id="2" w:name="_Hlk103349820"/>
      <w:r w:rsidRPr="00A16561">
        <w:t>High-Voltage Continuous Mining Machine Standards for Underground Coal Mines</w:t>
      </w:r>
    </w:p>
    <w:bookmarkEnd w:id="1"/>
    <w:bookmarkEnd w:id="2"/>
    <w:p w:rsidR="00861B3F" w:rsidRPr="00A16561" w:rsidP="00A16561" w14:paraId="7B26500A" w14:textId="77777777">
      <w:pPr>
        <w:tabs>
          <w:tab w:val="left" w:pos="-720"/>
        </w:tabs>
        <w:suppressAutoHyphens/>
        <w:rPr>
          <w:b/>
        </w:rPr>
      </w:pPr>
    </w:p>
    <w:p w:rsidR="00861B3F" w:rsidRPr="00A16561" w:rsidP="00A16561" w14:paraId="07D97EAE" w14:textId="3C6817CF">
      <w:pPr>
        <w:tabs>
          <w:tab w:val="left" w:pos="-720"/>
        </w:tabs>
        <w:suppressAutoHyphens/>
        <w:rPr>
          <w:b/>
        </w:rPr>
      </w:pPr>
      <w:r w:rsidRPr="00A16561">
        <w:rPr>
          <w:b/>
          <w:u w:val="single"/>
        </w:rPr>
        <w:t xml:space="preserve">Type of </w:t>
      </w:r>
      <w:r w:rsidRPr="00A16561" w:rsidR="00541732">
        <w:rPr>
          <w:b/>
          <w:u w:val="single"/>
        </w:rPr>
        <w:t xml:space="preserve">OMB </w:t>
      </w:r>
      <w:r w:rsidRPr="00A16561">
        <w:rPr>
          <w:b/>
          <w:u w:val="single"/>
        </w:rPr>
        <w:t>Review</w:t>
      </w:r>
      <w:r w:rsidRPr="00A16561">
        <w:rPr>
          <w:b/>
        </w:rPr>
        <w:t xml:space="preserve">: </w:t>
      </w:r>
      <w:r w:rsidRPr="00A16561" w:rsidR="00AA68DD">
        <w:rPr>
          <w:bCs/>
        </w:rPr>
        <w:t>Extension</w:t>
      </w:r>
    </w:p>
    <w:p w:rsidR="00861B3F" w:rsidRPr="00A16561" w:rsidP="00A16561" w14:paraId="3DDD942E" w14:textId="77777777">
      <w:pPr>
        <w:tabs>
          <w:tab w:val="left" w:pos="-720"/>
        </w:tabs>
        <w:suppressAutoHyphens/>
        <w:rPr>
          <w:b/>
        </w:rPr>
      </w:pPr>
    </w:p>
    <w:p w:rsidR="005910CC" w:rsidRPr="00A16561" w:rsidP="00A16561" w14:paraId="275761A2" w14:textId="77777777">
      <w:pPr>
        <w:tabs>
          <w:tab w:val="left" w:pos="-720"/>
        </w:tabs>
        <w:suppressAutoHyphens/>
        <w:rPr>
          <w:b/>
        </w:rPr>
      </w:pPr>
      <w:r w:rsidRPr="00A16561">
        <w:rPr>
          <w:b/>
          <w:u w:val="single"/>
        </w:rPr>
        <w:t>Authority</w:t>
      </w:r>
      <w:r w:rsidRPr="00A16561">
        <w:rPr>
          <w:b/>
        </w:rPr>
        <w:t>:</w:t>
      </w:r>
      <w:r w:rsidRPr="00A16561" w:rsidR="00BA12DF">
        <w:rPr>
          <w:b/>
        </w:rPr>
        <w:t xml:space="preserve"> </w:t>
      </w:r>
    </w:p>
    <w:p w:rsidR="00B07B92" w:rsidRPr="00A16561" w:rsidP="00A16561" w14:paraId="2BEAB46F" w14:textId="73782547">
      <w:pPr>
        <w:tabs>
          <w:tab w:val="left" w:pos="-720"/>
        </w:tabs>
        <w:suppressAutoHyphens/>
        <w:rPr>
          <w:bCs/>
        </w:rPr>
      </w:pPr>
      <w:r w:rsidRPr="00A16561">
        <w:rPr>
          <w:bCs/>
        </w:rPr>
        <w:t>Part 75</w:t>
      </w:r>
      <w:r w:rsidRPr="00A16561" w:rsidR="00DF5327">
        <w:rPr>
          <w:bCs/>
        </w:rPr>
        <w:t xml:space="preserve"> –</w:t>
      </w:r>
      <w:r w:rsidRPr="00A16561" w:rsidR="00797B38">
        <w:rPr>
          <w:bCs/>
        </w:rPr>
        <w:t xml:space="preserve"> </w:t>
      </w:r>
      <w:r w:rsidRPr="00A16561">
        <w:rPr>
          <w:bCs/>
        </w:rPr>
        <w:t>Mandatory Safety Standards—Underground Coal Mines</w:t>
      </w:r>
    </w:p>
    <w:p w:rsidR="00B07B92" w:rsidRPr="00A16561" w:rsidP="00A16561" w14:paraId="6618C051" w14:textId="4DE6F46D">
      <w:pPr>
        <w:tabs>
          <w:tab w:val="left" w:pos="-720"/>
        </w:tabs>
        <w:suppressAutoHyphens/>
        <w:rPr>
          <w:bCs/>
        </w:rPr>
      </w:pPr>
      <w:r w:rsidRPr="00A16561">
        <w:rPr>
          <w:bCs/>
        </w:rPr>
        <w:tab/>
      </w:r>
      <w:r w:rsidRPr="00A16561">
        <w:rPr>
          <w:bCs/>
        </w:rPr>
        <w:t>Subpart I</w:t>
      </w:r>
      <w:r w:rsidRPr="00A16561" w:rsidR="00DF5327">
        <w:rPr>
          <w:bCs/>
        </w:rPr>
        <w:t xml:space="preserve"> – </w:t>
      </w:r>
      <w:r w:rsidRPr="00A16561">
        <w:rPr>
          <w:bCs/>
        </w:rPr>
        <w:t>Underground High-Voltage Distribution</w:t>
      </w:r>
    </w:p>
    <w:p w:rsidR="00B07B92" w:rsidRPr="00A16561" w:rsidP="00A16561" w14:paraId="5E96D3E4" w14:textId="303BD875">
      <w:pPr>
        <w:tabs>
          <w:tab w:val="left" w:pos="-720"/>
        </w:tabs>
        <w:suppressAutoHyphens/>
        <w:ind w:left="1440"/>
      </w:pPr>
      <w:r w:rsidRPr="00A16561">
        <w:t>30 CFR 75.829</w:t>
      </w:r>
      <w:r w:rsidRPr="00A16561" w:rsidR="00DF5327">
        <w:rPr>
          <w:bCs/>
        </w:rPr>
        <w:t xml:space="preserve"> – </w:t>
      </w:r>
      <w:r w:rsidRPr="00A16561">
        <w:t>Tramming continuous mining machines in and out of the mine and from section to section.</w:t>
      </w:r>
    </w:p>
    <w:p w:rsidR="00B07B92" w:rsidRPr="00A16561" w:rsidP="00A16561" w14:paraId="5B4BC451" w14:textId="02EBD8B3">
      <w:pPr>
        <w:tabs>
          <w:tab w:val="left" w:pos="-720"/>
        </w:tabs>
        <w:suppressAutoHyphens/>
      </w:pPr>
      <w:r w:rsidRPr="00A16561">
        <w:tab/>
      </w:r>
      <w:r w:rsidRPr="00A16561">
        <w:tab/>
      </w:r>
      <w:r w:rsidRPr="00A16561">
        <w:t>30 CFR 75.831</w:t>
      </w:r>
      <w:r w:rsidRPr="00A16561" w:rsidR="00DF5327">
        <w:rPr>
          <w:bCs/>
        </w:rPr>
        <w:t xml:space="preserve"> – </w:t>
      </w:r>
      <w:bookmarkStart w:id="3" w:name="_Hlk174694496"/>
      <w:r w:rsidRPr="00A16561">
        <w:t>Electrical work; troubleshooting and testing.</w:t>
      </w:r>
      <w:bookmarkEnd w:id="3"/>
    </w:p>
    <w:p w:rsidR="00B07B92" w:rsidRPr="00A16561" w:rsidP="00A16561" w14:paraId="04B74640" w14:textId="0B84F4F8">
      <w:pPr>
        <w:tabs>
          <w:tab w:val="left" w:pos="-720"/>
        </w:tabs>
        <w:suppressAutoHyphens/>
        <w:rPr>
          <w:w w:val="104"/>
        </w:rPr>
      </w:pPr>
      <w:r w:rsidRPr="00A16561">
        <w:tab/>
      </w:r>
      <w:r w:rsidRPr="00A16561">
        <w:tab/>
      </w:r>
      <w:r w:rsidRPr="00A16561">
        <w:t xml:space="preserve">30 CFR </w:t>
      </w:r>
      <w:r w:rsidRPr="00A16561">
        <w:rPr>
          <w:w w:val="104"/>
        </w:rPr>
        <w:t>75.832</w:t>
      </w:r>
      <w:r w:rsidRPr="00A16561" w:rsidR="00DF5327">
        <w:rPr>
          <w:bCs/>
        </w:rPr>
        <w:t xml:space="preserve"> – </w:t>
      </w:r>
      <w:bookmarkStart w:id="4" w:name="_Hlk174694542"/>
      <w:r w:rsidRPr="00A16561">
        <w:rPr>
          <w:w w:val="104"/>
        </w:rPr>
        <w:t>Frequency of examinations; recordkeeping</w:t>
      </w:r>
      <w:bookmarkEnd w:id="4"/>
      <w:r w:rsidRPr="00A16561">
        <w:rPr>
          <w:w w:val="104"/>
        </w:rPr>
        <w:t>.</w:t>
      </w:r>
    </w:p>
    <w:p w:rsidR="00861B3F" w:rsidRPr="00A16561" w:rsidP="00A16561" w14:paraId="2F93BBBA" w14:textId="77777777">
      <w:pPr>
        <w:tabs>
          <w:tab w:val="left" w:pos="-720"/>
        </w:tabs>
        <w:suppressAutoHyphens/>
        <w:rPr>
          <w:b/>
        </w:rPr>
      </w:pPr>
    </w:p>
    <w:p w:rsidR="00861B3F" w:rsidRPr="00A16561" w:rsidP="00A16561" w14:paraId="7777C6C5" w14:textId="44A05E25">
      <w:pPr>
        <w:rPr>
          <w:b/>
        </w:rPr>
      </w:pPr>
      <w:r w:rsidRPr="00A16561">
        <w:rPr>
          <w:b/>
          <w:u w:val="single"/>
        </w:rPr>
        <w:t>Collection Instrument(s)</w:t>
      </w:r>
      <w:r w:rsidRPr="00A16561">
        <w:rPr>
          <w:b/>
        </w:rPr>
        <w:t>:</w:t>
      </w:r>
      <w:r w:rsidRPr="00A16561">
        <w:t xml:space="preserve"> </w:t>
      </w:r>
      <w:r w:rsidRPr="00A16561" w:rsidR="00B07B92">
        <w:t xml:space="preserve">None </w:t>
      </w:r>
    </w:p>
    <w:p w:rsidR="00861B3F" w:rsidRPr="00A16561" w:rsidP="00A16561" w14:paraId="3BE9B174" w14:textId="77777777">
      <w:pPr>
        <w:rPr>
          <w:b/>
          <w:bCs/>
          <w:color w:val="000000"/>
        </w:rPr>
      </w:pPr>
    </w:p>
    <w:p w:rsidR="00B227F0" w:rsidRPr="00A16561" w:rsidP="00A16561" w14:paraId="3261DED4" w14:textId="77777777">
      <w:pPr>
        <w:pStyle w:val="Default"/>
        <w:rPr>
          <w:rFonts w:ascii="Times New Roman" w:hAnsi="Times New Roman" w:cs="Times New Roman"/>
          <w:b/>
          <w:color w:val="auto"/>
        </w:rPr>
      </w:pPr>
      <w:r w:rsidRPr="00A16561">
        <w:rPr>
          <w:rFonts w:ascii="Times New Roman" w:hAnsi="Times New Roman" w:cs="Times New Roman"/>
          <w:b/>
          <w:color w:val="auto"/>
        </w:rPr>
        <w:t>General Instructions</w:t>
      </w:r>
    </w:p>
    <w:p w:rsidR="00B227F0" w:rsidRPr="00A16561" w:rsidP="00A16561" w14:paraId="6FAE27B4" w14:textId="77777777">
      <w:pPr>
        <w:pStyle w:val="Default"/>
        <w:rPr>
          <w:rFonts w:ascii="Times New Roman" w:hAnsi="Times New Roman" w:cs="Times New Roman"/>
          <w:b/>
          <w:color w:val="auto"/>
        </w:rPr>
      </w:pPr>
    </w:p>
    <w:p w:rsidR="00B227F0" w:rsidRPr="00A16561" w:rsidP="00A16561" w14:paraId="0736298B" w14:textId="36984668">
      <w:pPr>
        <w:pStyle w:val="Default"/>
        <w:rPr>
          <w:rFonts w:ascii="Times New Roman" w:hAnsi="Times New Roman" w:cs="Times New Roman"/>
          <w:b/>
          <w:color w:val="auto"/>
        </w:rPr>
      </w:pPr>
      <w:r w:rsidRPr="00A16561">
        <w:rPr>
          <w:rFonts w:ascii="Times New Roman" w:hAnsi="Times New Roman" w:cs="Times New Roman"/>
          <w:b/>
          <w:color w:val="auto"/>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the question “Does this ICR contain surveys, censuses or employ statistical methods” is checked "Yes", Section B of the Supporting Statement must be completed. OMB reserves the right to require the submission of additional information with respect to any request for approval.</w:t>
      </w:r>
    </w:p>
    <w:p w:rsidR="00B227F0" w:rsidRPr="00A16561" w:rsidP="00A16561" w14:paraId="43E4646E" w14:textId="77777777">
      <w:pPr>
        <w:pStyle w:val="Default"/>
        <w:rPr>
          <w:rFonts w:ascii="Times New Roman" w:hAnsi="Times New Roman" w:cs="Times New Roman"/>
          <w:b/>
          <w:color w:val="auto"/>
        </w:rPr>
      </w:pPr>
    </w:p>
    <w:p w:rsidR="00B227F0" w:rsidRPr="00A16561" w:rsidP="00A16561" w14:paraId="2BEDACE0" w14:textId="77777777">
      <w:pPr>
        <w:pStyle w:val="Default"/>
        <w:rPr>
          <w:rFonts w:ascii="Times New Roman" w:hAnsi="Times New Roman" w:cs="Times New Roman"/>
          <w:b/>
          <w:color w:val="auto"/>
        </w:rPr>
      </w:pPr>
      <w:r w:rsidRPr="00A16561">
        <w:rPr>
          <w:rFonts w:ascii="Times New Roman" w:hAnsi="Times New Roman" w:cs="Times New Roman"/>
          <w:b/>
          <w:color w:val="auto"/>
        </w:rPr>
        <w:t>Specific Instructions</w:t>
      </w:r>
    </w:p>
    <w:p w:rsidR="00B227F0" w:rsidRPr="00A16561" w:rsidP="00A16561" w14:paraId="580DC9D7" w14:textId="77777777">
      <w:pPr>
        <w:pStyle w:val="Default"/>
        <w:rPr>
          <w:rFonts w:ascii="Times New Roman" w:hAnsi="Times New Roman" w:cs="Times New Roman"/>
          <w:b/>
          <w:color w:val="auto"/>
        </w:rPr>
      </w:pPr>
    </w:p>
    <w:p w:rsidR="00B227F0" w:rsidRPr="00A16561" w:rsidP="00A16561" w14:paraId="24052D5A" w14:textId="77777777">
      <w:pPr>
        <w:pStyle w:val="Default"/>
        <w:rPr>
          <w:rFonts w:ascii="Times New Roman" w:hAnsi="Times New Roman" w:cs="Times New Roman"/>
          <w:color w:val="auto"/>
        </w:rPr>
      </w:pPr>
      <w:r w:rsidRPr="00A16561">
        <w:rPr>
          <w:rFonts w:ascii="Times New Roman" w:hAnsi="Times New Roman" w:cs="Times New Roman"/>
          <w:b/>
          <w:color w:val="auto"/>
        </w:rPr>
        <w:t>A.  Justification</w:t>
      </w:r>
      <w:r w:rsidRPr="00A16561">
        <w:rPr>
          <w:rFonts w:ascii="Times New Roman" w:hAnsi="Times New Roman" w:cs="Times New Roman"/>
          <w:color w:val="auto"/>
        </w:rPr>
        <w:t xml:space="preserve"> </w:t>
      </w:r>
    </w:p>
    <w:p w:rsidR="00B227F0" w:rsidRPr="00A16561" w:rsidP="00A16561" w14:paraId="75A98CEA" w14:textId="77777777">
      <w:pPr>
        <w:pStyle w:val="Default"/>
        <w:rPr>
          <w:rFonts w:ascii="Times New Roman" w:hAnsi="Times New Roman" w:cs="Times New Roman"/>
          <w:color w:val="auto"/>
        </w:rPr>
      </w:pPr>
      <w:r w:rsidRPr="00A16561">
        <w:rPr>
          <w:rFonts w:ascii="Times New Roman" w:hAnsi="Times New Roman" w:cs="Times New Roman"/>
          <w:color w:val="auto"/>
        </w:rPr>
        <w:t xml:space="preserve"> </w:t>
      </w:r>
    </w:p>
    <w:p w:rsidR="00B227F0" w:rsidRPr="00A16561" w:rsidP="00A16561" w14:paraId="048FE832" w14:textId="20CE28B5">
      <w:pPr>
        <w:pStyle w:val="Default"/>
        <w:rPr>
          <w:rFonts w:ascii="Times New Roman" w:hAnsi="Times New Roman" w:cs="Times New Roman"/>
          <w:color w:val="auto"/>
        </w:rPr>
      </w:pPr>
      <w:r w:rsidRPr="00A16561">
        <w:rPr>
          <w:rFonts w:ascii="Times New Roman" w:hAnsi="Times New Roman" w:cs="Times New Roman"/>
          <w:b/>
          <w:color w:val="auto"/>
        </w:rPr>
        <w:t>1.</w:t>
      </w:r>
      <w:r w:rsidRPr="00A16561">
        <w:rPr>
          <w:rFonts w:ascii="Times New Roman" w:hAnsi="Times New Roman" w:cs="Times New Roman"/>
          <w:color w:val="auto"/>
        </w:rPr>
        <w:t xml:space="preserve"> </w:t>
      </w:r>
      <w:r w:rsidRPr="00A16561">
        <w:rPr>
          <w:rFonts w:ascii="Times New Roman" w:hAnsi="Times New Roman" w:cs="Times New Roman"/>
          <w:b/>
          <w:color w:val="auto"/>
        </w:rPr>
        <w:t>Explain the circumstances that make the collection of information necessary.  Identify any legal or administrative requirements that necessitate the collection. Attach a copy of</w:t>
      </w:r>
      <w:r w:rsidRPr="00A16561" w:rsidR="00AA68DD">
        <w:rPr>
          <w:rFonts w:ascii="Times New Roman" w:hAnsi="Times New Roman" w:cs="Times New Roman"/>
          <w:b/>
          <w:color w:val="auto"/>
        </w:rPr>
        <w:t xml:space="preserve"> </w:t>
      </w:r>
      <w:r w:rsidRPr="00A16561">
        <w:rPr>
          <w:rFonts w:ascii="Times New Roman" w:hAnsi="Times New Roman" w:cs="Times New Roman"/>
          <w:b/>
          <w:color w:val="auto"/>
        </w:rPr>
        <w:t xml:space="preserve">the appropriate section of each statute and regulation mandating or authorizing the collection of information. </w:t>
      </w:r>
    </w:p>
    <w:p w:rsidR="00B227F0" w:rsidRPr="00A16561" w:rsidP="00A16561" w14:paraId="1FCB6AF5" w14:textId="77777777">
      <w:pPr>
        <w:pStyle w:val="Default"/>
        <w:rPr>
          <w:rFonts w:ascii="Times New Roman" w:hAnsi="Times New Roman" w:cs="Times New Roman"/>
          <w:color w:val="auto"/>
        </w:rPr>
      </w:pPr>
      <w:r w:rsidRPr="00A16561">
        <w:rPr>
          <w:rFonts w:ascii="Times New Roman" w:hAnsi="Times New Roman" w:cs="Times New Roman"/>
          <w:b/>
          <w:color w:val="auto"/>
        </w:rPr>
        <w:t xml:space="preserve"> </w:t>
      </w:r>
    </w:p>
    <w:p w:rsidR="00F92E2B" w:rsidRPr="00A16561" w:rsidP="00A16561" w14:paraId="76B8C6B6" w14:textId="7DBFACD1">
      <w:pPr>
        <w:pStyle w:val="Default"/>
        <w:rPr>
          <w:rFonts w:ascii="Times New Roman" w:hAnsi="Times New Roman" w:cs="Times New Roman"/>
          <w:color w:val="auto"/>
        </w:rPr>
      </w:pPr>
      <w:r w:rsidRPr="00A16561">
        <w:rPr>
          <w:rFonts w:ascii="Times New Roman" w:hAnsi="Times New Roman" w:cs="Times New Roman"/>
          <w:color w:val="auto"/>
        </w:rPr>
        <w:t>Section 103(h) of the Federal Mine Safety and Health Act of 1977 (Mine Act)</w:t>
      </w:r>
      <w:r w:rsidRPr="00A16561" w:rsidR="00F67C94">
        <w:rPr>
          <w:rFonts w:ascii="Times New Roman" w:hAnsi="Times New Roman" w:cs="Times New Roman"/>
          <w:color w:val="auto"/>
        </w:rPr>
        <w:t>,</w:t>
      </w:r>
      <w:r w:rsidRPr="00A16561">
        <w:rPr>
          <w:rFonts w:ascii="Times New Roman" w:hAnsi="Times New Roman" w:cs="Times New Roman"/>
        </w:rPr>
        <w:t xml:space="preserve"> as amended</w:t>
      </w:r>
      <w:r w:rsidRPr="00A16561">
        <w:rPr>
          <w:rFonts w:ascii="Times New Roman" w:hAnsi="Times New Roman" w:cs="Times New Roman"/>
          <w:color w:val="auto"/>
        </w:rPr>
        <w:t>, 30 U.S.C. 813(h), authorizes the Mine Safety and Health Administration (MSHA) to collect information necessary to carry out its duty in protecting the safety and health of miners. Further, section 101(a) of the Mine Act, 30 U.S.C. 811(a), authorizes the Secretary of Labor (Secretary) to develop, promulgate, and revise as may be appropriate, improved mandatory health or safety standards for the protection of life and prevention of injuries in coal, metal, and nonmetal mines.</w:t>
      </w:r>
    </w:p>
    <w:p w:rsidR="00F70C76" w:rsidRPr="00A16561" w:rsidP="00A16561" w14:paraId="308C7C3D" w14:textId="77777777">
      <w:pPr>
        <w:pStyle w:val="Default"/>
        <w:rPr>
          <w:rFonts w:ascii="Times New Roman" w:hAnsi="Times New Roman" w:cs="Times New Roman"/>
          <w:color w:val="auto"/>
        </w:rPr>
      </w:pPr>
    </w:p>
    <w:p w:rsidR="002B5989" w:rsidRPr="00A16561" w:rsidP="00A16561" w14:paraId="518984D1" w14:textId="11130BA7">
      <w:bookmarkStart w:id="5" w:name="_Hlk197347145"/>
      <w:bookmarkStart w:id="6" w:name="_Hlk169763927"/>
      <w:r w:rsidRPr="00A16561">
        <w:t xml:space="preserve">The Paperwork Reduction Act </w:t>
      </w:r>
      <w:r w:rsidRPr="00A16561" w:rsidR="00A16561">
        <w:t xml:space="preserve">of 1995 </w:t>
      </w:r>
      <w:r w:rsidRPr="00A16561">
        <w:t xml:space="preserve">(PRA) governs paperwork burdens imposed </w:t>
      </w:r>
      <w:r w:rsidRPr="00A16561" w:rsidR="006055BA">
        <w:t xml:space="preserve">on the public </w:t>
      </w:r>
      <w:r w:rsidRPr="00A16561">
        <w:t xml:space="preserve">by Federal agencies </w:t>
      </w:r>
      <w:r w:rsidRPr="00A16561" w:rsidR="00A16561">
        <w:t xml:space="preserve">for </w:t>
      </w:r>
      <w:r w:rsidRPr="00A16561">
        <w:t xml:space="preserve">using identical questions to collect information from 10 or more persons. </w:t>
      </w:r>
      <w:r w:rsidRPr="00A16561" w:rsidR="00A16561">
        <w:t>The PRA defines p</w:t>
      </w:r>
      <w:r w:rsidRPr="00A16561">
        <w:t xml:space="preserve">aperwork burden in 44 U.S.C. 3502(2) as time, effort, or financial resources expended to generate, maintain, or provide information to or for a Federal agency. </w:t>
      </w:r>
      <w:r w:rsidRPr="00A16561" w:rsidR="00A16561">
        <w:t>Under</w:t>
      </w:r>
      <w:r w:rsidRPr="00A16561" w:rsidR="006055BA">
        <w:t xml:space="preserve"> </w:t>
      </w:r>
      <w:r w:rsidRPr="00A16561">
        <w:t>44 U.S.C. 3507</w:t>
      </w:r>
      <w:r w:rsidRPr="00A16561" w:rsidR="00A16561">
        <w:t>, the PRA also</w:t>
      </w:r>
      <w:r w:rsidRPr="00A16561" w:rsidR="006055BA">
        <w:t xml:space="preserve"> establishes</w:t>
      </w:r>
      <w:r w:rsidRPr="00A16561">
        <w:t xml:space="preserve"> policies and procedures </w:t>
      </w:r>
      <w:r w:rsidRPr="00A16561" w:rsidR="00A16561">
        <w:t xml:space="preserve">of information collection </w:t>
      </w:r>
      <w:r w:rsidRPr="00A16561">
        <w:t>for controlling paperwork burdens imposed by Federal agencies on the public</w:t>
      </w:r>
      <w:bookmarkStart w:id="7" w:name="_Hlk196911088"/>
      <w:r w:rsidRPr="00A16561" w:rsidR="00A16561">
        <w:rPr>
          <w:bCs/>
        </w:rPr>
        <w:t>, including evaluating public comments</w:t>
      </w:r>
      <w:bookmarkEnd w:id="7"/>
      <w:r w:rsidRPr="00A16561">
        <w:t>. </w:t>
      </w:r>
    </w:p>
    <w:bookmarkEnd w:id="5"/>
    <w:p w:rsidR="002B5989" w:rsidRPr="00A16561" w:rsidP="00A16561" w14:paraId="1462107D" w14:textId="77777777">
      <w:pPr>
        <w:pStyle w:val="Default"/>
        <w:rPr>
          <w:rFonts w:ascii="Times New Roman" w:hAnsi="Times New Roman" w:cs="Times New Roman"/>
          <w:color w:val="auto"/>
        </w:rPr>
      </w:pPr>
    </w:p>
    <w:p w:rsidR="00F70C76" w:rsidRPr="00A16561" w:rsidP="00A16561" w14:paraId="306DACDB" w14:textId="3BA12658">
      <w:pPr>
        <w:pStyle w:val="Default"/>
        <w:rPr>
          <w:rFonts w:ascii="Times New Roman" w:hAnsi="Times New Roman" w:cs="Times New Roman"/>
          <w:color w:val="auto"/>
        </w:rPr>
      </w:pPr>
      <w:r w:rsidRPr="00A16561">
        <w:rPr>
          <w:rFonts w:ascii="Times New Roman" w:hAnsi="Times New Roman" w:cs="Times New Roman"/>
          <w:color w:val="auto"/>
        </w:rPr>
        <w:t>To</w:t>
      </w:r>
      <w:r w:rsidRPr="00A16561" w:rsidR="00074A47">
        <w:rPr>
          <w:rFonts w:ascii="Times New Roman" w:hAnsi="Times New Roman" w:cs="Times New Roman"/>
          <w:color w:val="auto"/>
        </w:rPr>
        <w:t xml:space="preserve"> fulfill </w:t>
      </w:r>
      <w:r w:rsidRPr="00A16561" w:rsidR="00D40023">
        <w:rPr>
          <w:rFonts w:ascii="Times New Roman" w:hAnsi="Times New Roman" w:cs="Times New Roman"/>
          <w:color w:val="auto"/>
        </w:rPr>
        <w:t xml:space="preserve">its </w:t>
      </w:r>
      <w:r w:rsidRPr="00A16561" w:rsidR="00074A47">
        <w:rPr>
          <w:rFonts w:ascii="Times New Roman" w:hAnsi="Times New Roman" w:cs="Times New Roman"/>
          <w:color w:val="auto"/>
        </w:rPr>
        <w:t xml:space="preserve">statutory mandate to promote miners’ health and safety, </w:t>
      </w:r>
      <w:r w:rsidRPr="00A16561" w:rsidR="00823826">
        <w:rPr>
          <w:rFonts w:ascii="Times New Roman" w:hAnsi="Times New Roman" w:cs="Times New Roman"/>
          <w:color w:val="auto"/>
        </w:rPr>
        <w:t xml:space="preserve">MSHA requires information under the information collection request </w:t>
      </w:r>
      <w:r w:rsidRPr="00A16561" w:rsidR="00A16561">
        <w:rPr>
          <w:rFonts w:ascii="Times New Roman" w:hAnsi="Times New Roman" w:cs="Times New Roman"/>
          <w:color w:val="auto"/>
        </w:rPr>
        <w:t xml:space="preserve">(ICR) </w:t>
      </w:r>
      <w:r w:rsidRPr="00A16561" w:rsidR="00823826">
        <w:rPr>
          <w:rFonts w:ascii="Times New Roman" w:hAnsi="Times New Roman" w:cs="Times New Roman"/>
          <w:color w:val="auto"/>
        </w:rPr>
        <w:t xml:space="preserve">titled </w:t>
      </w:r>
      <w:r w:rsidRPr="00A16561" w:rsidR="00EE6E52">
        <w:rPr>
          <w:rFonts w:ascii="Times New Roman" w:hAnsi="Times New Roman" w:cs="Times New Roman"/>
          <w:color w:val="auto"/>
        </w:rPr>
        <w:t>“</w:t>
      </w:r>
      <w:r w:rsidRPr="00A16561" w:rsidR="00074A47">
        <w:rPr>
          <w:rFonts w:ascii="Times New Roman" w:hAnsi="Times New Roman" w:cs="Times New Roman"/>
          <w:color w:val="auto"/>
        </w:rPr>
        <w:t>High-Voltage Continuous Mining Machine Standards for Underground Coal Mines</w:t>
      </w:r>
      <w:r w:rsidRPr="00A16561" w:rsidR="00AA21ED">
        <w:rPr>
          <w:rFonts w:ascii="Times New Roman" w:hAnsi="Times New Roman" w:cs="Times New Roman"/>
          <w:color w:val="auto"/>
        </w:rPr>
        <w:t>.</w:t>
      </w:r>
      <w:r w:rsidRPr="00A16561" w:rsidR="00EE6E52">
        <w:rPr>
          <w:rFonts w:ascii="Times New Roman" w:hAnsi="Times New Roman" w:cs="Times New Roman"/>
          <w:color w:val="auto"/>
        </w:rPr>
        <w:t>”</w:t>
      </w:r>
      <w:r w:rsidRPr="00A16561" w:rsidR="00074A47">
        <w:rPr>
          <w:rFonts w:ascii="Times New Roman" w:hAnsi="Times New Roman" w:cs="Times New Roman"/>
          <w:color w:val="auto"/>
        </w:rPr>
        <w:t xml:space="preserve"> The information collection </w:t>
      </w:r>
      <w:r w:rsidR="00A16561">
        <w:rPr>
          <w:rFonts w:ascii="Times New Roman" w:hAnsi="Times New Roman" w:cs="Times New Roman"/>
          <w:color w:val="auto"/>
        </w:rPr>
        <w:t xml:space="preserve">is intended to </w:t>
      </w:r>
      <w:r w:rsidRPr="00A16561" w:rsidR="00B83202">
        <w:rPr>
          <w:rFonts w:ascii="Times New Roman" w:hAnsi="Times New Roman" w:cs="Times New Roman"/>
          <w:color w:val="auto"/>
        </w:rPr>
        <w:t>ensure</w:t>
      </w:r>
      <w:r w:rsidRPr="00A16561" w:rsidR="00074A47">
        <w:rPr>
          <w:rFonts w:ascii="Times New Roman" w:hAnsi="Times New Roman" w:cs="Times New Roman"/>
          <w:color w:val="auto"/>
        </w:rPr>
        <w:t xml:space="preserve"> that </w:t>
      </w:r>
      <w:r w:rsidRPr="00A16561" w:rsidR="002C7489">
        <w:rPr>
          <w:rFonts w:ascii="Times New Roman" w:hAnsi="Times New Roman" w:cs="Times New Roman"/>
          <w:color w:val="auto"/>
        </w:rPr>
        <w:t xml:space="preserve">underground coal </w:t>
      </w:r>
      <w:r w:rsidRPr="00A16561" w:rsidR="00074A47">
        <w:rPr>
          <w:rFonts w:ascii="Times New Roman" w:hAnsi="Times New Roman" w:cs="Times New Roman"/>
          <w:color w:val="auto"/>
        </w:rPr>
        <w:t xml:space="preserve">mine operators </w:t>
      </w:r>
      <w:r w:rsidRPr="00A16561" w:rsidR="00F92E2B">
        <w:rPr>
          <w:rFonts w:ascii="Times New Roman" w:hAnsi="Times New Roman" w:cs="Times New Roman"/>
          <w:color w:val="auto"/>
        </w:rPr>
        <w:t xml:space="preserve">are </w:t>
      </w:r>
      <w:r w:rsidRPr="00A16561" w:rsidR="00074A47">
        <w:rPr>
          <w:rFonts w:ascii="Times New Roman" w:hAnsi="Times New Roman" w:cs="Times New Roman"/>
          <w:color w:val="auto"/>
        </w:rPr>
        <w:t xml:space="preserve">conducting </w:t>
      </w:r>
      <w:r w:rsidRPr="00A16561" w:rsidR="002C7489">
        <w:rPr>
          <w:rFonts w:ascii="Times New Roman" w:hAnsi="Times New Roman" w:cs="Times New Roman"/>
          <w:color w:val="auto"/>
        </w:rPr>
        <w:t xml:space="preserve">necessary </w:t>
      </w:r>
      <w:r w:rsidRPr="00A16561" w:rsidR="00074A47">
        <w:rPr>
          <w:rFonts w:ascii="Times New Roman" w:hAnsi="Times New Roman" w:cs="Times New Roman"/>
          <w:color w:val="auto"/>
        </w:rPr>
        <w:t xml:space="preserve">examinations and tests </w:t>
      </w:r>
      <w:r w:rsidRPr="00A16561" w:rsidR="00DF5327">
        <w:rPr>
          <w:rFonts w:ascii="Times New Roman" w:hAnsi="Times New Roman" w:cs="Times New Roman"/>
          <w:color w:val="auto"/>
        </w:rPr>
        <w:t xml:space="preserve">relating to </w:t>
      </w:r>
      <w:r w:rsidRPr="00A16561" w:rsidR="00074A47">
        <w:rPr>
          <w:rFonts w:ascii="Times New Roman" w:hAnsi="Times New Roman" w:cs="Times New Roman"/>
          <w:color w:val="auto"/>
        </w:rPr>
        <w:t xml:space="preserve">hazardous conditions </w:t>
      </w:r>
      <w:r w:rsidRPr="00A16561" w:rsidR="00F92E2B">
        <w:rPr>
          <w:rFonts w:ascii="Times New Roman" w:hAnsi="Times New Roman" w:cs="Times New Roman"/>
          <w:color w:val="auto"/>
        </w:rPr>
        <w:t>encountered by miners working with and around high-voltage continuous mining machines (HVCMM)</w:t>
      </w:r>
      <w:r w:rsidRPr="00A16561" w:rsidR="00074A47">
        <w:rPr>
          <w:rFonts w:ascii="Times New Roman" w:hAnsi="Times New Roman" w:cs="Times New Roman"/>
          <w:color w:val="auto"/>
        </w:rPr>
        <w:t xml:space="preserve">. The records of </w:t>
      </w:r>
      <w:r w:rsidRPr="00A16561" w:rsidR="00F92E2B">
        <w:rPr>
          <w:rFonts w:ascii="Times New Roman" w:hAnsi="Times New Roman" w:cs="Times New Roman"/>
          <w:color w:val="auto"/>
        </w:rPr>
        <w:t>these examinations and tests are critical</w:t>
      </w:r>
      <w:r w:rsidRPr="00A16561" w:rsidR="00074A47">
        <w:rPr>
          <w:rFonts w:ascii="Times New Roman" w:hAnsi="Times New Roman" w:cs="Times New Roman"/>
          <w:color w:val="auto"/>
        </w:rPr>
        <w:t xml:space="preserve"> </w:t>
      </w:r>
      <w:r w:rsidRPr="00A16561" w:rsidR="003018BD">
        <w:rPr>
          <w:rFonts w:ascii="Times New Roman" w:hAnsi="Times New Roman" w:cs="Times New Roman"/>
          <w:color w:val="auto"/>
        </w:rPr>
        <w:t xml:space="preserve">to </w:t>
      </w:r>
      <w:r w:rsidRPr="00A16561" w:rsidR="00074A47">
        <w:rPr>
          <w:rFonts w:ascii="Times New Roman" w:hAnsi="Times New Roman" w:cs="Times New Roman"/>
          <w:color w:val="auto"/>
        </w:rPr>
        <w:t xml:space="preserve">decisions that </w:t>
      </w:r>
      <w:r w:rsidRPr="00A16561" w:rsidR="00F92E2B">
        <w:rPr>
          <w:rFonts w:ascii="Times New Roman" w:hAnsi="Times New Roman" w:cs="Times New Roman"/>
          <w:color w:val="auto"/>
        </w:rPr>
        <w:t>impact</w:t>
      </w:r>
      <w:r w:rsidRPr="00A16561" w:rsidR="00074A47">
        <w:rPr>
          <w:rFonts w:ascii="Times New Roman" w:hAnsi="Times New Roman" w:cs="Times New Roman"/>
          <w:color w:val="auto"/>
        </w:rPr>
        <w:t xml:space="preserve"> the </w:t>
      </w:r>
      <w:r w:rsidRPr="00A16561" w:rsidR="00E86A83">
        <w:rPr>
          <w:rFonts w:ascii="Times New Roman" w:hAnsi="Times New Roman" w:cs="Times New Roman"/>
          <w:color w:val="auto"/>
        </w:rPr>
        <w:t xml:space="preserve">health and </w:t>
      </w:r>
      <w:r w:rsidRPr="00A16561" w:rsidR="00074A47">
        <w:rPr>
          <w:rFonts w:ascii="Times New Roman" w:hAnsi="Times New Roman" w:cs="Times New Roman"/>
          <w:color w:val="auto"/>
        </w:rPr>
        <w:t xml:space="preserve">safety of miners working with </w:t>
      </w:r>
      <w:r w:rsidRPr="00A16561" w:rsidR="00E86A83">
        <w:rPr>
          <w:rFonts w:ascii="Times New Roman" w:hAnsi="Times New Roman" w:cs="Times New Roman"/>
          <w:color w:val="auto"/>
        </w:rPr>
        <w:t xml:space="preserve">and around </w:t>
      </w:r>
      <w:r w:rsidRPr="00A16561" w:rsidR="00074A47">
        <w:rPr>
          <w:rFonts w:ascii="Times New Roman" w:hAnsi="Times New Roman" w:cs="Times New Roman"/>
          <w:color w:val="auto"/>
        </w:rPr>
        <w:t xml:space="preserve">HVCMMs. </w:t>
      </w:r>
    </w:p>
    <w:p w:rsidR="00074A47" w:rsidRPr="00A16561" w:rsidP="00A16561" w14:paraId="5B59C09F" w14:textId="77777777">
      <w:pPr>
        <w:pStyle w:val="Default"/>
        <w:rPr>
          <w:rFonts w:ascii="Times New Roman" w:hAnsi="Times New Roman" w:cs="Times New Roman"/>
          <w:color w:val="auto"/>
        </w:rPr>
      </w:pPr>
    </w:p>
    <w:p w:rsidR="003C4D47" w:rsidRPr="00A16561" w:rsidP="00A16561" w14:paraId="71A3D400" w14:textId="04301207">
      <w:pPr>
        <w:pStyle w:val="Default"/>
        <w:rPr>
          <w:rFonts w:ascii="Times New Roman" w:hAnsi="Times New Roman" w:cs="Times New Roman"/>
          <w:color w:val="auto"/>
        </w:rPr>
      </w:pPr>
      <w:r w:rsidRPr="00A16561">
        <w:rPr>
          <w:rFonts w:ascii="Times New Roman" w:hAnsi="Times New Roman" w:cs="Times New Roman"/>
          <w:color w:val="auto"/>
        </w:rPr>
        <w:t>R</w:t>
      </w:r>
      <w:r w:rsidRPr="00A16561" w:rsidR="00074A47">
        <w:rPr>
          <w:rFonts w:ascii="Times New Roman" w:hAnsi="Times New Roman" w:cs="Times New Roman"/>
          <w:color w:val="auto"/>
        </w:rPr>
        <w:t xml:space="preserve">equirements in 30 CFR </w:t>
      </w:r>
      <w:r w:rsidRPr="00A16561" w:rsidR="00274488">
        <w:rPr>
          <w:rFonts w:ascii="Times New Roman" w:hAnsi="Times New Roman" w:cs="Times New Roman"/>
          <w:color w:val="auto"/>
        </w:rPr>
        <w:t>p</w:t>
      </w:r>
      <w:r w:rsidRPr="00A16561" w:rsidR="00074A47">
        <w:rPr>
          <w:rFonts w:ascii="Times New Roman" w:hAnsi="Times New Roman" w:cs="Times New Roman"/>
          <w:color w:val="auto"/>
        </w:rPr>
        <w:t>art 75 provide for the safe use of HVCMM</w:t>
      </w:r>
      <w:r w:rsidRPr="00A16561" w:rsidR="00274488">
        <w:rPr>
          <w:rFonts w:ascii="Times New Roman" w:hAnsi="Times New Roman" w:cs="Times New Roman"/>
          <w:color w:val="auto"/>
        </w:rPr>
        <w:t>s</w:t>
      </w:r>
      <w:r w:rsidRPr="00A16561" w:rsidR="00074A47">
        <w:rPr>
          <w:rFonts w:ascii="Times New Roman" w:hAnsi="Times New Roman" w:cs="Times New Roman"/>
          <w:color w:val="auto"/>
        </w:rPr>
        <w:t xml:space="preserve"> for those underground coal mine operators that choose to use an HVCMM. </w:t>
      </w:r>
      <w:r w:rsidRPr="00A16561">
        <w:rPr>
          <w:rFonts w:ascii="Times New Roman" w:hAnsi="Times New Roman" w:cs="Times New Roman"/>
          <w:color w:val="auto"/>
        </w:rPr>
        <w:t>These</w:t>
      </w:r>
      <w:r w:rsidRPr="00A16561" w:rsidR="00074A47">
        <w:rPr>
          <w:rFonts w:ascii="Times New Roman" w:hAnsi="Times New Roman" w:cs="Times New Roman"/>
          <w:color w:val="auto"/>
        </w:rPr>
        <w:t xml:space="preserve"> requirements for examination, maintenance, and recordkeeping on HVCMMs</w:t>
      </w:r>
      <w:r w:rsidRPr="00A16561" w:rsidR="00F640FB">
        <w:rPr>
          <w:rFonts w:ascii="Times New Roman" w:hAnsi="Times New Roman" w:cs="Times New Roman"/>
          <w:color w:val="auto"/>
        </w:rPr>
        <w:t xml:space="preserve"> </w:t>
      </w:r>
      <w:r w:rsidRPr="00A16561" w:rsidR="00074A47">
        <w:rPr>
          <w:rFonts w:ascii="Times New Roman" w:hAnsi="Times New Roman" w:cs="Times New Roman"/>
          <w:color w:val="auto"/>
        </w:rPr>
        <w:t>reduce</w:t>
      </w:r>
      <w:r w:rsidRPr="00A16561" w:rsidR="00794D0E">
        <w:rPr>
          <w:rFonts w:ascii="Times New Roman" w:hAnsi="Times New Roman" w:cs="Times New Roman"/>
          <w:color w:val="auto"/>
        </w:rPr>
        <w:t xml:space="preserve"> </w:t>
      </w:r>
      <w:r w:rsidRPr="00A16561" w:rsidR="006A3A69">
        <w:rPr>
          <w:rFonts w:ascii="Times New Roman" w:hAnsi="Times New Roman" w:cs="Times New Roman"/>
          <w:color w:val="auto"/>
        </w:rPr>
        <w:t>the risk</w:t>
      </w:r>
      <w:r w:rsidRPr="00A16561" w:rsidR="00F2132E">
        <w:rPr>
          <w:rFonts w:ascii="Times New Roman" w:hAnsi="Times New Roman" w:cs="Times New Roman"/>
          <w:color w:val="auto"/>
        </w:rPr>
        <w:t xml:space="preserve"> of</w:t>
      </w:r>
      <w:r w:rsidRPr="00A16561" w:rsidR="00074A47">
        <w:rPr>
          <w:rFonts w:ascii="Times New Roman" w:hAnsi="Times New Roman" w:cs="Times New Roman"/>
          <w:color w:val="auto"/>
        </w:rPr>
        <w:t xml:space="preserve"> fire, electrical shock, ignition, and </w:t>
      </w:r>
      <w:r w:rsidRPr="00A16561" w:rsidR="00DF5327">
        <w:rPr>
          <w:rFonts w:ascii="Times New Roman" w:hAnsi="Times New Roman" w:cs="Times New Roman"/>
          <w:color w:val="auto"/>
        </w:rPr>
        <w:t xml:space="preserve">other </w:t>
      </w:r>
      <w:r w:rsidRPr="00A16561" w:rsidR="00074A47">
        <w:rPr>
          <w:rFonts w:ascii="Times New Roman" w:hAnsi="Times New Roman" w:cs="Times New Roman"/>
          <w:color w:val="auto"/>
        </w:rPr>
        <w:t>operational hazards.</w:t>
      </w:r>
      <w:r w:rsidRPr="00A16561" w:rsidR="00766053">
        <w:rPr>
          <w:rFonts w:ascii="Times New Roman" w:hAnsi="Times New Roman" w:cs="Times New Roman"/>
          <w:color w:val="auto"/>
        </w:rPr>
        <w:t xml:space="preserve"> </w:t>
      </w:r>
    </w:p>
    <w:p w:rsidR="003C4D47" w:rsidRPr="00A16561" w:rsidP="00A16561" w14:paraId="12B663F0" w14:textId="77777777">
      <w:pPr>
        <w:pStyle w:val="Default"/>
        <w:rPr>
          <w:rFonts w:ascii="Times New Roman" w:hAnsi="Times New Roman" w:cs="Times New Roman"/>
          <w:color w:val="auto"/>
        </w:rPr>
      </w:pPr>
    </w:p>
    <w:p w:rsidR="003C4D47" w:rsidRPr="00A16561" w:rsidP="00A16561" w14:paraId="4153E125" w14:textId="79373E15">
      <w:pPr>
        <w:pStyle w:val="Default"/>
        <w:rPr>
          <w:rFonts w:ascii="Times New Roman" w:hAnsi="Times New Roman" w:cs="Times New Roman"/>
          <w:color w:val="auto"/>
        </w:rPr>
      </w:pPr>
      <w:r w:rsidRPr="00A16561">
        <w:rPr>
          <w:rFonts w:ascii="Times New Roman" w:hAnsi="Times New Roman" w:cs="Times New Roman"/>
          <w:color w:val="auto"/>
        </w:rPr>
        <w:t xml:space="preserve">Burden costs associated with the ICR </w:t>
      </w:r>
      <w:r w:rsidRPr="00A16561" w:rsidR="00E27063">
        <w:rPr>
          <w:rFonts w:ascii="Times New Roman" w:hAnsi="Times New Roman" w:cs="Times New Roman"/>
          <w:color w:val="auto"/>
        </w:rPr>
        <w:t>include</w:t>
      </w:r>
      <w:r w:rsidRPr="00A16561">
        <w:rPr>
          <w:rFonts w:ascii="Times New Roman" w:hAnsi="Times New Roman" w:cs="Times New Roman"/>
          <w:color w:val="auto"/>
        </w:rPr>
        <w:t xml:space="preserve">: </w:t>
      </w:r>
    </w:p>
    <w:p w:rsidR="00E114E1" w:rsidRPr="00A16561" w:rsidP="00A16561" w14:paraId="256B72F9" w14:textId="77777777">
      <w:pPr>
        <w:pStyle w:val="Default"/>
        <w:rPr>
          <w:rFonts w:ascii="Times New Roman" w:hAnsi="Times New Roman" w:cs="Times New Roman"/>
          <w:color w:val="auto"/>
        </w:rPr>
      </w:pPr>
    </w:p>
    <w:p w:rsidR="003302EA" w:rsidRPr="00A16561" w:rsidP="00A16561" w14:paraId="6F7A169A" w14:textId="413E6272">
      <w:pPr>
        <w:pStyle w:val="Default"/>
        <w:numPr>
          <w:ilvl w:val="0"/>
          <w:numId w:val="26"/>
        </w:numPr>
        <w:rPr>
          <w:rFonts w:ascii="Times New Roman" w:hAnsi="Times New Roman" w:cs="Times New Roman"/>
          <w:color w:val="auto"/>
        </w:rPr>
      </w:pPr>
      <w:r w:rsidRPr="00A16561">
        <w:rPr>
          <w:rFonts w:ascii="Times New Roman" w:hAnsi="Times New Roman" w:cs="Times New Roman"/>
          <w:color w:val="auto"/>
        </w:rPr>
        <w:t xml:space="preserve">Examinations </w:t>
      </w:r>
      <w:r w:rsidRPr="00A16561" w:rsidR="003C4D47">
        <w:rPr>
          <w:rFonts w:ascii="Times New Roman" w:hAnsi="Times New Roman" w:cs="Times New Roman"/>
          <w:color w:val="auto"/>
        </w:rPr>
        <w:t xml:space="preserve">and corrective actions prior to tramming </w:t>
      </w:r>
      <w:r w:rsidRPr="00A16561" w:rsidR="009903E9">
        <w:rPr>
          <w:rFonts w:ascii="Times New Roman" w:hAnsi="Times New Roman" w:cs="Times New Roman"/>
          <w:color w:val="auto"/>
        </w:rPr>
        <w:t>HVCMM</w:t>
      </w:r>
      <w:r w:rsidRPr="00A16561" w:rsidR="00E60F36">
        <w:rPr>
          <w:rFonts w:ascii="Times New Roman" w:hAnsi="Times New Roman" w:cs="Times New Roman"/>
          <w:color w:val="auto"/>
        </w:rPr>
        <w:t>s</w:t>
      </w:r>
      <w:r w:rsidRPr="00A16561" w:rsidR="003C4D47">
        <w:rPr>
          <w:rFonts w:ascii="Times New Roman" w:hAnsi="Times New Roman" w:cs="Times New Roman"/>
          <w:color w:val="auto"/>
        </w:rPr>
        <w:t xml:space="preserve"> in and out of the mine and from section to section;</w:t>
      </w:r>
    </w:p>
    <w:p w:rsidR="003302EA" w:rsidRPr="00A16561" w:rsidP="00A16561" w14:paraId="3C25AB4A" w14:textId="43304A18">
      <w:pPr>
        <w:pStyle w:val="Default"/>
        <w:numPr>
          <w:ilvl w:val="0"/>
          <w:numId w:val="26"/>
        </w:numPr>
        <w:rPr>
          <w:rFonts w:ascii="Times New Roman" w:hAnsi="Times New Roman" w:cs="Times New Roman"/>
          <w:color w:val="auto"/>
        </w:rPr>
      </w:pPr>
      <w:r w:rsidRPr="00A16561">
        <w:rPr>
          <w:rFonts w:ascii="Times New Roman" w:hAnsi="Times New Roman" w:cs="Times New Roman"/>
          <w:color w:val="auto"/>
        </w:rPr>
        <w:t xml:space="preserve">Locking </w:t>
      </w:r>
      <w:r w:rsidRPr="00A16561" w:rsidR="00E114E1">
        <w:rPr>
          <w:rFonts w:ascii="Times New Roman" w:hAnsi="Times New Roman" w:cs="Times New Roman"/>
          <w:color w:val="auto"/>
        </w:rPr>
        <w:t>o</w:t>
      </w:r>
      <w:r w:rsidRPr="00A16561">
        <w:rPr>
          <w:rFonts w:ascii="Times New Roman" w:hAnsi="Times New Roman" w:cs="Times New Roman"/>
          <w:color w:val="auto"/>
        </w:rPr>
        <w:t xml:space="preserve">ut and </w:t>
      </w:r>
      <w:r w:rsidRPr="00A16561" w:rsidR="00E114E1">
        <w:rPr>
          <w:rFonts w:ascii="Times New Roman" w:hAnsi="Times New Roman" w:cs="Times New Roman"/>
          <w:color w:val="auto"/>
        </w:rPr>
        <w:t>t</w:t>
      </w:r>
      <w:r w:rsidRPr="00A16561" w:rsidR="009903E9">
        <w:rPr>
          <w:rFonts w:ascii="Times New Roman" w:hAnsi="Times New Roman" w:cs="Times New Roman"/>
          <w:color w:val="auto"/>
        </w:rPr>
        <w:t xml:space="preserve">agging of high-voltage trailing cables; and </w:t>
      </w:r>
    </w:p>
    <w:p w:rsidR="00074A47" w:rsidRPr="00A16561" w:rsidP="00A16561" w14:paraId="60E8C924" w14:textId="1F2D2F53">
      <w:pPr>
        <w:pStyle w:val="Default"/>
        <w:numPr>
          <w:ilvl w:val="0"/>
          <w:numId w:val="26"/>
        </w:numPr>
        <w:rPr>
          <w:rFonts w:ascii="Times New Roman" w:hAnsi="Times New Roman" w:cs="Times New Roman"/>
          <w:color w:val="auto"/>
        </w:rPr>
      </w:pPr>
      <w:r w:rsidRPr="00A16561">
        <w:rPr>
          <w:rFonts w:ascii="Times New Roman" w:hAnsi="Times New Roman" w:cs="Times New Roman"/>
          <w:color w:val="auto"/>
        </w:rPr>
        <w:t>Examinations</w:t>
      </w:r>
      <w:r w:rsidRPr="00A16561" w:rsidR="002C7489">
        <w:rPr>
          <w:rFonts w:ascii="Times New Roman" w:hAnsi="Times New Roman" w:cs="Times New Roman"/>
          <w:color w:val="auto"/>
        </w:rPr>
        <w:t>,</w:t>
      </w:r>
      <w:r w:rsidRPr="00A16561" w:rsidR="00EF7AC3">
        <w:rPr>
          <w:rFonts w:ascii="Times New Roman" w:hAnsi="Times New Roman" w:cs="Times New Roman"/>
          <w:color w:val="auto"/>
        </w:rPr>
        <w:t xml:space="preserve"> </w:t>
      </w:r>
      <w:r w:rsidRPr="00A16561">
        <w:rPr>
          <w:rFonts w:ascii="Times New Roman" w:hAnsi="Times New Roman" w:cs="Times New Roman"/>
          <w:color w:val="auto"/>
        </w:rPr>
        <w:t>corrective actions</w:t>
      </w:r>
      <w:r w:rsidRPr="00A16561" w:rsidR="002C7489">
        <w:rPr>
          <w:rFonts w:ascii="Times New Roman" w:hAnsi="Times New Roman" w:cs="Times New Roman"/>
          <w:color w:val="auto"/>
        </w:rPr>
        <w:t>, and recordkeeping</w:t>
      </w:r>
      <w:r w:rsidRPr="00A16561">
        <w:rPr>
          <w:rFonts w:ascii="Times New Roman" w:hAnsi="Times New Roman" w:cs="Times New Roman"/>
          <w:color w:val="auto"/>
        </w:rPr>
        <w:t xml:space="preserve"> of HVCMMs.</w:t>
      </w:r>
    </w:p>
    <w:p w:rsidR="00E114E1" w:rsidRPr="00A16561" w:rsidP="00A16561" w14:paraId="18316669" w14:textId="77777777">
      <w:pPr>
        <w:pStyle w:val="Default"/>
        <w:ind w:left="1080"/>
        <w:rPr>
          <w:rFonts w:ascii="Times New Roman" w:hAnsi="Times New Roman" w:cs="Times New Roman"/>
          <w:color w:val="auto"/>
        </w:rPr>
      </w:pPr>
    </w:p>
    <w:bookmarkEnd w:id="6"/>
    <w:p w:rsidR="00C73040" w:rsidRPr="00A16561" w:rsidP="00A16561" w14:paraId="66A14350" w14:textId="74ACEB39">
      <w:pPr>
        <w:pStyle w:val="Default"/>
        <w:rPr>
          <w:rFonts w:ascii="Times New Roman" w:hAnsi="Times New Roman" w:cs="Times New Roman"/>
          <w:color w:val="auto"/>
        </w:rPr>
      </w:pPr>
      <w:r w:rsidRPr="00A16561">
        <w:rPr>
          <w:rFonts w:ascii="Times New Roman" w:hAnsi="Times New Roman" w:cs="Times New Roman"/>
          <w:color w:val="auto"/>
        </w:rPr>
        <w:t>Authorization and the associated rule text are described</w:t>
      </w:r>
      <w:r w:rsidRPr="006C3416" w:rsidR="006C3416">
        <w:rPr>
          <w:rFonts w:ascii="Times New Roman" w:hAnsi="Times New Roman" w:cs="Times New Roman"/>
          <w:color w:val="auto"/>
        </w:rPr>
        <w:t xml:space="preserve"> </w:t>
      </w:r>
      <w:r w:rsidR="006C3416">
        <w:rPr>
          <w:rFonts w:ascii="Times New Roman" w:hAnsi="Times New Roman" w:cs="Times New Roman"/>
          <w:color w:val="auto"/>
        </w:rPr>
        <w:t>below.</w:t>
      </w:r>
    </w:p>
    <w:p w:rsidR="00EA7FB9" w:rsidRPr="00A16561" w:rsidP="00A16561" w14:paraId="5E0AC2F0" w14:textId="77777777">
      <w:pPr>
        <w:pStyle w:val="Default"/>
        <w:rPr>
          <w:rFonts w:ascii="Times New Roman" w:hAnsi="Times New Roman" w:cs="Times New Roman"/>
          <w:color w:val="auto"/>
        </w:rPr>
      </w:pPr>
    </w:p>
    <w:p w:rsidR="00C73040" w:rsidRPr="00A16561" w:rsidP="00A16561" w14:paraId="44D6D407" w14:textId="6BC76C49">
      <w:pPr>
        <w:pStyle w:val="ListParagraph"/>
        <w:numPr>
          <w:ilvl w:val="0"/>
          <w:numId w:val="25"/>
        </w:numPr>
        <w:spacing w:after="0" w:line="240" w:lineRule="auto"/>
        <w:rPr>
          <w:rFonts w:ascii="Times New Roman" w:hAnsi="Times New Roman"/>
          <w:b/>
          <w:bCs/>
          <w:kern w:val="24"/>
          <w:u w:color="000000"/>
        </w:rPr>
      </w:pPr>
      <w:r w:rsidRPr="00A16561">
        <w:rPr>
          <w:rFonts w:ascii="Times New Roman" w:hAnsi="Times New Roman"/>
          <w:b/>
          <w:bCs/>
          <w:kern w:val="24"/>
          <w:sz w:val="24"/>
          <w:szCs w:val="24"/>
          <w:u w:color="000000"/>
        </w:rPr>
        <w:t>Examinations</w:t>
      </w:r>
      <w:r w:rsidRPr="00A16561" w:rsidR="0055002D">
        <w:rPr>
          <w:rFonts w:ascii="Times New Roman" w:hAnsi="Times New Roman"/>
          <w:b/>
          <w:bCs/>
          <w:kern w:val="24"/>
          <w:sz w:val="24"/>
          <w:szCs w:val="24"/>
          <w:u w:color="000000"/>
        </w:rPr>
        <w:t xml:space="preserve"> and Corrective Actions Prior to Tramming </w:t>
      </w:r>
      <w:r w:rsidRPr="00A16561" w:rsidR="001C38F4">
        <w:rPr>
          <w:rFonts w:ascii="Times New Roman" w:hAnsi="Times New Roman"/>
          <w:b/>
          <w:bCs/>
          <w:kern w:val="24"/>
          <w:sz w:val="24"/>
          <w:szCs w:val="24"/>
          <w:u w:color="000000"/>
        </w:rPr>
        <w:t xml:space="preserve">HVCMMs </w:t>
      </w:r>
      <w:r w:rsidRPr="00A16561" w:rsidR="00043F2D">
        <w:rPr>
          <w:rFonts w:ascii="Times New Roman" w:hAnsi="Times New Roman"/>
          <w:b/>
          <w:bCs/>
          <w:kern w:val="24"/>
          <w:sz w:val="24"/>
          <w:szCs w:val="24"/>
          <w:u w:color="000000"/>
        </w:rPr>
        <w:t>i</w:t>
      </w:r>
      <w:r w:rsidRPr="00A16561" w:rsidR="00970F4E">
        <w:rPr>
          <w:rFonts w:ascii="Times New Roman" w:hAnsi="Times New Roman"/>
          <w:b/>
          <w:bCs/>
          <w:kern w:val="24"/>
          <w:sz w:val="24"/>
          <w:szCs w:val="24"/>
          <w:u w:color="000000"/>
        </w:rPr>
        <w:t xml:space="preserve">n and </w:t>
      </w:r>
      <w:r w:rsidRPr="00A16561" w:rsidR="00043F2D">
        <w:rPr>
          <w:rFonts w:ascii="Times New Roman" w:hAnsi="Times New Roman"/>
          <w:b/>
          <w:bCs/>
          <w:kern w:val="24"/>
          <w:sz w:val="24"/>
          <w:szCs w:val="24"/>
          <w:u w:color="000000"/>
        </w:rPr>
        <w:t>o</w:t>
      </w:r>
      <w:r w:rsidRPr="00A16561" w:rsidR="00970F4E">
        <w:rPr>
          <w:rFonts w:ascii="Times New Roman" w:hAnsi="Times New Roman"/>
          <w:b/>
          <w:bCs/>
          <w:kern w:val="24"/>
          <w:sz w:val="24"/>
          <w:szCs w:val="24"/>
          <w:u w:color="000000"/>
        </w:rPr>
        <w:t>ut of the Mine and from Section to Section</w:t>
      </w:r>
    </w:p>
    <w:p w:rsidR="00052BD8" w:rsidRPr="00A16561" w:rsidP="00A16561" w14:paraId="08B3AE0B" w14:textId="6BB40852">
      <w:pPr>
        <w:pStyle w:val="Default"/>
        <w:ind w:left="360"/>
        <w:rPr>
          <w:rFonts w:ascii="Times New Roman" w:hAnsi="Times New Roman" w:cs="Times New Roman"/>
          <w:color w:val="auto"/>
        </w:rPr>
      </w:pPr>
      <w:r w:rsidRPr="00A16561">
        <w:rPr>
          <w:rFonts w:ascii="Times New Roman" w:hAnsi="Times New Roman" w:cs="Times New Roman"/>
          <w:color w:val="auto"/>
        </w:rPr>
        <w:t xml:space="preserve"> </w:t>
      </w:r>
    </w:p>
    <w:p w:rsidR="00822B4A" w:rsidRPr="00A16561" w:rsidP="00A16561" w14:paraId="6987EF9E" w14:textId="25E34E54">
      <w:pPr>
        <w:pStyle w:val="Default"/>
        <w:rPr>
          <w:rFonts w:ascii="Times New Roman" w:hAnsi="Times New Roman" w:cs="Times New Roman"/>
          <w:color w:val="auto"/>
        </w:rPr>
      </w:pPr>
      <w:bookmarkStart w:id="8" w:name="_Hlk195871716"/>
      <w:r w:rsidRPr="00A16561">
        <w:rPr>
          <w:rFonts w:ascii="Times New Roman" w:hAnsi="Times New Roman" w:cs="Times New Roman"/>
          <w:color w:val="auto"/>
        </w:rPr>
        <w:t xml:space="preserve">Under 30 CFR 75.829(b)(1), prior to tramming the </w:t>
      </w:r>
      <w:r w:rsidRPr="00A16561" w:rsidR="00F13077">
        <w:rPr>
          <w:rFonts w:ascii="Times New Roman" w:hAnsi="Times New Roman" w:cs="Times New Roman"/>
          <w:color w:val="auto"/>
        </w:rPr>
        <w:t>HVCMM</w:t>
      </w:r>
      <w:r w:rsidRPr="00A16561">
        <w:rPr>
          <w:rFonts w:ascii="Times New Roman" w:hAnsi="Times New Roman" w:cs="Times New Roman"/>
          <w:color w:val="auto"/>
        </w:rPr>
        <w:t xml:space="preserve">, a qualified person must activate </w:t>
      </w:r>
      <w:r w:rsidRPr="00A16561" w:rsidR="00715410">
        <w:rPr>
          <w:rFonts w:ascii="Times New Roman" w:hAnsi="Times New Roman" w:cs="Times New Roman"/>
          <w:color w:val="auto"/>
        </w:rPr>
        <w:t xml:space="preserve">the ground-fault and ground-wire monitor test circuits of the power sources </w:t>
      </w:r>
      <w:bookmarkStart w:id="9" w:name="_Hlk197350636"/>
      <w:r w:rsidR="00D61856">
        <w:rPr>
          <w:rFonts w:ascii="Times New Roman" w:hAnsi="Times New Roman" w:cs="Times New Roman"/>
          <w:color w:val="auto"/>
        </w:rPr>
        <w:t xml:space="preserve">(medium-voltage power source and step-up transformer) </w:t>
      </w:r>
      <w:bookmarkEnd w:id="9"/>
      <w:r w:rsidRPr="00A16561" w:rsidR="001B1E21">
        <w:rPr>
          <w:rFonts w:ascii="Times New Roman" w:hAnsi="Times New Roman" w:cs="Times New Roman"/>
          <w:color w:val="auto"/>
        </w:rPr>
        <w:t xml:space="preserve">to </w:t>
      </w:r>
      <w:r w:rsidRPr="00A16561" w:rsidR="00967D63">
        <w:rPr>
          <w:rFonts w:ascii="Times New Roman" w:hAnsi="Times New Roman" w:cs="Times New Roman"/>
          <w:color w:val="auto"/>
        </w:rPr>
        <w:t>assure</w:t>
      </w:r>
      <w:r w:rsidRPr="00A16561" w:rsidR="001B1E21">
        <w:rPr>
          <w:rFonts w:ascii="Times New Roman" w:hAnsi="Times New Roman" w:cs="Times New Roman"/>
          <w:color w:val="auto"/>
        </w:rPr>
        <w:t xml:space="preserve"> that the corresponding circuit-interrupting device opens the circuit</w:t>
      </w:r>
      <w:r w:rsidRPr="00A16561" w:rsidR="00F13077">
        <w:rPr>
          <w:rFonts w:ascii="Times New Roman" w:hAnsi="Times New Roman" w:cs="Times New Roman"/>
          <w:color w:val="auto"/>
        </w:rPr>
        <w:t>. C</w:t>
      </w:r>
      <w:r w:rsidRPr="00A16561" w:rsidR="00715410">
        <w:rPr>
          <w:rFonts w:ascii="Times New Roman" w:hAnsi="Times New Roman" w:cs="Times New Roman"/>
          <w:color w:val="auto"/>
        </w:rPr>
        <w:t xml:space="preserve">orrective actions and recordkeeping resulting from these tests must be in accordance with </w:t>
      </w:r>
      <w:r w:rsidRPr="00A16561" w:rsidR="003302EA">
        <w:rPr>
          <w:rFonts w:ascii="Times New Roman" w:hAnsi="Times New Roman" w:cs="Times New Roman"/>
          <w:color w:val="auto"/>
        </w:rPr>
        <w:t>paragraph</w:t>
      </w:r>
      <w:r w:rsidRPr="00A16561" w:rsidR="003E5594">
        <w:rPr>
          <w:rFonts w:ascii="Times New Roman" w:hAnsi="Times New Roman" w:cs="Times New Roman"/>
          <w:color w:val="auto"/>
        </w:rPr>
        <w:t>s</w:t>
      </w:r>
      <w:r w:rsidRPr="00A16561" w:rsidR="00715410">
        <w:rPr>
          <w:rFonts w:ascii="Times New Roman" w:hAnsi="Times New Roman" w:cs="Times New Roman"/>
          <w:color w:val="auto"/>
        </w:rPr>
        <w:t xml:space="preserve"> 75.832(f) and (g).</w:t>
      </w:r>
    </w:p>
    <w:bookmarkEnd w:id="8"/>
    <w:p w:rsidR="00EA7FB9" w:rsidRPr="00A16561" w:rsidP="00A16561" w14:paraId="780015D0" w14:textId="77777777">
      <w:pPr>
        <w:pStyle w:val="Default"/>
        <w:rPr>
          <w:rFonts w:ascii="Times New Roman" w:hAnsi="Times New Roman" w:cs="Times New Roman"/>
          <w:color w:val="auto"/>
        </w:rPr>
      </w:pPr>
    </w:p>
    <w:p w:rsidR="00F13077" w:rsidRPr="00A16561" w:rsidP="00A16561" w14:paraId="71F07A0B" w14:textId="26715331">
      <w:pPr>
        <w:pStyle w:val="Default"/>
        <w:rPr>
          <w:rFonts w:ascii="Times New Roman" w:hAnsi="Times New Roman" w:cs="Times New Roman"/>
          <w:color w:val="auto"/>
        </w:rPr>
      </w:pPr>
      <w:r w:rsidRPr="00A16561">
        <w:rPr>
          <w:rFonts w:ascii="Times New Roman" w:hAnsi="Times New Roman" w:cs="Times New Roman"/>
          <w:color w:val="auto"/>
        </w:rPr>
        <w:t xml:space="preserve">Under 30 CFR 75.829(b)(2), </w:t>
      </w:r>
      <w:bookmarkStart w:id="10" w:name="_Hlk195871807"/>
      <w:r w:rsidRPr="00A16561" w:rsidR="00122DD8">
        <w:rPr>
          <w:rFonts w:ascii="Times New Roman" w:hAnsi="Times New Roman" w:cs="Times New Roman"/>
          <w:color w:val="auto"/>
        </w:rPr>
        <w:t xml:space="preserve">prior to tramming the HVCMM and </w:t>
      </w:r>
      <w:r w:rsidRPr="00A16561">
        <w:rPr>
          <w:rFonts w:ascii="Times New Roman" w:hAnsi="Times New Roman" w:cs="Times New Roman"/>
          <w:color w:val="auto"/>
        </w:rPr>
        <w:t>where applicable</w:t>
      </w:r>
      <w:r w:rsidRPr="00A16561" w:rsidR="005C3EAB">
        <w:rPr>
          <w:rFonts w:ascii="Times New Roman" w:hAnsi="Times New Roman" w:cs="Times New Roman"/>
          <w:color w:val="auto"/>
        </w:rPr>
        <w:t>,</w:t>
      </w:r>
      <w:r w:rsidRPr="00A16561">
        <w:rPr>
          <w:rFonts w:ascii="Times New Roman" w:hAnsi="Times New Roman" w:cs="Times New Roman"/>
          <w:color w:val="auto"/>
        </w:rPr>
        <w:t xml:space="preserve"> a person designated by the mine operator must activate the test circuit for the grounded-phase detection circuit on the HVCMM to assure that the detection circuit is functioning properly. Corrective actions resulting from these tests must be in accordance with paragraph 75.832(f).</w:t>
      </w:r>
    </w:p>
    <w:bookmarkEnd w:id="10"/>
    <w:p w:rsidR="003302EA" w:rsidRPr="00A16561" w:rsidP="00A16561" w14:paraId="56E5A603" w14:textId="77777777">
      <w:pPr>
        <w:pStyle w:val="Default"/>
        <w:rPr>
          <w:rFonts w:ascii="Times New Roman" w:hAnsi="Times New Roman" w:cs="Times New Roman"/>
          <w:color w:val="auto"/>
        </w:rPr>
      </w:pPr>
    </w:p>
    <w:p w:rsidR="003302EA" w:rsidRPr="00A16561" w:rsidP="00A16561" w14:paraId="7137DBAA" w14:textId="41906372">
      <w:pPr>
        <w:pStyle w:val="Default"/>
        <w:rPr>
          <w:rFonts w:ascii="Times New Roman" w:hAnsi="Times New Roman" w:cs="Times New Roman"/>
          <w:color w:val="auto"/>
        </w:rPr>
      </w:pPr>
      <w:r w:rsidRPr="00A16561">
        <w:rPr>
          <w:rFonts w:ascii="Times New Roman" w:hAnsi="Times New Roman" w:cs="Times New Roman"/>
          <w:color w:val="auto"/>
        </w:rPr>
        <w:t>Under 30 CFR 75.8</w:t>
      </w:r>
      <w:r w:rsidRPr="00A16561" w:rsidR="00DA790B">
        <w:rPr>
          <w:rFonts w:ascii="Times New Roman" w:hAnsi="Times New Roman" w:cs="Times New Roman"/>
          <w:color w:val="auto"/>
        </w:rPr>
        <w:t>32</w:t>
      </w:r>
      <w:r w:rsidRPr="00A16561">
        <w:rPr>
          <w:rFonts w:ascii="Times New Roman" w:hAnsi="Times New Roman" w:cs="Times New Roman"/>
          <w:color w:val="auto"/>
        </w:rPr>
        <w:t>(f), when examinations or tests of equipment reveal a risk of fire, electrical shock, ignition, or operational hazard, the equipment must be immediately removed from service or repaired.</w:t>
      </w:r>
    </w:p>
    <w:p w:rsidR="00DE74DA" w:rsidRPr="00A16561" w:rsidP="00A16561" w14:paraId="228A76F8" w14:textId="77777777">
      <w:pPr>
        <w:pStyle w:val="Default"/>
        <w:rPr>
          <w:rFonts w:ascii="Times New Roman" w:hAnsi="Times New Roman" w:cs="Times New Roman"/>
          <w:color w:val="auto"/>
        </w:rPr>
      </w:pPr>
    </w:p>
    <w:p w:rsidR="00DE74DA" w:rsidRPr="00A16561" w:rsidP="00A16561" w14:paraId="00513D81" w14:textId="2EFAF9F4">
      <w:pPr>
        <w:pStyle w:val="Default"/>
        <w:rPr>
          <w:rFonts w:ascii="Times New Roman" w:hAnsi="Times New Roman" w:cs="Times New Roman"/>
          <w:color w:val="auto"/>
        </w:rPr>
      </w:pPr>
      <w:r w:rsidRPr="00A16561">
        <w:rPr>
          <w:rFonts w:ascii="Times New Roman" w:hAnsi="Times New Roman" w:cs="Times New Roman"/>
          <w:color w:val="auto"/>
        </w:rPr>
        <w:t>Under 30 CFR 75.832(g)(1), at the completion of examinations required for HVCMM</w:t>
      </w:r>
      <w:r w:rsidRPr="00A16561" w:rsidR="006263CA">
        <w:rPr>
          <w:rFonts w:ascii="Times New Roman" w:hAnsi="Times New Roman" w:cs="Times New Roman"/>
          <w:color w:val="auto"/>
        </w:rPr>
        <w:t>s</w:t>
      </w:r>
      <w:r w:rsidRPr="00A16561">
        <w:rPr>
          <w:rFonts w:ascii="Times New Roman" w:hAnsi="Times New Roman" w:cs="Times New Roman"/>
          <w:color w:val="auto"/>
        </w:rPr>
        <w:t xml:space="preserve"> under paragraph 75.832(a), ground-fault test circuit </w:t>
      </w:r>
      <w:r w:rsidRPr="00A16561" w:rsidR="005D5055">
        <w:rPr>
          <w:rFonts w:ascii="Times New Roman" w:hAnsi="Times New Roman" w:cs="Times New Roman"/>
          <w:color w:val="auto"/>
        </w:rPr>
        <w:t xml:space="preserve">verification </w:t>
      </w:r>
      <w:r w:rsidRPr="00A16561">
        <w:rPr>
          <w:rFonts w:ascii="Times New Roman" w:hAnsi="Times New Roman" w:cs="Times New Roman"/>
          <w:color w:val="auto"/>
        </w:rPr>
        <w:t xml:space="preserve">under paragraph 75.832(b), and ground-wire monitor </w:t>
      </w:r>
      <w:r w:rsidRPr="00A16561" w:rsidR="00296E07">
        <w:rPr>
          <w:rFonts w:ascii="Times New Roman" w:hAnsi="Times New Roman" w:cs="Times New Roman"/>
          <w:color w:val="auto"/>
        </w:rPr>
        <w:t xml:space="preserve">examinations and </w:t>
      </w:r>
      <w:r w:rsidRPr="00A16561">
        <w:rPr>
          <w:rFonts w:ascii="Times New Roman" w:hAnsi="Times New Roman" w:cs="Times New Roman"/>
          <w:color w:val="auto"/>
        </w:rPr>
        <w:t>test</w:t>
      </w:r>
      <w:r w:rsidRPr="00A16561" w:rsidR="005D5055">
        <w:rPr>
          <w:rFonts w:ascii="Times New Roman" w:hAnsi="Times New Roman" w:cs="Times New Roman"/>
          <w:color w:val="auto"/>
        </w:rPr>
        <w:t>s</w:t>
      </w:r>
      <w:r w:rsidRPr="00A16561">
        <w:rPr>
          <w:rFonts w:ascii="Times New Roman" w:hAnsi="Times New Roman" w:cs="Times New Roman"/>
          <w:color w:val="auto"/>
        </w:rPr>
        <w:t xml:space="preserve"> under paragraph 75.832(c), the person conducting the examinations and tests must: </w:t>
      </w:r>
    </w:p>
    <w:p w:rsidR="008636BC" w:rsidRPr="00A16561" w:rsidP="00A16561" w14:paraId="115B8511" w14:textId="77777777">
      <w:pPr>
        <w:pStyle w:val="Default"/>
        <w:rPr>
          <w:rFonts w:ascii="Times New Roman" w:hAnsi="Times New Roman" w:cs="Times New Roman"/>
          <w:color w:val="auto"/>
        </w:rPr>
      </w:pPr>
    </w:p>
    <w:p w:rsidR="00DE74DA" w:rsidRPr="00A16561" w:rsidP="00A16561" w14:paraId="47B133F6" w14:textId="36AB9229">
      <w:pPr>
        <w:pStyle w:val="Default"/>
        <w:ind w:left="1440" w:hanging="720"/>
        <w:rPr>
          <w:rFonts w:ascii="Times New Roman" w:hAnsi="Times New Roman" w:cs="Times New Roman"/>
          <w:color w:val="auto"/>
        </w:rPr>
      </w:pPr>
      <w:r w:rsidRPr="00A16561">
        <w:rPr>
          <w:rFonts w:ascii="Times New Roman" w:hAnsi="Times New Roman" w:cs="Times New Roman"/>
          <w:color w:val="auto"/>
        </w:rPr>
        <w:t>(i) Certify by signature and date that the examinations and tests have been conducted.</w:t>
      </w:r>
    </w:p>
    <w:p w:rsidR="00DE74DA" w:rsidRPr="00A16561" w:rsidP="00A16561" w14:paraId="742343C0" w14:textId="49A755EF">
      <w:pPr>
        <w:pStyle w:val="Default"/>
        <w:ind w:firstLine="720"/>
        <w:rPr>
          <w:rFonts w:ascii="Times New Roman" w:hAnsi="Times New Roman" w:cs="Times New Roman"/>
          <w:color w:val="auto"/>
        </w:rPr>
      </w:pPr>
      <w:r w:rsidRPr="00A16561">
        <w:rPr>
          <w:rFonts w:ascii="Times New Roman" w:hAnsi="Times New Roman" w:cs="Times New Roman"/>
          <w:color w:val="auto"/>
        </w:rPr>
        <w:t>(ii) Make a record of any unsafe condition found.</w:t>
      </w:r>
    </w:p>
    <w:p w:rsidR="00DE74DA" w:rsidRPr="00A16561" w:rsidP="00A16561" w14:paraId="07EB0DBF" w14:textId="77777777">
      <w:pPr>
        <w:pStyle w:val="Default"/>
        <w:ind w:firstLine="720"/>
        <w:rPr>
          <w:rFonts w:ascii="Times New Roman" w:hAnsi="Times New Roman" w:cs="Times New Roman"/>
          <w:color w:val="auto"/>
        </w:rPr>
      </w:pPr>
      <w:r w:rsidRPr="00A16561">
        <w:rPr>
          <w:rFonts w:ascii="Times New Roman" w:hAnsi="Times New Roman" w:cs="Times New Roman"/>
          <w:color w:val="auto"/>
        </w:rPr>
        <w:t xml:space="preserve"> </w:t>
      </w:r>
    </w:p>
    <w:p w:rsidR="00DE74DA" w:rsidRPr="00A16561" w:rsidP="00A16561" w14:paraId="5F7B0890" w14:textId="41369027">
      <w:pPr>
        <w:pStyle w:val="Default"/>
        <w:rPr>
          <w:rFonts w:ascii="Times New Roman" w:hAnsi="Times New Roman" w:cs="Times New Roman"/>
          <w:color w:val="auto"/>
        </w:rPr>
      </w:pPr>
      <w:r w:rsidRPr="00A16561">
        <w:rPr>
          <w:rFonts w:ascii="Times New Roman" w:hAnsi="Times New Roman" w:cs="Times New Roman"/>
          <w:color w:val="auto"/>
        </w:rPr>
        <w:t>Under 30 CFR 75.832(g)(2)</w:t>
      </w:r>
      <w:r w:rsidRPr="00A16561" w:rsidR="005230F3">
        <w:rPr>
          <w:rFonts w:ascii="Times New Roman" w:hAnsi="Times New Roman" w:cs="Times New Roman"/>
          <w:color w:val="auto"/>
        </w:rPr>
        <w:t>,</w:t>
      </w:r>
      <w:r w:rsidRPr="00A16561">
        <w:rPr>
          <w:rFonts w:ascii="Times New Roman" w:hAnsi="Times New Roman" w:cs="Times New Roman"/>
          <w:color w:val="auto"/>
        </w:rPr>
        <w:t xml:space="preserve"> </w:t>
      </w:r>
      <w:r w:rsidR="00D262E7">
        <w:rPr>
          <w:rFonts w:ascii="Times New Roman" w:hAnsi="Times New Roman" w:cs="Times New Roman"/>
          <w:color w:val="auto"/>
        </w:rPr>
        <w:t xml:space="preserve">any </w:t>
      </w:r>
      <w:r w:rsidRPr="00A16561">
        <w:rPr>
          <w:rFonts w:ascii="Times New Roman" w:hAnsi="Times New Roman" w:cs="Times New Roman"/>
          <w:color w:val="auto"/>
        </w:rPr>
        <w:t>corrective action</w:t>
      </w:r>
      <w:r w:rsidRPr="00A16561" w:rsidR="00420991">
        <w:rPr>
          <w:rFonts w:ascii="Times New Roman" w:hAnsi="Times New Roman" w:cs="Times New Roman"/>
          <w:color w:val="auto"/>
        </w:rPr>
        <w:t>s</w:t>
      </w:r>
      <w:r w:rsidRPr="00A16561">
        <w:rPr>
          <w:rFonts w:ascii="Times New Roman" w:hAnsi="Times New Roman" w:cs="Times New Roman"/>
          <w:color w:val="auto"/>
        </w:rPr>
        <w:t xml:space="preserve"> must be </w:t>
      </w:r>
      <w:r w:rsidRPr="00A16561" w:rsidR="00420991">
        <w:rPr>
          <w:rFonts w:ascii="Times New Roman" w:hAnsi="Times New Roman" w:cs="Times New Roman"/>
          <w:color w:val="auto"/>
        </w:rPr>
        <w:t xml:space="preserve">recorded </w:t>
      </w:r>
      <w:r w:rsidRPr="00A16561">
        <w:rPr>
          <w:rFonts w:ascii="Times New Roman" w:hAnsi="Times New Roman" w:cs="Times New Roman"/>
          <w:color w:val="auto"/>
        </w:rPr>
        <w:t xml:space="preserve">by the person taking the corrective action. </w:t>
      </w:r>
    </w:p>
    <w:p w:rsidR="00DE74DA" w:rsidRPr="00A16561" w:rsidP="00A16561" w14:paraId="0E0474A7" w14:textId="77777777">
      <w:pPr>
        <w:pStyle w:val="Default"/>
        <w:rPr>
          <w:rFonts w:ascii="Times New Roman" w:hAnsi="Times New Roman" w:cs="Times New Roman"/>
          <w:color w:val="auto"/>
        </w:rPr>
      </w:pPr>
    </w:p>
    <w:p w:rsidR="00DE74DA" w:rsidRPr="00A16561" w:rsidP="00A16561" w14:paraId="5BFBD334" w14:textId="7752624F">
      <w:pPr>
        <w:pStyle w:val="Default"/>
        <w:rPr>
          <w:rFonts w:ascii="Times New Roman" w:hAnsi="Times New Roman" w:cs="Times New Roman"/>
          <w:color w:val="auto"/>
        </w:rPr>
      </w:pPr>
      <w:r w:rsidRPr="00A16561">
        <w:rPr>
          <w:rFonts w:ascii="Times New Roman" w:hAnsi="Times New Roman" w:cs="Times New Roman"/>
          <w:color w:val="auto"/>
        </w:rPr>
        <w:t>Under 30 CFR 75.832(g)(3)</w:t>
      </w:r>
      <w:r w:rsidRPr="00A16561" w:rsidR="00273B19">
        <w:rPr>
          <w:rFonts w:ascii="Times New Roman" w:hAnsi="Times New Roman" w:cs="Times New Roman"/>
          <w:color w:val="auto"/>
        </w:rPr>
        <w:t>,</w:t>
      </w:r>
      <w:r w:rsidRPr="00A16561">
        <w:rPr>
          <w:rFonts w:ascii="Times New Roman" w:hAnsi="Times New Roman" w:cs="Times New Roman"/>
          <w:color w:val="auto"/>
        </w:rPr>
        <w:t xml:space="preserve"> these records must be countersigned by the mine foreman or equivalent mine official by the end of the mine foreman’s or equivalent mine official’s next regularly scheduled working shift. </w:t>
      </w:r>
    </w:p>
    <w:p w:rsidR="00DE74DA" w:rsidRPr="00A16561" w:rsidP="00A16561" w14:paraId="66E255FE" w14:textId="77777777">
      <w:pPr>
        <w:pStyle w:val="Default"/>
        <w:rPr>
          <w:rFonts w:ascii="Times New Roman" w:hAnsi="Times New Roman" w:cs="Times New Roman"/>
          <w:color w:val="auto"/>
        </w:rPr>
      </w:pPr>
    </w:p>
    <w:p w:rsidR="00DE74DA" w:rsidRPr="00A16561" w:rsidP="00A16561" w14:paraId="1409E4E4" w14:textId="550D681D">
      <w:pPr>
        <w:pStyle w:val="Default"/>
        <w:rPr>
          <w:rFonts w:ascii="Times New Roman" w:hAnsi="Times New Roman" w:cs="Times New Roman"/>
          <w:color w:val="auto"/>
        </w:rPr>
      </w:pPr>
      <w:r w:rsidRPr="00A16561">
        <w:rPr>
          <w:rFonts w:ascii="Times New Roman" w:hAnsi="Times New Roman" w:cs="Times New Roman"/>
          <w:color w:val="auto"/>
        </w:rPr>
        <w:t xml:space="preserve">Under 30 CFR 75.832(g)(4), records must be maintained in a secure book that is not susceptible to alteration or electronically in a computer system </w:t>
      </w:r>
      <w:r w:rsidRPr="00A16561" w:rsidR="00F13077">
        <w:rPr>
          <w:rFonts w:ascii="Times New Roman" w:hAnsi="Times New Roman" w:cs="Times New Roman"/>
          <w:color w:val="auto"/>
        </w:rPr>
        <w:t xml:space="preserve">that </w:t>
      </w:r>
      <w:r w:rsidRPr="00A16561" w:rsidR="003018BD">
        <w:rPr>
          <w:rFonts w:ascii="Times New Roman" w:hAnsi="Times New Roman" w:cs="Times New Roman"/>
          <w:color w:val="auto"/>
        </w:rPr>
        <w:t>i</w:t>
      </w:r>
      <w:r w:rsidRPr="00A16561" w:rsidR="00F13077">
        <w:rPr>
          <w:rFonts w:ascii="Times New Roman" w:hAnsi="Times New Roman" w:cs="Times New Roman"/>
          <w:color w:val="auto"/>
        </w:rPr>
        <w:t>s</w:t>
      </w:r>
      <w:r w:rsidRPr="00A16561">
        <w:rPr>
          <w:rFonts w:ascii="Times New Roman" w:hAnsi="Times New Roman" w:cs="Times New Roman"/>
          <w:color w:val="auto"/>
        </w:rPr>
        <w:t xml:space="preserve"> secure and not susceptible to alteration.</w:t>
      </w:r>
    </w:p>
    <w:p w:rsidR="00DE74DA" w:rsidRPr="00A16561" w:rsidP="00A16561" w14:paraId="5A9EBCB8" w14:textId="77777777">
      <w:pPr>
        <w:pStyle w:val="Default"/>
        <w:rPr>
          <w:rFonts w:ascii="Times New Roman" w:hAnsi="Times New Roman" w:cs="Times New Roman"/>
          <w:color w:val="auto"/>
        </w:rPr>
      </w:pPr>
    </w:p>
    <w:p w:rsidR="00DE74DA" w:rsidRPr="00A16561" w:rsidP="00A16561" w14:paraId="16BABA09" w14:textId="77777777">
      <w:pPr>
        <w:pStyle w:val="Default"/>
        <w:rPr>
          <w:rFonts w:ascii="Times New Roman" w:hAnsi="Times New Roman" w:cs="Times New Roman"/>
          <w:color w:val="auto"/>
        </w:rPr>
      </w:pPr>
      <w:r w:rsidRPr="00A16561">
        <w:rPr>
          <w:rFonts w:ascii="Times New Roman" w:hAnsi="Times New Roman" w:cs="Times New Roman"/>
          <w:color w:val="auto"/>
        </w:rPr>
        <w:t>Under 30 CFR 75.832(g)(5), certifications and records must be kept for at least 1 year and must be made available for inspection by authorized representatives of the Secretary and representatives of miners.</w:t>
      </w:r>
    </w:p>
    <w:p w:rsidR="00DE74DA" w:rsidRPr="00A16561" w:rsidP="00A16561" w14:paraId="147FA0EC" w14:textId="77777777">
      <w:pPr>
        <w:pStyle w:val="Default"/>
        <w:rPr>
          <w:rFonts w:ascii="Times New Roman" w:hAnsi="Times New Roman" w:cs="Times New Roman"/>
          <w:color w:val="auto"/>
        </w:rPr>
      </w:pPr>
    </w:p>
    <w:p w:rsidR="0055002D" w:rsidRPr="00A16561" w:rsidP="00A16561" w14:paraId="3816116B" w14:textId="0FDA9055">
      <w:pPr>
        <w:pStyle w:val="ListParagraph"/>
        <w:numPr>
          <w:ilvl w:val="0"/>
          <w:numId w:val="25"/>
        </w:numPr>
        <w:spacing w:after="0" w:line="240" w:lineRule="auto"/>
        <w:rPr>
          <w:rFonts w:ascii="Times New Roman" w:hAnsi="Times New Roman"/>
          <w:b/>
          <w:bCs/>
          <w:kern w:val="24"/>
          <w:u w:color="000000"/>
        </w:rPr>
      </w:pPr>
      <w:bookmarkStart w:id="11" w:name="_Hlk174689963"/>
      <w:r w:rsidRPr="00A16561">
        <w:rPr>
          <w:rFonts w:ascii="Times New Roman" w:hAnsi="Times New Roman"/>
          <w:b/>
          <w:bCs/>
          <w:kern w:val="24"/>
          <w:sz w:val="24"/>
          <w:szCs w:val="24"/>
          <w:u w:color="000000"/>
        </w:rPr>
        <w:t xml:space="preserve">Locking Out and </w:t>
      </w:r>
      <w:r w:rsidRPr="00A16561" w:rsidR="00E85073">
        <w:rPr>
          <w:rFonts w:ascii="Times New Roman" w:hAnsi="Times New Roman"/>
          <w:b/>
          <w:bCs/>
          <w:kern w:val="24"/>
          <w:sz w:val="24"/>
          <w:szCs w:val="24"/>
          <w:u w:color="000000"/>
        </w:rPr>
        <w:t xml:space="preserve">Tagging of </w:t>
      </w:r>
      <w:r w:rsidRPr="00A16561" w:rsidR="001B773F">
        <w:rPr>
          <w:rFonts w:ascii="Times New Roman" w:hAnsi="Times New Roman"/>
          <w:b/>
          <w:bCs/>
          <w:kern w:val="24"/>
          <w:sz w:val="24"/>
          <w:szCs w:val="24"/>
          <w:u w:color="000000"/>
        </w:rPr>
        <w:t>High-Voltage Trailing</w:t>
      </w:r>
      <w:r w:rsidRPr="00A16561" w:rsidR="00EC061B">
        <w:rPr>
          <w:rFonts w:ascii="Times New Roman" w:hAnsi="Times New Roman"/>
          <w:b/>
          <w:bCs/>
          <w:kern w:val="24"/>
          <w:sz w:val="24"/>
          <w:szCs w:val="24"/>
          <w:u w:color="000000"/>
        </w:rPr>
        <w:t xml:space="preserve"> Cable</w:t>
      </w:r>
      <w:r w:rsidRPr="00A16561" w:rsidR="001B773F">
        <w:rPr>
          <w:rFonts w:ascii="Times New Roman" w:hAnsi="Times New Roman"/>
          <w:b/>
          <w:bCs/>
          <w:kern w:val="24"/>
          <w:sz w:val="24"/>
          <w:szCs w:val="24"/>
          <w:u w:color="000000"/>
        </w:rPr>
        <w:t>s</w:t>
      </w:r>
    </w:p>
    <w:p w:rsidR="00052BD8" w:rsidRPr="00A16561" w:rsidP="00A16561" w14:paraId="29AE72DC" w14:textId="77777777">
      <w:pPr>
        <w:pStyle w:val="Default"/>
        <w:ind w:left="720"/>
        <w:rPr>
          <w:rFonts w:ascii="Times New Roman" w:hAnsi="Times New Roman" w:cs="Times New Roman"/>
        </w:rPr>
      </w:pPr>
    </w:p>
    <w:bookmarkEnd w:id="11"/>
    <w:p w:rsidR="001B773F" w:rsidRPr="00A16561" w:rsidP="00A16561" w14:paraId="11AB41D6" w14:textId="28776427">
      <w:pPr>
        <w:pStyle w:val="Default"/>
        <w:rPr>
          <w:rFonts w:ascii="Times New Roman" w:hAnsi="Times New Roman" w:cs="Times New Roman"/>
          <w:color w:val="auto"/>
        </w:rPr>
      </w:pPr>
      <w:r w:rsidRPr="00A16561">
        <w:rPr>
          <w:rFonts w:ascii="Times New Roman" w:hAnsi="Times New Roman" w:cs="Times New Roman"/>
          <w:color w:val="auto"/>
        </w:rPr>
        <w:t>Under 30 CFR 75.831</w:t>
      </w:r>
      <w:r w:rsidRPr="00A16561" w:rsidR="00715410">
        <w:rPr>
          <w:rFonts w:ascii="Times New Roman" w:hAnsi="Times New Roman" w:cs="Times New Roman"/>
          <w:color w:val="auto"/>
        </w:rPr>
        <w:t>(a)</w:t>
      </w:r>
      <w:r w:rsidRPr="00A16561">
        <w:rPr>
          <w:rFonts w:ascii="Times New Roman" w:hAnsi="Times New Roman" w:cs="Times New Roman"/>
          <w:color w:val="auto"/>
        </w:rPr>
        <w:t xml:space="preserve">, </w:t>
      </w:r>
      <w:r w:rsidRPr="00A16561" w:rsidR="00715410">
        <w:rPr>
          <w:rFonts w:ascii="Times New Roman" w:hAnsi="Times New Roman" w:cs="Times New Roman"/>
          <w:color w:val="auto"/>
        </w:rPr>
        <w:t xml:space="preserve">prior to performing electrical work, other than troubleshooting and testing, on the high-voltage trailing cable or </w:t>
      </w:r>
      <w:r w:rsidRPr="00A16561" w:rsidR="00EC061B">
        <w:rPr>
          <w:rFonts w:ascii="Times New Roman" w:hAnsi="Times New Roman" w:cs="Times New Roman"/>
          <w:color w:val="auto"/>
        </w:rPr>
        <w:t>HVCMM</w:t>
      </w:r>
      <w:r w:rsidRPr="00A16561" w:rsidR="00715410">
        <w:rPr>
          <w:rFonts w:ascii="Times New Roman" w:hAnsi="Times New Roman" w:cs="Times New Roman"/>
          <w:color w:val="auto"/>
        </w:rPr>
        <w:t xml:space="preserve">, a qualified person must de-energize the power center and follow procedures specified </w:t>
      </w:r>
      <w:r w:rsidRPr="00A16561" w:rsidR="00E85073">
        <w:rPr>
          <w:rFonts w:ascii="Times New Roman" w:hAnsi="Times New Roman" w:cs="Times New Roman"/>
          <w:color w:val="auto"/>
        </w:rPr>
        <w:t>below:</w:t>
      </w:r>
    </w:p>
    <w:p w:rsidR="00E85073" w:rsidRPr="00A16561" w:rsidP="00A16561" w14:paraId="3D60A4A0" w14:textId="77777777">
      <w:pPr>
        <w:pStyle w:val="Default"/>
        <w:rPr>
          <w:rFonts w:ascii="Times New Roman" w:hAnsi="Times New Roman" w:cs="Times New Roman"/>
          <w:color w:val="auto"/>
        </w:rPr>
      </w:pPr>
    </w:p>
    <w:p w:rsidR="00E85073" w:rsidRPr="00A16561" w:rsidP="00A16561" w14:paraId="2D9982A3" w14:textId="3E5071CE">
      <w:pPr>
        <w:pStyle w:val="indent-2"/>
        <w:numPr>
          <w:ilvl w:val="0"/>
          <w:numId w:val="19"/>
        </w:numPr>
        <w:spacing w:before="0" w:beforeAutospacing="0" w:after="0" w:afterAutospacing="0"/>
      </w:pPr>
      <w:r w:rsidRPr="00A16561">
        <w:t>If a trailing cable disconnecting switch is provided:</w:t>
      </w:r>
    </w:p>
    <w:p w:rsidR="00E85073" w:rsidRPr="00A16561" w:rsidP="00A16561" w14:paraId="7535731D" w14:textId="144B7CBE">
      <w:pPr>
        <w:pStyle w:val="indent-2"/>
        <w:numPr>
          <w:ilvl w:val="0"/>
          <w:numId w:val="20"/>
        </w:numPr>
        <w:spacing w:before="0" w:beforeAutospacing="0" w:after="0" w:afterAutospacing="0"/>
      </w:pPr>
      <w:r w:rsidRPr="00A16561">
        <w:t>Open and ground the power conductors, lock out and tag the disconnecting switch; and</w:t>
      </w:r>
    </w:p>
    <w:p w:rsidR="00E85073" w:rsidRPr="00A16561" w:rsidP="00A16561" w14:paraId="1E8E1FD1" w14:textId="3CC60968">
      <w:pPr>
        <w:pStyle w:val="indent-2"/>
        <w:numPr>
          <w:ilvl w:val="0"/>
          <w:numId w:val="20"/>
        </w:numPr>
        <w:spacing w:before="0" w:beforeAutospacing="0" w:after="0" w:afterAutospacing="0"/>
      </w:pPr>
      <w:r w:rsidRPr="00A16561">
        <w:t>Lock out and tag the plug to the power receptacle.</w:t>
      </w:r>
    </w:p>
    <w:p w:rsidR="008636BC" w:rsidRPr="00A16561" w:rsidP="00A16561" w14:paraId="57DCB956" w14:textId="77777777">
      <w:pPr>
        <w:pStyle w:val="indent-2"/>
        <w:spacing w:before="0" w:beforeAutospacing="0" w:after="0" w:afterAutospacing="0"/>
        <w:ind w:left="1440"/>
      </w:pPr>
    </w:p>
    <w:p w:rsidR="00E85073" w:rsidRPr="00A16561" w:rsidP="00A16561" w14:paraId="4D674734" w14:textId="0C17EB30">
      <w:pPr>
        <w:pStyle w:val="indent-2"/>
        <w:numPr>
          <w:ilvl w:val="0"/>
          <w:numId w:val="19"/>
        </w:numPr>
        <w:spacing w:before="0" w:beforeAutospacing="0" w:after="0" w:afterAutospacing="0"/>
      </w:pPr>
      <w:r w:rsidRPr="00A16561">
        <w:t>If a trailing cable disconnecting switch is not provided and a cable coupler is used as a disconnecting device:</w:t>
      </w:r>
    </w:p>
    <w:p w:rsidR="00E85073" w:rsidRPr="00A16561" w:rsidP="00A16561" w14:paraId="0E236B2A" w14:textId="5955785D">
      <w:pPr>
        <w:pStyle w:val="indent-2"/>
        <w:numPr>
          <w:ilvl w:val="0"/>
          <w:numId w:val="29"/>
        </w:numPr>
        <w:spacing w:before="0" w:beforeAutospacing="0" w:after="0" w:afterAutospacing="0"/>
      </w:pPr>
      <w:r w:rsidRPr="00A16561">
        <w:t>Remove the plug from the power receptacle and connect it to the grounding receptacle;</w:t>
      </w:r>
    </w:p>
    <w:p w:rsidR="00E85073" w:rsidRPr="00A16561" w:rsidP="00A16561" w14:paraId="7FD2D27E" w14:textId="4F73B278">
      <w:pPr>
        <w:pStyle w:val="indent-2"/>
        <w:numPr>
          <w:ilvl w:val="0"/>
          <w:numId w:val="29"/>
        </w:numPr>
        <w:spacing w:before="0" w:beforeAutospacing="0" w:after="0" w:afterAutospacing="0"/>
      </w:pPr>
      <w:r w:rsidRPr="00A16561">
        <w:t>Lock out and tag the plug to the grounding receptacle; and</w:t>
      </w:r>
    </w:p>
    <w:p w:rsidR="00E85073" w:rsidRPr="00A16561" w:rsidP="00A16561" w14:paraId="55E21A5E" w14:textId="1E3735DE">
      <w:pPr>
        <w:pStyle w:val="indent-2"/>
        <w:numPr>
          <w:ilvl w:val="0"/>
          <w:numId w:val="29"/>
        </w:numPr>
        <w:spacing w:before="0" w:beforeAutospacing="0" w:after="0" w:afterAutospacing="0"/>
      </w:pPr>
      <w:r w:rsidRPr="00A16561">
        <w:t>Place a dust cover over the power receptacle.</w:t>
      </w:r>
    </w:p>
    <w:p w:rsidR="00E85073" w:rsidRPr="00A16561" w:rsidP="00A16561" w14:paraId="44B48E0F" w14:textId="77777777">
      <w:pPr>
        <w:pStyle w:val="Default"/>
        <w:rPr>
          <w:rFonts w:ascii="Times New Roman" w:hAnsi="Times New Roman" w:cs="Times New Roman"/>
          <w:color w:val="auto"/>
        </w:rPr>
      </w:pPr>
    </w:p>
    <w:p w:rsidR="00715410" w:rsidRPr="00A16561" w:rsidP="00A16561" w14:paraId="1FFFF9EC" w14:textId="14B2D744">
      <w:pPr>
        <w:pStyle w:val="Default"/>
        <w:rPr>
          <w:rFonts w:ascii="Times New Roman" w:hAnsi="Times New Roman" w:cs="Times New Roman"/>
          <w:color w:val="auto"/>
        </w:rPr>
      </w:pPr>
      <w:r w:rsidRPr="00A16561">
        <w:rPr>
          <w:rFonts w:ascii="Times New Roman" w:hAnsi="Times New Roman" w:cs="Times New Roman"/>
          <w:color w:val="auto"/>
        </w:rPr>
        <w:t xml:space="preserve">Under 30 CFR 75.831(b), </w:t>
      </w:r>
      <w:r w:rsidRPr="00A16561" w:rsidR="001B773F">
        <w:rPr>
          <w:rFonts w:ascii="Times New Roman" w:hAnsi="Times New Roman" w:cs="Times New Roman"/>
          <w:color w:val="auto"/>
        </w:rPr>
        <w:t xml:space="preserve">during troubleshooting and testing, the de-energized high-voltage cable may be disconnected from the power center only for that period of time necessary to locate the defective condition. Prior to troubleshooting and testing trailing cables, a qualified person </w:t>
      </w:r>
      <w:r w:rsidRPr="00A16561">
        <w:rPr>
          <w:rFonts w:ascii="Times New Roman" w:hAnsi="Times New Roman" w:cs="Times New Roman"/>
          <w:color w:val="auto"/>
        </w:rPr>
        <w:t>must perform the following:</w:t>
      </w:r>
    </w:p>
    <w:p w:rsidR="00715410" w:rsidRPr="00A16561" w:rsidP="00A16561" w14:paraId="748C10AE" w14:textId="1F492CEE">
      <w:pPr>
        <w:pStyle w:val="indent-2"/>
        <w:numPr>
          <w:ilvl w:val="0"/>
          <w:numId w:val="28"/>
        </w:numPr>
        <w:spacing w:before="0" w:beforeAutospacing="0" w:after="0" w:afterAutospacing="0"/>
      </w:pPr>
      <w:r w:rsidRPr="00A16561">
        <w:t>If a trailing cable disconnecting switch is provided:</w:t>
      </w:r>
    </w:p>
    <w:p w:rsidR="00715410" w:rsidRPr="00A16561" w:rsidP="00A16561" w14:paraId="07C9D403" w14:textId="38B50555">
      <w:pPr>
        <w:pStyle w:val="indent-2"/>
        <w:numPr>
          <w:ilvl w:val="0"/>
          <w:numId w:val="34"/>
        </w:numPr>
        <w:spacing w:before="0" w:beforeAutospacing="0" w:after="0" w:afterAutospacing="0"/>
      </w:pPr>
      <w:r w:rsidRPr="00A16561">
        <w:t>Open and ground power conductors and lock out and tag the disconnecting switch;</w:t>
      </w:r>
    </w:p>
    <w:p w:rsidR="00EC0009" w:rsidRPr="00A16561" w:rsidP="00A16561" w14:paraId="334C3461" w14:textId="25BD8D31">
      <w:pPr>
        <w:pStyle w:val="indent-2"/>
        <w:numPr>
          <w:ilvl w:val="0"/>
          <w:numId w:val="34"/>
        </w:numPr>
        <w:spacing w:before="0" w:beforeAutospacing="0" w:after="0" w:afterAutospacing="0"/>
      </w:pPr>
      <w:r w:rsidRPr="00A16561">
        <w:t>Disconnect the plug from the power receptacle;</w:t>
      </w:r>
    </w:p>
    <w:p w:rsidR="00EC0009" w:rsidRPr="00A16561" w:rsidP="00A16561" w14:paraId="153BBF55" w14:textId="313EA5D8">
      <w:pPr>
        <w:pStyle w:val="indent-2"/>
        <w:numPr>
          <w:ilvl w:val="0"/>
          <w:numId w:val="34"/>
        </w:numPr>
        <w:spacing w:before="0" w:beforeAutospacing="0" w:after="0" w:afterAutospacing="0"/>
      </w:pPr>
      <w:r w:rsidRPr="00A16561">
        <w:t>Lock out and tag the plug; and</w:t>
      </w:r>
    </w:p>
    <w:p w:rsidR="00EC0009" w:rsidRPr="00A16561" w:rsidP="00A16561" w14:paraId="1F638E0C" w14:textId="35BF8E68">
      <w:pPr>
        <w:pStyle w:val="indent-2"/>
        <w:numPr>
          <w:ilvl w:val="0"/>
          <w:numId w:val="34"/>
        </w:numPr>
        <w:spacing w:before="0" w:beforeAutospacing="0" w:after="0" w:afterAutospacing="0"/>
      </w:pPr>
      <w:r w:rsidRPr="00A16561">
        <w:t>Place a dust cover over the power receptacle.</w:t>
      </w:r>
    </w:p>
    <w:p w:rsidR="00912361" w:rsidRPr="00A16561" w:rsidP="00A16561" w14:paraId="15BF8947" w14:textId="77777777">
      <w:pPr>
        <w:pStyle w:val="indent-2"/>
        <w:spacing w:before="0" w:beforeAutospacing="0" w:after="0" w:afterAutospacing="0"/>
        <w:ind w:left="1440"/>
      </w:pPr>
    </w:p>
    <w:p w:rsidR="00EC0009" w:rsidRPr="00A16561" w:rsidP="00A16561" w14:paraId="12DAAE14" w14:textId="246B163E">
      <w:pPr>
        <w:pStyle w:val="indent-2"/>
        <w:numPr>
          <w:ilvl w:val="0"/>
          <w:numId w:val="28"/>
        </w:numPr>
        <w:spacing w:before="0" w:beforeAutospacing="0" w:after="0" w:afterAutospacing="0"/>
      </w:pPr>
      <w:r w:rsidRPr="00A16561">
        <w:t>If a trailing cable disconnecting switch is not provided and a cable coupler is used as a disconnecting device:</w:t>
      </w:r>
    </w:p>
    <w:p w:rsidR="00EC0009" w:rsidRPr="00A16561" w:rsidP="00A16561" w14:paraId="37A76867" w14:textId="2FA68A81">
      <w:pPr>
        <w:pStyle w:val="indent-2"/>
        <w:numPr>
          <w:ilvl w:val="0"/>
          <w:numId w:val="21"/>
        </w:numPr>
        <w:spacing w:before="0" w:beforeAutospacing="0" w:after="0" w:afterAutospacing="0"/>
      </w:pPr>
      <w:r w:rsidRPr="00A16561">
        <w:t>Remove the plug from the power receptacle and connect it to the grounding receptacle to ground the power conductors;</w:t>
      </w:r>
    </w:p>
    <w:p w:rsidR="00EC0009" w:rsidRPr="00A16561" w:rsidP="00A16561" w14:paraId="1D40024E" w14:textId="0CB90473">
      <w:pPr>
        <w:pStyle w:val="indent-2"/>
        <w:numPr>
          <w:ilvl w:val="0"/>
          <w:numId w:val="21"/>
        </w:numPr>
        <w:spacing w:before="0" w:beforeAutospacing="0" w:after="0" w:afterAutospacing="0"/>
      </w:pPr>
      <w:r w:rsidRPr="00A16561">
        <w:t>Remove the plug from the grounding receptacle and install a lock and tag on the plug; and</w:t>
      </w:r>
    </w:p>
    <w:p w:rsidR="00EC0009" w:rsidRPr="00A16561" w:rsidP="00A16561" w14:paraId="52947754" w14:textId="79BF2E3A">
      <w:pPr>
        <w:pStyle w:val="indent-2"/>
        <w:numPr>
          <w:ilvl w:val="0"/>
          <w:numId w:val="21"/>
        </w:numPr>
        <w:spacing w:before="0" w:beforeAutospacing="0" w:after="0" w:afterAutospacing="0"/>
      </w:pPr>
      <w:r w:rsidRPr="00A16561">
        <w:t>Place a dust cover over the power receptacle.</w:t>
      </w:r>
    </w:p>
    <w:p w:rsidR="001B773F" w:rsidRPr="00A16561" w:rsidP="00A16561" w14:paraId="24787BA9" w14:textId="77777777">
      <w:pPr>
        <w:pStyle w:val="Default"/>
        <w:rPr>
          <w:rFonts w:ascii="Times New Roman" w:hAnsi="Times New Roman" w:cs="Times New Roman"/>
          <w:color w:val="auto"/>
        </w:rPr>
      </w:pPr>
    </w:p>
    <w:p w:rsidR="00EC0009" w:rsidRPr="00A16561" w:rsidP="00A16561" w14:paraId="1EF9F9A6" w14:textId="47C004CF">
      <w:pPr>
        <w:pStyle w:val="Default"/>
        <w:rPr>
          <w:rFonts w:ascii="Times New Roman" w:hAnsi="Times New Roman" w:cs="Times New Roman"/>
          <w:color w:val="auto"/>
        </w:rPr>
      </w:pPr>
      <w:r w:rsidRPr="00A16561">
        <w:rPr>
          <w:rFonts w:ascii="Times New Roman" w:hAnsi="Times New Roman" w:cs="Times New Roman"/>
          <w:color w:val="auto"/>
        </w:rPr>
        <w:t xml:space="preserve">Under 30 CFR 75.831(d), </w:t>
      </w:r>
      <w:r w:rsidRPr="00A16561">
        <w:rPr>
          <w:rFonts w:ascii="Times New Roman" w:hAnsi="Times New Roman" w:cs="Times New Roman"/>
          <w:color w:val="auto"/>
        </w:rPr>
        <w:t>before any work is performed inside any compartment of the power center, except for troubleshooting and testing energized circuits as specified in paragraph (c)</w:t>
      </w:r>
      <w:r w:rsidR="00D61856">
        <w:rPr>
          <w:rFonts w:ascii="Times New Roman" w:hAnsi="Times New Roman" w:cs="Times New Roman"/>
          <w:color w:val="auto"/>
        </w:rPr>
        <w:t xml:space="preserve"> </w:t>
      </w:r>
      <w:bookmarkStart w:id="12" w:name="_Hlk197351356"/>
      <w:r w:rsidR="00D61856">
        <w:rPr>
          <w:rFonts w:ascii="Times New Roman" w:hAnsi="Times New Roman" w:cs="Times New Roman"/>
          <w:color w:val="auto"/>
        </w:rPr>
        <w:t>regarding troubleshooting and testing limitations</w:t>
      </w:r>
      <w:bookmarkEnd w:id="12"/>
      <w:r w:rsidRPr="00A16561">
        <w:rPr>
          <w:rFonts w:ascii="Times New Roman" w:hAnsi="Times New Roman" w:cs="Times New Roman"/>
          <w:color w:val="auto"/>
        </w:rPr>
        <w:t>, a qualified person must:</w:t>
      </w:r>
    </w:p>
    <w:p w:rsidR="00EC0009" w:rsidRPr="00A16561" w:rsidP="00A16561" w14:paraId="6A7F490D" w14:textId="0A1E7EAB">
      <w:pPr>
        <w:pStyle w:val="indent-2"/>
        <w:numPr>
          <w:ilvl w:val="0"/>
          <w:numId w:val="30"/>
        </w:numPr>
        <w:spacing w:before="0" w:beforeAutospacing="0" w:after="0" w:afterAutospacing="0"/>
      </w:pPr>
      <w:r w:rsidRPr="00A16561">
        <w:t>De-energize affected circuits;</w:t>
      </w:r>
    </w:p>
    <w:p w:rsidR="00EC0009" w:rsidRPr="00A16561" w:rsidP="00A16561" w14:paraId="5931EC75" w14:textId="7F0BD45C">
      <w:pPr>
        <w:pStyle w:val="indent-2"/>
        <w:numPr>
          <w:ilvl w:val="0"/>
          <w:numId w:val="30"/>
        </w:numPr>
        <w:spacing w:before="0" w:beforeAutospacing="0" w:after="0" w:afterAutospacing="0"/>
      </w:pPr>
      <w:r w:rsidRPr="00A16561">
        <w:t>Open the corresponding disconnecting switch, lock it out, and tag it to assure the circuit is isolated;</w:t>
      </w:r>
    </w:p>
    <w:p w:rsidR="00EC0009" w:rsidRPr="00A16561" w:rsidP="00A16561" w14:paraId="358728E6" w14:textId="371F8466">
      <w:pPr>
        <w:pStyle w:val="indent-2"/>
        <w:numPr>
          <w:ilvl w:val="0"/>
          <w:numId w:val="30"/>
        </w:numPr>
        <w:spacing w:before="0" w:beforeAutospacing="0" w:after="0" w:afterAutospacing="0"/>
      </w:pPr>
      <w:r w:rsidRPr="00A16561">
        <w:t>Visually verify that the contacts of the disconnecting switch are open and grounded; and</w:t>
      </w:r>
    </w:p>
    <w:p w:rsidR="00EC0009" w:rsidRPr="00A16561" w:rsidP="00A16561" w14:paraId="43958FF4" w14:textId="2B2D0F47">
      <w:pPr>
        <w:pStyle w:val="indent-2"/>
        <w:numPr>
          <w:ilvl w:val="0"/>
          <w:numId w:val="30"/>
        </w:numPr>
        <w:spacing w:before="0" w:beforeAutospacing="0" w:after="0" w:afterAutospacing="0"/>
      </w:pPr>
      <w:r w:rsidRPr="00A16561">
        <w:t>Discharge all high-voltage capacitors and circuits.</w:t>
      </w:r>
    </w:p>
    <w:p w:rsidR="00EC0009" w:rsidRPr="00A16561" w:rsidP="00A16561" w14:paraId="446E4902" w14:textId="7DA94C58">
      <w:pPr>
        <w:pStyle w:val="Default"/>
        <w:rPr>
          <w:rFonts w:ascii="Times New Roman" w:hAnsi="Times New Roman" w:cs="Times New Roman"/>
          <w:color w:val="auto"/>
        </w:rPr>
      </w:pPr>
    </w:p>
    <w:p w:rsidR="00BD5403" w:rsidRPr="00A16561" w:rsidP="00A16561" w14:paraId="4F8DFBE1" w14:textId="43F4E460">
      <w:pPr>
        <w:widowControl/>
        <w:autoSpaceDE/>
        <w:autoSpaceDN/>
        <w:adjustRightInd/>
      </w:pPr>
      <w:r w:rsidRPr="00A16561">
        <w:t>Under 30 CFR 75.831(e)(1)</w:t>
      </w:r>
      <w:r w:rsidRPr="00A16561" w:rsidR="001B773F">
        <w:t>, w</w:t>
      </w:r>
      <w:r w:rsidRPr="00A16561">
        <w:t>hen more than one qualified person is performing electrical work, including troubleshooting and testing, each person must install an individual lock and tag. Each lock and tag must be removed only by the persons who installed them.</w:t>
      </w:r>
    </w:p>
    <w:p w:rsidR="00BD5403" w:rsidRPr="00A16561" w:rsidP="00A16561" w14:paraId="1504B44B" w14:textId="443C5AE2">
      <w:pPr>
        <w:widowControl/>
        <w:autoSpaceDE/>
        <w:autoSpaceDN/>
        <w:adjustRightInd/>
      </w:pPr>
      <w:r w:rsidRPr="00A16561">
        <w:t>Under 30 CFR 75.831(e)(</w:t>
      </w:r>
      <w:r w:rsidRPr="00A16561">
        <w:t>2)</w:t>
      </w:r>
      <w:r w:rsidRPr="00A16561">
        <w:t>, i</w:t>
      </w:r>
      <w:r w:rsidRPr="00A16561">
        <w:t>f the person who installed the lock and tag is unavailable, the lock and tag may be removed by a person authorized by the operator, provided that:</w:t>
      </w:r>
    </w:p>
    <w:p w:rsidR="00BD5403" w:rsidRPr="00A16561" w:rsidP="00A16561" w14:paraId="708554A5" w14:textId="5A776944">
      <w:pPr>
        <w:pStyle w:val="indent-2"/>
        <w:numPr>
          <w:ilvl w:val="0"/>
          <w:numId w:val="31"/>
        </w:numPr>
        <w:spacing w:before="0" w:beforeAutospacing="0" w:after="0" w:afterAutospacing="0"/>
      </w:pPr>
      <w:r w:rsidRPr="00A16561">
        <w:t>The authorized person is a qualified person; and</w:t>
      </w:r>
    </w:p>
    <w:p w:rsidR="001B773F" w:rsidRPr="00A16561" w:rsidP="00A16561" w14:paraId="76099177" w14:textId="320E3563">
      <w:pPr>
        <w:pStyle w:val="indent-2"/>
        <w:numPr>
          <w:ilvl w:val="0"/>
          <w:numId w:val="31"/>
        </w:numPr>
        <w:spacing w:before="0" w:beforeAutospacing="0" w:after="0" w:afterAutospacing="0"/>
      </w:pPr>
      <w:r w:rsidRPr="00A16561">
        <w:t>The mine operator assures that the person who installed the lock and tag is aware that the lock and tag have been removed.</w:t>
      </w:r>
    </w:p>
    <w:p w:rsidR="00147279" w14:paraId="71C32608" w14:textId="4E07A44E">
      <w:pPr>
        <w:widowControl/>
        <w:autoSpaceDE/>
        <w:autoSpaceDN/>
        <w:adjustRightInd/>
        <w:spacing w:after="160" w:line="259" w:lineRule="auto"/>
        <w:rPr>
          <w:b/>
          <w:bCs/>
          <w:kern w:val="24"/>
          <w:u w:color="000000"/>
        </w:rPr>
      </w:pPr>
      <w:r>
        <w:rPr>
          <w:b/>
          <w:bCs/>
          <w:kern w:val="24"/>
          <w:u w:color="000000"/>
        </w:rPr>
        <w:br w:type="page"/>
      </w:r>
    </w:p>
    <w:p w:rsidR="00EC061B" w:rsidRPr="00A16561" w:rsidP="00A16561" w14:paraId="163729DE" w14:textId="77777777">
      <w:pPr>
        <w:rPr>
          <w:b/>
          <w:bCs/>
          <w:kern w:val="24"/>
          <w:u w:color="000000"/>
        </w:rPr>
      </w:pPr>
    </w:p>
    <w:p w:rsidR="00074A47" w:rsidRPr="00A16561" w:rsidP="00A16561" w14:paraId="68EC92E9" w14:textId="64C2DA53">
      <w:pPr>
        <w:pStyle w:val="ListParagraph"/>
        <w:numPr>
          <w:ilvl w:val="0"/>
          <w:numId w:val="25"/>
        </w:numPr>
        <w:spacing w:after="0" w:line="240" w:lineRule="auto"/>
        <w:rPr>
          <w:rFonts w:ascii="Times New Roman" w:hAnsi="Times New Roman"/>
          <w:b/>
          <w:bCs/>
          <w:kern w:val="24"/>
          <w:u w:color="000000"/>
        </w:rPr>
      </w:pPr>
      <w:r w:rsidRPr="00A16561">
        <w:rPr>
          <w:rFonts w:ascii="Times New Roman" w:hAnsi="Times New Roman"/>
          <w:b/>
          <w:bCs/>
          <w:kern w:val="24"/>
          <w:sz w:val="24"/>
          <w:szCs w:val="24"/>
          <w:u w:color="000000"/>
        </w:rPr>
        <w:t>Examinations</w:t>
      </w:r>
      <w:r w:rsidRPr="00A16561" w:rsidR="002C7489">
        <w:rPr>
          <w:rFonts w:ascii="Times New Roman" w:hAnsi="Times New Roman"/>
          <w:b/>
          <w:bCs/>
          <w:kern w:val="24"/>
          <w:sz w:val="24"/>
          <w:szCs w:val="24"/>
          <w:u w:color="000000"/>
        </w:rPr>
        <w:t>,</w:t>
      </w:r>
      <w:r w:rsidRPr="00A16561" w:rsidR="0055002D">
        <w:rPr>
          <w:rFonts w:ascii="Times New Roman" w:hAnsi="Times New Roman"/>
          <w:b/>
          <w:bCs/>
          <w:kern w:val="24"/>
          <w:sz w:val="24"/>
          <w:szCs w:val="24"/>
          <w:u w:color="000000"/>
        </w:rPr>
        <w:t xml:space="preserve"> Corrective Actions</w:t>
      </w:r>
      <w:r w:rsidRPr="00A16561" w:rsidR="002C7489">
        <w:rPr>
          <w:rFonts w:ascii="Times New Roman" w:hAnsi="Times New Roman"/>
          <w:b/>
          <w:bCs/>
          <w:kern w:val="24"/>
          <w:sz w:val="24"/>
          <w:szCs w:val="24"/>
          <w:u w:color="000000"/>
        </w:rPr>
        <w:t>,</w:t>
      </w:r>
      <w:r w:rsidRPr="00A16561" w:rsidR="0055002D">
        <w:rPr>
          <w:rFonts w:ascii="Times New Roman" w:hAnsi="Times New Roman"/>
          <w:b/>
          <w:bCs/>
          <w:kern w:val="24"/>
          <w:sz w:val="24"/>
          <w:szCs w:val="24"/>
          <w:u w:color="000000"/>
        </w:rPr>
        <w:t xml:space="preserve"> </w:t>
      </w:r>
      <w:r w:rsidRPr="00A16561" w:rsidR="00DE74DA">
        <w:rPr>
          <w:rFonts w:ascii="Times New Roman" w:hAnsi="Times New Roman"/>
          <w:b/>
          <w:bCs/>
          <w:kern w:val="24"/>
          <w:sz w:val="24"/>
          <w:szCs w:val="24"/>
          <w:u w:color="000000"/>
        </w:rPr>
        <w:t xml:space="preserve">and Recordkeeping </w:t>
      </w:r>
      <w:r w:rsidRPr="00A16561">
        <w:rPr>
          <w:rFonts w:ascii="Times New Roman" w:hAnsi="Times New Roman"/>
          <w:b/>
          <w:bCs/>
          <w:kern w:val="24"/>
          <w:sz w:val="24"/>
          <w:szCs w:val="24"/>
          <w:u w:color="000000"/>
        </w:rPr>
        <w:t>of HVCMMs</w:t>
      </w:r>
    </w:p>
    <w:p w:rsidR="003C4D47" w:rsidRPr="00A16561" w:rsidP="00A16561" w14:paraId="794FFA6D" w14:textId="77777777">
      <w:pPr>
        <w:pStyle w:val="Default"/>
        <w:rPr>
          <w:rFonts w:ascii="Times New Roman" w:hAnsi="Times New Roman" w:cs="Times New Roman"/>
          <w:color w:val="auto"/>
        </w:rPr>
      </w:pPr>
    </w:p>
    <w:p w:rsidR="00DE74DA" w:rsidRPr="00A16561" w:rsidP="00A16561" w14:paraId="787B81C2" w14:textId="1E8417D6">
      <w:pPr>
        <w:pStyle w:val="Default"/>
        <w:rPr>
          <w:rFonts w:ascii="Times New Roman" w:hAnsi="Times New Roman" w:cs="Times New Roman"/>
          <w:b/>
          <w:bCs/>
          <w:color w:val="auto"/>
        </w:rPr>
      </w:pPr>
      <w:r w:rsidRPr="00A16561">
        <w:rPr>
          <w:rFonts w:ascii="Times New Roman" w:hAnsi="Times New Roman" w:cs="Times New Roman"/>
          <w:b/>
          <w:bCs/>
          <w:color w:val="auto"/>
        </w:rPr>
        <w:t>III-1. Examinations and Tests</w:t>
      </w:r>
      <w:r w:rsidRPr="00A16561">
        <w:rPr>
          <w:rFonts w:ascii="Times New Roman" w:hAnsi="Times New Roman" w:cs="Times New Roman"/>
          <w:b/>
          <w:bCs/>
          <w:color w:val="auto"/>
          <w:kern w:val="24"/>
          <w:u w:color="000000"/>
        </w:rPr>
        <w:t xml:space="preserve"> </w:t>
      </w:r>
    </w:p>
    <w:p w:rsidR="000A6882" w:rsidRPr="00A16561" w:rsidP="00A16561" w14:paraId="0C563FF0" w14:textId="77777777">
      <w:pPr>
        <w:pStyle w:val="Default"/>
        <w:rPr>
          <w:rFonts w:ascii="Times New Roman" w:hAnsi="Times New Roman" w:cs="Times New Roman"/>
          <w:color w:val="FF0000"/>
        </w:rPr>
      </w:pPr>
    </w:p>
    <w:p w:rsidR="00DE74DA" w:rsidRPr="00A16561" w:rsidP="00A16561" w14:paraId="6F6AAA01" w14:textId="0A98B63D">
      <w:pPr>
        <w:pStyle w:val="Default"/>
        <w:rPr>
          <w:rFonts w:ascii="Times New Roman" w:hAnsi="Times New Roman" w:cs="Times New Roman"/>
          <w:color w:val="auto"/>
        </w:rPr>
      </w:pPr>
      <w:r w:rsidRPr="00A16561">
        <w:rPr>
          <w:rFonts w:ascii="Times New Roman" w:hAnsi="Times New Roman" w:cs="Times New Roman"/>
          <w:color w:val="auto"/>
        </w:rPr>
        <w:t>Under 30 CFR 75.832(a), at least once every 7 days, a qualified person must examine each HVCMM to verify that electrical protection, equipment grounding, permissibility, cable insulation, and control devices are properly installed and maintained.</w:t>
      </w:r>
    </w:p>
    <w:p w:rsidR="00DE74DA" w:rsidRPr="00A16561" w:rsidP="00A16561" w14:paraId="39D47413" w14:textId="77777777">
      <w:pPr>
        <w:pStyle w:val="Default"/>
        <w:rPr>
          <w:rFonts w:ascii="Times New Roman" w:hAnsi="Times New Roman" w:cs="Times New Roman"/>
          <w:color w:val="auto"/>
        </w:rPr>
      </w:pPr>
    </w:p>
    <w:p w:rsidR="00DE74DA" w:rsidRPr="00A16561" w:rsidP="00A16561" w14:paraId="6A08CEA3" w14:textId="77777777">
      <w:pPr>
        <w:pStyle w:val="Default"/>
        <w:rPr>
          <w:rFonts w:ascii="Times New Roman" w:hAnsi="Times New Roman" w:cs="Times New Roman"/>
          <w:color w:val="auto"/>
        </w:rPr>
      </w:pPr>
      <w:r w:rsidRPr="00A16561">
        <w:rPr>
          <w:rFonts w:ascii="Times New Roman" w:hAnsi="Times New Roman" w:cs="Times New Roman"/>
          <w:color w:val="auto"/>
        </w:rPr>
        <w:t>Under 30 CFR 75.832(b), at least once every 7 days, and prior to tramming the HVCMM, a qualified person must activate the ground-fault test circuit to verify that it will cause the corresponding circuit-interrupting device to open.</w:t>
      </w:r>
    </w:p>
    <w:p w:rsidR="00DE74DA" w:rsidRPr="00A16561" w:rsidP="00A16561" w14:paraId="6EEC412B" w14:textId="77777777">
      <w:pPr>
        <w:pStyle w:val="Default"/>
        <w:rPr>
          <w:rFonts w:ascii="Times New Roman" w:hAnsi="Times New Roman" w:cs="Times New Roman"/>
          <w:color w:val="auto"/>
        </w:rPr>
      </w:pPr>
    </w:p>
    <w:p w:rsidR="00DE74DA" w:rsidRPr="00A16561" w:rsidP="00A16561" w14:paraId="788CF56B" w14:textId="77777777">
      <w:pPr>
        <w:pStyle w:val="Default"/>
        <w:rPr>
          <w:rFonts w:ascii="Times New Roman" w:hAnsi="Times New Roman" w:cs="Times New Roman"/>
          <w:color w:val="auto"/>
        </w:rPr>
      </w:pPr>
      <w:r w:rsidRPr="00A16561">
        <w:rPr>
          <w:rFonts w:ascii="Times New Roman" w:hAnsi="Times New Roman" w:cs="Times New Roman"/>
          <w:color w:val="auto"/>
        </w:rPr>
        <w:t>Under 30 CFR 75.832(c), at least once every 7 days, and prior to tramming the HVCMM, a qualified person must examine and test each HVCMM ground-wire monitor circuit to verify that it will cause the corresponding circuit-interrupting device to open.</w:t>
      </w:r>
    </w:p>
    <w:p w:rsidR="00DE74DA" w:rsidRPr="00A16561" w:rsidP="00A16561" w14:paraId="7551820C" w14:textId="77777777">
      <w:pPr>
        <w:pStyle w:val="Default"/>
        <w:rPr>
          <w:rFonts w:ascii="Times New Roman" w:hAnsi="Times New Roman" w:cs="Times New Roman"/>
          <w:color w:val="auto"/>
        </w:rPr>
      </w:pPr>
    </w:p>
    <w:p w:rsidR="0093340C" w:rsidRPr="00A16561" w:rsidP="00A16561" w14:paraId="5A5EAB66" w14:textId="77777777">
      <w:r w:rsidRPr="00A16561">
        <w:t>Under 30 CFR 75.832(d)(1), once each day during the shift that the HVCMM is first energized, a qualified person must de-energize and inspect the entire length of the high-voltage trailing cable from the power center to the HVCMM. The inspection must include examination of the outer jacket repairs and splices for damage, and assure guarding is provided where required.</w:t>
      </w:r>
    </w:p>
    <w:p w:rsidR="0093340C" w:rsidRPr="00A16561" w:rsidP="00A16561" w14:paraId="7CE23B4C" w14:textId="77777777"/>
    <w:p w:rsidR="0093340C" w:rsidRPr="00A16561" w:rsidP="00A16561" w14:paraId="0E09CB3F" w14:textId="77777777">
      <w:r w:rsidRPr="00A16561">
        <w:t>Under 30 CFR 75.832(d)(2), at the beginning of each shift that the HVCMM is energized, a person designated by the mine operator must de-energize and visually inspect the high-voltage trailing cable for damage to the outer jacket. This inspection must be conducted from the HVCMM to the following locations:</w:t>
      </w:r>
    </w:p>
    <w:p w:rsidR="0093340C" w:rsidRPr="00A16561" w:rsidP="00A16561" w14:paraId="28C6F473" w14:textId="77777777">
      <w:pPr>
        <w:pStyle w:val="Default"/>
        <w:numPr>
          <w:ilvl w:val="0"/>
          <w:numId w:val="27"/>
        </w:numPr>
        <w:rPr>
          <w:rFonts w:ascii="Times New Roman" w:hAnsi="Times New Roman" w:cs="Times New Roman"/>
          <w:color w:val="auto"/>
        </w:rPr>
      </w:pPr>
      <w:r w:rsidRPr="00A16561">
        <w:rPr>
          <w:rFonts w:ascii="Times New Roman" w:hAnsi="Times New Roman" w:cs="Times New Roman"/>
          <w:color w:val="auto"/>
        </w:rPr>
        <w:t xml:space="preserve">The last open crosscut; </w:t>
      </w:r>
    </w:p>
    <w:p w:rsidR="0093340C" w:rsidRPr="00A16561" w:rsidP="00A16561" w14:paraId="739C9AF8" w14:textId="77777777">
      <w:pPr>
        <w:pStyle w:val="Default"/>
        <w:numPr>
          <w:ilvl w:val="0"/>
          <w:numId w:val="27"/>
        </w:numPr>
        <w:rPr>
          <w:rFonts w:ascii="Times New Roman" w:hAnsi="Times New Roman" w:cs="Times New Roman"/>
          <w:color w:val="auto"/>
        </w:rPr>
      </w:pPr>
      <w:r w:rsidRPr="00A16561">
        <w:rPr>
          <w:rFonts w:ascii="Times New Roman" w:hAnsi="Times New Roman" w:cs="Times New Roman"/>
          <w:color w:val="auto"/>
        </w:rPr>
        <w:t>Within 150 feet of the working place during retreat or second mining; or</w:t>
      </w:r>
    </w:p>
    <w:p w:rsidR="0093340C" w:rsidRPr="00A16561" w:rsidP="00A16561" w14:paraId="59F208F7" w14:textId="77777777">
      <w:pPr>
        <w:pStyle w:val="Default"/>
        <w:numPr>
          <w:ilvl w:val="0"/>
          <w:numId w:val="27"/>
        </w:numPr>
        <w:rPr>
          <w:rFonts w:ascii="Times New Roman" w:hAnsi="Times New Roman" w:cs="Times New Roman"/>
        </w:rPr>
      </w:pPr>
      <w:r w:rsidRPr="00A16561">
        <w:rPr>
          <w:rFonts w:ascii="Times New Roman" w:hAnsi="Times New Roman" w:cs="Times New Roman"/>
          <w:color w:val="auto"/>
        </w:rPr>
        <w:t>Up to 150 feet from the HVCMM when the machine is used in outby areas.</w:t>
      </w:r>
    </w:p>
    <w:p w:rsidR="0093340C" w:rsidRPr="00A16561" w:rsidP="00A16561" w14:paraId="707D654F" w14:textId="77777777">
      <w:pPr>
        <w:pStyle w:val="Default"/>
        <w:rPr>
          <w:rFonts w:ascii="Times New Roman" w:hAnsi="Times New Roman" w:cs="Times New Roman"/>
          <w:color w:val="auto"/>
        </w:rPr>
      </w:pPr>
    </w:p>
    <w:p w:rsidR="00DE74DA" w:rsidRPr="00A16561" w:rsidP="00A16561" w14:paraId="2D2A93FA" w14:textId="6CB2505B">
      <w:pPr>
        <w:pStyle w:val="Default"/>
        <w:rPr>
          <w:rFonts w:ascii="Times New Roman" w:hAnsi="Times New Roman" w:cs="Times New Roman"/>
          <w:color w:val="auto"/>
        </w:rPr>
      </w:pPr>
      <w:r w:rsidRPr="00A16561">
        <w:rPr>
          <w:rFonts w:ascii="Times New Roman" w:hAnsi="Times New Roman" w:cs="Times New Roman"/>
          <w:color w:val="auto"/>
        </w:rPr>
        <w:t xml:space="preserve">Under 30 CFR 75.832(e), when a grounded-phase test circuit is provided on </w:t>
      </w:r>
      <w:r w:rsidRPr="00A16561" w:rsidR="007C22EC">
        <w:rPr>
          <w:rFonts w:ascii="Times New Roman" w:hAnsi="Times New Roman" w:cs="Times New Roman"/>
          <w:color w:val="auto"/>
        </w:rPr>
        <w:t>a</w:t>
      </w:r>
      <w:r w:rsidRPr="00A16561" w:rsidR="004E056B">
        <w:rPr>
          <w:rFonts w:ascii="Times New Roman" w:hAnsi="Times New Roman" w:cs="Times New Roman"/>
          <w:color w:val="auto"/>
        </w:rPr>
        <w:t>n</w:t>
      </w:r>
      <w:r w:rsidRPr="00A16561" w:rsidR="007C22EC">
        <w:rPr>
          <w:rFonts w:ascii="Times New Roman" w:hAnsi="Times New Roman" w:cs="Times New Roman"/>
          <w:color w:val="auto"/>
        </w:rPr>
        <w:t xml:space="preserve"> </w:t>
      </w:r>
      <w:r w:rsidRPr="00A16561">
        <w:rPr>
          <w:rFonts w:ascii="Times New Roman" w:hAnsi="Times New Roman" w:cs="Times New Roman"/>
          <w:color w:val="auto"/>
        </w:rPr>
        <w:t>HVCMM, a person designated by the mine operator must activate the test circuit at the beginning of each production shift to assure that the detection circuit is functioning properly.</w:t>
      </w:r>
    </w:p>
    <w:p w:rsidR="00DE74DA" w:rsidRPr="00A16561" w:rsidP="00A16561" w14:paraId="0A74F621" w14:textId="77777777">
      <w:pPr>
        <w:pStyle w:val="Default"/>
        <w:rPr>
          <w:rFonts w:ascii="Times New Roman" w:hAnsi="Times New Roman" w:cs="Times New Roman"/>
          <w:color w:val="auto"/>
        </w:rPr>
      </w:pPr>
    </w:p>
    <w:p w:rsidR="00DE74DA" w:rsidRPr="00A16561" w:rsidP="00A16561" w14:paraId="2EE14D9F" w14:textId="77777777">
      <w:pPr>
        <w:pStyle w:val="Default"/>
        <w:rPr>
          <w:rFonts w:ascii="Times New Roman" w:hAnsi="Times New Roman" w:cs="Times New Roman"/>
          <w:b/>
          <w:bCs/>
          <w:color w:val="auto"/>
        </w:rPr>
      </w:pPr>
      <w:r w:rsidRPr="00A16561">
        <w:rPr>
          <w:rFonts w:ascii="Times New Roman" w:hAnsi="Times New Roman" w:cs="Times New Roman"/>
          <w:b/>
          <w:bCs/>
          <w:color w:val="auto"/>
        </w:rPr>
        <w:t>I</w:t>
      </w:r>
      <w:r w:rsidRPr="00A16561">
        <w:rPr>
          <w:rFonts w:ascii="Times New Roman" w:hAnsi="Times New Roman" w:cs="Times New Roman"/>
          <w:b/>
          <w:bCs/>
          <w:color w:val="auto"/>
        </w:rPr>
        <w:t>II</w:t>
      </w:r>
      <w:r w:rsidRPr="00A16561">
        <w:rPr>
          <w:rFonts w:ascii="Times New Roman" w:hAnsi="Times New Roman" w:cs="Times New Roman"/>
          <w:b/>
          <w:bCs/>
          <w:color w:val="auto"/>
        </w:rPr>
        <w:t>-</w:t>
      </w:r>
      <w:r w:rsidRPr="00A16561">
        <w:rPr>
          <w:rFonts w:ascii="Times New Roman" w:hAnsi="Times New Roman" w:cs="Times New Roman"/>
          <w:b/>
          <w:bCs/>
          <w:color w:val="auto"/>
        </w:rPr>
        <w:t>2</w:t>
      </w:r>
      <w:r w:rsidRPr="00A16561">
        <w:rPr>
          <w:rFonts w:ascii="Times New Roman" w:hAnsi="Times New Roman" w:cs="Times New Roman"/>
          <w:b/>
          <w:bCs/>
          <w:color w:val="auto"/>
        </w:rPr>
        <w:t xml:space="preserve">. </w:t>
      </w:r>
      <w:r w:rsidRPr="00A16561">
        <w:rPr>
          <w:rFonts w:ascii="Times New Roman" w:hAnsi="Times New Roman" w:cs="Times New Roman"/>
          <w:b/>
          <w:bCs/>
          <w:color w:val="auto"/>
        </w:rPr>
        <w:t>Corrective Actions</w:t>
      </w:r>
    </w:p>
    <w:p w:rsidR="00DE74DA" w:rsidRPr="00A16561" w:rsidP="00A16561" w14:paraId="79CEBA37" w14:textId="77777777">
      <w:pPr>
        <w:pStyle w:val="Default"/>
        <w:rPr>
          <w:rFonts w:ascii="Times New Roman" w:hAnsi="Times New Roman" w:cs="Times New Roman"/>
          <w:b/>
          <w:bCs/>
          <w:color w:val="auto"/>
        </w:rPr>
      </w:pPr>
    </w:p>
    <w:p w:rsidR="00DE74DA" w:rsidRPr="00A16561" w:rsidP="00A16561" w14:paraId="15290225" w14:textId="3C509254">
      <w:pPr>
        <w:pStyle w:val="Default"/>
        <w:rPr>
          <w:rFonts w:ascii="Times New Roman" w:hAnsi="Times New Roman" w:cs="Times New Roman"/>
          <w:color w:val="auto"/>
        </w:rPr>
      </w:pPr>
      <w:r w:rsidRPr="00A16561">
        <w:rPr>
          <w:rFonts w:ascii="Times New Roman" w:hAnsi="Times New Roman" w:cs="Times New Roman"/>
          <w:color w:val="auto"/>
        </w:rPr>
        <w:t>Under 30 CFR 75.832(f), when examinations or tests of equipment reveal a risk of fire, electrical shock, ignition, or operational hazard, the equipment must be immediately removed from service or repaired.</w:t>
      </w:r>
    </w:p>
    <w:p w:rsidR="00DE74DA" w:rsidRPr="00A16561" w:rsidP="00A16561" w14:paraId="5DEAB206" w14:textId="77777777">
      <w:pPr>
        <w:pStyle w:val="Default"/>
        <w:rPr>
          <w:rFonts w:ascii="Times New Roman" w:hAnsi="Times New Roman" w:cs="Times New Roman"/>
          <w:color w:val="auto"/>
        </w:rPr>
      </w:pPr>
    </w:p>
    <w:p w:rsidR="001C38F4" w:rsidRPr="00A16561" w:rsidP="00A16561" w14:paraId="040D5A54" w14:textId="7D7C0B9B">
      <w:pPr>
        <w:widowControl/>
        <w:autoSpaceDE/>
        <w:autoSpaceDN/>
        <w:adjustRightInd/>
        <w:rPr>
          <w:b/>
          <w:bCs/>
        </w:rPr>
      </w:pPr>
      <w:r w:rsidRPr="00A16561">
        <w:rPr>
          <w:b/>
          <w:bCs/>
        </w:rPr>
        <w:t xml:space="preserve">III-3. </w:t>
      </w:r>
      <w:r w:rsidRPr="00A16561">
        <w:rPr>
          <w:b/>
          <w:bCs/>
        </w:rPr>
        <w:t>Certification and Recordkeeping</w:t>
      </w:r>
    </w:p>
    <w:p w:rsidR="001C38F4" w:rsidRPr="00A16561" w:rsidP="00A16561" w14:paraId="688C112C" w14:textId="132CDB4A">
      <w:pPr>
        <w:pStyle w:val="Default"/>
        <w:rPr>
          <w:rFonts w:ascii="Times New Roman" w:hAnsi="Times New Roman" w:cs="Times New Roman"/>
          <w:color w:val="auto"/>
        </w:rPr>
      </w:pPr>
    </w:p>
    <w:p w:rsidR="001C38F4" w:rsidRPr="00A16561" w:rsidP="00A16561" w14:paraId="19D2CD74" w14:textId="40F16ADE">
      <w:pPr>
        <w:pStyle w:val="Default"/>
        <w:rPr>
          <w:rFonts w:ascii="Times New Roman" w:hAnsi="Times New Roman" w:cs="Times New Roman"/>
          <w:color w:val="auto"/>
        </w:rPr>
      </w:pPr>
      <w:r w:rsidRPr="00A16561">
        <w:rPr>
          <w:rFonts w:ascii="Times New Roman" w:hAnsi="Times New Roman" w:cs="Times New Roman"/>
          <w:color w:val="auto"/>
        </w:rPr>
        <w:t>Results of examinations</w:t>
      </w:r>
      <w:r w:rsidRPr="00A16561" w:rsidR="00245798">
        <w:rPr>
          <w:rFonts w:ascii="Times New Roman" w:hAnsi="Times New Roman" w:cs="Times New Roman"/>
          <w:color w:val="auto"/>
        </w:rPr>
        <w:t>,</w:t>
      </w:r>
      <w:r w:rsidRPr="00A16561">
        <w:rPr>
          <w:rFonts w:ascii="Times New Roman" w:hAnsi="Times New Roman" w:cs="Times New Roman"/>
          <w:color w:val="auto"/>
        </w:rPr>
        <w:t xml:space="preserve"> tests</w:t>
      </w:r>
      <w:r w:rsidRPr="00A16561" w:rsidR="00245798">
        <w:rPr>
          <w:rFonts w:ascii="Times New Roman" w:hAnsi="Times New Roman" w:cs="Times New Roman"/>
          <w:color w:val="auto"/>
        </w:rPr>
        <w:t>,</w:t>
      </w:r>
      <w:r w:rsidRPr="00A16561">
        <w:rPr>
          <w:rFonts w:ascii="Times New Roman" w:hAnsi="Times New Roman" w:cs="Times New Roman"/>
          <w:color w:val="auto"/>
        </w:rPr>
        <w:t xml:space="preserve"> and corrective actions are recorded under 30 CFR 75.832(g).</w:t>
      </w:r>
    </w:p>
    <w:p w:rsidR="00074A47" w:rsidRPr="00A16561" w:rsidP="00A16561" w14:paraId="32342F07" w14:textId="2DF86AE0">
      <w:pPr>
        <w:pStyle w:val="Default"/>
        <w:rPr>
          <w:rFonts w:ascii="Times New Roman" w:hAnsi="Times New Roman" w:cs="Times New Roman"/>
          <w:color w:val="FF0000"/>
        </w:rPr>
      </w:pPr>
    </w:p>
    <w:p w:rsidR="00CB3898" w:rsidRPr="00A16561" w:rsidP="00A16561" w14:paraId="0CA1ECF3" w14:textId="2C545219">
      <w:pPr>
        <w:pStyle w:val="Default"/>
        <w:keepNext/>
        <w:widowControl/>
        <w:rPr>
          <w:rFonts w:ascii="Times New Roman" w:hAnsi="Times New Roman" w:cs="Times New Roman"/>
          <w:b/>
          <w:bCs/>
          <w:color w:val="auto"/>
        </w:rPr>
      </w:pPr>
      <w:r w:rsidRPr="00A16561">
        <w:rPr>
          <w:rFonts w:ascii="Times New Roman" w:hAnsi="Times New Roman" w:cs="Times New Roman"/>
          <w:b/>
          <w:bCs/>
          <w:color w:val="auto"/>
        </w:rPr>
        <w:t>2. Indicate how, by whom, and for what purpose the information is to be used. Except for a new collection, indicate the actual use the agency has made of the information received from the current collection.</w:t>
      </w:r>
    </w:p>
    <w:p w:rsidR="00C73040" w:rsidRPr="00A16561" w:rsidP="00A16561" w14:paraId="6C9C34C2" w14:textId="77777777">
      <w:pPr>
        <w:pStyle w:val="Default"/>
        <w:keepNext/>
        <w:widowControl/>
        <w:rPr>
          <w:rFonts w:ascii="Times New Roman" w:hAnsi="Times New Roman" w:cs="Times New Roman"/>
          <w:b/>
          <w:bCs/>
          <w:color w:val="auto"/>
        </w:rPr>
      </w:pPr>
    </w:p>
    <w:p w:rsidR="006C3416" w:rsidP="006C3416" w14:paraId="03DB9460" w14:textId="0B327C88">
      <w:pPr>
        <w:pStyle w:val="Default"/>
        <w:keepNext/>
        <w:widowControl/>
        <w:rPr>
          <w:rFonts w:ascii="Times New Roman" w:hAnsi="Times New Roman" w:cs="Times New Roman"/>
          <w:color w:val="auto"/>
        </w:rPr>
      </w:pPr>
      <w:r w:rsidRPr="006C3416">
        <w:rPr>
          <w:rFonts w:ascii="Times New Roman" w:hAnsi="Times New Roman" w:cs="Times New Roman"/>
          <w:color w:val="auto"/>
        </w:rPr>
        <w:t xml:space="preserve">Safe procedures must be followed when performing electrical work, troubleshooting, and testing on high-voltage trailing cables or on an HVCMM. Locking out and tagging alerts other miners and prevents them from energizing a circuit while work is being done on it. </w:t>
      </w:r>
      <w:r w:rsidRPr="006C3416">
        <w:rPr>
          <w:rFonts w:ascii="Times New Roman" w:hAnsi="Times New Roman" w:cs="Times New Roman"/>
          <w:color w:val="auto"/>
        </w:rPr>
        <w:t xml:space="preserve"> </w:t>
      </w:r>
    </w:p>
    <w:p w:rsidR="006C3416" w:rsidRPr="006C3416" w:rsidP="006C3416" w14:paraId="7BD58CE6" w14:textId="77777777">
      <w:pPr>
        <w:pStyle w:val="Default"/>
        <w:keepNext/>
        <w:widowControl/>
        <w:rPr>
          <w:rFonts w:ascii="Times New Roman" w:hAnsi="Times New Roman" w:cs="Times New Roman"/>
          <w:color w:val="auto"/>
        </w:rPr>
      </w:pPr>
    </w:p>
    <w:p w:rsidR="00C73040" w:rsidRPr="00A16561" w:rsidP="00A16561" w14:paraId="1CCE06D7" w14:textId="2017849F">
      <w:pPr>
        <w:pStyle w:val="Default"/>
        <w:keepNext/>
        <w:widowControl/>
        <w:rPr>
          <w:rFonts w:ascii="Times New Roman" w:hAnsi="Times New Roman" w:cs="Times New Roman"/>
          <w:color w:val="auto"/>
        </w:rPr>
      </w:pPr>
      <w:r w:rsidRPr="00A16561">
        <w:rPr>
          <w:rFonts w:ascii="Times New Roman" w:hAnsi="Times New Roman" w:cs="Times New Roman"/>
          <w:color w:val="auto"/>
        </w:rPr>
        <w:t>The records</w:t>
      </w:r>
      <w:r w:rsidRPr="00A16561" w:rsidR="002A4159">
        <w:rPr>
          <w:rFonts w:ascii="Times New Roman" w:hAnsi="Times New Roman" w:cs="Times New Roman"/>
          <w:color w:val="auto"/>
        </w:rPr>
        <w:t xml:space="preserve"> created under this </w:t>
      </w:r>
      <w:r w:rsidRPr="00A16561" w:rsidR="002C7489">
        <w:rPr>
          <w:rFonts w:ascii="Times New Roman" w:hAnsi="Times New Roman" w:cs="Times New Roman"/>
          <w:color w:val="auto"/>
        </w:rPr>
        <w:t xml:space="preserve">information </w:t>
      </w:r>
      <w:r w:rsidRPr="00A16561" w:rsidR="002A4159">
        <w:rPr>
          <w:rFonts w:ascii="Times New Roman" w:hAnsi="Times New Roman" w:cs="Times New Roman"/>
          <w:color w:val="auto"/>
        </w:rPr>
        <w:t>collection</w:t>
      </w:r>
      <w:r w:rsidRPr="00A16561">
        <w:rPr>
          <w:rFonts w:ascii="Times New Roman" w:hAnsi="Times New Roman" w:cs="Times New Roman"/>
          <w:color w:val="auto"/>
        </w:rPr>
        <w:t xml:space="preserve"> </w:t>
      </w:r>
      <w:r w:rsidRPr="00A16561" w:rsidR="00400924">
        <w:rPr>
          <w:rFonts w:ascii="Times New Roman" w:hAnsi="Times New Roman" w:cs="Times New Roman"/>
          <w:color w:val="auto"/>
        </w:rPr>
        <w:t>are</w:t>
      </w:r>
      <w:r w:rsidRPr="00A16561">
        <w:rPr>
          <w:rFonts w:ascii="Times New Roman" w:hAnsi="Times New Roman" w:cs="Times New Roman"/>
          <w:color w:val="auto"/>
        </w:rPr>
        <w:t xml:space="preserve"> used by </w:t>
      </w:r>
      <w:r w:rsidRPr="00A16561" w:rsidR="002C7489">
        <w:rPr>
          <w:rFonts w:ascii="Times New Roman" w:hAnsi="Times New Roman" w:cs="Times New Roman"/>
          <w:color w:val="auto"/>
        </w:rPr>
        <w:t xml:space="preserve">underground </w:t>
      </w:r>
      <w:r w:rsidRPr="00A16561">
        <w:rPr>
          <w:rFonts w:ascii="Times New Roman" w:hAnsi="Times New Roman" w:cs="Times New Roman"/>
          <w:color w:val="auto"/>
        </w:rPr>
        <w:t xml:space="preserve">coal mine supervisors and </w:t>
      </w:r>
      <w:r w:rsidRPr="00A16561" w:rsidR="0065237B">
        <w:rPr>
          <w:rFonts w:ascii="Times New Roman" w:hAnsi="Times New Roman" w:cs="Times New Roman"/>
          <w:color w:val="auto"/>
        </w:rPr>
        <w:t>miners</w:t>
      </w:r>
      <w:r w:rsidRPr="00A16561">
        <w:rPr>
          <w:rFonts w:ascii="Times New Roman" w:hAnsi="Times New Roman" w:cs="Times New Roman"/>
          <w:color w:val="auto"/>
        </w:rPr>
        <w:t>,</w:t>
      </w:r>
      <w:r w:rsidRPr="00A16561" w:rsidR="00400924">
        <w:rPr>
          <w:rFonts w:ascii="Times New Roman" w:hAnsi="Times New Roman" w:cs="Times New Roman"/>
          <w:color w:val="auto"/>
        </w:rPr>
        <w:t xml:space="preserve"> as well as</w:t>
      </w:r>
      <w:r w:rsidRPr="00A16561">
        <w:rPr>
          <w:rFonts w:ascii="Times New Roman" w:hAnsi="Times New Roman" w:cs="Times New Roman"/>
          <w:color w:val="auto"/>
        </w:rPr>
        <w:t xml:space="preserve"> State and Federal mine inspectors. The records show </w:t>
      </w:r>
      <w:r w:rsidRPr="00A16561" w:rsidR="00400924">
        <w:rPr>
          <w:rFonts w:ascii="Times New Roman" w:hAnsi="Times New Roman" w:cs="Times New Roman"/>
          <w:color w:val="auto"/>
        </w:rPr>
        <w:t>if</w:t>
      </w:r>
      <w:r w:rsidRPr="00A16561">
        <w:rPr>
          <w:rFonts w:ascii="Times New Roman" w:hAnsi="Times New Roman" w:cs="Times New Roman"/>
          <w:color w:val="auto"/>
        </w:rPr>
        <w:t xml:space="preserve"> mine operators conducted </w:t>
      </w:r>
      <w:r w:rsidRPr="00A16561" w:rsidR="002C7489">
        <w:rPr>
          <w:rFonts w:ascii="Times New Roman" w:hAnsi="Times New Roman" w:cs="Times New Roman"/>
          <w:color w:val="auto"/>
        </w:rPr>
        <w:t xml:space="preserve">necessary </w:t>
      </w:r>
      <w:r w:rsidRPr="00A16561">
        <w:rPr>
          <w:rFonts w:ascii="Times New Roman" w:hAnsi="Times New Roman" w:cs="Times New Roman"/>
          <w:color w:val="auto"/>
        </w:rPr>
        <w:t xml:space="preserve">examinations and tests </w:t>
      </w:r>
      <w:r w:rsidRPr="00A16561" w:rsidR="002C7489">
        <w:rPr>
          <w:rFonts w:ascii="Times New Roman" w:hAnsi="Times New Roman" w:cs="Times New Roman"/>
          <w:color w:val="auto"/>
        </w:rPr>
        <w:t xml:space="preserve">of HVCMMs. The records also </w:t>
      </w:r>
      <w:r w:rsidRPr="00A16561">
        <w:rPr>
          <w:rFonts w:ascii="Times New Roman" w:hAnsi="Times New Roman" w:cs="Times New Roman"/>
          <w:color w:val="auto"/>
        </w:rPr>
        <w:t>give insight into the hazardous conditions that have</w:t>
      </w:r>
      <w:r w:rsidRPr="00A16561" w:rsidR="002A4159">
        <w:rPr>
          <w:rFonts w:ascii="Times New Roman" w:hAnsi="Times New Roman" w:cs="Times New Roman"/>
          <w:color w:val="auto"/>
        </w:rPr>
        <w:t xml:space="preserve"> been</w:t>
      </w:r>
      <w:r w:rsidRPr="00A16561">
        <w:rPr>
          <w:rFonts w:ascii="Times New Roman" w:hAnsi="Times New Roman" w:cs="Times New Roman"/>
          <w:color w:val="auto"/>
        </w:rPr>
        <w:t xml:space="preserve"> encountered</w:t>
      </w:r>
      <w:r w:rsidRPr="00A16561" w:rsidR="002C7489">
        <w:rPr>
          <w:rFonts w:ascii="Times New Roman" w:hAnsi="Times New Roman" w:cs="Times New Roman"/>
          <w:color w:val="auto"/>
        </w:rPr>
        <w:t xml:space="preserve"> by miners working with and around HVCMM</w:t>
      </w:r>
      <w:r w:rsidRPr="00A16561" w:rsidR="00893D0F">
        <w:rPr>
          <w:rFonts w:ascii="Times New Roman" w:hAnsi="Times New Roman" w:cs="Times New Roman"/>
          <w:color w:val="auto"/>
        </w:rPr>
        <w:t>s</w:t>
      </w:r>
      <w:r w:rsidRPr="00A16561">
        <w:rPr>
          <w:rFonts w:ascii="Times New Roman" w:hAnsi="Times New Roman" w:cs="Times New Roman"/>
          <w:color w:val="auto"/>
        </w:rPr>
        <w:t xml:space="preserve">. The records of </w:t>
      </w:r>
      <w:r w:rsidRPr="00A16561" w:rsidR="002C7489">
        <w:rPr>
          <w:rFonts w:ascii="Times New Roman" w:hAnsi="Times New Roman" w:cs="Times New Roman"/>
          <w:color w:val="auto"/>
        </w:rPr>
        <w:t xml:space="preserve">examinations and tests </w:t>
      </w:r>
      <w:r w:rsidRPr="00A16561" w:rsidR="002A4159">
        <w:rPr>
          <w:rFonts w:ascii="Times New Roman" w:hAnsi="Times New Roman" w:cs="Times New Roman"/>
          <w:color w:val="auto"/>
        </w:rPr>
        <w:t xml:space="preserve">are critical </w:t>
      </w:r>
      <w:r w:rsidRPr="00A16561" w:rsidR="00A81A39">
        <w:rPr>
          <w:rFonts w:ascii="Times New Roman" w:hAnsi="Times New Roman" w:cs="Times New Roman"/>
          <w:color w:val="auto"/>
        </w:rPr>
        <w:t>in</w:t>
      </w:r>
      <w:r w:rsidRPr="00A16561">
        <w:rPr>
          <w:rFonts w:ascii="Times New Roman" w:hAnsi="Times New Roman" w:cs="Times New Roman"/>
          <w:color w:val="auto"/>
        </w:rPr>
        <w:t xml:space="preserve"> making decisions that </w:t>
      </w:r>
      <w:r w:rsidRPr="00A16561" w:rsidR="002A4159">
        <w:rPr>
          <w:rFonts w:ascii="Times New Roman" w:hAnsi="Times New Roman" w:cs="Times New Roman"/>
          <w:color w:val="auto"/>
        </w:rPr>
        <w:t>impact</w:t>
      </w:r>
      <w:r w:rsidRPr="00A16561">
        <w:rPr>
          <w:rFonts w:ascii="Times New Roman" w:hAnsi="Times New Roman" w:cs="Times New Roman"/>
          <w:color w:val="auto"/>
        </w:rPr>
        <w:t xml:space="preserve"> the safety of miners working with HVCMMs. </w:t>
      </w:r>
    </w:p>
    <w:p w:rsidR="002C7489" w:rsidRPr="00A16561" w:rsidP="00A16561" w14:paraId="136668D2" w14:textId="77777777">
      <w:pPr>
        <w:pStyle w:val="Default"/>
        <w:keepNext/>
        <w:widowControl/>
        <w:rPr>
          <w:rFonts w:ascii="Times New Roman" w:hAnsi="Times New Roman" w:cs="Times New Roman"/>
          <w:color w:val="auto"/>
        </w:rPr>
      </w:pPr>
    </w:p>
    <w:p w:rsidR="00CB3898" w:rsidRPr="00A16561" w:rsidP="00A16561" w14:paraId="440B4438" w14:textId="77777777">
      <w:pPr>
        <w:pStyle w:val="Default"/>
        <w:keepNext/>
        <w:widowControl/>
        <w:rPr>
          <w:rFonts w:ascii="Times New Roman" w:hAnsi="Times New Roman" w:cs="Times New Roman"/>
          <w:b/>
          <w:bCs/>
          <w:color w:val="auto"/>
        </w:rPr>
      </w:pPr>
      <w:r w:rsidRPr="00A16561">
        <w:rPr>
          <w:rFonts w:ascii="Times New Roman" w:hAnsi="Times New Roman" w:cs="Times New Roman"/>
          <w:b/>
          <w:bCs/>
          <w:color w:val="auto"/>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C0294" w:rsidRPr="00A16561" w:rsidP="00A16561" w14:paraId="33312318" w14:textId="77777777">
      <w:pPr>
        <w:pStyle w:val="Default"/>
        <w:keepNext/>
        <w:widowControl/>
        <w:rPr>
          <w:rFonts w:ascii="Times New Roman" w:hAnsi="Times New Roman" w:cs="Times New Roman"/>
          <w:b/>
          <w:bCs/>
          <w:color w:val="auto"/>
        </w:rPr>
      </w:pPr>
    </w:p>
    <w:p w:rsidR="00867990" w:rsidRPr="00A16561" w:rsidP="00A16561" w14:paraId="2718FC51" w14:textId="24C48B7A">
      <w:pPr>
        <w:pStyle w:val="Default"/>
        <w:keepNext/>
        <w:widowControl/>
        <w:rPr>
          <w:rFonts w:ascii="Times New Roman" w:hAnsi="Times New Roman" w:cs="Times New Roman"/>
          <w:color w:val="FF0000"/>
        </w:rPr>
      </w:pPr>
      <w:r w:rsidRPr="00A16561">
        <w:rPr>
          <w:rFonts w:ascii="Times New Roman" w:hAnsi="Times New Roman" w:cs="Times New Roman"/>
          <w:color w:val="auto"/>
        </w:rPr>
        <w:t>No improved information technology has been identified that would reduce the burden</w:t>
      </w:r>
      <w:r w:rsidRPr="00A16561" w:rsidR="00A16561">
        <w:rPr>
          <w:rFonts w:ascii="Times New Roman" w:hAnsi="Times New Roman" w:cs="Times New Roman"/>
          <w:color w:val="auto"/>
        </w:rPr>
        <w:t xml:space="preserve"> of this collection</w:t>
      </w:r>
      <w:r w:rsidRPr="00A16561">
        <w:rPr>
          <w:rFonts w:ascii="Times New Roman" w:hAnsi="Times New Roman" w:cs="Times New Roman"/>
          <w:color w:val="auto"/>
        </w:rPr>
        <w:t>.</w:t>
      </w:r>
      <w:r w:rsidRPr="00A16561" w:rsidR="00074A47">
        <w:rPr>
          <w:rFonts w:ascii="Times New Roman" w:hAnsi="Times New Roman" w:cs="Times New Roman"/>
          <w:color w:val="auto"/>
        </w:rPr>
        <w:t xml:space="preserve"> </w:t>
      </w:r>
      <w:r w:rsidRPr="00A16561" w:rsidR="00A16561">
        <w:rPr>
          <w:rFonts w:ascii="Times New Roman" w:hAnsi="Times New Roman" w:cs="Times New Roman"/>
          <w:color w:val="auto"/>
        </w:rPr>
        <w:t>T</w:t>
      </w:r>
      <w:r w:rsidRPr="00A16561" w:rsidR="002A4159">
        <w:rPr>
          <w:rFonts w:ascii="Times New Roman" w:hAnsi="Times New Roman" w:cs="Times New Roman"/>
          <w:color w:val="auto"/>
        </w:rPr>
        <w:t xml:space="preserve">o comply with the Government Paperwork Elimination Act, mine operators may create and store these records in whatever method they choose, </w:t>
      </w:r>
      <w:r w:rsidRPr="00A16561" w:rsidR="00400924">
        <w:rPr>
          <w:rFonts w:ascii="Times New Roman" w:hAnsi="Times New Roman" w:cs="Times New Roman"/>
          <w:color w:val="auto"/>
        </w:rPr>
        <w:t>including using</w:t>
      </w:r>
      <w:r w:rsidRPr="00A16561" w:rsidR="002A4159">
        <w:rPr>
          <w:rFonts w:ascii="Times New Roman" w:hAnsi="Times New Roman" w:cs="Times New Roman"/>
          <w:color w:val="auto"/>
        </w:rPr>
        <w:t xml:space="preserve"> computer technology to store records electronically. </w:t>
      </w:r>
    </w:p>
    <w:p w:rsidR="00CB3898" w:rsidRPr="00A16561" w:rsidP="00A16561" w14:paraId="38984DDA" w14:textId="77777777">
      <w:pPr>
        <w:pStyle w:val="Default"/>
        <w:rPr>
          <w:rFonts w:ascii="Times New Roman" w:hAnsi="Times New Roman" w:cs="Times New Roman"/>
          <w:color w:val="auto"/>
        </w:rPr>
      </w:pPr>
    </w:p>
    <w:p w:rsidR="00CB3898" w:rsidRPr="00A16561" w:rsidP="00A16561" w14:paraId="60804496" w14:textId="77777777">
      <w:pPr>
        <w:pStyle w:val="Default"/>
        <w:keepNext/>
        <w:widowControl/>
        <w:rPr>
          <w:rFonts w:ascii="Times New Roman" w:hAnsi="Times New Roman" w:cs="Times New Roman"/>
          <w:color w:val="auto"/>
        </w:rPr>
      </w:pPr>
      <w:r w:rsidRPr="00A16561">
        <w:rPr>
          <w:rFonts w:ascii="Times New Roman" w:hAnsi="Times New Roman" w:cs="Times New Roman"/>
          <w:b/>
          <w:bCs/>
          <w:color w:val="auto"/>
        </w:rPr>
        <w:t>4. Describe efforts to identify duplication. Show specifically why any similar information already available cannot be used or modified for use for the purposes described in Item A.2 above.</w:t>
      </w:r>
    </w:p>
    <w:p w:rsidR="00CB3898" w:rsidRPr="00A16561" w:rsidP="00A16561" w14:paraId="081BAF24" w14:textId="77777777">
      <w:pPr>
        <w:pStyle w:val="Default"/>
        <w:rPr>
          <w:rFonts w:ascii="Times New Roman" w:hAnsi="Times New Roman" w:cs="Times New Roman"/>
          <w:color w:val="auto"/>
        </w:rPr>
      </w:pPr>
    </w:p>
    <w:p w:rsidR="00C73040" w:rsidRPr="00A16561" w:rsidP="00A16561" w14:paraId="77B859EC" w14:textId="05B2F4BD">
      <w:pPr>
        <w:pStyle w:val="Default"/>
        <w:rPr>
          <w:rFonts w:ascii="Times New Roman" w:hAnsi="Times New Roman" w:cs="Times New Roman"/>
          <w:color w:val="auto"/>
        </w:rPr>
      </w:pPr>
      <w:r w:rsidRPr="00A16561">
        <w:rPr>
          <w:rFonts w:ascii="Times New Roman" w:hAnsi="Times New Roman" w:cs="Times New Roman"/>
          <w:color w:val="auto"/>
        </w:rPr>
        <w:t xml:space="preserve">No similar </w:t>
      </w:r>
      <w:bookmarkStart w:id="13" w:name="_Hlk172026587"/>
      <w:r w:rsidRPr="00A16561" w:rsidR="00052BD8">
        <w:rPr>
          <w:rFonts w:ascii="Times New Roman" w:hAnsi="Times New Roman" w:cs="Times New Roman"/>
          <w:color w:val="auto"/>
        </w:rPr>
        <w:t xml:space="preserve">or duplicate </w:t>
      </w:r>
      <w:bookmarkEnd w:id="13"/>
      <w:r w:rsidRPr="00A16561">
        <w:rPr>
          <w:rFonts w:ascii="Times New Roman" w:hAnsi="Times New Roman" w:cs="Times New Roman"/>
          <w:color w:val="auto"/>
        </w:rPr>
        <w:t xml:space="preserve">information is available or submitted to MSHA. </w:t>
      </w:r>
    </w:p>
    <w:p w:rsidR="00B227F0" w:rsidRPr="00A16561" w:rsidP="00A16561" w14:paraId="2D29A9BF" w14:textId="77777777">
      <w:pPr>
        <w:rPr>
          <w:b/>
          <w:bCs/>
          <w:color w:val="000000"/>
        </w:rPr>
      </w:pPr>
    </w:p>
    <w:p w:rsidR="00B227F0" w:rsidRPr="00A16561" w:rsidP="00A16561" w14:paraId="156335B6" w14:textId="5B69F75C">
      <w:pPr>
        <w:pStyle w:val="Default"/>
        <w:rPr>
          <w:rFonts w:ascii="Times New Roman" w:hAnsi="Times New Roman" w:cs="Times New Roman"/>
          <w:color w:val="auto"/>
        </w:rPr>
      </w:pPr>
      <w:r w:rsidRPr="00A16561">
        <w:rPr>
          <w:rFonts w:ascii="Times New Roman" w:hAnsi="Times New Roman" w:cs="Times New Roman"/>
          <w:b/>
          <w:color w:val="auto"/>
        </w:rPr>
        <w:t xml:space="preserve">5. If the collection of information impacts small businesses or other small entities, describe any methods used to minimize burden. </w:t>
      </w:r>
    </w:p>
    <w:p w:rsidR="00B227F0" w:rsidRPr="00A16561" w:rsidP="00A16561" w14:paraId="1A103BF2" w14:textId="77777777">
      <w:pPr>
        <w:pStyle w:val="Default"/>
        <w:rPr>
          <w:rFonts w:ascii="Times New Roman" w:hAnsi="Times New Roman" w:cs="Times New Roman"/>
          <w:color w:val="auto"/>
        </w:rPr>
      </w:pPr>
      <w:r w:rsidRPr="00A16561">
        <w:rPr>
          <w:rFonts w:ascii="Times New Roman" w:hAnsi="Times New Roman" w:cs="Times New Roman"/>
          <w:color w:val="auto"/>
        </w:rPr>
        <w:t xml:space="preserve"> </w:t>
      </w:r>
    </w:p>
    <w:p w:rsidR="002A4159" w:rsidRPr="00A16561" w:rsidP="00A16561" w14:paraId="663ACA0C" w14:textId="23277F98">
      <w:pPr>
        <w:rPr>
          <w:b/>
          <w:bCs/>
          <w:color w:val="000000"/>
        </w:rPr>
      </w:pPr>
      <w:bookmarkStart w:id="14" w:name="_Hlk161038748"/>
      <w:r w:rsidRPr="00A16561">
        <w:t xml:space="preserve">The information collection provisions apply to all mine operators, </w:t>
      </w:r>
      <w:bookmarkStart w:id="15" w:name="_Hlk184192506"/>
      <w:r w:rsidRPr="00A16561">
        <w:t>both large and small</w:t>
      </w:r>
      <w:bookmarkEnd w:id="15"/>
      <w:r w:rsidRPr="00A16561">
        <w:t>. Congress intended that the Secretary enforce the law at all mining operat</w:t>
      </w:r>
      <w:r w:rsidRPr="00A16561" w:rsidR="00A16561">
        <w:t>i</w:t>
      </w:r>
      <w:r w:rsidRPr="00A16561">
        <w:t>o</w:t>
      </w:r>
      <w:r w:rsidRPr="00A16561" w:rsidR="00A16561">
        <w:t>n</w:t>
      </w:r>
      <w:r w:rsidRPr="00A16561">
        <w:t>s within the Agency’s jurisdiction regardless of size and that information collection and recordkeeping requirements be consistent with efficient and effective enforcement of the Mine Act. [S. Rep. No. 95-181 (1977)]. Section 103(e) of the Mine Act</w:t>
      </w:r>
      <w:bookmarkStart w:id="16" w:name="_Hlk172026654"/>
      <w:r w:rsidRPr="00A16561">
        <w:t xml:space="preserve">, 30 U.S.C. 813(e), </w:t>
      </w:r>
      <w:bookmarkEnd w:id="16"/>
      <w:r w:rsidRPr="00A16561">
        <w:t>directs the Secretary not to impose an unreasonable burden on small businesses when obtaining any information under the Mine Act. MSHA considered the burden on small mines when developing this collection and believes that these information collection requirements that are imposed on all mining operators do not have a significant impact on a substantial number of small business</w:t>
      </w:r>
      <w:r w:rsidRPr="00A16561" w:rsidR="00A16561">
        <w:t>es</w:t>
      </w:r>
      <w:r w:rsidRPr="00A16561">
        <w:t xml:space="preserve"> or other small entities. </w:t>
      </w:r>
    </w:p>
    <w:bookmarkEnd w:id="14"/>
    <w:p w:rsidR="00B227F0" w:rsidRPr="00A16561" w:rsidP="00A16561" w14:paraId="7C2F69CC" w14:textId="77777777">
      <w:pPr>
        <w:rPr>
          <w:b/>
          <w:bCs/>
          <w:color w:val="000000"/>
        </w:rPr>
      </w:pPr>
    </w:p>
    <w:p w:rsidR="00CB3898" w:rsidRPr="00A16561" w:rsidP="00A16561" w14:paraId="7D497CB0" w14:textId="77777777">
      <w:pPr>
        <w:pStyle w:val="Default"/>
        <w:keepNext/>
        <w:widowControl/>
        <w:rPr>
          <w:rFonts w:ascii="Times New Roman" w:hAnsi="Times New Roman" w:cs="Times New Roman"/>
          <w:b/>
          <w:bCs/>
          <w:color w:val="auto"/>
        </w:rPr>
      </w:pPr>
      <w:r w:rsidRPr="00A16561">
        <w:rPr>
          <w:rFonts w:ascii="Times New Roman" w:hAnsi="Times New Roman" w:cs="Times New Roman"/>
          <w:b/>
          <w:bCs/>
          <w:color w:val="auto"/>
        </w:rPr>
        <w:t>6. Describe the consequence to federal program or policy activities if the collection is not conducted or is conducted less frequently, as well as any technical or legal obstacles to reducing burden.</w:t>
      </w:r>
    </w:p>
    <w:p w:rsidR="005C0294" w:rsidRPr="00A16561" w:rsidP="00A16561" w14:paraId="5D0EEA43" w14:textId="77777777">
      <w:pPr>
        <w:pStyle w:val="Default"/>
        <w:keepNext/>
        <w:widowControl/>
        <w:rPr>
          <w:rFonts w:ascii="Times New Roman" w:hAnsi="Times New Roman" w:cs="Times New Roman"/>
          <w:b/>
          <w:bCs/>
          <w:color w:val="auto"/>
        </w:rPr>
      </w:pPr>
    </w:p>
    <w:p w:rsidR="005C0294" w:rsidRPr="00A16561" w:rsidP="00A16561" w14:paraId="03CDCC34" w14:textId="3DAD7ADC">
      <w:pPr>
        <w:pStyle w:val="Default"/>
        <w:keepNext/>
        <w:widowControl/>
        <w:rPr>
          <w:rFonts w:ascii="Times New Roman" w:hAnsi="Times New Roman" w:cs="Times New Roman"/>
          <w:color w:val="auto"/>
        </w:rPr>
      </w:pPr>
      <w:r w:rsidRPr="00A16561">
        <w:rPr>
          <w:rFonts w:ascii="Times New Roman" w:hAnsi="Times New Roman" w:cs="Times New Roman"/>
          <w:color w:val="auto"/>
        </w:rPr>
        <w:t>To prevent fire</w:t>
      </w:r>
      <w:r w:rsidRPr="00A16561" w:rsidR="002A32B2">
        <w:rPr>
          <w:rFonts w:ascii="Times New Roman" w:hAnsi="Times New Roman" w:cs="Times New Roman"/>
          <w:color w:val="auto"/>
        </w:rPr>
        <w:t>s</w:t>
      </w:r>
      <w:r w:rsidRPr="00A16561">
        <w:rPr>
          <w:rFonts w:ascii="Times New Roman" w:hAnsi="Times New Roman" w:cs="Times New Roman"/>
          <w:color w:val="auto"/>
        </w:rPr>
        <w:t>, explosion</w:t>
      </w:r>
      <w:r w:rsidRPr="00A16561" w:rsidR="002A32B2">
        <w:rPr>
          <w:rFonts w:ascii="Times New Roman" w:hAnsi="Times New Roman" w:cs="Times New Roman"/>
          <w:color w:val="auto"/>
        </w:rPr>
        <w:t>s</w:t>
      </w:r>
      <w:r w:rsidRPr="00A16561">
        <w:rPr>
          <w:rFonts w:ascii="Times New Roman" w:hAnsi="Times New Roman" w:cs="Times New Roman"/>
          <w:color w:val="auto"/>
        </w:rPr>
        <w:t xml:space="preserve">, and electrocution hazards when using HVCMMs in underground </w:t>
      </w:r>
      <w:r w:rsidRPr="00A16561" w:rsidR="00A81A39">
        <w:rPr>
          <w:rFonts w:ascii="Times New Roman" w:hAnsi="Times New Roman" w:cs="Times New Roman"/>
          <w:color w:val="auto"/>
        </w:rPr>
        <w:t xml:space="preserve">coal </w:t>
      </w:r>
      <w:r w:rsidRPr="00A16561">
        <w:rPr>
          <w:rFonts w:ascii="Times New Roman" w:hAnsi="Times New Roman" w:cs="Times New Roman"/>
          <w:color w:val="auto"/>
        </w:rPr>
        <w:t>mines, mine operators are required to conduct examinations and tests</w:t>
      </w:r>
      <w:r w:rsidRPr="00A16561" w:rsidR="00400924">
        <w:rPr>
          <w:rFonts w:ascii="Times New Roman" w:hAnsi="Times New Roman" w:cs="Times New Roman"/>
          <w:color w:val="auto"/>
        </w:rPr>
        <w:t>,</w:t>
      </w:r>
      <w:r w:rsidRPr="00A16561">
        <w:rPr>
          <w:rFonts w:ascii="Times New Roman" w:hAnsi="Times New Roman" w:cs="Times New Roman"/>
          <w:color w:val="auto"/>
        </w:rPr>
        <w:t xml:space="preserve"> supported by records</w:t>
      </w:r>
      <w:r w:rsidRPr="00A16561" w:rsidR="002A4159">
        <w:rPr>
          <w:rFonts w:ascii="Times New Roman" w:hAnsi="Times New Roman" w:cs="Times New Roman"/>
          <w:color w:val="auto"/>
        </w:rPr>
        <w:t xml:space="preserve"> </w:t>
      </w:r>
      <w:r w:rsidRPr="00A16561">
        <w:rPr>
          <w:rFonts w:ascii="Times New Roman" w:hAnsi="Times New Roman" w:cs="Times New Roman"/>
          <w:color w:val="auto"/>
        </w:rPr>
        <w:t>that are certified by signature and date</w:t>
      </w:r>
      <w:r w:rsidRPr="00A16561" w:rsidR="00400924">
        <w:rPr>
          <w:rFonts w:ascii="Times New Roman" w:hAnsi="Times New Roman" w:cs="Times New Roman"/>
          <w:color w:val="auto"/>
        </w:rPr>
        <w:t>,</w:t>
      </w:r>
      <w:r w:rsidRPr="00A16561">
        <w:rPr>
          <w:rFonts w:ascii="Times New Roman" w:hAnsi="Times New Roman" w:cs="Times New Roman"/>
          <w:color w:val="auto"/>
        </w:rPr>
        <w:t xml:space="preserve"> t</w:t>
      </w:r>
      <w:r w:rsidR="00131389">
        <w:rPr>
          <w:rFonts w:ascii="Times New Roman" w:hAnsi="Times New Roman" w:cs="Times New Roman"/>
          <w:color w:val="auto"/>
        </w:rPr>
        <w:t>o</w:t>
      </w:r>
      <w:r w:rsidRPr="00A16561">
        <w:rPr>
          <w:rFonts w:ascii="Times New Roman" w:hAnsi="Times New Roman" w:cs="Times New Roman"/>
          <w:color w:val="auto"/>
        </w:rPr>
        <w:t xml:space="preserve"> identify any unsafe condition</w:t>
      </w:r>
      <w:r w:rsidRPr="00A16561" w:rsidR="00A81A39">
        <w:rPr>
          <w:rFonts w:ascii="Times New Roman" w:hAnsi="Times New Roman" w:cs="Times New Roman"/>
          <w:color w:val="auto"/>
        </w:rPr>
        <w:t>s</w:t>
      </w:r>
      <w:r w:rsidRPr="00A16561" w:rsidR="00400924">
        <w:rPr>
          <w:rFonts w:ascii="Times New Roman" w:hAnsi="Times New Roman" w:cs="Times New Roman"/>
          <w:color w:val="auto"/>
        </w:rPr>
        <w:t xml:space="preserve"> that were</w:t>
      </w:r>
      <w:r w:rsidRPr="00A16561">
        <w:rPr>
          <w:rFonts w:ascii="Times New Roman" w:hAnsi="Times New Roman" w:cs="Times New Roman"/>
          <w:color w:val="auto"/>
        </w:rPr>
        <w:t xml:space="preserve"> found</w:t>
      </w:r>
      <w:r w:rsidRPr="00A16561" w:rsidR="00400924">
        <w:rPr>
          <w:rFonts w:ascii="Times New Roman" w:hAnsi="Times New Roman" w:cs="Times New Roman"/>
          <w:color w:val="auto"/>
        </w:rPr>
        <w:t xml:space="preserve"> and</w:t>
      </w:r>
      <w:r w:rsidRPr="00A16561">
        <w:rPr>
          <w:rFonts w:ascii="Times New Roman" w:hAnsi="Times New Roman" w:cs="Times New Roman"/>
          <w:color w:val="auto"/>
        </w:rPr>
        <w:t xml:space="preserve"> </w:t>
      </w:r>
      <w:r w:rsidRPr="00A16561" w:rsidR="00A81A39">
        <w:rPr>
          <w:rFonts w:ascii="Times New Roman" w:hAnsi="Times New Roman" w:cs="Times New Roman"/>
          <w:color w:val="auto"/>
        </w:rPr>
        <w:t>have been</w:t>
      </w:r>
      <w:r w:rsidRPr="00A16561">
        <w:rPr>
          <w:rFonts w:ascii="Times New Roman" w:hAnsi="Times New Roman" w:cs="Times New Roman"/>
          <w:color w:val="auto"/>
        </w:rPr>
        <w:t xml:space="preserve"> corrected. </w:t>
      </w:r>
      <w:r w:rsidRPr="00A16561" w:rsidR="00400924">
        <w:rPr>
          <w:rFonts w:ascii="Times New Roman" w:hAnsi="Times New Roman" w:cs="Times New Roman"/>
          <w:color w:val="auto"/>
        </w:rPr>
        <w:t>For the safety of miners</w:t>
      </w:r>
      <w:r w:rsidRPr="00A16561" w:rsidR="00977698">
        <w:rPr>
          <w:rFonts w:ascii="Times New Roman" w:hAnsi="Times New Roman" w:cs="Times New Roman"/>
          <w:color w:val="auto"/>
        </w:rPr>
        <w:t xml:space="preserve"> working with and around HVCMMs</w:t>
      </w:r>
      <w:r w:rsidRPr="00A16561" w:rsidR="00591199">
        <w:rPr>
          <w:rFonts w:ascii="Times New Roman" w:hAnsi="Times New Roman" w:cs="Times New Roman"/>
          <w:color w:val="auto"/>
        </w:rPr>
        <w:t>,</w:t>
      </w:r>
      <w:r w:rsidRPr="00A16561">
        <w:rPr>
          <w:rFonts w:ascii="Times New Roman" w:hAnsi="Times New Roman" w:cs="Times New Roman"/>
          <w:color w:val="auto"/>
        </w:rPr>
        <w:t xml:space="preserve"> tagging and locking out the power supply </w:t>
      </w:r>
      <w:r w:rsidRPr="00A16561" w:rsidR="00A81A39">
        <w:rPr>
          <w:rFonts w:ascii="Times New Roman" w:hAnsi="Times New Roman" w:cs="Times New Roman"/>
          <w:color w:val="auto"/>
        </w:rPr>
        <w:t xml:space="preserve">cables </w:t>
      </w:r>
      <w:r w:rsidRPr="00A16561">
        <w:rPr>
          <w:rFonts w:ascii="Times New Roman" w:hAnsi="Times New Roman" w:cs="Times New Roman"/>
          <w:color w:val="auto"/>
        </w:rPr>
        <w:t>to the power receptacle</w:t>
      </w:r>
      <w:r w:rsidRPr="00A16561" w:rsidR="00400924">
        <w:rPr>
          <w:rFonts w:ascii="Times New Roman" w:hAnsi="Times New Roman" w:cs="Times New Roman"/>
          <w:color w:val="auto"/>
        </w:rPr>
        <w:t xml:space="preserve"> is also required</w:t>
      </w:r>
      <w:r w:rsidRPr="00A16561">
        <w:rPr>
          <w:rFonts w:ascii="Times New Roman" w:hAnsi="Times New Roman" w:cs="Times New Roman"/>
          <w:color w:val="auto"/>
        </w:rPr>
        <w:t xml:space="preserve">. </w:t>
      </w:r>
      <w:r w:rsidRPr="00A16561" w:rsidR="00591199">
        <w:rPr>
          <w:rFonts w:ascii="Times New Roman" w:hAnsi="Times New Roman" w:cs="Times New Roman"/>
          <w:color w:val="auto"/>
        </w:rPr>
        <w:t xml:space="preserve">The </w:t>
      </w:r>
      <w:r w:rsidRPr="00A16561">
        <w:rPr>
          <w:rFonts w:ascii="Times New Roman" w:hAnsi="Times New Roman" w:cs="Times New Roman"/>
          <w:color w:val="auto"/>
        </w:rPr>
        <w:t xml:space="preserve">frequency of examinations and testing of high-voltage trailing cables and HVCMMs, and associated record keeping requirements, are the minimum necessary requirements to ensure the safe operating conditions of HVCMMs. </w:t>
      </w:r>
    </w:p>
    <w:p w:rsidR="00B227F0" w:rsidRPr="00A16561" w:rsidP="00A16561" w14:paraId="4BE11804" w14:textId="77777777">
      <w:pPr>
        <w:rPr>
          <w:b/>
          <w:bCs/>
          <w:color w:val="000000"/>
        </w:rPr>
      </w:pPr>
    </w:p>
    <w:p w:rsidR="00CB3898" w:rsidRPr="00A16561" w:rsidP="00A16561" w14:paraId="010929AC" w14:textId="77777777">
      <w:pPr>
        <w:pStyle w:val="Default"/>
        <w:widowControl/>
        <w:rPr>
          <w:rFonts w:ascii="Times New Roman" w:hAnsi="Times New Roman" w:cs="Times New Roman"/>
          <w:b/>
          <w:bCs/>
          <w:color w:val="auto"/>
        </w:rPr>
      </w:pPr>
      <w:r w:rsidRPr="00A16561">
        <w:rPr>
          <w:rFonts w:ascii="Times New Roman" w:hAnsi="Times New Roman" w:cs="Times New Roman"/>
          <w:b/>
          <w:bCs/>
          <w:color w:val="auto"/>
        </w:rPr>
        <w:t>7. Explain any special circumstances that would cause an information collection to be conducted in a manner:</w:t>
      </w:r>
    </w:p>
    <w:p w:rsidR="00CB3898" w:rsidRPr="00A16561" w:rsidP="00A16561" w14:paraId="5790525F" w14:textId="77777777">
      <w:pPr>
        <w:pStyle w:val="ListParagraph"/>
        <w:tabs>
          <w:tab w:val="left" w:pos="720"/>
        </w:tabs>
        <w:spacing w:after="0" w:line="240" w:lineRule="auto"/>
        <w:ind w:left="0"/>
        <w:rPr>
          <w:rFonts w:ascii="Times New Roman" w:hAnsi="Times New Roman"/>
          <w:b/>
          <w:bCs/>
          <w:sz w:val="24"/>
        </w:rPr>
      </w:pPr>
    </w:p>
    <w:p w:rsidR="00CB3898" w:rsidRPr="00A16561" w:rsidP="00A16561" w14:paraId="56B4EAC4" w14:textId="77777777">
      <w:pPr>
        <w:pStyle w:val="ListParagraph"/>
        <w:numPr>
          <w:ilvl w:val="0"/>
          <w:numId w:val="10"/>
        </w:numPr>
        <w:autoSpaceDE w:val="0"/>
        <w:autoSpaceDN w:val="0"/>
        <w:adjustRightInd w:val="0"/>
        <w:spacing w:after="0" w:line="240" w:lineRule="auto"/>
        <w:ind w:left="360"/>
        <w:rPr>
          <w:rFonts w:ascii="Times New Roman" w:hAnsi="Times New Roman"/>
          <w:b/>
          <w:bCs/>
          <w:sz w:val="24"/>
          <w:szCs w:val="24"/>
        </w:rPr>
      </w:pPr>
      <w:r w:rsidRPr="00A16561">
        <w:rPr>
          <w:rFonts w:ascii="Times New Roman" w:hAnsi="Times New Roman"/>
          <w:b/>
          <w:bCs/>
          <w:sz w:val="24"/>
          <w:szCs w:val="24"/>
        </w:rPr>
        <w:t>Requiring respondents to report information to the agency more often than quarterly;</w:t>
      </w:r>
    </w:p>
    <w:p w:rsidR="00CB3898" w:rsidRPr="00A16561" w:rsidP="00A16561" w14:paraId="759F47DA" w14:textId="77777777">
      <w:pPr>
        <w:pStyle w:val="Default"/>
        <w:widowControl/>
        <w:tabs>
          <w:tab w:val="left" w:pos="720"/>
        </w:tabs>
        <w:ind w:left="360"/>
        <w:rPr>
          <w:rFonts w:ascii="Times New Roman" w:hAnsi="Times New Roman" w:cs="Times New Roman"/>
          <w:b/>
          <w:bCs/>
          <w:color w:val="auto"/>
        </w:rPr>
      </w:pPr>
    </w:p>
    <w:p w:rsidR="00CB3898" w:rsidRPr="00A16561" w:rsidP="00A16561" w14:paraId="7A94708D" w14:textId="77777777">
      <w:pPr>
        <w:pStyle w:val="Default"/>
        <w:widowControl/>
        <w:numPr>
          <w:ilvl w:val="0"/>
          <w:numId w:val="10"/>
        </w:numPr>
        <w:tabs>
          <w:tab w:val="left" w:pos="720"/>
        </w:tabs>
        <w:ind w:left="360"/>
        <w:rPr>
          <w:rFonts w:ascii="Times New Roman" w:hAnsi="Times New Roman" w:cs="Times New Roman"/>
          <w:b/>
          <w:bCs/>
          <w:color w:val="auto"/>
        </w:rPr>
      </w:pPr>
      <w:r w:rsidRPr="00A16561">
        <w:rPr>
          <w:rFonts w:ascii="Times New Roman" w:hAnsi="Times New Roman" w:cs="Times New Roman"/>
          <w:b/>
          <w:bCs/>
          <w:color w:val="auto"/>
        </w:rPr>
        <w:t>Requiring respondents to prepare a written response to a collection of information in fewer than 30 days after receipt of it;</w:t>
      </w:r>
    </w:p>
    <w:p w:rsidR="00584E68" w:rsidRPr="00A16561" w:rsidP="00A16561" w14:paraId="14446DEA" w14:textId="77777777">
      <w:pPr>
        <w:pStyle w:val="Default"/>
        <w:widowControl/>
        <w:tabs>
          <w:tab w:val="left" w:pos="720"/>
        </w:tabs>
        <w:rPr>
          <w:rFonts w:ascii="Times New Roman" w:hAnsi="Times New Roman" w:cs="Times New Roman"/>
          <w:b/>
          <w:bCs/>
          <w:color w:val="auto"/>
        </w:rPr>
      </w:pPr>
    </w:p>
    <w:p w:rsidR="00CB3898" w:rsidRPr="00A16561" w:rsidP="00A16561" w14:paraId="6A776D6E" w14:textId="77777777">
      <w:pPr>
        <w:pStyle w:val="Default"/>
        <w:widowControl/>
        <w:numPr>
          <w:ilvl w:val="0"/>
          <w:numId w:val="10"/>
        </w:numPr>
        <w:tabs>
          <w:tab w:val="left" w:pos="720"/>
        </w:tabs>
        <w:ind w:left="360"/>
        <w:rPr>
          <w:rFonts w:ascii="Times New Roman" w:hAnsi="Times New Roman" w:cs="Times New Roman"/>
          <w:b/>
          <w:bCs/>
          <w:color w:val="auto"/>
        </w:rPr>
      </w:pPr>
      <w:r w:rsidRPr="00A16561">
        <w:rPr>
          <w:rFonts w:ascii="Times New Roman" w:hAnsi="Times New Roman" w:cs="Times New Roman"/>
          <w:b/>
          <w:bCs/>
          <w:color w:val="auto"/>
        </w:rPr>
        <w:t>Requiring respondents to submit more than an original and two copies of any document;</w:t>
      </w:r>
    </w:p>
    <w:p w:rsidR="00CB3898" w:rsidRPr="00A16561" w:rsidP="00A16561" w14:paraId="02AE158B" w14:textId="77777777">
      <w:pPr>
        <w:pStyle w:val="Default"/>
        <w:widowControl/>
        <w:tabs>
          <w:tab w:val="left" w:pos="720"/>
        </w:tabs>
        <w:ind w:left="360"/>
        <w:rPr>
          <w:rFonts w:ascii="Times New Roman" w:hAnsi="Times New Roman" w:cs="Times New Roman"/>
          <w:b/>
          <w:bCs/>
          <w:color w:val="auto"/>
        </w:rPr>
      </w:pPr>
    </w:p>
    <w:p w:rsidR="00CB3898" w:rsidRPr="00A16561" w:rsidP="00A16561" w14:paraId="6B7D1D48" w14:textId="77777777">
      <w:pPr>
        <w:pStyle w:val="Default"/>
        <w:widowControl/>
        <w:numPr>
          <w:ilvl w:val="0"/>
          <w:numId w:val="10"/>
        </w:numPr>
        <w:tabs>
          <w:tab w:val="left" w:pos="720"/>
        </w:tabs>
        <w:ind w:left="360"/>
        <w:rPr>
          <w:rFonts w:ascii="Times New Roman" w:hAnsi="Times New Roman" w:cs="Times New Roman"/>
          <w:b/>
          <w:bCs/>
          <w:color w:val="auto"/>
        </w:rPr>
      </w:pPr>
      <w:r w:rsidRPr="00A16561">
        <w:rPr>
          <w:rFonts w:ascii="Times New Roman" w:hAnsi="Times New Roman" w:cs="Times New Roman"/>
          <w:b/>
          <w:bCs/>
          <w:color w:val="auto"/>
        </w:rPr>
        <w:t>Requiring respondents to retain records, other than health, medical, government contract, grant-in-aid, or tax records for more than three years;</w:t>
      </w:r>
    </w:p>
    <w:p w:rsidR="00CB3898" w:rsidRPr="00A16561" w:rsidP="00A16561" w14:paraId="39D93E4F" w14:textId="77777777">
      <w:pPr>
        <w:pStyle w:val="Default"/>
        <w:widowControl/>
        <w:tabs>
          <w:tab w:val="left" w:pos="720"/>
        </w:tabs>
        <w:ind w:left="360"/>
        <w:rPr>
          <w:rFonts w:ascii="Times New Roman" w:hAnsi="Times New Roman" w:cs="Times New Roman"/>
          <w:b/>
          <w:bCs/>
          <w:color w:val="auto"/>
        </w:rPr>
      </w:pPr>
    </w:p>
    <w:p w:rsidR="00CB3898" w:rsidRPr="00A16561" w:rsidP="00A16561" w14:paraId="5E381D83" w14:textId="77777777">
      <w:pPr>
        <w:pStyle w:val="Default"/>
        <w:widowControl/>
        <w:numPr>
          <w:ilvl w:val="0"/>
          <w:numId w:val="10"/>
        </w:numPr>
        <w:tabs>
          <w:tab w:val="left" w:pos="720"/>
        </w:tabs>
        <w:ind w:left="360"/>
        <w:rPr>
          <w:rFonts w:ascii="Times New Roman" w:hAnsi="Times New Roman" w:cs="Times New Roman"/>
          <w:b/>
          <w:bCs/>
          <w:color w:val="auto"/>
        </w:rPr>
      </w:pPr>
      <w:r w:rsidRPr="00A16561">
        <w:rPr>
          <w:rFonts w:ascii="Times New Roman" w:hAnsi="Times New Roman" w:cs="Times New Roman"/>
          <w:b/>
          <w:bCs/>
          <w:color w:val="auto"/>
        </w:rPr>
        <w:t>In connection with a statistical survey, that is not designed to produce valid and reliable results that can be generalized to the universe of study;</w:t>
      </w:r>
    </w:p>
    <w:p w:rsidR="00CB3898" w:rsidRPr="00A16561" w:rsidP="00A16561" w14:paraId="29D10900" w14:textId="77777777">
      <w:pPr>
        <w:pStyle w:val="Default"/>
        <w:widowControl/>
        <w:tabs>
          <w:tab w:val="left" w:pos="720"/>
        </w:tabs>
        <w:ind w:left="360"/>
        <w:rPr>
          <w:rFonts w:ascii="Times New Roman" w:hAnsi="Times New Roman" w:cs="Times New Roman"/>
          <w:b/>
          <w:bCs/>
          <w:color w:val="auto"/>
        </w:rPr>
      </w:pPr>
    </w:p>
    <w:p w:rsidR="00CB3898" w:rsidRPr="00A16561" w:rsidP="00A16561" w14:paraId="535319BE" w14:textId="77777777">
      <w:pPr>
        <w:pStyle w:val="Default"/>
        <w:widowControl/>
        <w:numPr>
          <w:ilvl w:val="0"/>
          <w:numId w:val="10"/>
        </w:numPr>
        <w:tabs>
          <w:tab w:val="left" w:pos="720"/>
        </w:tabs>
        <w:ind w:left="360"/>
        <w:rPr>
          <w:rFonts w:ascii="Times New Roman" w:hAnsi="Times New Roman" w:cs="Times New Roman"/>
          <w:b/>
          <w:bCs/>
          <w:color w:val="auto"/>
        </w:rPr>
      </w:pPr>
      <w:r w:rsidRPr="00A16561">
        <w:rPr>
          <w:rFonts w:ascii="Times New Roman" w:hAnsi="Times New Roman" w:cs="Times New Roman"/>
          <w:b/>
          <w:bCs/>
          <w:color w:val="auto"/>
        </w:rPr>
        <w:t>Requiring the use of a statistical data classification that has not been reviewed and approved by OMB;</w:t>
      </w:r>
    </w:p>
    <w:p w:rsidR="00CB3898" w:rsidRPr="00A16561" w:rsidP="00A16561" w14:paraId="360F7893" w14:textId="77777777">
      <w:pPr>
        <w:pStyle w:val="Default"/>
        <w:widowControl/>
        <w:tabs>
          <w:tab w:val="left" w:pos="720"/>
        </w:tabs>
        <w:ind w:left="360"/>
        <w:rPr>
          <w:rFonts w:ascii="Times New Roman" w:hAnsi="Times New Roman" w:cs="Times New Roman"/>
          <w:b/>
          <w:bCs/>
          <w:color w:val="auto"/>
        </w:rPr>
      </w:pPr>
    </w:p>
    <w:p w:rsidR="00CB3898" w:rsidRPr="00A16561" w:rsidP="00A16561" w14:paraId="0A915E1F" w14:textId="77777777">
      <w:pPr>
        <w:pStyle w:val="Default"/>
        <w:widowControl/>
        <w:numPr>
          <w:ilvl w:val="0"/>
          <w:numId w:val="10"/>
        </w:numPr>
        <w:tabs>
          <w:tab w:val="left" w:pos="720"/>
        </w:tabs>
        <w:ind w:left="360"/>
        <w:rPr>
          <w:rFonts w:ascii="Times New Roman" w:hAnsi="Times New Roman" w:cs="Times New Roman"/>
          <w:b/>
          <w:bCs/>
          <w:color w:val="auto"/>
        </w:rPr>
      </w:pPr>
      <w:r w:rsidRPr="00A16561">
        <w:rPr>
          <w:rFonts w:ascii="Times New Roman" w:hAnsi="Times New Roman" w:cs="Times New Roman"/>
          <w:b/>
          <w:bCs/>
          <w:color w:val="auto"/>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CB3898" w:rsidRPr="00A16561" w:rsidP="00A16561" w14:paraId="443FC822" w14:textId="77777777">
      <w:pPr>
        <w:pStyle w:val="Default"/>
        <w:widowControl/>
        <w:numPr>
          <w:ilvl w:val="0"/>
          <w:numId w:val="10"/>
        </w:numPr>
        <w:tabs>
          <w:tab w:val="left" w:pos="720"/>
        </w:tabs>
        <w:ind w:left="360"/>
        <w:rPr>
          <w:rFonts w:ascii="Times New Roman" w:hAnsi="Times New Roman" w:cs="Times New Roman"/>
          <w:color w:val="auto"/>
        </w:rPr>
      </w:pPr>
      <w:r w:rsidRPr="00A16561">
        <w:rPr>
          <w:rFonts w:ascii="Times New Roman" w:hAnsi="Times New Roman" w:cs="Times New Roman"/>
          <w:b/>
          <w:bCs/>
          <w:color w:val="auto"/>
        </w:rPr>
        <w:t>Requiring respondents to submit proprietary trade secret, or other confidential information unless the agency can demonstrate that it has instituted procedures to protect the information's confidentiality to the extent permitted by law.</w:t>
      </w:r>
    </w:p>
    <w:p w:rsidR="00CB3898" w:rsidRPr="00A16561" w:rsidP="00A16561" w14:paraId="01316DB1" w14:textId="77777777">
      <w:pPr>
        <w:rPr>
          <w:b/>
          <w:bCs/>
          <w:color w:val="000000"/>
        </w:rPr>
      </w:pPr>
    </w:p>
    <w:p w:rsidR="00337135" w:rsidRPr="00A16561" w:rsidP="00A16561" w14:paraId="1812B0F0" w14:textId="15F9E166">
      <w:pPr>
        <w:pStyle w:val="Default"/>
        <w:keepNext/>
        <w:widowControl/>
        <w:rPr>
          <w:rFonts w:ascii="Times New Roman" w:hAnsi="Times New Roman" w:cs="Times New Roman"/>
          <w:color w:val="auto"/>
        </w:rPr>
      </w:pPr>
      <w:r w:rsidRPr="00A16561">
        <w:rPr>
          <w:rFonts w:ascii="Times New Roman" w:hAnsi="Times New Roman" w:cs="Times New Roman"/>
          <w:color w:val="auto"/>
        </w:rPr>
        <w:t xml:space="preserve">This collection of information is consistent with the guidelines in </w:t>
      </w:r>
      <w:r w:rsidRPr="00A16561" w:rsidR="00EB338F">
        <w:rPr>
          <w:rFonts w:ascii="Times New Roman" w:hAnsi="Times New Roman" w:cs="Times New Roman"/>
          <w:color w:val="auto"/>
        </w:rPr>
        <w:t>5 CFR 1320.5</w:t>
      </w:r>
      <w:r w:rsidRPr="00A16561">
        <w:rPr>
          <w:rFonts w:ascii="Times New Roman" w:hAnsi="Times New Roman" w:cs="Times New Roman"/>
          <w:color w:val="auto"/>
        </w:rPr>
        <w:t>.</w:t>
      </w:r>
    </w:p>
    <w:p w:rsidR="00A663DB" w:rsidRPr="00A16561" w:rsidP="00A16561" w14:paraId="0E3CEBFF" w14:textId="77777777">
      <w:pPr>
        <w:pStyle w:val="Default"/>
        <w:keepNext/>
        <w:widowControl/>
        <w:rPr>
          <w:rFonts w:ascii="Times New Roman" w:hAnsi="Times New Roman" w:cs="Times New Roman"/>
          <w:color w:val="auto"/>
        </w:rPr>
      </w:pPr>
    </w:p>
    <w:p w:rsidR="00D73954" w:rsidRPr="00A16561" w:rsidP="00A16561" w14:paraId="70E60FC9" w14:textId="232014DF">
      <w:pPr>
        <w:pStyle w:val="Default"/>
        <w:keepNext/>
        <w:widowControl/>
        <w:rPr>
          <w:rFonts w:ascii="Times New Roman" w:hAnsi="Times New Roman" w:cs="Times New Roman"/>
          <w:b/>
          <w:bCs/>
        </w:rPr>
      </w:pPr>
      <w:r w:rsidRPr="00A16561">
        <w:rPr>
          <w:rFonts w:ascii="Times New Roman" w:hAnsi="Times New Roman" w:cs="Times New Roman"/>
          <w:b/>
          <w:bCs/>
          <w:color w:val="auto"/>
        </w:rPr>
        <w:t>8. I</w:t>
      </w:r>
      <w:r w:rsidRPr="00A16561">
        <w:rPr>
          <w:rFonts w:ascii="Times New Roman" w:hAnsi="Times New Roman" w:cs="Times New Roman"/>
          <w:b/>
          <w:bCs/>
        </w:rPr>
        <w:t xml:space="preserve">f applicable, provide a copy and identify the date and page number of publication in the </w:t>
      </w:r>
      <w:r w:rsidRPr="00A16561">
        <w:rPr>
          <w:rFonts w:ascii="Times New Roman" w:hAnsi="Times New Roman" w:cs="Times New Roman"/>
          <w:b/>
          <w:bCs/>
          <w:i/>
        </w:rPr>
        <w:t>Federal Register</w:t>
      </w:r>
      <w:r w:rsidRPr="00A16561">
        <w:rPr>
          <w:rFonts w:ascii="Times New Roman" w:hAnsi="Times New Roman" w:cs="Times New Roman"/>
          <w:b/>
          <w:bCs/>
        </w:rPr>
        <w:t xml:space="preserve"> of the agency's notice, required by 5 CFR 1320.8(d), soliciting comments </w:t>
      </w:r>
      <w:r w:rsidRPr="00A16561">
        <w:rPr>
          <w:rFonts w:ascii="Times New Roman" w:hAnsi="Times New Roman" w:cs="Times New Roman"/>
          <w:b/>
          <w:bCs/>
        </w:rPr>
        <w:t xml:space="preserve">on the information collection prior to submission to OMB. Summarize public comments received in response to that notice and describe actions taken by the agency in response to these comments. Specifically address comments received on cost and hour burden. </w:t>
      </w:r>
    </w:p>
    <w:p w:rsidR="00F52B09" w:rsidRPr="00A16561" w:rsidP="00A16561" w14:paraId="54E7C438" w14:textId="20CD7C44">
      <w:pPr>
        <w:pStyle w:val="Default"/>
        <w:keepNext/>
        <w:widowControl/>
        <w:rPr>
          <w:rFonts w:ascii="Times New Roman" w:hAnsi="Times New Roman" w:cs="Times New Roman"/>
        </w:rPr>
      </w:pPr>
    </w:p>
    <w:p w:rsidR="00CB3898" w:rsidRPr="00A16561" w:rsidP="00A16561" w14:paraId="14F05CA2" w14:textId="2E0019BA">
      <w:pPr>
        <w:pStyle w:val="Default"/>
        <w:keepNext/>
        <w:tabs>
          <w:tab w:val="left" w:pos="720"/>
        </w:tabs>
        <w:rPr>
          <w:rFonts w:ascii="Times New Roman" w:hAnsi="Times New Roman" w:cs="Times New Roman"/>
          <w:b/>
          <w:bCs/>
        </w:rPr>
      </w:pPr>
      <w:r w:rsidRPr="00A16561">
        <w:rPr>
          <w:rFonts w:ascii="Times New Roman" w:hAnsi="Times New Roman"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B3898" w:rsidRPr="00A16561" w:rsidP="00A16561" w14:paraId="641E722A" w14:textId="77777777">
      <w:pPr>
        <w:pStyle w:val="Default"/>
        <w:keepNext/>
        <w:tabs>
          <w:tab w:val="left" w:pos="720"/>
        </w:tabs>
        <w:ind w:hanging="360"/>
        <w:rPr>
          <w:rFonts w:ascii="Times New Roman" w:hAnsi="Times New Roman" w:cs="Times New Roman"/>
          <w:b/>
          <w:bCs/>
        </w:rPr>
      </w:pPr>
    </w:p>
    <w:p w:rsidR="00CB3898" w:rsidRPr="00A16561" w:rsidP="00A16561" w14:paraId="7F0EA1C0" w14:textId="77777777">
      <w:pPr>
        <w:pStyle w:val="Default"/>
        <w:keepNext/>
        <w:tabs>
          <w:tab w:val="left" w:pos="720"/>
        </w:tabs>
        <w:rPr>
          <w:rFonts w:ascii="Times New Roman" w:hAnsi="Times New Roman" w:cs="Times New Roman"/>
          <w:b/>
          <w:bCs/>
        </w:rPr>
      </w:pPr>
      <w:r w:rsidRPr="00A16561">
        <w:rPr>
          <w:rFonts w:ascii="Times New Roman" w:hAnsi="Times New Roman" w:cs="Times New Roman"/>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D14330" w:rsidRPr="00A16561" w:rsidP="00A16561" w14:paraId="6C44F412" w14:textId="77777777">
      <w:pPr>
        <w:rPr>
          <w:color w:val="000000"/>
        </w:rPr>
      </w:pPr>
      <w:bookmarkStart w:id="17" w:name="_Hlk165286212"/>
    </w:p>
    <w:p w:rsidR="007A6FD8" w:rsidRPr="00A16561" w:rsidP="00A16561" w14:paraId="6531B369" w14:textId="61716126">
      <w:pPr>
        <w:rPr>
          <w:color w:val="000000"/>
        </w:rPr>
      </w:pPr>
      <w:r w:rsidRPr="00A16561">
        <w:rPr>
          <w:color w:val="000000"/>
        </w:rPr>
        <w:t xml:space="preserve">In accordance with 5 CFR 1320.8(d), MSHA will publish the proposed information collection requirements in the </w:t>
      </w:r>
      <w:r w:rsidRPr="00A16561">
        <w:rPr>
          <w:i/>
          <w:iCs/>
          <w:color w:val="000000"/>
        </w:rPr>
        <w:t>Federal Register</w:t>
      </w:r>
      <w:r w:rsidRPr="00A16561">
        <w:rPr>
          <w:color w:val="000000"/>
        </w:rPr>
        <w:t xml:space="preserve">, notify the public that these information collection requirements are being reviewed in accordance with the </w:t>
      </w:r>
      <w:r w:rsidRPr="00A16561" w:rsidR="00A16561">
        <w:rPr>
          <w:color w:val="000000"/>
        </w:rPr>
        <w:t>PRA</w:t>
      </w:r>
      <w:r w:rsidRPr="00A16561">
        <w:rPr>
          <w:color w:val="000000"/>
        </w:rPr>
        <w:t>, and provid</w:t>
      </w:r>
      <w:r w:rsidRPr="00A16561" w:rsidR="00A16561">
        <w:rPr>
          <w:color w:val="000000"/>
        </w:rPr>
        <w:t>e</w:t>
      </w:r>
      <w:r w:rsidRPr="00A16561">
        <w:rPr>
          <w:color w:val="000000"/>
        </w:rPr>
        <w:t xml:space="preserve"> 60 days for the public to submit comments.</w:t>
      </w:r>
      <w:r w:rsidR="00AA0EEC">
        <w:rPr>
          <w:color w:val="000000"/>
        </w:rPr>
        <w:t xml:space="preserve"> </w:t>
      </w:r>
      <w:r w:rsidRPr="00AA0EEC" w:rsidR="00AA0EEC">
        <w:rPr>
          <w:color w:val="000000"/>
        </w:rPr>
        <w:t>MSHA published a 60-day Federal Register notice on July 3, 2025 (90 FR 29579</w:t>
      </w:r>
      <w:r w:rsidR="00AA0EEC">
        <w:rPr>
          <w:color w:val="000000"/>
        </w:rPr>
        <w:t>).</w:t>
      </w:r>
      <w:r w:rsidR="00DD6C9D">
        <w:rPr>
          <w:color w:val="000000"/>
        </w:rPr>
        <w:t xml:space="preserve"> MSHA received no comments.</w:t>
      </w:r>
    </w:p>
    <w:p w:rsidR="00F52B09" w:rsidRPr="00A16561" w:rsidP="00A16561" w14:paraId="7ED2A579" w14:textId="77777777">
      <w:pPr>
        <w:rPr>
          <w:color w:val="000000"/>
        </w:rPr>
      </w:pPr>
    </w:p>
    <w:bookmarkEnd w:id="17"/>
    <w:p w:rsidR="00CB3898" w:rsidRPr="00A16561" w:rsidP="00A16561" w14:paraId="0473FBF4" w14:textId="77777777">
      <w:pPr>
        <w:pStyle w:val="Default"/>
        <w:keepNext/>
        <w:widowControl/>
        <w:rPr>
          <w:rFonts w:ascii="Times New Roman" w:hAnsi="Times New Roman" w:cs="Times New Roman"/>
          <w:color w:val="auto"/>
        </w:rPr>
      </w:pPr>
      <w:r w:rsidRPr="00A16561">
        <w:rPr>
          <w:rFonts w:ascii="Times New Roman" w:hAnsi="Times New Roman" w:cs="Times New Roman"/>
          <w:b/>
          <w:bCs/>
          <w:color w:val="auto"/>
        </w:rPr>
        <w:t>9. Explain any decision to provide any payments or gifts to respondents, other than remuneration of contractors or grantees.</w:t>
      </w:r>
    </w:p>
    <w:p w:rsidR="00CB3898" w:rsidRPr="00A16561" w:rsidP="00A16561" w14:paraId="70958373" w14:textId="77777777">
      <w:pPr>
        <w:pStyle w:val="Default"/>
        <w:keepNext/>
        <w:widowControl/>
        <w:tabs>
          <w:tab w:val="left" w:pos="720"/>
        </w:tabs>
        <w:rPr>
          <w:rFonts w:ascii="Times New Roman" w:hAnsi="Times New Roman" w:cs="Times New Roman"/>
          <w:color w:val="auto"/>
        </w:rPr>
      </w:pPr>
    </w:p>
    <w:p w:rsidR="00CB3898" w:rsidRPr="00A16561" w:rsidP="00A16561" w14:paraId="32E0BB61" w14:textId="77777777">
      <w:pPr>
        <w:pStyle w:val="Default"/>
        <w:widowControl/>
        <w:tabs>
          <w:tab w:val="left" w:pos="720"/>
        </w:tabs>
        <w:rPr>
          <w:rFonts w:ascii="Times New Roman" w:hAnsi="Times New Roman" w:cs="Times New Roman"/>
          <w:color w:val="auto"/>
        </w:rPr>
      </w:pPr>
      <w:r w:rsidRPr="00A16561">
        <w:rPr>
          <w:rFonts w:ascii="Times New Roman" w:hAnsi="Times New Roman" w:cs="Times New Roman"/>
          <w:color w:val="auto"/>
        </w:rPr>
        <w:t>MSHA does not provide payment or gifts to respondents.</w:t>
      </w:r>
    </w:p>
    <w:p w:rsidR="00CB3898" w:rsidRPr="00A16561" w:rsidP="00A16561" w14:paraId="1CB014CE" w14:textId="77777777">
      <w:pPr>
        <w:rPr>
          <w:b/>
          <w:bCs/>
          <w:color w:val="000000"/>
        </w:rPr>
      </w:pPr>
    </w:p>
    <w:p w:rsidR="000B4350" w:rsidRPr="00A16561" w:rsidP="00A16561" w14:paraId="321D6B4A" w14:textId="5E3C7A90">
      <w:pPr>
        <w:pStyle w:val="Default"/>
        <w:keepNext/>
        <w:widowControl/>
        <w:rPr>
          <w:rFonts w:ascii="Times New Roman" w:hAnsi="Times New Roman" w:cs="Times New Roman"/>
          <w:b/>
          <w:bCs/>
          <w:color w:val="auto"/>
        </w:rPr>
      </w:pPr>
      <w:r w:rsidRPr="00A16561">
        <w:rPr>
          <w:rFonts w:ascii="Times New Roman" w:hAnsi="Times New Roman" w:cs="Times New Roman"/>
          <w:b/>
          <w:bCs/>
          <w:color w:val="auto"/>
        </w:rPr>
        <w:t>10. Describe any assurance of confidentiality provided to respondents and the basis for the assurance in statute, regulation, or agency policy.</w:t>
      </w:r>
    </w:p>
    <w:p w:rsidR="00E10BD7" w:rsidRPr="00A16561" w:rsidP="00A16561" w14:paraId="044D4616" w14:textId="77777777">
      <w:pPr>
        <w:pStyle w:val="Default"/>
        <w:keepNext/>
        <w:widowControl/>
        <w:rPr>
          <w:rFonts w:ascii="Times New Roman" w:hAnsi="Times New Roman" w:cs="Times New Roman"/>
          <w:b/>
          <w:bCs/>
          <w:color w:val="auto"/>
        </w:rPr>
      </w:pPr>
    </w:p>
    <w:p w:rsidR="00400924" w:rsidRPr="00A16561" w:rsidP="00A16561" w14:paraId="710D85FA" w14:textId="77777777">
      <w:pPr>
        <w:widowControl/>
        <w:autoSpaceDE/>
        <w:autoSpaceDN/>
        <w:adjustRightInd/>
      </w:pPr>
      <w:r w:rsidRPr="00A16561">
        <w:t xml:space="preserve">There is no assurance of confidentiality provided to respondents. </w:t>
      </w:r>
    </w:p>
    <w:p w:rsidR="00400924" w:rsidRPr="00A16561" w:rsidP="00A16561" w14:paraId="4F42B756" w14:textId="7F1C2751">
      <w:pPr>
        <w:widowControl/>
        <w:autoSpaceDE/>
        <w:autoSpaceDN/>
        <w:adjustRightInd/>
        <w:rPr>
          <w:b/>
        </w:rPr>
      </w:pPr>
      <w:r w:rsidRPr="00A16561">
        <w:t xml:space="preserve"> </w:t>
      </w:r>
    </w:p>
    <w:p w:rsidR="00797B38" w:rsidRPr="00A16561" w:rsidP="00A16561" w14:paraId="0CDF423B" w14:textId="01345237">
      <w:pPr>
        <w:widowControl/>
        <w:autoSpaceDE/>
        <w:autoSpaceDN/>
        <w:adjustRightInd/>
        <w:rPr>
          <w:b/>
        </w:rPr>
      </w:pPr>
      <w:r w:rsidRPr="00A16561">
        <w:rPr>
          <w:b/>
        </w:rPr>
        <w:t xml:space="preserve">11. Provide additional justification for any questions of a sensitive nature, such as </w:t>
      </w:r>
      <w:r w:rsidRPr="00A16561">
        <w:rPr>
          <w:b/>
          <w:w w:val="102"/>
        </w:rPr>
        <w:t xml:space="preserve">sexual </w:t>
      </w:r>
      <w:r w:rsidRPr="00A16561">
        <w:rPr>
          <w:b/>
        </w:rPr>
        <w:t xml:space="preserve">behavior and attitudes, religious beliefs, and other matters that are commonly considered private.  This justification should include the reasons why the agency considers the questions necessary, the specific uses to be made of the information, </w:t>
      </w:r>
      <w:r w:rsidRPr="00A16561">
        <w:rPr>
          <w:b/>
          <w:w w:val="106"/>
        </w:rPr>
        <w:t xml:space="preserve">the </w:t>
      </w:r>
      <w:r w:rsidRPr="00A16561">
        <w:rPr>
          <w:b/>
        </w:rPr>
        <w:t xml:space="preserve">explanation to be given to persons from whom the information is requested, and </w:t>
      </w:r>
      <w:r w:rsidRPr="00A16561">
        <w:rPr>
          <w:b/>
          <w:w w:val="103"/>
        </w:rPr>
        <w:t xml:space="preserve">any </w:t>
      </w:r>
      <w:r w:rsidRPr="00A16561">
        <w:rPr>
          <w:b/>
        </w:rPr>
        <w:t xml:space="preserve">steps to be taken to obtain their </w:t>
      </w:r>
      <w:r w:rsidRPr="00A16561">
        <w:rPr>
          <w:b/>
          <w:w w:val="103"/>
        </w:rPr>
        <w:t>consent.</w:t>
      </w:r>
    </w:p>
    <w:p w:rsidR="0048436D" w:rsidRPr="00A16561" w:rsidP="00A16561" w14:paraId="7B4E534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52C4D" w:rsidRPr="00A16561" w:rsidP="00A16561" w14:paraId="56A59EE9" w14:textId="123E4E4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16561">
        <w:t xml:space="preserve">There are no questions of a sensitive nature. </w:t>
      </w:r>
    </w:p>
    <w:p w:rsidR="00852089" w:rsidRPr="00A16561" w:rsidP="00A16561" w14:paraId="707FF6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52C4D" w:rsidRPr="00A16561" w:rsidP="00A16561" w14:paraId="25A1FAF6" w14:textId="3279F177">
      <w:pPr>
        <w:tabs>
          <w:tab w:val="left" w:pos="90"/>
        </w:tabs>
        <w:rPr>
          <w:b/>
        </w:rPr>
      </w:pPr>
      <w:r w:rsidRPr="00A16561">
        <w:rPr>
          <w:b/>
        </w:rPr>
        <w:t xml:space="preserve">12. Provide estimates of the hour burden of the collection of </w:t>
      </w:r>
      <w:r w:rsidRPr="00A16561">
        <w:rPr>
          <w:b/>
          <w:w w:val="106"/>
        </w:rPr>
        <w:t xml:space="preserve">information.  </w:t>
      </w:r>
      <w:r w:rsidRPr="00A16561">
        <w:rPr>
          <w:b/>
        </w:rPr>
        <w:t xml:space="preserve">The </w:t>
      </w:r>
      <w:r w:rsidRPr="00A16561">
        <w:rPr>
          <w:b/>
          <w:w w:val="105"/>
        </w:rPr>
        <w:t xml:space="preserve">statement </w:t>
      </w:r>
      <w:r w:rsidRPr="00A16561">
        <w:rPr>
          <w:b/>
          <w:w w:val="106"/>
        </w:rPr>
        <w:t>should:</w:t>
      </w:r>
    </w:p>
    <w:p w:rsidR="00152C4D" w:rsidRPr="00A16561" w:rsidP="00A16561" w14:paraId="5225756D" w14:textId="77777777">
      <w:pPr>
        <w:tabs>
          <w:tab w:val="left" w:pos="980"/>
        </w:tabs>
        <w:ind w:right="-20"/>
        <w:rPr>
          <w:b/>
          <w:w w:val="145"/>
        </w:rPr>
      </w:pPr>
    </w:p>
    <w:p w:rsidR="00152C4D" w:rsidRPr="00A16561" w:rsidP="00A16561" w14:paraId="0216AA12" w14:textId="6D063B8B">
      <w:pPr>
        <w:pStyle w:val="ListParagraph"/>
        <w:numPr>
          <w:ilvl w:val="0"/>
          <w:numId w:val="36"/>
        </w:numPr>
        <w:tabs>
          <w:tab w:val="left" w:pos="980"/>
        </w:tabs>
        <w:spacing w:after="0" w:line="240" w:lineRule="auto"/>
        <w:rPr>
          <w:rFonts w:ascii="Times New Roman" w:hAnsi="Times New Roman"/>
          <w:b/>
          <w:w w:val="104"/>
        </w:rPr>
      </w:pPr>
      <w:r w:rsidRPr="00A16561">
        <w:rPr>
          <w:rFonts w:ascii="Times New Roman" w:hAnsi="Times New Roman"/>
          <w:b/>
          <w:sz w:val="24"/>
          <w:szCs w:val="24"/>
        </w:rPr>
        <w:t xml:space="preserve">Indicate the number of </w:t>
      </w:r>
      <w:r w:rsidRPr="00A16561">
        <w:rPr>
          <w:rFonts w:ascii="Times New Roman" w:hAnsi="Times New Roman"/>
          <w:b/>
          <w:w w:val="106"/>
          <w:sz w:val="24"/>
          <w:szCs w:val="24"/>
        </w:rPr>
        <w:t xml:space="preserve">respondents, </w:t>
      </w:r>
      <w:r w:rsidRPr="00A16561">
        <w:rPr>
          <w:rFonts w:ascii="Times New Roman" w:hAnsi="Times New Roman"/>
          <w:b/>
          <w:sz w:val="24"/>
          <w:szCs w:val="24"/>
        </w:rPr>
        <w:t xml:space="preserve">frequency of response, annual hour </w:t>
      </w:r>
      <w:r w:rsidRPr="00A16561">
        <w:rPr>
          <w:rFonts w:ascii="Times New Roman" w:hAnsi="Times New Roman"/>
          <w:b/>
          <w:w w:val="107"/>
          <w:sz w:val="24"/>
          <w:szCs w:val="24"/>
        </w:rPr>
        <w:t xml:space="preserve">burden, and </w:t>
      </w:r>
      <w:r w:rsidRPr="00A16561">
        <w:rPr>
          <w:rFonts w:ascii="Times New Roman" w:hAnsi="Times New Roman"/>
          <w:b/>
          <w:sz w:val="24"/>
          <w:szCs w:val="24"/>
        </w:rPr>
        <w:t xml:space="preserve">an explanation of how the burden was estimated. Unless directed to do so, </w:t>
      </w:r>
      <w:r w:rsidRPr="00A16561">
        <w:rPr>
          <w:rFonts w:ascii="Times New Roman" w:hAnsi="Times New Roman"/>
          <w:b/>
          <w:sz w:val="24"/>
          <w:szCs w:val="24"/>
        </w:rPr>
        <w:t xml:space="preserve">agencies should not conduct special surveys to obtain information on which to base hour </w:t>
      </w:r>
      <w:r w:rsidRPr="00A16561">
        <w:rPr>
          <w:rFonts w:ascii="Times New Roman" w:hAnsi="Times New Roman"/>
          <w:b/>
          <w:w w:val="107"/>
          <w:sz w:val="24"/>
          <w:szCs w:val="24"/>
        </w:rPr>
        <w:t xml:space="preserve">burden </w:t>
      </w:r>
      <w:r w:rsidRPr="00A16561">
        <w:rPr>
          <w:rFonts w:ascii="Times New Roman" w:hAnsi="Times New Roman"/>
          <w:b/>
          <w:sz w:val="24"/>
          <w:szCs w:val="24"/>
        </w:rPr>
        <w:t xml:space="preserve">estimates. Consultation with a sample (fewer than 10) of potential respondents is desirable.  </w:t>
      </w:r>
      <w:r w:rsidRPr="00A16561">
        <w:rPr>
          <w:rFonts w:ascii="Times New Roman" w:hAnsi="Times New Roman"/>
          <w:w w:val="168"/>
          <w:sz w:val="24"/>
          <w:szCs w:val="24"/>
        </w:rPr>
        <w:t>If</w:t>
      </w:r>
      <w:r w:rsidRPr="00A16561">
        <w:rPr>
          <w:rFonts w:ascii="Times New Roman" w:hAnsi="Times New Roman"/>
          <w:b/>
          <w:w w:val="168"/>
          <w:sz w:val="24"/>
          <w:szCs w:val="24"/>
        </w:rPr>
        <w:t xml:space="preserve"> </w:t>
      </w:r>
      <w:r w:rsidRPr="00A16561">
        <w:rPr>
          <w:rFonts w:ascii="Times New Roman" w:hAnsi="Times New Roman"/>
          <w:b/>
          <w:sz w:val="24"/>
          <w:szCs w:val="24"/>
        </w:rPr>
        <w:t xml:space="preserve">the hour burden on respondents is expected to vary widely because of differences in activity, size, or complexity, show the range of estimated hour </w:t>
      </w:r>
      <w:r w:rsidRPr="00A16561">
        <w:rPr>
          <w:rFonts w:ascii="Times New Roman" w:hAnsi="Times New Roman"/>
          <w:b/>
          <w:w w:val="108"/>
          <w:sz w:val="24"/>
          <w:szCs w:val="24"/>
        </w:rPr>
        <w:t xml:space="preserve">burden, </w:t>
      </w:r>
      <w:r w:rsidRPr="00A16561">
        <w:rPr>
          <w:rFonts w:ascii="Times New Roman" w:hAnsi="Times New Roman"/>
          <w:b/>
          <w:w w:val="107"/>
          <w:sz w:val="24"/>
          <w:szCs w:val="24"/>
        </w:rPr>
        <w:t>an</w:t>
      </w:r>
      <w:r w:rsidRPr="00A16561">
        <w:rPr>
          <w:rFonts w:ascii="Times New Roman" w:hAnsi="Times New Roman"/>
          <w:b/>
          <w:w w:val="108"/>
          <w:sz w:val="24"/>
          <w:szCs w:val="24"/>
        </w:rPr>
        <w:t>d</w:t>
      </w:r>
      <w:r w:rsidRPr="00A16561">
        <w:rPr>
          <w:rFonts w:ascii="Times New Roman" w:hAnsi="Times New Roman"/>
          <w:b/>
          <w:sz w:val="24"/>
          <w:szCs w:val="24"/>
        </w:rPr>
        <w:t xml:space="preserve"> explain the reasons for the variance.  Generally, estimates should not </w:t>
      </w:r>
      <w:r w:rsidRPr="00A16561">
        <w:rPr>
          <w:rFonts w:ascii="Times New Roman" w:hAnsi="Times New Roman"/>
          <w:b/>
          <w:w w:val="103"/>
          <w:sz w:val="24"/>
          <w:szCs w:val="24"/>
        </w:rPr>
        <w:t>include</w:t>
      </w:r>
      <w:r w:rsidRPr="00A16561">
        <w:rPr>
          <w:rFonts w:ascii="Times New Roman" w:hAnsi="Times New Roman"/>
          <w:b/>
          <w:sz w:val="24"/>
          <w:szCs w:val="24"/>
        </w:rPr>
        <w:t xml:space="preserve"> burden hours for customary and usual business </w:t>
      </w:r>
      <w:r w:rsidRPr="00A16561">
        <w:rPr>
          <w:rFonts w:ascii="Times New Roman" w:hAnsi="Times New Roman"/>
          <w:b/>
          <w:w w:val="104"/>
          <w:sz w:val="24"/>
          <w:szCs w:val="24"/>
        </w:rPr>
        <w:t>practices.</w:t>
      </w:r>
    </w:p>
    <w:p w:rsidR="00152C4D" w:rsidRPr="00A16561" w:rsidP="00A16561" w14:paraId="3A87355A" w14:textId="77777777">
      <w:pPr>
        <w:tabs>
          <w:tab w:val="left" w:pos="980"/>
        </w:tabs>
        <w:ind w:left="643" w:right="-20"/>
        <w:rPr>
          <w:b/>
          <w:w w:val="166"/>
        </w:rPr>
      </w:pPr>
    </w:p>
    <w:p w:rsidR="00152C4D" w:rsidRPr="00A16561" w:rsidP="00A16561" w14:paraId="70169C1B" w14:textId="35BC48BD">
      <w:pPr>
        <w:pStyle w:val="ListParagraph"/>
        <w:numPr>
          <w:ilvl w:val="0"/>
          <w:numId w:val="36"/>
        </w:numPr>
        <w:tabs>
          <w:tab w:val="left" w:pos="980"/>
        </w:tabs>
        <w:spacing w:after="0" w:line="240" w:lineRule="auto"/>
        <w:rPr>
          <w:rFonts w:ascii="Times New Roman" w:hAnsi="Times New Roman"/>
          <w:b/>
          <w:w w:val="104"/>
        </w:rPr>
      </w:pPr>
      <w:r w:rsidRPr="00A16561">
        <w:rPr>
          <w:rFonts w:ascii="Times New Roman" w:hAnsi="Times New Roman"/>
          <w:b/>
          <w:sz w:val="24"/>
          <w:szCs w:val="24"/>
        </w:rPr>
        <w:t>If this</w:t>
      </w:r>
      <w:r w:rsidRPr="00A16561">
        <w:rPr>
          <w:rFonts w:ascii="Times New Roman" w:hAnsi="Times New Roman"/>
          <w:b/>
          <w:sz w:val="24"/>
          <w:szCs w:val="24"/>
        </w:rPr>
        <w:t xml:space="preserve"> request for approval covers more than one form, provide separate </w:t>
      </w:r>
      <w:r w:rsidRPr="00A16561">
        <w:rPr>
          <w:rFonts w:ascii="Times New Roman" w:hAnsi="Times New Roman"/>
          <w:b/>
          <w:w w:val="108"/>
          <w:sz w:val="24"/>
          <w:szCs w:val="24"/>
        </w:rPr>
        <w:t xml:space="preserve">hour </w:t>
      </w:r>
      <w:r w:rsidRPr="00A16561">
        <w:rPr>
          <w:rFonts w:ascii="Times New Roman" w:hAnsi="Times New Roman"/>
          <w:b/>
          <w:sz w:val="24"/>
          <w:szCs w:val="24"/>
        </w:rPr>
        <w:t>burden estimates for each form and aggregate the hour burdens.</w:t>
      </w:r>
    </w:p>
    <w:p w:rsidR="00152C4D" w:rsidRPr="00A16561" w:rsidP="00A16561" w14:paraId="2E6FA38F" w14:textId="77777777">
      <w:pPr>
        <w:tabs>
          <w:tab w:val="left" w:pos="980"/>
        </w:tabs>
        <w:ind w:left="643" w:right="182" w:firstLine="5"/>
        <w:rPr>
          <w:b/>
        </w:rPr>
      </w:pPr>
    </w:p>
    <w:p w:rsidR="00152C4D" w:rsidRPr="00A16561" w:rsidP="00A16561" w14:paraId="0BE26039" w14:textId="348AFC2D">
      <w:pPr>
        <w:pStyle w:val="ListParagraph"/>
        <w:numPr>
          <w:ilvl w:val="0"/>
          <w:numId w:val="36"/>
        </w:numPr>
        <w:tabs>
          <w:tab w:val="left" w:pos="90"/>
          <w:tab w:val="left" w:pos="980"/>
        </w:tabs>
        <w:spacing w:after="0" w:line="240" w:lineRule="auto"/>
        <w:rPr>
          <w:rFonts w:ascii="Times New Roman" w:hAnsi="Times New Roman"/>
          <w:b/>
          <w:w w:val="102"/>
        </w:rPr>
      </w:pPr>
      <w:r w:rsidRPr="00A16561">
        <w:rPr>
          <w:rFonts w:ascii="Times New Roman" w:hAnsi="Times New Roman"/>
          <w:b/>
          <w:sz w:val="24"/>
          <w:szCs w:val="24"/>
        </w:rPr>
        <w:t xml:space="preserve">Provide estimates of annualized cost to respondents for the hour burdens </w:t>
      </w:r>
      <w:r w:rsidRPr="00A16561">
        <w:rPr>
          <w:rFonts w:ascii="Times New Roman" w:hAnsi="Times New Roman"/>
          <w:b/>
          <w:w w:val="108"/>
          <w:sz w:val="24"/>
          <w:szCs w:val="24"/>
        </w:rPr>
        <w:t xml:space="preserve">for </w:t>
      </w:r>
      <w:r w:rsidRPr="00A16561">
        <w:rPr>
          <w:rFonts w:ascii="Times New Roman" w:hAnsi="Times New Roman"/>
          <w:b/>
          <w:sz w:val="24"/>
          <w:szCs w:val="24"/>
        </w:rPr>
        <w:t xml:space="preserve">collections of </w:t>
      </w:r>
      <w:r w:rsidRPr="00A16561">
        <w:rPr>
          <w:rFonts w:ascii="Times New Roman" w:hAnsi="Times New Roman"/>
          <w:b/>
          <w:w w:val="106"/>
          <w:sz w:val="24"/>
          <w:szCs w:val="24"/>
        </w:rPr>
        <w:t xml:space="preserve">information, </w:t>
      </w:r>
      <w:r w:rsidRPr="00A16561">
        <w:rPr>
          <w:rFonts w:ascii="Times New Roman" w:hAnsi="Times New Roman"/>
          <w:b/>
          <w:sz w:val="24"/>
          <w:szCs w:val="24"/>
        </w:rPr>
        <w:t xml:space="preserve">identifying and using </w:t>
      </w:r>
      <w:r w:rsidRPr="00A16561">
        <w:rPr>
          <w:rFonts w:ascii="Times New Roman" w:hAnsi="Times New Roman"/>
          <w:b/>
          <w:w w:val="110"/>
          <w:sz w:val="24"/>
          <w:szCs w:val="24"/>
        </w:rPr>
        <w:t xml:space="preserve">appropriate </w:t>
      </w:r>
      <w:r w:rsidRPr="00A16561">
        <w:rPr>
          <w:rFonts w:ascii="Times New Roman" w:hAnsi="Times New Roman"/>
          <w:b/>
          <w:sz w:val="24"/>
          <w:szCs w:val="24"/>
        </w:rPr>
        <w:t xml:space="preserve">wage rate categories.  </w:t>
      </w:r>
      <w:r w:rsidRPr="00A16561">
        <w:rPr>
          <w:rFonts w:ascii="Times New Roman" w:hAnsi="Times New Roman"/>
          <w:b/>
          <w:w w:val="106"/>
          <w:sz w:val="24"/>
          <w:szCs w:val="24"/>
        </w:rPr>
        <w:t xml:space="preserve">The </w:t>
      </w:r>
      <w:r w:rsidRPr="00A16561">
        <w:rPr>
          <w:rFonts w:ascii="Times New Roman" w:hAnsi="Times New Roman"/>
          <w:b/>
          <w:sz w:val="24"/>
          <w:szCs w:val="24"/>
        </w:rPr>
        <w:t xml:space="preserve">cost of contracting out or paying outside parties for information collection </w:t>
      </w:r>
      <w:r w:rsidRPr="00A16561">
        <w:rPr>
          <w:rFonts w:ascii="Times New Roman" w:hAnsi="Times New Roman"/>
          <w:b/>
          <w:w w:val="101"/>
          <w:sz w:val="24"/>
          <w:szCs w:val="24"/>
        </w:rPr>
        <w:t xml:space="preserve">activities </w:t>
      </w:r>
      <w:r w:rsidRPr="00A16561">
        <w:rPr>
          <w:rFonts w:ascii="Times New Roman" w:hAnsi="Times New Roman"/>
          <w:b/>
          <w:sz w:val="24"/>
          <w:szCs w:val="24"/>
        </w:rPr>
        <w:t xml:space="preserve">should not be included here.  Instead, this cost should be included in Item </w:t>
      </w:r>
      <w:r w:rsidRPr="00A16561">
        <w:rPr>
          <w:rFonts w:ascii="Times New Roman" w:hAnsi="Times New Roman"/>
          <w:b/>
          <w:w w:val="102"/>
          <w:sz w:val="24"/>
          <w:szCs w:val="24"/>
        </w:rPr>
        <w:t>13.</w:t>
      </w:r>
    </w:p>
    <w:p w:rsidR="00152C4D" w:rsidRPr="00A16561" w:rsidP="00A16561" w14:paraId="0DF0C8AF" w14:textId="77777777">
      <w:pPr>
        <w:tabs>
          <w:tab w:val="left" w:pos="90"/>
          <w:tab w:val="left" w:pos="980"/>
        </w:tabs>
        <w:ind w:left="90" w:right="182" w:hanging="90"/>
        <w:rPr>
          <w:b/>
        </w:rPr>
      </w:pPr>
    </w:p>
    <w:p w:rsidR="003D7AE8" w:rsidRPr="00A16561" w:rsidP="00A16561" w14:paraId="0A97C5CA" w14:textId="77777777">
      <w:pPr>
        <w:rPr>
          <w:b/>
          <w:bCs/>
          <w:iCs/>
        </w:rPr>
      </w:pPr>
      <w:r w:rsidRPr="00A16561">
        <w:rPr>
          <w:b/>
          <w:bCs/>
          <w:iCs/>
        </w:rPr>
        <w:t>Respondents</w:t>
      </w:r>
    </w:p>
    <w:p w:rsidR="003D7AE8" w:rsidRPr="00A16561" w:rsidP="00A16561" w14:paraId="7B8B87E8" w14:textId="77777777">
      <w:pPr>
        <w:contextualSpacing/>
      </w:pPr>
      <w:bookmarkStart w:id="18" w:name="_Hlk171945184"/>
    </w:p>
    <w:p w:rsidR="003D7AE8" w:rsidRPr="00A16561" w:rsidP="00A16561" w14:paraId="32E9D1F5" w14:textId="0C7B8761">
      <w:r w:rsidRPr="00A16561">
        <w:t>All information related to quantities and inspection rates are estimated by MSHA’s Headquarters Enforcement Division based on field experience with different types of mining operations, sizes of mines, and the frequency of inspections dictated by statute. Mine operators provide MSHA Headquarters Enforcement Division</w:t>
      </w:r>
      <w:r w:rsidRPr="00A16561" w:rsidR="00A16561">
        <w:t xml:space="preserve"> with</w:t>
      </w:r>
      <w:r w:rsidRPr="00A16561">
        <w:t xml:space="preserve"> the number of mines and employment, and from this information MSHA tracks the number of active and inactive mines and mine types throughout the United States. </w:t>
      </w:r>
    </w:p>
    <w:bookmarkEnd w:id="18"/>
    <w:p w:rsidR="00152C4D" w:rsidRPr="00A16561" w:rsidP="00A16561" w14:paraId="58225A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E39D5" w:rsidRPr="00A16561" w:rsidP="00A16561" w14:paraId="7DFA6F38" w14:textId="3B523B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16561">
        <w:t xml:space="preserve">Based on MSHA internal data, there were </w:t>
      </w:r>
      <w:r w:rsidRPr="00A16561" w:rsidR="00C04D49">
        <w:t>15</w:t>
      </w:r>
      <w:r w:rsidRPr="00A16561" w:rsidR="002456FF">
        <w:t>2</w:t>
      </w:r>
      <w:r w:rsidRPr="00A16561" w:rsidR="00C04D49">
        <w:t xml:space="preserve"> underground </w:t>
      </w:r>
      <w:r w:rsidRPr="00A16561">
        <w:t>coal mines in calendar year 2024</w:t>
      </w:r>
      <w:r w:rsidRPr="00A16561" w:rsidR="003B12B4">
        <w:t xml:space="preserve"> </w:t>
      </w:r>
      <w:r w:rsidRPr="00A16561" w:rsidR="003D7AE8">
        <w:t xml:space="preserve">potentially </w:t>
      </w:r>
      <w:r w:rsidRPr="00A16561">
        <w:t>affected by this information collection request</w:t>
      </w:r>
      <w:r w:rsidRPr="00A16561" w:rsidR="00A81A39">
        <w:t>. Of which,</w:t>
      </w:r>
      <w:r w:rsidRPr="00A16561" w:rsidR="003848DE">
        <w:t xml:space="preserve"> </w:t>
      </w:r>
      <w:r w:rsidRPr="00A16561" w:rsidR="003848DE">
        <w:rPr>
          <w:rFonts w:eastAsia="Calibri"/>
        </w:rPr>
        <w:t xml:space="preserve">3 </w:t>
      </w:r>
      <w:r w:rsidRPr="00A16561" w:rsidR="00A81A39">
        <w:rPr>
          <w:rFonts w:eastAsia="Calibri"/>
        </w:rPr>
        <w:t xml:space="preserve">underground </w:t>
      </w:r>
      <w:r w:rsidRPr="00A16561" w:rsidR="003848DE">
        <w:rPr>
          <w:rFonts w:eastAsia="Calibri"/>
        </w:rPr>
        <w:t>coal mine operators reported using 11 HVCMMs.</w:t>
      </w:r>
    </w:p>
    <w:p w:rsidR="00152C4D" w:rsidRPr="00A16561" w:rsidP="00A16561" w14:paraId="54CF58C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bookmarkEnd w:id="0"/>
    <w:p w:rsidR="003848DE" w:rsidRPr="00A16561" w:rsidP="00A16561" w14:paraId="49835F98" w14:textId="5E292090">
      <w:pPr>
        <w:autoSpaceDE/>
        <w:autoSpaceDN/>
        <w:adjustRightInd/>
        <w:ind w:right="-20"/>
        <w:rPr>
          <w:rFonts w:eastAsia="Calibri"/>
          <w:b/>
          <w:bCs/>
        </w:rPr>
      </w:pPr>
      <w:r w:rsidRPr="00A16561">
        <w:rPr>
          <w:rFonts w:eastAsia="Calibri"/>
          <w:b/>
          <w:bCs/>
        </w:rPr>
        <w:t>Wage Rate Determinations</w:t>
      </w:r>
      <w:r>
        <w:rPr>
          <w:rStyle w:val="FootnoteReference"/>
          <w:b/>
        </w:rPr>
        <w:footnoteReference w:id="3"/>
      </w:r>
    </w:p>
    <w:p w:rsidR="003848DE" w:rsidRPr="00A16561" w:rsidP="00A16561" w14:paraId="0A16698C" w14:textId="77777777">
      <w:pPr>
        <w:autoSpaceDE/>
        <w:autoSpaceDN/>
        <w:adjustRightInd/>
        <w:ind w:right="-20"/>
        <w:rPr>
          <w:rFonts w:eastAsia="Calibri"/>
        </w:rPr>
      </w:pPr>
    </w:p>
    <w:p w:rsidR="003848DE" w:rsidRPr="00A16561" w:rsidP="00A16561" w14:paraId="1FD5D295" w14:textId="77777777">
      <w:bookmarkStart w:id="21" w:name="_Hlk189054988"/>
      <w:r w:rsidRPr="00A16561">
        <w:t>MSHA uses data from the May 2023 Occupational Employment and Wage Statistics (OEWS) published by the Bureau of Labor Statistics (BLS) for hourly wage rates</w:t>
      </w:r>
      <w:r>
        <w:rPr>
          <w:vertAlign w:val="superscript"/>
        </w:rPr>
        <w:footnoteReference w:id="4"/>
      </w:r>
      <w:r w:rsidRPr="00A16561">
        <w:t xml:space="preserve"> and adjusts the rates for </w:t>
      </w:r>
      <w:r w:rsidRPr="00A16561">
        <w:t>benefits,</w:t>
      </w:r>
      <w:r>
        <w:rPr>
          <w:vertAlign w:val="superscript"/>
        </w:rPr>
        <w:footnoteReference w:id="5"/>
      </w:r>
      <w:r w:rsidRPr="00A16561">
        <w:t xml:space="preserve"> wage inflation,</w:t>
      </w:r>
      <w:r>
        <w:rPr>
          <w:vertAlign w:val="superscript"/>
        </w:rPr>
        <w:footnoteReference w:id="6"/>
      </w:r>
      <w:r w:rsidRPr="00A16561">
        <w:t xml:space="preserve"> and overhead costs.</w:t>
      </w:r>
      <w:r>
        <w:rPr>
          <w:rStyle w:val="FootnoteReference"/>
        </w:rPr>
        <w:footnoteReference w:id="7"/>
      </w:r>
      <w:r w:rsidRPr="00A16561">
        <w:t xml:space="preserve"> The occupations listed below in Table 12-1 are those that were determined to be relevant for the cost calculations.</w:t>
      </w:r>
    </w:p>
    <w:bookmarkEnd w:id="21"/>
    <w:p w:rsidR="003848DE" w:rsidRPr="00A16561" w:rsidP="00A16561" w14:paraId="6F2C9BAE" w14:textId="77777777">
      <w:pPr>
        <w:autoSpaceDE/>
        <w:autoSpaceDN/>
        <w:adjustRightInd/>
        <w:ind w:right="-20"/>
        <w:rPr>
          <w:rFonts w:eastAsia="Calibri"/>
        </w:rPr>
      </w:pPr>
    </w:p>
    <w:p w:rsidR="003848DE" w:rsidRPr="00A16561" w:rsidP="00A16561" w14:paraId="66EF08A1" w14:textId="77777777">
      <w:pPr>
        <w:ind w:right="720"/>
        <w:rPr>
          <w:b/>
          <w:bCs/>
        </w:rPr>
      </w:pPr>
      <w:bookmarkStart w:id="23" w:name="_Hlk114568286"/>
      <w:r w:rsidRPr="00A16561">
        <w:rPr>
          <w:b/>
          <w:bCs/>
          <w:iCs/>
        </w:rPr>
        <w:t>Table 12-1. Hourly Wage Rates</w:t>
      </w:r>
    </w:p>
    <w:tbl>
      <w:tblPr>
        <w:tblStyle w:val="TableGrid"/>
        <w:tblW w:w="0" w:type="auto"/>
        <w:tblLook w:val="04A0"/>
      </w:tblPr>
      <w:tblGrid>
        <w:gridCol w:w="1567"/>
        <w:gridCol w:w="871"/>
        <w:gridCol w:w="1029"/>
        <w:gridCol w:w="1134"/>
        <w:gridCol w:w="1182"/>
        <w:gridCol w:w="1634"/>
        <w:gridCol w:w="1933"/>
      </w:tblGrid>
      <w:tr w14:paraId="78AA4235" w14:textId="77777777" w:rsidTr="005154C9">
        <w:tblPrEx>
          <w:tblW w:w="0" w:type="auto"/>
          <w:tblLook w:val="04A0"/>
        </w:tblPrEx>
        <w:tc>
          <w:tcPr>
            <w:tcW w:w="1567" w:type="dxa"/>
            <w:shd w:val="clear" w:color="auto" w:fill="8EAADB" w:themeFill="accent1" w:themeFillTint="99"/>
            <w:vAlign w:val="center"/>
          </w:tcPr>
          <w:bookmarkEnd w:id="23"/>
          <w:p w:rsidR="003848DE" w:rsidRPr="00A16561" w:rsidP="00A16561" w14:paraId="7B2AF26F" w14:textId="77777777">
            <w:pPr>
              <w:rPr>
                <w:iCs/>
                <w:sz w:val="20"/>
                <w:szCs w:val="20"/>
              </w:rPr>
            </w:pPr>
            <w:r w:rsidRPr="00A16561">
              <w:rPr>
                <w:iCs/>
                <w:sz w:val="20"/>
                <w:szCs w:val="20"/>
              </w:rPr>
              <w:t>Occupation</w:t>
            </w:r>
          </w:p>
        </w:tc>
        <w:tc>
          <w:tcPr>
            <w:tcW w:w="871" w:type="dxa"/>
            <w:shd w:val="clear" w:color="auto" w:fill="8EAADB" w:themeFill="accent1" w:themeFillTint="99"/>
            <w:vAlign w:val="center"/>
          </w:tcPr>
          <w:p w:rsidR="003848DE" w:rsidRPr="00A16561" w:rsidP="00A16561" w14:paraId="39A391D9" w14:textId="77777777">
            <w:pPr>
              <w:jc w:val="center"/>
              <w:rPr>
                <w:iCs/>
                <w:sz w:val="20"/>
                <w:szCs w:val="20"/>
              </w:rPr>
            </w:pPr>
            <w:r w:rsidRPr="00A16561">
              <w:rPr>
                <w:iCs/>
                <w:sz w:val="20"/>
                <w:szCs w:val="20"/>
              </w:rPr>
              <w:t>NAICS Code</w:t>
            </w:r>
          </w:p>
        </w:tc>
        <w:tc>
          <w:tcPr>
            <w:tcW w:w="1029" w:type="dxa"/>
            <w:shd w:val="clear" w:color="auto" w:fill="8EAADB" w:themeFill="accent1" w:themeFillTint="99"/>
            <w:vAlign w:val="center"/>
          </w:tcPr>
          <w:p w:rsidR="003848DE" w:rsidRPr="00A16561" w:rsidP="00A16561" w14:paraId="531EFFAF" w14:textId="77777777">
            <w:pPr>
              <w:jc w:val="center"/>
              <w:rPr>
                <w:iCs/>
                <w:sz w:val="20"/>
                <w:szCs w:val="20"/>
              </w:rPr>
            </w:pPr>
            <w:r w:rsidRPr="00A16561">
              <w:rPr>
                <w:iCs/>
                <w:sz w:val="20"/>
                <w:szCs w:val="20"/>
              </w:rPr>
              <w:t>Mean Wage Rate</w:t>
            </w:r>
          </w:p>
        </w:tc>
        <w:tc>
          <w:tcPr>
            <w:tcW w:w="1134" w:type="dxa"/>
            <w:shd w:val="clear" w:color="auto" w:fill="8EAADB" w:themeFill="accent1" w:themeFillTint="99"/>
            <w:vAlign w:val="center"/>
          </w:tcPr>
          <w:p w:rsidR="003848DE" w:rsidRPr="00A16561" w:rsidP="00A16561" w14:paraId="6743ABD9" w14:textId="77777777">
            <w:pPr>
              <w:jc w:val="center"/>
              <w:rPr>
                <w:iCs/>
                <w:sz w:val="20"/>
                <w:szCs w:val="20"/>
              </w:rPr>
            </w:pPr>
            <w:r w:rsidRPr="00A16561">
              <w:rPr>
                <w:iCs/>
                <w:sz w:val="20"/>
                <w:szCs w:val="20"/>
              </w:rPr>
              <w:t>Benefit Multiplier</w:t>
            </w:r>
          </w:p>
        </w:tc>
        <w:tc>
          <w:tcPr>
            <w:tcW w:w="1182" w:type="dxa"/>
            <w:shd w:val="clear" w:color="auto" w:fill="8EAADB" w:themeFill="accent1" w:themeFillTint="99"/>
            <w:vAlign w:val="center"/>
          </w:tcPr>
          <w:p w:rsidR="003848DE" w:rsidRPr="00A16561" w:rsidP="00A16561" w14:paraId="2A24846B" w14:textId="77777777">
            <w:pPr>
              <w:jc w:val="center"/>
              <w:rPr>
                <w:iCs/>
                <w:sz w:val="20"/>
                <w:szCs w:val="20"/>
              </w:rPr>
            </w:pPr>
            <w:r w:rsidRPr="00A16561">
              <w:rPr>
                <w:iCs/>
                <w:sz w:val="20"/>
                <w:szCs w:val="20"/>
              </w:rPr>
              <w:t>Inflation Multiplier</w:t>
            </w:r>
          </w:p>
        </w:tc>
        <w:tc>
          <w:tcPr>
            <w:tcW w:w="1634" w:type="dxa"/>
            <w:shd w:val="clear" w:color="auto" w:fill="8EAADB" w:themeFill="accent1" w:themeFillTint="99"/>
            <w:vAlign w:val="center"/>
          </w:tcPr>
          <w:p w:rsidR="003848DE" w:rsidRPr="00A16561" w:rsidP="00A16561" w14:paraId="55F8B584" w14:textId="77777777">
            <w:pPr>
              <w:jc w:val="center"/>
              <w:rPr>
                <w:iCs/>
                <w:sz w:val="20"/>
                <w:szCs w:val="20"/>
              </w:rPr>
            </w:pPr>
            <w:r w:rsidRPr="00A16561">
              <w:rPr>
                <w:iCs/>
                <w:sz w:val="20"/>
                <w:szCs w:val="20"/>
              </w:rPr>
              <w:t>Overhead Cost Multiplier</w:t>
            </w:r>
          </w:p>
        </w:tc>
        <w:tc>
          <w:tcPr>
            <w:tcW w:w="1933" w:type="dxa"/>
            <w:shd w:val="clear" w:color="auto" w:fill="8EAADB" w:themeFill="accent1" w:themeFillTint="99"/>
            <w:vAlign w:val="center"/>
          </w:tcPr>
          <w:p w:rsidR="003848DE" w:rsidRPr="00A16561" w:rsidP="00A16561" w14:paraId="41586F15" w14:textId="77777777">
            <w:pPr>
              <w:jc w:val="center"/>
              <w:rPr>
                <w:iCs/>
                <w:sz w:val="20"/>
                <w:szCs w:val="20"/>
              </w:rPr>
            </w:pPr>
            <w:r w:rsidRPr="00A16561">
              <w:rPr>
                <w:iCs/>
                <w:sz w:val="20"/>
                <w:szCs w:val="20"/>
              </w:rPr>
              <w:t>Loaded Hourly Wage Rate</w:t>
            </w:r>
          </w:p>
        </w:tc>
      </w:tr>
      <w:tr w14:paraId="0ECBD7ED" w14:textId="77777777" w:rsidTr="005154C9">
        <w:tblPrEx>
          <w:tblW w:w="0" w:type="auto"/>
          <w:tblLook w:val="04A0"/>
        </w:tblPrEx>
        <w:tc>
          <w:tcPr>
            <w:tcW w:w="1567" w:type="dxa"/>
            <w:shd w:val="clear" w:color="auto" w:fill="8EAADB" w:themeFill="accent1" w:themeFillTint="99"/>
            <w:vAlign w:val="center"/>
          </w:tcPr>
          <w:p w:rsidR="003848DE" w:rsidRPr="00A16561" w:rsidP="00A16561" w14:paraId="36BAD355" w14:textId="77777777">
            <w:pPr>
              <w:jc w:val="center"/>
              <w:rPr>
                <w:iCs/>
                <w:sz w:val="20"/>
                <w:szCs w:val="20"/>
              </w:rPr>
            </w:pPr>
          </w:p>
        </w:tc>
        <w:tc>
          <w:tcPr>
            <w:tcW w:w="871" w:type="dxa"/>
            <w:shd w:val="clear" w:color="auto" w:fill="8EAADB" w:themeFill="accent1" w:themeFillTint="99"/>
            <w:vAlign w:val="center"/>
          </w:tcPr>
          <w:p w:rsidR="003848DE" w:rsidRPr="00A16561" w:rsidP="00A16561" w14:paraId="384A22E5" w14:textId="77777777">
            <w:pPr>
              <w:jc w:val="center"/>
              <w:rPr>
                <w:iCs/>
                <w:sz w:val="20"/>
                <w:szCs w:val="20"/>
              </w:rPr>
            </w:pPr>
          </w:p>
        </w:tc>
        <w:tc>
          <w:tcPr>
            <w:tcW w:w="1029" w:type="dxa"/>
            <w:shd w:val="clear" w:color="auto" w:fill="8EAADB" w:themeFill="accent1" w:themeFillTint="99"/>
          </w:tcPr>
          <w:p w:rsidR="003848DE" w:rsidRPr="00A16561" w:rsidP="00A16561" w14:paraId="0F297BD1" w14:textId="77777777">
            <w:pPr>
              <w:jc w:val="center"/>
              <w:rPr>
                <w:iCs/>
                <w:sz w:val="20"/>
                <w:szCs w:val="20"/>
              </w:rPr>
            </w:pPr>
            <w:r w:rsidRPr="00A16561">
              <w:rPr>
                <w:iCs/>
                <w:sz w:val="20"/>
                <w:szCs w:val="20"/>
              </w:rPr>
              <w:t>A</w:t>
            </w:r>
          </w:p>
        </w:tc>
        <w:tc>
          <w:tcPr>
            <w:tcW w:w="1134" w:type="dxa"/>
            <w:shd w:val="clear" w:color="auto" w:fill="8EAADB" w:themeFill="accent1" w:themeFillTint="99"/>
          </w:tcPr>
          <w:p w:rsidR="003848DE" w:rsidRPr="00A16561" w:rsidP="00A16561" w14:paraId="457FC57C" w14:textId="77777777">
            <w:pPr>
              <w:jc w:val="center"/>
              <w:rPr>
                <w:iCs/>
                <w:sz w:val="20"/>
                <w:szCs w:val="20"/>
              </w:rPr>
            </w:pPr>
            <w:r w:rsidRPr="00A16561">
              <w:rPr>
                <w:iCs/>
                <w:sz w:val="20"/>
                <w:szCs w:val="20"/>
              </w:rPr>
              <w:t>B</w:t>
            </w:r>
          </w:p>
        </w:tc>
        <w:tc>
          <w:tcPr>
            <w:tcW w:w="1182" w:type="dxa"/>
            <w:shd w:val="clear" w:color="auto" w:fill="8EAADB" w:themeFill="accent1" w:themeFillTint="99"/>
          </w:tcPr>
          <w:p w:rsidR="003848DE" w:rsidRPr="00A16561" w:rsidP="00A16561" w14:paraId="51C8079A" w14:textId="77777777">
            <w:pPr>
              <w:jc w:val="center"/>
              <w:rPr>
                <w:iCs/>
                <w:sz w:val="20"/>
                <w:szCs w:val="20"/>
              </w:rPr>
            </w:pPr>
            <w:r w:rsidRPr="00A16561">
              <w:rPr>
                <w:iCs/>
                <w:sz w:val="20"/>
                <w:szCs w:val="20"/>
              </w:rPr>
              <w:t>C</w:t>
            </w:r>
          </w:p>
        </w:tc>
        <w:tc>
          <w:tcPr>
            <w:tcW w:w="1634" w:type="dxa"/>
            <w:shd w:val="clear" w:color="auto" w:fill="8EAADB" w:themeFill="accent1" w:themeFillTint="99"/>
          </w:tcPr>
          <w:p w:rsidR="003848DE" w:rsidRPr="00A16561" w:rsidP="00A16561" w14:paraId="01D88BD2" w14:textId="77777777">
            <w:pPr>
              <w:jc w:val="center"/>
              <w:rPr>
                <w:iCs/>
                <w:sz w:val="20"/>
                <w:szCs w:val="20"/>
              </w:rPr>
            </w:pPr>
            <w:r w:rsidRPr="00A16561">
              <w:rPr>
                <w:iCs/>
                <w:sz w:val="20"/>
                <w:szCs w:val="20"/>
              </w:rPr>
              <w:t>D</w:t>
            </w:r>
          </w:p>
        </w:tc>
        <w:tc>
          <w:tcPr>
            <w:tcW w:w="1933" w:type="dxa"/>
            <w:shd w:val="clear" w:color="auto" w:fill="8EAADB" w:themeFill="accent1" w:themeFillTint="99"/>
          </w:tcPr>
          <w:p w:rsidR="003848DE" w:rsidRPr="00A16561" w:rsidP="00A16561" w14:paraId="6B78A7D7" w14:textId="77777777">
            <w:pPr>
              <w:jc w:val="center"/>
              <w:rPr>
                <w:iCs/>
                <w:sz w:val="20"/>
                <w:szCs w:val="20"/>
              </w:rPr>
            </w:pPr>
            <w:r w:rsidRPr="00A16561">
              <w:rPr>
                <w:iCs/>
                <w:sz w:val="20"/>
                <w:szCs w:val="20"/>
              </w:rPr>
              <w:t>A x B x C x D</w:t>
            </w:r>
          </w:p>
        </w:tc>
      </w:tr>
      <w:tr w14:paraId="682A4F3B" w14:textId="77777777" w:rsidTr="005154C9">
        <w:tblPrEx>
          <w:tblW w:w="0" w:type="auto"/>
          <w:tblLook w:val="04A0"/>
        </w:tblPrEx>
        <w:tc>
          <w:tcPr>
            <w:tcW w:w="1567" w:type="dxa"/>
            <w:vAlign w:val="center"/>
          </w:tcPr>
          <w:p w:rsidR="003848DE" w:rsidRPr="00A16561" w:rsidP="00A16561" w14:paraId="3D274A08" w14:textId="2CE70A3F">
            <w:pPr>
              <w:rPr>
                <w:iCs/>
                <w:sz w:val="20"/>
                <w:szCs w:val="20"/>
              </w:rPr>
            </w:pPr>
            <w:r w:rsidRPr="00A16561">
              <w:rPr>
                <w:iCs/>
                <w:sz w:val="20"/>
                <w:szCs w:val="20"/>
              </w:rPr>
              <w:t>Electrician</w:t>
            </w:r>
            <w:r w:rsidRPr="00A16561">
              <w:rPr>
                <w:iCs/>
                <w:sz w:val="20"/>
                <w:szCs w:val="20"/>
              </w:rPr>
              <w:t xml:space="preserve"> [a]</w:t>
            </w:r>
          </w:p>
        </w:tc>
        <w:tc>
          <w:tcPr>
            <w:tcW w:w="871" w:type="dxa"/>
            <w:vAlign w:val="center"/>
          </w:tcPr>
          <w:p w:rsidR="003848DE" w:rsidRPr="00A16561" w:rsidP="00A16561" w14:paraId="274FF1D2" w14:textId="23D222E6">
            <w:pPr>
              <w:jc w:val="center"/>
              <w:rPr>
                <w:iCs/>
                <w:sz w:val="20"/>
                <w:szCs w:val="20"/>
              </w:rPr>
            </w:pPr>
            <w:r w:rsidRPr="00A16561">
              <w:rPr>
                <w:iCs/>
                <w:sz w:val="20"/>
                <w:szCs w:val="20"/>
              </w:rPr>
              <w:t>212100</w:t>
            </w:r>
          </w:p>
        </w:tc>
        <w:tc>
          <w:tcPr>
            <w:tcW w:w="1029" w:type="dxa"/>
            <w:vAlign w:val="center"/>
          </w:tcPr>
          <w:p w:rsidR="003848DE" w:rsidRPr="00A16561" w:rsidP="00A16561" w14:paraId="40FCC1C2" w14:textId="634110B4">
            <w:pPr>
              <w:jc w:val="center"/>
              <w:rPr>
                <w:iCs/>
                <w:sz w:val="20"/>
                <w:szCs w:val="20"/>
              </w:rPr>
            </w:pPr>
            <w:r w:rsidRPr="00A16561">
              <w:rPr>
                <w:iCs/>
                <w:sz w:val="20"/>
                <w:szCs w:val="20"/>
              </w:rPr>
              <w:t>$</w:t>
            </w:r>
            <w:r w:rsidRPr="00A16561" w:rsidR="00AD6C90">
              <w:rPr>
                <w:iCs/>
                <w:sz w:val="20"/>
                <w:szCs w:val="20"/>
              </w:rPr>
              <w:t>39.05</w:t>
            </w:r>
          </w:p>
        </w:tc>
        <w:tc>
          <w:tcPr>
            <w:tcW w:w="1134" w:type="dxa"/>
            <w:vAlign w:val="center"/>
          </w:tcPr>
          <w:p w:rsidR="003848DE" w:rsidRPr="00A16561" w:rsidP="00A16561" w14:paraId="3BA1F95B" w14:textId="77777777">
            <w:pPr>
              <w:jc w:val="center"/>
              <w:rPr>
                <w:iCs/>
                <w:sz w:val="20"/>
                <w:szCs w:val="20"/>
              </w:rPr>
            </w:pPr>
            <w:r w:rsidRPr="00A16561">
              <w:rPr>
                <w:iCs/>
                <w:sz w:val="20"/>
                <w:szCs w:val="20"/>
              </w:rPr>
              <w:t>1.456</w:t>
            </w:r>
          </w:p>
        </w:tc>
        <w:tc>
          <w:tcPr>
            <w:tcW w:w="1182" w:type="dxa"/>
            <w:vAlign w:val="center"/>
          </w:tcPr>
          <w:p w:rsidR="003848DE" w:rsidRPr="00A16561" w:rsidP="00A16561" w14:paraId="4FE7F5A5" w14:textId="77777777">
            <w:pPr>
              <w:jc w:val="center"/>
              <w:rPr>
                <w:iCs/>
                <w:sz w:val="20"/>
                <w:szCs w:val="20"/>
              </w:rPr>
            </w:pPr>
            <w:r w:rsidRPr="00A16561">
              <w:rPr>
                <w:iCs/>
                <w:sz w:val="20"/>
                <w:szCs w:val="20"/>
              </w:rPr>
              <w:t>1.048</w:t>
            </w:r>
          </w:p>
        </w:tc>
        <w:tc>
          <w:tcPr>
            <w:tcW w:w="1634" w:type="dxa"/>
            <w:vAlign w:val="center"/>
          </w:tcPr>
          <w:p w:rsidR="003848DE" w:rsidRPr="00A16561" w:rsidP="00A16561" w14:paraId="10C78FC3" w14:textId="77777777">
            <w:pPr>
              <w:jc w:val="center"/>
              <w:rPr>
                <w:iCs/>
                <w:sz w:val="20"/>
                <w:szCs w:val="20"/>
              </w:rPr>
            </w:pPr>
            <w:r w:rsidRPr="00A16561">
              <w:rPr>
                <w:iCs/>
                <w:sz w:val="20"/>
                <w:szCs w:val="20"/>
              </w:rPr>
              <w:t>1.01</w:t>
            </w:r>
          </w:p>
        </w:tc>
        <w:tc>
          <w:tcPr>
            <w:tcW w:w="1933" w:type="dxa"/>
            <w:vAlign w:val="center"/>
          </w:tcPr>
          <w:p w:rsidR="003848DE" w:rsidRPr="00A16561" w:rsidP="00A16561" w14:paraId="52E2F6FE" w14:textId="68ED19C3">
            <w:pPr>
              <w:jc w:val="center"/>
              <w:rPr>
                <w:iCs/>
                <w:sz w:val="20"/>
                <w:szCs w:val="20"/>
              </w:rPr>
            </w:pPr>
            <w:r w:rsidRPr="00A16561">
              <w:rPr>
                <w:iCs/>
                <w:sz w:val="20"/>
                <w:szCs w:val="20"/>
              </w:rPr>
              <w:t>$</w:t>
            </w:r>
            <w:r w:rsidRPr="00A16561" w:rsidR="00AD6C90">
              <w:rPr>
                <w:iCs/>
                <w:sz w:val="20"/>
                <w:szCs w:val="20"/>
              </w:rPr>
              <w:t>60.18</w:t>
            </w:r>
          </w:p>
        </w:tc>
      </w:tr>
      <w:tr w14:paraId="31E7E7E7" w14:textId="77777777" w:rsidTr="005154C9">
        <w:tblPrEx>
          <w:tblW w:w="0" w:type="auto"/>
          <w:tblLook w:val="04A0"/>
        </w:tblPrEx>
        <w:tc>
          <w:tcPr>
            <w:tcW w:w="1567" w:type="dxa"/>
            <w:vAlign w:val="center"/>
          </w:tcPr>
          <w:p w:rsidR="003848DE" w:rsidRPr="00A16561" w:rsidP="00A16561" w14:paraId="3A2E65EC" w14:textId="61EDB2DE">
            <w:pPr>
              <w:rPr>
                <w:iCs/>
                <w:sz w:val="20"/>
                <w:szCs w:val="20"/>
              </w:rPr>
            </w:pPr>
            <w:r w:rsidRPr="00A16561">
              <w:rPr>
                <w:iCs/>
                <w:sz w:val="20"/>
                <w:szCs w:val="20"/>
              </w:rPr>
              <w:t>Mining Foreman</w:t>
            </w:r>
            <w:r w:rsidRPr="00A16561">
              <w:rPr>
                <w:iCs/>
                <w:sz w:val="20"/>
                <w:szCs w:val="20"/>
              </w:rPr>
              <w:t xml:space="preserve"> [b]</w:t>
            </w:r>
          </w:p>
        </w:tc>
        <w:tc>
          <w:tcPr>
            <w:tcW w:w="871" w:type="dxa"/>
            <w:vAlign w:val="center"/>
          </w:tcPr>
          <w:p w:rsidR="003848DE" w:rsidRPr="00A16561" w:rsidP="00A16561" w14:paraId="2108E042" w14:textId="718A6FE1">
            <w:pPr>
              <w:jc w:val="center"/>
              <w:rPr>
                <w:iCs/>
                <w:sz w:val="20"/>
                <w:szCs w:val="20"/>
              </w:rPr>
            </w:pPr>
            <w:r w:rsidRPr="00A16561">
              <w:rPr>
                <w:iCs/>
                <w:sz w:val="20"/>
                <w:szCs w:val="20"/>
              </w:rPr>
              <w:t>212100</w:t>
            </w:r>
          </w:p>
        </w:tc>
        <w:tc>
          <w:tcPr>
            <w:tcW w:w="1029" w:type="dxa"/>
            <w:vAlign w:val="center"/>
          </w:tcPr>
          <w:p w:rsidR="003848DE" w:rsidRPr="00A16561" w:rsidP="00A16561" w14:paraId="6C900F6D" w14:textId="5479E3A3">
            <w:pPr>
              <w:jc w:val="center"/>
              <w:rPr>
                <w:iCs/>
                <w:sz w:val="20"/>
                <w:szCs w:val="20"/>
              </w:rPr>
            </w:pPr>
            <w:r w:rsidRPr="00A16561">
              <w:rPr>
                <w:iCs/>
                <w:sz w:val="20"/>
                <w:szCs w:val="20"/>
              </w:rPr>
              <w:t>$</w:t>
            </w:r>
            <w:r w:rsidRPr="00A16561" w:rsidR="00AD6C90">
              <w:rPr>
                <w:iCs/>
                <w:sz w:val="20"/>
                <w:szCs w:val="20"/>
              </w:rPr>
              <w:t>52.49</w:t>
            </w:r>
          </w:p>
        </w:tc>
        <w:tc>
          <w:tcPr>
            <w:tcW w:w="1134" w:type="dxa"/>
            <w:vAlign w:val="center"/>
          </w:tcPr>
          <w:p w:rsidR="003848DE" w:rsidRPr="00A16561" w:rsidP="00A16561" w14:paraId="6DACC56D" w14:textId="77777777">
            <w:pPr>
              <w:jc w:val="center"/>
              <w:rPr>
                <w:iCs/>
                <w:sz w:val="20"/>
                <w:szCs w:val="20"/>
              </w:rPr>
            </w:pPr>
            <w:r w:rsidRPr="00A16561">
              <w:rPr>
                <w:iCs/>
                <w:sz w:val="20"/>
                <w:szCs w:val="20"/>
              </w:rPr>
              <w:t>1.456</w:t>
            </w:r>
          </w:p>
        </w:tc>
        <w:tc>
          <w:tcPr>
            <w:tcW w:w="1182" w:type="dxa"/>
            <w:vAlign w:val="center"/>
          </w:tcPr>
          <w:p w:rsidR="003848DE" w:rsidRPr="00A16561" w:rsidP="00A16561" w14:paraId="181ED81E" w14:textId="77777777">
            <w:pPr>
              <w:jc w:val="center"/>
              <w:rPr>
                <w:iCs/>
                <w:sz w:val="20"/>
                <w:szCs w:val="20"/>
              </w:rPr>
            </w:pPr>
            <w:r w:rsidRPr="00A16561">
              <w:rPr>
                <w:iCs/>
                <w:sz w:val="20"/>
                <w:szCs w:val="20"/>
              </w:rPr>
              <w:t>1.048</w:t>
            </w:r>
          </w:p>
        </w:tc>
        <w:tc>
          <w:tcPr>
            <w:tcW w:w="1634" w:type="dxa"/>
            <w:vAlign w:val="center"/>
          </w:tcPr>
          <w:p w:rsidR="003848DE" w:rsidRPr="00A16561" w:rsidP="00A16561" w14:paraId="7255B191" w14:textId="77777777">
            <w:pPr>
              <w:jc w:val="center"/>
              <w:rPr>
                <w:iCs/>
                <w:sz w:val="20"/>
                <w:szCs w:val="20"/>
              </w:rPr>
            </w:pPr>
            <w:r w:rsidRPr="00A16561">
              <w:rPr>
                <w:iCs/>
                <w:sz w:val="20"/>
                <w:szCs w:val="20"/>
              </w:rPr>
              <w:t>1.01</w:t>
            </w:r>
          </w:p>
        </w:tc>
        <w:tc>
          <w:tcPr>
            <w:tcW w:w="1933" w:type="dxa"/>
            <w:vAlign w:val="center"/>
          </w:tcPr>
          <w:p w:rsidR="003848DE" w:rsidRPr="00A16561" w:rsidP="00A16561" w14:paraId="5C89EA21" w14:textId="63EFCB1A">
            <w:pPr>
              <w:jc w:val="center"/>
              <w:rPr>
                <w:iCs/>
                <w:sz w:val="20"/>
                <w:szCs w:val="20"/>
              </w:rPr>
            </w:pPr>
            <w:r w:rsidRPr="00A16561">
              <w:rPr>
                <w:iCs/>
                <w:sz w:val="20"/>
                <w:szCs w:val="20"/>
              </w:rPr>
              <w:t>$</w:t>
            </w:r>
            <w:r w:rsidRPr="00A16561" w:rsidR="00AD6C90">
              <w:rPr>
                <w:iCs/>
                <w:sz w:val="20"/>
                <w:szCs w:val="20"/>
              </w:rPr>
              <w:t>80.89</w:t>
            </w:r>
          </w:p>
        </w:tc>
      </w:tr>
    </w:tbl>
    <w:p w:rsidR="00A81A39" w:rsidRPr="00A16561" w:rsidP="00A16561" w14:paraId="47D49CC2" w14:textId="76F3DBE4">
      <w:pPr>
        <w:pStyle w:val="Default"/>
        <w:rPr>
          <w:rFonts w:ascii="Times New Roman" w:hAnsi="Times New Roman" w:cs="Times New Roman"/>
          <w:sz w:val="20"/>
          <w:szCs w:val="20"/>
        </w:rPr>
      </w:pPr>
      <w:bookmarkStart w:id="24" w:name="_Hlk114568297"/>
      <w:r w:rsidRPr="00A16561">
        <w:rPr>
          <w:rFonts w:ascii="Times New Roman" w:hAnsi="Times New Roman" w:cs="Times New Roman"/>
          <w:sz w:val="20"/>
          <w:szCs w:val="20"/>
        </w:rPr>
        <w:t xml:space="preserve">Notes: </w:t>
      </w:r>
    </w:p>
    <w:p w:rsidR="003848DE" w:rsidRPr="00A16561" w:rsidP="00A16561" w14:paraId="44AE9E47" w14:textId="0447BF0E">
      <w:pPr>
        <w:pStyle w:val="Default"/>
        <w:rPr>
          <w:rFonts w:ascii="Times New Roman" w:hAnsi="Times New Roman" w:cs="Times New Roman"/>
          <w:sz w:val="20"/>
          <w:szCs w:val="20"/>
        </w:rPr>
      </w:pPr>
      <w:r w:rsidRPr="00A16561">
        <w:rPr>
          <w:rFonts w:ascii="Times New Roman" w:hAnsi="Times New Roman" w:cs="Times New Roman"/>
          <w:sz w:val="20"/>
          <w:szCs w:val="20"/>
        </w:rPr>
        <w:t>Benefit Multiplier – MSHA uses the latest 4-quarter moving average 2023Q4-2024Q3 to determine that 31.3 percent of total loaded wages are benefits for private industry workers in construction, extraction, farming, fishing, and forestry occupations. The benefit multiplier is 1.456 = 1+(0.313</w:t>
      </w:r>
      <w:r w:rsidRPr="00A16561" w:rsidR="00C21387">
        <w:rPr>
          <w:rFonts w:ascii="Times New Roman" w:hAnsi="Times New Roman" w:cs="Times New Roman"/>
          <w:sz w:val="20"/>
          <w:szCs w:val="20"/>
        </w:rPr>
        <w:t>/ (</w:t>
      </w:r>
      <w:r w:rsidRPr="00A16561">
        <w:rPr>
          <w:rFonts w:ascii="Times New Roman" w:hAnsi="Times New Roman" w:cs="Times New Roman"/>
          <w:sz w:val="20"/>
          <w:szCs w:val="20"/>
        </w:rPr>
        <w:t xml:space="preserve">1-0.313)). </w:t>
      </w:r>
    </w:p>
    <w:p w:rsidR="003848DE" w:rsidRPr="00A16561" w:rsidP="00A16561" w14:paraId="29886930" w14:textId="76E8FB91">
      <w:pPr>
        <w:pStyle w:val="Default"/>
        <w:rPr>
          <w:rFonts w:ascii="Times New Roman" w:hAnsi="Times New Roman" w:cs="Times New Roman"/>
          <w:sz w:val="20"/>
          <w:szCs w:val="20"/>
        </w:rPr>
      </w:pPr>
      <w:r w:rsidRPr="00A16561">
        <w:rPr>
          <w:rFonts w:ascii="Times New Roman" w:hAnsi="Times New Roman" w:cs="Times New Roman"/>
          <w:sz w:val="20"/>
          <w:szCs w:val="20"/>
        </w:rPr>
        <w:t xml:space="preserve">Inflation Multiplier – The inflation multiplier is determined by using the employment price index from the most current quarter, 2024Q3, divided by the base year and quarter of the OEWS employment and wage statistics, 2023Q2, for private industry workers in construction, extraction, farming, fishing, and forestry occupations, current dollar index. The inflation multiplier is 1.048 = 164.8/157.3. </w:t>
      </w:r>
    </w:p>
    <w:p w:rsidR="003848DE" w:rsidRPr="00A16561" w:rsidP="00A16561" w14:paraId="713825C9" w14:textId="77777777">
      <w:pPr>
        <w:pStyle w:val="Default"/>
        <w:rPr>
          <w:rFonts w:ascii="Times New Roman" w:hAnsi="Times New Roman" w:cs="Times New Roman"/>
          <w:sz w:val="20"/>
          <w:szCs w:val="20"/>
        </w:rPr>
      </w:pPr>
      <w:r w:rsidRPr="00A16561">
        <w:rPr>
          <w:rFonts w:ascii="Times New Roman" w:hAnsi="Times New Roman" w:cs="Times New Roman"/>
          <w:sz w:val="20"/>
          <w:szCs w:val="20"/>
        </w:rPr>
        <w:t>Overhead Multiplier – MSHA uses the overhead multiplier of 1.01.</w:t>
      </w:r>
    </w:p>
    <w:p w:rsidR="003848DE" w:rsidRPr="00A16561" w:rsidP="00A16561" w14:paraId="120E7793" w14:textId="3F8636DD">
      <w:pPr>
        <w:rPr>
          <w:sz w:val="20"/>
          <w:szCs w:val="20"/>
        </w:rPr>
      </w:pPr>
      <w:r w:rsidRPr="00A16561">
        <w:rPr>
          <w:sz w:val="20"/>
          <w:szCs w:val="20"/>
        </w:rPr>
        <w:t xml:space="preserve">[a] The Standard Occupation Code (SOC) used for this occupation </w:t>
      </w:r>
      <w:r w:rsidRPr="00A16561" w:rsidR="00AD6C90">
        <w:rPr>
          <w:sz w:val="20"/>
          <w:szCs w:val="20"/>
        </w:rPr>
        <w:t>is (47-2111)</w:t>
      </w:r>
      <w:r w:rsidR="008E21D7">
        <w:rPr>
          <w:sz w:val="20"/>
          <w:szCs w:val="20"/>
        </w:rPr>
        <w:t>.</w:t>
      </w:r>
    </w:p>
    <w:p w:rsidR="003848DE" w:rsidRPr="00A16561" w:rsidP="00A16561" w14:paraId="500DF714" w14:textId="76A463E6">
      <w:pPr>
        <w:rPr>
          <w:sz w:val="20"/>
          <w:szCs w:val="20"/>
        </w:rPr>
      </w:pPr>
      <w:r w:rsidRPr="00A16561">
        <w:rPr>
          <w:sz w:val="20"/>
          <w:szCs w:val="20"/>
        </w:rPr>
        <w:t xml:space="preserve">[b] The SOCs used for this occupation are </w:t>
      </w:r>
      <w:r w:rsidRPr="00A16561" w:rsidR="00AD6C90">
        <w:rPr>
          <w:sz w:val="20"/>
          <w:szCs w:val="20"/>
        </w:rPr>
        <w:t>(47-1011), (49-1011), (51-1011), and (53-1047).</w:t>
      </w:r>
    </w:p>
    <w:bookmarkEnd w:id="24"/>
    <w:p w:rsidR="00AD6C90" w:rsidRPr="00A16561" w:rsidP="00A16561" w14:paraId="638D4220" w14:textId="77777777">
      <w:pPr>
        <w:autoSpaceDE/>
        <w:autoSpaceDN/>
        <w:adjustRightInd/>
        <w:rPr>
          <w:rFonts w:eastAsia="Calibri"/>
        </w:rPr>
      </w:pPr>
    </w:p>
    <w:p w:rsidR="00AD6C90" w:rsidRPr="00A16561" w:rsidP="00A16561" w14:paraId="2239662F" w14:textId="77777777">
      <w:pPr>
        <w:pStyle w:val="Default"/>
        <w:rPr>
          <w:rFonts w:ascii="Times New Roman" w:hAnsi="Times New Roman" w:cs="Times New Roman"/>
          <w:b/>
          <w:bCs/>
        </w:rPr>
      </w:pPr>
      <w:r w:rsidRPr="00A16561">
        <w:rPr>
          <w:rFonts w:ascii="Times New Roman" w:hAnsi="Times New Roman" w:cs="Times New Roman"/>
          <w:b/>
          <w:bCs/>
        </w:rPr>
        <w:t>Hour Burden</w:t>
      </w:r>
    </w:p>
    <w:p w:rsidR="00AD6C90" w:rsidRPr="00A16561" w:rsidP="00A16561" w14:paraId="0F11D34C" w14:textId="77777777">
      <w:pPr>
        <w:pStyle w:val="Default"/>
        <w:rPr>
          <w:rFonts w:ascii="Times New Roman" w:hAnsi="Times New Roman" w:cs="Times New Roman"/>
          <w:b/>
          <w:bCs/>
        </w:rPr>
      </w:pPr>
    </w:p>
    <w:p w:rsidR="009903E9" w:rsidRPr="00A16561" w:rsidP="00A16561" w14:paraId="539A7CE5" w14:textId="77777777">
      <w:pPr>
        <w:pStyle w:val="ListParagraph"/>
        <w:numPr>
          <w:ilvl w:val="0"/>
          <w:numId w:val="32"/>
        </w:numPr>
        <w:spacing w:after="0" w:line="240" w:lineRule="auto"/>
        <w:rPr>
          <w:rFonts w:ascii="Times New Roman" w:hAnsi="Times New Roman"/>
          <w:b/>
          <w:bCs/>
          <w:kern w:val="24"/>
          <w:sz w:val="24"/>
          <w:szCs w:val="24"/>
          <w:u w:color="000000"/>
        </w:rPr>
      </w:pPr>
      <w:r w:rsidRPr="00A16561">
        <w:rPr>
          <w:rFonts w:ascii="Times New Roman" w:hAnsi="Times New Roman"/>
          <w:b/>
          <w:bCs/>
          <w:kern w:val="24"/>
          <w:sz w:val="24"/>
          <w:szCs w:val="24"/>
          <w:u w:color="000000"/>
        </w:rPr>
        <w:t>Examinations and Corrective Actions Prior to Tramming HVCMMs in and out of the Mine and from Section to Section</w:t>
      </w:r>
    </w:p>
    <w:p w:rsidR="009903E9" w:rsidRPr="00A16561" w:rsidP="00A16561" w14:paraId="3BC9D856" w14:textId="77777777">
      <w:pPr>
        <w:pStyle w:val="ListParagraph"/>
        <w:spacing w:after="0" w:line="240" w:lineRule="auto"/>
        <w:ind w:left="1080"/>
        <w:rPr>
          <w:rFonts w:ascii="Times New Roman" w:eastAsia="Calibri" w:hAnsi="Times New Roman"/>
        </w:rPr>
      </w:pPr>
    </w:p>
    <w:p w:rsidR="00AD6C90" w:rsidRPr="00A16561" w:rsidP="00A16561" w14:paraId="7394572B" w14:textId="01270C9E">
      <w:pPr>
        <w:autoSpaceDE/>
        <w:autoSpaceDN/>
        <w:adjustRightInd/>
        <w:rPr>
          <w:rFonts w:eastAsia="Calibri"/>
        </w:rPr>
      </w:pPr>
      <w:r w:rsidRPr="00A16561">
        <w:rPr>
          <w:rFonts w:eastAsia="Calibri"/>
        </w:rPr>
        <w:t xml:space="preserve">Under </w:t>
      </w:r>
      <w:r w:rsidRPr="00A16561" w:rsidR="00672A5E">
        <w:rPr>
          <w:rFonts w:eastAsia="Calibri"/>
        </w:rPr>
        <w:t>30 CFR 75.829(b)(1)</w:t>
      </w:r>
      <w:r w:rsidRPr="00A16561">
        <w:rPr>
          <w:rFonts w:eastAsia="Calibri"/>
        </w:rPr>
        <w:t>,</w:t>
      </w:r>
      <w:r w:rsidRPr="00A16561" w:rsidR="00672A5E">
        <w:rPr>
          <w:rFonts w:eastAsia="Calibri"/>
        </w:rPr>
        <w:t xml:space="preserve"> </w:t>
      </w:r>
      <w:r w:rsidRPr="00A16561">
        <w:rPr>
          <w:rFonts w:eastAsia="Calibri"/>
        </w:rPr>
        <w:t xml:space="preserve">prior to tramming a HVCMM, a qualified person must activate the ground-fault and ground-wire monitor test circuits of the power sources </w:t>
      </w:r>
      <w:r w:rsidRPr="00A16561" w:rsidR="00C81E37">
        <w:t>including medium-voltage power sources and step-up transformers</w:t>
      </w:r>
      <w:r w:rsidRPr="00A16561" w:rsidR="00C81E37">
        <w:rPr>
          <w:rFonts w:eastAsia="Calibri"/>
        </w:rPr>
        <w:t xml:space="preserve"> </w:t>
      </w:r>
      <w:r w:rsidRPr="00A16561">
        <w:rPr>
          <w:rFonts w:eastAsia="Calibri"/>
        </w:rPr>
        <w:t>to assure that the corresponding circuit-interrupting device opens the circuit. Corrective actions and recordkeeping resulting from these tests must be in accordance with 30 CFR 75.832(f) and (g).</w:t>
      </w:r>
    </w:p>
    <w:p w:rsidR="00AD6C90" w:rsidRPr="00A16561" w:rsidP="00A16561" w14:paraId="230E9DD0" w14:textId="0B69433A">
      <w:pPr>
        <w:autoSpaceDE/>
        <w:autoSpaceDN/>
        <w:adjustRightInd/>
        <w:rPr>
          <w:rFonts w:eastAsia="Calibri"/>
        </w:rPr>
      </w:pPr>
    </w:p>
    <w:p w:rsidR="00C81E37" w:rsidRPr="00A16561" w:rsidP="00A16561" w14:paraId="373AF7D4" w14:textId="6044BD45">
      <w:pPr>
        <w:autoSpaceDE/>
        <w:autoSpaceDN/>
        <w:adjustRightInd/>
        <w:rPr>
          <w:rFonts w:eastAsia="Calibri"/>
        </w:rPr>
      </w:pPr>
      <w:r w:rsidRPr="00A16561">
        <w:rPr>
          <w:rFonts w:eastAsia="Calibri"/>
        </w:rPr>
        <w:t>Under</w:t>
      </w:r>
      <w:r w:rsidRPr="00A16561" w:rsidR="00672A5E">
        <w:rPr>
          <w:rFonts w:eastAsia="Calibri"/>
        </w:rPr>
        <w:t xml:space="preserve"> 30 CFR 75.832(g)(1)</w:t>
      </w:r>
      <w:r w:rsidRPr="00A16561">
        <w:rPr>
          <w:rFonts w:eastAsia="Calibri"/>
        </w:rPr>
        <w:t>,</w:t>
      </w:r>
      <w:r w:rsidRPr="00A16561" w:rsidR="00672A5E">
        <w:rPr>
          <w:rFonts w:eastAsia="Calibri"/>
        </w:rPr>
        <w:t xml:space="preserve"> certifications by signature and date must be made after the test required by 30 CFR 75.829(b)(1) is conducted. </w:t>
      </w:r>
      <w:r w:rsidRPr="00A16561">
        <w:rPr>
          <w:rFonts w:eastAsia="Calibri"/>
        </w:rPr>
        <w:t xml:space="preserve">Under 30 CFR 75.832(g)(3) this record must be countersigned by the mine foreman or equivalent mine official by the end of the mine foreman's or the equivalent mine official's next regularly scheduled shift.  </w:t>
      </w:r>
    </w:p>
    <w:p w:rsidR="00C81E37" w:rsidRPr="00A16561" w:rsidP="00A16561" w14:paraId="0E73351C" w14:textId="77777777">
      <w:pPr>
        <w:autoSpaceDE/>
        <w:autoSpaceDN/>
        <w:adjustRightInd/>
        <w:rPr>
          <w:rFonts w:eastAsia="Calibri"/>
        </w:rPr>
      </w:pPr>
    </w:p>
    <w:p w:rsidR="00C81E37" w:rsidRPr="00A16561" w:rsidP="00A16561" w14:paraId="426D5215" w14:textId="30A9FF4E">
      <w:pPr>
        <w:autoSpaceDE/>
        <w:autoSpaceDN/>
        <w:adjustRightInd/>
        <w:rPr>
          <w:rFonts w:eastAsia="Calibri"/>
        </w:rPr>
      </w:pPr>
      <w:r w:rsidRPr="00A16561">
        <w:rPr>
          <w:rFonts w:eastAsia="Calibri"/>
        </w:rPr>
        <w:t>In accordance with 30 CFR 75.832(g)(2)</w:t>
      </w:r>
      <w:r w:rsidRPr="00A16561" w:rsidR="003E3055">
        <w:rPr>
          <w:rFonts w:eastAsia="Calibri"/>
        </w:rPr>
        <w:t>,</w:t>
      </w:r>
      <w:r w:rsidRPr="00A16561">
        <w:rPr>
          <w:rFonts w:eastAsia="Calibri"/>
        </w:rPr>
        <w:t xml:space="preserve"> any unsafe condition found during this testing must be recorded along with any corrective actions taken</w:t>
      </w:r>
      <w:r w:rsidRPr="00A16561" w:rsidR="00DA790B">
        <w:rPr>
          <w:rFonts w:eastAsia="Calibri"/>
        </w:rPr>
        <w:t xml:space="preserve"> as described in paragraph 75.832(f)</w:t>
      </w:r>
      <w:r w:rsidRPr="00A16561">
        <w:rPr>
          <w:rFonts w:eastAsia="Calibri"/>
        </w:rPr>
        <w:t xml:space="preserve">. </w:t>
      </w:r>
    </w:p>
    <w:p w:rsidR="00C81E37" w:rsidRPr="00A16561" w:rsidP="00A16561" w14:paraId="098C7806" w14:textId="77777777">
      <w:pPr>
        <w:autoSpaceDE/>
        <w:autoSpaceDN/>
        <w:adjustRightInd/>
        <w:rPr>
          <w:rFonts w:eastAsia="Calibri"/>
        </w:rPr>
      </w:pPr>
    </w:p>
    <w:p w:rsidR="00C81E37" w:rsidRPr="00A16561" w:rsidP="00A16561" w14:paraId="31EC3947" w14:textId="0412863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rPr>
      </w:pPr>
      <w:r w:rsidRPr="00A16561">
        <w:rPr>
          <w:rFonts w:eastAsia="Calibri"/>
        </w:rPr>
        <w:t xml:space="preserve">Based on internal </w:t>
      </w:r>
      <w:r w:rsidRPr="00A16561" w:rsidR="003E3055">
        <w:rPr>
          <w:rFonts w:eastAsia="Calibri"/>
        </w:rPr>
        <w:t xml:space="preserve">MSHA </w:t>
      </w:r>
      <w:r w:rsidRPr="00A16561">
        <w:rPr>
          <w:rFonts w:eastAsia="Calibri"/>
        </w:rPr>
        <w:t>data</w:t>
      </w:r>
      <w:r w:rsidRPr="00A16561" w:rsidR="003E3055">
        <w:rPr>
          <w:rFonts w:eastAsia="Calibri"/>
        </w:rPr>
        <w:t>,</w:t>
      </w:r>
      <w:r w:rsidRPr="00A16561">
        <w:rPr>
          <w:rFonts w:eastAsia="Calibri"/>
        </w:rPr>
        <w:t xml:space="preserve"> </w:t>
      </w:r>
      <w:r w:rsidRPr="00A16561">
        <w:rPr>
          <w:rFonts w:eastAsia="Calibri"/>
        </w:rPr>
        <w:t>there are currently</w:t>
      </w:r>
      <w:r w:rsidRPr="00A16561">
        <w:rPr>
          <w:rFonts w:eastAsia="Calibri"/>
        </w:rPr>
        <w:t xml:space="preserve"> </w:t>
      </w:r>
      <w:r w:rsidRPr="00A16561">
        <w:rPr>
          <w:rFonts w:eastAsia="Calibri"/>
        </w:rPr>
        <w:t>three</w:t>
      </w:r>
      <w:r w:rsidRPr="00A16561">
        <w:rPr>
          <w:rFonts w:eastAsia="Calibri"/>
        </w:rPr>
        <w:t xml:space="preserve"> underground coal mine operators </w:t>
      </w:r>
      <w:r w:rsidRPr="00A16561">
        <w:rPr>
          <w:rFonts w:eastAsia="Calibri"/>
        </w:rPr>
        <w:t>that use</w:t>
      </w:r>
      <w:r w:rsidRPr="00A16561">
        <w:rPr>
          <w:rFonts w:eastAsia="Calibri"/>
        </w:rPr>
        <w:t xml:space="preserve"> 11 HVCMMs. MSHA estimates that on average </w:t>
      </w:r>
      <w:r w:rsidRPr="00A16561">
        <w:rPr>
          <w:rFonts w:eastAsia="Calibri"/>
        </w:rPr>
        <w:t xml:space="preserve">there are two times per year </w:t>
      </w:r>
      <w:r w:rsidRPr="00A16561">
        <w:rPr>
          <w:rFonts w:eastAsia="Calibri"/>
        </w:rPr>
        <w:t xml:space="preserve">that HVCMMs are trammed </w:t>
      </w:r>
      <w:r w:rsidRPr="00A16561">
        <w:t>in and out of the mine and from section</w:t>
      </w:r>
      <w:r w:rsidRPr="00A16561" w:rsidR="00A17881">
        <w:t xml:space="preserve"> to section</w:t>
      </w:r>
      <w:r w:rsidRPr="00A16561">
        <w:t>,</w:t>
      </w:r>
      <w:r w:rsidRPr="00A16561">
        <w:t xml:space="preserve"> </w:t>
      </w:r>
      <w:r w:rsidRPr="00A16561" w:rsidR="00295A0D">
        <w:t xml:space="preserve">resulting in </w:t>
      </w:r>
      <w:r w:rsidRPr="00A16561">
        <w:t xml:space="preserve">22 </w:t>
      </w:r>
      <w:r w:rsidRPr="00A16561">
        <w:t>occurrences</w:t>
      </w:r>
      <w:r w:rsidRPr="00A16561">
        <w:t xml:space="preserve"> </w:t>
      </w:r>
      <w:r w:rsidRPr="00A16561" w:rsidR="006B5AF4">
        <w:t xml:space="preserve">per </w:t>
      </w:r>
      <w:r w:rsidRPr="00A16561">
        <w:t xml:space="preserve">year. MSHA also assumes that on average </w:t>
      </w:r>
      <w:r w:rsidRPr="00A16561">
        <w:t xml:space="preserve">two </w:t>
      </w:r>
      <w:r w:rsidRPr="00A16561">
        <w:t xml:space="preserve">corrective actions are reported </w:t>
      </w:r>
      <w:r w:rsidRPr="00A16561">
        <w:t xml:space="preserve">annually for each of the 11 HVCMMs, </w:t>
      </w:r>
      <w:r w:rsidRPr="00A16561" w:rsidR="007933FD">
        <w:t>resulting</w:t>
      </w:r>
      <w:r w:rsidRPr="00A16561" w:rsidR="00295A0D">
        <w:t xml:space="preserve"> in </w:t>
      </w:r>
      <w:r w:rsidRPr="00A16561">
        <w:t>22</w:t>
      </w:r>
      <w:r w:rsidRPr="00A16561" w:rsidR="00295A0D">
        <w:t xml:space="preserve"> corrective </w:t>
      </w:r>
      <w:r w:rsidRPr="00A16561" w:rsidR="006B5AF4">
        <w:t>actions per</w:t>
      </w:r>
      <w:r w:rsidRPr="00A16561">
        <w:t xml:space="preserve"> year.</w:t>
      </w:r>
    </w:p>
    <w:p w:rsidR="00C81E37" w:rsidRPr="00A16561" w:rsidP="00A16561" w14:paraId="1A397271"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Calibri"/>
        </w:rPr>
      </w:pPr>
    </w:p>
    <w:p w:rsidR="00131389" w:rsidP="00A16561" w14:paraId="482618BE" w14:textId="2B08CFC6">
      <w:pPr>
        <w:widowControl/>
        <w:autoSpaceDE/>
        <w:autoSpaceDN/>
        <w:adjustRightInd/>
        <w:rPr>
          <w:rFonts w:eastAsia="Calibri"/>
        </w:rPr>
      </w:pPr>
      <w:bookmarkStart w:id="25" w:name="_Hlk103776622"/>
      <w:r w:rsidRPr="00A16561">
        <w:rPr>
          <w:rFonts w:eastAsia="Calibri"/>
        </w:rPr>
        <w:t>MSHA estimates that</w:t>
      </w:r>
      <w:r w:rsidRPr="00A16561" w:rsidR="003D7AE8">
        <w:rPr>
          <w:rFonts w:eastAsia="Calibri"/>
        </w:rPr>
        <w:t xml:space="preserve"> it takes a coal mine electrician</w:t>
      </w:r>
      <w:r w:rsidRPr="00A16561">
        <w:rPr>
          <w:rFonts w:eastAsia="Calibri"/>
        </w:rPr>
        <w:t>, earning $</w:t>
      </w:r>
      <w:r w:rsidRPr="00A16561" w:rsidR="00AD6C90">
        <w:rPr>
          <w:rFonts w:eastAsia="Calibri"/>
        </w:rPr>
        <w:t>60.18</w:t>
      </w:r>
      <w:r w:rsidRPr="00A16561">
        <w:rPr>
          <w:rFonts w:eastAsia="Calibri"/>
        </w:rPr>
        <w:t xml:space="preserve"> per hour, </w:t>
      </w:r>
      <w:r w:rsidRPr="00A16561" w:rsidR="007933FD">
        <w:rPr>
          <w:rFonts w:eastAsia="Calibri"/>
        </w:rPr>
        <w:t xml:space="preserve">3 </w:t>
      </w:r>
      <w:r w:rsidRPr="00A16561">
        <w:rPr>
          <w:rFonts w:eastAsia="Calibri"/>
        </w:rPr>
        <w:t>minutes to certify by signature and date</w:t>
      </w:r>
      <w:r w:rsidRPr="00A16561" w:rsidR="00C81E37">
        <w:rPr>
          <w:rFonts w:eastAsia="Calibri"/>
        </w:rPr>
        <w:t xml:space="preserve"> the examination results. MSHA estimates that it takes a coal mine electrician </w:t>
      </w:r>
      <w:r w:rsidRPr="00A16561" w:rsidR="008F5A02">
        <w:rPr>
          <w:rFonts w:eastAsia="Calibri"/>
        </w:rPr>
        <w:t xml:space="preserve">6 </w:t>
      </w:r>
      <w:r w:rsidRPr="00A16561" w:rsidR="00C81E37">
        <w:rPr>
          <w:rFonts w:eastAsia="Calibri"/>
        </w:rPr>
        <w:t>minutes to make</w:t>
      </w:r>
      <w:r w:rsidRPr="00A16561" w:rsidR="00391464">
        <w:rPr>
          <w:rFonts w:eastAsia="Calibri"/>
        </w:rPr>
        <w:t xml:space="preserve"> </w:t>
      </w:r>
      <w:bookmarkEnd w:id="25"/>
      <w:r w:rsidRPr="00A16561">
        <w:rPr>
          <w:rFonts w:eastAsia="Calibri"/>
        </w:rPr>
        <w:t>a corrective action record</w:t>
      </w:r>
      <w:r w:rsidRPr="00A16561" w:rsidR="00C81E37">
        <w:rPr>
          <w:rFonts w:eastAsia="Calibri"/>
        </w:rPr>
        <w:t xml:space="preserve">. </w:t>
      </w:r>
      <w:r w:rsidRPr="00A16561">
        <w:rPr>
          <w:rFonts w:eastAsia="Calibri"/>
        </w:rPr>
        <w:t>MSHA estimates that</w:t>
      </w:r>
      <w:r w:rsidRPr="00A16561" w:rsidR="00C81E37">
        <w:rPr>
          <w:rFonts w:eastAsia="Calibri"/>
        </w:rPr>
        <w:t xml:space="preserve"> it takes</w:t>
      </w:r>
      <w:r w:rsidRPr="00A16561">
        <w:rPr>
          <w:rFonts w:eastAsia="Calibri"/>
        </w:rPr>
        <w:t xml:space="preserve"> a mine foreman or equivalent mine official, earning $</w:t>
      </w:r>
      <w:r w:rsidRPr="00A16561" w:rsidR="000E7EDD">
        <w:rPr>
          <w:rFonts w:eastAsia="Calibri"/>
        </w:rPr>
        <w:t>80.89</w:t>
      </w:r>
      <w:r w:rsidRPr="00A16561">
        <w:rPr>
          <w:rFonts w:eastAsia="Calibri"/>
        </w:rPr>
        <w:t xml:space="preserve"> per hour, </w:t>
      </w:r>
      <w:r w:rsidRPr="00A16561" w:rsidR="007154CA">
        <w:rPr>
          <w:rFonts w:eastAsia="Calibri"/>
        </w:rPr>
        <w:t xml:space="preserve">6 </w:t>
      </w:r>
      <w:r w:rsidRPr="00A16561">
        <w:rPr>
          <w:rFonts w:eastAsia="Calibri"/>
        </w:rPr>
        <w:t>minutes to</w:t>
      </w:r>
      <w:r w:rsidRPr="00A16561" w:rsidR="006770D5">
        <w:rPr>
          <w:rFonts w:eastAsia="Calibri"/>
        </w:rPr>
        <w:t xml:space="preserve"> review and</w:t>
      </w:r>
      <w:r w:rsidRPr="00A16561">
        <w:rPr>
          <w:rFonts w:eastAsia="Calibri"/>
        </w:rPr>
        <w:t xml:space="preserve"> countersign </w:t>
      </w:r>
      <w:r w:rsidRPr="00A16561" w:rsidR="006770D5">
        <w:rPr>
          <w:rFonts w:eastAsia="Calibri"/>
        </w:rPr>
        <w:t xml:space="preserve">a corrective action </w:t>
      </w:r>
      <w:r w:rsidRPr="00A16561">
        <w:rPr>
          <w:rFonts w:eastAsia="Calibri"/>
        </w:rPr>
        <w:t>record. Table 12-</w:t>
      </w:r>
      <w:r w:rsidRPr="00A16561" w:rsidR="000E7EDD">
        <w:rPr>
          <w:rFonts w:eastAsia="Calibri"/>
        </w:rPr>
        <w:t xml:space="preserve">2 </w:t>
      </w:r>
      <w:r w:rsidRPr="00A16561">
        <w:rPr>
          <w:rFonts w:eastAsia="Calibri"/>
        </w:rPr>
        <w:t>shows the time and cost</w:t>
      </w:r>
      <w:r w:rsidRPr="00A16561" w:rsidR="00FC1FA9">
        <w:rPr>
          <w:rFonts w:eastAsia="Calibri"/>
        </w:rPr>
        <w:t xml:space="preserve"> burden</w:t>
      </w:r>
      <w:r w:rsidRPr="00A16561">
        <w:rPr>
          <w:rFonts w:eastAsia="Calibri"/>
        </w:rPr>
        <w:t xml:space="preserve"> </w:t>
      </w:r>
      <w:r w:rsidRPr="00A16561" w:rsidR="00C81E37">
        <w:rPr>
          <w:rFonts w:eastAsia="Calibri"/>
        </w:rPr>
        <w:t>for tramming HVCMMs</w:t>
      </w:r>
      <w:r w:rsidRPr="00A16561">
        <w:rPr>
          <w:rFonts w:eastAsia="Calibri"/>
        </w:rPr>
        <w:t>.</w:t>
      </w:r>
    </w:p>
    <w:p w:rsidR="00807752" w:rsidRPr="00A16561" w:rsidP="00A16561" w14:paraId="378FE428" w14:textId="4C6E8D0D">
      <w:pPr>
        <w:widowControl/>
        <w:autoSpaceDE/>
        <w:autoSpaceDN/>
        <w:adjustRightInd/>
        <w:rPr>
          <w:b/>
          <w:bCs/>
          <w:color w:val="000000"/>
        </w:rPr>
      </w:pPr>
      <w:r w:rsidRPr="00A16561">
        <w:rPr>
          <w:rFonts w:eastAsia="Calibri"/>
        </w:rPr>
        <w:t xml:space="preserve">  </w:t>
      </w:r>
      <w:bookmarkStart w:id="26" w:name="_Hlk114568917"/>
    </w:p>
    <w:p w:rsidR="000E7EDD" w:rsidRPr="00A16561" w:rsidP="00A16561" w14:paraId="084C678F" w14:textId="4E233408">
      <w:pPr>
        <w:widowControl/>
        <w:autoSpaceDE/>
        <w:autoSpaceDN/>
        <w:adjustRightInd/>
        <w:rPr>
          <w:b/>
          <w:bCs/>
          <w:color w:val="000000"/>
        </w:rPr>
      </w:pPr>
      <w:r w:rsidRPr="00A16561">
        <w:rPr>
          <w:b/>
          <w:bCs/>
          <w:color w:val="000000"/>
        </w:rPr>
        <w:t xml:space="preserve">Table 12-2. Estimated Annual Respondent Hour and Cost Burden, </w:t>
      </w:r>
      <w:r w:rsidRPr="00A16561" w:rsidR="009903E9">
        <w:rPr>
          <w:b/>
          <w:bCs/>
          <w:color w:val="000000"/>
        </w:rPr>
        <w:t>Examinations</w:t>
      </w:r>
      <w:r w:rsidRPr="00A16561" w:rsidR="0006522D">
        <w:rPr>
          <w:b/>
          <w:bCs/>
          <w:color w:val="000000"/>
        </w:rPr>
        <w:t xml:space="preserve"> and Corrective Actions Prior to Tramming </w:t>
      </w:r>
      <w:r w:rsidRPr="00A16561" w:rsidR="009903E9">
        <w:rPr>
          <w:b/>
          <w:bCs/>
          <w:color w:val="000000"/>
        </w:rPr>
        <w:t>HVCMMs</w:t>
      </w:r>
      <w:r w:rsidRPr="00A16561">
        <w:rPr>
          <w:b/>
          <w:bCs/>
          <w:color w:val="000000"/>
        </w:rPr>
        <w:t xml:space="preserve"> (</w:t>
      </w:r>
      <w:r w:rsidRPr="00A16561" w:rsidR="002C7489">
        <w:rPr>
          <w:b/>
          <w:bCs/>
          <w:color w:val="000000"/>
        </w:rPr>
        <w:t>30 CFR 75.829(b), 75.832</w:t>
      </w:r>
      <w:r w:rsidRPr="00A16561" w:rsidR="00DA790B">
        <w:rPr>
          <w:b/>
          <w:bCs/>
          <w:color w:val="000000"/>
        </w:rPr>
        <w:t xml:space="preserve"> (f) and </w:t>
      </w:r>
      <w:r w:rsidRPr="00A16561" w:rsidR="002C7489">
        <w:rPr>
          <w:b/>
          <w:bCs/>
          <w:color w:val="000000"/>
        </w:rPr>
        <w:t>(g)</w:t>
      </w:r>
      <w:r w:rsidRPr="00A16561">
        <w:rPr>
          <w:b/>
          <w:bCs/>
          <w:color w:val="000000"/>
        </w:rPr>
        <w:t>)</w:t>
      </w:r>
    </w:p>
    <w:tbl>
      <w:tblPr>
        <w:tblStyle w:val="TableGrid"/>
        <w:tblW w:w="9625" w:type="dxa"/>
        <w:tblLayout w:type="fixed"/>
        <w:tblLook w:val="04A0"/>
      </w:tblPr>
      <w:tblGrid>
        <w:gridCol w:w="1525"/>
        <w:gridCol w:w="1350"/>
        <w:gridCol w:w="1260"/>
        <w:gridCol w:w="1170"/>
        <w:gridCol w:w="1260"/>
        <w:gridCol w:w="990"/>
        <w:gridCol w:w="990"/>
        <w:gridCol w:w="1080"/>
      </w:tblGrid>
      <w:tr w14:paraId="2F86F360" w14:textId="77777777" w:rsidTr="005154C9">
        <w:tblPrEx>
          <w:tblW w:w="9625" w:type="dxa"/>
          <w:tblLayout w:type="fixed"/>
          <w:tblLook w:val="04A0"/>
        </w:tblPrEx>
        <w:trPr>
          <w:trHeight w:val="747"/>
        </w:trPr>
        <w:tc>
          <w:tcPr>
            <w:tcW w:w="1525" w:type="dxa"/>
            <w:shd w:val="clear" w:color="auto" w:fill="8EAADB" w:themeFill="accent1" w:themeFillTint="99"/>
            <w:vAlign w:val="center"/>
            <w:hideMark/>
          </w:tcPr>
          <w:p w:rsidR="000E7EDD" w:rsidRPr="00A16561" w:rsidP="00A16561" w14:paraId="762D8AD9" w14:textId="77777777">
            <w:pPr>
              <w:widowControl/>
              <w:autoSpaceDE/>
              <w:autoSpaceDN/>
              <w:adjustRightInd/>
              <w:rPr>
                <w:rFonts w:eastAsiaTheme="minorHAnsi"/>
                <w:sz w:val="20"/>
                <w:szCs w:val="20"/>
              </w:rPr>
            </w:pPr>
            <w:bookmarkStart w:id="27" w:name="_Hlk114568834"/>
            <w:bookmarkEnd w:id="26"/>
            <w:r w:rsidRPr="00A16561">
              <w:rPr>
                <w:color w:val="000000"/>
                <w:sz w:val="20"/>
                <w:szCs w:val="20"/>
              </w:rPr>
              <w:t>Activity (Occupation)</w:t>
            </w:r>
          </w:p>
        </w:tc>
        <w:tc>
          <w:tcPr>
            <w:tcW w:w="1350" w:type="dxa"/>
            <w:shd w:val="clear" w:color="auto" w:fill="8EAADB" w:themeFill="accent1" w:themeFillTint="99"/>
            <w:vAlign w:val="center"/>
            <w:hideMark/>
          </w:tcPr>
          <w:p w:rsidR="000E7EDD" w:rsidRPr="00A16561" w:rsidP="00A16561" w14:paraId="4C34A5FC" w14:textId="51EAB30D">
            <w:pPr>
              <w:widowControl/>
              <w:autoSpaceDE/>
              <w:autoSpaceDN/>
              <w:adjustRightInd/>
              <w:jc w:val="center"/>
              <w:rPr>
                <w:rFonts w:eastAsiaTheme="minorHAnsi"/>
                <w:sz w:val="20"/>
                <w:szCs w:val="20"/>
              </w:rPr>
            </w:pPr>
            <w:r w:rsidRPr="00A16561">
              <w:rPr>
                <w:color w:val="000000"/>
                <w:sz w:val="20"/>
                <w:szCs w:val="20"/>
              </w:rPr>
              <w:t>Number of Respondents (Mine</w:t>
            </w:r>
            <w:r w:rsidRPr="00A16561" w:rsidR="00AA5238">
              <w:rPr>
                <w:color w:val="000000"/>
                <w:sz w:val="20"/>
                <w:szCs w:val="20"/>
              </w:rPr>
              <w:t xml:space="preserve"> Operators</w:t>
            </w:r>
            <w:r w:rsidRPr="00A16561">
              <w:rPr>
                <w:color w:val="000000"/>
                <w:sz w:val="20"/>
                <w:szCs w:val="20"/>
              </w:rPr>
              <w:t>)</w:t>
            </w:r>
          </w:p>
        </w:tc>
        <w:tc>
          <w:tcPr>
            <w:tcW w:w="1260" w:type="dxa"/>
            <w:shd w:val="clear" w:color="auto" w:fill="8EAADB" w:themeFill="accent1" w:themeFillTint="99"/>
            <w:vAlign w:val="center"/>
          </w:tcPr>
          <w:p w:rsidR="000E7EDD" w:rsidRPr="00A16561" w:rsidP="00A16561" w14:paraId="1AD097D4" w14:textId="77777777">
            <w:pPr>
              <w:widowControl/>
              <w:autoSpaceDE/>
              <w:autoSpaceDN/>
              <w:adjustRightInd/>
              <w:jc w:val="center"/>
              <w:rPr>
                <w:rFonts w:eastAsiaTheme="minorHAnsi"/>
                <w:sz w:val="20"/>
                <w:szCs w:val="20"/>
              </w:rPr>
            </w:pPr>
            <w:r w:rsidRPr="00A16561">
              <w:rPr>
                <w:color w:val="000000"/>
                <w:sz w:val="20"/>
                <w:szCs w:val="20"/>
              </w:rPr>
              <w:t>Number of Responses per Respondent</w:t>
            </w:r>
          </w:p>
        </w:tc>
        <w:tc>
          <w:tcPr>
            <w:tcW w:w="1170" w:type="dxa"/>
            <w:shd w:val="clear" w:color="auto" w:fill="8EAADB" w:themeFill="accent1" w:themeFillTint="99"/>
            <w:vAlign w:val="center"/>
          </w:tcPr>
          <w:p w:rsidR="000E7EDD" w:rsidRPr="00A16561" w:rsidP="00A16561" w14:paraId="4F5D6D57" w14:textId="2ABE6ED7">
            <w:pPr>
              <w:widowControl/>
              <w:autoSpaceDE/>
              <w:autoSpaceDN/>
              <w:adjustRightInd/>
              <w:jc w:val="center"/>
              <w:rPr>
                <w:rFonts w:eastAsiaTheme="minorHAnsi"/>
                <w:sz w:val="20"/>
                <w:szCs w:val="20"/>
              </w:rPr>
            </w:pPr>
            <w:r w:rsidRPr="00A16561">
              <w:rPr>
                <w:color w:val="000000"/>
                <w:sz w:val="20"/>
                <w:szCs w:val="20"/>
              </w:rPr>
              <w:t>Total Responses (</w:t>
            </w:r>
            <w:r w:rsidRPr="00A16561" w:rsidR="00DF232F">
              <w:rPr>
                <w:color w:val="000000"/>
                <w:sz w:val="20"/>
                <w:szCs w:val="20"/>
              </w:rPr>
              <w:t xml:space="preserve">Exams </w:t>
            </w:r>
            <w:r w:rsidRPr="00A16561" w:rsidR="001C33F4">
              <w:rPr>
                <w:color w:val="000000"/>
                <w:sz w:val="20"/>
                <w:szCs w:val="20"/>
              </w:rPr>
              <w:t>or Corrective Actions</w:t>
            </w:r>
            <w:r w:rsidRPr="00A16561">
              <w:rPr>
                <w:color w:val="000000"/>
                <w:sz w:val="20"/>
                <w:szCs w:val="20"/>
              </w:rPr>
              <w:t>)</w:t>
            </w:r>
          </w:p>
        </w:tc>
        <w:tc>
          <w:tcPr>
            <w:tcW w:w="1260" w:type="dxa"/>
            <w:shd w:val="clear" w:color="auto" w:fill="8EAADB" w:themeFill="accent1" w:themeFillTint="99"/>
            <w:vAlign w:val="center"/>
          </w:tcPr>
          <w:p w:rsidR="000E7EDD" w:rsidRPr="00A16561" w:rsidP="00A16561" w14:paraId="4E388DD4" w14:textId="77777777">
            <w:pPr>
              <w:widowControl/>
              <w:autoSpaceDE/>
              <w:autoSpaceDN/>
              <w:adjustRightInd/>
              <w:jc w:val="center"/>
              <w:rPr>
                <w:rFonts w:eastAsiaTheme="minorHAnsi"/>
                <w:sz w:val="20"/>
                <w:szCs w:val="20"/>
              </w:rPr>
            </w:pPr>
            <w:r w:rsidRPr="00A16561">
              <w:rPr>
                <w:color w:val="000000"/>
                <w:sz w:val="20"/>
                <w:szCs w:val="20"/>
              </w:rPr>
              <w:t>Average Burden (Hours)</w:t>
            </w:r>
          </w:p>
        </w:tc>
        <w:tc>
          <w:tcPr>
            <w:tcW w:w="990" w:type="dxa"/>
            <w:shd w:val="clear" w:color="auto" w:fill="8EAADB" w:themeFill="accent1" w:themeFillTint="99"/>
            <w:vAlign w:val="center"/>
            <w:hideMark/>
          </w:tcPr>
          <w:p w:rsidR="000E7EDD" w:rsidRPr="00A16561" w:rsidP="00A16561" w14:paraId="6AA5D514" w14:textId="77777777">
            <w:pPr>
              <w:widowControl/>
              <w:autoSpaceDE/>
              <w:autoSpaceDN/>
              <w:adjustRightInd/>
              <w:jc w:val="center"/>
              <w:rPr>
                <w:rFonts w:eastAsiaTheme="minorHAnsi"/>
                <w:sz w:val="20"/>
                <w:szCs w:val="20"/>
              </w:rPr>
            </w:pPr>
            <w:r w:rsidRPr="00A16561">
              <w:rPr>
                <w:color w:val="000000"/>
                <w:sz w:val="20"/>
                <w:szCs w:val="20"/>
              </w:rPr>
              <w:t>Total Burden (Hours)</w:t>
            </w:r>
          </w:p>
        </w:tc>
        <w:tc>
          <w:tcPr>
            <w:tcW w:w="990" w:type="dxa"/>
            <w:shd w:val="clear" w:color="auto" w:fill="8EAADB" w:themeFill="accent1" w:themeFillTint="99"/>
            <w:vAlign w:val="center"/>
            <w:hideMark/>
          </w:tcPr>
          <w:p w:rsidR="000E7EDD" w:rsidRPr="00A16561" w:rsidP="00A16561" w14:paraId="76EC6303" w14:textId="77777777">
            <w:pPr>
              <w:widowControl/>
              <w:autoSpaceDE/>
              <w:autoSpaceDN/>
              <w:adjustRightInd/>
              <w:jc w:val="center"/>
              <w:rPr>
                <w:rFonts w:eastAsiaTheme="minorHAnsi"/>
                <w:sz w:val="20"/>
                <w:szCs w:val="20"/>
              </w:rPr>
            </w:pPr>
            <w:r w:rsidRPr="00A16561">
              <w:rPr>
                <w:color w:val="000000"/>
                <w:sz w:val="20"/>
                <w:szCs w:val="20"/>
              </w:rPr>
              <w:t>Hourly Wage Rate</w:t>
            </w:r>
          </w:p>
        </w:tc>
        <w:tc>
          <w:tcPr>
            <w:tcW w:w="1080" w:type="dxa"/>
            <w:shd w:val="clear" w:color="auto" w:fill="8EAADB" w:themeFill="accent1" w:themeFillTint="99"/>
            <w:vAlign w:val="center"/>
            <w:hideMark/>
          </w:tcPr>
          <w:p w:rsidR="000E7EDD" w:rsidRPr="00A16561" w:rsidP="00A16561" w14:paraId="659F68DE" w14:textId="77777777">
            <w:pPr>
              <w:widowControl/>
              <w:autoSpaceDE/>
              <w:autoSpaceDN/>
              <w:adjustRightInd/>
              <w:jc w:val="center"/>
              <w:rPr>
                <w:rFonts w:eastAsiaTheme="minorHAnsi"/>
                <w:sz w:val="20"/>
                <w:szCs w:val="20"/>
              </w:rPr>
            </w:pPr>
            <w:r w:rsidRPr="00A16561">
              <w:rPr>
                <w:color w:val="000000"/>
                <w:sz w:val="20"/>
                <w:szCs w:val="20"/>
              </w:rPr>
              <w:t>Total Burden Cost</w:t>
            </w:r>
          </w:p>
        </w:tc>
      </w:tr>
      <w:tr w14:paraId="228563A7" w14:textId="77777777" w:rsidTr="00584E68">
        <w:tblPrEx>
          <w:tblW w:w="9625" w:type="dxa"/>
          <w:tblLayout w:type="fixed"/>
          <w:tblLook w:val="04A0"/>
        </w:tblPrEx>
        <w:trPr>
          <w:trHeight w:val="363"/>
        </w:trPr>
        <w:tc>
          <w:tcPr>
            <w:tcW w:w="1525" w:type="dxa"/>
            <w:noWrap/>
            <w:vAlign w:val="center"/>
            <w:hideMark/>
          </w:tcPr>
          <w:p w:rsidR="000E7EDD" w:rsidRPr="00A16561" w:rsidP="00A16561" w14:paraId="673384D6" w14:textId="66AEEC25">
            <w:pPr>
              <w:widowControl/>
              <w:autoSpaceDE/>
              <w:autoSpaceDN/>
              <w:adjustRightInd/>
              <w:rPr>
                <w:rFonts w:eastAsiaTheme="minorHAnsi"/>
                <w:bCs/>
                <w:sz w:val="20"/>
                <w:szCs w:val="20"/>
              </w:rPr>
            </w:pPr>
            <w:r w:rsidRPr="00A16561">
              <w:rPr>
                <w:color w:val="000000"/>
                <w:sz w:val="20"/>
                <w:szCs w:val="20"/>
              </w:rPr>
              <w:t xml:space="preserve">Record of </w:t>
            </w:r>
            <w:r w:rsidRPr="00A16561" w:rsidR="00C81E37">
              <w:rPr>
                <w:color w:val="000000"/>
                <w:sz w:val="20"/>
                <w:szCs w:val="20"/>
              </w:rPr>
              <w:t xml:space="preserve">Examinations </w:t>
            </w:r>
            <w:r w:rsidRPr="00A16561">
              <w:rPr>
                <w:color w:val="000000"/>
                <w:sz w:val="20"/>
                <w:szCs w:val="20"/>
              </w:rPr>
              <w:t>(Electrician)</w:t>
            </w:r>
          </w:p>
        </w:tc>
        <w:tc>
          <w:tcPr>
            <w:tcW w:w="1350" w:type="dxa"/>
            <w:noWrap/>
            <w:vAlign w:val="center"/>
          </w:tcPr>
          <w:p w:rsidR="000E7EDD" w:rsidRPr="00A16561" w:rsidP="00A16561" w14:paraId="3E7BF336" w14:textId="2DDD6169">
            <w:pPr>
              <w:widowControl/>
              <w:autoSpaceDE/>
              <w:autoSpaceDN/>
              <w:adjustRightInd/>
              <w:jc w:val="right"/>
              <w:rPr>
                <w:rFonts w:eastAsiaTheme="minorHAnsi"/>
                <w:bCs/>
                <w:sz w:val="20"/>
                <w:szCs w:val="20"/>
              </w:rPr>
            </w:pPr>
            <w:r w:rsidRPr="00A16561">
              <w:rPr>
                <w:rFonts w:eastAsiaTheme="minorHAnsi"/>
                <w:bCs/>
                <w:sz w:val="20"/>
                <w:szCs w:val="20"/>
              </w:rPr>
              <w:t>3</w:t>
            </w:r>
          </w:p>
        </w:tc>
        <w:tc>
          <w:tcPr>
            <w:tcW w:w="1260" w:type="dxa"/>
            <w:vAlign w:val="center"/>
          </w:tcPr>
          <w:p w:rsidR="000E7EDD" w:rsidRPr="00A16561" w:rsidP="00A16561" w14:paraId="342E46EB" w14:textId="477B1F31">
            <w:pPr>
              <w:widowControl/>
              <w:autoSpaceDE/>
              <w:autoSpaceDN/>
              <w:adjustRightInd/>
              <w:jc w:val="right"/>
              <w:rPr>
                <w:rFonts w:eastAsiaTheme="minorHAnsi"/>
                <w:bCs/>
                <w:sz w:val="20"/>
                <w:szCs w:val="20"/>
              </w:rPr>
            </w:pPr>
            <w:r w:rsidRPr="00A16561">
              <w:rPr>
                <w:rFonts w:eastAsiaTheme="minorHAnsi"/>
                <w:bCs/>
                <w:sz w:val="20"/>
                <w:szCs w:val="20"/>
              </w:rPr>
              <w:t>7.33</w:t>
            </w:r>
          </w:p>
        </w:tc>
        <w:tc>
          <w:tcPr>
            <w:tcW w:w="1170" w:type="dxa"/>
            <w:vAlign w:val="center"/>
          </w:tcPr>
          <w:p w:rsidR="000E7EDD" w:rsidRPr="00A16561" w:rsidP="00A16561" w14:paraId="6E637937" w14:textId="30C7433C">
            <w:pPr>
              <w:widowControl/>
              <w:autoSpaceDE/>
              <w:autoSpaceDN/>
              <w:adjustRightInd/>
              <w:jc w:val="right"/>
              <w:rPr>
                <w:rFonts w:eastAsiaTheme="minorHAnsi"/>
                <w:bCs/>
                <w:sz w:val="20"/>
                <w:szCs w:val="20"/>
              </w:rPr>
            </w:pPr>
            <w:r w:rsidRPr="00A16561">
              <w:rPr>
                <w:rFonts w:eastAsiaTheme="minorHAnsi"/>
                <w:bCs/>
                <w:sz w:val="20"/>
                <w:szCs w:val="20"/>
              </w:rPr>
              <w:t>22</w:t>
            </w:r>
          </w:p>
        </w:tc>
        <w:tc>
          <w:tcPr>
            <w:tcW w:w="1260" w:type="dxa"/>
            <w:vAlign w:val="center"/>
          </w:tcPr>
          <w:p w:rsidR="000E7EDD" w:rsidRPr="00A16561" w:rsidP="00A16561" w14:paraId="792E16A2" w14:textId="17D9F20C">
            <w:pPr>
              <w:widowControl/>
              <w:autoSpaceDE/>
              <w:autoSpaceDN/>
              <w:adjustRightInd/>
              <w:jc w:val="right"/>
              <w:rPr>
                <w:rFonts w:eastAsiaTheme="minorHAnsi"/>
                <w:bCs/>
                <w:sz w:val="20"/>
                <w:szCs w:val="20"/>
              </w:rPr>
            </w:pPr>
            <w:r w:rsidRPr="00A16561">
              <w:rPr>
                <w:rFonts w:eastAsiaTheme="minorHAnsi"/>
                <w:bCs/>
                <w:sz w:val="20"/>
                <w:szCs w:val="20"/>
              </w:rPr>
              <w:t>0.05</w:t>
            </w:r>
          </w:p>
        </w:tc>
        <w:tc>
          <w:tcPr>
            <w:tcW w:w="990" w:type="dxa"/>
            <w:noWrap/>
            <w:vAlign w:val="center"/>
          </w:tcPr>
          <w:p w:rsidR="000E7EDD" w:rsidRPr="00A16561" w:rsidP="00A16561" w14:paraId="7827352A" w14:textId="37B0589D">
            <w:pPr>
              <w:widowControl/>
              <w:autoSpaceDE/>
              <w:autoSpaceDN/>
              <w:adjustRightInd/>
              <w:jc w:val="right"/>
              <w:rPr>
                <w:rFonts w:eastAsiaTheme="minorHAnsi"/>
                <w:bCs/>
                <w:sz w:val="20"/>
                <w:szCs w:val="20"/>
              </w:rPr>
            </w:pPr>
            <w:r w:rsidRPr="00A16561">
              <w:rPr>
                <w:rFonts w:eastAsiaTheme="minorHAnsi"/>
                <w:bCs/>
                <w:sz w:val="20"/>
                <w:szCs w:val="20"/>
              </w:rPr>
              <w:t>1.10</w:t>
            </w:r>
          </w:p>
        </w:tc>
        <w:tc>
          <w:tcPr>
            <w:tcW w:w="990" w:type="dxa"/>
            <w:noWrap/>
            <w:vAlign w:val="center"/>
          </w:tcPr>
          <w:p w:rsidR="000E7EDD" w:rsidRPr="00A16561" w:rsidP="00A16561" w14:paraId="132F9741" w14:textId="09F26719">
            <w:pPr>
              <w:widowControl/>
              <w:autoSpaceDE/>
              <w:autoSpaceDN/>
              <w:adjustRightInd/>
              <w:jc w:val="right"/>
              <w:rPr>
                <w:rFonts w:eastAsiaTheme="minorHAnsi"/>
                <w:bCs/>
                <w:sz w:val="20"/>
                <w:szCs w:val="20"/>
              </w:rPr>
            </w:pPr>
            <w:r w:rsidRPr="00A16561">
              <w:rPr>
                <w:rFonts w:eastAsiaTheme="minorHAnsi"/>
                <w:bCs/>
                <w:sz w:val="20"/>
                <w:szCs w:val="20"/>
              </w:rPr>
              <w:t>$60.18</w:t>
            </w:r>
          </w:p>
        </w:tc>
        <w:tc>
          <w:tcPr>
            <w:tcW w:w="1080" w:type="dxa"/>
            <w:noWrap/>
            <w:vAlign w:val="center"/>
          </w:tcPr>
          <w:p w:rsidR="000E7EDD" w:rsidRPr="00A16561" w:rsidP="00A16561" w14:paraId="23CA49FE" w14:textId="1CE663F7">
            <w:pPr>
              <w:widowControl/>
              <w:autoSpaceDE/>
              <w:autoSpaceDN/>
              <w:adjustRightInd/>
              <w:jc w:val="right"/>
              <w:rPr>
                <w:rFonts w:eastAsiaTheme="minorHAnsi"/>
                <w:bCs/>
                <w:sz w:val="20"/>
                <w:szCs w:val="20"/>
              </w:rPr>
            </w:pPr>
            <w:r w:rsidRPr="00A16561">
              <w:rPr>
                <w:rFonts w:eastAsiaTheme="minorHAnsi"/>
                <w:bCs/>
                <w:sz w:val="20"/>
                <w:szCs w:val="20"/>
              </w:rPr>
              <w:t>$66.20</w:t>
            </w:r>
          </w:p>
        </w:tc>
      </w:tr>
      <w:tr w14:paraId="417F86F3" w14:textId="77777777" w:rsidTr="00E27985">
        <w:tblPrEx>
          <w:tblW w:w="9625" w:type="dxa"/>
          <w:tblLayout w:type="fixed"/>
          <w:tblLook w:val="04A0"/>
        </w:tblPrEx>
        <w:trPr>
          <w:trHeight w:val="363"/>
        </w:trPr>
        <w:tc>
          <w:tcPr>
            <w:tcW w:w="9625" w:type="dxa"/>
            <w:gridSpan w:val="8"/>
            <w:noWrap/>
            <w:vAlign w:val="center"/>
          </w:tcPr>
          <w:p w:rsidR="00DA790B" w:rsidRPr="00A16561" w:rsidP="00A16561" w14:paraId="2ADB7E0D" w14:textId="42247E9C">
            <w:pPr>
              <w:widowControl/>
              <w:autoSpaceDE/>
              <w:autoSpaceDN/>
              <w:adjustRightInd/>
              <w:rPr>
                <w:rFonts w:eastAsiaTheme="minorHAnsi"/>
                <w:bCs/>
                <w:sz w:val="20"/>
                <w:szCs w:val="20"/>
              </w:rPr>
            </w:pPr>
            <w:r w:rsidRPr="00A16561">
              <w:rPr>
                <w:rFonts w:eastAsiaTheme="minorHAnsi"/>
                <w:bCs/>
                <w:sz w:val="20"/>
                <w:szCs w:val="20"/>
              </w:rPr>
              <w:t>Corrective Actions</w:t>
            </w:r>
          </w:p>
        </w:tc>
      </w:tr>
      <w:tr w14:paraId="7586AC40" w14:textId="77777777" w:rsidTr="000E7EDD">
        <w:tblPrEx>
          <w:tblW w:w="9625" w:type="dxa"/>
          <w:tblLayout w:type="fixed"/>
          <w:tblLook w:val="04A0"/>
        </w:tblPrEx>
        <w:trPr>
          <w:trHeight w:val="363"/>
        </w:trPr>
        <w:tc>
          <w:tcPr>
            <w:tcW w:w="1525" w:type="dxa"/>
            <w:noWrap/>
            <w:vAlign w:val="center"/>
          </w:tcPr>
          <w:p w:rsidR="001C33F4" w:rsidRPr="00A16561" w:rsidP="00A16561" w14:paraId="3405D525" w14:textId="05A1FE73">
            <w:pPr>
              <w:widowControl/>
              <w:autoSpaceDE/>
              <w:autoSpaceDN/>
              <w:adjustRightInd/>
              <w:ind w:left="161"/>
              <w:rPr>
                <w:color w:val="000000"/>
                <w:sz w:val="20"/>
                <w:szCs w:val="20"/>
              </w:rPr>
            </w:pPr>
            <w:r w:rsidRPr="00A16561">
              <w:rPr>
                <w:color w:val="000000"/>
                <w:sz w:val="20"/>
                <w:szCs w:val="20"/>
              </w:rPr>
              <w:t>Record of Corrective Actions (Electrician)</w:t>
            </w:r>
          </w:p>
        </w:tc>
        <w:tc>
          <w:tcPr>
            <w:tcW w:w="1350" w:type="dxa"/>
            <w:noWrap/>
            <w:vAlign w:val="center"/>
          </w:tcPr>
          <w:p w:rsidR="001C33F4" w:rsidRPr="00A16561" w:rsidP="00A16561" w14:paraId="5ECEB0C6" w14:textId="7046ADAA">
            <w:pPr>
              <w:widowControl/>
              <w:autoSpaceDE/>
              <w:autoSpaceDN/>
              <w:adjustRightInd/>
              <w:jc w:val="right"/>
              <w:rPr>
                <w:rFonts w:eastAsiaTheme="minorHAnsi"/>
                <w:bCs/>
                <w:sz w:val="20"/>
                <w:szCs w:val="20"/>
              </w:rPr>
            </w:pPr>
            <w:r w:rsidRPr="00A16561">
              <w:rPr>
                <w:rFonts w:eastAsiaTheme="minorHAnsi"/>
                <w:bCs/>
                <w:sz w:val="20"/>
                <w:szCs w:val="20"/>
              </w:rPr>
              <w:t>3</w:t>
            </w:r>
          </w:p>
        </w:tc>
        <w:tc>
          <w:tcPr>
            <w:tcW w:w="1260" w:type="dxa"/>
            <w:vAlign w:val="center"/>
          </w:tcPr>
          <w:p w:rsidR="001C33F4" w:rsidRPr="00A16561" w:rsidP="00A16561" w14:paraId="3A608EF2" w14:textId="3E811F65">
            <w:pPr>
              <w:widowControl/>
              <w:autoSpaceDE/>
              <w:autoSpaceDN/>
              <w:adjustRightInd/>
              <w:jc w:val="right"/>
              <w:rPr>
                <w:rFonts w:eastAsiaTheme="minorHAnsi"/>
                <w:bCs/>
                <w:sz w:val="20"/>
                <w:szCs w:val="20"/>
              </w:rPr>
            </w:pPr>
            <w:r w:rsidRPr="00A16561">
              <w:rPr>
                <w:rFonts w:eastAsiaTheme="minorHAnsi"/>
                <w:bCs/>
                <w:sz w:val="20"/>
                <w:szCs w:val="20"/>
              </w:rPr>
              <w:t>7.33</w:t>
            </w:r>
          </w:p>
        </w:tc>
        <w:tc>
          <w:tcPr>
            <w:tcW w:w="1170" w:type="dxa"/>
            <w:vAlign w:val="center"/>
          </w:tcPr>
          <w:p w:rsidR="001C33F4" w:rsidRPr="00A16561" w:rsidP="00A16561" w14:paraId="2558ACC9" w14:textId="6B0AA503">
            <w:pPr>
              <w:widowControl/>
              <w:autoSpaceDE/>
              <w:autoSpaceDN/>
              <w:adjustRightInd/>
              <w:jc w:val="right"/>
              <w:rPr>
                <w:rFonts w:eastAsiaTheme="minorHAnsi"/>
                <w:bCs/>
                <w:sz w:val="20"/>
                <w:szCs w:val="20"/>
              </w:rPr>
            </w:pPr>
            <w:r w:rsidRPr="00A16561">
              <w:rPr>
                <w:rFonts w:eastAsiaTheme="minorHAnsi"/>
                <w:bCs/>
                <w:sz w:val="20"/>
                <w:szCs w:val="20"/>
              </w:rPr>
              <w:t>22</w:t>
            </w:r>
          </w:p>
        </w:tc>
        <w:tc>
          <w:tcPr>
            <w:tcW w:w="1260" w:type="dxa"/>
            <w:vAlign w:val="center"/>
          </w:tcPr>
          <w:p w:rsidR="001C33F4" w:rsidRPr="00A16561" w:rsidP="00A16561" w14:paraId="55E970D0" w14:textId="74904CD1">
            <w:pPr>
              <w:widowControl/>
              <w:autoSpaceDE/>
              <w:autoSpaceDN/>
              <w:adjustRightInd/>
              <w:jc w:val="right"/>
              <w:rPr>
                <w:rFonts w:eastAsiaTheme="minorHAnsi"/>
                <w:bCs/>
                <w:sz w:val="20"/>
                <w:szCs w:val="20"/>
              </w:rPr>
            </w:pPr>
            <w:r w:rsidRPr="00A16561">
              <w:rPr>
                <w:rFonts w:eastAsiaTheme="minorHAnsi"/>
                <w:bCs/>
                <w:sz w:val="20"/>
                <w:szCs w:val="20"/>
              </w:rPr>
              <w:t>0.10</w:t>
            </w:r>
          </w:p>
        </w:tc>
        <w:tc>
          <w:tcPr>
            <w:tcW w:w="990" w:type="dxa"/>
            <w:noWrap/>
            <w:vAlign w:val="center"/>
          </w:tcPr>
          <w:p w:rsidR="001C33F4" w:rsidRPr="00A16561" w:rsidP="00A16561" w14:paraId="7799B493" w14:textId="419AF998">
            <w:pPr>
              <w:widowControl/>
              <w:autoSpaceDE/>
              <w:autoSpaceDN/>
              <w:adjustRightInd/>
              <w:jc w:val="right"/>
              <w:rPr>
                <w:rFonts w:eastAsiaTheme="minorHAnsi"/>
                <w:bCs/>
                <w:sz w:val="20"/>
                <w:szCs w:val="20"/>
              </w:rPr>
            </w:pPr>
            <w:r w:rsidRPr="00A16561">
              <w:rPr>
                <w:rFonts w:eastAsiaTheme="minorHAnsi"/>
                <w:bCs/>
                <w:sz w:val="20"/>
                <w:szCs w:val="20"/>
              </w:rPr>
              <w:t>2.20</w:t>
            </w:r>
          </w:p>
        </w:tc>
        <w:tc>
          <w:tcPr>
            <w:tcW w:w="990" w:type="dxa"/>
            <w:noWrap/>
            <w:vAlign w:val="center"/>
          </w:tcPr>
          <w:p w:rsidR="001C33F4" w:rsidRPr="00A16561" w:rsidP="00A16561" w14:paraId="5EB16383" w14:textId="19ECE14C">
            <w:pPr>
              <w:widowControl/>
              <w:autoSpaceDE/>
              <w:autoSpaceDN/>
              <w:adjustRightInd/>
              <w:jc w:val="right"/>
              <w:rPr>
                <w:rFonts w:eastAsiaTheme="minorHAnsi"/>
                <w:bCs/>
                <w:sz w:val="20"/>
                <w:szCs w:val="20"/>
              </w:rPr>
            </w:pPr>
            <w:r w:rsidRPr="00A16561">
              <w:rPr>
                <w:rFonts w:eastAsiaTheme="minorHAnsi"/>
                <w:bCs/>
                <w:sz w:val="20"/>
                <w:szCs w:val="20"/>
              </w:rPr>
              <w:t>$60.18</w:t>
            </w:r>
          </w:p>
        </w:tc>
        <w:tc>
          <w:tcPr>
            <w:tcW w:w="1080" w:type="dxa"/>
            <w:noWrap/>
            <w:vAlign w:val="center"/>
          </w:tcPr>
          <w:p w:rsidR="001C33F4" w:rsidRPr="00A16561" w:rsidP="00A16561" w14:paraId="56437906" w14:textId="0F489F27">
            <w:pPr>
              <w:widowControl/>
              <w:autoSpaceDE/>
              <w:autoSpaceDN/>
              <w:adjustRightInd/>
              <w:jc w:val="right"/>
              <w:rPr>
                <w:rFonts w:eastAsiaTheme="minorHAnsi"/>
                <w:bCs/>
                <w:sz w:val="20"/>
                <w:szCs w:val="20"/>
              </w:rPr>
            </w:pPr>
            <w:r w:rsidRPr="00A16561">
              <w:rPr>
                <w:rFonts w:eastAsiaTheme="minorHAnsi"/>
                <w:bCs/>
                <w:sz w:val="20"/>
                <w:szCs w:val="20"/>
              </w:rPr>
              <w:t>$132.40</w:t>
            </w:r>
          </w:p>
        </w:tc>
      </w:tr>
      <w:tr w14:paraId="4709496C" w14:textId="77777777" w:rsidTr="00584E68">
        <w:tblPrEx>
          <w:tblW w:w="9625" w:type="dxa"/>
          <w:tblLayout w:type="fixed"/>
          <w:tblLook w:val="04A0"/>
        </w:tblPrEx>
        <w:trPr>
          <w:trHeight w:val="363"/>
        </w:trPr>
        <w:tc>
          <w:tcPr>
            <w:tcW w:w="1525" w:type="dxa"/>
            <w:noWrap/>
            <w:vAlign w:val="center"/>
            <w:hideMark/>
          </w:tcPr>
          <w:p w:rsidR="000E7EDD" w:rsidRPr="00A16561" w:rsidP="00A16561" w14:paraId="724CB0FE" w14:textId="638511C1">
            <w:pPr>
              <w:widowControl/>
              <w:autoSpaceDE/>
              <w:autoSpaceDN/>
              <w:adjustRightInd/>
              <w:ind w:left="161"/>
              <w:rPr>
                <w:color w:val="000000"/>
                <w:sz w:val="20"/>
                <w:szCs w:val="20"/>
              </w:rPr>
            </w:pPr>
            <w:r w:rsidRPr="00A16561">
              <w:rPr>
                <w:color w:val="000000"/>
                <w:sz w:val="20"/>
                <w:szCs w:val="20"/>
              </w:rPr>
              <w:t>Certification of Corrective Actions (Min</w:t>
            </w:r>
            <w:r w:rsidRPr="00A16561" w:rsidR="00DF232F">
              <w:rPr>
                <w:color w:val="000000"/>
                <w:sz w:val="20"/>
                <w:szCs w:val="20"/>
              </w:rPr>
              <w:t>e</w:t>
            </w:r>
            <w:r w:rsidRPr="00A16561">
              <w:rPr>
                <w:color w:val="000000"/>
                <w:sz w:val="20"/>
                <w:szCs w:val="20"/>
              </w:rPr>
              <w:t xml:space="preserve"> Foreman)</w:t>
            </w:r>
          </w:p>
        </w:tc>
        <w:tc>
          <w:tcPr>
            <w:tcW w:w="1350" w:type="dxa"/>
            <w:noWrap/>
            <w:vAlign w:val="center"/>
          </w:tcPr>
          <w:p w:rsidR="000E7EDD" w:rsidRPr="00A16561" w:rsidP="00A16561" w14:paraId="032EEA60" w14:textId="11187236">
            <w:pPr>
              <w:widowControl/>
              <w:autoSpaceDE/>
              <w:autoSpaceDN/>
              <w:adjustRightInd/>
              <w:jc w:val="right"/>
              <w:rPr>
                <w:rFonts w:eastAsiaTheme="minorHAnsi"/>
                <w:bCs/>
                <w:sz w:val="20"/>
                <w:szCs w:val="20"/>
              </w:rPr>
            </w:pPr>
            <w:r w:rsidRPr="00A16561">
              <w:rPr>
                <w:rFonts w:eastAsiaTheme="minorHAnsi"/>
                <w:bCs/>
                <w:sz w:val="20"/>
                <w:szCs w:val="20"/>
              </w:rPr>
              <w:t>3</w:t>
            </w:r>
          </w:p>
        </w:tc>
        <w:tc>
          <w:tcPr>
            <w:tcW w:w="1260" w:type="dxa"/>
            <w:vAlign w:val="center"/>
          </w:tcPr>
          <w:p w:rsidR="000E7EDD" w:rsidRPr="00A16561" w:rsidP="00A16561" w14:paraId="39E22025" w14:textId="6BD126B4">
            <w:pPr>
              <w:widowControl/>
              <w:autoSpaceDE/>
              <w:autoSpaceDN/>
              <w:adjustRightInd/>
              <w:jc w:val="right"/>
              <w:rPr>
                <w:rFonts w:eastAsiaTheme="minorHAnsi"/>
                <w:bCs/>
                <w:sz w:val="20"/>
                <w:szCs w:val="20"/>
              </w:rPr>
            </w:pPr>
            <w:r w:rsidRPr="00A16561">
              <w:rPr>
                <w:rFonts w:eastAsiaTheme="minorHAnsi"/>
                <w:bCs/>
                <w:sz w:val="20"/>
                <w:szCs w:val="20"/>
              </w:rPr>
              <w:t>7.33</w:t>
            </w:r>
          </w:p>
        </w:tc>
        <w:tc>
          <w:tcPr>
            <w:tcW w:w="1170" w:type="dxa"/>
            <w:vAlign w:val="center"/>
          </w:tcPr>
          <w:p w:rsidR="000E7EDD" w:rsidRPr="00A16561" w:rsidP="00A16561" w14:paraId="32F7F8EC" w14:textId="0691F538">
            <w:pPr>
              <w:widowControl/>
              <w:autoSpaceDE/>
              <w:autoSpaceDN/>
              <w:adjustRightInd/>
              <w:jc w:val="right"/>
              <w:rPr>
                <w:rFonts w:eastAsiaTheme="minorHAnsi"/>
                <w:bCs/>
                <w:sz w:val="20"/>
                <w:szCs w:val="20"/>
              </w:rPr>
            </w:pPr>
            <w:r w:rsidRPr="00A16561">
              <w:rPr>
                <w:rFonts w:eastAsiaTheme="minorHAnsi"/>
                <w:bCs/>
                <w:sz w:val="20"/>
                <w:szCs w:val="20"/>
              </w:rPr>
              <w:t>22</w:t>
            </w:r>
          </w:p>
        </w:tc>
        <w:tc>
          <w:tcPr>
            <w:tcW w:w="1260" w:type="dxa"/>
            <w:vAlign w:val="center"/>
          </w:tcPr>
          <w:p w:rsidR="000E7EDD" w:rsidRPr="00A16561" w:rsidP="00A16561" w14:paraId="6E15392B" w14:textId="18B35BD5">
            <w:pPr>
              <w:widowControl/>
              <w:autoSpaceDE/>
              <w:autoSpaceDN/>
              <w:adjustRightInd/>
              <w:jc w:val="right"/>
              <w:rPr>
                <w:rFonts w:eastAsiaTheme="minorHAnsi"/>
                <w:bCs/>
                <w:sz w:val="20"/>
                <w:szCs w:val="20"/>
              </w:rPr>
            </w:pPr>
            <w:r w:rsidRPr="00A16561">
              <w:rPr>
                <w:rFonts w:eastAsiaTheme="minorHAnsi"/>
                <w:bCs/>
                <w:sz w:val="20"/>
                <w:szCs w:val="20"/>
              </w:rPr>
              <w:t>0.10</w:t>
            </w:r>
          </w:p>
        </w:tc>
        <w:tc>
          <w:tcPr>
            <w:tcW w:w="990" w:type="dxa"/>
            <w:noWrap/>
            <w:vAlign w:val="center"/>
          </w:tcPr>
          <w:p w:rsidR="000E7EDD" w:rsidRPr="00A16561" w:rsidP="00A16561" w14:paraId="3F3F12BE" w14:textId="0590213F">
            <w:pPr>
              <w:widowControl/>
              <w:autoSpaceDE/>
              <w:autoSpaceDN/>
              <w:adjustRightInd/>
              <w:jc w:val="right"/>
              <w:rPr>
                <w:rFonts w:eastAsiaTheme="minorHAnsi"/>
                <w:bCs/>
                <w:sz w:val="20"/>
                <w:szCs w:val="20"/>
              </w:rPr>
            </w:pPr>
            <w:r w:rsidRPr="00A16561">
              <w:rPr>
                <w:rFonts w:eastAsiaTheme="minorHAnsi"/>
                <w:bCs/>
                <w:sz w:val="20"/>
                <w:szCs w:val="20"/>
              </w:rPr>
              <w:t>2.20</w:t>
            </w:r>
          </w:p>
        </w:tc>
        <w:tc>
          <w:tcPr>
            <w:tcW w:w="990" w:type="dxa"/>
            <w:noWrap/>
            <w:vAlign w:val="center"/>
          </w:tcPr>
          <w:p w:rsidR="000E7EDD" w:rsidRPr="00A16561" w:rsidP="00A16561" w14:paraId="71BEE10E" w14:textId="1E9459B8">
            <w:pPr>
              <w:widowControl/>
              <w:autoSpaceDE/>
              <w:autoSpaceDN/>
              <w:adjustRightInd/>
              <w:jc w:val="right"/>
              <w:rPr>
                <w:rFonts w:eastAsiaTheme="minorHAnsi"/>
                <w:bCs/>
                <w:sz w:val="20"/>
                <w:szCs w:val="20"/>
              </w:rPr>
            </w:pPr>
            <w:r w:rsidRPr="00A16561">
              <w:rPr>
                <w:rFonts w:eastAsiaTheme="minorHAnsi"/>
                <w:bCs/>
                <w:sz w:val="20"/>
                <w:szCs w:val="20"/>
              </w:rPr>
              <w:t>$80.89</w:t>
            </w:r>
          </w:p>
        </w:tc>
        <w:tc>
          <w:tcPr>
            <w:tcW w:w="1080" w:type="dxa"/>
            <w:noWrap/>
            <w:vAlign w:val="center"/>
          </w:tcPr>
          <w:p w:rsidR="000E7EDD" w:rsidRPr="00A16561" w:rsidP="00A16561" w14:paraId="42CCD4B7" w14:textId="0C9D5F26">
            <w:pPr>
              <w:widowControl/>
              <w:autoSpaceDE/>
              <w:autoSpaceDN/>
              <w:adjustRightInd/>
              <w:jc w:val="right"/>
              <w:rPr>
                <w:rFonts w:eastAsiaTheme="minorHAnsi"/>
                <w:bCs/>
                <w:sz w:val="20"/>
                <w:szCs w:val="20"/>
              </w:rPr>
            </w:pPr>
            <w:r w:rsidRPr="00A16561">
              <w:rPr>
                <w:rFonts w:eastAsiaTheme="minorHAnsi"/>
                <w:bCs/>
                <w:sz w:val="20"/>
                <w:szCs w:val="20"/>
              </w:rPr>
              <w:t>$177.96</w:t>
            </w:r>
          </w:p>
        </w:tc>
      </w:tr>
      <w:tr w14:paraId="6B219060" w14:textId="77777777" w:rsidTr="00584E68">
        <w:tblPrEx>
          <w:tblW w:w="9625" w:type="dxa"/>
          <w:tblLayout w:type="fixed"/>
          <w:tblLook w:val="04A0"/>
        </w:tblPrEx>
        <w:trPr>
          <w:trHeight w:val="363"/>
        </w:trPr>
        <w:tc>
          <w:tcPr>
            <w:tcW w:w="1525" w:type="dxa"/>
            <w:shd w:val="clear" w:color="auto" w:fill="auto"/>
            <w:noWrap/>
            <w:vAlign w:val="bottom"/>
            <w:hideMark/>
          </w:tcPr>
          <w:p w:rsidR="000E7EDD" w:rsidRPr="00A16561" w:rsidP="00A16561" w14:paraId="4A527F03" w14:textId="77777777">
            <w:pPr>
              <w:widowControl/>
              <w:autoSpaceDE/>
              <w:autoSpaceDN/>
              <w:adjustRightInd/>
              <w:jc w:val="right"/>
              <w:rPr>
                <w:rFonts w:eastAsiaTheme="minorHAnsi"/>
                <w:b/>
                <w:bCs/>
                <w:i/>
                <w:iCs/>
                <w:sz w:val="20"/>
                <w:szCs w:val="20"/>
              </w:rPr>
            </w:pPr>
            <w:r w:rsidRPr="00A16561">
              <w:rPr>
                <w:b/>
                <w:bCs/>
                <w:i/>
                <w:iCs/>
                <w:color w:val="000000"/>
                <w:sz w:val="20"/>
                <w:szCs w:val="20"/>
              </w:rPr>
              <w:t>Subtotal (Rounded)</w:t>
            </w:r>
          </w:p>
        </w:tc>
        <w:tc>
          <w:tcPr>
            <w:tcW w:w="1350" w:type="dxa"/>
            <w:shd w:val="clear" w:color="auto" w:fill="auto"/>
            <w:vAlign w:val="center"/>
          </w:tcPr>
          <w:p w:rsidR="000E7EDD" w:rsidRPr="00A16561" w:rsidP="00A16561" w14:paraId="59DF7A91" w14:textId="39AAEBC1">
            <w:pPr>
              <w:widowControl/>
              <w:autoSpaceDE/>
              <w:autoSpaceDN/>
              <w:adjustRightInd/>
              <w:jc w:val="right"/>
              <w:rPr>
                <w:rFonts w:eastAsiaTheme="minorHAnsi"/>
                <w:b/>
                <w:bCs/>
                <w:i/>
                <w:iCs/>
                <w:sz w:val="20"/>
                <w:szCs w:val="20"/>
              </w:rPr>
            </w:pPr>
            <w:r w:rsidRPr="00A16561">
              <w:rPr>
                <w:rFonts w:eastAsiaTheme="minorHAnsi"/>
                <w:b/>
                <w:bCs/>
                <w:i/>
                <w:iCs/>
                <w:sz w:val="20"/>
                <w:szCs w:val="20"/>
              </w:rPr>
              <w:t>3</w:t>
            </w:r>
          </w:p>
        </w:tc>
        <w:tc>
          <w:tcPr>
            <w:tcW w:w="1260" w:type="dxa"/>
            <w:shd w:val="clear" w:color="auto" w:fill="000000" w:themeFill="text1"/>
            <w:vAlign w:val="center"/>
          </w:tcPr>
          <w:p w:rsidR="000E7EDD" w:rsidRPr="00A16561" w:rsidP="00A16561" w14:paraId="6D6DFCC4" w14:textId="2331FB9A">
            <w:pPr>
              <w:widowControl/>
              <w:autoSpaceDE/>
              <w:autoSpaceDN/>
              <w:adjustRightInd/>
              <w:jc w:val="right"/>
              <w:rPr>
                <w:rFonts w:eastAsiaTheme="minorHAnsi"/>
                <w:b/>
                <w:bCs/>
                <w:i/>
                <w:iCs/>
                <w:sz w:val="20"/>
                <w:szCs w:val="20"/>
              </w:rPr>
            </w:pPr>
          </w:p>
        </w:tc>
        <w:tc>
          <w:tcPr>
            <w:tcW w:w="1170" w:type="dxa"/>
            <w:shd w:val="clear" w:color="auto" w:fill="auto"/>
            <w:vAlign w:val="center"/>
          </w:tcPr>
          <w:p w:rsidR="000E7EDD" w:rsidRPr="00A16561" w:rsidP="00A16561" w14:paraId="2F86E137" w14:textId="0306F5A7">
            <w:pPr>
              <w:widowControl/>
              <w:autoSpaceDE/>
              <w:autoSpaceDN/>
              <w:adjustRightInd/>
              <w:jc w:val="right"/>
              <w:rPr>
                <w:rFonts w:eastAsiaTheme="minorHAnsi"/>
                <w:b/>
                <w:bCs/>
                <w:i/>
                <w:iCs/>
                <w:sz w:val="20"/>
                <w:szCs w:val="20"/>
              </w:rPr>
            </w:pPr>
            <w:r w:rsidRPr="00A16561">
              <w:rPr>
                <w:rFonts w:eastAsiaTheme="minorHAnsi"/>
                <w:b/>
                <w:bCs/>
                <w:i/>
                <w:iCs/>
                <w:sz w:val="20"/>
                <w:szCs w:val="20"/>
              </w:rPr>
              <w:t>44</w:t>
            </w:r>
          </w:p>
        </w:tc>
        <w:tc>
          <w:tcPr>
            <w:tcW w:w="1260" w:type="dxa"/>
            <w:shd w:val="clear" w:color="auto" w:fill="000000" w:themeFill="text1"/>
            <w:vAlign w:val="center"/>
          </w:tcPr>
          <w:p w:rsidR="000E7EDD" w:rsidRPr="00A16561" w:rsidP="00A16561" w14:paraId="647AD81D" w14:textId="3204A6A7">
            <w:pPr>
              <w:widowControl/>
              <w:autoSpaceDE/>
              <w:autoSpaceDN/>
              <w:adjustRightInd/>
              <w:jc w:val="right"/>
              <w:rPr>
                <w:rFonts w:eastAsiaTheme="minorHAnsi"/>
                <w:b/>
                <w:bCs/>
                <w:i/>
                <w:iCs/>
                <w:sz w:val="20"/>
                <w:szCs w:val="20"/>
              </w:rPr>
            </w:pPr>
          </w:p>
        </w:tc>
        <w:tc>
          <w:tcPr>
            <w:tcW w:w="990" w:type="dxa"/>
            <w:shd w:val="clear" w:color="auto" w:fill="auto"/>
            <w:vAlign w:val="center"/>
          </w:tcPr>
          <w:p w:rsidR="000E7EDD" w:rsidRPr="00A16561" w:rsidP="00A16561" w14:paraId="57C1C845" w14:textId="4EAF4283">
            <w:pPr>
              <w:widowControl/>
              <w:autoSpaceDE/>
              <w:autoSpaceDN/>
              <w:adjustRightInd/>
              <w:jc w:val="right"/>
              <w:rPr>
                <w:rFonts w:eastAsiaTheme="minorHAnsi"/>
                <w:b/>
                <w:bCs/>
                <w:i/>
                <w:iCs/>
                <w:sz w:val="20"/>
                <w:szCs w:val="20"/>
              </w:rPr>
            </w:pPr>
            <w:r w:rsidRPr="00A16561">
              <w:rPr>
                <w:rFonts w:eastAsiaTheme="minorHAnsi"/>
                <w:b/>
                <w:bCs/>
                <w:i/>
                <w:iCs/>
                <w:sz w:val="20"/>
                <w:szCs w:val="20"/>
              </w:rPr>
              <w:t>6</w:t>
            </w:r>
          </w:p>
        </w:tc>
        <w:tc>
          <w:tcPr>
            <w:tcW w:w="990" w:type="dxa"/>
            <w:shd w:val="clear" w:color="auto" w:fill="000000" w:themeFill="text1"/>
            <w:noWrap/>
            <w:vAlign w:val="center"/>
          </w:tcPr>
          <w:p w:rsidR="000E7EDD" w:rsidRPr="00A16561" w:rsidP="00A16561" w14:paraId="402CE2F2" w14:textId="7D3FDEE8">
            <w:pPr>
              <w:widowControl/>
              <w:autoSpaceDE/>
              <w:autoSpaceDN/>
              <w:adjustRightInd/>
              <w:jc w:val="right"/>
              <w:rPr>
                <w:rFonts w:eastAsiaTheme="minorHAnsi"/>
                <w:b/>
                <w:bCs/>
                <w:i/>
                <w:iCs/>
                <w:sz w:val="20"/>
                <w:szCs w:val="20"/>
              </w:rPr>
            </w:pPr>
          </w:p>
        </w:tc>
        <w:tc>
          <w:tcPr>
            <w:tcW w:w="1080" w:type="dxa"/>
            <w:shd w:val="clear" w:color="auto" w:fill="auto"/>
            <w:noWrap/>
            <w:vAlign w:val="center"/>
          </w:tcPr>
          <w:p w:rsidR="000E7EDD" w:rsidRPr="00A16561" w:rsidP="00A16561" w14:paraId="150B3CA0" w14:textId="780D1C30">
            <w:pPr>
              <w:widowControl/>
              <w:autoSpaceDE/>
              <w:autoSpaceDN/>
              <w:adjustRightInd/>
              <w:jc w:val="right"/>
              <w:rPr>
                <w:rFonts w:eastAsiaTheme="minorHAnsi"/>
                <w:b/>
                <w:bCs/>
                <w:i/>
                <w:iCs/>
                <w:sz w:val="20"/>
                <w:szCs w:val="20"/>
              </w:rPr>
            </w:pPr>
            <w:r w:rsidRPr="00A16561">
              <w:rPr>
                <w:rFonts w:eastAsiaTheme="minorHAnsi"/>
                <w:b/>
                <w:bCs/>
                <w:i/>
                <w:iCs/>
                <w:sz w:val="20"/>
                <w:szCs w:val="20"/>
              </w:rPr>
              <w:t>$377</w:t>
            </w:r>
          </w:p>
        </w:tc>
      </w:tr>
    </w:tbl>
    <w:bookmarkEnd w:id="27"/>
    <w:p w:rsidR="0039590C" w:rsidRPr="00A16561" w:rsidP="00A16561" w14:paraId="1FE58F75" w14:textId="02C3F5E2">
      <w:pPr>
        <w:widowControl/>
        <w:autoSpaceDE/>
        <w:autoSpaceDN/>
        <w:adjustRightInd/>
        <w:rPr>
          <w:rFonts w:eastAsia="Calibri"/>
          <w:b/>
          <w:sz w:val="18"/>
          <w:szCs w:val="18"/>
        </w:rPr>
      </w:pPr>
      <w:r w:rsidRPr="00A16561">
        <w:rPr>
          <w:rFonts w:eastAsia="Calibri"/>
          <w:bCs/>
          <w:sz w:val="20"/>
          <w:szCs w:val="20"/>
        </w:rPr>
        <w:t xml:space="preserve">Notes: The total number of respondents and responses do not correspond to the sum of rows because different respondents </w:t>
      </w:r>
      <w:r w:rsidRPr="00A16561" w:rsidR="003D7AE8">
        <w:rPr>
          <w:rFonts w:eastAsia="Calibri"/>
          <w:bCs/>
          <w:sz w:val="20"/>
          <w:szCs w:val="20"/>
        </w:rPr>
        <w:t xml:space="preserve">may </w:t>
      </w:r>
      <w:r w:rsidRPr="00A16561">
        <w:rPr>
          <w:rFonts w:eastAsia="Calibri"/>
          <w:bCs/>
          <w:sz w:val="20"/>
          <w:szCs w:val="20"/>
        </w:rPr>
        <w:t>work on the same record. The number of responses per respondent is calculated by dividing the number of responses by the number of respondents and rounded.</w:t>
      </w:r>
    </w:p>
    <w:p w:rsidR="005C7289" w:rsidRPr="00A16561" w:rsidP="00A16561" w14:paraId="288DEA64" w14:textId="108F347F">
      <w:pPr>
        <w:widowControl/>
        <w:autoSpaceDE/>
        <w:autoSpaceDN/>
        <w:adjustRightInd/>
        <w:rPr>
          <w:rFonts w:eastAsia="Calibri"/>
          <w:b/>
          <w:sz w:val="22"/>
          <w:szCs w:val="22"/>
        </w:rPr>
      </w:pPr>
      <w:r w:rsidRPr="00A16561">
        <w:rPr>
          <w:rFonts w:eastAsia="Calibri"/>
          <w:b/>
          <w:sz w:val="22"/>
          <w:szCs w:val="22"/>
        </w:rPr>
        <w:br w:type="page"/>
      </w:r>
    </w:p>
    <w:p w:rsidR="00C81E37" w:rsidRPr="00A16561" w:rsidP="00A16561" w14:paraId="60DD9C50" w14:textId="77777777">
      <w:pPr>
        <w:widowControl/>
        <w:autoSpaceDE/>
        <w:autoSpaceDN/>
        <w:adjustRightInd/>
        <w:rPr>
          <w:rFonts w:eastAsia="Calibri"/>
          <w:b/>
          <w:sz w:val="22"/>
          <w:szCs w:val="22"/>
        </w:rPr>
      </w:pPr>
    </w:p>
    <w:p w:rsidR="009903E9" w:rsidRPr="00A16561" w:rsidP="00A16561" w14:paraId="384A502A" w14:textId="2357FD8C">
      <w:pPr>
        <w:pStyle w:val="ListParagraph"/>
        <w:numPr>
          <w:ilvl w:val="0"/>
          <w:numId w:val="32"/>
        </w:numPr>
        <w:spacing w:after="0" w:line="240" w:lineRule="auto"/>
        <w:rPr>
          <w:rFonts w:ascii="Times New Roman" w:hAnsi="Times New Roman"/>
          <w:b/>
          <w:bCs/>
          <w:kern w:val="24"/>
          <w:sz w:val="24"/>
          <w:szCs w:val="24"/>
          <w:u w:color="000000"/>
        </w:rPr>
      </w:pPr>
      <w:r w:rsidRPr="00A16561">
        <w:rPr>
          <w:rFonts w:ascii="Times New Roman" w:hAnsi="Times New Roman"/>
          <w:b/>
          <w:bCs/>
          <w:kern w:val="24"/>
          <w:sz w:val="24"/>
          <w:szCs w:val="24"/>
          <w:u w:color="000000"/>
        </w:rPr>
        <w:t xml:space="preserve">Locking out and </w:t>
      </w:r>
      <w:r w:rsidRPr="00A16561">
        <w:rPr>
          <w:rFonts w:ascii="Times New Roman" w:hAnsi="Times New Roman"/>
          <w:b/>
          <w:bCs/>
          <w:kern w:val="24"/>
          <w:sz w:val="24"/>
          <w:szCs w:val="24"/>
          <w:u w:color="000000"/>
        </w:rPr>
        <w:t>Tagging of High-Voltage Trailing Cables</w:t>
      </w:r>
    </w:p>
    <w:p w:rsidR="00C81E37" w:rsidRPr="00A16561" w:rsidP="00A16561" w14:paraId="21DDBC57" w14:textId="77777777">
      <w:pPr>
        <w:rPr>
          <w:rFonts w:eastAsia="Calibri"/>
          <w:b/>
          <w:bCs/>
        </w:rPr>
      </w:pPr>
    </w:p>
    <w:p w:rsidR="00B1733D" w:rsidRPr="00A16561" w:rsidP="00A16561" w14:paraId="62FB6A34" w14:textId="6CB4454E">
      <w:pPr>
        <w:rPr>
          <w:rFonts w:eastAsia="Calibri"/>
        </w:rPr>
      </w:pPr>
      <w:r w:rsidRPr="00A16561">
        <w:rPr>
          <w:rFonts w:eastAsia="Calibri"/>
        </w:rPr>
        <w:t>Under 30 CFR 75.831,</w:t>
      </w:r>
      <w:r w:rsidRPr="00A16561" w:rsidR="00C81E37">
        <w:rPr>
          <w:rFonts w:eastAsia="Calibri"/>
        </w:rPr>
        <w:t xml:space="preserve"> a qualified person must </w:t>
      </w:r>
      <w:r w:rsidRPr="00A16561">
        <w:rPr>
          <w:rFonts w:eastAsia="Calibri"/>
        </w:rPr>
        <w:t>lock out and tag</w:t>
      </w:r>
      <w:r w:rsidRPr="00A16561" w:rsidR="0091019E">
        <w:rPr>
          <w:rFonts w:eastAsia="Calibri"/>
        </w:rPr>
        <w:t xml:space="preserve"> the plug</w:t>
      </w:r>
      <w:r w:rsidRPr="00A16561">
        <w:rPr>
          <w:rFonts w:eastAsia="Calibri"/>
        </w:rPr>
        <w:t xml:space="preserve"> prior to performing electrical work on high-voltage trailing cables or the </w:t>
      </w:r>
      <w:r w:rsidRPr="00A16561" w:rsidR="0091019E">
        <w:rPr>
          <w:rFonts w:eastAsia="Calibri"/>
        </w:rPr>
        <w:t>HVCMM</w:t>
      </w:r>
      <w:r w:rsidRPr="00A16561">
        <w:rPr>
          <w:rFonts w:eastAsia="Calibri"/>
        </w:rPr>
        <w:t xml:space="preserve"> (under paragraph (a)); </w:t>
      </w:r>
      <w:r w:rsidRPr="00A16561" w:rsidR="0091019E">
        <w:rPr>
          <w:rFonts w:eastAsia="Calibri"/>
        </w:rPr>
        <w:t xml:space="preserve">during </w:t>
      </w:r>
      <w:r w:rsidRPr="00A16561">
        <w:rPr>
          <w:rFonts w:eastAsia="Calibri"/>
        </w:rPr>
        <w:t>troubleshooting and testing trailing cables (under paragraph (b)); work that is performed inside any compartment of the power center (under paragraph (d))</w:t>
      </w:r>
      <w:r w:rsidRPr="00A16561" w:rsidR="0091019E">
        <w:rPr>
          <w:rFonts w:eastAsia="Calibri"/>
        </w:rPr>
        <w:t>; and when more than one qualified person is performing electrical work (under paragraph (e))</w:t>
      </w:r>
      <w:r w:rsidRPr="00A16561">
        <w:rPr>
          <w:rFonts w:eastAsia="Calibri"/>
        </w:rPr>
        <w:t>.</w:t>
      </w:r>
    </w:p>
    <w:p w:rsidR="00DF5E80" w:rsidRPr="00A16561" w:rsidP="00A16561" w14:paraId="31DFC8A4" w14:textId="5AD3AAC2">
      <w:pPr>
        <w:rPr>
          <w:rFonts w:eastAsia="Calibri"/>
        </w:rPr>
      </w:pPr>
    </w:p>
    <w:p w:rsidR="00CF6E19" w:rsidRPr="00A16561" w:rsidP="00A16561" w14:paraId="68FAAC25" w14:textId="04A35FC7">
      <w:pPr>
        <w:rPr>
          <w:rFonts w:eastAsia="Calibri"/>
        </w:rPr>
      </w:pPr>
      <w:r w:rsidRPr="00A16561">
        <w:rPr>
          <w:rFonts w:eastAsia="Calibri"/>
        </w:rPr>
        <w:t xml:space="preserve">MSHA estimates that </w:t>
      </w:r>
      <w:r w:rsidRPr="00A16561" w:rsidR="00DF5E80">
        <w:rPr>
          <w:rFonts w:eastAsia="Calibri"/>
        </w:rPr>
        <w:t xml:space="preserve">on average </w:t>
      </w:r>
      <w:r w:rsidRPr="00A16561">
        <w:rPr>
          <w:rFonts w:eastAsia="Calibri"/>
        </w:rPr>
        <w:t xml:space="preserve">one of the tagging requirements </w:t>
      </w:r>
      <w:r w:rsidRPr="00A16561" w:rsidR="00DF5E80">
        <w:rPr>
          <w:rFonts w:eastAsia="Calibri"/>
        </w:rPr>
        <w:t xml:space="preserve">under 30 CFR 75.831 </w:t>
      </w:r>
      <w:r w:rsidRPr="00A16561">
        <w:rPr>
          <w:rFonts w:eastAsia="Calibri"/>
        </w:rPr>
        <w:t>will occur for each of the 11 HVCMMs on each of the 312 workdays per year</w:t>
      </w:r>
      <w:r w:rsidRPr="00A16561" w:rsidR="0091019E">
        <w:rPr>
          <w:rFonts w:eastAsia="Calibri"/>
        </w:rPr>
        <w:t xml:space="preserve">, a total of </w:t>
      </w:r>
      <w:r w:rsidRPr="00A16561" w:rsidR="00BD5403">
        <w:rPr>
          <w:rFonts w:eastAsia="Calibri"/>
        </w:rPr>
        <w:t>3,432</w:t>
      </w:r>
      <w:r w:rsidRPr="00A16561" w:rsidR="0091019E">
        <w:rPr>
          <w:rFonts w:eastAsia="Calibri"/>
        </w:rPr>
        <w:t xml:space="preserve"> occurrences</w:t>
      </w:r>
      <w:r w:rsidRPr="00A16561" w:rsidR="00BD5403">
        <w:rPr>
          <w:rFonts w:eastAsia="Calibri"/>
        </w:rPr>
        <w:t xml:space="preserve"> per year</w:t>
      </w:r>
      <w:r w:rsidRPr="00A16561" w:rsidR="0091019E">
        <w:rPr>
          <w:rFonts w:eastAsia="Calibri"/>
        </w:rPr>
        <w:t xml:space="preserve"> (</w:t>
      </w:r>
      <w:r w:rsidRPr="00A16561" w:rsidR="00AA5238">
        <w:rPr>
          <w:rFonts w:eastAsia="Calibri"/>
        </w:rPr>
        <w:t xml:space="preserve">3,432 </w:t>
      </w:r>
      <w:r w:rsidRPr="00A16561" w:rsidR="0091019E">
        <w:rPr>
          <w:rFonts w:eastAsia="Calibri"/>
        </w:rPr>
        <w:t>=</w:t>
      </w:r>
      <w:r w:rsidRPr="00A16561">
        <w:rPr>
          <w:rFonts w:eastAsia="Calibri"/>
        </w:rPr>
        <w:t xml:space="preserve"> 11 </w:t>
      </w:r>
      <w:r w:rsidRPr="00A16561" w:rsidR="00AA5238">
        <w:rPr>
          <w:rFonts w:eastAsia="Calibri"/>
        </w:rPr>
        <w:t>x</w:t>
      </w:r>
      <w:r w:rsidRPr="00A16561">
        <w:rPr>
          <w:rFonts w:eastAsia="Calibri"/>
        </w:rPr>
        <w:t xml:space="preserve"> 312</w:t>
      </w:r>
      <w:r w:rsidRPr="00A16561" w:rsidR="00BD5403">
        <w:rPr>
          <w:rFonts w:eastAsia="Calibri"/>
        </w:rPr>
        <w:t>)</w:t>
      </w:r>
      <w:r w:rsidRPr="00A16561">
        <w:rPr>
          <w:rFonts w:eastAsia="Calibri"/>
        </w:rPr>
        <w:t xml:space="preserve">.  </w:t>
      </w:r>
    </w:p>
    <w:p w:rsidR="00CF6E19" w:rsidRPr="00A16561" w:rsidP="00A16561" w14:paraId="7764C164" w14:textId="77777777">
      <w:pPr>
        <w:rPr>
          <w:rFonts w:eastAsia="Calibri"/>
        </w:rPr>
      </w:pPr>
    </w:p>
    <w:p w:rsidR="00807752" w:rsidP="00A16561" w14:paraId="35E11835" w14:textId="2C2DD72F">
      <w:pPr>
        <w:widowControl/>
        <w:autoSpaceDE/>
        <w:autoSpaceDN/>
        <w:adjustRightInd/>
        <w:rPr>
          <w:rFonts w:eastAsia="Calibri"/>
        </w:rPr>
      </w:pPr>
      <w:r w:rsidRPr="00A16561">
        <w:rPr>
          <w:rFonts w:eastAsia="Calibri"/>
        </w:rPr>
        <w:t>MSHA estimates that tagging, by a mine electrician earning $</w:t>
      </w:r>
      <w:r w:rsidRPr="00A16561" w:rsidR="00DF5E80">
        <w:rPr>
          <w:rFonts w:eastAsia="Calibri"/>
        </w:rPr>
        <w:t>60.18</w:t>
      </w:r>
      <w:r w:rsidRPr="00A16561">
        <w:rPr>
          <w:rFonts w:eastAsia="Calibri"/>
        </w:rPr>
        <w:t xml:space="preserve"> per hour, will take 1.5 minutes.  </w:t>
      </w:r>
    </w:p>
    <w:p w:rsidR="00D262E7" w:rsidRPr="00A16561" w:rsidP="00A16561" w14:paraId="5A6B1215" w14:textId="77777777">
      <w:pPr>
        <w:widowControl/>
        <w:autoSpaceDE/>
        <w:autoSpaceDN/>
        <w:adjustRightInd/>
        <w:rPr>
          <w:b/>
          <w:bCs/>
          <w:color w:val="000000"/>
        </w:rPr>
      </w:pPr>
    </w:p>
    <w:p w:rsidR="00DF5E80" w:rsidRPr="00A16561" w:rsidP="00A16561" w14:paraId="7776F955" w14:textId="4435B5CE">
      <w:pPr>
        <w:widowControl/>
        <w:autoSpaceDE/>
        <w:autoSpaceDN/>
        <w:adjustRightInd/>
        <w:rPr>
          <w:b/>
          <w:bCs/>
          <w:color w:val="000000"/>
        </w:rPr>
      </w:pPr>
      <w:r w:rsidRPr="00A16561">
        <w:rPr>
          <w:b/>
          <w:bCs/>
          <w:color w:val="000000"/>
        </w:rPr>
        <w:t xml:space="preserve">Table 12-3. Estimated Annual Respondent Hour and Cost Burden, </w:t>
      </w:r>
      <w:r w:rsidRPr="00A16561" w:rsidR="00D262E7">
        <w:rPr>
          <w:b/>
          <w:bCs/>
          <w:kern w:val="24"/>
          <w:u w:color="000000"/>
        </w:rPr>
        <w:t xml:space="preserve">Locking out and </w:t>
      </w:r>
      <w:r w:rsidRPr="00A16561" w:rsidR="0006522D">
        <w:rPr>
          <w:rFonts w:eastAsia="Calibri"/>
          <w:b/>
          <w:bCs/>
        </w:rPr>
        <w:t xml:space="preserve">Tagging </w:t>
      </w:r>
      <w:r w:rsidRPr="00A16561" w:rsidR="009903E9">
        <w:rPr>
          <w:rFonts w:eastAsia="Calibri"/>
          <w:b/>
          <w:bCs/>
        </w:rPr>
        <w:t>of</w:t>
      </w:r>
      <w:r w:rsidRPr="00A16561" w:rsidR="0006522D">
        <w:rPr>
          <w:rFonts w:eastAsia="Calibri"/>
          <w:b/>
          <w:bCs/>
        </w:rPr>
        <w:t xml:space="preserve"> High-Voltage </w:t>
      </w:r>
      <w:r w:rsidRPr="00A16561" w:rsidR="009903E9">
        <w:rPr>
          <w:rFonts w:eastAsia="Calibri"/>
          <w:b/>
          <w:bCs/>
        </w:rPr>
        <w:t>Cables</w:t>
      </w:r>
      <w:r w:rsidRPr="00A16561">
        <w:rPr>
          <w:b/>
          <w:bCs/>
          <w:color w:val="000000"/>
        </w:rPr>
        <w:t xml:space="preserve"> (30 CFR 75.831)</w:t>
      </w:r>
    </w:p>
    <w:tbl>
      <w:tblPr>
        <w:tblStyle w:val="TableGrid"/>
        <w:tblW w:w="9625" w:type="dxa"/>
        <w:tblLayout w:type="fixed"/>
        <w:tblLook w:val="04A0"/>
      </w:tblPr>
      <w:tblGrid>
        <w:gridCol w:w="1525"/>
        <w:gridCol w:w="1350"/>
        <w:gridCol w:w="1260"/>
        <w:gridCol w:w="1170"/>
        <w:gridCol w:w="1260"/>
        <w:gridCol w:w="990"/>
        <w:gridCol w:w="990"/>
        <w:gridCol w:w="1080"/>
      </w:tblGrid>
      <w:tr w14:paraId="6AE8E85A" w14:textId="77777777" w:rsidTr="00584E68">
        <w:tblPrEx>
          <w:tblW w:w="9625" w:type="dxa"/>
          <w:tblLayout w:type="fixed"/>
          <w:tblLook w:val="04A0"/>
        </w:tblPrEx>
        <w:trPr>
          <w:trHeight w:val="747"/>
        </w:trPr>
        <w:tc>
          <w:tcPr>
            <w:tcW w:w="1525" w:type="dxa"/>
            <w:shd w:val="clear" w:color="auto" w:fill="8EAADB" w:themeFill="accent1" w:themeFillTint="99"/>
            <w:vAlign w:val="center"/>
            <w:hideMark/>
          </w:tcPr>
          <w:p w:rsidR="00DF5E80" w:rsidRPr="00A16561" w:rsidP="00A16561" w14:paraId="2A481D67" w14:textId="77777777">
            <w:pPr>
              <w:widowControl/>
              <w:autoSpaceDE/>
              <w:autoSpaceDN/>
              <w:adjustRightInd/>
              <w:rPr>
                <w:rFonts w:eastAsiaTheme="minorHAnsi"/>
                <w:sz w:val="20"/>
                <w:szCs w:val="20"/>
              </w:rPr>
            </w:pPr>
            <w:r w:rsidRPr="00A16561">
              <w:rPr>
                <w:color w:val="000000"/>
                <w:sz w:val="20"/>
                <w:szCs w:val="20"/>
              </w:rPr>
              <w:t>Activity (Occupation)</w:t>
            </w:r>
          </w:p>
        </w:tc>
        <w:tc>
          <w:tcPr>
            <w:tcW w:w="1350" w:type="dxa"/>
            <w:shd w:val="clear" w:color="auto" w:fill="8EAADB" w:themeFill="accent1" w:themeFillTint="99"/>
            <w:vAlign w:val="center"/>
            <w:hideMark/>
          </w:tcPr>
          <w:p w:rsidR="00DF5E80" w:rsidRPr="00A16561" w:rsidP="00A16561" w14:paraId="2B9CC512" w14:textId="75A4FE90">
            <w:pPr>
              <w:widowControl/>
              <w:autoSpaceDE/>
              <w:autoSpaceDN/>
              <w:adjustRightInd/>
              <w:jc w:val="center"/>
              <w:rPr>
                <w:rFonts w:eastAsiaTheme="minorHAnsi"/>
                <w:sz w:val="20"/>
                <w:szCs w:val="20"/>
              </w:rPr>
            </w:pPr>
            <w:r w:rsidRPr="00A16561">
              <w:rPr>
                <w:color w:val="000000"/>
                <w:sz w:val="20"/>
                <w:szCs w:val="20"/>
              </w:rPr>
              <w:t>Number of Respondents (Mine</w:t>
            </w:r>
            <w:r w:rsidRPr="00A16561" w:rsidR="00AA5238">
              <w:rPr>
                <w:color w:val="000000"/>
                <w:sz w:val="20"/>
                <w:szCs w:val="20"/>
              </w:rPr>
              <w:t xml:space="preserve"> Operators</w:t>
            </w:r>
            <w:r w:rsidRPr="00A16561">
              <w:rPr>
                <w:color w:val="000000"/>
                <w:sz w:val="20"/>
                <w:szCs w:val="20"/>
              </w:rPr>
              <w:t>)</w:t>
            </w:r>
          </w:p>
        </w:tc>
        <w:tc>
          <w:tcPr>
            <w:tcW w:w="1260" w:type="dxa"/>
            <w:shd w:val="clear" w:color="auto" w:fill="8EAADB" w:themeFill="accent1" w:themeFillTint="99"/>
            <w:vAlign w:val="center"/>
          </w:tcPr>
          <w:p w:rsidR="00DF5E80" w:rsidRPr="00A16561" w:rsidP="00A16561" w14:paraId="38411669" w14:textId="77777777">
            <w:pPr>
              <w:widowControl/>
              <w:autoSpaceDE/>
              <w:autoSpaceDN/>
              <w:adjustRightInd/>
              <w:jc w:val="center"/>
              <w:rPr>
                <w:rFonts w:eastAsiaTheme="minorHAnsi"/>
                <w:sz w:val="20"/>
                <w:szCs w:val="20"/>
              </w:rPr>
            </w:pPr>
            <w:r w:rsidRPr="00A16561">
              <w:rPr>
                <w:color w:val="000000"/>
                <w:sz w:val="20"/>
                <w:szCs w:val="20"/>
              </w:rPr>
              <w:t>Number of Responses per Respondent</w:t>
            </w:r>
          </w:p>
        </w:tc>
        <w:tc>
          <w:tcPr>
            <w:tcW w:w="1170" w:type="dxa"/>
            <w:shd w:val="clear" w:color="auto" w:fill="8EAADB" w:themeFill="accent1" w:themeFillTint="99"/>
            <w:vAlign w:val="center"/>
          </w:tcPr>
          <w:p w:rsidR="00DF5E80" w:rsidRPr="00A16561" w:rsidP="00A16561" w14:paraId="34058FF0" w14:textId="5D800B41">
            <w:pPr>
              <w:widowControl/>
              <w:autoSpaceDE/>
              <w:autoSpaceDN/>
              <w:adjustRightInd/>
              <w:jc w:val="center"/>
              <w:rPr>
                <w:rFonts w:eastAsiaTheme="minorHAnsi"/>
                <w:sz w:val="20"/>
                <w:szCs w:val="20"/>
              </w:rPr>
            </w:pPr>
            <w:r w:rsidRPr="00A16561">
              <w:rPr>
                <w:color w:val="000000"/>
                <w:sz w:val="20"/>
                <w:szCs w:val="20"/>
              </w:rPr>
              <w:t>Total Responses (</w:t>
            </w:r>
            <w:r w:rsidRPr="00A16561" w:rsidR="00DF232F">
              <w:rPr>
                <w:color w:val="000000"/>
                <w:sz w:val="20"/>
                <w:szCs w:val="20"/>
              </w:rPr>
              <w:t>Tag</w:t>
            </w:r>
            <w:r w:rsidRPr="00A16561">
              <w:rPr>
                <w:color w:val="000000"/>
                <w:sz w:val="20"/>
                <w:szCs w:val="20"/>
              </w:rPr>
              <w:t>s)</w:t>
            </w:r>
          </w:p>
        </w:tc>
        <w:tc>
          <w:tcPr>
            <w:tcW w:w="1260" w:type="dxa"/>
            <w:shd w:val="clear" w:color="auto" w:fill="8EAADB" w:themeFill="accent1" w:themeFillTint="99"/>
            <w:vAlign w:val="center"/>
          </w:tcPr>
          <w:p w:rsidR="00DF5E80" w:rsidRPr="00A16561" w:rsidP="00A16561" w14:paraId="546FC334" w14:textId="77777777">
            <w:pPr>
              <w:widowControl/>
              <w:autoSpaceDE/>
              <w:autoSpaceDN/>
              <w:adjustRightInd/>
              <w:jc w:val="center"/>
              <w:rPr>
                <w:rFonts w:eastAsiaTheme="minorHAnsi"/>
                <w:sz w:val="20"/>
                <w:szCs w:val="20"/>
              </w:rPr>
            </w:pPr>
            <w:r w:rsidRPr="00A16561">
              <w:rPr>
                <w:color w:val="000000"/>
                <w:sz w:val="20"/>
                <w:szCs w:val="20"/>
              </w:rPr>
              <w:t>Average Burden (Hours)</w:t>
            </w:r>
          </w:p>
        </w:tc>
        <w:tc>
          <w:tcPr>
            <w:tcW w:w="990" w:type="dxa"/>
            <w:shd w:val="clear" w:color="auto" w:fill="8EAADB" w:themeFill="accent1" w:themeFillTint="99"/>
            <w:vAlign w:val="center"/>
            <w:hideMark/>
          </w:tcPr>
          <w:p w:rsidR="00DF5E80" w:rsidRPr="00A16561" w:rsidP="00A16561" w14:paraId="5EA073A3" w14:textId="4220D992">
            <w:pPr>
              <w:widowControl/>
              <w:autoSpaceDE/>
              <w:autoSpaceDN/>
              <w:adjustRightInd/>
              <w:jc w:val="center"/>
              <w:rPr>
                <w:rFonts w:eastAsiaTheme="minorHAnsi"/>
                <w:sz w:val="20"/>
                <w:szCs w:val="20"/>
              </w:rPr>
            </w:pPr>
            <w:r w:rsidRPr="00A16561">
              <w:rPr>
                <w:color w:val="000000"/>
                <w:sz w:val="20"/>
                <w:szCs w:val="20"/>
              </w:rPr>
              <w:t>Total Burden (Hours)</w:t>
            </w:r>
          </w:p>
        </w:tc>
        <w:tc>
          <w:tcPr>
            <w:tcW w:w="990" w:type="dxa"/>
            <w:shd w:val="clear" w:color="auto" w:fill="8EAADB" w:themeFill="accent1" w:themeFillTint="99"/>
            <w:vAlign w:val="center"/>
            <w:hideMark/>
          </w:tcPr>
          <w:p w:rsidR="00DF5E80" w:rsidRPr="00A16561" w:rsidP="00A16561" w14:paraId="4C811492" w14:textId="77777777">
            <w:pPr>
              <w:widowControl/>
              <w:autoSpaceDE/>
              <w:autoSpaceDN/>
              <w:adjustRightInd/>
              <w:jc w:val="center"/>
              <w:rPr>
                <w:rFonts w:eastAsiaTheme="minorHAnsi"/>
                <w:sz w:val="20"/>
                <w:szCs w:val="20"/>
              </w:rPr>
            </w:pPr>
            <w:r w:rsidRPr="00A16561">
              <w:rPr>
                <w:color w:val="000000"/>
                <w:sz w:val="20"/>
                <w:szCs w:val="20"/>
              </w:rPr>
              <w:t>Hourly Wage Rate</w:t>
            </w:r>
          </w:p>
        </w:tc>
        <w:tc>
          <w:tcPr>
            <w:tcW w:w="1080" w:type="dxa"/>
            <w:shd w:val="clear" w:color="auto" w:fill="8EAADB" w:themeFill="accent1" w:themeFillTint="99"/>
            <w:vAlign w:val="center"/>
            <w:hideMark/>
          </w:tcPr>
          <w:p w:rsidR="00DF5E80" w:rsidRPr="00A16561" w:rsidP="00A16561" w14:paraId="0EFF1582" w14:textId="77777777">
            <w:pPr>
              <w:widowControl/>
              <w:autoSpaceDE/>
              <w:autoSpaceDN/>
              <w:adjustRightInd/>
              <w:jc w:val="center"/>
              <w:rPr>
                <w:rFonts w:eastAsiaTheme="minorHAnsi"/>
                <w:sz w:val="20"/>
                <w:szCs w:val="20"/>
              </w:rPr>
            </w:pPr>
            <w:r w:rsidRPr="00A16561">
              <w:rPr>
                <w:color w:val="000000"/>
                <w:sz w:val="20"/>
                <w:szCs w:val="20"/>
              </w:rPr>
              <w:t>Total Burden Cost</w:t>
            </w:r>
          </w:p>
        </w:tc>
      </w:tr>
      <w:tr w14:paraId="456414E6" w14:textId="77777777" w:rsidTr="00584E68">
        <w:tblPrEx>
          <w:tblW w:w="9625" w:type="dxa"/>
          <w:tblLayout w:type="fixed"/>
          <w:tblLook w:val="04A0"/>
        </w:tblPrEx>
        <w:trPr>
          <w:trHeight w:val="363"/>
        </w:trPr>
        <w:tc>
          <w:tcPr>
            <w:tcW w:w="1525" w:type="dxa"/>
            <w:noWrap/>
            <w:vAlign w:val="center"/>
            <w:hideMark/>
          </w:tcPr>
          <w:p w:rsidR="00DF5E80" w:rsidRPr="00A16561" w:rsidP="00A16561" w14:paraId="0426B385" w14:textId="143CB699">
            <w:pPr>
              <w:widowControl/>
              <w:autoSpaceDE/>
              <w:autoSpaceDN/>
              <w:adjustRightInd/>
              <w:rPr>
                <w:rFonts w:eastAsiaTheme="minorHAnsi"/>
                <w:bCs/>
                <w:sz w:val="20"/>
                <w:szCs w:val="20"/>
              </w:rPr>
            </w:pPr>
            <w:r w:rsidRPr="00A16561">
              <w:rPr>
                <w:color w:val="000000"/>
                <w:sz w:val="20"/>
                <w:szCs w:val="20"/>
              </w:rPr>
              <w:t>Tagging</w:t>
            </w:r>
            <w:r w:rsidRPr="00A16561" w:rsidR="00DF232F">
              <w:rPr>
                <w:color w:val="000000"/>
                <w:sz w:val="20"/>
                <w:szCs w:val="20"/>
              </w:rPr>
              <w:t xml:space="preserve"> of Cables</w:t>
            </w:r>
            <w:r w:rsidRPr="00A16561">
              <w:rPr>
                <w:color w:val="000000"/>
                <w:sz w:val="20"/>
                <w:szCs w:val="20"/>
              </w:rPr>
              <w:t xml:space="preserve"> (Electrician)</w:t>
            </w:r>
          </w:p>
        </w:tc>
        <w:tc>
          <w:tcPr>
            <w:tcW w:w="1350" w:type="dxa"/>
            <w:noWrap/>
            <w:vAlign w:val="center"/>
          </w:tcPr>
          <w:p w:rsidR="00DF5E80" w:rsidRPr="00A16561" w:rsidP="00A16561" w14:paraId="5BC19B4E" w14:textId="77777777">
            <w:pPr>
              <w:widowControl/>
              <w:autoSpaceDE/>
              <w:autoSpaceDN/>
              <w:adjustRightInd/>
              <w:jc w:val="right"/>
              <w:rPr>
                <w:rFonts w:eastAsiaTheme="minorHAnsi"/>
                <w:bCs/>
                <w:sz w:val="20"/>
                <w:szCs w:val="20"/>
              </w:rPr>
            </w:pPr>
            <w:r w:rsidRPr="00A16561">
              <w:rPr>
                <w:rFonts w:eastAsiaTheme="minorHAnsi"/>
                <w:bCs/>
                <w:sz w:val="20"/>
                <w:szCs w:val="20"/>
              </w:rPr>
              <w:t>3</w:t>
            </w:r>
          </w:p>
        </w:tc>
        <w:tc>
          <w:tcPr>
            <w:tcW w:w="1260" w:type="dxa"/>
            <w:vAlign w:val="center"/>
          </w:tcPr>
          <w:p w:rsidR="00DF5E80" w:rsidRPr="00A16561" w:rsidP="00A16561" w14:paraId="2D6FDCB3" w14:textId="555E9098">
            <w:pPr>
              <w:widowControl/>
              <w:autoSpaceDE/>
              <w:autoSpaceDN/>
              <w:adjustRightInd/>
              <w:jc w:val="right"/>
              <w:rPr>
                <w:rFonts w:eastAsiaTheme="minorHAnsi"/>
                <w:bCs/>
                <w:sz w:val="20"/>
                <w:szCs w:val="20"/>
              </w:rPr>
            </w:pPr>
            <w:r w:rsidRPr="00A16561">
              <w:rPr>
                <w:rFonts w:eastAsiaTheme="minorHAnsi"/>
                <w:bCs/>
                <w:sz w:val="20"/>
                <w:szCs w:val="20"/>
              </w:rPr>
              <w:t>1,144</w:t>
            </w:r>
          </w:p>
        </w:tc>
        <w:tc>
          <w:tcPr>
            <w:tcW w:w="1170" w:type="dxa"/>
            <w:vAlign w:val="center"/>
          </w:tcPr>
          <w:p w:rsidR="00DF5E80" w:rsidRPr="00A16561" w:rsidP="00A16561" w14:paraId="37727EF1" w14:textId="2014DC93">
            <w:pPr>
              <w:widowControl/>
              <w:autoSpaceDE/>
              <w:autoSpaceDN/>
              <w:adjustRightInd/>
              <w:jc w:val="right"/>
              <w:rPr>
                <w:rFonts w:eastAsiaTheme="minorHAnsi"/>
                <w:bCs/>
                <w:sz w:val="20"/>
                <w:szCs w:val="20"/>
              </w:rPr>
            </w:pPr>
            <w:r w:rsidRPr="00A16561">
              <w:rPr>
                <w:rFonts w:eastAsiaTheme="minorHAnsi"/>
                <w:bCs/>
                <w:sz w:val="20"/>
                <w:szCs w:val="20"/>
              </w:rPr>
              <w:t>3,432</w:t>
            </w:r>
          </w:p>
        </w:tc>
        <w:tc>
          <w:tcPr>
            <w:tcW w:w="1260" w:type="dxa"/>
            <w:vAlign w:val="center"/>
          </w:tcPr>
          <w:p w:rsidR="00DF5E80" w:rsidRPr="00A16561" w:rsidP="00A16561" w14:paraId="3E7CBB11" w14:textId="7772F8FC">
            <w:pPr>
              <w:widowControl/>
              <w:autoSpaceDE/>
              <w:autoSpaceDN/>
              <w:adjustRightInd/>
              <w:jc w:val="right"/>
              <w:rPr>
                <w:rFonts w:eastAsiaTheme="minorHAnsi"/>
                <w:bCs/>
                <w:sz w:val="20"/>
                <w:szCs w:val="20"/>
              </w:rPr>
            </w:pPr>
            <w:r w:rsidRPr="00A16561">
              <w:rPr>
                <w:rFonts w:eastAsiaTheme="minorHAnsi"/>
                <w:bCs/>
                <w:sz w:val="20"/>
                <w:szCs w:val="20"/>
              </w:rPr>
              <w:t>0.0</w:t>
            </w:r>
            <w:r w:rsidRPr="00A16561" w:rsidR="00147615">
              <w:rPr>
                <w:rFonts w:eastAsiaTheme="minorHAnsi"/>
                <w:bCs/>
                <w:sz w:val="20"/>
                <w:szCs w:val="20"/>
              </w:rPr>
              <w:t>3</w:t>
            </w:r>
          </w:p>
        </w:tc>
        <w:tc>
          <w:tcPr>
            <w:tcW w:w="990" w:type="dxa"/>
            <w:noWrap/>
            <w:vAlign w:val="center"/>
          </w:tcPr>
          <w:p w:rsidR="00DF5E80" w:rsidRPr="00A16561" w:rsidP="00A16561" w14:paraId="52215B02" w14:textId="793CEDD1">
            <w:pPr>
              <w:widowControl/>
              <w:autoSpaceDE/>
              <w:autoSpaceDN/>
              <w:adjustRightInd/>
              <w:jc w:val="right"/>
              <w:rPr>
                <w:rFonts w:eastAsiaTheme="minorHAnsi"/>
                <w:bCs/>
                <w:sz w:val="20"/>
                <w:szCs w:val="20"/>
              </w:rPr>
            </w:pPr>
            <w:r w:rsidRPr="00A16561">
              <w:rPr>
                <w:rFonts w:eastAsiaTheme="minorHAnsi"/>
                <w:bCs/>
                <w:sz w:val="20"/>
                <w:szCs w:val="20"/>
              </w:rPr>
              <w:t>85.80</w:t>
            </w:r>
          </w:p>
        </w:tc>
        <w:tc>
          <w:tcPr>
            <w:tcW w:w="990" w:type="dxa"/>
            <w:noWrap/>
            <w:vAlign w:val="center"/>
          </w:tcPr>
          <w:p w:rsidR="00DF5E80" w:rsidRPr="00A16561" w:rsidP="00A16561" w14:paraId="64AD41C7" w14:textId="77777777">
            <w:pPr>
              <w:widowControl/>
              <w:autoSpaceDE/>
              <w:autoSpaceDN/>
              <w:adjustRightInd/>
              <w:jc w:val="right"/>
              <w:rPr>
                <w:rFonts w:eastAsiaTheme="minorHAnsi"/>
                <w:bCs/>
                <w:sz w:val="20"/>
                <w:szCs w:val="20"/>
              </w:rPr>
            </w:pPr>
            <w:r w:rsidRPr="00A16561">
              <w:rPr>
                <w:rFonts w:eastAsiaTheme="minorHAnsi"/>
                <w:bCs/>
                <w:sz w:val="20"/>
                <w:szCs w:val="20"/>
              </w:rPr>
              <w:t>$60.18</w:t>
            </w:r>
          </w:p>
        </w:tc>
        <w:tc>
          <w:tcPr>
            <w:tcW w:w="1080" w:type="dxa"/>
            <w:noWrap/>
            <w:vAlign w:val="center"/>
          </w:tcPr>
          <w:p w:rsidR="00DF5E80" w:rsidRPr="00A16561" w:rsidP="00A16561" w14:paraId="65C15844" w14:textId="2D848509">
            <w:pPr>
              <w:widowControl/>
              <w:autoSpaceDE/>
              <w:autoSpaceDN/>
              <w:adjustRightInd/>
              <w:jc w:val="right"/>
              <w:rPr>
                <w:rFonts w:eastAsiaTheme="minorHAnsi"/>
                <w:bCs/>
                <w:sz w:val="20"/>
                <w:szCs w:val="20"/>
              </w:rPr>
            </w:pPr>
            <w:r w:rsidRPr="00A16561">
              <w:rPr>
                <w:rFonts w:eastAsiaTheme="minorHAnsi"/>
                <w:bCs/>
                <w:sz w:val="20"/>
                <w:szCs w:val="20"/>
              </w:rPr>
              <w:t>$</w:t>
            </w:r>
            <w:r w:rsidRPr="00A16561" w:rsidR="00147615">
              <w:rPr>
                <w:rFonts w:eastAsiaTheme="minorHAnsi"/>
                <w:bCs/>
                <w:sz w:val="20"/>
                <w:szCs w:val="20"/>
              </w:rPr>
              <w:t>5,163.44</w:t>
            </w:r>
          </w:p>
        </w:tc>
      </w:tr>
      <w:tr w14:paraId="3E655FED" w14:textId="77777777" w:rsidTr="00584E68">
        <w:tblPrEx>
          <w:tblW w:w="9625" w:type="dxa"/>
          <w:tblLayout w:type="fixed"/>
          <w:tblLook w:val="04A0"/>
        </w:tblPrEx>
        <w:trPr>
          <w:trHeight w:val="363"/>
        </w:trPr>
        <w:tc>
          <w:tcPr>
            <w:tcW w:w="1525" w:type="dxa"/>
            <w:shd w:val="clear" w:color="auto" w:fill="auto"/>
            <w:noWrap/>
            <w:vAlign w:val="bottom"/>
            <w:hideMark/>
          </w:tcPr>
          <w:p w:rsidR="00DF5E80" w:rsidRPr="00A16561" w:rsidP="00A16561" w14:paraId="5E99EAC9" w14:textId="77777777">
            <w:pPr>
              <w:widowControl/>
              <w:autoSpaceDE/>
              <w:autoSpaceDN/>
              <w:adjustRightInd/>
              <w:jc w:val="right"/>
              <w:rPr>
                <w:rFonts w:eastAsiaTheme="minorHAnsi"/>
                <w:b/>
                <w:bCs/>
                <w:i/>
                <w:iCs/>
                <w:sz w:val="20"/>
                <w:szCs w:val="20"/>
              </w:rPr>
            </w:pPr>
            <w:r w:rsidRPr="00A16561">
              <w:rPr>
                <w:b/>
                <w:bCs/>
                <w:i/>
                <w:iCs/>
                <w:color w:val="000000"/>
                <w:sz w:val="20"/>
                <w:szCs w:val="20"/>
              </w:rPr>
              <w:t>Subtotal (Rounded)</w:t>
            </w:r>
          </w:p>
        </w:tc>
        <w:tc>
          <w:tcPr>
            <w:tcW w:w="1350" w:type="dxa"/>
            <w:shd w:val="clear" w:color="auto" w:fill="auto"/>
            <w:vAlign w:val="center"/>
          </w:tcPr>
          <w:p w:rsidR="00DF5E80" w:rsidRPr="00A16561" w:rsidP="00A16561" w14:paraId="51D11A8D" w14:textId="77777777">
            <w:pPr>
              <w:widowControl/>
              <w:autoSpaceDE/>
              <w:autoSpaceDN/>
              <w:adjustRightInd/>
              <w:jc w:val="right"/>
              <w:rPr>
                <w:rFonts w:eastAsiaTheme="minorHAnsi"/>
                <w:b/>
                <w:bCs/>
                <w:i/>
                <w:iCs/>
                <w:sz w:val="20"/>
                <w:szCs w:val="20"/>
              </w:rPr>
            </w:pPr>
            <w:r w:rsidRPr="00A16561">
              <w:rPr>
                <w:rFonts w:eastAsiaTheme="minorHAnsi"/>
                <w:b/>
                <w:bCs/>
                <w:i/>
                <w:iCs/>
                <w:sz w:val="20"/>
                <w:szCs w:val="20"/>
              </w:rPr>
              <w:t>3</w:t>
            </w:r>
          </w:p>
        </w:tc>
        <w:tc>
          <w:tcPr>
            <w:tcW w:w="1260" w:type="dxa"/>
            <w:shd w:val="clear" w:color="auto" w:fill="000000" w:themeFill="text1"/>
            <w:vAlign w:val="center"/>
          </w:tcPr>
          <w:p w:rsidR="00DF5E80" w:rsidRPr="00A16561" w:rsidP="00A16561" w14:paraId="5DF484E3" w14:textId="77777777">
            <w:pPr>
              <w:widowControl/>
              <w:autoSpaceDE/>
              <w:autoSpaceDN/>
              <w:adjustRightInd/>
              <w:jc w:val="right"/>
              <w:rPr>
                <w:rFonts w:eastAsiaTheme="minorHAnsi"/>
                <w:b/>
                <w:bCs/>
                <w:i/>
                <w:iCs/>
                <w:sz w:val="20"/>
                <w:szCs w:val="20"/>
              </w:rPr>
            </w:pPr>
          </w:p>
        </w:tc>
        <w:tc>
          <w:tcPr>
            <w:tcW w:w="1170" w:type="dxa"/>
            <w:shd w:val="clear" w:color="auto" w:fill="auto"/>
            <w:vAlign w:val="center"/>
          </w:tcPr>
          <w:p w:rsidR="00DF5E80" w:rsidRPr="00A16561" w:rsidP="00A16561" w14:paraId="089AE75D" w14:textId="340C4A4E">
            <w:pPr>
              <w:widowControl/>
              <w:autoSpaceDE/>
              <w:autoSpaceDN/>
              <w:adjustRightInd/>
              <w:jc w:val="right"/>
              <w:rPr>
                <w:rFonts w:eastAsiaTheme="minorHAnsi"/>
                <w:b/>
                <w:bCs/>
                <w:i/>
                <w:iCs/>
                <w:sz w:val="20"/>
                <w:szCs w:val="20"/>
              </w:rPr>
            </w:pPr>
            <w:r w:rsidRPr="00A16561">
              <w:rPr>
                <w:rFonts w:eastAsiaTheme="minorHAnsi"/>
                <w:b/>
                <w:bCs/>
                <w:i/>
                <w:iCs/>
                <w:sz w:val="20"/>
                <w:szCs w:val="20"/>
              </w:rPr>
              <w:t>3,432</w:t>
            </w:r>
          </w:p>
        </w:tc>
        <w:tc>
          <w:tcPr>
            <w:tcW w:w="1260" w:type="dxa"/>
            <w:shd w:val="clear" w:color="auto" w:fill="000000" w:themeFill="text1"/>
            <w:vAlign w:val="center"/>
          </w:tcPr>
          <w:p w:rsidR="00DF5E80" w:rsidRPr="00A16561" w:rsidP="00A16561" w14:paraId="39AA87AB" w14:textId="77777777">
            <w:pPr>
              <w:widowControl/>
              <w:autoSpaceDE/>
              <w:autoSpaceDN/>
              <w:adjustRightInd/>
              <w:jc w:val="right"/>
              <w:rPr>
                <w:rFonts w:eastAsiaTheme="minorHAnsi"/>
                <w:b/>
                <w:bCs/>
                <w:i/>
                <w:iCs/>
                <w:sz w:val="20"/>
                <w:szCs w:val="20"/>
              </w:rPr>
            </w:pPr>
          </w:p>
        </w:tc>
        <w:tc>
          <w:tcPr>
            <w:tcW w:w="990" w:type="dxa"/>
            <w:shd w:val="clear" w:color="auto" w:fill="auto"/>
            <w:vAlign w:val="center"/>
          </w:tcPr>
          <w:p w:rsidR="00DF5E80" w:rsidRPr="00A16561" w:rsidP="00A16561" w14:paraId="5E237D64" w14:textId="5DCE0398">
            <w:pPr>
              <w:widowControl/>
              <w:autoSpaceDE/>
              <w:autoSpaceDN/>
              <w:adjustRightInd/>
              <w:jc w:val="right"/>
              <w:rPr>
                <w:rFonts w:eastAsiaTheme="minorHAnsi"/>
                <w:b/>
                <w:bCs/>
                <w:i/>
                <w:iCs/>
                <w:sz w:val="20"/>
                <w:szCs w:val="20"/>
              </w:rPr>
            </w:pPr>
            <w:r w:rsidRPr="00A16561">
              <w:rPr>
                <w:rFonts w:eastAsiaTheme="minorHAnsi"/>
                <w:b/>
                <w:bCs/>
                <w:i/>
                <w:iCs/>
                <w:sz w:val="20"/>
                <w:szCs w:val="20"/>
              </w:rPr>
              <w:t>86</w:t>
            </w:r>
          </w:p>
        </w:tc>
        <w:tc>
          <w:tcPr>
            <w:tcW w:w="990" w:type="dxa"/>
            <w:shd w:val="clear" w:color="auto" w:fill="000000" w:themeFill="text1"/>
            <w:noWrap/>
            <w:vAlign w:val="center"/>
          </w:tcPr>
          <w:p w:rsidR="00DF5E80" w:rsidRPr="00A16561" w:rsidP="00A16561" w14:paraId="128E501B" w14:textId="77777777">
            <w:pPr>
              <w:widowControl/>
              <w:autoSpaceDE/>
              <w:autoSpaceDN/>
              <w:adjustRightInd/>
              <w:jc w:val="right"/>
              <w:rPr>
                <w:rFonts w:eastAsiaTheme="minorHAnsi"/>
                <w:b/>
                <w:bCs/>
                <w:i/>
                <w:iCs/>
                <w:sz w:val="20"/>
                <w:szCs w:val="20"/>
              </w:rPr>
            </w:pPr>
          </w:p>
        </w:tc>
        <w:tc>
          <w:tcPr>
            <w:tcW w:w="1080" w:type="dxa"/>
            <w:shd w:val="clear" w:color="auto" w:fill="auto"/>
            <w:noWrap/>
            <w:vAlign w:val="center"/>
          </w:tcPr>
          <w:p w:rsidR="00DF5E80" w:rsidRPr="00A16561" w:rsidP="00A16561" w14:paraId="78A3C910" w14:textId="4395611E">
            <w:pPr>
              <w:widowControl/>
              <w:autoSpaceDE/>
              <w:autoSpaceDN/>
              <w:adjustRightInd/>
              <w:jc w:val="right"/>
              <w:rPr>
                <w:rFonts w:eastAsiaTheme="minorHAnsi"/>
                <w:b/>
                <w:bCs/>
                <w:i/>
                <w:iCs/>
                <w:sz w:val="20"/>
                <w:szCs w:val="20"/>
              </w:rPr>
            </w:pPr>
            <w:r w:rsidRPr="00A16561">
              <w:rPr>
                <w:rFonts w:eastAsiaTheme="minorHAnsi"/>
                <w:b/>
                <w:bCs/>
                <w:i/>
                <w:iCs/>
                <w:sz w:val="20"/>
                <w:szCs w:val="20"/>
              </w:rPr>
              <w:t>$</w:t>
            </w:r>
            <w:r w:rsidRPr="00A16561" w:rsidR="00147615">
              <w:rPr>
                <w:rFonts w:eastAsiaTheme="minorHAnsi"/>
                <w:b/>
                <w:bCs/>
                <w:i/>
                <w:iCs/>
                <w:sz w:val="20"/>
                <w:szCs w:val="20"/>
              </w:rPr>
              <w:t>5,163</w:t>
            </w:r>
          </w:p>
        </w:tc>
      </w:tr>
    </w:tbl>
    <w:p w:rsidR="00B1733D" w:rsidRPr="00A16561" w:rsidP="00A16561" w14:paraId="6EC2CB55" w14:textId="4DAEEDE9">
      <w:pPr>
        <w:rPr>
          <w:rFonts w:eastAsia="Calibri"/>
          <w:bCs/>
          <w:sz w:val="20"/>
          <w:szCs w:val="20"/>
        </w:rPr>
      </w:pPr>
      <w:r w:rsidRPr="00A16561">
        <w:rPr>
          <w:rFonts w:eastAsia="Calibri"/>
          <w:bCs/>
          <w:sz w:val="20"/>
          <w:szCs w:val="20"/>
        </w:rPr>
        <w:t>Notes: The number of responses per respondent is calculated by dividing the number of responses by the number of respondents and rounded.</w:t>
      </w:r>
    </w:p>
    <w:p w:rsidR="00CF6E19" w:rsidRPr="00A16561" w:rsidP="00A16561" w14:paraId="68FE208D" w14:textId="1677CFE4">
      <w:pPr>
        <w:rPr>
          <w:rFonts w:eastAsia="Calibri"/>
          <w:b/>
        </w:rPr>
      </w:pPr>
    </w:p>
    <w:p w:rsidR="009903E9" w:rsidRPr="00A16561" w:rsidP="00A16561" w14:paraId="6E4417C7" w14:textId="089B14F5">
      <w:pPr>
        <w:pStyle w:val="ListParagraph"/>
        <w:numPr>
          <w:ilvl w:val="0"/>
          <w:numId w:val="32"/>
        </w:numPr>
        <w:spacing w:after="0" w:line="240" w:lineRule="auto"/>
        <w:rPr>
          <w:rFonts w:ascii="Times New Roman" w:hAnsi="Times New Roman"/>
          <w:b/>
          <w:bCs/>
          <w:kern w:val="24"/>
          <w:sz w:val="24"/>
          <w:szCs w:val="24"/>
          <w:u w:color="000000"/>
        </w:rPr>
      </w:pPr>
      <w:r w:rsidRPr="00A16561">
        <w:rPr>
          <w:rFonts w:ascii="Times New Roman" w:hAnsi="Times New Roman"/>
          <w:b/>
          <w:bCs/>
          <w:kern w:val="24"/>
          <w:sz w:val="24"/>
          <w:szCs w:val="24"/>
          <w:u w:color="000000"/>
        </w:rPr>
        <w:t>Examinations</w:t>
      </w:r>
      <w:r w:rsidRPr="00A16561" w:rsidR="002C7489">
        <w:rPr>
          <w:rFonts w:ascii="Times New Roman" w:hAnsi="Times New Roman"/>
          <w:b/>
          <w:bCs/>
          <w:kern w:val="24"/>
          <w:sz w:val="24"/>
          <w:szCs w:val="24"/>
          <w:u w:color="000000"/>
        </w:rPr>
        <w:t>,</w:t>
      </w:r>
      <w:r w:rsidRPr="00A16561">
        <w:rPr>
          <w:rFonts w:ascii="Times New Roman" w:hAnsi="Times New Roman"/>
          <w:b/>
          <w:bCs/>
          <w:kern w:val="24"/>
          <w:sz w:val="24"/>
          <w:szCs w:val="24"/>
          <w:u w:color="000000"/>
        </w:rPr>
        <w:t xml:space="preserve"> Corrective Actions</w:t>
      </w:r>
      <w:r w:rsidRPr="00A16561" w:rsidR="002C7489">
        <w:rPr>
          <w:rFonts w:ascii="Times New Roman" w:hAnsi="Times New Roman"/>
          <w:b/>
          <w:bCs/>
          <w:kern w:val="24"/>
          <w:sz w:val="24"/>
          <w:szCs w:val="24"/>
          <w:u w:color="000000"/>
        </w:rPr>
        <w:t>,</w:t>
      </w:r>
      <w:r w:rsidRPr="00A16561">
        <w:rPr>
          <w:rFonts w:ascii="Times New Roman" w:hAnsi="Times New Roman"/>
          <w:b/>
          <w:bCs/>
          <w:kern w:val="24"/>
          <w:sz w:val="24"/>
          <w:szCs w:val="24"/>
          <w:u w:color="000000"/>
        </w:rPr>
        <w:t xml:space="preserve"> and Recordkeeping of HVCMMs</w:t>
      </w:r>
    </w:p>
    <w:p w:rsidR="009903E9" w:rsidRPr="00A16561" w:rsidP="00A16561" w14:paraId="7B5A087F" w14:textId="77777777">
      <w:pPr>
        <w:pStyle w:val="ListParagraph"/>
        <w:spacing w:after="0" w:line="240" w:lineRule="auto"/>
        <w:rPr>
          <w:rFonts w:ascii="Times New Roman" w:hAnsi="Times New Roman"/>
          <w:b/>
          <w:bCs/>
          <w:sz w:val="24"/>
        </w:rPr>
      </w:pPr>
    </w:p>
    <w:p w:rsidR="00DA3BC1" w:rsidRPr="00A16561" w:rsidP="00A16561" w14:paraId="28C45720" w14:textId="616691CF">
      <w:pPr>
        <w:pStyle w:val="Default"/>
        <w:rPr>
          <w:rFonts w:ascii="Times New Roman" w:eastAsia="Calibri" w:hAnsi="Times New Roman" w:cs="Times New Roman"/>
          <w:b/>
        </w:rPr>
      </w:pPr>
      <w:r w:rsidRPr="00A16561">
        <w:rPr>
          <w:rFonts w:ascii="Times New Roman" w:hAnsi="Times New Roman" w:cs="Times New Roman"/>
          <w:color w:val="auto"/>
        </w:rPr>
        <w:t xml:space="preserve">Under 30 CFR 75.832(a), </w:t>
      </w:r>
      <w:r w:rsidRPr="00A16561" w:rsidR="00CF6E19">
        <w:rPr>
          <w:rFonts w:ascii="Times New Roman" w:hAnsi="Times New Roman" w:cs="Times New Roman"/>
          <w:color w:val="auto"/>
        </w:rPr>
        <w:t>a</w:t>
      </w:r>
      <w:r w:rsidRPr="00A16561">
        <w:rPr>
          <w:rFonts w:ascii="Times New Roman" w:hAnsi="Times New Roman" w:cs="Times New Roman"/>
          <w:color w:val="auto"/>
        </w:rPr>
        <w:t xml:space="preserve">t least once every </w:t>
      </w:r>
      <w:r w:rsidRPr="00A16561" w:rsidR="009628B0">
        <w:rPr>
          <w:rFonts w:ascii="Times New Roman" w:hAnsi="Times New Roman" w:cs="Times New Roman"/>
          <w:color w:val="auto"/>
        </w:rPr>
        <w:t xml:space="preserve">7 </w:t>
      </w:r>
      <w:r w:rsidRPr="00A16561">
        <w:rPr>
          <w:rFonts w:ascii="Times New Roman" w:hAnsi="Times New Roman" w:cs="Times New Roman"/>
          <w:color w:val="auto"/>
        </w:rPr>
        <w:t xml:space="preserve">days (or 52 times per year), </w:t>
      </w:r>
      <w:r w:rsidRPr="00A16561" w:rsidR="00AA5238">
        <w:rPr>
          <w:rFonts w:ascii="Times New Roman" w:hAnsi="Times New Roman" w:cs="Times New Roman"/>
          <w:color w:val="auto"/>
        </w:rPr>
        <w:t xml:space="preserve">as well as </w:t>
      </w:r>
      <w:r w:rsidRPr="00A16561">
        <w:rPr>
          <w:rFonts w:ascii="Times New Roman" w:hAnsi="Times New Roman" w:cs="Times New Roman"/>
          <w:color w:val="auto"/>
        </w:rPr>
        <w:t xml:space="preserve">prior to tramming the </w:t>
      </w:r>
      <w:r w:rsidRPr="00A16561" w:rsidR="008C5917">
        <w:rPr>
          <w:rFonts w:ascii="Times New Roman" w:hAnsi="Times New Roman" w:cs="Times New Roman"/>
          <w:color w:val="auto"/>
        </w:rPr>
        <w:t>HVCMM</w:t>
      </w:r>
      <w:r w:rsidRPr="00A16561">
        <w:rPr>
          <w:rFonts w:ascii="Times New Roman" w:hAnsi="Times New Roman" w:cs="Times New Roman"/>
          <w:color w:val="auto"/>
        </w:rPr>
        <w:t>, a qualified person must verify that electrical protection, equipment grounding, permissibility, cable insulation, and control devices are properly installed and maintained.</w:t>
      </w:r>
    </w:p>
    <w:p w:rsidR="00DA3BC1" w:rsidRPr="00A16561" w:rsidP="00A16561" w14:paraId="7672429B" w14:textId="77777777">
      <w:pPr>
        <w:rPr>
          <w:rFonts w:eastAsia="Calibri"/>
          <w:b/>
        </w:rPr>
      </w:pPr>
    </w:p>
    <w:p w:rsidR="0055002D" w:rsidRPr="00A16561" w:rsidP="00A16561" w14:paraId="6048367B" w14:textId="36F49482">
      <w:pPr>
        <w:pStyle w:val="Default"/>
        <w:rPr>
          <w:rFonts w:ascii="Times New Roman" w:hAnsi="Times New Roman" w:cs="Times New Roman"/>
          <w:color w:val="auto"/>
        </w:rPr>
      </w:pPr>
      <w:r w:rsidRPr="00A16561">
        <w:rPr>
          <w:rFonts w:ascii="Times New Roman" w:hAnsi="Times New Roman" w:cs="Times New Roman"/>
          <w:color w:val="auto"/>
        </w:rPr>
        <w:t xml:space="preserve">Under 30 CFR 75.832(b), </w:t>
      </w:r>
      <w:r w:rsidRPr="00A16561" w:rsidR="00CF6E19">
        <w:rPr>
          <w:rFonts w:ascii="Times New Roman" w:hAnsi="Times New Roman" w:cs="Times New Roman"/>
          <w:color w:val="auto"/>
        </w:rPr>
        <w:t>a</w:t>
      </w:r>
      <w:r w:rsidRPr="00A16561">
        <w:rPr>
          <w:rFonts w:ascii="Times New Roman" w:hAnsi="Times New Roman" w:cs="Times New Roman"/>
          <w:color w:val="auto"/>
        </w:rPr>
        <w:t xml:space="preserve">t least once every </w:t>
      </w:r>
      <w:r w:rsidRPr="00A16561" w:rsidR="009628B0">
        <w:rPr>
          <w:rFonts w:ascii="Times New Roman" w:hAnsi="Times New Roman" w:cs="Times New Roman"/>
          <w:color w:val="auto"/>
        </w:rPr>
        <w:t xml:space="preserve">7 </w:t>
      </w:r>
      <w:r w:rsidRPr="00A16561">
        <w:rPr>
          <w:rFonts w:ascii="Times New Roman" w:hAnsi="Times New Roman" w:cs="Times New Roman"/>
          <w:color w:val="auto"/>
        </w:rPr>
        <w:t xml:space="preserve">days (or 52 times per year), </w:t>
      </w:r>
      <w:r w:rsidRPr="00A16561" w:rsidR="00AA5238">
        <w:rPr>
          <w:rFonts w:ascii="Times New Roman" w:hAnsi="Times New Roman" w:cs="Times New Roman"/>
          <w:color w:val="auto"/>
        </w:rPr>
        <w:t xml:space="preserve">as well as </w:t>
      </w:r>
      <w:r w:rsidRPr="00A16561">
        <w:rPr>
          <w:rFonts w:ascii="Times New Roman" w:hAnsi="Times New Roman" w:cs="Times New Roman"/>
          <w:color w:val="auto"/>
        </w:rPr>
        <w:t xml:space="preserve">prior to tramming the </w:t>
      </w:r>
      <w:r w:rsidRPr="00A16561" w:rsidR="008C5917">
        <w:rPr>
          <w:rFonts w:ascii="Times New Roman" w:hAnsi="Times New Roman" w:cs="Times New Roman"/>
          <w:color w:val="auto"/>
        </w:rPr>
        <w:t>HVCMM</w:t>
      </w:r>
      <w:r w:rsidRPr="00A16561">
        <w:rPr>
          <w:rFonts w:ascii="Times New Roman" w:hAnsi="Times New Roman" w:cs="Times New Roman"/>
          <w:color w:val="auto"/>
        </w:rPr>
        <w:t xml:space="preserve">, a qualified person </w:t>
      </w:r>
      <w:r w:rsidRPr="00A16561" w:rsidR="00074D84">
        <w:rPr>
          <w:rFonts w:ascii="Times New Roman" w:hAnsi="Times New Roman" w:cs="Times New Roman"/>
          <w:color w:val="auto"/>
        </w:rPr>
        <w:t>must activate the ground-fault test circuit to verify that it will cause the corresponding circuit-interrupting device to open.</w:t>
      </w:r>
    </w:p>
    <w:p w:rsidR="00DA3BC1" w:rsidRPr="00A16561" w:rsidP="00A16561" w14:paraId="7AEBCEC6" w14:textId="77777777">
      <w:pPr>
        <w:pStyle w:val="Default"/>
        <w:rPr>
          <w:rFonts w:ascii="Times New Roman" w:eastAsia="Calibri" w:hAnsi="Times New Roman" w:cs="Times New Roman"/>
          <w:bCs/>
          <w:u w:val="single"/>
        </w:rPr>
      </w:pPr>
    </w:p>
    <w:p w:rsidR="00FC1FA9" w:rsidRPr="00A16561" w:rsidP="00A16561" w14:paraId="5942EBCF" w14:textId="61C4A05E">
      <w:pPr>
        <w:pStyle w:val="Default"/>
        <w:rPr>
          <w:rFonts w:ascii="Times New Roman" w:hAnsi="Times New Roman" w:cs="Times New Roman"/>
          <w:color w:val="auto"/>
        </w:rPr>
      </w:pPr>
      <w:r w:rsidRPr="00A16561">
        <w:rPr>
          <w:rFonts w:ascii="Times New Roman" w:hAnsi="Times New Roman" w:cs="Times New Roman"/>
          <w:color w:val="auto"/>
        </w:rPr>
        <w:t xml:space="preserve">Under 30 CFR 75.832(c), </w:t>
      </w:r>
      <w:r w:rsidRPr="00A16561" w:rsidR="00CF6E19">
        <w:rPr>
          <w:rFonts w:ascii="Times New Roman" w:hAnsi="Times New Roman" w:cs="Times New Roman"/>
          <w:color w:val="auto"/>
        </w:rPr>
        <w:t>a</w:t>
      </w:r>
      <w:r w:rsidRPr="00A16561">
        <w:rPr>
          <w:rFonts w:ascii="Times New Roman" w:hAnsi="Times New Roman" w:cs="Times New Roman"/>
          <w:color w:val="auto"/>
        </w:rPr>
        <w:t xml:space="preserve">t least once every </w:t>
      </w:r>
      <w:r w:rsidRPr="00A16561" w:rsidR="00D832A8">
        <w:rPr>
          <w:rFonts w:ascii="Times New Roman" w:hAnsi="Times New Roman" w:cs="Times New Roman"/>
          <w:color w:val="auto"/>
        </w:rPr>
        <w:t xml:space="preserve">7 </w:t>
      </w:r>
      <w:r w:rsidRPr="00A16561">
        <w:rPr>
          <w:rFonts w:ascii="Times New Roman" w:hAnsi="Times New Roman" w:cs="Times New Roman"/>
          <w:color w:val="auto"/>
        </w:rPr>
        <w:t>days</w:t>
      </w:r>
      <w:r w:rsidRPr="00A16561" w:rsidR="00B1733D">
        <w:rPr>
          <w:rFonts w:ascii="Times New Roman" w:hAnsi="Times New Roman" w:cs="Times New Roman"/>
          <w:color w:val="auto"/>
        </w:rPr>
        <w:t xml:space="preserve"> (or 52 times per year)</w:t>
      </w:r>
      <w:r w:rsidRPr="00A16561">
        <w:rPr>
          <w:rFonts w:ascii="Times New Roman" w:hAnsi="Times New Roman" w:cs="Times New Roman"/>
          <w:color w:val="auto"/>
        </w:rPr>
        <w:t xml:space="preserve">, </w:t>
      </w:r>
      <w:r w:rsidRPr="00A16561" w:rsidR="00AA5238">
        <w:rPr>
          <w:rFonts w:ascii="Times New Roman" w:hAnsi="Times New Roman" w:cs="Times New Roman"/>
          <w:color w:val="auto"/>
        </w:rPr>
        <w:t xml:space="preserve">as well as </w:t>
      </w:r>
      <w:r w:rsidRPr="00A16561">
        <w:rPr>
          <w:rFonts w:ascii="Times New Roman" w:hAnsi="Times New Roman" w:cs="Times New Roman"/>
          <w:color w:val="auto"/>
        </w:rPr>
        <w:t xml:space="preserve">prior to tramming the </w:t>
      </w:r>
      <w:r w:rsidRPr="00A16561" w:rsidR="008C5917">
        <w:rPr>
          <w:rFonts w:ascii="Times New Roman" w:hAnsi="Times New Roman" w:cs="Times New Roman"/>
          <w:color w:val="auto"/>
        </w:rPr>
        <w:t>HVCMM</w:t>
      </w:r>
      <w:r w:rsidRPr="00A16561">
        <w:rPr>
          <w:rFonts w:ascii="Times New Roman" w:hAnsi="Times New Roman" w:cs="Times New Roman"/>
          <w:color w:val="auto"/>
        </w:rPr>
        <w:t xml:space="preserve">, a qualified person must examine and test each </w:t>
      </w:r>
      <w:r w:rsidRPr="00A16561" w:rsidR="008C5917">
        <w:rPr>
          <w:rFonts w:ascii="Times New Roman" w:hAnsi="Times New Roman" w:cs="Times New Roman"/>
          <w:color w:val="auto"/>
        </w:rPr>
        <w:t>HVCMM</w:t>
      </w:r>
      <w:r w:rsidRPr="00A16561">
        <w:rPr>
          <w:rFonts w:ascii="Times New Roman" w:hAnsi="Times New Roman" w:cs="Times New Roman"/>
          <w:color w:val="auto"/>
        </w:rPr>
        <w:t xml:space="preserve"> ground-wire monitor circuit to verify that it will cause the corresponding circuit-interrupting device to open.</w:t>
      </w:r>
    </w:p>
    <w:p w:rsidR="00FC1FA9" w:rsidRPr="00A16561" w:rsidP="00A16561" w14:paraId="775D55A3" w14:textId="77777777">
      <w:pPr>
        <w:pStyle w:val="Default"/>
        <w:rPr>
          <w:rFonts w:ascii="Times New Roman" w:hAnsi="Times New Roman" w:cs="Times New Roman"/>
          <w:color w:val="auto"/>
        </w:rPr>
      </w:pPr>
    </w:p>
    <w:p w:rsidR="00FC1FA9" w:rsidRPr="00A16561" w:rsidP="00A16561" w14:paraId="2C9ED18A" w14:textId="4F492EB5">
      <w:pPr>
        <w:pStyle w:val="Default"/>
        <w:rPr>
          <w:rFonts w:ascii="Times New Roman" w:hAnsi="Times New Roman" w:cs="Times New Roman"/>
          <w:color w:val="auto"/>
        </w:rPr>
      </w:pPr>
      <w:r w:rsidRPr="00A16561">
        <w:rPr>
          <w:rFonts w:ascii="Times New Roman" w:hAnsi="Times New Roman" w:cs="Times New Roman"/>
          <w:color w:val="auto"/>
        </w:rPr>
        <w:t xml:space="preserve">Under 30 CFR 75.832(g)(1), </w:t>
      </w:r>
      <w:r w:rsidRPr="00A16561" w:rsidR="00CF6E19">
        <w:rPr>
          <w:rFonts w:ascii="Times New Roman" w:hAnsi="Times New Roman" w:cs="Times New Roman"/>
          <w:color w:val="auto"/>
        </w:rPr>
        <w:t>at the completion of examinations and tests required for HVCMM</w:t>
      </w:r>
      <w:r w:rsidRPr="00A16561" w:rsidR="00D832A8">
        <w:rPr>
          <w:rFonts w:ascii="Times New Roman" w:hAnsi="Times New Roman" w:cs="Times New Roman"/>
          <w:color w:val="auto"/>
        </w:rPr>
        <w:t>s</w:t>
      </w:r>
      <w:r w:rsidRPr="00A16561" w:rsidR="00CF6E19">
        <w:rPr>
          <w:rFonts w:ascii="Times New Roman" w:hAnsi="Times New Roman" w:cs="Times New Roman"/>
          <w:color w:val="auto"/>
        </w:rPr>
        <w:t xml:space="preserve"> under paragraph 75.832(a), ground-fault test circuit</w:t>
      </w:r>
      <w:r w:rsidRPr="00A16561" w:rsidR="00D832A8">
        <w:rPr>
          <w:rFonts w:ascii="Times New Roman" w:hAnsi="Times New Roman" w:cs="Times New Roman"/>
          <w:color w:val="auto"/>
        </w:rPr>
        <w:t>s</w:t>
      </w:r>
      <w:r w:rsidRPr="00A16561" w:rsidR="00CF6E19">
        <w:rPr>
          <w:rFonts w:ascii="Times New Roman" w:hAnsi="Times New Roman" w:cs="Times New Roman"/>
          <w:color w:val="auto"/>
        </w:rPr>
        <w:t xml:space="preserve"> under paragraph 75.832(b), and ground-</w:t>
      </w:r>
      <w:r w:rsidRPr="00A16561" w:rsidR="00CF6E19">
        <w:rPr>
          <w:rFonts w:ascii="Times New Roman" w:hAnsi="Times New Roman" w:cs="Times New Roman"/>
          <w:color w:val="auto"/>
        </w:rPr>
        <w:t>wire monitor test</w:t>
      </w:r>
      <w:r w:rsidRPr="00A16561" w:rsidR="00D832A8">
        <w:rPr>
          <w:rFonts w:ascii="Times New Roman" w:hAnsi="Times New Roman" w:cs="Times New Roman"/>
          <w:color w:val="auto"/>
        </w:rPr>
        <w:t>s</w:t>
      </w:r>
      <w:r w:rsidRPr="00A16561" w:rsidR="00CF6E19">
        <w:rPr>
          <w:rFonts w:ascii="Times New Roman" w:hAnsi="Times New Roman" w:cs="Times New Roman"/>
          <w:color w:val="auto"/>
        </w:rPr>
        <w:t xml:space="preserve"> under paragraph 75.832(c), the person conducting the examinations and tests must ce</w:t>
      </w:r>
      <w:r w:rsidRPr="00A16561">
        <w:rPr>
          <w:rFonts w:ascii="Times New Roman" w:hAnsi="Times New Roman" w:cs="Times New Roman"/>
          <w:color w:val="auto"/>
        </w:rPr>
        <w:t>rtify that the examinations and tests have been conducted</w:t>
      </w:r>
      <w:r w:rsidRPr="00A16561" w:rsidR="00CF6E19">
        <w:rPr>
          <w:rFonts w:ascii="Times New Roman" w:hAnsi="Times New Roman" w:cs="Times New Roman"/>
          <w:color w:val="auto"/>
        </w:rPr>
        <w:t xml:space="preserve"> and m</w:t>
      </w:r>
      <w:r w:rsidRPr="00A16561">
        <w:rPr>
          <w:rFonts w:ascii="Times New Roman" w:hAnsi="Times New Roman" w:cs="Times New Roman"/>
          <w:color w:val="auto"/>
        </w:rPr>
        <w:t>ake a record of any unsafe condition found.</w:t>
      </w:r>
    </w:p>
    <w:p w:rsidR="00FC1FA9" w:rsidRPr="00A16561" w:rsidP="00A16561" w14:paraId="63D965FC" w14:textId="77777777">
      <w:pPr>
        <w:pStyle w:val="Default"/>
        <w:ind w:firstLine="720"/>
        <w:rPr>
          <w:rFonts w:ascii="Times New Roman" w:hAnsi="Times New Roman" w:cs="Times New Roman"/>
          <w:color w:val="auto"/>
        </w:rPr>
      </w:pPr>
      <w:r w:rsidRPr="00A16561">
        <w:rPr>
          <w:rFonts w:ascii="Times New Roman" w:hAnsi="Times New Roman" w:cs="Times New Roman"/>
          <w:color w:val="auto"/>
        </w:rPr>
        <w:t xml:space="preserve"> </w:t>
      </w:r>
    </w:p>
    <w:p w:rsidR="00DF232F" w:rsidRPr="00A16561" w:rsidP="00A16561" w14:paraId="3FA277D7" w14:textId="4591B98F">
      <w:pPr>
        <w:pStyle w:val="Default"/>
        <w:rPr>
          <w:rFonts w:ascii="Times New Roman" w:hAnsi="Times New Roman" w:cs="Times New Roman"/>
          <w:color w:val="auto"/>
        </w:rPr>
      </w:pPr>
      <w:r w:rsidRPr="00A16561">
        <w:rPr>
          <w:rFonts w:ascii="Times New Roman" w:hAnsi="Times New Roman" w:cs="Times New Roman"/>
          <w:color w:val="auto"/>
        </w:rPr>
        <w:t>Under 30 CFR 75.832(g)(2)</w:t>
      </w:r>
      <w:r w:rsidRPr="00A16561">
        <w:rPr>
          <w:rFonts w:ascii="Times New Roman" w:hAnsi="Times New Roman" w:cs="Times New Roman"/>
          <w:color w:val="auto"/>
        </w:rPr>
        <w:t>,</w:t>
      </w:r>
      <w:r w:rsidRPr="00A16561">
        <w:rPr>
          <w:rFonts w:ascii="Times New Roman" w:hAnsi="Times New Roman" w:cs="Times New Roman"/>
          <w:color w:val="auto"/>
        </w:rPr>
        <w:t xml:space="preserve"> any corrective action</w:t>
      </w:r>
      <w:r w:rsidRPr="00A16561" w:rsidR="00D832A8">
        <w:rPr>
          <w:rFonts w:ascii="Times New Roman" w:hAnsi="Times New Roman" w:cs="Times New Roman"/>
          <w:color w:val="auto"/>
        </w:rPr>
        <w:t>s</w:t>
      </w:r>
      <w:r w:rsidRPr="00A16561">
        <w:rPr>
          <w:rFonts w:ascii="Times New Roman" w:hAnsi="Times New Roman" w:cs="Times New Roman"/>
          <w:color w:val="auto"/>
        </w:rPr>
        <w:t xml:space="preserve"> must be certified by the person taking the corrective action. </w:t>
      </w:r>
    </w:p>
    <w:p w:rsidR="00DF232F" w:rsidRPr="00A16561" w:rsidP="00A16561" w14:paraId="7709A603" w14:textId="77777777">
      <w:pPr>
        <w:pStyle w:val="Default"/>
        <w:rPr>
          <w:rFonts w:ascii="Times New Roman" w:hAnsi="Times New Roman" w:cs="Times New Roman"/>
          <w:color w:val="auto"/>
        </w:rPr>
      </w:pPr>
    </w:p>
    <w:p w:rsidR="00FC1FA9" w:rsidRPr="00A16561" w:rsidP="00A16561" w14:paraId="1348F3F4" w14:textId="2A3C00DF">
      <w:pPr>
        <w:pStyle w:val="Default"/>
        <w:rPr>
          <w:rFonts w:ascii="Times New Roman" w:hAnsi="Times New Roman" w:cs="Times New Roman"/>
        </w:rPr>
      </w:pPr>
      <w:r w:rsidRPr="00A16561">
        <w:rPr>
          <w:rFonts w:ascii="Times New Roman" w:hAnsi="Times New Roman" w:cs="Times New Roman"/>
          <w:color w:val="auto"/>
        </w:rPr>
        <w:t>Un</w:t>
      </w:r>
      <w:r w:rsidRPr="00A16561">
        <w:rPr>
          <w:rFonts w:ascii="Times New Roman" w:hAnsi="Times New Roman" w:cs="Times New Roman"/>
          <w:color w:val="auto"/>
        </w:rPr>
        <w:t>der 30 CFR 75.832(g)(3)</w:t>
      </w:r>
      <w:r w:rsidRPr="00A16561">
        <w:rPr>
          <w:rFonts w:ascii="Times New Roman" w:hAnsi="Times New Roman" w:cs="Times New Roman"/>
          <w:color w:val="auto"/>
        </w:rPr>
        <w:t>,</w:t>
      </w:r>
      <w:r w:rsidRPr="00A16561">
        <w:rPr>
          <w:rFonts w:ascii="Times New Roman" w:hAnsi="Times New Roman" w:cs="Times New Roman"/>
          <w:color w:val="auto"/>
        </w:rPr>
        <w:t xml:space="preserve"> these records must be countersigned by the mine foreman or equivalent mine official by the end of the mine foreman’s or equivalent mine official’s next regularly scheduled working shift. </w:t>
      </w:r>
    </w:p>
    <w:p w:rsidR="00FC1FA9" w:rsidRPr="00A16561" w:rsidP="00A16561" w14:paraId="1631F758" w14:textId="77777777">
      <w:pPr>
        <w:autoSpaceDE/>
        <w:autoSpaceDN/>
        <w:adjustRightInd/>
      </w:pPr>
    </w:p>
    <w:p w:rsidR="00DF232F" w:rsidRPr="00A16561" w:rsidP="00A16561" w14:paraId="4F5AE336" w14:textId="756F625E">
      <w:pPr>
        <w:autoSpaceDE/>
        <w:autoSpaceDN/>
        <w:adjustRightInd/>
      </w:pPr>
      <w:r w:rsidRPr="00A16561">
        <w:rPr>
          <w:rFonts w:eastAsia="Calibri"/>
        </w:rPr>
        <w:t xml:space="preserve">MSHA </w:t>
      </w:r>
      <w:r w:rsidRPr="00A16561">
        <w:rPr>
          <w:rFonts w:eastAsia="Calibri"/>
        </w:rPr>
        <w:t>assumes that there are 52 weekly examinations and tests for each of the 11 HVCMMs at 3 underground coal mines, a total of 572 examinations (</w:t>
      </w:r>
      <w:r w:rsidRPr="00A16561" w:rsidR="00AA5238">
        <w:rPr>
          <w:rFonts w:eastAsia="Calibri"/>
        </w:rPr>
        <w:t xml:space="preserve">572 </w:t>
      </w:r>
      <w:r w:rsidRPr="00A16561">
        <w:rPr>
          <w:rFonts w:eastAsia="Calibri"/>
        </w:rPr>
        <w:t xml:space="preserve">= 11 </w:t>
      </w:r>
      <w:r w:rsidRPr="00A16561" w:rsidR="00AA5238">
        <w:rPr>
          <w:rFonts w:eastAsia="Calibri"/>
        </w:rPr>
        <w:t xml:space="preserve">x </w:t>
      </w:r>
      <w:r w:rsidRPr="00A16561">
        <w:rPr>
          <w:rFonts w:eastAsia="Calibri"/>
        </w:rPr>
        <w:t xml:space="preserve">52). </w:t>
      </w:r>
      <w:r w:rsidRPr="00A16561">
        <w:t xml:space="preserve">MSHA also assumes that </w:t>
      </w:r>
      <w:r w:rsidRPr="00A16561" w:rsidR="00AA5238">
        <w:t xml:space="preserve">annually, </w:t>
      </w:r>
      <w:r w:rsidRPr="00A16561">
        <w:t>on average</w:t>
      </w:r>
      <w:r w:rsidRPr="00A16561" w:rsidR="00AA5238">
        <w:t>,</w:t>
      </w:r>
      <w:r w:rsidRPr="00A16561">
        <w:t xml:space="preserve"> </w:t>
      </w:r>
      <w:r w:rsidRPr="00A16561" w:rsidR="00AA5238">
        <w:t>two</w:t>
      </w:r>
      <w:r w:rsidRPr="00A16561">
        <w:t xml:space="preserve"> corrective actions are reported for </w:t>
      </w:r>
      <w:r w:rsidRPr="00A16561" w:rsidR="00AA5238">
        <w:t xml:space="preserve">each of the </w:t>
      </w:r>
      <w:r w:rsidRPr="00A16561">
        <w:t xml:space="preserve">11 HVCMMs, </w:t>
      </w:r>
      <w:r w:rsidRPr="00A16561" w:rsidR="00817AD7">
        <w:t xml:space="preserve">resulting in </w:t>
      </w:r>
      <w:r w:rsidRPr="00A16561">
        <w:t>22 corrective actions</w:t>
      </w:r>
      <w:r w:rsidRPr="00A16561" w:rsidR="00AA5238">
        <w:t xml:space="preserve"> per year</w:t>
      </w:r>
      <w:r w:rsidRPr="00A16561">
        <w:t xml:space="preserve">. </w:t>
      </w:r>
    </w:p>
    <w:p w:rsidR="00A86E4A" w:rsidRPr="00A16561" w:rsidP="00A16561" w14:paraId="220CB428" w14:textId="77777777">
      <w:pPr>
        <w:autoSpaceDE/>
        <w:autoSpaceDN/>
        <w:adjustRightInd/>
        <w:rPr>
          <w:rFonts w:eastAsia="Calibri"/>
        </w:rPr>
      </w:pPr>
    </w:p>
    <w:p w:rsidR="00672A5E" w:rsidRPr="00A16561" w:rsidP="00A16561" w14:paraId="5C61EE99" w14:textId="5FE97F37">
      <w:pPr>
        <w:autoSpaceDE/>
        <w:autoSpaceDN/>
        <w:adjustRightInd/>
        <w:rPr>
          <w:rFonts w:eastAsia="Calibri"/>
        </w:rPr>
      </w:pPr>
      <w:r w:rsidRPr="00A16561">
        <w:rPr>
          <w:rFonts w:eastAsia="Calibri"/>
        </w:rPr>
        <w:t xml:space="preserve">MSHA estimates </w:t>
      </w:r>
      <w:r w:rsidRPr="00A16561">
        <w:rPr>
          <w:rFonts w:eastAsia="Calibri"/>
        </w:rPr>
        <w:t>that</w:t>
      </w:r>
      <w:r w:rsidRPr="00A16561" w:rsidR="00AA5238">
        <w:rPr>
          <w:rFonts w:eastAsia="Calibri"/>
        </w:rPr>
        <w:t xml:space="preserve"> </w:t>
      </w:r>
      <w:r w:rsidRPr="00A16561">
        <w:rPr>
          <w:rFonts w:eastAsia="Calibri"/>
        </w:rPr>
        <w:t xml:space="preserve">it takes </w:t>
      </w:r>
      <w:r w:rsidRPr="00A16561">
        <w:rPr>
          <w:rFonts w:eastAsia="Calibri"/>
        </w:rPr>
        <w:t>a coal mine electrician, earning $</w:t>
      </w:r>
      <w:r w:rsidRPr="00A16561" w:rsidR="00FC1FA9">
        <w:rPr>
          <w:rFonts w:eastAsia="Calibri"/>
        </w:rPr>
        <w:t>60.18</w:t>
      </w:r>
      <w:r w:rsidRPr="00A16561">
        <w:rPr>
          <w:rFonts w:eastAsia="Calibri"/>
        </w:rPr>
        <w:t xml:space="preserve"> per hour,</w:t>
      </w:r>
      <w:r w:rsidRPr="00A16561" w:rsidR="00AA5238">
        <w:rPr>
          <w:rFonts w:eastAsia="Calibri"/>
        </w:rPr>
        <w:t xml:space="preserve"> on average, </w:t>
      </w:r>
      <w:r w:rsidRPr="00A16561" w:rsidR="00817AD7">
        <w:rPr>
          <w:rFonts w:eastAsia="Calibri"/>
        </w:rPr>
        <w:t xml:space="preserve">3 </w:t>
      </w:r>
      <w:r w:rsidRPr="00A16561">
        <w:rPr>
          <w:rFonts w:eastAsia="Calibri"/>
        </w:rPr>
        <w:t>minutes to certify by signature and date</w:t>
      </w:r>
      <w:r w:rsidRPr="00A16561" w:rsidR="00C86CE8">
        <w:rPr>
          <w:rFonts w:eastAsia="Calibri"/>
        </w:rPr>
        <w:t xml:space="preserve"> the record of testing.</w:t>
      </w:r>
      <w:r w:rsidRPr="00A16561">
        <w:rPr>
          <w:rFonts w:eastAsia="Calibri"/>
        </w:rPr>
        <w:t xml:space="preserve"> </w:t>
      </w:r>
      <w:r w:rsidRPr="00A16561">
        <w:rPr>
          <w:rFonts w:eastAsia="Calibri"/>
        </w:rPr>
        <w:t xml:space="preserve">MSHA </w:t>
      </w:r>
      <w:r w:rsidRPr="00A16561" w:rsidR="00AA5238">
        <w:rPr>
          <w:rFonts w:eastAsia="Calibri"/>
        </w:rPr>
        <w:t xml:space="preserve">also </w:t>
      </w:r>
      <w:r w:rsidRPr="00A16561">
        <w:rPr>
          <w:rFonts w:eastAsia="Calibri"/>
        </w:rPr>
        <w:t>estimates that i</w:t>
      </w:r>
      <w:r w:rsidRPr="00A16561" w:rsidR="00C86CE8">
        <w:rPr>
          <w:rFonts w:eastAsia="Calibri"/>
        </w:rPr>
        <w:t>t take</w:t>
      </w:r>
      <w:r w:rsidRPr="00A16561">
        <w:rPr>
          <w:rFonts w:eastAsia="Calibri"/>
        </w:rPr>
        <w:t>s</w:t>
      </w:r>
      <w:r w:rsidRPr="00A16561">
        <w:rPr>
          <w:rFonts w:eastAsia="Calibri"/>
        </w:rPr>
        <w:t xml:space="preserve"> </w:t>
      </w:r>
      <w:r w:rsidRPr="00A16561">
        <w:rPr>
          <w:rFonts w:eastAsia="Calibri"/>
        </w:rPr>
        <w:t xml:space="preserve">a coal mine electrician </w:t>
      </w:r>
      <w:r w:rsidRPr="00A16561" w:rsidR="00817AD7">
        <w:rPr>
          <w:rFonts w:eastAsia="Calibri"/>
        </w:rPr>
        <w:t xml:space="preserve">6 </w:t>
      </w:r>
      <w:r w:rsidRPr="00A16561">
        <w:rPr>
          <w:rFonts w:eastAsia="Calibri"/>
        </w:rPr>
        <w:t xml:space="preserve">minutes </w:t>
      </w:r>
      <w:r w:rsidRPr="00A16561" w:rsidR="00C86CE8">
        <w:rPr>
          <w:rFonts w:eastAsia="Calibri"/>
        </w:rPr>
        <w:t xml:space="preserve">to </w:t>
      </w:r>
      <w:r w:rsidRPr="00A16561">
        <w:rPr>
          <w:rFonts w:eastAsia="Calibri"/>
        </w:rPr>
        <w:t>make a record of any corrective actions. MSHA estimates that</w:t>
      </w:r>
      <w:r w:rsidRPr="00A16561" w:rsidR="006770D5">
        <w:rPr>
          <w:rFonts w:eastAsia="Calibri"/>
        </w:rPr>
        <w:t xml:space="preserve"> it takes</w:t>
      </w:r>
      <w:r w:rsidRPr="00A16561">
        <w:rPr>
          <w:rFonts w:eastAsia="Calibri"/>
        </w:rPr>
        <w:t xml:space="preserve"> a mine foreman or equivalent mine official, earning $</w:t>
      </w:r>
      <w:r w:rsidRPr="00A16561" w:rsidR="00FC1FA9">
        <w:rPr>
          <w:rFonts w:eastAsia="Calibri"/>
        </w:rPr>
        <w:t>80.89</w:t>
      </w:r>
      <w:r w:rsidRPr="00A16561">
        <w:rPr>
          <w:rFonts w:eastAsia="Calibri"/>
        </w:rPr>
        <w:t xml:space="preserve"> per hour, </w:t>
      </w:r>
      <w:r w:rsidRPr="00A16561" w:rsidR="00817AD7">
        <w:rPr>
          <w:rFonts w:eastAsia="Calibri"/>
        </w:rPr>
        <w:t xml:space="preserve">6 </w:t>
      </w:r>
      <w:r w:rsidRPr="00A16561">
        <w:rPr>
          <w:rFonts w:eastAsia="Calibri"/>
        </w:rPr>
        <w:t xml:space="preserve">minutes to </w:t>
      </w:r>
      <w:r w:rsidRPr="00A16561" w:rsidR="006770D5">
        <w:rPr>
          <w:rFonts w:eastAsia="Calibri"/>
        </w:rPr>
        <w:t xml:space="preserve">review and </w:t>
      </w:r>
      <w:r w:rsidRPr="00A16561">
        <w:rPr>
          <w:rFonts w:eastAsia="Calibri"/>
        </w:rPr>
        <w:t xml:space="preserve">countersign </w:t>
      </w:r>
      <w:r w:rsidRPr="00A16561" w:rsidR="006770D5">
        <w:rPr>
          <w:rFonts w:eastAsia="Calibri"/>
        </w:rPr>
        <w:t>a</w:t>
      </w:r>
      <w:r w:rsidRPr="00A16561">
        <w:rPr>
          <w:rFonts w:eastAsia="Calibri"/>
        </w:rPr>
        <w:t xml:space="preserve"> </w:t>
      </w:r>
      <w:r w:rsidRPr="00A16561" w:rsidR="006770D5">
        <w:rPr>
          <w:rFonts w:eastAsia="Calibri"/>
        </w:rPr>
        <w:t xml:space="preserve">corrective action </w:t>
      </w:r>
      <w:r w:rsidRPr="00A16561">
        <w:rPr>
          <w:rFonts w:eastAsia="Calibri"/>
        </w:rPr>
        <w:t xml:space="preserve">record. </w:t>
      </w:r>
    </w:p>
    <w:p w:rsidR="0013391E" w:rsidRPr="00A16561" w:rsidP="00A16561" w14:paraId="631B0813" w14:textId="77777777">
      <w:pPr>
        <w:autoSpaceDE/>
        <w:autoSpaceDN/>
        <w:adjustRightInd/>
        <w:rPr>
          <w:rFonts w:eastAsia="Calibri"/>
        </w:rPr>
      </w:pPr>
    </w:p>
    <w:p w:rsidR="00B1733D" w:rsidRPr="00A16561" w:rsidP="00A16561" w14:paraId="3BF39067" w14:textId="376A9F4E">
      <w:pPr>
        <w:autoSpaceDE/>
        <w:autoSpaceDN/>
        <w:adjustRightInd/>
        <w:rPr>
          <w:rFonts w:eastAsia="Calibri"/>
          <w:b/>
          <w:bCs/>
        </w:rPr>
      </w:pPr>
      <w:r w:rsidRPr="00A16561">
        <w:rPr>
          <w:rFonts w:eastAsia="Calibri"/>
          <w:b/>
          <w:bCs/>
        </w:rPr>
        <w:t>Table 12-</w:t>
      </w:r>
      <w:r w:rsidRPr="00A16561" w:rsidR="00DF5E80">
        <w:rPr>
          <w:rFonts w:eastAsia="Calibri"/>
          <w:b/>
          <w:bCs/>
        </w:rPr>
        <w:t>4</w:t>
      </w:r>
      <w:r w:rsidRPr="00A16561">
        <w:rPr>
          <w:rFonts w:eastAsia="Calibri"/>
          <w:b/>
          <w:bCs/>
        </w:rPr>
        <w:t xml:space="preserve">. Estimated Annual Respondent Hour and Cost Burden, </w:t>
      </w:r>
      <w:r w:rsidRPr="00A16561" w:rsidR="009903E9">
        <w:rPr>
          <w:b/>
          <w:bCs/>
        </w:rPr>
        <w:t>Examinations,</w:t>
      </w:r>
      <w:r w:rsidRPr="00A16561" w:rsidR="0006522D">
        <w:rPr>
          <w:b/>
          <w:bCs/>
        </w:rPr>
        <w:t xml:space="preserve"> Corrective Actions</w:t>
      </w:r>
      <w:r w:rsidRPr="00A16561" w:rsidR="009903E9">
        <w:rPr>
          <w:b/>
          <w:bCs/>
        </w:rPr>
        <w:t xml:space="preserve">, and Recordkeeping of HVCMMs </w:t>
      </w:r>
      <w:r w:rsidRPr="00A16561" w:rsidR="00956B94">
        <w:rPr>
          <w:rFonts w:eastAsia="Calibri"/>
          <w:b/>
          <w:bCs/>
        </w:rPr>
        <w:t>(</w:t>
      </w:r>
      <w:r w:rsidRPr="00A16561" w:rsidR="002C7489">
        <w:rPr>
          <w:rFonts w:eastAsia="Calibri"/>
          <w:b/>
          <w:bCs/>
        </w:rPr>
        <w:t>30 CFR 75.832(a)-(c), (</w:t>
      </w:r>
      <w:r w:rsidRPr="00A16561" w:rsidR="00DA790B">
        <w:rPr>
          <w:rFonts w:eastAsia="Calibri"/>
          <w:b/>
          <w:bCs/>
        </w:rPr>
        <w:t>f</w:t>
      </w:r>
      <w:r w:rsidRPr="00A16561" w:rsidR="002C7489">
        <w:rPr>
          <w:rFonts w:eastAsia="Calibri"/>
          <w:b/>
          <w:bCs/>
        </w:rPr>
        <w:t>)-(g)</w:t>
      </w:r>
      <w:r w:rsidRPr="00A16561" w:rsidR="00E610B6">
        <w:rPr>
          <w:rFonts w:eastAsia="Calibri"/>
          <w:b/>
          <w:bCs/>
        </w:rPr>
        <w:t>)</w:t>
      </w:r>
    </w:p>
    <w:tbl>
      <w:tblPr>
        <w:tblStyle w:val="TableGrid"/>
        <w:tblW w:w="9625" w:type="dxa"/>
        <w:tblLayout w:type="fixed"/>
        <w:tblLook w:val="04A0"/>
      </w:tblPr>
      <w:tblGrid>
        <w:gridCol w:w="1525"/>
        <w:gridCol w:w="1350"/>
        <w:gridCol w:w="1260"/>
        <w:gridCol w:w="1170"/>
        <w:gridCol w:w="1260"/>
        <w:gridCol w:w="990"/>
        <w:gridCol w:w="990"/>
        <w:gridCol w:w="1080"/>
      </w:tblGrid>
      <w:tr w14:paraId="28A50F4C" w14:textId="77777777" w:rsidTr="005154C9">
        <w:tblPrEx>
          <w:tblW w:w="9625" w:type="dxa"/>
          <w:tblLayout w:type="fixed"/>
          <w:tblLook w:val="04A0"/>
        </w:tblPrEx>
        <w:trPr>
          <w:trHeight w:val="747"/>
        </w:trPr>
        <w:tc>
          <w:tcPr>
            <w:tcW w:w="1525" w:type="dxa"/>
            <w:shd w:val="clear" w:color="auto" w:fill="8EAADB" w:themeFill="accent1" w:themeFillTint="99"/>
            <w:vAlign w:val="center"/>
            <w:hideMark/>
          </w:tcPr>
          <w:p w:rsidR="00B1733D" w:rsidRPr="00A16561" w:rsidP="00A16561" w14:paraId="0FE739F6" w14:textId="77777777">
            <w:pPr>
              <w:widowControl/>
              <w:autoSpaceDE/>
              <w:autoSpaceDN/>
              <w:adjustRightInd/>
              <w:rPr>
                <w:rFonts w:eastAsiaTheme="minorHAnsi"/>
                <w:sz w:val="20"/>
                <w:szCs w:val="20"/>
              </w:rPr>
            </w:pPr>
            <w:r w:rsidRPr="00A16561">
              <w:rPr>
                <w:color w:val="000000"/>
                <w:sz w:val="20"/>
                <w:szCs w:val="20"/>
              </w:rPr>
              <w:t>Activity (Occupation)</w:t>
            </w:r>
          </w:p>
        </w:tc>
        <w:tc>
          <w:tcPr>
            <w:tcW w:w="1350" w:type="dxa"/>
            <w:shd w:val="clear" w:color="auto" w:fill="8EAADB" w:themeFill="accent1" w:themeFillTint="99"/>
            <w:vAlign w:val="center"/>
            <w:hideMark/>
          </w:tcPr>
          <w:p w:rsidR="00B1733D" w:rsidRPr="00A16561" w:rsidP="00A16561" w14:paraId="34A73968" w14:textId="013CEA61">
            <w:pPr>
              <w:widowControl/>
              <w:autoSpaceDE/>
              <w:autoSpaceDN/>
              <w:adjustRightInd/>
              <w:jc w:val="center"/>
              <w:rPr>
                <w:rFonts w:eastAsiaTheme="minorHAnsi"/>
                <w:sz w:val="20"/>
                <w:szCs w:val="20"/>
              </w:rPr>
            </w:pPr>
            <w:r w:rsidRPr="00A16561">
              <w:rPr>
                <w:color w:val="000000"/>
                <w:sz w:val="20"/>
                <w:szCs w:val="20"/>
              </w:rPr>
              <w:t>Number of Respondents (Mine</w:t>
            </w:r>
            <w:r w:rsidRPr="00A16561" w:rsidR="00AA5238">
              <w:rPr>
                <w:color w:val="000000"/>
                <w:sz w:val="20"/>
                <w:szCs w:val="20"/>
              </w:rPr>
              <w:t xml:space="preserve"> Operators</w:t>
            </w:r>
            <w:r w:rsidRPr="00A16561">
              <w:rPr>
                <w:color w:val="000000"/>
                <w:sz w:val="20"/>
                <w:szCs w:val="20"/>
              </w:rPr>
              <w:t>)</w:t>
            </w:r>
          </w:p>
        </w:tc>
        <w:tc>
          <w:tcPr>
            <w:tcW w:w="1260" w:type="dxa"/>
            <w:shd w:val="clear" w:color="auto" w:fill="8EAADB" w:themeFill="accent1" w:themeFillTint="99"/>
            <w:vAlign w:val="center"/>
          </w:tcPr>
          <w:p w:rsidR="00B1733D" w:rsidRPr="00A16561" w:rsidP="00A16561" w14:paraId="0E52169D" w14:textId="77777777">
            <w:pPr>
              <w:widowControl/>
              <w:autoSpaceDE/>
              <w:autoSpaceDN/>
              <w:adjustRightInd/>
              <w:jc w:val="center"/>
              <w:rPr>
                <w:rFonts w:eastAsiaTheme="minorHAnsi"/>
                <w:sz w:val="20"/>
                <w:szCs w:val="20"/>
              </w:rPr>
            </w:pPr>
            <w:r w:rsidRPr="00A16561">
              <w:rPr>
                <w:color w:val="000000"/>
                <w:sz w:val="20"/>
                <w:szCs w:val="20"/>
              </w:rPr>
              <w:t>Number of Responses per Respondent</w:t>
            </w:r>
          </w:p>
        </w:tc>
        <w:tc>
          <w:tcPr>
            <w:tcW w:w="1170" w:type="dxa"/>
            <w:shd w:val="clear" w:color="auto" w:fill="8EAADB" w:themeFill="accent1" w:themeFillTint="99"/>
            <w:vAlign w:val="center"/>
          </w:tcPr>
          <w:p w:rsidR="00B1733D" w:rsidRPr="00A16561" w:rsidP="00A16561" w14:paraId="7E3A319D" w14:textId="106E48FB">
            <w:pPr>
              <w:widowControl/>
              <w:autoSpaceDE/>
              <w:autoSpaceDN/>
              <w:adjustRightInd/>
              <w:jc w:val="center"/>
              <w:rPr>
                <w:rFonts w:eastAsiaTheme="minorHAnsi"/>
                <w:sz w:val="20"/>
                <w:szCs w:val="20"/>
              </w:rPr>
            </w:pPr>
            <w:r w:rsidRPr="00A16561">
              <w:rPr>
                <w:color w:val="000000"/>
                <w:sz w:val="20"/>
                <w:szCs w:val="20"/>
              </w:rPr>
              <w:t>Total Responses (</w:t>
            </w:r>
            <w:r w:rsidRPr="00A16561" w:rsidR="00DF232F">
              <w:rPr>
                <w:color w:val="000000"/>
                <w:sz w:val="20"/>
                <w:szCs w:val="20"/>
              </w:rPr>
              <w:t xml:space="preserve">Exams </w:t>
            </w:r>
            <w:r w:rsidRPr="00A16561">
              <w:rPr>
                <w:color w:val="000000"/>
                <w:sz w:val="20"/>
                <w:szCs w:val="20"/>
              </w:rPr>
              <w:t>or Corrective Actions)</w:t>
            </w:r>
          </w:p>
        </w:tc>
        <w:tc>
          <w:tcPr>
            <w:tcW w:w="1260" w:type="dxa"/>
            <w:shd w:val="clear" w:color="auto" w:fill="8EAADB" w:themeFill="accent1" w:themeFillTint="99"/>
            <w:vAlign w:val="center"/>
          </w:tcPr>
          <w:p w:rsidR="00B1733D" w:rsidRPr="00A16561" w:rsidP="00A16561" w14:paraId="198E572A" w14:textId="77777777">
            <w:pPr>
              <w:widowControl/>
              <w:autoSpaceDE/>
              <w:autoSpaceDN/>
              <w:adjustRightInd/>
              <w:jc w:val="center"/>
              <w:rPr>
                <w:rFonts w:eastAsiaTheme="minorHAnsi"/>
                <w:sz w:val="20"/>
                <w:szCs w:val="20"/>
              </w:rPr>
            </w:pPr>
            <w:r w:rsidRPr="00A16561">
              <w:rPr>
                <w:color w:val="000000"/>
                <w:sz w:val="20"/>
                <w:szCs w:val="20"/>
              </w:rPr>
              <w:t>Average Burden (Hours)</w:t>
            </w:r>
          </w:p>
        </w:tc>
        <w:tc>
          <w:tcPr>
            <w:tcW w:w="990" w:type="dxa"/>
            <w:shd w:val="clear" w:color="auto" w:fill="8EAADB" w:themeFill="accent1" w:themeFillTint="99"/>
            <w:vAlign w:val="center"/>
            <w:hideMark/>
          </w:tcPr>
          <w:p w:rsidR="00B1733D" w:rsidRPr="00A16561" w:rsidP="00A16561" w14:paraId="04B294F1" w14:textId="77777777">
            <w:pPr>
              <w:widowControl/>
              <w:autoSpaceDE/>
              <w:autoSpaceDN/>
              <w:adjustRightInd/>
              <w:jc w:val="center"/>
              <w:rPr>
                <w:rFonts w:eastAsiaTheme="minorHAnsi"/>
                <w:sz w:val="20"/>
                <w:szCs w:val="20"/>
              </w:rPr>
            </w:pPr>
            <w:r w:rsidRPr="00A16561">
              <w:rPr>
                <w:color w:val="000000"/>
                <w:sz w:val="20"/>
                <w:szCs w:val="20"/>
              </w:rPr>
              <w:t>Total Burden (Hours)</w:t>
            </w:r>
          </w:p>
        </w:tc>
        <w:tc>
          <w:tcPr>
            <w:tcW w:w="990" w:type="dxa"/>
            <w:shd w:val="clear" w:color="auto" w:fill="8EAADB" w:themeFill="accent1" w:themeFillTint="99"/>
            <w:vAlign w:val="center"/>
            <w:hideMark/>
          </w:tcPr>
          <w:p w:rsidR="00B1733D" w:rsidRPr="00A16561" w:rsidP="00A16561" w14:paraId="52089B3F" w14:textId="77777777">
            <w:pPr>
              <w:widowControl/>
              <w:autoSpaceDE/>
              <w:autoSpaceDN/>
              <w:adjustRightInd/>
              <w:jc w:val="center"/>
              <w:rPr>
                <w:rFonts w:eastAsiaTheme="minorHAnsi"/>
                <w:sz w:val="20"/>
                <w:szCs w:val="20"/>
              </w:rPr>
            </w:pPr>
            <w:r w:rsidRPr="00A16561">
              <w:rPr>
                <w:color w:val="000000"/>
                <w:sz w:val="20"/>
                <w:szCs w:val="20"/>
              </w:rPr>
              <w:t>Hourly Wage Rate</w:t>
            </w:r>
          </w:p>
        </w:tc>
        <w:tc>
          <w:tcPr>
            <w:tcW w:w="1080" w:type="dxa"/>
            <w:shd w:val="clear" w:color="auto" w:fill="8EAADB" w:themeFill="accent1" w:themeFillTint="99"/>
            <w:vAlign w:val="center"/>
            <w:hideMark/>
          </w:tcPr>
          <w:p w:rsidR="00B1733D" w:rsidRPr="00A16561" w:rsidP="00A16561" w14:paraId="2F38947B" w14:textId="77777777">
            <w:pPr>
              <w:widowControl/>
              <w:autoSpaceDE/>
              <w:autoSpaceDN/>
              <w:adjustRightInd/>
              <w:jc w:val="center"/>
              <w:rPr>
                <w:rFonts w:eastAsiaTheme="minorHAnsi"/>
                <w:sz w:val="20"/>
                <w:szCs w:val="20"/>
              </w:rPr>
            </w:pPr>
            <w:r w:rsidRPr="00A16561">
              <w:rPr>
                <w:color w:val="000000"/>
                <w:sz w:val="20"/>
                <w:szCs w:val="20"/>
              </w:rPr>
              <w:t>Total Burden Cost</w:t>
            </w:r>
          </w:p>
        </w:tc>
      </w:tr>
      <w:tr w14:paraId="4191D29A" w14:textId="77777777" w:rsidTr="005154C9">
        <w:tblPrEx>
          <w:tblW w:w="9625" w:type="dxa"/>
          <w:tblLayout w:type="fixed"/>
          <w:tblLook w:val="04A0"/>
        </w:tblPrEx>
        <w:trPr>
          <w:trHeight w:val="363"/>
        </w:trPr>
        <w:tc>
          <w:tcPr>
            <w:tcW w:w="1525" w:type="dxa"/>
            <w:noWrap/>
            <w:vAlign w:val="center"/>
            <w:hideMark/>
          </w:tcPr>
          <w:p w:rsidR="006770D5" w:rsidRPr="00A16561" w:rsidP="00A16561" w14:paraId="5F489D91" w14:textId="71F29042">
            <w:pPr>
              <w:widowControl/>
              <w:autoSpaceDE/>
              <w:autoSpaceDN/>
              <w:adjustRightInd/>
              <w:rPr>
                <w:rFonts w:eastAsiaTheme="minorHAnsi"/>
                <w:bCs/>
                <w:sz w:val="20"/>
                <w:szCs w:val="20"/>
              </w:rPr>
            </w:pPr>
            <w:r w:rsidRPr="00A16561">
              <w:rPr>
                <w:color w:val="000000"/>
                <w:sz w:val="20"/>
                <w:szCs w:val="20"/>
              </w:rPr>
              <w:t>Record of Examinations (Electrician)</w:t>
            </w:r>
          </w:p>
        </w:tc>
        <w:tc>
          <w:tcPr>
            <w:tcW w:w="1350" w:type="dxa"/>
            <w:noWrap/>
            <w:vAlign w:val="center"/>
          </w:tcPr>
          <w:p w:rsidR="006770D5" w:rsidRPr="00A16561" w:rsidP="00A16561" w14:paraId="7FD19E09" w14:textId="77777777">
            <w:pPr>
              <w:widowControl/>
              <w:autoSpaceDE/>
              <w:autoSpaceDN/>
              <w:adjustRightInd/>
              <w:jc w:val="right"/>
              <w:rPr>
                <w:rFonts w:eastAsiaTheme="minorHAnsi"/>
                <w:bCs/>
                <w:sz w:val="20"/>
                <w:szCs w:val="20"/>
              </w:rPr>
            </w:pPr>
            <w:r w:rsidRPr="00A16561">
              <w:rPr>
                <w:rFonts w:eastAsiaTheme="minorHAnsi"/>
                <w:bCs/>
                <w:sz w:val="20"/>
                <w:szCs w:val="20"/>
              </w:rPr>
              <w:t>3</w:t>
            </w:r>
          </w:p>
        </w:tc>
        <w:tc>
          <w:tcPr>
            <w:tcW w:w="1260" w:type="dxa"/>
            <w:vAlign w:val="center"/>
          </w:tcPr>
          <w:p w:rsidR="006770D5" w:rsidRPr="00A16561" w:rsidP="00A16561" w14:paraId="27A8C1B9" w14:textId="29116AE3">
            <w:pPr>
              <w:widowControl/>
              <w:autoSpaceDE/>
              <w:autoSpaceDN/>
              <w:adjustRightInd/>
              <w:jc w:val="right"/>
              <w:rPr>
                <w:rFonts w:eastAsiaTheme="minorHAnsi"/>
                <w:bCs/>
                <w:sz w:val="20"/>
                <w:szCs w:val="20"/>
              </w:rPr>
            </w:pPr>
            <w:r w:rsidRPr="00A16561">
              <w:rPr>
                <w:rFonts w:eastAsiaTheme="minorHAnsi"/>
                <w:bCs/>
                <w:sz w:val="20"/>
                <w:szCs w:val="20"/>
              </w:rPr>
              <w:t>190.67</w:t>
            </w:r>
          </w:p>
        </w:tc>
        <w:tc>
          <w:tcPr>
            <w:tcW w:w="1170" w:type="dxa"/>
            <w:vAlign w:val="center"/>
          </w:tcPr>
          <w:p w:rsidR="006770D5" w:rsidRPr="00A16561" w:rsidP="00A16561" w14:paraId="101C92D4" w14:textId="1CAF465A">
            <w:pPr>
              <w:widowControl/>
              <w:autoSpaceDE/>
              <w:autoSpaceDN/>
              <w:adjustRightInd/>
              <w:jc w:val="right"/>
              <w:rPr>
                <w:rFonts w:eastAsiaTheme="minorHAnsi"/>
                <w:bCs/>
                <w:sz w:val="20"/>
                <w:szCs w:val="20"/>
              </w:rPr>
            </w:pPr>
            <w:r w:rsidRPr="00A16561">
              <w:rPr>
                <w:rFonts w:eastAsiaTheme="minorHAnsi"/>
                <w:bCs/>
                <w:sz w:val="20"/>
                <w:szCs w:val="20"/>
              </w:rPr>
              <w:t>572</w:t>
            </w:r>
          </w:p>
        </w:tc>
        <w:tc>
          <w:tcPr>
            <w:tcW w:w="1260" w:type="dxa"/>
            <w:vAlign w:val="center"/>
          </w:tcPr>
          <w:p w:rsidR="006770D5" w:rsidRPr="00A16561" w:rsidP="00A16561" w14:paraId="33398078" w14:textId="77777777">
            <w:pPr>
              <w:widowControl/>
              <w:autoSpaceDE/>
              <w:autoSpaceDN/>
              <w:adjustRightInd/>
              <w:jc w:val="right"/>
              <w:rPr>
                <w:rFonts w:eastAsiaTheme="minorHAnsi"/>
                <w:bCs/>
                <w:sz w:val="20"/>
                <w:szCs w:val="20"/>
              </w:rPr>
            </w:pPr>
            <w:r w:rsidRPr="00A16561">
              <w:rPr>
                <w:rFonts w:eastAsiaTheme="minorHAnsi"/>
                <w:bCs/>
                <w:sz w:val="20"/>
                <w:szCs w:val="20"/>
              </w:rPr>
              <w:t>0.05</w:t>
            </w:r>
          </w:p>
        </w:tc>
        <w:tc>
          <w:tcPr>
            <w:tcW w:w="990" w:type="dxa"/>
            <w:noWrap/>
            <w:vAlign w:val="center"/>
          </w:tcPr>
          <w:p w:rsidR="006770D5" w:rsidRPr="00A16561" w:rsidP="00A16561" w14:paraId="400250F0" w14:textId="4CF06A38">
            <w:pPr>
              <w:widowControl/>
              <w:autoSpaceDE/>
              <w:autoSpaceDN/>
              <w:adjustRightInd/>
              <w:jc w:val="right"/>
              <w:rPr>
                <w:rFonts w:eastAsiaTheme="minorHAnsi"/>
                <w:bCs/>
                <w:sz w:val="20"/>
                <w:szCs w:val="20"/>
              </w:rPr>
            </w:pPr>
            <w:r w:rsidRPr="00A16561">
              <w:rPr>
                <w:rFonts w:eastAsiaTheme="minorHAnsi"/>
                <w:bCs/>
                <w:sz w:val="20"/>
                <w:szCs w:val="20"/>
              </w:rPr>
              <w:t>28.60</w:t>
            </w:r>
          </w:p>
        </w:tc>
        <w:tc>
          <w:tcPr>
            <w:tcW w:w="990" w:type="dxa"/>
            <w:noWrap/>
            <w:vAlign w:val="center"/>
          </w:tcPr>
          <w:p w:rsidR="006770D5" w:rsidRPr="00A16561" w:rsidP="00A16561" w14:paraId="33E7DCC2" w14:textId="77777777">
            <w:pPr>
              <w:widowControl/>
              <w:autoSpaceDE/>
              <w:autoSpaceDN/>
              <w:adjustRightInd/>
              <w:jc w:val="right"/>
              <w:rPr>
                <w:rFonts w:eastAsiaTheme="minorHAnsi"/>
                <w:bCs/>
                <w:sz w:val="20"/>
                <w:szCs w:val="20"/>
              </w:rPr>
            </w:pPr>
            <w:r w:rsidRPr="00A16561">
              <w:rPr>
                <w:rFonts w:eastAsiaTheme="minorHAnsi"/>
                <w:bCs/>
                <w:sz w:val="20"/>
                <w:szCs w:val="20"/>
              </w:rPr>
              <w:t>$60.18</w:t>
            </w:r>
          </w:p>
        </w:tc>
        <w:tc>
          <w:tcPr>
            <w:tcW w:w="1080" w:type="dxa"/>
            <w:noWrap/>
            <w:vAlign w:val="center"/>
          </w:tcPr>
          <w:p w:rsidR="006770D5" w:rsidRPr="00A16561" w:rsidP="00A16561" w14:paraId="610CC296" w14:textId="5A13E0D4">
            <w:pPr>
              <w:widowControl/>
              <w:autoSpaceDE/>
              <w:autoSpaceDN/>
              <w:adjustRightInd/>
              <w:jc w:val="right"/>
              <w:rPr>
                <w:rFonts w:eastAsiaTheme="minorHAnsi"/>
                <w:bCs/>
                <w:sz w:val="20"/>
                <w:szCs w:val="20"/>
              </w:rPr>
            </w:pPr>
            <w:r w:rsidRPr="00A16561">
              <w:rPr>
                <w:rFonts w:eastAsiaTheme="minorHAnsi"/>
                <w:bCs/>
                <w:sz w:val="20"/>
                <w:szCs w:val="20"/>
              </w:rPr>
              <w:t>$1,721.15</w:t>
            </w:r>
          </w:p>
        </w:tc>
      </w:tr>
      <w:tr w14:paraId="56DAB068" w14:textId="77777777" w:rsidTr="00672038">
        <w:tblPrEx>
          <w:tblW w:w="9625" w:type="dxa"/>
          <w:tblLayout w:type="fixed"/>
          <w:tblLook w:val="04A0"/>
        </w:tblPrEx>
        <w:trPr>
          <w:trHeight w:val="363"/>
        </w:trPr>
        <w:tc>
          <w:tcPr>
            <w:tcW w:w="9625" w:type="dxa"/>
            <w:gridSpan w:val="8"/>
            <w:noWrap/>
            <w:vAlign w:val="center"/>
          </w:tcPr>
          <w:p w:rsidR="00DA790B" w:rsidRPr="00A16561" w:rsidP="00A16561" w14:paraId="403F48DA" w14:textId="77777777">
            <w:pPr>
              <w:widowControl/>
              <w:autoSpaceDE/>
              <w:autoSpaceDN/>
              <w:adjustRightInd/>
              <w:rPr>
                <w:rFonts w:eastAsiaTheme="minorHAnsi"/>
                <w:bCs/>
                <w:sz w:val="20"/>
                <w:szCs w:val="20"/>
              </w:rPr>
            </w:pPr>
            <w:r w:rsidRPr="00A16561">
              <w:rPr>
                <w:rFonts w:eastAsiaTheme="minorHAnsi"/>
                <w:bCs/>
                <w:sz w:val="20"/>
                <w:szCs w:val="20"/>
              </w:rPr>
              <w:t>Corrective Actions</w:t>
            </w:r>
          </w:p>
        </w:tc>
      </w:tr>
      <w:tr w14:paraId="4B2A1347" w14:textId="77777777" w:rsidTr="005154C9">
        <w:tblPrEx>
          <w:tblW w:w="9625" w:type="dxa"/>
          <w:tblLayout w:type="fixed"/>
          <w:tblLook w:val="04A0"/>
        </w:tblPrEx>
        <w:trPr>
          <w:trHeight w:val="363"/>
        </w:trPr>
        <w:tc>
          <w:tcPr>
            <w:tcW w:w="1525" w:type="dxa"/>
            <w:noWrap/>
            <w:vAlign w:val="center"/>
          </w:tcPr>
          <w:p w:rsidR="006770D5" w:rsidRPr="00A16561" w:rsidP="00A16561" w14:paraId="12493D2F" w14:textId="01953455">
            <w:pPr>
              <w:widowControl/>
              <w:autoSpaceDE/>
              <w:autoSpaceDN/>
              <w:adjustRightInd/>
              <w:ind w:left="161"/>
              <w:rPr>
                <w:color w:val="000000"/>
                <w:sz w:val="20"/>
                <w:szCs w:val="20"/>
              </w:rPr>
            </w:pPr>
            <w:r w:rsidRPr="00A16561">
              <w:rPr>
                <w:color w:val="000000"/>
                <w:sz w:val="20"/>
                <w:szCs w:val="20"/>
              </w:rPr>
              <w:t>Record of Corrective Actions (Electrician)</w:t>
            </w:r>
          </w:p>
        </w:tc>
        <w:tc>
          <w:tcPr>
            <w:tcW w:w="1350" w:type="dxa"/>
            <w:noWrap/>
            <w:vAlign w:val="center"/>
          </w:tcPr>
          <w:p w:rsidR="006770D5" w:rsidRPr="00A16561" w:rsidP="00A16561" w14:paraId="1EBCE262" w14:textId="77777777">
            <w:pPr>
              <w:widowControl/>
              <w:autoSpaceDE/>
              <w:autoSpaceDN/>
              <w:adjustRightInd/>
              <w:jc w:val="right"/>
              <w:rPr>
                <w:rFonts w:eastAsiaTheme="minorHAnsi"/>
                <w:bCs/>
                <w:sz w:val="20"/>
                <w:szCs w:val="20"/>
              </w:rPr>
            </w:pPr>
            <w:r w:rsidRPr="00A16561">
              <w:rPr>
                <w:rFonts w:eastAsiaTheme="minorHAnsi"/>
                <w:bCs/>
                <w:sz w:val="20"/>
                <w:szCs w:val="20"/>
              </w:rPr>
              <w:t>3</w:t>
            </w:r>
          </w:p>
        </w:tc>
        <w:tc>
          <w:tcPr>
            <w:tcW w:w="1260" w:type="dxa"/>
            <w:vAlign w:val="center"/>
          </w:tcPr>
          <w:p w:rsidR="006770D5" w:rsidRPr="00A16561" w:rsidP="00A16561" w14:paraId="4F4586D1" w14:textId="77777777">
            <w:pPr>
              <w:widowControl/>
              <w:autoSpaceDE/>
              <w:autoSpaceDN/>
              <w:adjustRightInd/>
              <w:jc w:val="right"/>
              <w:rPr>
                <w:rFonts w:eastAsiaTheme="minorHAnsi"/>
                <w:bCs/>
                <w:sz w:val="20"/>
                <w:szCs w:val="20"/>
              </w:rPr>
            </w:pPr>
            <w:r w:rsidRPr="00A16561">
              <w:rPr>
                <w:rFonts w:eastAsiaTheme="minorHAnsi"/>
                <w:bCs/>
                <w:sz w:val="20"/>
                <w:szCs w:val="20"/>
              </w:rPr>
              <w:t>7.33</w:t>
            </w:r>
          </w:p>
        </w:tc>
        <w:tc>
          <w:tcPr>
            <w:tcW w:w="1170" w:type="dxa"/>
            <w:vAlign w:val="center"/>
          </w:tcPr>
          <w:p w:rsidR="006770D5" w:rsidRPr="00A16561" w:rsidP="00A16561" w14:paraId="3951E920" w14:textId="77777777">
            <w:pPr>
              <w:widowControl/>
              <w:autoSpaceDE/>
              <w:autoSpaceDN/>
              <w:adjustRightInd/>
              <w:jc w:val="right"/>
              <w:rPr>
                <w:rFonts w:eastAsiaTheme="minorHAnsi"/>
                <w:bCs/>
                <w:sz w:val="20"/>
                <w:szCs w:val="20"/>
              </w:rPr>
            </w:pPr>
            <w:r w:rsidRPr="00A16561">
              <w:rPr>
                <w:rFonts w:eastAsiaTheme="minorHAnsi"/>
                <w:bCs/>
                <w:sz w:val="20"/>
                <w:szCs w:val="20"/>
              </w:rPr>
              <w:t>22</w:t>
            </w:r>
          </w:p>
        </w:tc>
        <w:tc>
          <w:tcPr>
            <w:tcW w:w="1260" w:type="dxa"/>
            <w:vAlign w:val="center"/>
          </w:tcPr>
          <w:p w:rsidR="006770D5" w:rsidRPr="00A16561" w:rsidP="00A16561" w14:paraId="16694B5E" w14:textId="77777777">
            <w:pPr>
              <w:widowControl/>
              <w:autoSpaceDE/>
              <w:autoSpaceDN/>
              <w:adjustRightInd/>
              <w:jc w:val="right"/>
              <w:rPr>
                <w:rFonts w:eastAsiaTheme="minorHAnsi"/>
                <w:bCs/>
                <w:sz w:val="20"/>
                <w:szCs w:val="20"/>
              </w:rPr>
            </w:pPr>
            <w:r w:rsidRPr="00A16561">
              <w:rPr>
                <w:rFonts w:eastAsiaTheme="minorHAnsi"/>
                <w:bCs/>
                <w:sz w:val="20"/>
                <w:szCs w:val="20"/>
              </w:rPr>
              <w:t>0.10</w:t>
            </w:r>
          </w:p>
        </w:tc>
        <w:tc>
          <w:tcPr>
            <w:tcW w:w="990" w:type="dxa"/>
            <w:noWrap/>
            <w:vAlign w:val="center"/>
          </w:tcPr>
          <w:p w:rsidR="006770D5" w:rsidRPr="00A16561" w:rsidP="00A16561" w14:paraId="607D0759" w14:textId="77777777">
            <w:pPr>
              <w:widowControl/>
              <w:autoSpaceDE/>
              <w:autoSpaceDN/>
              <w:adjustRightInd/>
              <w:jc w:val="right"/>
              <w:rPr>
                <w:rFonts w:eastAsiaTheme="minorHAnsi"/>
                <w:bCs/>
                <w:sz w:val="20"/>
                <w:szCs w:val="20"/>
              </w:rPr>
            </w:pPr>
            <w:r w:rsidRPr="00A16561">
              <w:rPr>
                <w:rFonts w:eastAsiaTheme="minorHAnsi"/>
                <w:bCs/>
                <w:sz w:val="20"/>
                <w:szCs w:val="20"/>
              </w:rPr>
              <w:t>2.20</w:t>
            </w:r>
          </w:p>
        </w:tc>
        <w:tc>
          <w:tcPr>
            <w:tcW w:w="990" w:type="dxa"/>
            <w:noWrap/>
            <w:vAlign w:val="center"/>
          </w:tcPr>
          <w:p w:rsidR="006770D5" w:rsidRPr="00A16561" w:rsidP="00A16561" w14:paraId="378FD5FF" w14:textId="77777777">
            <w:pPr>
              <w:widowControl/>
              <w:autoSpaceDE/>
              <w:autoSpaceDN/>
              <w:adjustRightInd/>
              <w:jc w:val="right"/>
              <w:rPr>
                <w:rFonts w:eastAsiaTheme="minorHAnsi"/>
                <w:bCs/>
                <w:sz w:val="20"/>
                <w:szCs w:val="20"/>
              </w:rPr>
            </w:pPr>
            <w:r w:rsidRPr="00A16561">
              <w:rPr>
                <w:rFonts w:eastAsiaTheme="minorHAnsi"/>
                <w:bCs/>
                <w:sz w:val="20"/>
                <w:szCs w:val="20"/>
              </w:rPr>
              <w:t>$60.18</w:t>
            </w:r>
          </w:p>
        </w:tc>
        <w:tc>
          <w:tcPr>
            <w:tcW w:w="1080" w:type="dxa"/>
            <w:noWrap/>
            <w:vAlign w:val="center"/>
          </w:tcPr>
          <w:p w:rsidR="006770D5" w:rsidRPr="00A16561" w:rsidP="00A16561" w14:paraId="24116A5C" w14:textId="77777777">
            <w:pPr>
              <w:widowControl/>
              <w:autoSpaceDE/>
              <w:autoSpaceDN/>
              <w:adjustRightInd/>
              <w:jc w:val="right"/>
              <w:rPr>
                <w:rFonts w:eastAsiaTheme="minorHAnsi"/>
                <w:bCs/>
                <w:sz w:val="20"/>
                <w:szCs w:val="20"/>
              </w:rPr>
            </w:pPr>
            <w:r w:rsidRPr="00A16561">
              <w:rPr>
                <w:rFonts w:eastAsiaTheme="minorHAnsi"/>
                <w:bCs/>
                <w:sz w:val="20"/>
                <w:szCs w:val="20"/>
              </w:rPr>
              <w:t>$132.40</w:t>
            </w:r>
          </w:p>
        </w:tc>
      </w:tr>
      <w:tr w14:paraId="478473A9" w14:textId="77777777" w:rsidTr="005154C9">
        <w:tblPrEx>
          <w:tblW w:w="9625" w:type="dxa"/>
          <w:tblLayout w:type="fixed"/>
          <w:tblLook w:val="04A0"/>
        </w:tblPrEx>
        <w:trPr>
          <w:trHeight w:val="363"/>
        </w:trPr>
        <w:tc>
          <w:tcPr>
            <w:tcW w:w="1525" w:type="dxa"/>
            <w:noWrap/>
            <w:vAlign w:val="center"/>
            <w:hideMark/>
          </w:tcPr>
          <w:p w:rsidR="006770D5" w:rsidRPr="00A16561" w:rsidP="00A16561" w14:paraId="28326C0D" w14:textId="54055A33">
            <w:pPr>
              <w:widowControl/>
              <w:autoSpaceDE/>
              <w:autoSpaceDN/>
              <w:adjustRightInd/>
              <w:ind w:left="161"/>
              <w:rPr>
                <w:color w:val="000000"/>
                <w:sz w:val="20"/>
                <w:szCs w:val="20"/>
              </w:rPr>
            </w:pPr>
            <w:r w:rsidRPr="00A16561">
              <w:rPr>
                <w:color w:val="000000"/>
                <w:sz w:val="20"/>
                <w:szCs w:val="20"/>
              </w:rPr>
              <w:t>Certification of Corrective Actions (Mine Foreman)</w:t>
            </w:r>
          </w:p>
        </w:tc>
        <w:tc>
          <w:tcPr>
            <w:tcW w:w="1350" w:type="dxa"/>
            <w:noWrap/>
            <w:vAlign w:val="center"/>
          </w:tcPr>
          <w:p w:rsidR="006770D5" w:rsidRPr="00A16561" w:rsidP="00A16561" w14:paraId="3167FFB9" w14:textId="77777777">
            <w:pPr>
              <w:widowControl/>
              <w:autoSpaceDE/>
              <w:autoSpaceDN/>
              <w:adjustRightInd/>
              <w:jc w:val="right"/>
              <w:rPr>
                <w:rFonts w:eastAsiaTheme="minorHAnsi"/>
                <w:bCs/>
                <w:sz w:val="20"/>
                <w:szCs w:val="20"/>
              </w:rPr>
            </w:pPr>
            <w:r w:rsidRPr="00A16561">
              <w:rPr>
                <w:rFonts w:eastAsiaTheme="minorHAnsi"/>
                <w:bCs/>
                <w:sz w:val="20"/>
                <w:szCs w:val="20"/>
              </w:rPr>
              <w:t>3</w:t>
            </w:r>
          </w:p>
        </w:tc>
        <w:tc>
          <w:tcPr>
            <w:tcW w:w="1260" w:type="dxa"/>
            <w:vAlign w:val="center"/>
          </w:tcPr>
          <w:p w:rsidR="006770D5" w:rsidRPr="00A16561" w:rsidP="00A16561" w14:paraId="7DCA1D3E" w14:textId="77777777">
            <w:pPr>
              <w:widowControl/>
              <w:autoSpaceDE/>
              <w:autoSpaceDN/>
              <w:adjustRightInd/>
              <w:jc w:val="right"/>
              <w:rPr>
                <w:rFonts w:eastAsiaTheme="minorHAnsi"/>
                <w:bCs/>
                <w:sz w:val="20"/>
                <w:szCs w:val="20"/>
              </w:rPr>
            </w:pPr>
            <w:r w:rsidRPr="00A16561">
              <w:rPr>
                <w:rFonts w:eastAsiaTheme="minorHAnsi"/>
                <w:bCs/>
                <w:sz w:val="20"/>
                <w:szCs w:val="20"/>
              </w:rPr>
              <w:t>7.33</w:t>
            </w:r>
          </w:p>
        </w:tc>
        <w:tc>
          <w:tcPr>
            <w:tcW w:w="1170" w:type="dxa"/>
            <w:vAlign w:val="center"/>
          </w:tcPr>
          <w:p w:rsidR="006770D5" w:rsidRPr="00A16561" w:rsidP="00A16561" w14:paraId="4DD0C6D6" w14:textId="77777777">
            <w:pPr>
              <w:widowControl/>
              <w:autoSpaceDE/>
              <w:autoSpaceDN/>
              <w:adjustRightInd/>
              <w:jc w:val="right"/>
              <w:rPr>
                <w:rFonts w:eastAsiaTheme="minorHAnsi"/>
                <w:bCs/>
                <w:sz w:val="20"/>
                <w:szCs w:val="20"/>
              </w:rPr>
            </w:pPr>
            <w:r w:rsidRPr="00A16561">
              <w:rPr>
                <w:rFonts w:eastAsiaTheme="minorHAnsi"/>
                <w:bCs/>
                <w:sz w:val="20"/>
                <w:szCs w:val="20"/>
              </w:rPr>
              <w:t>22</w:t>
            </w:r>
          </w:p>
        </w:tc>
        <w:tc>
          <w:tcPr>
            <w:tcW w:w="1260" w:type="dxa"/>
            <w:vAlign w:val="center"/>
          </w:tcPr>
          <w:p w:rsidR="006770D5" w:rsidRPr="00A16561" w:rsidP="00A16561" w14:paraId="5D68EE8F" w14:textId="77777777">
            <w:pPr>
              <w:widowControl/>
              <w:autoSpaceDE/>
              <w:autoSpaceDN/>
              <w:adjustRightInd/>
              <w:jc w:val="right"/>
              <w:rPr>
                <w:rFonts w:eastAsiaTheme="minorHAnsi"/>
                <w:bCs/>
                <w:sz w:val="20"/>
                <w:szCs w:val="20"/>
              </w:rPr>
            </w:pPr>
            <w:r w:rsidRPr="00A16561">
              <w:rPr>
                <w:rFonts w:eastAsiaTheme="minorHAnsi"/>
                <w:bCs/>
                <w:sz w:val="20"/>
                <w:szCs w:val="20"/>
              </w:rPr>
              <w:t>0.10</w:t>
            </w:r>
          </w:p>
        </w:tc>
        <w:tc>
          <w:tcPr>
            <w:tcW w:w="990" w:type="dxa"/>
            <w:noWrap/>
            <w:vAlign w:val="center"/>
          </w:tcPr>
          <w:p w:rsidR="006770D5" w:rsidRPr="00A16561" w:rsidP="00A16561" w14:paraId="1D94D698" w14:textId="77777777">
            <w:pPr>
              <w:widowControl/>
              <w:autoSpaceDE/>
              <w:autoSpaceDN/>
              <w:adjustRightInd/>
              <w:jc w:val="right"/>
              <w:rPr>
                <w:rFonts w:eastAsiaTheme="minorHAnsi"/>
                <w:bCs/>
                <w:sz w:val="20"/>
                <w:szCs w:val="20"/>
              </w:rPr>
            </w:pPr>
            <w:r w:rsidRPr="00A16561">
              <w:rPr>
                <w:rFonts w:eastAsiaTheme="minorHAnsi"/>
                <w:bCs/>
                <w:sz w:val="20"/>
                <w:szCs w:val="20"/>
              </w:rPr>
              <w:t>2.20</w:t>
            </w:r>
          </w:p>
        </w:tc>
        <w:tc>
          <w:tcPr>
            <w:tcW w:w="990" w:type="dxa"/>
            <w:noWrap/>
            <w:vAlign w:val="center"/>
          </w:tcPr>
          <w:p w:rsidR="006770D5" w:rsidRPr="00A16561" w:rsidP="00A16561" w14:paraId="71F9353F" w14:textId="77777777">
            <w:pPr>
              <w:widowControl/>
              <w:autoSpaceDE/>
              <w:autoSpaceDN/>
              <w:adjustRightInd/>
              <w:jc w:val="right"/>
              <w:rPr>
                <w:rFonts w:eastAsiaTheme="minorHAnsi"/>
                <w:bCs/>
                <w:sz w:val="20"/>
                <w:szCs w:val="20"/>
              </w:rPr>
            </w:pPr>
            <w:r w:rsidRPr="00A16561">
              <w:rPr>
                <w:rFonts w:eastAsiaTheme="minorHAnsi"/>
                <w:bCs/>
                <w:sz w:val="20"/>
                <w:szCs w:val="20"/>
              </w:rPr>
              <w:t>$80.89</w:t>
            </w:r>
          </w:p>
        </w:tc>
        <w:tc>
          <w:tcPr>
            <w:tcW w:w="1080" w:type="dxa"/>
            <w:noWrap/>
            <w:vAlign w:val="center"/>
          </w:tcPr>
          <w:p w:rsidR="006770D5" w:rsidRPr="00A16561" w:rsidP="00A16561" w14:paraId="007C9C4A" w14:textId="77777777">
            <w:pPr>
              <w:widowControl/>
              <w:autoSpaceDE/>
              <w:autoSpaceDN/>
              <w:adjustRightInd/>
              <w:jc w:val="right"/>
              <w:rPr>
                <w:rFonts w:eastAsiaTheme="minorHAnsi"/>
                <w:bCs/>
                <w:sz w:val="20"/>
                <w:szCs w:val="20"/>
              </w:rPr>
            </w:pPr>
            <w:r w:rsidRPr="00A16561">
              <w:rPr>
                <w:rFonts w:eastAsiaTheme="minorHAnsi"/>
                <w:bCs/>
                <w:sz w:val="20"/>
                <w:szCs w:val="20"/>
              </w:rPr>
              <w:t>$177.96</w:t>
            </w:r>
          </w:p>
        </w:tc>
      </w:tr>
      <w:tr w14:paraId="45092B80" w14:textId="77777777" w:rsidTr="005154C9">
        <w:tblPrEx>
          <w:tblW w:w="9625" w:type="dxa"/>
          <w:tblLayout w:type="fixed"/>
          <w:tblLook w:val="04A0"/>
        </w:tblPrEx>
        <w:trPr>
          <w:trHeight w:val="363"/>
        </w:trPr>
        <w:tc>
          <w:tcPr>
            <w:tcW w:w="1525" w:type="dxa"/>
            <w:shd w:val="clear" w:color="auto" w:fill="auto"/>
            <w:noWrap/>
            <w:vAlign w:val="bottom"/>
            <w:hideMark/>
          </w:tcPr>
          <w:p w:rsidR="00B1733D" w:rsidRPr="00A16561" w:rsidP="00A16561" w14:paraId="3F55FDC0" w14:textId="77777777">
            <w:pPr>
              <w:widowControl/>
              <w:autoSpaceDE/>
              <w:autoSpaceDN/>
              <w:adjustRightInd/>
              <w:jc w:val="right"/>
              <w:rPr>
                <w:rFonts w:eastAsiaTheme="minorHAnsi"/>
                <w:b/>
                <w:bCs/>
                <w:i/>
                <w:iCs/>
                <w:sz w:val="20"/>
                <w:szCs w:val="20"/>
              </w:rPr>
            </w:pPr>
            <w:r w:rsidRPr="00A16561">
              <w:rPr>
                <w:b/>
                <w:bCs/>
                <w:i/>
                <w:iCs/>
                <w:color w:val="000000"/>
                <w:sz w:val="20"/>
                <w:szCs w:val="20"/>
              </w:rPr>
              <w:t>Subtotal (Rounded)</w:t>
            </w:r>
          </w:p>
        </w:tc>
        <w:tc>
          <w:tcPr>
            <w:tcW w:w="1350" w:type="dxa"/>
            <w:shd w:val="clear" w:color="auto" w:fill="auto"/>
            <w:vAlign w:val="center"/>
          </w:tcPr>
          <w:p w:rsidR="00B1733D" w:rsidRPr="00A16561" w:rsidP="00A16561" w14:paraId="60F48E82" w14:textId="77777777">
            <w:pPr>
              <w:widowControl/>
              <w:autoSpaceDE/>
              <w:autoSpaceDN/>
              <w:adjustRightInd/>
              <w:jc w:val="right"/>
              <w:rPr>
                <w:rFonts w:eastAsiaTheme="minorHAnsi"/>
                <w:b/>
                <w:bCs/>
                <w:i/>
                <w:iCs/>
                <w:sz w:val="20"/>
                <w:szCs w:val="20"/>
              </w:rPr>
            </w:pPr>
            <w:r w:rsidRPr="00A16561">
              <w:rPr>
                <w:rFonts w:eastAsiaTheme="minorHAnsi"/>
                <w:b/>
                <w:bCs/>
                <w:i/>
                <w:iCs/>
                <w:sz w:val="20"/>
                <w:szCs w:val="20"/>
              </w:rPr>
              <w:t>3</w:t>
            </w:r>
          </w:p>
        </w:tc>
        <w:tc>
          <w:tcPr>
            <w:tcW w:w="1260" w:type="dxa"/>
            <w:shd w:val="clear" w:color="auto" w:fill="000000" w:themeFill="text1"/>
            <w:vAlign w:val="center"/>
          </w:tcPr>
          <w:p w:rsidR="00B1733D" w:rsidRPr="00A16561" w:rsidP="00A16561" w14:paraId="210BF050" w14:textId="77777777">
            <w:pPr>
              <w:widowControl/>
              <w:autoSpaceDE/>
              <w:autoSpaceDN/>
              <w:adjustRightInd/>
              <w:jc w:val="right"/>
              <w:rPr>
                <w:rFonts w:eastAsiaTheme="minorHAnsi"/>
                <w:b/>
                <w:bCs/>
                <w:i/>
                <w:iCs/>
                <w:sz w:val="20"/>
                <w:szCs w:val="20"/>
              </w:rPr>
            </w:pPr>
          </w:p>
        </w:tc>
        <w:tc>
          <w:tcPr>
            <w:tcW w:w="1170" w:type="dxa"/>
            <w:shd w:val="clear" w:color="auto" w:fill="auto"/>
            <w:vAlign w:val="center"/>
          </w:tcPr>
          <w:p w:rsidR="00B1733D" w:rsidRPr="00A16561" w:rsidP="00A16561" w14:paraId="620EF3CB" w14:textId="6C622EA4">
            <w:pPr>
              <w:widowControl/>
              <w:autoSpaceDE/>
              <w:autoSpaceDN/>
              <w:adjustRightInd/>
              <w:jc w:val="right"/>
              <w:rPr>
                <w:rFonts w:eastAsiaTheme="minorHAnsi"/>
                <w:b/>
                <w:bCs/>
                <w:i/>
                <w:iCs/>
                <w:sz w:val="20"/>
                <w:szCs w:val="20"/>
              </w:rPr>
            </w:pPr>
            <w:r w:rsidRPr="00A16561">
              <w:rPr>
                <w:rFonts w:eastAsiaTheme="minorHAnsi"/>
                <w:b/>
                <w:bCs/>
                <w:i/>
                <w:iCs/>
                <w:sz w:val="20"/>
                <w:szCs w:val="20"/>
              </w:rPr>
              <w:t>594</w:t>
            </w:r>
          </w:p>
        </w:tc>
        <w:tc>
          <w:tcPr>
            <w:tcW w:w="1260" w:type="dxa"/>
            <w:shd w:val="clear" w:color="auto" w:fill="000000" w:themeFill="text1"/>
            <w:vAlign w:val="center"/>
          </w:tcPr>
          <w:p w:rsidR="00B1733D" w:rsidRPr="00A16561" w:rsidP="00A16561" w14:paraId="72AB9E91" w14:textId="77777777">
            <w:pPr>
              <w:widowControl/>
              <w:autoSpaceDE/>
              <w:autoSpaceDN/>
              <w:adjustRightInd/>
              <w:jc w:val="right"/>
              <w:rPr>
                <w:rFonts w:eastAsiaTheme="minorHAnsi"/>
                <w:b/>
                <w:bCs/>
                <w:i/>
                <w:iCs/>
                <w:sz w:val="20"/>
                <w:szCs w:val="20"/>
              </w:rPr>
            </w:pPr>
          </w:p>
        </w:tc>
        <w:tc>
          <w:tcPr>
            <w:tcW w:w="990" w:type="dxa"/>
            <w:shd w:val="clear" w:color="auto" w:fill="auto"/>
            <w:vAlign w:val="center"/>
          </w:tcPr>
          <w:p w:rsidR="00B1733D" w:rsidRPr="00A16561" w:rsidP="00A16561" w14:paraId="3CEF0920" w14:textId="7931F6C1">
            <w:pPr>
              <w:widowControl/>
              <w:autoSpaceDE/>
              <w:autoSpaceDN/>
              <w:adjustRightInd/>
              <w:jc w:val="right"/>
              <w:rPr>
                <w:rFonts w:eastAsiaTheme="minorHAnsi"/>
                <w:b/>
                <w:bCs/>
                <w:i/>
                <w:iCs/>
                <w:sz w:val="20"/>
                <w:szCs w:val="20"/>
              </w:rPr>
            </w:pPr>
            <w:r w:rsidRPr="00A16561">
              <w:rPr>
                <w:rFonts w:eastAsiaTheme="minorHAnsi"/>
                <w:b/>
                <w:bCs/>
                <w:i/>
                <w:iCs/>
                <w:sz w:val="20"/>
                <w:szCs w:val="20"/>
              </w:rPr>
              <w:t>33</w:t>
            </w:r>
          </w:p>
        </w:tc>
        <w:tc>
          <w:tcPr>
            <w:tcW w:w="990" w:type="dxa"/>
            <w:shd w:val="clear" w:color="auto" w:fill="000000" w:themeFill="text1"/>
            <w:noWrap/>
            <w:vAlign w:val="center"/>
          </w:tcPr>
          <w:p w:rsidR="00B1733D" w:rsidRPr="00A16561" w:rsidP="00A16561" w14:paraId="393DF28F" w14:textId="77777777">
            <w:pPr>
              <w:widowControl/>
              <w:autoSpaceDE/>
              <w:autoSpaceDN/>
              <w:adjustRightInd/>
              <w:jc w:val="right"/>
              <w:rPr>
                <w:rFonts w:eastAsiaTheme="minorHAnsi"/>
                <w:b/>
                <w:bCs/>
                <w:i/>
                <w:iCs/>
                <w:sz w:val="20"/>
                <w:szCs w:val="20"/>
              </w:rPr>
            </w:pPr>
          </w:p>
        </w:tc>
        <w:tc>
          <w:tcPr>
            <w:tcW w:w="1080" w:type="dxa"/>
            <w:shd w:val="clear" w:color="auto" w:fill="auto"/>
            <w:noWrap/>
            <w:vAlign w:val="center"/>
          </w:tcPr>
          <w:p w:rsidR="00B1733D" w:rsidRPr="00A16561" w:rsidP="00A16561" w14:paraId="188F1AF0" w14:textId="19C318A8">
            <w:pPr>
              <w:widowControl/>
              <w:autoSpaceDE/>
              <w:autoSpaceDN/>
              <w:adjustRightInd/>
              <w:jc w:val="right"/>
              <w:rPr>
                <w:rFonts w:eastAsiaTheme="minorHAnsi"/>
                <w:b/>
                <w:bCs/>
                <w:i/>
                <w:iCs/>
                <w:sz w:val="20"/>
                <w:szCs w:val="20"/>
              </w:rPr>
            </w:pPr>
            <w:r w:rsidRPr="00A16561">
              <w:rPr>
                <w:rFonts w:eastAsiaTheme="minorHAnsi"/>
                <w:b/>
                <w:bCs/>
                <w:i/>
                <w:iCs/>
                <w:sz w:val="20"/>
                <w:szCs w:val="20"/>
              </w:rPr>
              <w:t>$2,032</w:t>
            </w:r>
          </w:p>
        </w:tc>
      </w:tr>
    </w:tbl>
    <w:p w:rsidR="00B1733D" w:rsidRPr="00A16561" w:rsidP="00A16561" w14:paraId="22F79F9C" w14:textId="18F8374D">
      <w:pPr>
        <w:autoSpaceDE/>
        <w:autoSpaceDN/>
        <w:adjustRightInd/>
        <w:rPr>
          <w:rFonts w:eastAsia="Calibri"/>
          <w:sz w:val="20"/>
          <w:szCs w:val="20"/>
        </w:rPr>
      </w:pPr>
      <w:r w:rsidRPr="00A16561">
        <w:rPr>
          <w:rFonts w:eastAsia="Calibri"/>
          <w:sz w:val="20"/>
          <w:szCs w:val="20"/>
        </w:rPr>
        <w:t>Notes: The total number of respondents and responses do not correspond to the sum of rows because different respondents</w:t>
      </w:r>
      <w:r w:rsidRPr="00A16561" w:rsidR="00AA5238">
        <w:rPr>
          <w:rFonts w:eastAsia="Calibri"/>
          <w:sz w:val="20"/>
          <w:szCs w:val="20"/>
        </w:rPr>
        <w:t xml:space="preserve"> may</w:t>
      </w:r>
      <w:r w:rsidRPr="00A16561">
        <w:rPr>
          <w:rFonts w:eastAsia="Calibri"/>
          <w:sz w:val="20"/>
          <w:szCs w:val="20"/>
        </w:rPr>
        <w:t xml:space="preserve"> work on the same record. The number of responses per respondent is calculated by dividing the number of responses by the number of respondents and rounded.</w:t>
      </w:r>
    </w:p>
    <w:p w:rsidR="005C7289" w:rsidRPr="00A16561" w:rsidP="00A16561" w14:paraId="11FBD549" w14:textId="142727C9">
      <w:pPr>
        <w:widowControl/>
        <w:autoSpaceDE/>
        <w:autoSpaceDN/>
        <w:adjustRightInd/>
        <w:rPr>
          <w:rFonts w:eastAsia="Calibri"/>
        </w:rPr>
      </w:pPr>
      <w:r w:rsidRPr="00A16561">
        <w:rPr>
          <w:rFonts w:eastAsia="Calibri"/>
        </w:rPr>
        <w:br w:type="page"/>
      </w:r>
    </w:p>
    <w:p w:rsidR="00B1733D" w:rsidRPr="00A16561" w:rsidP="00A16561" w14:paraId="3D2DFFAB" w14:textId="77777777">
      <w:pPr>
        <w:autoSpaceDE/>
        <w:autoSpaceDN/>
        <w:adjustRightInd/>
        <w:rPr>
          <w:rFonts w:eastAsia="Calibri"/>
        </w:rPr>
      </w:pPr>
    </w:p>
    <w:p w:rsidR="00B1733D" w:rsidRPr="00A16561" w:rsidP="00A16561" w14:paraId="1524DB0D" w14:textId="61186183">
      <w:pPr>
        <w:autoSpaceDE/>
        <w:autoSpaceDN/>
        <w:adjustRightInd/>
        <w:rPr>
          <w:rFonts w:eastAsia="Calibri"/>
          <w:b/>
          <w:bCs/>
        </w:rPr>
      </w:pPr>
      <w:r w:rsidRPr="00A16561">
        <w:rPr>
          <w:rFonts w:eastAsia="Calibri"/>
          <w:b/>
          <w:bCs/>
        </w:rPr>
        <w:t>Hour Burden Summary</w:t>
      </w:r>
    </w:p>
    <w:p w:rsidR="007936E3" w:rsidRPr="00A16561" w:rsidP="00A16561" w14:paraId="452D95C8" w14:textId="77777777">
      <w:pPr>
        <w:autoSpaceDE/>
        <w:autoSpaceDN/>
        <w:adjustRightInd/>
        <w:rPr>
          <w:rFonts w:eastAsia="Calibri"/>
          <w:b/>
          <w:bCs/>
        </w:rPr>
      </w:pPr>
    </w:p>
    <w:p w:rsidR="00807752" w:rsidP="00A16561" w14:paraId="6C875DA3" w14:textId="1B58EF9E">
      <w:pPr>
        <w:widowControl/>
        <w:autoSpaceDE/>
        <w:autoSpaceDN/>
        <w:adjustRightInd/>
      </w:pPr>
      <w:r w:rsidRPr="00A16561">
        <w:t xml:space="preserve">MSHA estimates that the </w:t>
      </w:r>
      <w:r w:rsidRPr="00A16561" w:rsidR="00AA5238">
        <w:t>three</w:t>
      </w:r>
      <w:r w:rsidRPr="00A16561">
        <w:t xml:space="preserve"> respondents</w:t>
      </w:r>
      <w:r w:rsidRPr="00A16561" w:rsidR="00AA5238">
        <w:t xml:space="preserve"> (mine operators)</w:t>
      </w:r>
      <w:r w:rsidRPr="00A16561">
        <w:t xml:space="preserve"> </w:t>
      </w:r>
      <w:r w:rsidRPr="00A16561" w:rsidR="00AA5238">
        <w:t xml:space="preserve">will </w:t>
      </w:r>
      <w:r w:rsidRPr="00A16561">
        <w:t>incur, on average, an annual collection burden of 124 hours with an associated annual cost of $7,571. The annual respondent hour and cost burden is summarized in the summary table below.</w:t>
      </w:r>
      <w:bookmarkStart w:id="28" w:name="_Hlk114568999"/>
    </w:p>
    <w:p w:rsidR="00D262E7" w:rsidRPr="00A16561" w:rsidP="00A16561" w14:paraId="5E8A7805" w14:textId="77777777">
      <w:pPr>
        <w:widowControl/>
        <w:autoSpaceDE/>
        <w:autoSpaceDN/>
        <w:adjustRightInd/>
        <w:rPr>
          <w:b/>
          <w:bCs/>
          <w:color w:val="000000"/>
        </w:rPr>
      </w:pPr>
    </w:p>
    <w:p w:rsidR="00147615" w:rsidRPr="00A16561" w:rsidP="00A16561" w14:paraId="67A3759F" w14:textId="176A8545">
      <w:pPr>
        <w:widowControl/>
        <w:autoSpaceDE/>
        <w:autoSpaceDN/>
        <w:adjustRightInd/>
        <w:rPr>
          <w:b/>
          <w:bCs/>
          <w:color w:val="000000"/>
        </w:rPr>
      </w:pPr>
      <w:r w:rsidRPr="00A16561">
        <w:rPr>
          <w:b/>
          <w:bCs/>
          <w:color w:val="000000"/>
        </w:rPr>
        <w:t>Table 12-</w:t>
      </w:r>
      <w:r w:rsidRPr="00A16561" w:rsidR="007936E3">
        <w:rPr>
          <w:b/>
          <w:bCs/>
          <w:color w:val="000000"/>
        </w:rPr>
        <w:t>5</w:t>
      </w:r>
      <w:r w:rsidRPr="00A16561">
        <w:rPr>
          <w:b/>
          <w:bCs/>
          <w:color w:val="000000"/>
        </w:rPr>
        <w:t xml:space="preserve">. </w:t>
      </w:r>
      <w:bookmarkStart w:id="29" w:name="_Hlk167267643"/>
      <w:r w:rsidRPr="00A16561">
        <w:rPr>
          <w:b/>
          <w:bCs/>
          <w:color w:val="000000"/>
        </w:rPr>
        <w:t>Estimated Annual Respondent Hour and Cost Burden</w:t>
      </w:r>
      <w:bookmarkEnd w:id="29"/>
      <w:r w:rsidRPr="00A16561">
        <w:rPr>
          <w:b/>
          <w:bCs/>
          <w:color w:val="000000"/>
        </w:rPr>
        <w:t xml:space="preserve">, Summary </w:t>
      </w:r>
    </w:p>
    <w:tbl>
      <w:tblPr>
        <w:tblStyle w:val="TableGrid"/>
        <w:tblW w:w="9540" w:type="dxa"/>
        <w:tblInd w:w="-5" w:type="dxa"/>
        <w:tblLayout w:type="fixed"/>
        <w:tblLook w:val="04A0"/>
      </w:tblPr>
      <w:tblGrid>
        <w:gridCol w:w="1620"/>
        <w:gridCol w:w="1350"/>
        <w:gridCol w:w="1228"/>
        <w:gridCol w:w="1202"/>
        <w:gridCol w:w="927"/>
        <w:gridCol w:w="1143"/>
        <w:gridCol w:w="828"/>
        <w:gridCol w:w="1242"/>
      </w:tblGrid>
      <w:tr w14:paraId="327724E8" w14:textId="77777777" w:rsidTr="005154C9">
        <w:tblPrEx>
          <w:tblW w:w="9540" w:type="dxa"/>
          <w:tblInd w:w="-5" w:type="dxa"/>
          <w:tblLayout w:type="fixed"/>
          <w:tblLook w:val="04A0"/>
        </w:tblPrEx>
        <w:trPr>
          <w:trHeight w:val="614"/>
        </w:trPr>
        <w:tc>
          <w:tcPr>
            <w:tcW w:w="1620" w:type="dxa"/>
            <w:shd w:val="clear" w:color="auto" w:fill="8EAADB" w:themeFill="accent1" w:themeFillTint="99"/>
            <w:vAlign w:val="center"/>
          </w:tcPr>
          <w:p w:rsidR="00147615" w:rsidRPr="00A16561" w:rsidP="00A16561" w14:paraId="04E440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sz w:val="20"/>
                <w:szCs w:val="20"/>
              </w:rPr>
            </w:pPr>
            <w:bookmarkStart w:id="30" w:name="_Hlk114568982"/>
            <w:bookmarkEnd w:id="28"/>
            <w:r w:rsidRPr="00A16561">
              <w:rPr>
                <w:sz w:val="20"/>
                <w:szCs w:val="20"/>
              </w:rPr>
              <w:t>Activity</w:t>
            </w:r>
          </w:p>
        </w:tc>
        <w:tc>
          <w:tcPr>
            <w:tcW w:w="1350" w:type="dxa"/>
            <w:shd w:val="clear" w:color="auto" w:fill="8EAADB" w:themeFill="accent1" w:themeFillTint="99"/>
            <w:vAlign w:val="center"/>
          </w:tcPr>
          <w:p w:rsidR="00147615" w:rsidRPr="00A16561" w:rsidP="00A16561" w14:paraId="4388BCD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A16561">
              <w:rPr>
                <w:sz w:val="20"/>
                <w:szCs w:val="20"/>
              </w:rPr>
              <w:t>Number of Respondents</w:t>
            </w:r>
          </w:p>
          <w:p w:rsidR="00147615" w:rsidRPr="00A16561" w:rsidP="00A16561" w14:paraId="6FC147C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p>
        </w:tc>
        <w:tc>
          <w:tcPr>
            <w:tcW w:w="1228" w:type="dxa"/>
            <w:shd w:val="clear" w:color="auto" w:fill="8EAADB" w:themeFill="accent1" w:themeFillTint="99"/>
            <w:vAlign w:val="center"/>
          </w:tcPr>
          <w:p w:rsidR="00147615" w:rsidRPr="00A16561" w:rsidP="00A16561" w14:paraId="64EB04D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A16561">
              <w:rPr>
                <w:sz w:val="20"/>
                <w:szCs w:val="20"/>
              </w:rPr>
              <w:t>Number of Responses per Respondent</w:t>
            </w:r>
          </w:p>
        </w:tc>
        <w:tc>
          <w:tcPr>
            <w:tcW w:w="1202" w:type="dxa"/>
            <w:shd w:val="clear" w:color="auto" w:fill="8EAADB" w:themeFill="accent1" w:themeFillTint="99"/>
            <w:vAlign w:val="center"/>
          </w:tcPr>
          <w:p w:rsidR="00147615" w:rsidRPr="00A16561" w:rsidP="00A16561" w14:paraId="27268A6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A16561">
              <w:rPr>
                <w:sz w:val="20"/>
                <w:szCs w:val="20"/>
              </w:rPr>
              <w:t>Total Responses</w:t>
            </w:r>
          </w:p>
        </w:tc>
        <w:tc>
          <w:tcPr>
            <w:tcW w:w="927" w:type="dxa"/>
            <w:shd w:val="clear" w:color="auto" w:fill="8EAADB" w:themeFill="accent1" w:themeFillTint="99"/>
            <w:vAlign w:val="center"/>
          </w:tcPr>
          <w:p w:rsidR="00147615" w:rsidRPr="00A16561" w:rsidP="00A16561" w14:paraId="0C9825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A16561">
              <w:rPr>
                <w:sz w:val="20"/>
                <w:szCs w:val="20"/>
              </w:rPr>
              <w:t>Average Burden (Hours)</w:t>
            </w:r>
          </w:p>
        </w:tc>
        <w:tc>
          <w:tcPr>
            <w:tcW w:w="1143" w:type="dxa"/>
            <w:shd w:val="clear" w:color="auto" w:fill="8EAADB" w:themeFill="accent1" w:themeFillTint="99"/>
            <w:vAlign w:val="center"/>
          </w:tcPr>
          <w:p w:rsidR="00147615" w:rsidRPr="00A16561" w:rsidP="00A16561" w14:paraId="43D22D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A16561">
              <w:rPr>
                <w:sz w:val="20"/>
                <w:szCs w:val="20"/>
              </w:rPr>
              <w:t>Total Burden (Hours)</w:t>
            </w:r>
          </w:p>
        </w:tc>
        <w:tc>
          <w:tcPr>
            <w:tcW w:w="828" w:type="dxa"/>
            <w:shd w:val="clear" w:color="auto" w:fill="8EAADB" w:themeFill="accent1" w:themeFillTint="99"/>
            <w:vAlign w:val="center"/>
          </w:tcPr>
          <w:p w:rsidR="00147615" w:rsidRPr="00A16561" w:rsidP="00A16561" w14:paraId="7134EA2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A16561">
              <w:rPr>
                <w:sz w:val="20"/>
                <w:szCs w:val="20"/>
              </w:rPr>
              <w:t>Hourly Wage Rate</w:t>
            </w:r>
          </w:p>
        </w:tc>
        <w:tc>
          <w:tcPr>
            <w:tcW w:w="1242" w:type="dxa"/>
            <w:shd w:val="clear" w:color="auto" w:fill="8EAADB" w:themeFill="accent1" w:themeFillTint="99"/>
            <w:vAlign w:val="center"/>
          </w:tcPr>
          <w:p w:rsidR="00147615" w:rsidRPr="00A16561" w:rsidP="00A16561" w14:paraId="160755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sz w:val="20"/>
                <w:szCs w:val="20"/>
              </w:rPr>
            </w:pPr>
            <w:r w:rsidRPr="00A16561">
              <w:rPr>
                <w:sz w:val="20"/>
                <w:szCs w:val="20"/>
              </w:rPr>
              <w:t>Total Burden Cost</w:t>
            </w:r>
          </w:p>
        </w:tc>
      </w:tr>
      <w:tr w14:paraId="54C9226B" w14:textId="77777777" w:rsidTr="00584E68">
        <w:tblPrEx>
          <w:tblW w:w="9540" w:type="dxa"/>
          <w:tblInd w:w="-5" w:type="dxa"/>
          <w:tblLayout w:type="fixed"/>
          <w:tblLook w:val="04A0"/>
        </w:tblPrEx>
        <w:trPr>
          <w:trHeight w:val="307"/>
        </w:trPr>
        <w:tc>
          <w:tcPr>
            <w:tcW w:w="1620" w:type="dxa"/>
            <w:vAlign w:val="center"/>
          </w:tcPr>
          <w:p w:rsidR="00825AC4" w:rsidRPr="00A16561" w:rsidP="00A16561" w14:paraId="1FCFB5A5" w14:textId="32ABC79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sidRPr="00A16561">
              <w:rPr>
                <w:color w:val="000000"/>
                <w:sz w:val="20"/>
                <w:szCs w:val="20"/>
              </w:rPr>
              <w:t>I. Examinations and Corrective Actions Prior to Tramming HVCMMs in and out of the Mine and from Section to Section</w:t>
            </w:r>
          </w:p>
        </w:tc>
        <w:tc>
          <w:tcPr>
            <w:tcW w:w="1350" w:type="dxa"/>
            <w:vAlign w:val="center"/>
          </w:tcPr>
          <w:p w:rsidR="00825AC4" w:rsidRPr="00A16561" w:rsidP="00A16561" w14:paraId="7E783ADA" w14:textId="1C5EF9C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A16561">
              <w:rPr>
                <w:color w:val="000000"/>
                <w:sz w:val="20"/>
                <w:szCs w:val="20"/>
              </w:rPr>
              <w:t>3</w:t>
            </w:r>
          </w:p>
        </w:tc>
        <w:tc>
          <w:tcPr>
            <w:tcW w:w="1228" w:type="dxa"/>
            <w:shd w:val="clear" w:color="auto" w:fill="000000" w:themeFill="text1"/>
            <w:vAlign w:val="center"/>
          </w:tcPr>
          <w:p w:rsidR="00825AC4" w:rsidRPr="00A16561" w:rsidP="00A16561" w14:paraId="6576BB13" w14:textId="0A00618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p>
        </w:tc>
        <w:tc>
          <w:tcPr>
            <w:tcW w:w="1202" w:type="dxa"/>
            <w:vAlign w:val="center"/>
          </w:tcPr>
          <w:p w:rsidR="00825AC4" w:rsidRPr="00A16561" w:rsidP="00A16561" w14:paraId="16F3A7BD" w14:textId="6B25CA7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A16561">
              <w:rPr>
                <w:color w:val="000000"/>
                <w:sz w:val="20"/>
                <w:szCs w:val="20"/>
              </w:rPr>
              <w:t xml:space="preserve">                                44 </w:t>
            </w:r>
          </w:p>
        </w:tc>
        <w:tc>
          <w:tcPr>
            <w:tcW w:w="927" w:type="dxa"/>
            <w:shd w:val="clear" w:color="auto" w:fill="000000" w:themeFill="text1"/>
            <w:vAlign w:val="center"/>
          </w:tcPr>
          <w:p w:rsidR="00825AC4" w:rsidRPr="00A16561" w:rsidP="00A16561" w14:paraId="1C76BD5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A16561">
              <w:rPr>
                <w:color w:val="000000"/>
                <w:sz w:val="20"/>
                <w:szCs w:val="20"/>
              </w:rPr>
              <w:t> </w:t>
            </w:r>
          </w:p>
        </w:tc>
        <w:tc>
          <w:tcPr>
            <w:tcW w:w="1143" w:type="dxa"/>
            <w:vAlign w:val="center"/>
          </w:tcPr>
          <w:p w:rsidR="00825AC4" w:rsidRPr="00A16561" w:rsidP="00A16561" w14:paraId="124AE84F" w14:textId="4162B83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A16561">
              <w:rPr>
                <w:color w:val="000000"/>
                <w:sz w:val="20"/>
                <w:szCs w:val="20"/>
              </w:rPr>
              <w:t>5.50</w:t>
            </w:r>
          </w:p>
        </w:tc>
        <w:tc>
          <w:tcPr>
            <w:tcW w:w="828" w:type="dxa"/>
            <w:shd w:val="clear" w:color="auto" w:fill="000000" w:themeFill="text1"/>
            <w:vAlign w:val="center"/>
          </w:tcPr>
          <w:p w:rsidR="00825AC4" w:rsidRPr="00A16561" w:rsidP="00A16561" w14:paraId="5EBEE48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sz w:val="20"/>
                <w:szCs w:val="20"/>
              </w:rPr>
            </w:pPr>
            <w:r w:rsidRPr="00A16561">
              <w:rPr>
                <w:color w:val="000000"/>
                <w:sz w:val="20"/>
                <w:szCs w:val="20"/>
              </w:rPr>
              <w:t> </w:t>
            </w:r>
          </w:p>
        </w:tc>
        <w:tc>
          <w:tcPr>
            <w:tcW w:w="1242" w:type="dxa"/>
            <w:vAlign w:val="center"/>
          </w:tcPr>
          <w:p w:rsidR="00825AC4" w:rsidRPr="00A16561" w:rsidP="00A16561" w14:paraId="5C521A55" w14:textId="097A914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sz w:val="20"/>
                <w:szCs w:val="20"/>
              </w:rPr>
            </w:pPr>
            <w:r w:rsidRPr="00A16561">
              <w:rPr>
                <w:color w:val="000000"/>
                <w:sz w:val="20"/>
                <w:szCs w:val="20"/>
              </w:rPr>
              <w:t>$376.55</w:t>
            </w:r>
          </w:p>
        </w:tc>
      </w:tr>
      <w:tr w14:paraId="5EDBCD95" w14:textId="77777777" w:rsidTr="00584E68">
        <w:tblPrEx>
          <w:tblW w:w="9540" w:type="dxa"/>
          <w:tblInd w:w="-5" w:type="dxa"/>
          <w:tblLayout w:type="fixed"/>
          <w:tblLook w:val="04A0"/>
        </w:tblPrEx>
        <w:trPr>
          <w:trHeight w:val="307"/>
        </w:trPr>
        <w:tc>
          <w:tcPr>
            <w:tcW w:w="1620" w:type="dxa"/>
            <w:vAlign w:val="center"/>
          </w:tcPr>
          <w:p w:rsidR="00825AC4" w:rsidRPr="00A16561" w:rsidP="00A16561" w14:paraId="433A4028" w14:textId="23D53CF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sidRPr="00A16561">
              <w:rPr>
                <w:color w:val="000000"/>
                <w:sz w:val="20"/>
                <w:szCs w:val="20"/>
              </w:rPr>
              <w:t>II. Tagging of High-Voltage Trailing Cables</w:t>
            </w:r>
          </w:p>
        </w:tc>
        <w:tc>
          <w:tcPr>
            <w:tcW w:w="1350" w:type="dxa"/>
            <w:vAlign w:val="center"/>
          </w:tcPr>
          <w:p w:rsidR="00825AC4" w:rsidRPr="00A16561" w:rsidP="00A16561" w14:paraId="2CBC1DD7" w14:textId="2FD8C1F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A16561">
              <w:rPr>
                <w:color w:val="000000"/>
                <w:sz w:val="20"/>
                <w:szCs w:val="20"/>
              </w:rPr>
              <w:t>3</w:t>
            </w:r>
          </w:p>
        </w:tc>
        <w:tc>
          <w:tcPr>
            <w:tcW w:w="1228" w:type="dxa"/>
            <w:shd w:val="clear" w:color="auto" w:fill="000000" w:themeFill="text1"/>
            <w:vAlign w:val="center"/>
          </w:tcPr>
          <w:p w:rsidR="00825AC4" w:rsidRPr="00A16561" w:rsidP="00A16561" w14:paraId="47D19CBE" w14:textId="4BAA252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p>
        </w:tc>
        <w:tc>
          <w:tcPr>
            <w:tcW w:w="1202" w:type="dxa"/>
            <w:vAlign w:val="center"/>
          </w:tcPr>
          <w:p w:rsidR="00825AC4" w:rsidRPr="00A16561" w:rsidP="00A16561" w14:paraId="4F77047B" w14:textId="46913C6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A16561">
              <w:rPr>
                <w:color w:val="000000"/>
                <w:sz w:val="20"/>
                <w:szCs w:val="20"/>
              </w:rPr>
              <w:t xml:space="preserve">         3,432 </w:t>
            </w:r>
          </w:p>
        </w:tc>
        <w:tc>
          <w:tcPr>
            <w:tcW w:w="927" w:type="dxa"/>
            <w:shd w:val="clear" w:color="auto" w:fill="000000" w:themeFill="text1"/>
            <w:vAlign w:val="center"/>
          </w:tcPr>
          <w:p w:rsidR="00825AC4" w:rsidRPr="00A16561" w:rsidP="00A16561" w14:paraId="23F3CC4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p>
        </w:tc>
        <w:tc>
          <w:tcPr>
            <w:tcW w:w="1143" w:type="dxa"/>
            <w:vAlign w:val="center"/>
          </w:tcPr>
          <w:p w:rsidR="00825AC4" w:rsidRPr="00A16561" w:rsidP="00A16561" w14:paraId="5AEFD731" w14:textId="4CC81A3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A16561">
              <w:rPr>
                <w:color w:val="000000"/>
                <w:sz w:val="20"/>
                <w:szCs w:val="20"/>
              </w:rPr>
              <w:t>85.80</w:t>
            </w:r>
          </w:p>
        </w:tc>
        <w:tc>
          <w:tcPr>
            <w:tcW w:w="828" w:type="dxa"/>
            <w:shd w:val="clear" w:color="auto" w:fill="000000" w:themeFill="text1"/>
            <w:vAlign w:val="center"/>
          </w:tcPr>
          <w:p w:rsidR="00825AC4" w:rsidRPr="00A16561" w:rsidP="00A16561" w14:paraId="3E1F5D2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sz w:val="20"/>
                <w:szCs w:val="20"/>
              </w:rPr>
            </w:pPr>
            <w:r w:rsidRPr="00A16561">
              <w:rPr>
                <w:color w:val="000000"/>
                <w:sz w:val="20"/>
                <w:szCs w:val="20"/>
              </w:rPr>
              <w:t> </w:t>
            </w:r>
          </w:p>
        </w:tc>
        <w:tc>
          <w:tcPr>
            <w:tcW w:w="1242" w:type="dxa"/>
            <w:vAlign w:val="center"/>
          </w:tcPr>
          <w:p w:rsidR="00825AC4" w:rsidRPr="00A16561" w:rsidP="00A16561" w14:paraId="544464CC" w14:textId="5588651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sz w:val="20"/>
                <w:szCs w:val="20"/>
              </w:rPr>
            </w:pPr>
            <w:r w:rsidRPr="00A16561">
              <w:rPr>
                <w:color w:val="000000"/>
                <w:sz w:val="20"/>
                <w:szCs w:val="20"/>
              </w:rPr>
              <w:t>$5,163.44</w:t>
            </w:r>
          </w:p>
        </w:tc>
      </w:tr>
      <w:tr w14:paraId="4857B4DA" w14:textId="77777777" w:rsidTr="00584E68">
        <w:tblPrEx>
          <w:tblW w:w="9540" w:type="dxa"/>
          <w:tblInd w:w="-5" w:type="dxa"/>
          <w:tblLayout w:type="fixed"/>
          <w:tblLook w:val="04A0"/>
        </w:tblPrEx>
        <w:trPr>
          <w:trHeight w:val="307"/>
        </w:trPr>
        <w:tc>
          <w:tcPr>
            <w:tcW w:w="1620" w:type="dxa"/>
            <w:vAlign w:val="center"/>
          </w:tcPr>
          <w:p w:rsidR="00825AC4" w:rsidRPr="00A16561" w:rsidP="00A16561" w14:paraId="316AC76A" w14:textId="33A3343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bCs/>
                <w:sz w:val="20"/>
                <w:szCs w:val="20"/>
              </w:rPr>
            </w:pPr>
            <w:r w:rsidRPr="00A16561">
              <w:rPr>
                <w:color w:val="000000"/>
                <w:sz w:val="20"/>
                <w:szCs w:val="20"/>
              </w:rPr>
              <w:t>III. Examinations, Corrective Actions, and Recordkeeping of HVCMMs</w:t>
            </w:r>
          </w:p>
        </w:tc>
        <w:tc>
          <w:tcPr>
            <w:tcW w:w="1350" w:type="dxa"/>
            <w:vAlign w:val="center"/>
          </w:tcPr>
          <w:p w:rsidR="00825AC4" w:rsidRPr="00A16561" w:rsidP="00A16561" w14:paraId="6870F1C4" w14:textId="4B862F5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A16561">
              <w:rPr>
                <w:color w:val="000000"/>
                <w:sz w:val="20"/>
                <w:szCs w:val="20"/>
              </w:rPr>
              <w:t>3</w:t>
            </w:r>
          </w:p>
        </w:tc>
        <w:tc>
          <w:tcPr>
            <w:tcW w:w="1228" w:type="dxa"/>
            <w:shd w:val="clear" w:color="auto" w:fill="000000" w:themeFill="text1"/>
            <w:vAlign w:val="center"/>
          </w:tcPr>
          <w:p w:rsidR="00825AC4" w:rsidRPr="00A16561" w:rsidP="00A16561" w14:paraId="4FF7D84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A16561">
              <w:rPr>
                <w:color w:val="000000"/>
                <w:sz w:val="20"/>
                <w:szCs w:val="20"/>
              </w:rPr>
              <w:t> </w:t>
            </w:r>
          </w:p>
        </w:tc>
        <w:tc>
          <w:tcPr>
            <w:tcW w:w="1202" w:type="dxa"/>
            <w:vAlign w:val="center"/>
          </w:tcPr>
          <w:p w:rsidR="00825AC4" w:rsidRPr="00A16561" w:rsidP="00A16561" w14:paraId="722FE63D" w14:textId="0FFC69C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A16561">
              <w:rPr>
                <w:color w:val="000000"/>
                <w:sz w:val="20"/>
                <w:szCs w:val="20"/>
              </w:rPr>
              <w:t xml:space="preserve">            594 </w:t>
            </w:r>
          </w:p>
        </w:tc>
        <w:tc>
          <w:tcPr>
            <w:tcW w:w="927" w:type="dxa"/>
            <w:shd w:val="clear" w:color="auto" w:fill="000000" w:themeFill="text1"/>
            <w:vAlign w:val="center"/>
          </w:tcPr>
          <w:p w:rsidR="00825AC4" w:rsidRPr="00A16561" w:rsidP="00A16561" w14:paraId="32A0ADF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A16561">
              <w:rPr>
                <w:color w:val="000000"/>
                <w:sz w:val="20"/>
                <w:szCs w:val="20"/>
              </w:rPr>
              <w:t> </w:t>
            </w:r>
          </w:p>
        </w:tc>
        <w:tc>
          <w:tcPr>
            <w:tcW w:w="1143" w:type="dxa"/>
            <w:vAlign w:val="center"/>
          </w:tcPr>
          <w:p w:rsidR="00825AC4" w:rsidRPr="00A16561" w:rsidP="00A16561" w14:paraId="593DD316" w14:textId="6173663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Cs/>
                <w:sz w:val="20"/>
                <w:szCs w:val="20"/>
              </w:rPr>
            </w:pPr>
            <w:r w:rsidRPr="00A16561">
              <w:rPr>
                <w:color w:val="000000"/>
                <w:sz w:val="20"/>
                <w:szCs w:val="20"/>
              </w:rPr>
              <w:t>33.00</w:t>
            </w:r>
          </w:p>
        </w:tc>
        <w:tc>
          <w:tcPr>
            <w:tcW w:w="828" w:type="dxa"/>
            <w:shd w:val="clear" w:color="auto" w:fill="000000" w:themeFill="text1"/>
            <w:vAlign w:val="center"/>
          </w:tcPr>
          <w:p w:rsidR="00825AC4" w:rsidRPr="00A16561" w:rsidP="00A16561" w14:paraId="33D7D95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bCs/>
                <w:sz w:val="20"/>
                <w:szCs w:val="20"/>
              </w:rPr>
            </w:pPr>
            <w:r w:rsidRPr="00A16561">
              <w:rPr>
                <w:color w:val="000000"/>
                <w:sz w:val="20"/>
                <w:szCs w:val="20"/>
              </w:rPr>
              <w:t> </w:t>
            </w:r>
          </w:p>
        </w:tc>
        <w:tc>
          <w:tcPr>
            <w:tcW w:w="1242" w:type="dxa"/>
            <w:vAlign w:val="center"/>
          </w:tcPr>
          <w:p w:rsidR="00825AC4" w:rsidRPr="00A16561" w:rsidP="00A16561" w14:paraId="7AB9E373" w14:textId="0934B70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rFonts w:eastAsiaTheme="minorHAnsi"/>
                <w:bCs/>
                <w:sz w:val="20"/>
                <w:szCs w:val="20"/>
              </w:rPr>
            </w:pPr>
            <w:r w:rsidRPr="00A16561">
              <w:rPr>
                <w:color w:val="000000"/>
                <w:sz w:val="20"/>
                <w:szCs w:val="20"/>
              </w:rPr>
              <w:t>$2,031.50</w:t>
            </w:r>
          </w:p>
        </w:tc>
      </w:tr>
      <w:tr w14:paraId="0393DBA4" w14:textId="77777777" w:rsidTr="005154C9">
        <w:tblPrEx>
          <w:tblW w:w="9540" w:type="dxa"/>
          <w:tblInd w:w="-5" w:type="dxa"/>
          <w:tblLayout w:type="fixed"/>
          <w:tblLook w:val="04A0"/>
        </w:tblPrEx>
        <w:trPr>
          <w:trHeight w:val="307"/>
        </w:trPr>
        <w:tc>
          <w:tcPr>
            <w:tcW w:w="1620" w:type="dxa"/>
            <w:shd w:val="clear" w:color="auto" w:fill="auto"/>
            <w:vAlign w:val="center"/>
          </w:tcPr>
          <w:p w:rsidR="00825AC4" w:rsidRPr="00A16561" w:rsidP="00A16561" w14:paraId="397708A9" w14:textId="287860B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A16561">
              <w:rPr>
                <w:b/>
                <w:bCs/>
                <w:i/>
                <w:iCs/>
                <w:color w:val="000000"/>
                <w:sz w:val="20"/>
                <w:szCs w:val="20"/>
              </w:rPr>
              <w:t>Total (Rounded)</w:t>
            </w:r>
          </w:p>
        </w:tc>
        <w:tc>
          <w:tcPr>
            <w:tcW w:w="1350" w:type="dxa"/>
            <w:shd w:val="clear" w:color="auto" w:fill="auto"/>
            <w:vAlign w:val="center"/>
          </w:tcPr>
          <w:p w:rsidR="00825AC4" w:rsidRPr="00A16561" w:rsidP="00A16561" w14:paraId="269418D5" w14:textId="0719FCF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A16561">
              <w:rPr>
                <w:b/>
                <w:bCs/>
                <w:i/>
                <w:iCs/>
                <w:color w:val="000000"/>
                <w:sz w:val="20"/>
                <w:szCs w:val="20"/>
              </w:rPr>
              <w:t>3</w:t>
            </w:r>
          </w:p>
        </w:tc>
        <w:tc>
          <w:tcPr>
            <w:tcW w:w="1228" w:type="dxa"/>
            <w:shd w:val="clear" w:color="auto" w:fill="000000" w:themeFill="text1"/>
            <w:vAlign w:val="center"/>
          </w:tcPr>
          <w:p w:rsidR="00825AC4" w:rsidRPr="00A16561" w:rsidP="00A16561" w14:paraId="1A896A4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p>
        </w:tc>
        <w:tc>
          <w:tcPr>
            <w:tcW w:w="1202" w:type="dxa"/>
            <w:shd w:val="clear" w:color="auto" w:fill="auto"/>
            <w:vAlign w:val="center"/>
          </w:tcPr>
          <w:p w:rsidR="00825AC4" w:rsidRPr="00A16561" w:rsidP="00A16561" w14:paraId="24BE5FBD" w14:textId="7BECC7E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A16561">
              <w:rPr>
                <w:b/>
                <w:bCs/>
                <w:i/>
                <w:iCs/>
                <w:color w:val="000000"/>
                <w:sz w:val="20"/>
                <w:szCs w:val="20"/>
              </w:rPr>
              <w:t xml:space="preserve">          4,070 </w:t>
            </w:r>
          </w:p>
        </w:tc>
        <w:tc>
          <w:tcPr>
            <w:tcW w:w="927" w:type="dxa"/>
            <w:shd w:val="clear" w:color="auto" w:fill="000000" w:themeFill="text1"/>
            <w:vAlign w:val="center"/>
          </w:tcPr>
          <w:p w:rsidR="00825AC4" w:rsidRPr="00A16561" w:rsidP="00A16561" w14:paraId="366B8F8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p>
        </w:tc>
        <w:tc>
          <w:tcPr>
            <w:tcW w:w="1143" w:type="dxa"/>
            <w:shd w:val="clear" w:color="auto" w:fill="auto"/>
            <w:vAlign w:val="center"/>
          </w:tcPr>
          <w:p w:rsidR="00825AC4" w:rsidRPr="00A16561" w:rsidP="00A16561" w14:paraId="576D2A65" w14:textId="59DFA4A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A16561">
              <w:rPr>
                <w:b/>
                <w:bCs/>
                <w:i/>
                <w:iCs/>
                <w:color w:val="000000"/>
                <w:sz w:val="20"/>
                <w:szCs w:val="20"/>
              </w:rPr>
              <w:t>124</w:t>
            </w:r>
          </w:p>
        </w:tc>
        <w:tc>
          <w:tcPr>
            <w:tcW w:w="828" w:type="dxa"/>
            <w:shd w:val="clear" w:color="auto" w:fill="000000" w:themeFill="text1"/>
            <w:vAlign w:val="center"/>
          </w:tcPr>
          <w:p w:rsidR="00825AC4" w:rsidRPr="00A16561" w:rsidP="00A16561" w14:paraId="1200391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jc w:val="right"/>
              <w:rPr>
                <w:b/>
                <w:i/>
                <w:iCs/>
                <w:sz w:val="20"/>
                <w:szCs w:val="20"/>
              </w:rPr>
            </w:pPr>
            <w:r w:rsidRPr="00A16561">
              <w:rPr>
                <w:b/>
                <w:bCs/>
                <w:i/>
                <w:iCs/>
                <w:color w:val="000000"/>
                <w:sz w:val="20"/>
                <w:szCs w:val="20"/>
              </w:rPr>
              <w:t>Total (Rounded)</w:t>
            </w:r>
          </w:p>
        </w:tc>
        <w:tc>
          <w:tcPr>
            <w:tcW w:w="1242" w:type="dxa"/>
            <w:vAlign w:val="center"/>
          </w:tcPr>
          <w:p w:rsidR="00825AC4" w:rsidRPr="00A16561" w:rsidP="00A16561" w14:paraId="2D99E285" w14:textId="4A1875C6">
            <w:pPr>
              <w:widowControl/>
              <w:autoSpaceDE/>
              <w:autoSpaceDN/>
              <w:adjustRightInd/>
              <w:jc w:val="right"/>
              <w:rPr>
                <w:b/>
                <w:bCs/>
                <w:i/>
                <w:iCs/>
                <w:color w:val="000000"/>
                <w:sz w:val="20"/>
                <w:szCs w:val="20"/>
              </w:rPr>
            </w:pPr>
            <w:r w:rsidRPr="00A16561">
              <w:rPr>
                <w:b/>
                <w:bCs/>
                <w:i/>
                <w:iCs/>
                <w:color w:val="000000"/>
                <w:sz w:val="20"/>
                <w:szCs w:val="20"/>
              </w:rPr>
              <w:t xml:space="preserve">$7,571 </w:t>
            </w:r>
          </w:p>
        </w:tc>
      </w:tr>
    </w:tbl>
    <w:p w:rsidR="00147615" w:rsidRPr="006C67F8" w:rsidP="00A16561" w14:paraId="5A5DD574" w14:textId="48FC0DA5">
      <w:pPr>
        <w:widowControl/>
        <w:rPr>
          <w:sz w:val="20"/>
          <w:szCs w:val="20"/>
        </w:rPr>
      </w:pPr>
      <w:bookmarkStart w:id="31" w:name="_Hlk185344491"/>
      <w:bookmarkStart w:id="32" w:name="_Hlk181188185"/>
      <w:bookmarkEnd w:id="30"/>
      <w:r w:rsidRPr="006C67F8">
        <w:rPr>
          <w:sz w:val="20"/>
          <w:szCs w:val="20"/>
        </w:rPr>
        <w:t xml:space="preserve">Note: The total number of respondents </w:t>
      </w:r>
      <w:bookmarkStart w:id="33" w:name="_Hlk172641234"/>
      <w:r w:rsidRPr="00D262E7" w:rsidR="00D262E7">
        <w:rPr>
          <w:rFonts w:eastAsia="Calibri"/>
          <w:sz w:val="20"/>
          <w:szCs w:val="20"/>
        </w:rPr>
        <w:t xml:space="preserve">do not correspond to the sum of rows </w:t>
      </w:r>
      <w:r w:rsidRPr="006C67F8">
        <w:rPr>
          <w:bCs/>
          <w:sz w:val="20"/>
          <w:szCs w:val="20"/>
        </w:rPr>
        <w:t>from each cost category</w:t>
      </w:r>
      <w:bookmarkEnd w:id="33"/>
      <w:r w:rsidRPr="006C67F8">
        <w:rPr>
          <w:bCs/>
          <w:sz w:val="20"/>
          <w:szCs w:val="20"/>
        </w:rPr>
        <w:t xml:space="preserve">. It </w:t>
      </w:r>
      <w:r w:rsidRPr="006C67F8" w:rsidR="00AA5238">
        <w:rPr>
          <w:bCs/>
          <w:sz w:val="20"/>
          <w:szCs w:val="20"/>
        </w:rPr>
        <w:t>is</w:t>
      </w:r>
      <w:r w:rsidRPr="006C67F8">
        <w:rPr>
          <w:bCs/>
          <w:sz w:val="20"/>
          <w:szCs w:val="20"/>
        </w:rPr>
        <w:t xml:space="preserve"> the number of</w:t>
      </w:r>
      <w:bookmarkEnd w:id="31"/>
      <w:r w:rsidRPr="006C67F8">
        <w:rPr>
          <w:bCs/>
          <w:sz w:val="20"/>
          <w:szCs w:val="20"/>
        </w:rPr>
        <w:t xml:space="preserve"> </w:t>
      </w:r>
      <w:bookmarkStart w:id="34" w:name="_Hlk172027061"/>
      <w:bookmarkEnd w:id="32"/>
      <w:r w:rsidRPr="006C67F8">
        <w:rPr>
          <w:bCs/>
          <w:color w:val="000000" w:themeColor="text1"/>
          <w:sz w:val="20"/>
          <w:szCs w:val="20"/>
        </w:rPr>
        <w:t>underground coal mine</w:t>
      </w:r>
      <w:r w:rsidRPr="006C67F8" w:rsidR="00AA5238">
        <w:rPr>
          <w:bCs/>
          <w:color w:val="000000" w:themeColor="text1"/>
          <w:sz w:val="20"/>
          <w:szCs w:val="20"/>
        </w:rPr>
        <w:t xml:space="preserve"> operators with HVCMMs</w:t>
      </w:r>
      <w:bookmarkEnd w:id="34"/>
      <w:r w:rsidRPr="006C67F8">
        <w:rPr>
          <w:color w:val="000000" w:themeColor="text1"/>
          <w:sz w:val="20"/>
          <w:szCs w:val="20"/>
        </w:rPr>
        <w:t>.</w:t>
      </w:r>
    </w:p>
    <w:p w:rsidR="00672A5E" w:rsidRPr="00A16561" w:rsidP="00A16561" w14:paraId="5EF3952A" w14:textId="77777777">
      <w:pPr>
        <w:autoSpaceDE/>
        <w:autoSpaceDN/>
        <w:adjustRightInd/>
        <w:rPr>
          <w:rFonts w:eastAsia="Calibri"/>
          <w:b/>
        </w:rPr>
      </w:pPr>
    </w:p>
    <w:p w:rsidR="00672A5E" w:rsidRPr="00A16561" w:rsidP="00A16561" w14:paraId="41AE56E2" w14:textId="31E2FF67">
      <w:pPr>
        <w:autoSpaceDE/>
        <w:autoSpaceDN/>
        <w:adjustRightInd/>
        <w:ind w:right="441"/>
        <w:rPr>
          <w:rFonts w:eastAsia="Calibri"/>
          <w:b/>
        </w:rPr>
      </w:pPr>
      <w:r w:rsidRPr="00A16561">
        <w:rPr>
          <w:rFonts w:eastAsia="Calibri"/>
          <w:b/>
        </w:rPr>
        <w:t xml:space="preserve">13. Provide an estimate of the total annual cost burden to respondents or </w:t>
      </w:r>
      <w:r w:rsidRPr="00A16561">
        <w:rPr>
          <w:rFonts w:eastAsia="Calibri"/>
          <w:b/>
          <w:w w:val="106"/>
        </w:rPr>
        <w:t xml:space="preserve">record keepers </w:t>
      </w:r>
      <w:r w:rsidRPr="00A16561">
        <w:rPr>
          <w:rFonts w:eastAsia="Calibri"/>
          <w:b/>
        </w:rPr>
        <w:t xml:space="preserve">resulting from the collection of information. (Do not include the cost of any </w:t>
      </w:r>
      <w:r w:rsidRPr="00A16561">
        <w:rPr>
          <w:rFonts w:eastAsia="Calibri"/>
          <w:b/>
          <w:w w:val="108"/>
        </w:rPr>
        <w:t xml:space="preserve">hour </w:t>
      </w:r>
      <w:r w:rsidRPr="00A16561">
        <w:rPr>
          <w:rFonts w:eastAsia="Calibri"/>
          <w:b/>
        </w:rPr>
        <w:t>burden already reflected on the burden worksheet.)</w:t>
      </w:r>
    </w:p>
    <w:p w:rsidR="00266FC9" w:rsidRPr="00A16561" w:rsidP="00A16561" w14:paraId="4DC2101C" w14:textId="77777777">
      <w:pPr>
        <w:autoSpaceDE/>
        <w:autoSpaceDN/>
        <w:adjustRightInd/>
        <w:ind w:right="441"/>
        <w:rPr>
          <w:rFonts w:eastAsia="Calibri"/>
          <w:b/>
        </w:rPr>
      </w:pPr>
    </w:p>
    <w:p w:rsidR="005C7289" w:rsidRPr="00A16561" w:rsidP="00A16561" w14:paraId="1C56D285" w14:textId="77777777">
      <w:pPr>
        <w:numPr>
          <w:ilvl w:val="0"/>
          <w:numId w:val="12"/>
        </w:numPr>
        <w:autoSpaceDE/>
        <w:autoSpaceDN/>
        <w:adjustRightInd/>
        <w:ind w:right="446"/>
        <w:contextualSpacing/>
        <w:rPr>
          <w:rFonts w:eastAsia="Calibri"/>
          <w:b/>
        </w:rPr>
      </w:pPr>
      <w:r w:rsidRPr="00A16561">
        <w:rPr>
          <w:rFonts w:eastAsia="Calibri"/>
          <w:b/>
        </w:rPr>
        <w:t xml:space="preserve">The cost estimate should be split into two components: (a) a total capital and start­ 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w:t>
      </w:r>
    </w:p>
    <w:p w:rsidR="005C7289" w:rsidRPr="00A16561" w:rsidP="00A16561" w14:paraId="5770D8C7" w14:textId="77777777">
      <w:pPr>
        <w:autoSpaceDE/>
        <w:autoSpaceDN/>
        <w:adjustRightInd/>
        <w:ind w:left="720" w:right="446"/>
        <w:contextualSpacing/>
        <w:rPr>
          <w:rFonts w:eastAsia="Calibri"/>
          <w:b/>
        </w:rPr>
      </w:pPr>
    </w:p>
    <w:p w:rsidR="005C7289" w:rsidRPr="00A16561" w:rsidP="00A16561" w14:paraId="71C0F4C4" w14:textId="77777777">
      <w:pPr>
        <w:autoSpaceDE/>
        <w:autoSpaceDN/>
        <w:adjustRightInd/>
        <w:ind w:left="720" w:right="446"/>
        <w:contextualSpacing/>
        <w:rPr>
          <w:rFonts w:eastAsia="Calibri"/>
          <w:b/>
        </w:rPr>
      </w:pPr>
    </w:p>
    <w:p w:rsidR="00672A5E" w:rsidRPr="00A16561" w:rsidP="00A16561" w14:paraId="5847E1C9" w14:textId="1F393C09">
      <w:pPr>
        <w:autoSpaceDE/>
        <w:autoSpaceDN/>
        <w:adjustRightInd/>
        <w:ind w:left="720" w:right="446"/>
        <w:contextualSpacing/>
        <w:rPr>
          <w:rFonts w:eastAsia="Calibri"/>
          <w:b/>
        </w:rPr>
      </w:pPr>
      <w:r w:rsidRPr="00A16561">
        <w:rPr>
          <w:rFonts w:eastAsia="Calibri"/>
          <w:b/>
        </w:rPr>
        <w:t>include, among other items, preparations for collecting information such as purchasing computers and software; monitoring, sampling, drilling and testing equipment; and record storage facilities.</w:t>
      </w:r>
    </w:p>
    <w:p w:rsidR="00266FC9" w:rsidRPr="00A16561" w:rsidP="00A16561" w14:paraId="3AC24CF0" w14:textId="77777777">
      <w:pPr>
        <w:autoSpaceDE/>
        <w:autoSpaceDN/>
        <w:adjustRightInd/>
        <w:ind w:left="720" w:right="446"/>
        <w:contextualSpacing/>
        <w:rPr>
          <w:rFonts w:eastAsia="Calibri"/>
          <w:b/>
        </w:rPr>
      </w:pPr>
    </w:p>
    <w:p w:rsidR="00672A5E" w:rsidRPr="00A16561" w:rsidP="00A16561" w14:paraId="58ADB303" w14:textId="77777777">
      <w:pPr>
        <w:numPr>
          <w:ilvl w:val="0"/>
          <w:numId w:val="12"/>
        </w:numPr>
        <w:autoSpaceDE/>
        <w:autoSpaceDN/>
        <w:adjustRightInd/>
        <w:ind w:right="-14"/>
        <w:contextualSpacing/>
        <w:rPr>
          <w:rFonts w:eastAsia="Calibri"/>
          <w:b/>
        </w:rPr>
      </w:pPr>
      <w:r w:rsidRPr="00A16561">
        <w:rPr>
          <w:rFonts w:eastAsia="Calibri"/>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72A5E" w:rsidRPr="00A16561" w:rsidP="00A16561" w14:paraId="1AB94F83" w14:textId="77777777">
      <w:pPr>
        <w:autoSpaceDE/>
        <w:autoSpaceDN/>
        <w:adjustRightInd/>
        <w:ind w:right="-20"/>
        <w:rPr>
          <w:rFonts w:eastAsia="Calibri"/>
          <w:b/>
        </w:rPr>
      </w:pPr>
    </w:p>
    <w:p w:rsidR="00604CA3" w:rsidRPr="006C67F8" w:rsidP="00A16561" w14:paraId="34024E59" w14:textId="77777777">
      <w:pPr>
        <w:rPr>
          <w:bCs/>
          <w:color w:val="000000" w:themeColor="text1"/>
        </w:rPr>
      </w:pPr>
      <w:r w:rsidRPr="00A16561">
        <w:rPr>
          <w:bCs/>
        </w:rPr>
        <w:t>There are no capital or maintenance costs to respondents or recordkeepers resulting from the collection of this information</w:t>
      </w:r>
      <w:r w:rsidRPr="006C67F8">
        <w:rPr>
          <w:bCs/>
          <w:color w:val="000000" w:themeColor="text1"/>
        </w:rPr>
        <w:t>.</w:t>
      </w:r>
    </w:p>
    <w:p w:rsidR="00672A5E" w:rsidRPr="00A16561" w:rsidP="00A16561" w14:paraId="7EA5C130" w14:textId="77777777">
      <w:pPr>
        <w:autoSpaceDE/>
        <w:autoSpaceDN/>
        <w:adjustRightInd/>
        <w:rPr>
          <w:rFonts w:eastAsia="Calibri"/>
        </w:rPr>
      </w:pPr>
    </w:p>
    <w:p w:rsidR="00672A5E" w:rsidRPr="00A16561" w:rsidP="00A16561" w14:paraId="37F15349" w14:textId="7DA8055F">
      <w:pPr>
        <w:tabs>
          <w:tab w:val="left" w:pos="640"/>
        </w:tabs>
        <w:autoSpaceDE/>
        <w:autoSpaceDN/>
        <w:adjustRightInd/>
        <w:ind w:right="127"/>
        <w:rPr>
          <w:rFonts w:eastAsia="Calibri"/>
          <w:b/>
        </w:rPr>
      </w:pPr>
      <w:r w:rsidRPr="00A16561">
        <w:rPr>
          <w:rFonts w:eastAsia="Calibri"/>
          <w:b/>
        </w:rPr>
        <w:t xml:space="preserve">14. Provide estimates of annualized cost to the Federal government.  Also, provide a description of the method used to estimate cost, which should include quantification of hours, </w:t>
      </w:r>
      <w:r w:rsidRPr="00A16561">
        <w:rPr>
          <w:rFonts w:eastAsia="Calibri"/>
          <w:b/>
          <w:w w:val="107"/>
        </w:rPr>
        <w:t xml:space="preserve">operational </w:t>
      </w:r>
      <w:r w:rsidRPr="00A16561">
        <w:rPr>
          <w:rFonts w:eastAsia="Calibri"/>
          <w:b/>
        </w:rPr>
        <w:t>expenses (such as equipment, overhead, printing, and support staff</w:t>
      </w:r>
      <w:r w:rsidRPr="00A16561">
        <w:rPr>
          <w:rFonts w:eastAsia="Calibri"/>
          <w:b/>
          <w:w w:val="104"/>
        </w:rPr>
        <w:t xml:space="preserve">), </w:t>
      </w:r>
      <w:r w:rsidRPr="00A16561">
        <w:rPr>
          <w:rFonts w:eastAsia="Calibri"/>
          <w:b/>
        </w:rPr>
        <w:t xml:space="preserve">and any other expense that would not have been incurred without this collection of </w:t>
      </w:r>
      <w:r w:rsidRPr="00A16561">
        <w:rPr>
          <w:rFonts w:eastAsia="Calibri"/>
          <w:b/>
          <w:w w:val="106"/>
        </w:rPr>
        <w:t xml:space="preserve">information.  </w:t>
      </w:r>
      <w:r w:rsidRPr="00A16561">
        <w:rPr>
          <w:rFonts w:eastAsia="Calibri"/>
          <w:b/>
        </w:rPr>
        <w:t xml:space="preserve">Agencies also may aggregate cost estimates from Items 12, 13, and 14 in </w:t>
      </w:r>
      <w:r w:rsidRPr="00A16561">
        <w:rPr>
          <w:rFonts w:eastAsia="Calibri"/>
          <w:b/>
          <w:w w:val="101"/>
        </w:rPr>
        <w:t xml:space="preserve">a </w:t>
      </w:r>
      <w:r w:rsidRPr="00A16561">
        <w:rPr>
          <w:rFonts w:eastAsia="Calibri"/>
          <w:b/>
        </w:rPr>
        <w:t xml:space="preserve">single </w:t>
      </w:r>
      <w:r w:rsidRPr="00A16561">
        <w:rPr>
          <w:rFonts w:eastAsia="Calibri"/>
          <w:b/>
          <w:w w:val="105"/>
        </w:rPr>
        <w:t>table.</w:t>
      </w:r>
    </w:p>
    <w:p w:rsidR="00672A5E" w:rsidRPr="00A16561" w:rsidP="00A16561" w14:paraId="4014F34F" w14:textId="77777777">
      <w:pPr>
        <w:autoSpaceDE/>
        <w:autoSpaceDN/>
        <w:adjustRightInd/>
        <w:rPr>
          <w:rFonts w:eastAsia="Calibri"/>
        </w:rPr>
      </w:pPr>
    </w:p>
    <w:p w:rsidR="00604CA3" w:rsidRPr="00A16561" w:rsidP="00A16561" w14:paraId="42EA6740" w14:textId="77777777">
      <w:pPr>
        <w:pStyle w:val="BodyText12pt"/>
        <w:rPr>
          <w:szCs w:val="24"/>
        </w:rPr>
      </w:pPr>
      <w:r w:rsidRPr="00A16561">
        <w:rPr>
          <w:szCs w:val="24"/>
        </w:rPr>
        <w:t>There are no Federal costs associated with this information collection request.</w:t>
      </w:r>
    </w:p>
    <w:p w:rsidR="00672A5E" w:rsidRPr="00A16561" w:rsidP="00A16561" w14:paraId="2F41BB44" w14:textId="77777777">
      <w:pPr>
        <w:autoSpaceDE/>
        <w:autoSpaceDN/>
        <w:adjustRightInd/>
        <w:rPr>
          <w:rFonts w:eastAsia="Calibri"/>
        </w:rPr>
      </w:pPr>
      <w:r w:rsidRPr="00A16561">
        <w:rPr>
          <w:rFonts w:eastAsia="Calibri"/>
        </w:rPr>
        <w:t xml:space="preserve"> </w:t>
      </w:r>
    </w:p>
    <w:p w:rsidR="00672A5E" w:rsidRPr="00A16561" w:rsidP="00A16561" w14:paraId="07B9F7BF" w14:textId="47092C66">
      <w:pPr>
        <w:tabs>
          <w:tab w:val="left" w:pos="660"/>
        </w:tabs>
        <w:autoSpaceDE/>
        <w:autoSpaceDN/>
        <w:adjustRightInd/>
        <w:ind w:right="-20"/>
        <w:rPr>
          <w:rFonts w:eastAsia="Calibri"/>
          <w:b/>
        </w:rPr>
      </w:pPr>
      <w:r w:rsidRPr="00A16561">
        <w:rPr>
          <w:rFonts w:eastAsia="Calibri"/>
          <w:b/>
        </w:rPr>
        <w:t xml:space="preserve">15. Explain the reason for any program changes or </w:t>
      </w:r>
      <w:r w:rsidRPr="00A16561">
        <w:rPr>
          <w:rFonts w:eastAsia="Calibri"/>
          <w:b/>
          <w:w w:val="107"/>
        </w:rPr>
        <w:t xml:space="preserve">adjustments </w:t>
      </w:r>
      <w:r w:rsidRPr="00A16561">
        <w:rPr>
          <w:rFonts w:eastAsia="Calibri"/>
          <w:b/>
        </w:rPr>
        <w:t>reported on the burden worksheet.</w:t>
      </w:r>
    </w:p>
    <w:p w:rsidR="00672A5E" w:rsidRPr="00A16561" w:rsidP="00A16561" w14:paraId="04621E47" w14:textId="77777777">
      <w:pPr>
        <w:autoSpaceDE/>
        <w:autoSpaceDN/>
        <w:adjustRightInd/>
        <w:rPr>
          <w:rFonts w:eastAsia="Calibri"/>
        </w:rPr>
      </w:pPr>
    </w:p>
    <w:p w:rsidR="00604CA3" w:rsidRPr="00A16561" w:rsidP="00A16561" w14:paraId="3F73FE6C" w14:textId="4E3CAA8C">
      <w:pPr>
        <w:widowControl/>
        <w:rPr>
          <w:iCs/>
        </w:rPr>
      </w:pPr>
      <w:r w:rsidRPr="00A16561">
        <w:rPr>
          <w:iCs/>
          <w:u w:val="single"/>
        </w:rPr>
        <w:t>Number of Respondents</w:t>
      </w:r>
      <w:r w:rsidRPr="00A16561">
        <w:rPr>
          <w:iCs/>
        </w:rPr>
        <w:t xml:space="preserve">: The estimated number of respondents remains unchanged </w:t>
      </w:r>
      <w:r w:rsidRPr="00A16561" w:rsidR="003F65FD">
        <w:rPr>
          <w:iCs/>
        </w:rPr>
        <w:t>at 3.</w:t>
      </w:r>
      <w:bookmarkStart w:id="35" w:name="_Hlk125973945"/>
    </w:p>
    <w:p w:rsidR="00604CA3" w:rsidRPr="00A16561" w:rsidP="00A16561" w14:paraId="5FF4464E" w14:textId="77777777">
      <w:pPr>
        <w:widowControl/>
        <w:rPr>
          <w:iCs/>
        </w:rPr>
      </w:pPr>
    </w:p>
    <w:p w:rsidR="00604CA3" w:rsidRPr="00A16561" w:rsidP="00A16561" w14:paraId="393A0CB5" w14:textId="6466B3BF">
      <w:pPr>
        <w:widowControl/>
        <w:rPr>
          <w:iCs/>
        </w:rPr>
      </w:pPr>
      <w:r w:rsidRPr="00A16561">
        <w:rPr>
          <w:iCs/>
          <w:u w:val="single"/>
        </w:rPr>
        <w:t>Number of Responses</w:t>
      </w:r>
      <w:r w:rsidRPr="00A16561">
        <w:rPr>
          <w:iCs/>
        </w:rPr>
        <w:t xml:space="preserve">: The estimated number of responses </w:t>
      </w:r>
      <w:r w:rsidRPr="00A16561" w:rsidR="006770D5">
        <w:rPr>
          <w:iCs/>
        </w:rPr>
        <w:t>decreased slightly from</w:t>
      </w:r>
      <w:r w:rsidRPr="00A16561" w:rsidR="003F65FD">
        <w:rPr>
          <w:iCs/>
        </w:rPr>
        <w:t xml:space="preserve"> 4,092</w:t>
      </w:r>
      <w:r w:rsidRPr="00A16561" w:rsidR="006770D5">
        <w:rPr>
          <w:iCs/>
        </w:rPr>
        <w:t xml:space="preserve"> to 4,070 due to a minor adjustment in the methodology</w:t>
      </w:r>
      <w:r w:rsidRPr="00A16561" w:rsidR="003F65FD">
        <w:rPr>
          <w:iCs/>
        </w:rPr>
        <w:t>.</w:t>
      </w:r>
      <w:r w:rsidR="008E21D7">
        <w:rPr>
          <w:iCs/>
        </w:rPr>
        <w:t xml:space="preserve"> Different occupations work together to correct the same corrective action record. </w:t>
      </w:r>
    </w:p>
    <w:p w:rsidR="00604CA3" w:rsidRPr="00A16561" w:rsidP="00A16561" w14:paraId="03064497" w14:textId="77777777">
      <w:pPr>
        <w:widowControl/>
        <w:rPr>
          <w:iCs/>
        </w:rPr>
      </w:pPr>
    </w:p>
    <w:p w:rsidR="00604CA3" w:rsidRPr="00A16561" w:rsidP="00A16561" w14:paraId="2281F740" w14:textId="3F10ACDA">
      <w:pPr>
        <w:widowControl/>
        <w:rPr>
          <w:iCs/>
        </w:rPr>
      </w:pPr>
      <w:r w:rsidRPr="00A16561">
        <w:rPr>
          <w:iCs/>
          <w:u w:val="single"/>
        </w:rPr>
        <w:t>Annual Time Burden</w:t>
      </w:r>
      <w:r w:rsidRPr="00A16561">
        <w:rPr>
          <w:iCs/>
        </w:rPr>
        <w:t xml:space="preserve">: The estimated annual time burden </w:t>
      </w:r>
      <w:r w:rsidRPr="00A16561" w:rsidR="00917441">
        <w:rPr>
          <w:iCs/>
        </w:rPr>
        <w:t>decreased</w:t>
      </w:r>
      <w:r w:rsidRPr="00A16561" w:rsidR="003F65FD">
        <w:rPr>
          <w:iCs/>
        </w:rPr>
        <w:t xml:space="preserve"> </w:t>
      </w:r>
      <w:r w:rsidRPr="00A16561" w:rsidR="006770D5">
        <w:rPr>
          <w:iCs/>
        </w:rPr>
        <w:t xml:space="preserve">slightly </w:t>
      </w:r>
      <w:r w:rsidRPr="00A16561" w:rsidR="00917441">
        <w:rPr>
          <w:iCs/>
        </w:rPr>
        <w:t>from 125 to</w:t>
      </w:r>
      <w:r w:rsidRPr="00A16561" w:rsidR="003F65FD">
        <w:rPr>
          <w:iCs/>
        </w:rPr>
        <w:t xml:space="preserve"> 124 hours</w:t>
      </w:r>
      <w:r w:rsidRPr="00A16561" w:rsidR="00917441">
        <w:rPr>
          <w:iCs/>
        </w:rPr>
        <w:t xml:space="preserve"> due to </w:t>
      </w:r>
      <w:r w:rsidRPr="00A16561" w:rsidR="006770D5">
        <w:rPr>
          <w:iCs/>
        </w:rPr>
        <w:t>rounding</w:t>
      </w:r>
      <w:r w:rsidRPr="00A16561" w:rsidR="003F65FD">
        <w:rPr>
          <w:iCs/>
        </w:rPr>
        <w:t>.</w:t>
      </w:r>
    </w:p>
    <w:p w:rsidR="00604CA3" w:rsidRPr="00A16561" w:rsidP="00A16561" w14:paraId="6EF71409" w14:textId="77777777">
      <w:pPr>
        <w:widowControl/>
        <w:rPr>
          <w:iCs/>
        </w:rPr>
      </w:pPr>
    </w:p>
    <w:p w:rsidR="00604CA3" w:rsidRPr="00A16561" w:rsidP="00A16561" w14:paraId="17C8A08C" w14:textId="603B0C8A">
      <w:pPr>
        <w:widowControl/>
      </w:pPr>
      <w:bookmarkStart w:id="36" w:name="_Hlk161303117"/>
      <w:r w:rsidRPr="00A16561">
        <w:rPr>
          <w:u w:val="single"/>
        </w:rPr>
        <w:t>Annual Burden Costs</w:t>
      </w:r>
      <w:r w:rsidRPr="00A16561">
        <w:t xml:space="preserve">: The estimated annual burden costs </w:t>
      </w:r>
      <w:r w:rsidRPr="00A16561" w:rsidR="003F65FD">
        <w:t>increased from $6,9</w:t>
      </w:r>
      <w:r w:rsidRPr="00A16561" w:rsidR="00F819E4">
        <w:t>39</w:t>
      </w:r>
      <w:r w:rsidRPr="00A16561" w:rsidR="003F65FD">
        <w:t xml:space="preserve"> to $7,571 due to an increase in wage rates.</w:t>
      </w:r>
    </w:p>
    <w:bookmarkEnd w:id="36"/>
    <w:p w:rsidR="00604CA3" w:rsidRPr="00A16561" w:rsidP="00A16561" w14:paraId="06C3D755" w14:textId="77777777">
      <w:pPr>
        <w:widowControl/>
        <w:rPr>
          <w:iCs/>
        </w:rPr>
      </w:pPr>
    </w:p>
    <w:p w:rsidR="00604CA3" w:rsidRPr="00A16561" w:rsidP="00A16561" w14:paraId="22287B66" w14:textId="3C2A605D">
      <w:pPr>
        <w:widowControl/>
        <w:rPr>
          <w:iCs/>
        </w:rPr>
      </w:pPr>
      <w:bookmarkStart w:id="37" w:name="_Hlk161302820"/>
      <w:r w:rsidRPr="00A16561">
        <w:rPr>
          <w:iCs/>
          <w:u w:val="single"/>
        </w:rPr>
        <w:t>Annual Other Burden Costs</w:t>
      </w:r>
      <w:bookmarkEnd w:id="37"/>
      <w:r w:rsidRPr="00A16561">
        <w:rPr>
          <w:iCs/>
        </w:rPr>
        <w:t xml:space="preserve">: The estimated annual other burden cost </w:t>
      </w:r>
      <w:r w:rsidRPr="00A16561" w:rsidR="003F65FD">
        <w:rPr>
          <w:iCs/>
        </w:rPr>
        <w:t>remains unchanged at $0.</w:t>
      </w:r>
    </w:p>
    <w:p w:rsidR="00604CA3" w:rsidRPr="00A16561" w:rsidP="00A16561" w14:paraId="0612AF48" w14:textId="77777777"/>
    <w:p w:rsidR="00604CA3" w:rsidRPr="00A16561" w:rsidP="00A16561" w14:paraId="15DB0B9D" w14:textId="1BC241A4">
      <w:bookmarkStart w:id="38" w:name="_Hlk172027419"/>
      <w:r w:rsidRPr="00A16561">
        <w:rPr>
          <w:u w:val="single"/>
        </w:rPr>
        <w:t>Federal Hours</w:t>
      </w:r>
      <w:r w:rsidRPr="00A16561">
        <w:t xml:space="preserve">: The estimated annual </w:t>
      </w:r>
      <w:r w:rsidRPr="00A16561" w:rsidR="00AE2817">
        <w:t xml:space="preserve">Federal </w:t>
      </w:r>
      <w:r w:rsidRPr="00A16561">
        <w:t xml:space="preserve">hours </w:t>
      </w:r>
      <w:r w:rsidRPr="00A16561" w:rsidR="003F65FD">
        <w:t>remain unchanged at 0 hours.</w:t>
      </w:r>
    </w:p>
    <w:p w:rsidR="00604CA3" w:rsidRPr="00A16561" w:rsidP="00A16561" w14:paraId="0F595131" w14:textId="77777777"/>
    <w:p w:rsidR="00604CA3" w:rsidRPr="00A16561" w:rsidP="00A16561" w14:paraId="708C7F64" w14:textId="065CF032">
      <w:r w:rsidRPr="00A16561">
        <w:rPr>
          <w:u w:val="single"/>
        </w:rPr>
        <w:t>Federal Costs</w:t>
      </w:r>
      <w:r w:rsidRPr="00A16561">
        <w:t xml:space="preserve">: The estimated annual </w:t>
      </w:r>
      <w:r w:rsidRPr="00A16561" w:rsidR="00AE2817">
        <w:t>F</w:t>
      </w:r>
      <w:r w:rsidRPr="00A16561">
        <w:t xml:space="preserve">ederal costs </w:t>
      </w:r>
      <w:r w:rsidRPr="00A16561" w:rsidR="003F65FD">
        <w:t xml:space="preserve">remain unchanged at </w:t>
      </w:r>
      <w:r w:rsidRPr="00A16561" w:rsidR="00861942">
        <w:t>$</w:t>
      </w:r>
      <w:r w:rsidRPr="00A16561" w:rsidR="003F65FD">
        <w:t>0.</w:t>
      </w:r>
    </w:p>
    <w:p w:rsidR="00604CA3" w:rsidRPr="00A16561" w:rsidP="00A16561" w14:paraId="5900212D" w14:textId="77777777"/>
    <w:bookmarkEnd w:id="38"/>
    <w:p w:rsidR="00604CA3" w:rsidRPr="00A16561" w:rsidP="00A16561" w14:paraId="7505B34E" w14:textId="2020318D">
      <w:pPr>
        <w:rPr>
          <w:b/>
          <w:bCs/>
          <w:szCs w:val="22"/>
        </w:rPr>
      </w:pPr>
      <w:r w:rsidRPr="00A16561">
        <w:rPr>
          <w:b/>
          <w:bCs/>
        </w:rPr>
        <w:t xml:space="preserve">Table 15-1. Summary of Changes </w:t>
      </w:r>
    </w:p>
    <w:tbl>
      <w:tblPr>
        <w:tblStyle w:val="TableGrid"/>
        <w:tblW w:w="8447" w:type="dxa"/>
        <w:tblLook w:val="04A0"/>
      </w:tblPr>
      <w:tblGrid>
        <w:gridCol w:w="3505"/>
        <w:gridCol w:w="1816"/>
        <w:gridCol w:w="1694"/>
        <w:gridCol w:w="1432"/>
      </w:tblGrid>
      <w:tr w14:paraId="0291CCBA" w14:textId="77777777" w:rsidTr="005154C9">
        <w:tblPrEx>
          <w:tblW w:w="8447" w:type="dxa"/>
          <w:tblLook w:val="04A0"/>
        </w:tblPrEx>
        <w:trPr>
          <w:trHeight w:val="306"/>
        </w:trPr>
        <w:tc>
          <w:tcPr>
            <w:tcW w:w="3505" w:type="dxa"/>
            <w:shd w:val="clear" w:color="auto" w:fill="8EAADB" w:themeFill="accent1" w:themeFillTint="99"/>
            <w:noWrap/>
            <w:hideMark/>
          </w:tcPr>
          <w:p w:rsidR="00604CA3" w:rsidRPr="00A16561" w:rsidP="00A16561" w14:paraId="76BCB01E" w14:textId="77777777">
            <w:pPr>
              <w:pStyle w:val="Default"/>
              <w:rPr>
                <w:rFonts w:ascii="Times New Roman" w:hAnsi="Times New Roman" w:cs="Times New Roman"/>
                <w:sz w:val="20"/>
                <w:szCs w:val="20"/>
              </w:rPr>
            </w:pPr>
          </w:p>
        </w:tc>
        <w:tc>
          <w:tcPr>
            <w:tcW w:w="1816" w:type="dxa"/>
            <w:shd w:val="clear" w:color="auto" w:fill="8EAADB" w:themeFill="accent1" w:themeFillTint="99"/>
            <w:noWrap/>
            <w:hideMark/>
          </w:tcPr>
          <w:p w:rsidR="00604CA3" w:rsidRPr="00A16561" w:rsidP="00A16561" w14:paraId="3FBD679C" w14:textId="77777777">
            <w:pPr>
              <w:pStyle w:val="Default"/>
              <w:jc w:val="center"/>
              <w:rPr>
                <w:rFonts w:ascii="Times New Roman" w:hAnsi="Times New Roman" w:cs="Times New Roman"/>
                <w:sz w:val="20"/>
                <w:szCs w:val="20"/>
              </w:rPr>
            </w:pPr>
            <w:r w:rsidRPr="00A16561">
              <w:rPr>
                <w:rFonts w:ascii="Times New Roman" w:hAnsi="Times New Roman" w:cs="Times New Roman"/>
                <w:sz w:val="20"/>
                <w:szCs w:val="20"/>
              </w:rPr>
              <w:t>Currently Approved ICR</w:t>
            </w:r>
          </w:p>
        </w:tc>
        <w:tc>
          <w:tcPr>
            <w:tcW w:w="1694" w:type="dxa"/>
            <w:shd w:val="clear" w:color="auto" w:fill="8EAADB" w:themeFill="accent1" w:themeFillTint="99"/>
          </w:tcPr>
          <w:p w:rsidR="00604CA3" w:rsidRPr="00A16561" w:rsidP="00A16561" w14:paraId="603C971F" w14:textId="77777777">
            <w:pPr>
              <w:pStyle w:val="Default"/>
              <w:jc w:val="center"/>
              <w:rPr>
                <w:rFonts w:ascii="Times New Roman" w:hAnsi="Times New Roman" w:cs="Times New Roman"/>
                <w:sz w:val="20"/>
                <w:szCs w:val="20"/>
              </w:rPr>
            </w:pPr>
            <w:r w:rsidRPr="00A16561">
              <w:rPr>
                <w:rFonts w:ascii="Times New Roman" w:hAnsi="Times New Roman" w:cs="Times New Roman"/>
                <w:sz w:val="20"/>
                <w:szCs w:val="20"/>
              </w:rPr>
              <w:t>Updated ICR</w:t>
            </w:r>
          </w:p>
        </w:tc>
        <w:tc>
          <w:tcPr>
            <w:tcW w:w="1432" w:type="dxa"/>
            <w:shd w:val="clear" w:color="auto" w:fill="8EAADB" w:themeFill="accent1" w:themeFillTint="99"/>
            <w:noWrap/>
            <w:hideMark/>
          </w:tcPr>
          <w:p w:rsidR="00604CA3" w:rsidRPr="00A16561" w:rsidP="00A16561" w14:paraId="0F7E7D18" w14:textId="5E72A304">
            <w:pPr>
              <w:pStyle w:val="Default"/>
              <w:jc w:val="center"/>
              <w:rPr>
                <w:rFonts w:ascii="Times New Roman" w:hAnsi="Times New Roman" w:cs="Times New Roman"/>
                <w:sz w:val="20"/>
                <w:szCs w:val="20"/>
              </w:rPr>
            </w:pPr>
            <w:r w:rsidRPr="00A16561">
              <w:rPr>
                <w:rFonts w:ascii="Times New Roman" w:hAnsi="Times New Roman" w:cs="Times New Roman"/>
                <w:sz w:val="20"/>
                <w:szCs w:val="20"/>
              </w:rPr>
              <w:t>Difference</w:t>
            </w:r>
          </w:p>
        </w:tc>
      </w:tr>
      <w:tr w14:paraId="252C795A" w14:textId="77777777" w:rsidTr="005154C9">
        <w:tblPrEx>
          <w:tblW w:w="8447" w:type="dxa"/>
          <w:tblLook w:val="04A0"/>
        </w:tblPrEx>
        <w:trPr>
          <w:trHeight w:val="322"/>
        </w:trPr>
        <w:tc>
          <w:tcPr>
            <w:tcW w:w="3505" w:type="dxa"/>
            <w:noWrap/>
            <w:vAlign w:val="center"/>
            <w:hideMark/>
          </w:tcPr>
          <w:p w:rsidR="00613E19" w:rsidRPr="00A16561" w:rsidP="00A16561" w14:paraId="2E67A83B" w14:textId="77777777">
            <w:pPr>
              <w:pStyle w:val="Default"/>
              <w:rPr>
                <w:rFonts w:ascii="Times New Roman" w:hAnsi="Times New Roman" w:cs="Times New Roman"/>
                <w:sz w:val="20"/>
                <w:szCs w:val="20"/>
              </w:rPr>
            </w:pPr>
            <w:r w:rsidRPr="00A16561">
              <w:rPr>
                <w:rFonts w:ascii="Times New Roman" w:hAnsi="Times New Roman" w:cs="Times New Roman"/>
                <w:sz w:val="20"/>
                <w:szCs w:val="20"/>
              </w:rPr>
              <w:t>Number of Respondents</w:t>
            </w:r>
          </w:p>
        </w:tc>
        <w:tc>
          <w:tcPr>
            <w:tcW w:w="1816" w:type="dxa"/>
            <w:noWrap/>
            <w:vAlign w:val="center"/>
          </w:tcPr>
          <w:p w:rsidR="00613E19" w:rsidRPr="00A16561" w:rsidP="00A16561" w14:paraId="59AD9CCD" w14:textId="33F1E005">
            <w:pPr>
              <w:pStyle w:val="Default"/>
              <w:jc w:val="right"/>
              <w:rPr>
                <w:rFonts w:ascii="Times New Roman" w:hAnsi="Times New Roman" w:cs="Times New Roman"/>
                <w:sz w:val="20"/>
                <w:szCs w:val="20"/>
              </w:rPr>
            </w:pPr>
            <w:r w:rsidRPr="00A16561">
              <w:rPr>
                <w:rFonts w:ascii="Times New Roman" w:hAnsi="Times New Roman" w:cs="Times New Roman"/>
                <w:sz w:val="20"/>
                <w:szCs w:val="20"/>
              </w:rPr>
              <w:t>3</w:t>
            </w:r>
          </w:p>
        </w:tc>
        <w:tc>
          <w:tcPr>
            <w:tcW w:w="1694" w:type="dxa"/>
            <w:vAlign w:val="center"/>
          </w:tcPr>
          <w:p w:rsidR="00613E19" w:rsidRPr="00A16561" w:rsidP="00A16561" w14:paraId="74654C3F" w14:textId="612BDDC8">
            <w:pPr>
              <w:pStyle w:val="Default"/>
              <w:jc w:val="right"/>
              <w:rPr>
                <w:rFonts w:ascii="Times New Roman" w:hAnsi="Times New Roman" w:cs="Times New Roman"/>
                <w:sz w:val="20"/>
                <w:szCs w:val="20"/>
              </w:rPr>
            </w:pPr>
            <w:r w:rsidRPr="00A16561">
              <w:rPr>
                <w:rFonts w:ascii="Times New Roman" w:hAnsi="Times New Roman" w:cs="Times New Roman"/>
                <w:sz w:val="20"/>
                <w:szCs w:val="20"/>
              </w:rPr>
              <w:t>3</w:t>
            </w:r>
          </w:p>
        </w:tc>
        <w:tc>
          <w:tcPr>
            <w:tcW w:w="1432" w:type="dxa"/>
            <w:noWrap/>
            <w:vAlign w:val="center"/>
          </w:tcPr>
          <w:p w:rsidR="00613E19" w:rsidRPr="00A16561" w:rsidP="00A16561" w14:paraId="6D2AFCAD" w14:textId="6AE823CF">
            <w:pPr>
              <w:pStyle w:val="Default"/>
              <w:jc w:val="right"/>
              <w:rPr>
                <w:rFonts w:ascii="Times New Roman" w:hAnsi="Times New Roman" w:cs="Times New Roman"/>
                <w:sz w:val="20"/>
                <w:szCs w:val="20"/>
              </w:rPr>
            </w:pPr>
            <w:r w:rsidRPr="00A16561">
              <w:rPr>
                <w:rFonts w:ascii="Times New Roman" w:hAnsi="Times New Roman" w:cs="Times New Roman"/>
                <w:sz w:val="20"/>
                <w:szCs w:val="20"/>
              </w:rPr>
              <w:t>0</w:t>
            </w:r>
          </w:p>
        </w:tc>
      </w:tr>
      <w:tr w14:paraId="2C7D7509" w14:textId="77777777" w:rsidTr="005154C9">
        <w:tblPrEx>
          <w:tblW w:w="8447" w:type="dxa"/>
          <w:tblLook w:val="04A0"/>
        </w:tblPrEx>
        <w:trPr>
          <w:trHeight w:val="322"/>
        </w:trPr>
        <w:tc>
          <w:tcPr>
            <w:tcW w:w="3505" w:type="dxa"/>
            <w:noWrap/>
            <w:vAlign w:val="center"/>
            <w:hideMark/>
          </w:tcPr>
          <w:p w:rsidR="00613E19" w:rsidRPr="00A16561" w:rsidP="00A16561" w14:paraId="363838F4" w14:textId="77777777">
            <w:pPr>
              <w:pStyle w:val="Default"/>
              <w:rPr>
                <w:rFonts w:ascii="Times New Roman" w:hAnsi="Times New Roman" w:cs="Times New Roman"/>
                <w:sz w:val="20"/>
                <w:szCs w:val="20"/>
              </w:rPr>
            </w:pPr>
            <w:r w:rsidRPr="00A16561">
              <w:rPr>
                <w:rFonts w:ascii="Times New Roman" w:hAnsi="Times New Roman" w:cs="Times New Roman"/>
                <w:sz w:val="20"/>
                <w:szCs w:val="20"/>
              </w:rPr>
              <w:t>Number of Responses</w:t>
            </w:r>
          </w:p>
        </w:tc>
        <w:tc>
          <w:tcPr>
            <w:tcW w:w="1816" w:type="dxa"/>
            <w:noWrap/>
            <w:vAlign w:val="center"/>
          </w:tcPr>
          <w:p w:rsidR="00613E19" w:rsidRPr="00A16561" w:rsidP="00A16561" w14:paraId="25EDB884" w14:textId="66B2BA74">
            <w:pPr>
              <w:pStyle w:val="Default"/>
              <w:jc w:val="right"/>
              <w:rPr>
                <w:rFonts w:ascii="Times New Roman" w:hAnsi="Times New Roman" w:cs="Times New Roman"/>
                <w:sz w:val="20"/>
                <w:szCs w:val="20"/>
              </w:rPr>
            </w:pPr>
            <w:r w:rsidRPr="00A16561">
              <w:rPr>
                <w:rFonts w:ascii="Times New Roman" w:hAnsi="Times New Roman" w:cs="Times New Roman"/>
                <w:sz w:val="20"/>
                <w:szCs w:val="20"/>
              </w:rPr>
              <w:t>4,092</w:t>
            </w:r>
          </w:p>
        </w:tc>
        <w:tc>
          <w:tcPr>
            <w:tcW w:w="1694" w:type="dxa"/>
            <w:vAlign w:val="center"/>
          </w:tcPr>
          <w:p w:rsidR="00613E19" w:rsidRPr="00A16561" w:rsidP="00A16561" w14:paraId="2BCC6B8F" w14:textId="4DF7A375">
            <w:pPr>
              <w:pStyle w:val="Default"/>
              <w:jc w:val="right"/>
              <w:rPr>
                <w:rFonts w:ascii="Times New Roman" w:hAnsi="Times New Roman" w:cs="Times New Roman"/>
                <w:sz w:val="20"/>
                <w:szCs w:val="20"/>
              </w:rPr>
            </w:pPr>
            <w:r w:rsidRPr="00A16561">
              <w:rPr>
                <w:rFonts w:ascii="Times New Roman" w:hAnsi="Times New Roman" w:cs="Times New Roman"/>
                <w:sz w:val="20"/>
                <w:szCs w:val="20"/>
              </w:rPr>
              <w:t>4,0</w:t>
            </w:r>
            <w:r w:rsidRPr="00A16561" w:rsidR="006770D5">
              <w:rPr>
                <w:rFonts w:ascii="Times New Roman" w:hAnsi="Times New Roman" w:cs="Times New Roman"/>
                <w:sz w:val="20"/>
                <w:szCs w:val="20"/>
              </w:rPr>
              <w:t>70</w:t>
            </w:r>
          </w:p>
        </w:tc>
        <w:tc>
          <w:tcPr>
            <w:tcW w:w="1432" w:type="dxa"/>
            <w:noWrap/>
            <w:vAlign w:val="center"/>
          </w:tcPr>
          <w:p w:rsidR="00613E19" w:rsidRPr="00A16561" w:rsidP="00A16561" w14:paraId="5C470AFD" w14:textId="1E333159">
            <w:pPr>
              <w:pStyle w:val="Default"/>
              <w:jc w:val="right"/>
              <w:rPr>
                <w:rFonts w:ascii="Times New Roman" w:hAnsi="Times New Roman" w:cs="Times New Roman"/>
                <w:sz w:val="20"/>
                <w:szCs w:val="20"/>
              </w:rPr>
            </w:pPr>
            <w:r>
              <w:rPr>
                <w:rFonts w:ascii="Times New Roman" w:hAnsi="Times New Roman" w:cs="Times New Roman"/>
                <w:sz w:val="20"/>
                <w:szCs w:val="20"/>
              </w:rPr>
              <w:t>-22</w:t>
            </w:r>
          </w:p>
        </w:tc>
      </w:tr>
      <w:tr w14:paraId="3E2978AB" w14:textId="77777777" w:rsidTr="005154C9">
        <w:tblPrEx>
          <w:tblW w:w="8447" w:type="dxa"/>
          <w:tblLook w:val="04A0"/>
        </w:tblPrEx>
        <w:trPr>
          <w:trHeight w:val="322"/>
        </w:trPr>
        <w:tc>
          <w:tcPr>
            <w:tcW w:w="3505" w:type="dxa"/>
            <w:noWrap/>
            <w:vAlign w:val="center"/>
            <w:hideMark/>
          </w:tcPr>
          <w:p w:rsidR="00613E19" w:rsidRPr="00A16561" w:rsidP="00A16561" w14:paraId="63FFAE0A" w14:textId="77777777">
            <w:pPr>
              <w:pStyle w:val="Default"/>
              <w:rPr>
                <w:rFonts w:ascii="Times New Roman" w:hAnsi="Times New Roman" w:cs="Times New Roman"/>
                <w:sz w:val="20"/>
                <w:szCs w:val="20"/>
              </w:rPr>
            </w:pPr>
            <w:r w:rsidRPr="00A16561">
              <w:rPr>
                <w:rFonts w:ascii="Times New Roman" w:hAnsi="Times New Roman" w:cs="Times New Roman"/>
                <w:sz w:val="20"/>
                <w:szCs w:val="20"/>
              </w:rPr>
              <w:t>Annual Time Burden</w:t>
            </w:r>
          </w:p>
        </w:tc>
        <w:tc>
          <w:tcPr>
            <w:tcW w:w="1816" w:type="dxa"/>
            <w:noWrap/>
            <w:vAlign w:val="center"/>
          </w:tcPr>
          <w:p w:rsidR="00613E19" w:rsidRPr="00A16561" w:rsidP="00A16561" w14:paraId="62C49251" w14:textId="21640066">
            <w:pPr>
              <w:pStyle w:val="Default"/>
              <w:jc w:val="right"/>
              <w:rPr>
                <w:rFonts w:ascii="Times New Roman" w:hAnsi="Times New Roman" w:cs="Times New Roman"/>
                <w:sz w:val="20"/>
                <w:szCs w:val="20"/>
              </w:rPr>
            </w:pPr>
            <w:r w:rsidRPr="00A16561">
              <w:rPr>
                <w:rFonts w:ascii="Times New Roman" w:hAnsi="Times New Roman" w:cs="Times New Roman"/>
                <w:sz w:val="20"/>
                <w:szCs w:val="20"/>
              </w:rPr>
              <w:t>125</w:t>
            </w:r>
          </w:p>
        </w:tc>
        <w:tc>
          <w:tcPr>
            <w:tcW w:w="1694" w:type="dxa"/>
            <w:vAlign w:val="center"/>
          </w:tcPr>
          <w:p w:rsidR="00613E19" w:rsidRPr="00A16561" w:rsidP="00A16561" w14:paraId="2A2E21B7" w14:textId="1470102A">
            <w:pPr>
              <w:pStyle w:val="Default"/>
              <w:jc w:val="right"/>
              <w:rPr>
                <w:rFonts w:ascii="Times New Roman" w:hAnsi="Times New Roman" w:cs="Times New Roman"/>
                <w:sz w:val="20"/>
                <w:szCs w:val="20"/>
              </w:rPr>
            </w:pPr>
            <w:r w:rsidRPr="00A16561">
              <w:rPr>
                <w:rFonts w:ascii="Times New Roman" w:hAnsi="Times New Roman" w:cs="Times New Roman"/>
                <w:sz w:val="20"/>
                <w:szCs w:val="20"/>
              </w:rPr>
              <w:t>124</w:t>
            </w:r>
          </w:p>
        </w:tc>
        <w:tc>
          <w:tcPr>
            <w:tcW w:w="1432" w:type="dxa"/>
            <w:noWrap/>
            <w:vAlign w:val="center"/>
          </w:tcPr>
          <w:p w:rsidR="00613E19" w:rsidRPr="00A16561" w:rsidP="00A16561" w14:paraId="46D03FB9" w14:textId="2A28DD32">
            <w:pPr>
              <w:pStyle w:val="Default"/>
              <w:jc w:val="right"/>
              <w:rPr>
                <w:rFonts w:ascii="Times New Roman" w:hAnsi="Times New Roman" w:cs="Times New Roman"/>
                <w:sz w:val="20"/>
                <w:szCs w:val="20"/>
              </w:rPr>
            </w:pPr>
            <w:r w:rsidRPr="00A16561">
              <w:rPr>
                <w:rFonts w:ascii="Times New Roman" w:hAnsi="Times New Roman" w:cs="Times New Roman"/>
                <w:sz w:val="20"/>
                <w:szCs w:val="20"/>
              </w:rPr>
              <w:t>-1</w:t>
            </w:r>
          </w:p>
        </w:tc>
      </w:tr>
      <w:tr w14:paraId="25DB94D3" w14:textId="77777777" w:rsidTr="005154C9">
        <w:tblPrEx>
          <w:tblW w:w="8447" w:type="dxa"/>
          <w:tblLook w:val="04A0"/>
        </w:tblPrEx>
        <w:trPr>
          <w:trHeight w:val="322"/>
        </w:trPr>
        <w:tc>
          <w:tcPr>
            <w:tcW w:w="3505" w:type="dxa"/>
            <w:noWrap/>
            <w:vAlign w:val="center"/>
          </w:tcPr>
          <w:p w:rsidR="00613E19" w:rsidRPr="00A16561" w:rsidP="00A16561" w14:paraId="231D9279" w14:textId="7BABACBC">
            <w:pPr>
              <w:pStyle w:val="Default"/>
              <w:rPr>
                <w:rFonts w:ascii="Times New Roman" w:hAnsi="Times New Roman" w:cs="Times New Roman"/>
                <w:sz w:val="20"/>
                <w:szCs w:val="20"/>
              </w:rPr>
            </w:pPr>
            <w:r w:rsidRPr="00A16561">
              <w:rPr>
                <w:rFonts w:ascii="Times New Roman" w:hAnsi="Times New Roman" w:cs="Times New Roman"/>
                <w:sz w:val="20"/>
                <w:szCs w:val="20"/>
              </w:rPr>
              <w:t>Annual Burden Costs</w:t>
            </w:r>
          </w:p>
        </w:tc>
        <w:tc>
          <w:tcPr>
            <w:tcW w:w="1816" w:type="dxa"/>
            <w:noWrap/>
            <w:vAlign w:val="center"/>
          </w:tcPr>
          <w:p w:rsidR="00613E19" w:rsidRPr="00A16561" w:rsidP="00A16561" w14:paraId="4088E0EE" w14:textId="1DD97F62">
            <w:pPr>
              <w:pStyle w:val="Default"/>
              <w:jc w:val="right"/>
              <w:rPr>
                <w:rFonts w:ascii="Times New Roman" w:hAnsi="Times New Roman" w:cs="Times New Roman"/>
                <w:sz w:val="20"/>
                <w:szCs w:val="20"/>
              </w:rPr>
            </w:pPr>
            <w:r w:rsidRPr="00A16561">
              <w:rPr>
                <w:rFonts w:ascii="Times New Roman" w:hAnsi="Times New Roman" w:cs="Times New Roman"/>
                <w:sz w:val="20"/>
                <w:szCs w:val="20"/>
              </w:rPr>
              <w:t>$6,939</w:t>
            </w:r>
          </w:p>
        </w:tc>
        <w:tc>
          <w:tcPr>
            <w:tcW w:w="1694" w:type="dxa"/>
            <w:vAlign w:val="center"/>
          </w:tcPr>
          <w:p w:rsidR="00613E19" w:rsidRPr="00A16561" w:rsidP="00A16561" w14:paraId="5E29F468" w14:textId="4B9AD824">
            <w:pPr>
              <w:pStyle w:val="Default"/>
              <w:jc w:val="right"/>
              <w:rPr>
                <w:rFonts w:ascii="Times New Roman" w:hAnsi="Times New Roman" w:cs="Times New Roman"/>
                <w:sz w:val="20"/>
                <w:szCs w:val="20"/>
              </w:rPr>
            </w:pPr>
            <w:r w:rsidRPr="00A16561">
              <w:rPr>
                <w:rFonts w:ascii="Times New Roman" w:hAnsi="Times New Roman" w:cs="Times New Roman"/>
                <w:sz w:val="20"/>
                <w:szCs w:val="20"/>
              </w:rPr>
              <w:t>$7,571</w:t>
            </w:r>
          </w:p>
        </w:tc>
        <w:tc>
          <w:tcPr>
            <w:tcW w:w="1432" w:type="dxa"/>
            <w:noWrap/>
            <w:vAlign w:val="center"/>
          </w:tcPr>
          <w:p w:rsidR="00613E19" w:rsidRPr="00A16561" w:rsidP="00A16561" w14:paraId="0A9233D8" w14:textId="7AB176D1">
            <w:pPr>
              <w:pStyle w:val="Default"/>
              <w:jc w:val="right"/>
              <w:rPr>
                <w:rFonts w:ascii="Times New Roman" w:hAnsi="Times New Roman" w:cs="Times New Roman"/>
                <w:sz w:val="20"/>
                <w:szCs w:val="20"/>
              </w:rPr>
            </w:pPr>
            <w:r w:rsidRPr="00A16561">
              <w:rPr>
                <w:rFonts w:ascii="Times New Roman" w:hAnsi="Times New Roman" w:cs="Times New Roman"/>
                <w:sz w:val="20"/>
                <w:szCs w:val="20"/>
              </w:rPr>
              <w:t>$632</w:t>
            </w:r>
          </w:p>
        </w:tc>
      </w:tr>
      <w:tr w14:paraId="2D66EFCA" w14:textId="77777777" w:rsidTr="005154C9">
        <w:tblPrEx>
          <w:tblW w:w="8447" w:type="dxa"/>
          <w:tblLook w:val="04A0"/>
        </w:tblPrEx>
        <w:trPr>
          <w:trHeight w:val="322"/>
        </w:trPr>
        <w:tc>
          <w:tcPr>
            <w:tcW w:w="3505" w:type="dxa"/>
            <w:noWrap/>
            <w:vAlign w:val="center"/>
            <w:hideMark/>
          </w:tcPr>
          <w:p w:rsidR="00604CA3" w:rsidRPr="00A16561" w:rsidP="00A16561" w14:paraId="54978CE5" w14:textId="669FB4EA">
            <w:pPr>
              <w:pStyle w:val="Default"/>
              <w:rPr>
                <w:rFonts w:ascii="Times New Roman" w:hAnsi="Times New Roman" w:cs="Times New Roman"/>
                <w:sz w:val="20"/>
                <w:szCs w:val="20"/>
              </w:rPr>
            </w:pPr>
            <w:r w:rsidRPr="00A16561">
              <w:rPr>
                <w:rFonts w:ascii="Times New Roman" w:hAnsi="Times New Roman" w:cs="Times New Roman"/>
                <w:sz w:val="20"/>
                <w:szCs w:val="20"/>
              </w:rPr>
              <w:t xml:space="preserve">Annual Other Burden Costs </w:t>
            </w:r>
          </w:p>
        </w:tc>
        <w:tc>
          <w:tcPr>
            <w:tcW w:w="1816" w:type="dxa"/>
            <w:noWrap/>
            <w:vAlign w:val="center"/>
            <w:hideMark/>
          </w:tcPr>
          <w:p w:rsidR="00604CA3" w:rsidRPr="00A16561" w:rsidP="00A16561" w14:paraId="55050D53" w14:textId="5B4AEE51">
            <w:pPr>
              <w:pStyle w:val="Default"/>
              <w:jc w:val="right"/>
              <w:rPr>
                <w:rFonts w:ascii="Times New Roman" w:hAnsi="Times New Roman" w:cs="Times New Roman"/>
                <w:sz w:val="20"/>
                <w:szCs w:val="20"/>
              </w:rPr>
            </w:pPr>
            <w:r w:rsidRPr="00A16561">
              <w:rPr>
                <w:rFonts w:ascii="Times New Roman" w:hAnsi="Times New Roman" w:cs="Times New Roman"/>
                <w:sz w:val="20"/>
                <w:szCs w:val="20"/>
              </w:rPr>
              <w:t>$</w:t>
            </w:r>
            <w:r w:rsidRPr="00A16561" w:rsidR="003F65FD">
              <w:rPr>
                <w:rFonts w:ascii="Times New Roman" w:hAnsi="Times New Roman" w:cs="Times New Roman"/>
                <w:sz w:val="20"/>
                <w:szCs w:val="20"/>
              </w:rPr>
              <w:t>0</w:t>
            </w:r>
          </w:p>
        </w:tc>
        <w:tc>
          <w:tcPr>
            <w:tcW w:w="1694" w:type="dxa"/>
            <w:vAlign w:val="center"/>
          </w:tcPr>
          <w:p w:rsidR="00604CA3" w:rsidRPr="00A16561" w:rsidP="00A16561" w14:paraId="3DDD04B7" w14:textId="1C823CD0">
            <w:pPr>
              <w:pStyle w:val="Default"/>
              <w:jc w:val="right"/>
              <w:rPr>
                <w:rFonts w:ascii="Times New Roman" w:hAnsi="Times New Roman" w:cs="Times New Roman"/>
                <w:sz w:val="20"/>
                <w:szCs w:val="20"/>
              </w:rPr>
            </w:pPr>
            <w:r w:rsidRPr="00A16561">
              <w:rPr>
                <w:rFonts w:ascii="Times New Roman" w:hAnsi="Times New Roman" w:cs="Times New Roman"/>
                <w:sz w:val="20"/>
                <w:szCs w:val="20"/>
              </w:rPr>
              <w:t>$</w:t>
            </w:r>
            <w:r w:rsidRPr="00A16561" w:rsidR="003F65FD">
              <w:rPr>
                <w:rFonts w:ascii="Times New Roman" w:hAnsi="Times New Roman" w:cs="Times New Roman"/>
                <w:sz w:val="20"/>
                <w:szCs w:val="20"/>
              </w:rPr>
              <w:t>0</w:t>
            </w:r>
          </w:p>
        </w:tc>
        <w:tc>
          <w:tcPr>
            <w:tcW w:w="1432" w:type="dxa"/>
            <w:noWrap/>
            <w:vAlign w:val="center"/>
            <w:hideMark/>
          </w:tcPr>
          <w:p w:rsidR="00604CA3" w:rsidRPr="00A16561" w:rsidP="00A16561" w14:paraId="630AB8F8" w14:textId="7E122582">
            <w:pPr>
              <w:pStyle w:val="Default"/>
              <w:jc w:val="right"/>
              <w:rPr>
                <w:rFonts w:ascii="Times New Roman" w:hAnsi="Times New Roman" w:cs="Times New Roman"/>
                <w:sz w:val="20"/>
                <w:szCs w:val="20"/>
              </w:rPr>
            </w:pPr>
            <w:r w:rsidRPr="00A16561">
              <w:rPr>
                <w:rFonts w:ascii="Times New Roman" w:hAnsi="Times New Roman" w:cs="Times New Roman"/>
                <w:sz w:val="20"/>
                <w:szCs w:val="20"/>
              </w:rPr>
              <w:t>$</w:t>
            </w:r>
            <w:r w:rsidRPr="00A16561" w:rsidR="003F65FD">
              <w:rPr>
                <w:rFonts w:ascii="Times New Roman" w:hAnsi="Times New Roman" w:cs="Times New Roman"/>
                <w:sz w:val="20"/>
                <w:szCs w:val="20"/>
              </w:rPr>
              <w:t>0</w:t>
            </w:r>
          </w:p>
        </w:tc>
      </w:tr>
      <w:tr w14:paraId="0C66577A" w14:textId="77777777" w:rsidTr="005154C9">
        <w:tblPrEx>
          <w:tblW w:w="8447" w:type="dxa"/>
          <w:tblLook w:val="04A0"/>
        </w:tblPrEx>
        <w:trPr>
          <w:trHeight w:val="322"/>
        </w:trPr>
        <w:tc>
          <w:tcPr>
            <w:tcW w:w="3505" w:type="dxa"/>
            <w:noWrap/>
            <w:vAlign w:val="center"/>
          </w:tcPr>
          <w:p w:rsidR="00604CA3" w:rsidRPr="00A16561" w:rsidP="00A16561" w14:paraId="6109EF39" w14:textId="77777777">
            <w:pPr>
              <w:pStyle w:val="Default"/>
              <w:rPr>
                <w:rFonts w:ascii="Times New Roman" w:hAnsi="Times New Roman" w:cs="Times New Roman"/>
                <w:sz w:val="20"/>
                <w:szCs w:val="20"/>
              </w:rPr>
            </w:pPr>
          </w:p>
        </w:tc>
        <w:tc>
          <w:tcPr>
            <w:tcW w:w="1816" w:type="dxa"/>
            <w:noWrap/>
            <w:vAlign w:val="center"/>
          </w:tcPr>
          <w:p w:rsidR="00604CA3" w:rsidRPr="00A16561" w:rsidP="00A16561" w14:paraId="552B4B8D" w14:textId="77777777">
            <w:pPr>
              <w:pStyle w:val="Default"/>
              <w:jc w:val="right"/>
              <w:rPr>
                <w:rFonts w:ascii="Times New Roman" w:hAnsi="Times New Roman" w:cs="Times New Roman"/>
                <w:sz w:val="20"/>
                <w:szCs w:val="20"/>
              </w:rPr>
            </w:pPr>
          </w:p>
        </w:tc>
        <w:tc>
          <w:tcPr>
            <w:tcW w:w="1694" w:type="dxa"/>
            <w:vAlign w:val="center"/>
          </w:tcPr>
          <w:p w:rsidR="00604CA3" w:rsidRPr="00A16561" w:rsidP="00A16561" w14:paraId="78FE4500" w14:textId="77777777">
            <w:pPr>
              <w:pStyle w:val="Default"/>
              <w:jc w:val="right"/>
              <w:rPr>
                <w:rFonts w:ascii="Times New Roman" w:hAnsi="Times New Roman" w:cs="Times New Roman"/>
                <w:sz w:val="20"/>
                <w:szCs w:val="20"/>
              </w:rPr>
            </w:pPr>
          </w:p>
        </w:tc>
        <w:tc>
          <w:tcPr>
            <w:tcW w:w="1432" w:type="dxa"/>
            <w:noWrap/>
            <w:vAlign w:val="center"/>
          </w:tcPr>
          <w:p w:rsidR="00604CA3" w:rsidRPr="00A16561" w:rsidP="00A16561" w14:paraId="4DA9F69A" w14:textId="77777777">
            <w:pPr>
              <w:pStyle w:val="Default"/>
              <w:jc w:val="right"/>
              <w:rPr>
                <w:rFonts w:ascii="Times New Roman" w:hAnsi="Times New Roman" w:cs="Times New Roman"/>
                <w:sz w:val="20"/>
                <w:szCs w:val="20"/>
              </w:rPr>
            </w:pPr>
          </w:p>
        </w:tc>
      </w:tr>
      <w:tr w14:paraId="21A67F7E" w14:textId="77777777" w:rsidTr="005154C9">
        <w:tblPrEx>
          <w:tblW w:w="8447" w:type="dxa"/>
          <w:tblLook w:val="04A0"/>
        </w:tblPrEx>
        <w:trPr>
          <w:trHeight w:val="322"/>
        </w:trPr>
        <w:tc>
          <w:tcPr>
            <w:tcW w:w="3505" w:type="dxa"/>
            <w:noWrap/>
            <w:vAlign w:val="center"/>
          </w:tcPr>
          <w:p w:rsidR="00604CA3" w:rsidRPr="00A16561" w:rsidP="00A16561" w14:paraId="4D369B84" w14:textId="77777777">
            <w:pPr>
              <w:pStyle w:val="Default"/>
              <w:rPr>
                <w:rFonts w:ascii="Times New Roman" w:hAnsi="Times New Roman" w:cs="Times New Roman"/>
                <w:sz w:val="20"/>
                <w:szCs w:val="20"/>
              </w:rPr>
            </w:pPr>
            <w:r w:rsidRPr="00A16561">
              <w:rPr>
                <w:rFonts w:ascii="Times New Roman" w:hAnsi="Times New Roman" w:cs="Times New Roman"/>
                <w:sz w:val="20"/>
                <w:szCs w:val="20"/>
              </w:rPr>
              <w:t>Federal Hours</w:t>
            </w:r>
          </w:p>
        </w:tc>
        <w:tc>
          <w:tcPr>
            <w:tcW w:w="1816" w:type="dxa"/>
            <w:noWrap/>
            <w:vAlign w:val="center"/>
          </w:tcPr>
          <w:p w:rsidR="00604CA3" w:rsidRPr="00A16561" w:rsidP="00A16561" w14:paraId="42F8F9A2" w14:textId="052833BB">
            <w:pPr>
              <w:pStyle w:val="Default"/>
              <w:jc w:val="right"/>
              <w:rPr>
                <w:rFonts w:ascii="Times New Roman" w:hAnsi="Times New Roman" w:cs="Times New Roman"/>
                <w:sz w:val="20"/>
                <w:szCs w:val="20"/>
              </w:rPr>
            </w:pPr>
            <w:r w:rsidRPr="00A16561">
              <w:rPr>
                <w:rFonts w:ascii="Times New Roman" w:hAnsi="Times New Roman" w:cs="Times New Roman"/>
                <w:sz w:val="20"/>
                <w:szCs w:val="20"/>
              </w:rPr>
              <w:t>0</w:t>
            </w:r>
          </w:p>
        </w:tc>
        <w:tc>
          <w:tcPr>
            <w:tcW w:w="1694" w:type="dxa"/>
            <w:vAlign w:val="center"/>
          </w:tcPr>
          <w:p w:rsidR="00604CA3" w:rsidRPr="00A16561" w:rsidP="00A16561" w14:paraId="648D9E28" w14:textId="72552D86">
            <w:pPr>
              <w:pStyle w:val="Default"/>
              <w:jc w:val="right"/>
              <w:rPr>
                <w:rFonts w:ascii="Times New Roman" w:hAnsi="Times New Roman" w:cs="Times New Roman"/>
                <w:sz w:val="20"/>
                <w:szCs w:val="20"/>
              </w:rPr>
            </w:pPr>
            <w:r w:rsidRPr="00A16561">
              <w:rPr>
                <w:rFonts w:ascii="Times New Roman" w:hAnsi="Times New Roman" w:cs="Times New Roman"/>
                <w:sz w:val="20"/>
                <w:szCs w:val="20"/>
              </w:rPr>
              <w:t>0</w:t>
            </w:r>
          </w:p>
        </w:tc>
        <w:tc>
          <w:tcPr>
            <w:tcW w:w="1432" w:type="dxa"/>
            <w:noWrap/>
            <w:vAlign w:val="center"/>
          </w:tcPr>
          <w:p w:rsidR="00604CA3" w:rsidRPr="00A16561" w:rsidP="00A16561" w14:paraId="27F94A5C" w14:textId="48C06E68">
            <w:pPr>
              <w:pStyle w:val="Default"/>
              <w:jc w:val="right"/>
              <w:rPr>
                <w:rFonts w:ascii="Times New Roman" w:hAnsi="Times New Roman" w:cs="Times New Roman"/>
                <w:sz w:val="20"/>
                <w:szCs w:val="20"/>
              </w:rPr>
            </w:pPr>
            <w:r w:rsidRPr="00A16561">
              <w:rPr>
                <w:rFonts w:ascii="Times New Roman" w:hAnsi="Times New Roman" w:cs="Times New Roman"/>
                <w:sz w:val="20"/>
                <w:szCs w:val="20"/>
              </w:rPr>
              <w:t>0</w:t>
            </w:r>
          </w:p>
        </w:tc>
      </w:tr>
      <w:tr w14:paraId="1E2A683D" w14:textId="77777777" w:rsidTr="005154C9">
        <w:tblPrEx>
          <w:tblW w:w="8447" w:type="dxa"/>
          <w:tblLook w:val="04A0"/>
        </w:tblPrEx>
        <w:trPr>
          <w:trHeight w:val="322"/>
        </w:trPr>
        <w:tc>
          <w:tcPr>
            <w:tcW w:w="3505" w:type="dxa"/>
            <w:noWrap/>
            <w:vAlign w:val="center"/>
          </w:tcPr>
          <w:p w:rsidR="00604CA3" w:rsidRPr="00A16561" w:rsidP="00A16561" w14:paraId="0B75D6F9" w14:textId="77777777">
            <w:pPr>
              <w:pStyle w:val="Default"/>
              <w:rPr>
                <w:rFonts w:ascii="Times New Roman" w:hAnsi="Times New Roman" w:cs="Times New Roman"/>
                <w:sz w:val="20"/>
                <w:szCs w:val="20"/>
              </w:rPr>
            </w:pPr>
            <w:r w:rsidRPr="00A16561">
              <w:rPr>
                <w:rFonts w:ascii="Times New Roman" w:hAnsi="Times New Roman" w:cs="Times New Roman"/>
                <w:sz w:val="20"/>
                <w:szCs w:val="20"/>
              </w:rPr>
              <w:t>Federal Costs</w:t>
            </w:r>
          </w:p>
        </w:tc>
        <w:tc>
          <w:tcPr>
            <w:tcW w:w="1816" w:type="dxa"/>
            <w:noWrap/>
            <w:vAlign w:val="center"/>
          </w:tcPr>
          <w:p w:rsidR="00604CA3" w:rsidRPr="00A16561" w:rsidP="00A16561" w14:paraId="42C4CBE6" w14:textId="77E112F1">
            <w:pPr>
              <w:pStyle w:val="Default"/>
              <w:jc w:val="right"/>
              <w:rPr>
                <w:rFonts w:ascii="Times New Roman" w:hAnsi="Times New Roman" w:cs="Times New Roman"/>
                <w:sz w:val="20"/>
                <w:szCs w:val="20"/>
              </w:rPr>
            </w:pPr>
            <w:r w:rsidRPr="00A16561">
              <w:rPr>
                <w:rFonts w:ascii="Times New Roman" w:hAnsi="Times New Roman" w:cs="Times New Roman"/>
                <w:sz w:val="20"/>
                <w:szCs w:val="20"/>
              </w:rPr>
              <w:t>$</w:t>
            </w:r>
            <w:r w:rsidRPr="00A16561" w:rsidR="003F65FD">
              <w:rPr>
                <w:rFonts w:ascii="Times New Roman" w:hAnsi="Times New Roman" w:cs="Times New Roman"/>
                <w:sz w:val="20"/>
                <w:szCs w:val="20"/>
              </w:rPr>
              <w:t>0</w:t>
            </w:r>
          </w:p>
        </w:tc>
        <w:tc>
          <w:tcPr>
            <w:tcW w:w="1694" w:type="dxa"/>
            <w:vAlign w:val="center"/>
          </w:tcPr>
          <w:p w:rsidR="00604CA3" w:rsidRPr="00A16561" w:rsidP="00A16561" w14:paraId="12CF0E4C" w14:textId="54262CEB">
            <w:pPr>
              <w:pStyle w:val="Default"/>
              <w:jc w:val="right"/>
              <w:rPr>
                <w:rFonts w:ascii="Times New Roman" w:hAnsi="Times New Roman" w:cs="Times New Roman"/>
                <w:sz w:val="20"/>
                <w:szCs w:val="20"/>
              </w:rPr>
            </w:pPr>
            <w:r w:rsidRPr="00A16561">
              <w:rPr>
                <w:rFonts w:ascii="Times New Roman" w:hAnsi="Times New Roman" w:cs="Times New Roman"/>
                <w:sz w:val="20"/>
                <w:szCs w:val="20"/>
              </w:rPr>
              <w:t>$</w:t>
            </w:r>
            <w:r w:rsidRPr="00A16561" w:rsidR="003F65FD">
              <w:rPr>
                <w:rFonts w:ascii="Times New Roman" w:hAnsi="Times New Roman" w:cs="Times New Roman"/>
                <w:sz w:val="20"/>
                <w:szCs w:val="20"/>
              </w:rPr>
              <w:t>0</w:t>
            </w:r>
          </w:p>
        </w:tc>
        <w:tc>
          <w:tcPr>
            <w:tcW w:w="1432" w:type="dxa"/>
            <w:noWrap/>
            <w:vAlign w:val="center"/>
          </w:tcPr>
          <w:p w:rsidR="00604CA3" w:rsidRPr="00A16561" w:rsidP="00A16561" w14:paraId="2C6447FC" w14:textId="7473B368">
            <w:pPr>
              <w:pStyle w:val="Default"/>
              <w:jc w:val="right"/>
              <w:rPr>
                <w:rFonts w:ascii="Times New Roman" w:hAnsi="Times New Roman" w:cs="Times New Roman"/>
                <w:sz w:val="20"/>
                <w:szCs w:val="20"/>
              </w:rPr>
            </w:pPr>
            <w:r w:rsidRPr="00A16561">
              <w:rPr>
                <w:rFonts w:ascii="Times New Roman" w:hAnsi="Times New Roman" w:cs="Times New Roman"/>
                <w:sz w:val="20"/>
                <w:szCs w:val="20"/>
              </w:rPr>
              <w:t>$</w:t>
            </w:r>
            <w:r w:rsidRPr="00A16561" w:rsidR="003F65FD">
              <w:rPr>
                <w:rFonts w:ascii="Times New Roman" w:hAnsi="Times New Roman" w:cs="Times New Roman"/>
                <w:sz w:val="20"/>
                <w:szCs w:val="20"/>
              </w:rPr>
              <w:t>0</w:t>
            </w:r>
          </w:p>
        </w:tc>
      </w:tr>
      <w:bookmarkEnd w:id="35"/>
    </w:tbl>
    <w:p w:rsidR="00604CA3" w:rsidRPr="00A16561" w:rsidP="00A16561" w14:paraId="3BEDD5AA" w14:textId="77777777">
      <w:pPr>
        <w:autoSpaceDE/>
        <w:autoSpaceDN/>
        <w:adjustRightInd/>
        <w:rPr>
          <w:rFonts w:eastAsia="Calibri"/>
        </w:rPr>
      </w:pPr>
    </w:p>
    <w:p w:rsidR="00672A5E" w:rsidRPr="00A16561" w:rsidP="00A16561" w14:paraId="225BC553" w14:textId="45F92197">
      <w:pPr>
        <w:tabs>
          <w:tab w:val="left" w:pos="90"/>
        </w:tabs>
        <w:autoSpaceDE/>
        <w:autoSpaceDN/>
        <w:adjustRightInd/>
        <w:ind w:right="212"/>
        <w:rPr>
          <w:rFonts w:eastAsia="Calibri"/>
          <w:b/>
        </w:rPr>
      </w:pPr>
      <w:r w:rsidRPr="00A16561">
        <w:rPr>
          <w:rFonts w:eastAsia="Calibri"/>
          <w:b/>
        </w:rPr>
        <w:t xml:space="preserve">16. For collections of information whose results will be published, outline plans </w:t>
      </w:r>
      <w:r w:rsidRPr="00A16561">
        <w:rPr>
          <w:rFonts w:eastAsia="Calibri"/>
          <w:b/>
          <w:w w:val="108"/>
        </w:rPr>
        <w:t xml:space="preserve">for </w:t>
      </w:r>
      <w:r w:rsidRPr="00A16561">
        <w:rPr>
          <w:rFonts w:eastAsia="Calibri"/>
          <w:b/>
        </w:rPr>
        <w:t xml:space="preserve">tabulation, and publication.  Address any complex analytical techniques that will be used. Provide the time schedule for the entire project, including beginning and </w:t>
      </w:r>
      <w:r w:rsidRPr="00A16561">
        <w:rPr>
          <w:rFonts w:eastAsia="Calibri"/>
          <w:b/>
          <w:w w:val="104"/>
        </w:rPr>
        <w:t xml:space="preserve">ending </w:t>
      </w:r>
      <w:r w:rsidRPr="00A16561">
        <w:rPr>
          <w:rFonts w:eastAsia="Calibri"/>
          <w:b/>
        </w:rPr>
        <w:t xml:space="preserve">dates of the collection of </w:t>
      </w:r>
      <w:r w:rsidRPr="00A16561">
        <w:rPr>
          <w:rFonts w:eastAsia="Calibri"/>
          <w:b/>
          <w:w w:val="106"/>
        </w:rPr>
        <w:t xml:space="preserve">information, </w:t>
      </w:r>
      <w:r w:rsidRPr="00A16561">
        <w:rPr>
          <w:rFonts w:eastAsia="Calibri"/>
          <w:b/>
        </w:rPr>
        <w:t xml:space="preserve">completion of report, publication dates, </w:t>
      </w:r>
      <w:r w:rsidRPr="00A16561">
        <w:rPr>
          <w:rFonts w:eastAsia="Calibri"/>
          <w:b/>
          <w:w w:val="107"/>
        </w:rPr>
        <w:t xml:space="preserve">and </w:t>
      </w:r>
      <w:r w:rsidRPr="00A16561">
        <w:rPr>
          <w:rFonts w:eastAsia="Calibri"/>
          <w:b/>
          <w:w w:val="108"/>
        </w:rPr>
        <w:t>othe</w:t>
      </w:r>
      <w:r w:rsidRPr="00A16561">
        <w:rPr>
          <w:rFonts w:eastAsia="Calibri"/>
          <w:b/>
          <w:w w:val="109"/>
        </w:rPr>
        <w:t>r</w:t>
      </w:r>
      <w:r w:rsidRPr="00A16561">
        <w:rPr>
          <w:rFonts w:eastAsia="Calibri"/>
          <w:b/>
        </w:rPr>
        <w:t xml:space="preserve"> </w:t>
      </w:r>
      <w:r w:rsidRPr="00A16561">
        <w:rPr>
          <w:rFonts w:eastAsia="Calibri"/>
          <w:b/>
          <w:w w:val="104"/>
        </w:rPr>
        <w:t>actions.</w:t>
      </w:r>
    </w:p>
    <w:p w:rsidR="00672A5E" w:rsidRPr="00A16561" w:rsidP="00A16561" w14:paraId="35ADC8EF" w14:textId="77777777">
      <w:pPr>
        <w:autoSpaceDE/>
        <w:autoSpaceDN/>
        <w:adjustRightInd/>
        <w:rPr>
          <w:rFonts w:eastAsia="Calibri"/>
        </w:rPr>
      </w:pPr>
    </w:p>
    <w:p w:rsidR="00672A5E" w:rsidRPr="00A16561" w:rsidP="00A16561" w14:paraId="6702531C" w14:textId="77777777">
      <w:pPr>
        <w:autoSpaceDE/>
        <w:autoSpaceDN/>
        <w:adjustRightInd/>
        <w:ind w:right="-20"/>
        <w:rPr>
          <w:rFonts w:eastAsia="Calibri"/>
          <w:w w:val="102"/>
        </w:rPr>
      </w:pPr>
      <w:r w:rsidRPr="00A16561">
        <w:rPr>
          <w:rFonts w:eastAsia="Calibri"/>
        </w:rPr>
        <w:t xml:space="preserve">MSHA does not intend to publish the results of this information </w:t>
      </w:r>
      <w:r w:rsidRPr="00A16561">
        <w:rPr>
          <w:rFonts w:eastAsia="Calibri"/>
          <w:w w:val="102"/>
        </w:rPr>
        <w:t>collection.</w:t>
      </w:r>
    </w:p>
    <w:p w:rsidR="00A047D1" w:rsidRPr="00A16561" w:rsidP="00A16561" w14:paraId="7FD7FD59" w14:textId="77777777">
      <w:pPr>
        <w:autoSpaceDE/>
        <w:autoSpaceDN/>
        <w:adjustRightInd/>
        <w:ind w:right="-20"/>
        <w:rPr>
          <w:rFonts w:eastAsia="Calibri"/>
          <w:b/>
        </w:rPr>
      </w:pPr>
    </w:p>
    <w:p w:rsidR="00672A5E" w:rsidRPr="00A16561" w:rsidP="00A16561" w14:paraId="022B71B3" w14:textId="0B4379FD">
      <w:pPr>
        <w:autoSpaceDE/>
        <w:autoSpaceDN/>
        <w:adjustRightInd/>
        <w:ind w:right="-20"/>
        <w:rPr>
          <w:rFonts w:eastAsia="Calibri"/>
          <w:b/>
        </w:rPr>
      </w:pPr>
      <w:r w:rsidRPr="00A16561">
        <w:rPr>
          <w:rFonts w:eastAsia="Calibri"/>
          <w:b/>
        </w:rPr>
        <w:t>17. If seeking approval to not display the expiration date for OMB approval of the information collection, explain the reasons that display would be inappropriate.</w:t>
      </w:r>
    </w:p>
    <w:p w:rsidR="00672A5E" w:rsidRPr="00A16561" w:rsidP="00A16561" w14:paraId="57B58A23" w14:textId="77777777">
      <w:pPr>
        <w:autoSpaceDE/>
        <w:autoSpaceDN/>
        <w:adjustRightInd/>
        <w:rPr>
          <w:rFonts w:eastAsia="Calibri"/>
        </w:rPr>
      </w:pPr>
    </w:p>
    <w:p w:rsidR="0057139B" w:rsidRPr="00A16561" w:rsidP="00A16561" w14:paraId="43E746F6" w14:textId="77777777">
      <w:r w:rsidRPr="00A16561">
        <w:t>MSHA is not seeking approval to not display the expiration date for OMB approval of this information collection and there is no form associated with this collection.</w:t>
      </w:r>
    </w:p>
    <w:p w:rsidR="00672A5E" w:rsidRPr="00A16561" w:rsidP="00A16561" w14:paraId="7B28FCD3" w14:textId="77777777">
      <w:pPr>
        <w:tabs>
          <w:tab w:val="left" w:pos="90"/>
        </w:tabs>
        <w:autoSpaceDE/>
        <w:autoSpaceDN/>
        <w:adjustRightInd/>
        <w:ind w:right="1446"/>
        <w:rPr>
          <w:rFonts w:eastAsia="Calibri"/>
          <w:b/>
        </w:rPr>
      </w:pPr>
    </w:p>
    <w:p w:rsidR="00672A5E" w:rsidRPr="00A16561" w:rsidP="00A16561" w14:paraId="6E783411" w14:textId="39FEC3BD">
      <w:pPr>
        <w:tabs>
          <w:tab w:val="left" w:pos="90"/>
        </w:tabs>
        <w:autoSpaceDE/>
        <w:autoSpaceDN/>
        <w:adjustRightInd/>
        <w:ind w:right="1446"/>
        <w:rPr>
          <w:rFonts w:eastAsia="Calibri"/>
          <w:b/>
        </w:rPr>
      </w:pPr>
      <w:r w:rsidRPr="00A16561">
        <w:rPr>
          <w:rFonts w:eastAsia="Calibri"/>
          <w:b/>
        </w:rPr>
        <w:t>18. Explain each exception to the topics of the certification statement identified in</w:t>
      </w:r>
      <w:r w:rsidRPr="00A16561">
        <w:rPr>
          <w:rFonts w:eastAsia="Calibri"/>
          <w:b/>
          <w:w w:val="104"/>
        </w:rPr>
        <w:t xml:space="preserve"> </w:t>
      </w:r>
      <w:r w:rsidRPr="00A16561">
        <w:rPr>
          <w:rFonts w:eastAsia="Calibri"/>
          <w:b/>
          <w:w w:val="107"/>
        </w:rPr>
        <w:t xml:space="preserve">"Certification </w:t>
      </w:r>
      <w:r w:rsidRPr="00A16561">
        <w:rPr>
          <w:rFonts w:eastAsia="Calibri"/>
          <w:b/>
        </w:rPr>
        <w:t xml:space="preserve">for </w:t>
      </w:r>
      <w:r w:rsidRPr="00A16561">
        <w:rPr>
          <w:rFonts w:eastAsia="Calibri"/>
          <w:b/>
          <w:w w:val="108"/>
        </w:rPr>
        <w:t xml:space="preserve">Paperwork </w:t>
      </w:r>
      <w:r w:rsidRPr="00A16561">
        <w:rPr>
          <w:rFonts w:eastAsia="Calibri"/>
          <w:b/>
        </w:rPr>
        <w:t xml:space="preserve">Reduction Act Submissions." </w:t>
      </w:r>
    </w:p>
    <w:p w:rsidR="00672A5E" w:rsidRPr="00A16561" w:rsidP="00A16561" w14:paraId="1472757A" w14:textId="77777777">
      <w:pPr>
        <w:autoSpaceDE/>
        <w:autoSpaceDN/>
        <w:adjustRightInd/>
        <w:rPr>
          <w:rFonts w:eastAsia="Calibri"/>
        </w:rPr>
      </w:pPr>
    </w:p>
    <w:p w:rsidR="0057139B" w:rsidRPr="00A16561" w:rsidP="00A16561" w14:paraId="6EF3F626" w14:textId="77777777">
      <w:r w:rsidRPr="00A16561">
        <w:t>There are no certification exceptions identified with this information collection.</w:t>
      </w:r>
    </w:p>
    <w:p w:rsidR="00672A5E" w:rsidRPr="00A16561" w:rsidP="00A16561" w14:paraId="1EB3ED2D" w14:textId="77777777">
      <w:pPr>
        <w:autoSpaceDE/>
        <w:autoSpaceDN/>
        <w:adjustRightInd/>
        <w:rPr>
          <w:rFonts w:eastAsia="Calibri"/>
          <w:b/>
        </w:rPr>
      </w:pPr>
    </w:p>
    <w:p w:rsidR="00672A5E" w:rsidRPr="00A16561" w:rsidP="00A16561" w14:paraId="779E9A2E" w14:textId="77777777">
      <w:pPr>
        <w:autoSpaceDE/>
        <w:autoSpaceDN/>
        <w:adjustRightInd/>
        <w:ind w:right="-20"/>
        <w:rPr>
          <w:rFonts w:eastAsia="Calibri"/>
          <w:b/>
        </w:rPr>
      </w:pPr>
      <w:r w:rsidRPr="00A16561">
        <w:rPr>
          <w:rFonts w:eastAsia="Calibri"/>
          <w:b/>
        </w:rPr>
        <w:t xml:space="preserve">B.  </w:t>
      </w:r>
      <w:r w:rsidRPr="00A16561">
        <w:rPr>
          <w:rFonts w:eastAsia="Calibri"/>
          <w:b/>
          <w:w w:val="105"/>
        </w:rPr>
        <w:t xml:space="preserve">COLLECTIONS </w:t>
      </w:r>
      <w:r w:rsidRPr="00A16561">
        <w:rPr>
          <w:rFonts w:eastAsia="Calibri"/>
          <w:b/>
        </w:rPr>
        <w:t xml:space="preserve">OF INFORMATION EMPLOYING STATISTICAL </w:t>
      </w:r>
      <w:r w:rsidRPr="00A16561">
        <w:rPr>
          <w:rFonts w:eastAsia="Calibri"/>
          <w:b/>
          <w:w w:val="103"/>
        </w:rPr>
        <w:t>METHODS</w:t>
      </w:r>
    </w:p>
    <w:p w:rsidR="00672A5E" w:rsidRPr="00A16561" w:rsidP="00A16561" w14:paraId="1A8DD7D1" w14:textId="77777777">
      <w:pPr>
        <w:autoSpaceDE/>
        <w:autoSpaceDN/>
        <w:adjustRightInd/>
        <w:rPr>
          <w:rFonts w:eastAsia="Calibri"/>
        </w:rPr>
      </w:pPr>
    </w:p>
    <w:p w:rsidR="0057139B" w:rsidRPr="00A16561" w:rsidP="00A16561" w14:paraId="63200C5D" w14:textId="3EAB8D8D">
      <w:r w:rsidRPr="00A16561">
        <w:t>As statistical analysis is not required by the regulation</w:t>
      </w:r>
      <w:r w:rsidRPr="00A16561" w:rsidR="00D606B3">
        <w:t xml:space="preserve">; </w:t>
      </w:r>
      <w:r w:rsidRPr="00A16561">
        <w:t>questions 1 through 5 do not apply.</w:t>
      </w:r>
    </w:p>
    <w:p w:rsidR="00BF6E22" w:rsidRPr="00A16561" w:rsidP="00A16561" w14:paraId="1953C05D" w14:textId="2C8C4BFF"/>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TUR">
    <w:altName w:val="Courier New"/>
    <w:charset w:val="00"/>
    <w:family w:val="modern"/>
    <w:pitch w:val="fixed"/>
    <w:sig w:usb0="E0002E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BKHFG M+ Courier">
    <w:altName w:val="Courier New"/>
    <w:panose1 w:val="00000000000000000000"/>
    <w:charset w:val="00"/>
    <w:family w:val="moder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2285403"/>
      <w:docPartObj>
        <w:docPartGallery w:val="Page Numbers (Bottom of Page)"/>
        <w:docPartUnique/>
      </w:docPartObj>
    </w:sdtPr>
    <w:sdtEndPr>
      <w:rPr>
        <w:noProof/>
      </w:rPr>
    </w:sdtEndPr>
    <w:sdtContent>
      <w:p w:rsidR="00486656" w:rsidRPr="00FD0DF4" w14:paraId="2E67DFAF" w14:textId="30071FF2">
        <w:pPr>
          <w:pStyle w:val="Footer"/>
          <w:jc w:val="center"/>
        </w:pPr>
        <w:r w:rsidRPr="00FD0DF4">
          <w:fldChar w:fldCharType="begin"/>
        </w:r>
        <w:r w:rsidRPr="00FD0DF4">
          <w:instrText xml:space="preserve"> PAGE   \* MERGEFORMAT </w:instrText>
        </w:r>
        <w:r w:rsidRPr="00FD0DF4">
          <w:fldChar w:fldCharType="separate"/>
        </w:r>
        <w:r w:rsidRPr="00FD0DF4">
          <w:rPr>
            <w:noProof/>
          </w:rPr>
          <w:t>2</w:t>
        </w:r>
        <w:r w:rsidRPr="00FD0DF4">
          <w:rPr>
            <w:noProof/>
          </w:rPr>
          <w:fldChar w:fldCharType="end"/>
        </w:r>
      </w:p>
    </w:sdtContent>
  </w:sdt>
  <w:p w:rsidR="002B7F3A" w14:paraId="54AC582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B67BF" w:rsidP="008F7DDE" w14:paraId="51BCE723" w14:textId="77777777">
      <w:r>
        <w:separator/>
      </w:r>
    </w:p>
  </w:footnote>
  <w:footnote w:type="continuationSeparator" w:id="1">
    <w:p w:rsidR="002B67BF" w:rsidP="008F7DDE" w14:paraId="1D468E94" w14:textId="77777777">
      <w:r>
        <w:continuationSeparator/>
      </w:r>
    </w:p>
  </w:footnote>
  <w:footnote w:type="continuationNotice" w:id="2">
    <w:p w:rsidR="002B67BF" w14:paraId="2CCA5003" w14:textId="77777777"/>
  </w:footnote>
  <w:footnote w:id="3">
    <w:p w:rsidR="003848DE" w:rsidRPr="00F72BA5" w:rsidP="003848DE" w14:paraId="6AD32B12" w14:textId="77777777">
      <w:pPr>
        <w:pStyle w:val="FootnoteText"/>
      </w:pPr>
      <w:bookmarkStart w:id="19" w:name="_Hlk189055246"/>
      <w:bookmarkStart w:id="20" w:name="_Hlk189055216"/>
      <w:r w:rsidRPr="00F72BA5">
        <w:rPr>
          <w:rStyle w:val="FootnoteReference"/>
        </w:rPr>
        <w:footnoteRef/>
      </w:r>
      <w:r w:rsidRPr="00F72BA5">
        <w:t xml:space="preserve"> </w:t>
      </w:r>
      <w:bookmarkEnd w:id="19"/>
      <w:r w:rsidRPr="00F72BA5">
        <w:t>For all wage rates,</w:t>
      </w:r>
      <w:r>
        <w:t xml:space="preserve"> including Federal wage rates,</w:t>
      </w:r>
      <w:r w:rsidRPr="00F72BA5">
        <w:t xml:space="preserve"> MSHA use</w:t>
      </w:r>
      <w:r>
        <w:t>s</w:t>
      </w:r>
      <w:r w:rsidRPr="00F72BA5">
        <w:t xml:space="preserve"> the relevant precision throughout the calculation to avoid compound rounding errors and rounds at the final rate value. Displayed intermediate calculation values are presented to explain the calculation and are representative, but the final rate value reflects the correct rounding and final estimate.</w:t>
      </w:r>
    </w:p>
    <w:bookmarkEnd w:id="20"/>
    <w:p w:rsidR="003848DE" w:rsidRPr="00F72BA5" w:rsidP="003848DE" w14:paraId="42284DEC" w14:textId="77777777">
      <w:pPr>
        <w:pStyle w:val="FootnoteText"/>
      </w:pPr>
    </w:p>
  </w:footnote>
  <w:footnote w:id="4">
    <w:p w:rsidR="003848DE" w:rsidRPr="00F72BA5" w:rsidP="003848DE" w14:paraId="68FC7040" w14:textId="77777777">
      <w:pPr>
        <w:pStyle w:val="FootnoteText"/>
      </w:pPr>
      <w:r w:rsidRPr="00F72BA5">
        <w:rPr>
          <w:rStyle w:val="FootnoteReference"/>
        </w:rPr>
        <w:footnoteRef/>
      </w:r>
      <w:r w:rsidRPr="00F72BA5">
        <w:rPr>
          <w:rStyle w:val="FootnoteReference"/>
        </w:rPr>
        <w:t xml:space="preserve"> </w:t>
      </w:r>
      <w:r w:rsidRPr="00F72BA5">
        <w:rPr>
          <w:rStyle w:val="ui-provider"/>
        </w:rPr>
        <w:t>To obtain OEWS data, follow BLS’s directions in its Frequently Asked Questions: “E. How to get OEWS data. 4. What are the different ways to obtain OEWS estimates from this website?”</w:t>
      </w:r>
      <w:r>
        <w:rPr>
          <w:rStyle w:val="ui-provider"/>
        </w:rPr>
        <w:t xml:space="preserve"> </w:t>
      </w:r>
      <w:r w:rsidRPr="00F72BA5">
        <w:rPr>
          <w:rStyle w:val="ui-provider"/>
        </w:rPr>
        <w:t>at </w:t>
      </w:r>
      <w:hyperlink r:id="rId1" w:tgtFrame="_blank" w:tooltip="https://www.bls.gov/oes/oes_ques.htm" w:history="1">
        <w:r w:rsidRPr="00F72BA5">
          <w:rPr>
            <w:rStyle w:val="Hyperlink"/>
          </w:rPr>
          <w:t>https://www.bls.gov/oes/oes_ques.htm</w:t>
        </w:r>
      </w:hyperlink>
      <w:r w:rsidRPr="00F72BA5">
        <w:t xml:space="preserve">. </w:t>
      </w:r>
      <w:bookmarkStart w:id="22" w:name="_Hlk172026849"/>
      <w:r w:rsidRPr="002A01B1">
        <w:t>The average wage rate is calculated as the employment-weighted average of hourly mean wages for the occupation.</w:t>
      </w:r>
    </w:p>
    <w:bookmarkEnd w:id="22"/>
    <w:p w:rsidR="003848DE" w:rsidRPr="00F72BA5" w:rsidP="003848DE" w14:paraId="376B2416" w14:textId="77777777">
      <w:pPr>
        <w:pStyle w:val="FootnoteText"/>
      </w:pPr>
    </w:p>
  </w:footnote>
  <w:footnote w:id="5">
    <w:p w:rsidR="003848DE" w:rsidRPr="00F72BA5" w:rsidP="003848DE" w14:paraId="24543BDB" w14:textId="77777777">
      <w:pPr>
        <w:pStyle w:val="FootnoteText"/>
      </w:pPr>
      <w:r w:rsidRPr="00F72BA5">
        <w:rPr>
          <w:rStyle w:val="FootnoteReference"/>
        </w:rPr>
        <w:footnoteRef/>
      </w:r>
      <w:r w:rsidRPr="00F72BA5">
        <w:t xml:space="preserve"> The benefit multiplier comes from BLS Employer Costs for Employee Compensation accessed by menu at </w:t>
      </w:r>
      <w:hyperlink r:id="rId2" w:history="1">
        <w:r w:rsidRPr="00F72BA5">
          <w:rPr>
            <w:rStyle w:val="Hyperlink"/>
          </w:rPr>
          <w:t>http://data.bls.gov/cgi-bin/srgate</w:t>
        </w:r>
      </w:hyperlink>
      <w:r w:rsidRPr="00F72BA5">
        <w:t xml:space="preserve"> or directly at </w:t>
      </w:r>
      <w:hyperlink r:id="rId3" w:history="1">
        <w:r w:rsidRPr="00F72BA5">
          <w:rPr>
            <w:rStyle w:val="Hyperlink"/>
          </w:rPr>
          <w:t>http://download.bls.gov/pub/time.series/cm/cm.data.0.Current</w:t>
        </w:r>
      </w:hyperlink>
      <w:r w:rsidRPr="00F72BA5">
        <w:t>. Insert the data series CMU2030000405000D and CMU2030000405000P, Private Industry Total benefits for Construction, extraction, farming, fishing, and forestry occupations, which is divided by 100 to convert to a decimal value. MSHA use</w:t>
      </w:r>
      <w:r>
        <w:t>s</w:t>
      </w:r>
      <w:r w:rsidRPr="00F72BA5">
        <w:t xml:space="preserve"> the latest 4-quarter moving average to determine what percent of total loaded wages are benefits. MSHA computes the benefit multiplier with a number of detailed calculations, but it may be approximated with the formula 1 + (benefit percentage</w:t>
      </w:r>
      <w:r>
        <w:t xml:space="preserve"> </w:t>
      </w:r>
      <w:r w:rsidRPr="00F72BA5">
        <w:t>/</w:t>
      </w:r>
      <w:r>
        <w:t xml:space="preserve"> </w:t>
      </w:r>
      <w:r w:rsidRPr="00F72BA5">
        <w:t>(1-benefit percentage)).</w:t>
      </w:r>
    </w:p>
    <w:p w:rsidR="003848DE" w:rsidRPr="00F72BA5" w:rsidP="003848DE" w14:paraId="4E890E8F" w14:textId="77777777">
      <w:pPr>
        <w:pStyle w:val="FootnoteText"/>
      </w:pPr>
    </w:p>
  </w:footnote>
  <w:footnote w:id="6">
    <w:p w:rsidR="003848DE" w:rsidRPr="00F72BA5" w:rsidP="003848DE" w14:paraId="7B006128" w14:textId="77777777">
      <w:pPr>
        <w:pStyle w:val="FootnoteText"/>
      </w:pPr>
      <w:r w:rsidRPr="00F72BA5">
        <w:rPr>
          <w:rStyle w:val="FootnoteReference"/>
        </w:rPr>
        <w:footnoteRef/>
      </w:r>
      <w:r w:rsidRPr="00F72BA5">
        <w:rPr>
          <w:rStyle w:val="FootnoteReference"/>
        </w:rPr>
        <w:t xml:space="preserve"> </w:t>
      </w:r>
      <w:r w:rsidRPr="00F72BA5">
        <w:t>Wage inflation is the change in Series ID: CIS2020000405000I; Seasonally adjusted; Series Title: Wages and salaries for Private industry workers in Construction, extraction, farming, fishing, and forestry occupations, Index. (</w:t>
      </w:r>
      <w:hyperlink r:id="rId4" w:history="1">
        <w:r w:rsidRPr="00F72BA5">
          <w:rPr>
            <w:rStyle w:val="Hyperlink"/>
          </w:rPr>
          <w:t>https://data.bls.gov/cgi-bin/srgate</w:t>
        </w:r>
      </w:hyperlink>
      <w:r w:rsidRPr="00F72BA5">
        <w:t>; Inflation Multiplier = (Current Quarter Cost Index Value / OEWS Wage Base Quarter Index Value).</w:t>
      </w:r>
    </w:p>
    <w:p w:rsidR="003848DE" w:rsidRPr="00F72BA5" w:rsidP="003848DE" w14:paraId="589C3A3C" w14:textId="77777777">
      <w:pPr>
        <w:pStyle w:val="FootnoteText"/>
      </w:pPr>
    </w:p>
  </w:footnote>
  <w:footnote w:id="7">
    <w:p w:rsidR="003848DE" w:rsidRPr="00F72BA5" w:rsidP="003848DE" w14:paraId="7C72EFA0" w14:textId="77777777">
      <w:pPr>
        <w:pStyle w:val="FootnoteText"/>
      </w:pPr>
      <w:r w:rsidRPr="00F72BA5">
        <w:rPr>
          <w:rStyle w:val="FootnoteReference"/>
        </w:rPr>
        <w:footnoteRef/>
      </w:r>
      <w:r w:rsidRPr="00F72BA5">
        <w:t xml:space="preserve"> </w:t>
      </w:r>
      <w:r w:rsidRPr="00883AE8">
        <w:t>MSHA use</w:t>
      </w:r>
      <w:r>
        <w:t>s</w:t>
      </w:r>
      <w:r w:rsidRPr="00883AE8">
        <w:t xml:space="preserve"> an overhead rate of 1 percent. The mining environment generally involves very little overhead, especially costs associated with workers engaged in administrative or clerical tasks.</w:t>
      </w:r>
      <w:r w:rsidRPr="00883AE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07B92" w:rsidRPr="00B07B92" w:rsidP="00B07B92" w14:paraId="2BD6E3E9" w14:textId="77777777">
    <w:pPr>
      <w:pStyle w:val="Header"/>
    </w:pPr>
    <w:r w:rsidRPr="00B07B92">
      <w:t>High-Voltage Continuous Mining Machine Standards for Underground Coal Mines</w:t>
    </w:r>
  </w:p>
  <w:p w:rsidR="00B07B92" w:rsidRPr="00B07B92" w:rsidP="00B07B92" w14:paraId="6DF222FB" w14:textId="77777777">
    <w:pPr>
      <w:pStyle w:val="Header"/>
    </w:pPr>
    <w:r w:rsidRPr="00B07B92">
      <w:t>OMB Control Number: 1219-0140</w:t>
    </w:r>
  </w:p>
  <w:p w:rsidR="00B07B92" w:rsidP="00B07B92" w14:paraId="6D4C7817" w14:textId="4C48ED7E">
    <w:pPr>
      <w:pStyle w:val="Header"/>
    </w:pPr>
    <w:r w:rsidRPr="00B07B92">
      <w:t>OMB Expiration Date: 1/31/2026</w:t>
    </w:r>
  </w:p>
  <w:p w:rsidR="005F2600" w14:paraId="06B9D3B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49C63F2"/>
    <w:multiLevelType w:val="hybridMultilevel"/>
    <w:tmpl w:val="0D087124"/>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9AE64B5"/>
    <w:multiLevelType w:val="hybridMultilevel"/>
    <w:tmpl w:val="946ED1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D2C4E3E"/>
    <w:multiLevelType w:val="hybridMultilevel"/>
    <w:tmpl w:val="E78EF524"/>
    <w:lvl w:ilvl="0">
      <w:start w:val="1"/>
      <w:numFmt w:val="upp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22107E55"/>
    <w:multiLevelType w:val="hybridMultilevel"/>
    <w:tmpl w:val="CE705656"/>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2879760B"/>
    <w:multiLevelType w:val="hybridMultilevel"/>
    <w:tmpl w:val="91060AA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9031133"/>
    <w:multiLevelType w:val="hybridMultilevel"/>
    <w:tmpl w:val="7916C29E"/>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C323A4A"/>
    <w:multiLevelType w:val="hybridMultilevel"/>
    <w:tmpl w:val="E488DA7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164988"/>
    <w:multiLevelType w:val="hybridMultilevel"/>
    <w:tmpl w:val="946ED1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F371207"/>
    <w:multiLevelType w:val="hybridMultilevel"/>
    <w:tmpl w:val="B224A9D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10B2030"/>
    <w:multiLevelType w:val="hybridMultilevel"/>
    <w:tmpl w:val="287EBE5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22D1300"/>
    <w:multiLevelType w:val="hybridMultilevel"/>
    <w:tmpl w:val="946ED1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906DA"/>
    <w:multiLevelType w:val="hybridMultilevel"/>
    <w:tmpl w:val="899EFF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AB9147A"/>
    <w:multiLevelType w:val="hybridMultilevel"/>
    <w:tmpl w:val="287EBE5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C1F2DC1"/>
    <w:multiLevelType w:val="hybridMultilevel"/>
    <w:tmpl w:val="87425E0A"/>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EF0404E"/>
    <w:multiLevelType w:val="hybridMultilevel"/>
    <w:tmpl w:val="98BCF8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021732D"/>
    <w:multiLevelType w:val="hybridMultilevel"/>
    <w:tmpl w:val="EC5291D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51C74B2"/>
    <w:multiLevelType w:val="hybridMultilevel"/>
    <w:tmpl w:val="9D6A946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45F87C91"/>
    <w:multiLevelType w:val="hybridMultilevel"/>
    <w:tmpl w:val="68AE4DF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4F3F74CA"/>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3676595"/>
    <w:multiLevelType w:val="hybridMultilevel"/>
    <w:tmpl w:val="537EA252"/>
    <w:lvl w:ilvl="0">
      <w:start w:val="1"/>
      <w:numFmt w:val="lowerRoman"/>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55E32B96"/>
    <w:multiLevelType w:val="hybridMultilevel"/>
    <w:tmpl w:val="287EBE5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567336F7"/>
    <w:multiLevelType w:val="hybridMultilevel"/>
    <w:tmpl w:val="68AE4DF0"/>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58796D21"/>
    <w:multiLevelType w:val="hybridMultilevel"/>
    <w:tmpl w:val="9D4861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88A614C"/>
    <w:multiLevelType w:val="hybridMultilevel"/>
    <w:tmpl w:val="BE3C8F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8C66EBD"/>
    <w:multiLevelType w:val="hybridMultilevel"/>
    <w:tmpl w:val="2E4453A4"/>
    <w:lvl w:ilvl="0">
      <w:start w:val="1"/>
      <w:numFmt w:val="lowerRoman"/>
      <w:lvlText w:val="(%1)"/>
      <w:lvlJc w:val="left"/>
      <w:pPr>
        <w:ind w:left="1440" w:hanging="720"/>
      </w:pPr>
      <w:rPr>
        <w:rFonts w:ascii="Times New Roman" w:hAnsi="Times New Roman" w:cs="Times New Roman"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C1C770F"/>
    <w:multiLevelType w:val="hybridMultilevel"/>
    <w:tmpl w:val="8054B0F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17D4480"/>
    <w:multiLevelType w:val="hybridMultilevel"/>
    <w:tmpl w:val="4B6CEF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2744BE3"/>
    <w:multiLevelType w:val="hybridMultilevel"/>
    <w:tmpl w:val="A35EC4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98B4DCD"/>
    <w:multiLevelType w:val="hybridMultilevel"/>
    <w:tmpl w:val="87425E0A"/>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D1D4592"/>
    <w:multiLevelType w:val="hybridMultilevel"/>
    <w:tmpl w:val="218AEF4C"/>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39568AA"/>
    <w:multiLevelType w:val="hybridMultilevel"/>
    <w:tmpl w:val="9506913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4523F13"/>
    <w:multiLevelType w:val="hybridMultilevel"/>
    <w:tmpl w:val="EEEECF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77610D5C"/>
    <w:multiLevelType w:val="hybridMultilevel"/>
    <w:tmpl w:val="12D0130C"/>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8B4CED"/>
    <w:multiLevelType w:val="hybridMultilevel"/>
    <w:tmpl w:val="F4BEA2A2"/>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8C33148"/>
    <w:multiLevelType w:val="hybridMultilevel"/>
    <w:tmpl w:val="D46E0CE8"/>
    <w:lvl w:ilvl="0">
      <w:start w:val="1"/>
      <w:numFmt w:val="upperRoman"/>
      <w:lvlText w:val="%1."/>
      <w:lvlJc w:val="left"/>
      <w:pPr>
        <w:ind w:left="1080" w:hanging="7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A2237DB"/>
    <w:multiLevelType w:val="hybridMultilevel"/>
    <w:tmpl w:val="571408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18998352">
    <w:abstractNumId w:val="27"/>
  </w:num>
  <w:num w:numId="2" w16cid:durableId="150290488">
    <w:abstractNumId w:val="11"/>
  </w:num>
  <w:num w:numId="3" w16cid:durableId="1674651207">
    <w:abstractNumId w:val="5"/>
  </w:num>
  <w:num w:numId="4" w16cid:durableId="1621256169">
    <w:abstractNumId w:val="8"/>
  </w:num>
  <w:num w:numId="5" w16cid:durableId="510918898">
    <w:abstractNumId w:val="4"/>
  </w:num>
  <w:num w:numId="6" w16cid:durableId="579600951">
    <w:abstractNumId w:val="6"/>
  </w:num>
  <w:num w:numId="7" w16cid:durableId="1133324415">
    <w:abstractNumId w:val="32"/>
  </w:num>
  <w:num w:numId="8" w16cid:durableId="1291131469">
    <w:abstractNumId w:val="18"/>
  </w:num>
  <w:num w:numId="9" w16cid:durableId="1525441457">
    <w:abstractNumId w:val="25"/>
  </w:num>
  <w:num w:numId="10" w16cid:durableId="1831020027">
    <w:abstractNumId w:val="22"/>
  </w:num>
  <w:num w:numId="11" w16cid:durableId="251738593">
    <w:abstractNumId w:val="15"/>
  </w:num>
  <w:num w:numId="12" w16cid:durableId="74790764">
    <w:abstractNumId w:val="35"/>
  </w:num>
  <w:num w:numId="13" w16cid:durableId="685863592">
    <w:abstractNumId w:val="2"/>
  </w:num>
  <w:num w:numId="14" w16cid:durableId="1161390035">
    <w:abstractNumId w:val="29"/>
  </w:num>
  <w:num w:numId="15" w16cid:durableId="118185897">
    <w:abstractNumId w:val="16"/>
  </w:num>
  <w:num w:numId="16" w16cid:durableId="516508524">
    <w:abstractNumId w:val="19"/>
  </w:num>
  <w:num w:numId="17" w16cid:durableId="2108890225">
    <w:abstractNumId w:val="3"/>
  </w:num>
  <w:num w:numId="18" w16cid:durableId="1469132552">
    <w:abstractNumId w:val="14"/>
  </w:num>
  <w:num w:numId="19" w16cid:durableId="635381030">
    <w:abstractNumId w:val="7"/>
  </w:num>
  <w:num w:numId="20" w16cid:durableId="1322196703">
    <w:abstractNumId w:val="20"/>
  </w:num>
  <w:num w:numId="21" w16cid:durableId="1466654376">
    <w:abstractNumId w:val="17"/>
  </w:num>
  <w:num w:numId="22" w16cid:durableId="1250653922">
    <w:abstractNumId w:val="26"/>
  </w:num>
  <w:num w:numId="23" w16cid:durableId="1899703834">
    <w:abstractNumId w:val="34"/>
  </w:num>
  <w:num w:numId="24" w16cid:durableId="1859661661">
    <w:abstractNumId w:val="0"/>
  </w:num>
  <w:num w:numId="25" w16cid:durableId="338050325">
    <w:abstractNumId w:val="13"/>
  </w:num>
  <w:num w:numId="26" w16cid:durableId="426730845">
    <w:abstractNumId w:val="30"/>
  </w:num>
  <w:num w:numId="27" w16cid:durableId="780686773">
    <w:abstractNumId w:val="24"/>
  </w:num>
  <w:num w:numId="28" w16cid:durableId="1201438395">
    <w:abstractNumId w:val="1"/>
  </w:num>
  <w:num w:numId="29" w16cid:durableId="1135484098">
    <w:abstractNumId w:val="12"/>
  </w:num>
  <w:num w:numId="30" w16cid:durableId="495851211">
    <w:abstractNumId w:val="10"/>
  </w:num>
  <w:num w:numId="31" w16cid:durableId="1626502193">
    <w:abstractNumId w:val="21"/>
  </w:num>
  <w:num w:numId="32" w16cid:durableId="1735204238">
    <w:abstractNumId w:val="33"/>
  </w:num>
  <w:num w:numId="33" w16cid:durableId="66653992">
    <w:abstractNumId w:val="28"/>
  </w:num>
  <w:num w:numId="34" w16cid:durableId="336808095">
    <w:abstractNumId w:val="9"/>
  </w:num>
  <w:num w:numId="35" w16cid:durableId="1544370987">
    <w:abstractNumId w:val="31"/>
  </w:num>
  <w:num w:numId="36" w16cid:durableId="75020214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DDE"/>
    <w:rsid w:val="00007606"/>
    <w:rsid w:val="000076FA"/>
    <w:rsid w:val="00013AE9"/>
    <w:rsid w:val="0003789B"/>
    <w:rsid w:val="00042691"/>
    <w:rsid w:val="00043F2D"/>
    <w:rsid w:val="00045767"/>
    <w:rsid w:val="00047D03"/>
    <w:rsid w:val="00052BD8"/>
    <w:rsid w:val="00056921"/>
    <w:rsid w:val="00062171"/>
    <w:rsid w:val="0006522D"/>
    <w:rsid w:val="0007255C"/>
    <w:rsid w:val="00074519"/>
    <w:rsid w:val="00074A47"/>
    <w:rsid w:val="00074D84"/>
    <w:rsid w:val="00080802"/>
    <w:rsid w:val="000864ED"/>
    <w:rsid w:val="0008785A"/>
    <w:rsid w:val="000915BB"/>
    <w:rsid w:val="00097E33"/>
    <w:rsid w:val="000A1F21"/>
    <w:rsid w:val="000A6882"/>
    <w:rsid w:val="000A6DDF"/>
    <w:rsid w:val="000B1BBB"/>
    <w:rsid w:val="000B4350"/>
    <w:rsid w:val="000B5031"/>
    <w:rsid w:val="000C0343"/>
    <w:rsid w:val="000D5FB5"/>
    <w:rsid w:val="000E39D5"/>
    <w:rsid w:val="000E7EDD"/>
    <w:rsid w:val="000F53E7"/>
    <w:rsid w:val="000F6D56"/>
    <w:rsid w:val="00100DDC"/>
    <w:rsid w:val="00101C83"/>
    <w:rsid w:val="00102205"/>
    <w:rsid w:val="00111B42"/>
    <w:rsid w:val="00116BCF"/>
    <w:rsid w:val="00122DD8"/>
    <w:rsid w:val="0012330B"/>
    <w:rsid w:val="00131389"/>
    <w:rsid w:val="0013391E"/>
    <w:rsid w:val="00135491"/>
    <w:rsid w:val="00145AE1"/>
    <w:rsid w:val="00147279"/>
    <w:rsid w:val="001475F6"/>
    <w:rsid w:val="00147615"/>
    <w:rsid w:val="00152C4D"/>
    <w:rsid w:val="0015585D"/>
    <w:rsid w:val="001576A1"/>
    <w:rsid w:val="00174597"/>
    <w:rsid w:val="0017790E"/>
    <w:rsid w:val="0017795E"/>
    <w:rsid w:val="00182BF3"/>
    <w:rsid w:val="00186D64"/>
    <w:rsid w:val="00186F02"/>
    <w:rsid w:val="00191BFC"/>
    <w:rsid w:val="001935AE"/>
    <w:rsid w:val="001A28D4"/>
    <w:rsid w:val="001B0307"/>
    <w:rsid w:val="001B1E21"/>
    <w:rsid w:val="001B2868"/>
    <w:rsid w:val="001B5E6C"/>
    <w:rsid w:val="001B773F"/>
    <w:rsid w:val="001C33F4"/>
    <w:rsid w:val="001C38F4"/>
    <w:rsid w:val="001D5002"/>
    <w:rsid w:val="001F2558"/>
    <w:rsid w:val="001F5DAD"/>
    <w:rsid w:val="001F7F1D"/>
    <w:rsid w:val="00230C54"/>
    <w:rsid w:val="00232594"/>
    <w:rsid w:val="00236BA7"/>
    <w:rsid w:val="00241DBC"/>
    <w:rsid w:val="00244765"/>
    <w:rsid w:val="002456FF"/>
    <w:rsid w:val="00245798"/>
    <w:rsid w:val="00266FC9"/>
    <w:rsid w:val="00273B19"/>
    <w:rsid w:val="00274488"/>
    <w:rsid w:val="00281135"/>
    <w:rsid w:val="00282329"/>
    <w:rsid w:val="0028608A"/>
    <w:rsid w:val="002910F9"/>
    <w:rsid w:val="00291122"/>
    <w:rsid w:val="0029325D"/>
    <w:rsid w:val="00294924"/>
    <w:rsid w:val="00295A0D"/>
    <w:rsid w:val="00296458"/>
    <w:rsid w:val="00296E07"/>
    <w:rsid w:val="002A01B1"/>
    <w:rsid w:val="002A0ACE"/>
    <w:rsid w:val="002A32B2"/>
    <w:rsid w:val="002A4159"/>
    <w:rsid w:val="002A44D3"/>
    <w:rsid w:val="002A4C25"/>
    <w:rsid w:val="002A6775"/>
    <w:rsid w:val="002A6C0E"/>
    <w:rsid w:val="002B5989"/>
    <w:rsid w:val="002B663F"/>
    <w:rsid w:val="002B67BF"/>
    <w:rsid w:val="002B6AAD"/>
    <w:rsid w:val="002B7F3A"/>
    <w:rsid w:val="002C0511"/>
    <w:rsid w:val="002C3398"/>
    <w:rsid w:val="002C6B1B"/>
    <w:rsid w:val="002C7489"/>
    <w:rsid w:val="002C787F"/>
    <w:rsid w:val="002D0F05"/>
    <w:rsid w:val="002D52D2"/>
    <w:rsid w:val="002D76E8"/>
    <w:rsid w:val="002D7DE7"/>
    <w:rsid w:val="002E3772"/>
    <w:rsid w:val="002E6374"/>
    <w:rsid w:val="002F45E2"/>
    <w:rsid w:val="003013E8"/>
    <w:rsid w:val="003018BD"/>
    <w:rsid w:val="003049D9"/>
    <w:rsid w:val="00314F22"/>
    <w:rsid w:val="003302EA"/>
    <w:rsid w:val="0033291C"/>
    <w:rsid w:val="00337135"/>
    <w:rsid w:val="0034283F"/>
    <w:rsid w:val="00352E4D"/>
    <w:rsid w:val="00355BCC"/>
    <w:rsid w:val="00370D01"/>
    <w:rsid w:val="003752D3"/>
    <w:rsid w:val="003848DE"/>
    <w:rsid w:val="00391464"/>
    <w:rsid w:val="003930C8"/>
    <w:rsid w:val="0039590C"/>
    <w:rsid w:val="003A562B"/>
    <w:rsid w:val="003A66C7"/>
    <w:rsid w:val="003B12B4"/>
    <w:rsid w:val="003B6A5B"/>
    <w:rsid w:val="003C140C"/>
    <w:rsid w:val="003C4D47"/>
    <w:rsid w:val="003C5AB4"/>
    <w:rsid w:val="003C5CF1"/>
    <w:rsid w:val="003D600D"/>
    <w:rsid w:val="003D671C"/>
    <w:rsid w:val="003D7AE8"/>
    <w:rsid w:val="003E3055"/>
    <w:rsid w:val="003E5594"/>
    <w:rsid w:val="003E5885"/>
    <w:rsid w:val="003E5A01"/>
    <w:rsid w:val="003E5DB2"/>
    <w:rsid w:val="003F5DC8"/>
    <w:rsid w:val="003F65FD"/>
    <w:rsid w:val="00400924"/>
    <w:rsid w:val="00403BD2"/>
    <w:rsid w:val="00404CA4"/>
    <w:rsid w:val="00410AED"/>
    <w:rsid w:val="00410D4C"/>
    <w:rsid w:val="00415311"/>
    <w:rsid w:val="00420991"/>
    <w:rsid w:val="004217FB"/>
    <w:rsid w:val="00430FF8"/>
    <w:rsid w:val="004326F5"/>
    <w:rsid w:val="004334FA"/>
    <w:rsid w:val="00434266"/>
    <w:rsid w:val="00440562"/>
    <w:rsid w:val="00440FD0"/>
    <w:rsid w:val="00445C2C"/>
    <w:rsid w:val="0045114A"/>
    <w:rsid w:val="00470A5C"/>
    <w:rsid w:val="00475DF4"/>
    <w:rsid w:val="004826E9"/>
    <w:rsid w:val="004831E5"/>
    <w:rsid w:val="0048436D"/>
    <w:rsid w:val="00486656"/>
    <w:rsid w:val="00495D0A"/>
    <w:rsid w:val="004A764B"/>
    <w:rsid w:val="004A7CF8"/>
    <w:rsid w:val="004B46D1"/>
    <w:rsid w:val="004B66F7"/>
    <w:rsid w:val="004B76C2"/>
    <w:rsid w:val="004C01B4"/>
    <w:rsid w:val="004C6DA3"/>
    <w:rsid w:val="004C77E3"/>
    <w:rsid w:val="004D3B38"/>
    <w:rsid w:val="004E056B"/>
    <w:rsid w:val="004E0F20"/>
    <w:rsid w:val="004E22B2"/>
    <w:rsid w:val="004E39CD"/>
    <w:rsid w:val="004E7140"/>
    <w:rsid w:val="004F4C75"/>
    <w:rsid w:val="00503789"/>
    <w:rsid w:val="00511E47"/>
    <w:rsid w:val="00517720"/>
    <w:rsid w:val="005230F3"/>
    <w:rsid w:val="00523CC5"/>
    <w:rsid w:val="00526725"/>
    <w:rsid w:val="00536C20"/>
    <w:rsid w:val="00537A8D"/>
    <w:rsid w:val="00541732"/>
    <w:rsid w:val="005448B0"/>
    <w:rsid w:val="00547B51"/>
    <w:rsid w:val="0055002D"/>
    <w:rsid w:val="00555F19"/>
    <w:rsid w:val="00570ADB"/>
    <w:rsid w:val="0057139B"/>
    <w:rsid w:val="00581328"/>
    <w:rsid w:val="005821B3"/>
    <w:rsid w:val="00584E68"/>
    <w:rsid w:val="0058734D"/>
    <w:rsid w:val="005905BF"/>
    <w:rsid w:val="005910CC"/>
    <w:rsid w:val="00591199"/>
    <w:rsid w:val="005A0497"/>
    <w:rsid w:val="005A0BDD"/>
    <w:rsid w:val="005B37DA"/>
    <w:rsid w:val="005C0294"/>
    <w:rsid w:val="005C3EAB"/>
    <w:rsid w:val="005C4DD0"/>
    <w:rsid w:val="005C7289"/>
    <w:rsid w:val="005D15DB"/>
    <w:rsid w:val="005D5055"/>
    <w:rsid w:val="005D6B59"/>
    <w:rsid w:val="005E0AC8"/>
    <w:rsid w:val="005E3203"/>
    <w:rsid w:val="005E589E"/>
    <w:rsid w:val="005F0588"/>
    <w:rsid w:val="005F2070"/>
    <w:rsid w:val="005F2600"/>
    <w:rsid w:val="005F75B7"/>
    <w:rsid w:val="00604CA3"/>
    <w:rsid w:val="006055BA"/>
    <w:rsid w:val="00613E19"/>
    <w:rsid w:val="00623AF3"/>
    <w:rsid w:val="006263CA"/>
    <w:rsid w:val="00641F0B"/>
    <w:rsid w:val="006502A0"/>
    <w:rsid w:val="0065237B"/>
    <w:rsid w:val="006543ED"/>
    <w:rsid w:val="00655D4F"/>
    <w:rsid w:val="00670251"/>
    <w:rsid w:val="00672A5E"/>
    <w:rsid w:val="00675C9A"/>
    <w:rsid w:val="006770D5"/>
    <w:rsid w:val="0067779A"/>
    <w:rsid w:val="00677DBB"/>
    <w:rsid w:val="00680C45"/>
    <w:rsid w:val="00686DE7"/>
    <w:rsid w:val="0069248F"/>
    <w:rsid w:val="00696AC6"/>
    <w:rsid w:val="0069721B"/>
    <w:rsid w:val="006A0362"/>
    <w:rsid w:val="006A05E7"/>
    <w:rsid w:val="006A3A69"/>
    <w:rsid w:val="006B44B0"/>
    <w:rsid w:val="006B5AF4"/>
    <w:rsid w:val="006C29C4"/>
    <w:rsid w:val="006C3416"/>
    <w:rsid w:val="006C67F8"/>
    <w:rsid w:val="006D2AB9"/>
    <w:rsid w:val="006D349E"/>
    <w:rsid w:val="006D628A"/>
    <w:rsid w:val="006E03C3"/>
    <w:rsid w:val="006E1339"/>
    <w:rsid w:val="006E6DA1"/>
    <w:rsid w:val="006E6E0F"/>
    <w:rsid w:val="006F7E3C"/>
    <w:rsid w:val="00702DDE"/>
    <w:rsid w:val="007136C3"/>
    <w:rsid w:val="00715410"/>
    <w:rsid w:val="007154CA"/>
    <w:rsid w:val="0071655A"/>
    <w:rsid w:val="00716EC0"/>
    <w:rsid w:val="00717914"/>
    <w:rsid w:val="00720619"/>
    <w:rsid w:val="0072146B"/>
    <w:rsid w:val="00725CCD"/>
    <w:rsid w:val="00750CD4"/>
    <w:rsid w:val="007542B3"/>
    <w:rsid w:val="00760C09"/>
    <w:rsid w:val="00766053"/>
    <w:rsid w:val="0076731B"/>
    <w:rsid w:val="007734DB"/>
    <w:rsid w:val="00774109"/>
    <w:rsid w:val="007863E3"/>
    <w:rsid w:val="007933FD"/>
    <w:rsid w:val="007936E3"/>
    <w:rsid w:val="00794D0E"/>
    <w:rsid w:val="00797B38"/>
    <w:rsid w:val="007A1B0B"/>
    <w:rsid w:val="007A35CB"/>
    <w:rsid w:val="007A6FD8"/>
    <w:rsid w:val="007B3952"/>
    <w:rsid w:val="007C22EC"/>
    <w:rsid w:val="007C50C3"/>
    <w:rsid w:val="007C69B4"/>
    <w:rsid w:val="007D250C"/>
    <w:rsid w:val="007D3D3B"/>
    <w:rsid w:val="007D5CB8"/>
    <w:rsid w:val="007D6934"/>
    <w:rsid w:val="007E25D1"/>
    <w:rsid w:val="007E5D54"/>
    <w:rsid w:val="007F14C4"/>
    <w:rsid w:val="007F7B38"/>
    <w:rsid w:val="0080539E"/>
    <w:rsid w:val="00807752"/>
    <w:rsid w:val="00815310"/>
    <w:rsid w:val="00817660"/>
    <w:rsid w:val="00817AD7"/>
    <w:rsid w:val="00822B4A"/>
    <w:rsid w:val="0082378A"/>
    <w:rsid w:val="00823826"/>
    <w:rsid w:val="00825AC4"/>
    <w:rsid w:val="008354DA"/>
    <w:rsid w:val="00844550"/>
    <w:rsid w:val="00844D63"/>
    <w:rsid w:val="008451E5"/>
    <w:rsid w:val="00850E32"/>
    <w:rsid w:val="00852089"/>
    <w:rsid w:val="00861942"/>
    <w:rsid w:val="00861B3F"/>
    <w:rsid w:val="008636BC"/>
    <w:rsid w:val="008665F7"/>
    <w:rsid w:val="00867990"/>
    <w:rsid w:val="00877AAC"/>
    <w:rsid w:val="00883AE8"/>
    <w:rsid w:val="00887A82"/>
    <w:rsid w:val="00890215"/>
    <w:rsid w:val="00893D0F"/>
    <w:rsid w:val="00895A69"/>
    <w:rsid w:val="00896AAE"/>
    <w:rsid w:val="008A1158"/>
    <w:rsid w:val="008A37DA"/>
    <w:rsid w:val="008A46BD"/>
    <w:rsid w:val="008B3F57"/>
    <w:rsid w:val="008C0F50"/>
    <w:rsid w:val="008C3F7A"/>
    <w:rsid w:val="008C5917"/>
    <w:rsid w:val="008E0692"/>
    <w:rsid w:val="008E123D"/>
    <w:rsid w:val="008E21D7"/>
    <w:rsid w:val="008E6AFA"/>
    <w:rsid w:val="008F5A02"/>
    <w:rsid w:val="008F7DDE"/>
    <w:rsid w:val="0090695A"/>
    <w:rsid w:val="0091019E"/>
    <w:rsid w:val="00912361"/>
    <w:rsid w:val="00917441"/>
    <w:rsid w:val="0092545F"/>
    <w:rsid w:val="00926F17"/>
    <w:rsid w:val="00927897"/>
    <w:rsid w:val="00931E96"/>
    <w:rsid w:val="0093340C"/>
    <w:rsid w:val="00942C27"/>
    <w:rsid w:val="00951423"/>
    <w:rsid w:val="00952C31"/>
    <w:rsid w:val="00953221"/>
    <w:rsid w:val="00955ADA"/>
    <w:rsid w:val="00956B94"/>
    <w:rsid w:val="00961AEF"/>
    <w:rsid w:val="009628B0"/>
    <w:rsid w:val="00965B90"/>
    <w:rsid w:val="00967D63"/>
    <w:rsid w:val="009706F4"/>
    <w:rsid w:val="00970F4E"/>
    <w:rsid w:val="009729A0"/>
    <w:rsid w:val="009758F6"/>
    <w:rsid w:val="00976CB0"/>
    <w:rsid w:val="00977698"/>
    <w:rsid w:val="0098144C"/>
    <w:rsid w:val="009872AE"/>
    <w:rsid w:val="009903E9"/>
    <w:rsid w:val="009A1D89"/>
    <w:rsid w:val="009A2D15"/>
    <w:rsid w:val="009A3438"/>
    <w:rsid w:val="009A3492"/>
    <w:rsid w:val="009A5589"/>
    <w:rsid w:val="009A5D1D"/>
    <w:rsid w:val="009A6BEF"/>
    <w:rsid w:val="009B4071"/>
    <w:rsid w:val="009C6DE3"/>
    <w:rsid w:val="009D7142"/>
    <w:rsid w:val="009D75F5"/>
    <w:rsid w:val="009D7943"/>
    <w:rsid w:val="009E31B2"/>
    <w:rsid w:val="009F708E"/>
    <w:rsid w:val="00A047D1"/>
    <w:rsid w:val="00A06511"/>
    <w:rsid w:val="00A15850"/>
    <w:rsid w:val="00A15F53"/>
    <w:rsid w:val="00A16561"/>
    <w:rsid w:val="00A17881"/>
    <w:rsid w:val="00A20EC9"/>
    <w:rsid w:val="00A228AF"/>
    <w:rsid w:val="00A277D3"/>
    <w:rsid w:val="00A46297"/>
    <w:rsid w:val="00A52BC6"/>
    <w:rsid w:val="00A53C9A"/>
    <w:rsid w:val="00A54CAD"/>
    <w:rsid w:val="00A62BAE"/>
    <w:rsid w:val="00A62C00"/>
    <w:rsid w:val="00A65635"/>
    <w:rsid w:val="00A65740"/>
    <w:rsid w:val="00A663DB"/>
    <w:rsid w:val="00A66472"/>
    <w:rsid w:val="00A81669"/>
    <w:rsid w:val="00A81A39"/>
    <w:rsid w:val="00A86E4A"/>
    <w:rsid w:val="00A908FE"/>
    <w:rsid w:val="00A91990"/>
    <w:rsid w:val="00A92F0F"/>
    <w:rsid w:val="00A94B29"/>
    <w:rsid w:val="00AA0EEC"/>
    <w:rsid w:val="00AA21ED"/>
    <w:rsid w:val="00AA3F77"/>
    <w:rsid w:val="00AA5238"/>
    <w:rsid w:val="00AA68DD"/>
    <w:rsid w:val="00AB0CE2"/>
    <w:rsid w:val="00AB5F66"/>
    <w:rsid w:val="00AC1377"/>
    <w:rsid w:val="00AD4D15"/>
    <w:rsid w:val="00AD607F"/>
    <w:rsid w:val="00AD6C90"/>
    <w:rsid w:val="00AE2817"/>
    <w:rsid w:val="00AE4A36"/>
    <w:rsid w:val="00B05721"/>
    <w:rsid w:val="00B058D7"/>
    <w:rsid w:val="00B07B92"/>
    <w:rsid w:val="00B108CA"/>
    <w:rsid w:val="00B135C6"/>
    <w:rsid w:val="00B14EB1"/>
    <w:rsid w:val="00B1733D"/>
    <w:rsid w:val="00B227F0"/>
    <w:rsid w:val="00B24B40"/>
    <w:rsid w:val="00B24CE1"/>
    <w:rsid w:val="00B32A91"/>
    <w:rsid w:val="00B51335"/>
    <w:rsid w:val="00B6778E"/>
    <w:rsid w:val="00B73C0A"/>
    <w:rsid w:val="00B75B43"/>
    <w:rsid w:val="00B814CC"/>
    <w:rsid w:val="00B83202"/>
    <w:rsid w:val="00B8503A"/>
    <w:rsid w:val="00B94D82"/>
    <w:rsid w:val="00B9589E"/>
    <w:rsid w:val="00B9733C"/>
    <w:rsid w:val="00B974C8"/>
    <w:rsid w:val="00B97870"/>
    <w:rsid w:val="00BA12DF"/>
    <w:rsid w:val="00BB05B5"/>
    <w:rsid w:val="00BB39FC"/>
    <w:rsid w:val="00BC060A"/>
    <w:rsid w:val="00BC2CDC"/>
    <w:rsid w:val="00BD2A4C"/>
    <w:rsid w:val="00BD5403"/>
    <w:rsid w:val="00BD6112"/>
    <w:rsid w:val="00BD7BA9"/>
    <w:rsid w:val="00BE3949"/>
    <w:rsid w:val="00BE4112"/>
    <w:rsid w:val="00BF09C6"/>
    <w:rsid w:val="00BF25E1"/>
    <w:rsid w:val="00BF32A1"/>
    <w:rsid w:val="00BF3A3A"/>
    <w:rsid w:val="00BF42C1"/>
    <w:rsid w:val="00BF6551"/>
    <w:rsid w:val="00BF6E22"/>
    <w:rsid w:val="00C02252"/>
    <w:rsid w:val="00C04D49"/>
    <w:rsid w:val="00C07C20"/>
    <w:rsid w:val="00C21387"/>
    <w:rsid w:val="00C33930"/>
    <w:rsid w:val="00C3425D"/>
    <w:rsid w:val="00C37B7A"/>
    <w:rsid w:val="00C424F1"/>
    <w:rsid w:val="00C4649D"/>
    <w:rsid w:val="00C53523"/>
    <w:rsid w:val="00C61492"/>
    <w:rsid w:val="00C62649"/>
    <w:rsid w:val="00C62A70"/>
    <w:rsid w:val="00C63EB9"/>
    <w:rsid w:val="00C6558D"/>
    <w:rsid w:val="00C73040"/>
    <w:rsid w:val="00C81E37"/>
    <w:rsid w:val="00C86CE8"/>
    <w:rsid w:val="00C914E5"/>
    <w:rsid w:val="00C91CC1"/>
    <w:rsid w:val="00C926D5"/>
    <w:rsid w:val="00CB05C9"/>
    <w:rsid w:val="00CB3898"/>
    <w:rsid w:val="00CB5144"/>
    <w:rsid w:val="00CB6730"/>
    <w:rsid w:val="00CD07A4"/>
    <w:rsid w:val="00CD49EB"/>
    <w:rsid w:val="00CE0C07"/>
    <w:rsid w:val="00CF1DFA"/>
    <w:rsid w:val="00CF3B39"/>
    <w:rsid w:val="00CF6E19"/>
    <w:rsid w:val="00D02861"/>
    <w:rsid w:val="00D04952"/>
    <w:rsid w:val="00D10DDA"/>
    <w:rsid w:val="00D14330"/>
    <w:rsid w:val="00D20B42"/>
    <w:rsid w:val="00D20DD6"/>
    <w:rsid w:val="00D22375"/>
    <w:rsid w:val="00D25DE9"/>
    <w:rsid w:val="00D262E7"/>
    <w:rsid w:val="00D326E9"/>
    <w:rsid w:val="00D35F15"/>
    <w:rsid w:val="00D374B8"/>
    <w:rsid w:val="00D40023"/>
    <w:rsid w:val="00D40D2C"/>
    <w:rsid w:val="00D606B3"/>
    <w:rsid w:val="00D60D9E"/>
    <w:rsid w:val="00D61856"/>
    <w:rsid w:val="00D642F1"/>
    <w:rsid w:val="00D73216"/>
    <w:rsid w:val="00D73954"/>
    <w:rsid w:val="00D757FD"/>
    <w:rsid w:val="00D75BE4"/>
    <w:rsid w:val="00D832A8"/>
    <w:rsid w:val="00D87B90"/>
    <w:rsid w:val="00D93513"/>
    <w:rsid w:val="00DA1270"/>
    <w:rsid w:val="00DA3BC1"/>
    <w:rsid w:val="00DA790B"/>
    <w:rsid w:val="00DB025E"/>
    <w:rsid w:val="00DC0CB7"/>
    <w:rsid w:val="00DD39BA"/>
    <w:rsid w:val="00DD6C9D"/>
    <w:rsid w:val="00DE2D1E"/>
    <w:rsid w:val="00DE4566"/>
    <w:rsid w:val="00DE74DA"/>
    <w:rsid w:val="00DF232F"/>
    <w:rsid w:val="00DF3B0C"/>
    <w:rsid w:val="00DF5327"/>
    <w:rsid w:val="00DF5E80"/>
    <w:rsid w:val="00E01597"/>
    <w:rsid w:val="00E01FF0"/>
    <w:rsid w:val="00E02C1D"/>
    <w:rsid w:val="00E10BD7"/>
    <w:rsid w:val="00E114E1"/>
    <w:rsid w:val="00E11557"/>
    <w:rsid w:val="00E16933"/>
    <w:rsid w:val="00E17EE3"/>
    <w:rsid w:val="00E221B1"/>
    <w:rsid w:val="00E22270"/>
    <w:rsid w:val="00E2362C"/>
    <w:rsid w:val="00E25616"/>
    <w:rsid w:val="00E25AE2"/>
    <w:rsid w:val="00E27063"/>
    <w:rsid w:val="00E31DFC"/>
    <w:rsid w:val="00E41CF0"/>
    <w:rsid w:val="00E447CF"/>
    <w:rsid w:val="00E540DB"/>
    <w:rsid w:val="00E5610A"/>
    <w:rsid w:val="00E57943"/>
    <w:rsid w:val="00E60F36"/>
    <w:rsid w:val="00E610B6"/>
    <w:rsid w:val="00E62B0E"/>
    <w:rsid w:val="00E66DB8"/>
    <w:rsid w:val="00E73026"/>
    <w:rsid w:val="00E768E6"/>
    <w:rsid w:val="00E807A0"/>
    <w:rsid w:val="00E85073"/>
    <w:rsid w:val="00E86A83"/>
    <w:rsid w:val="00EA3744"/>
    <w:rsid w:val="00EA383A"/>
    <w:rsid w:val="00EA6474"/>
    <w:rsid w:val="00EA7FB9"/>
    <w:rsid w:val="00EB338F"/>
    <w:rsid w:val="00EB362F"/>
    <w:rsid w:val="00EC0009"/>
    <w:rsid w:val="00EC061B"/>
    <w:rsid w:val="00EC1441"/>
    <w:rsid w:val="00EC1EC3"/>
    <w:rsid w:val="00EC24F3"/>
    <w:rsid w:val="00EE1944"/>
    <w:rsid w:val="00EE1BC0"/>
    <w:rsid w:val="00EE6E52"/>
    <w:rsid w:val="00EF48BD"/>
    <w:rsid w:val="00EF79DD"/>
    <w:rsid w:val="00EF7AC3"/>
    <w:rsid w:val="00F06A9C"/>
    <w:rsid w:val="00F06F83"/>
    <w:rsid w:val="00F110CF"/>
    <w:rsid w:val="00F13077"/>
    <w:rsid w:val="00F15B5F"/>
    <w:rsid w:val="00F16D8E"/>
    <w:rsid w:val="00F177ED"/>
    <w:rsid w:val="00F20786"/>
    <w:rsid w:val="00F207E8"/>
    <w:rsid w:val="00F2132E"/>
    <w:rsid w:val="00F3147F"/>
    <w:rsid w:val="00F430D7"/>
    <w:rsid w:val="00F50585"/>
    <w:rsid w:val="00F516FD"/>
    <w:rsid w:val="00F52B09"/>
    <w:rsid w:val="00F640FB"/>
    <w:rsid w:val="00F648C5"/>
    <w:rsid w:val="00F669A7"/>
    <w:rsid w:val="00F67C94"/>
    <w:rsid w:val="00F70C76"/>
    <w:rsid w:val="00F72BA5"/>
    <w:rsid w:val="00F819E4"/>
    <w:rsid w:val="00F92E2B"/>
    <w:rsid w:val="00F92F23"/>
    <w:rsid w:val="00F93052"/>
    <w:rsid w:val="00F932EA"/>
    <w:rsid w:val="00F9645F"/>
    <w:rsid w:val="00F97070"/>
    <w:rsid w:val="00FB1C38"/>
    <w:rsid w:val="00FC02D5"/>
    <w:rsid w:val="00FC198D"/>
    <w:rsid w:val="00FC1FA9"/>
    <w:rsid w:val="00FD0DF4"/>
    <w:rsid w:val="00FD26C5"/>
    <w:rsid w:val="00FD3C82"/>
    <w:rsid w:val="00FD537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A4C34A"/>
  <w15:chartTrackingRefBased/>
  <w15:docId w15:val="{0AD4B998-A97F-4393-9A6A-4DD8A6F15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5DC8"/>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8F7DD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8F7DDE"/>
    <w:rPr>
      <w:rFonts w:ascii="Arial" w:eastAsia="Times New Roman" w:hAnsi="Arial" w:cs="Times New Roman"/>
      <w:b/>
      <w:bCs/>
      <w:kern w:val="32"/>
      <w:sz w:val="32"/>
      <w:szCs w:val="32"/>
    </w:rPr>
  </w:style>
  <w:style w:type="paragraph" w:styleId="FootnoteText">
    <w:name w:val="footnote text"/>
    <w:basedOn w:val="Normal"/>
    <w:link w:val="FootnoteTextChar"/>
    <w:rsid w:val="008F7DDE"/>
    <w:pPr>
      <w:widowControl/>
      <w:autoSpaceDE/>
      <w:autoSpaceDN/>
      <w:adjustRightInd/>
    </w:pPr>
    <w:rPr>
      <w:sz w:val="20"/>
      <w:szCs w:val="20"/>
    </w:rPr>
  </w:style>
  <w:style w:type="character" w:customStyle="1" w:styleId="FootnoteTextChar">
    <w:name w:val="Footnote Text Char"/>
    <w:basedOn w:val="DefaultParagraphFont"/>
    <w:link w:val="FootnoteText"/>
    <w:rsid w:val="008F7DDE"/>
    <w:rPr>
      <w:rFonts w:ascii="Times New Roman" w:eastAsia="Times New Roman" w:hAnsi="Times New Roman" w:cs="Times New Roman"/>
      <w:sz w:val="20"/>
      <w:szCs w:val="20"/>
    </w:rPr>
  </w:style>
  <w:style w:type="character" w:styleId="FootnoteReference">
    <w:name w:val="footnote reference"/>
    <w:basedOn w:val="DefaultParagraphFont"/>
    <w:rsid w:val="008F7DDE"/>
    <w:rPr>
      <w:rFonts w:cs="Times New Roman"/>
      <w:vertAlign w:val="superscript"/>
    </w:rPr>
  </w:style>
  <w:style w:type="character" w:styleId="Hyperlink">
    <w:name w:val="Hyperlink"/>
    <w:basedOn w:val="DefaultParagraphFont"/>
    <w:uiPriority w:val="99"/>
    <w:rsid w:val="008F7DDE"/>
    <w:rPr>
      <w:rFonts w:cs="Times New Roman"/>
      <w:color w:val="0000FF"/>
      <w:u w:val="single"/>
    </w:rPr>
  </w:style>
  <w:style w:type="paragraph" w:styleId="CommentText">
    <w:name w:val="annotation text"/>
    <w:basedOn w:val="Normal"/>
    <w:link w:val="CommentTextChar"/>
    <w:uiPriority w:val="99"/>
    <w:rsid w:val="008F7DDE"/>
    <w:rPr>
      <w:rFonts w:ascii="Courier New TUR" w:hAnsi="Courier New TUR"/>
      <w:sz w:val="20"/>
      <w:szCs w:val="20"/>
    </w:rPr>
  </w:style>
  <w:style w:type="character" w:customStyle="1" w:styleId="CommentTextChar">
    <w:name w:val="Comment Text Char"/>
    <w:basedOn w:val="DefaultParagraphFont"/>
    <w:link w:val="CommentText"/>
    <w:uiPriority w:val="99"/>
    <w:rsid w:val="008F7DDE"/>
    <w:rPr>
      <w:rFonts w:ascii="Courier New TUR" w:eastAsia="Times New Roman" w:hAnsi="Courier New TUR" w:cs="Times New Roman"/>
      <w:sz w:val="20"/>
      <w:szCs w:val="20"/>
    </w:rPr>
  </w:style>
  <w:style w:type="character" w:styleId="CommentReference">
    <w:name w:val="annotation reference"/>
    <w:basedOn w:val="DefaultParagraphFont"/>
    <w:uiPriority w:val="99"/>
    <w:rsid w:val="008F7DDE"/>
    <w:rPr>
      <w:rFonts w:cs="Times New Roman"/>
      <w:sz w:val="16"/>
    </w:rPr>
  </w:style>
  <w:style w:type="table" w:styleId="TableGrid">
    <w:name w:val="Table Grid"/>
    <w:basedOn w:val="TableNormal"/>
    <w:rsid w:val="008F7DD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7DDE"/>
    <w:pPr>
      <w:widowControl/>
      <w:autoSpaceDE/>
      <w:autoSpaceDN/>
      <w:adjustRightInd/>
      <w:spacing w:after="200" w:line="276" w:lineRule="auto"/>
      <w:ind w:left="720"/>
      <w:contextualSpacing/>
    </w:pPr>
    <w:rPr>
      <w:rFonts w:ascii="Calibri" w:hAnsi="Calibri"/>
      <w:sz w:val="22"/>
      <w:szCs w:val="22"/>
    </w:rPr>
  </w:style>
  <w:style w:type="paragraph" w:styleId="Revision">
    <w:name w:val="Revision"/>
    <w:hidden/>
    <w:uiPriority w:val="99"/>
    <w:semiHidden/>
    <w:rsid w:val="00526725"/>
    <w:pPr>
      <w:spacing w:after="0" w:line="240" w:lineRule="auto"/>
    </w:pPr>
    <w:rPr>
      <w:rFonts w:ascii="Courier" w:eastAsia="Times New Roman" w:hAnsi="Courier" w:cs="Times New Roman"/>
      <w:sz w:val="24"/>
      <w:szCs w:val="24"/>
    </w:rPr>
  </w:style>
  <w:style w:type="character" w:styleId="UnresolvedMention">
    <w:name w:val="Unresolved Mention"/>
    <w:basedOn w:val="DefaultParagraphFont"/>
    <w:uiPriority w:val="99"/>
    <w:semiHidden/>
    <w:unhideWhenUsed/>
    <w:rsid w:val="007C69B4"/>
    <w:rPr>
      <w:color w:val="605E5C"/>
      <w:shd w:val="clear" w:color="auto" w:fill="E1DFDD"/>
    </w:rPr>
  </w:style>
  <w:style w:type="paragraph" w:styleId="Header">
    <w:name w:val="header"/>
    <w:basedOn w:val="Normal"/>
    <w:link w:val="HeaderChar"/>
    <w:uiPriority w:val="99"/>
    <w:unhideWhenUsed/>
    <w:rsid w:val="005F2600"/>
    <w:pPr>
      <w:tabs>
        <w:tab w:val="center" w:pos="4680"/>
        <w:tab w:val="right" w:pos="9360"/>
      </w:tabs>
    </w:pPr>
  </w:style>
  <w:style w:type="character" w:customStyle="1" w:styleId="HeaderChar">
    <w:name w:val="Header Char"/>
    <w:basedOn w:val="DefaultParagraphFont"/>
    <w:link w:val="Header"/>
    <w:uiPriority w:val="99"/>
    <w:rsid w:val="005F2600"/>
    <w:rPr>
      <w:rFonts w:ascii="Courier" w:eastAsia="Times New Roman" w:hAnsi="Courier" w:cs="Times New Roman"/>
      <w:sz w:val="24"/>
      <w:szCs w:val="24"/>
    </w:rPr>
  </w:style>
  <w:style w:type="paragraph" w:styleId="Footer">
    <w:name w:val="footer"/>
    <w:basedOn w:val="Normal"/>
    <w:link w:val="FooterChar"/>
    <w:uiPriority w:val="99"/>
    <w:unhideWhenUsed/>
    <w:rsid w:val="005F2600"/>
    <w:pPr>
      <w:tabs>
        <w:tab w:val="center" w:pos="4680"/>
        <w:tab w:val="right" w:pos="9360"/>
      </w:tabs>
    </w:pPr>
  </w:style>
  <w:style w:type="character" w:customStyle="1" w:styleId="FooterChar">
    <w:name w:val="Footer Char"/>
    <w:basedOn w:val="DefaultParagraphFont"/>
    <w:link w:val="Footer"/>
    <w:uiPriority w:val="99"/>
    <w:rsid w:val="005F2600"/>
    <w:rPr>
      <w:rFonts w:ascii="Courier" w:eastAsia="Times New Roman" w:hAnsi="Courier" w:cs="Times New Roman"/>
      <w:sz w:val="24"/>
      <w:szCs w:val="24"/>
    </w:rPr>
  </w:style>
  <w:style w:type="paragraph" w:styleId="CommentSubject">
    <w:name w:val="annotation subject"/>
    <w:basedOn w:val="CommentText"/>
    <w:next w:val="CommentText"/>
    <w:link w:val="CommentSubjectChar"/>
    <w:uiPriority w:val="99"/>
    <w:semiHidden/>
    <w:unhideWhenUsed/>
    <w:rsid w:val="001B0307"/>
    <w:rPr>
      <w:rFonts w:ascii="Courier" w:hAnsi="Courier"/>
      <w:b/>
      <w:bCs/>
    </w:rPr>
  </w:style>
  <w:style w:type="character" w:customStyle="1" w:styleId="CommentSubjectChar">
    <w:name w:val="Comment Subject Char"/>
    <w:basedOn w:val="CommentTextChar"/>
    <w:link w:val="CommentSubject"/>
    <w:uiPriority w:val="99"/>
    <w:semiHidden/>
    <w:rsid w:val="001B0307"/>
    <w:rPr>
      <w:rFonts w:ascii="Courier" w:eastAsia="Times New Roman" w:hAnsi="Courier" w:cs="Times New Roman"/>
      <w:b/>
      <w:bCs/>
      <w:sz w:val="20"/>
      <w:szCs w:val="20"/>
    </w:rPr>
  </w:style>
  <w:style w:type="paragraph" w:customStyle="1" w:styleId="Default">
    <w:name w:val="Default"/>
    <w:rsid w:val="00B227F0"/>
    <w:pPr>
      <w:widowControl w:val="0"/>
      <w:autoSpaceDE w:val="0"/>
      <w:autoSpaceDN w:val="0"/>
      <w:adjustRightInd w:val="0"/>
      <w:spacing w:after="0" w:line="240" w:lineRule="auto"/>
    </w:pPr>
    <w:rPr>
      <w:rFonts w:ascii="BKHFG M+ Courier" w:eastAsia="Times New Roman" w:hAnsi="BKHFG M+ Courier" w:cs="BKHFG M+ Courier"/>
      <w:color w:val="000000"/>
      <w:sz w:val="24"/>
      <w:szCs w:val="24"/>
    </w:rPr>
  </w:style>
  <w:style w:type="character" w:customStyle="1" w:styleId="ui-provider">
    <w:name w:val="ui-provider"/>
    <w:basedOn w:val="DefaultParagraphFont"/>
    <w:rsid w:val="00B227F0"/>
  </w:style>
  <w:style w:type="character" w:styleId="FollowedHyperlink">
    <w:name w:val="FollowedHyperlink"/>
    <w:basedOn w:val="DefaultParagraphFont"/>
    <w:uiPriority w:val="99"/>
    <w:semiHidden/>
    <w:unhideWhenUsed/>
    <w:rsid w:val="00FD26C5"/>
    <w:rPr>
      <w:color w:val="954F72" w:themeColor="followedHyperlink"/>
      <w:u w:val="single"/>
    </w:rPr>
  </w:style>
  <w:style w:type="paragraph" w:customStyle="1" w:styleId="BodyText12pt">
    <w:name w:val="Body Text + 12pt"/>
    <w:basedOn w:val="BodyText"/>
    <w:link w:val="BodyText12ptChar"/>
    <w:rsid w:val="0029325D"/>
    <w:pPr>
      <w:widowControl/>
      <w:autoSpaceDE/>
      <w:autoSpaceDN/>
      <w:adjustRightInd/>
      <w:spacing w:after="0"/>
    </w:pPr>
    <w:rPr>
      <w:szCs w:val="20"/>
    </w:rPr>
  </w:style>
  <w:style w:type="character" w:customStyle="1" w:styleId="BodyText12ptChar">
    <w:name w:val="Body Text + 12pt Char"/>
    <w:link w:val="BodyText12pt"/>
    <w:locked/>
    <w:rsid w:val="0029325D"/>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29325D"/>
    <w:pPr>
      <w:spacing w:after="120"/>
    </w:pPr>
  </w:style>
  <w:style w:type="character" w:customStyle="1" w:styleId="BodyTextChar">
    <w:name w:val="Body Text Char"/>
    <w:basedOn w:val="DefaultParagraphFont"/>
    <w:link w:val="BodyText"/>
    <w:uiPriority w:val="99"/>
    <w:semiHidden/>
    <w:rsid w:val="0029325D"/>
    <w:rPr>
      <w:rFonts w:ascii="Courier" w:eastAsia="Times New Roman" w:hAnsi="Courier" w:cs="Times New Roman"/>
      <w:sz w:val="24"/>
      <w:szCs w:val="24"/>
    </w:rPr>
  </w:style>
  <w:style w:type="paragraph" w:customStyle="1" w:styleId="indent-2">
    <w:name w:val="indent-2"/>
    <w:basedOn w:val="Normal"/>
    <w:rsid w:val="00715410"/>
    <w:pPr>
      <w:widowControl/>
      <w:autoSpaceDE/>
      <w:autoSpaceDN/>
      <w:adjustRightInd/>
      <w:spacing w:before="100" w:beforeAutospacing="1" w:after="100" w:afterAutospacing="1"/>
    </w:pPr>
  </w:style>
  <w:style w:type="paragraph" w:customStyle="1" w:styleId="indent-3">
    <w:name w:val="indent-3"/>
    <w:basedOn w:val="Normal"/>
    <w:rsid w:val="00715410"/>
    <w:pPr>
      <w:widowControl/>
      <w:autoSpaceDE/>
      <w:autoSpaceDN/>
      <w:adjustRightInd/>
      <w:spacing w:before="100" w:beforeAutospacing="1" w:after="100" w:afterAutospacing="1"/>
    </w:pPr>
  </w:style>
  <w:style w:type="character" w:customStyle="1" w:styleId="paragraph-hierarchy">
    <w:name w:val="paragraph-hierarchy"/>
    <w:basedOn w:val="DefaultParagraphFont"/>
    <w:rsid w:val="00715410"/>
  </w:style>
  <w:style w:type="character" w:customStyle="1" w:styleId="paren">
    <w:name w:val="paren"/>
    <w:basedOn w:val="DefaultParagraphFont"/>
    <w:rsid w:val="00715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oes_ques.htm" TargetMode="External" /><Relationship Id="rId2" Type="http://schemas.openxmlformats.org/officeDocument/2006/relationships/hyperlink" Target="http://data.bls.gov/cgi-bin/srgate" TargetMode="External" /><Relationship Id="rId3" Type="http://schemas.openxmlformats.org/officeDocument/2006/relationships/hyperlink" Target="http://download.bls.gov/pub/time.series/cm/cm.data.0.Current" TargetMode="External" /><Relationship Id="rId4" Type="http://schemas.openxmlformats.org/officeDocument/2006/relationships/hyperlink" Target="https://data.bls.gov/cgi-bin/srg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420DB2-D0EE-4B3E-8F86-B8A1F6F24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16</Pages>
  <Words>5497</Words>
  <Characters>31337</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36761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Ramsey, Joseph E - MSHA</dc:creator>
  <cp:lastModifiedBy>Moore, Joanna - MSHA</cp:lastModifiedBy>
  <cp:revision>6</cp:revision>
  <dcterms:created xsi:type="dcterms:W3CDTF">2025-05-08T12:04:00Z</dcterms:created>
  <dcterms:modified xsi:type="dcterms:W3CDTF">2025-09-03T11:41:00Z</dcterms:modified>
</cp:coreProperties>
</file>