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58702C" w:rsidP="00116CD5" w14:paraId="4C554728" w14:textId="6CE0682E">
      <w:pPr>
        <w:widowControl/>
        <w:tabs>
          <w:tab w:val="left" w:pos="720"/>
        </w:tabs>
        <w:ind w:left="720" w:hanging="1440"/>
        <w:jc w:val="center"/>
        <w:rPr>
          <w:rStyle w:val="Emphasis"/>
        </w:rPr>
      </w:pPr>
    </w:p>
    <w:p w:rsidR="00690F56" w:rsidRPr="009235E0" w:rsidP="00116CD5" w14:paraId="7E97B93F" w14:textId="77777777">
      <w:pPr>
        <w:widowControl/>
        <w:tabs>
          <w:tab w:val="left" w:pos="720"/>
        </w:tabs>
        <w:ind w:left="720" w:hanging="1440"/>
        <w:jc w:val="center"/>
        <w:rPr>
          <w:rFonts w:ascii="Times New Roman" w:hAnsi="Times New Roman"/>
          <w:b/>
          <w:bCs/>
          <w:caps/>
        </w:rPr>
      </w:pPr>
      <w:r w:rsidRPr="009235E0">
        <w:rPr>
          <w:rFonts w:ascii="Times New Roman" w:hAnsi="Times New Roman"/>
          <w:b/>
          <w:bCs/>
          <w:caps/>
        </w:rPr>
        <w:t>SUPPORTING STATEMENT FOR</w:t>
      </w:r>
    </w:p>
    <w:p w:rsidR="00A10441" w:rsidRPr="009235E0" w:rsidP="00E55799" w14:paraId="1DAA9F6C" w14:textId="6766202F">
      <w:pPr>
        <w:widowControl/>
        <w:jc w:val="center"/>
        <w:rPr>
          <w:rFonts w:ascii="Times New Roman" w:hAnsi="Times New Roman"/>
          <w:b/>
          <w:bCs/>
          <w:caps/>
        </w:rPr>
      </w:pPr>
      <w:r w:rsidRPr="009235E0">
        <w:rPr>
          <w:rFonts w:ascii="Times New Roman" w:hAnsi="Times New Roman"/>
          <w:b/>
          <w:bCs/>
          <w:caps/>
        </w:rPr>
        <w:t>Survey of Occupational Injuries and Illnesses</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1D5F73D9">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C10BB6">
        <w:rPr>
          <w:rFonts w:ascii="Times New Roman" w:hAnsi="Times New Roman"/>
          <w:b/>
          <w:bCs/>
        </w:rPr>
        <w:t>1220-0045</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03D924EA">
      <w:pPr>
        <w:widowControl/>
        <w:rPr>
          <w:rFonts w:ascii="Times New Roman" w:hAnsi="Times New Roman"/>
          <w:bCs/>
        </w:rPr>
      </w:pPr>
      <w:r w:rsidRPr="00C10BB6">
        <w:rPr>
          <w:rFonts w:ascii="Arial" w:hAnsi="Arial" w:cs="Arial"/>
          <w:bCs/>
        </w:rPr>
        <w:t xml:space="preserve">This ICR seeks to </w:t>
      </w:r>
      <w:r w:rsidRPr="003D6A9B" w:rsidR="00C10BB6">
        <w:rPr>
          <w:rFonts w:ascii="Arial" w:hAnsi="Arial" w:cs="Arial"/>
        </w:rPr>
        <w:t xml:space="preserve">obtain clearance for </w:t>
      </w:r>
      <w:r w:rsidR="00A71608">
        <w:rPr>
          <w:rFonts w:ascii="Arial" w:hAnsi="Arial" w:cs="Arial"/>
        </w:rPr>
        <w:t xml:space="preserve">a revision of </w:t>
      </w:r>
      <w:r w:rsidRPr="003D6A9B" w:rsidR="00C10BB6">
        <w:rPr>
          <w:rFonts w:ascii="Arial" w:hAnsi="Arial" w:cs="Arial"/>
        </w:rPr>
        <w:t xml:space="preserve">the Bureau of Labor Statistics (BLS) Survey of Occupational Injuries and Illnesses (SOII). </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B91FC4" w:rsidRPr="005F4E87" w:rsidP="00B52744" w14:paraId="33B68CD2" w14:textId="527B3298">
      <w:pPr>
        <w:widowControl/>
        <w:rPr>
          <w:rFonts w:ascii="Arial" w:hAnsi="Arial" w:cs="Arial"/>
          <w:b/>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E0DCC" w:rsidRPr="00BA31F4" w:rsidP="00B91FC4" w14:paraId="37885CFB" w14:textId="77777777">
      <w:pPr>
        <w:spacing w:line="240" w:lineRule="exact"/>
        <w:rPr>
          <w:rFonts w:ascii="Arial" w:hAnsi="Arial" w:cs="Arial"/>
        </w:rPr>
      </w:pPr>
    </w:p>
    <w:p w:rsidR="00B91FC4" w:rsidRPr="00BA31F4" w:rsidP="00B91FC4" w14:paraId="62DF0FF5" w14:textId="77777777">
      <w:pPr>
        <w:spacing w:line="240" w:lineRule="exact"/>
        <w:rPr>
          <w:rFonts w:ascii="Arial" w:hAnsi="Arial" w:cs="Arial"/>
        </w:rPr>
      </w:pPr>
      <w:r w:rsidRPr="00BA31F4">
        <w:rPr>
          <w:rFonts w:ascii="Arial" w:hAnsi="Arial" w:cs="Arial"/>
        </w:rPr>
        <w:t>Section 24(a) of the Occupational Safety and Health Act of 1970 (the Act) requires the Secretary of Labor to develop and maintain an effective program of collection, compilation, and analysis of statistics on occupational injuries and illnesses. Section 24 also authorizes and encourages the Federal government to enlist the aid of states in developing and conducting statistical programs to meet the data needs of the states as well as its own. Sections 8(c)(1), (2), 8(g)(2), 24(a), and 24(e) of the Act specifically require the Secretary of Labor to design and implement a system requiring employers covered by the Act to maintain records of occupational injuries and illnesses and to submit periodic reports to the Secretary of Labor upon request.</w:t>
      </w:r>
    </w:p>
    <w:p w:rsidR="00B91FC4" w:rsidRPr="00BA31F4" w:rsidP="00B91FC4" w14:paraId="227427A9" w14:textId="77777777">
      <w:pPr>
        <w:spacing w:line="240" w:lineRule="exact"/>
        <w:rPr>
          <w:rFonts w:ascii="Arial" w:hAnsi="Arial" w:cs="Arial"/>
        </w:rPr>
      </w:pPr>
    </w:p>
    <w:p w:rsidR="00B91FC4" w:rsidRPr="00BA31F4" w:rsidP="00B91FC4" w14:paraId="5D224952" w14:textId="77777777">
      <w:pPr>
        <w:spacing w:line="240" w:lineRule="exact"/>
        <w:rPr>
          <w:rFonts w:ascii="Arial" w:hAnsi="Arial" w:cs="Arial"/>
        </w:rPr>
      </w:pPr>
      <w:r w:rsidRPr="00BA31F4">
        <w:rPr>
          <w:rFonts w:ascii="Arial" w:hAnsi="Arial" w:cs="Arial"/>
        </w:rPr>
        <w:t xml:space="preserve">In Secretary's Order No. 5-02, the Secretary of Labor delegated to the Commissioner of Labor Statistics the responsibility for "Furthering the purpose of the Occupational Safety and Health Act by developing and maintaining an effective program of collection, compilation, analysis and publication of occupational safety and health statistics."    </w:t>
      </w:r>
    </w:p>
    <w:p w:rsidR="00B91FC4" w:rsidRPr="00BA31F4" w:rsidP="00B91FC4" w14:paraId="0763C135" w14:textId="77777777">
      <w:pPr>
        <w:spacing w:line="240" w:lineRule="exact"/>
        <w:rPr>
          <w:rFonts w:ascii="Arial" w:hAnsi="Arial" w:cs="Arial"/>
        </w:rPr>
      </w:pPr>
    </w:p>
    <w:p w:rsidR="00B91FC4" w:rsidRPr="00BA31F4" w:rsidP="00B91FC4" w14:paraId="18F7CFBE" w14:textId="3186050B">
      <w:pPr>
        <w:spacing w:line="240" w:lineRule="exact"/>
        <w:rPr>
          <w:rFonts w:ascii="Arial" w:hAnsi="Arial" w:cs="Arial"/>
        </w:rPr>
      </w:pPr>
      <w:r w:rsidRPr="00BA31F4">
        <w:rPr>
          <w:rFonts w:ascii="Arial" w:hAnsi="Arial" w:cs="Arial"/>
        </w:rPr>
        <w:t xml:space="preserve">The Bureau of Labor Statistics (BLS) fulfills this responsibility by conducting the Survey of Occupational Injuries and Illnesses </w:t>
      </w:r>
      <w:r w:rsidR="00DA65D3">
        <w:rPr>
          <w:rFonts w:ascii="Arial" w:hAnsi="Arial" w:cs="Arial"/>
        </w:rPr>
        <w:t xml:space="preserve">(SOII) </w:t>
      </w:r>
      <w:r w:rsidRPr="00BA31F4">
        <w:rPr>
          <w:rFonts w:ascii="Arial" w:hAnsi="Arial" w:cs="Arial"/>
        </w:rPr>
        <w:t xml:space="preserve">in conjunction with participating state statistical agencies. The survey reflects employers' incorporation of the Occupational Safety and Health Administration (OSHA) recordkeeping regulations that were implemented by the Department of Labor. </w:t>
      </w:r>
    </w:p>
    <w:p w:rsidR="00B91FC4" w:rsidRPr="00BA31F4" w:rsidP="00B91FC4" w14:paraId="75E97C6B" w14:textId="77777777">
      <w:pPr>
        <w:spacing w:line="240" w:lineRule="exact"/>
        <w:rPr>
          <w:rFonts w:ascii="Arial" w:hAnsi="Arial" w:cs="Arial"/>
        </w:rPr>
      </w:pPr>
    </w:p>
    <w:p w:rsidR="00B91FC4" w:rsidRPr="00B91FC4" w:rsidP="00B91FC4" w14:paraId="2B0C1098" w14:textId="77777777">
      <w:pPr>
        <w:widowControl/>
        <w:autoSpaceDE/>
        <w:autoSpaceDN/>
        <w:adjustRightInd/>
        <w:spacing w:line="240" w:lineRule="exact"/>
        <w:rPr>
          <w:rFonts w:ascii="Arial" w:hAnsi="Arial" w:cs="Arial"/>
        </w:rPr>
      </w:pPr>
      <w:r w:rsidRPr="00B91FC4">
        <w:rPr>
          <w:rFonts w:ascii="Arial" w:hAnsi="Arial" w:cs="Arial"/>
        </w:rPr>
        <w:t>Included in this package are the following documents used in the data collection process for the Survey of Occupational Injuries and Illnesses (SOII):</w:t>
      </w:r>
    </w:p>
    <w:p w:rsidR="00B91FC4" w:rsidRPr="00B91FC4" w:rsidP="00B91FC4" w14:paraId="08E55197" w14:textId="77777777">
      <w:pPr>
        <w:widowControl/>
        <w:autoSpaceDE/>
        <w:autoSpaceDN/>
        <w:adjustRightInd/>
        <w:spacing w:line="240" w:lineRule="exact"/>
        <w:rPr>
          <w:rFonts w:ascii="Arial" w:hAnsi="Arial" w:cs="Arial"/>
        </w:rPr>
      </w:pPr>
    </w:p>
    <w:p w:rsidR="00B91FC4" w:rsidRPr="00B91FC4" w:rsidP="00B91FC4" w14:paraId="6077D470"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The survey form – BLS 9300</w:t>
      </w:r>
    </w:p>
    <w:p w:rsidR="00B91FC4" w:rsidRPr="00B91FC4" w:rsidP="00B91FC4" w14:paraId="701DAA92" w14:textId="11A21AE2">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F</w:t>
      </w:r>
      <w:r w:rsidR="00736999">
        <w:rPr>
          <w:rFonts w:ascii="Arial" w:hAnsi="Arial" w:cs="Arial"/>
        </w:rPr>
        <w:t>ax</w:t>
      </w:r>
      <w:r w:rsidRPr="00B91FC4">
        <w:rPr>
          <w:rFonts w:ascii="Arial" w:hAnsi="Arial" w:cs="Arial"/>
        </w:rPr>
        <w:t xml:space="preserve"> form</w:t>
      </w:r>
      <w:r w:rsidR="005C1035">
        <w:rPr>
          <w:rFonts w:ascii="Arial" w:hAnsi="Arial" w:cs="Arial"/>
        </w:rPr>
        <w:t>s</w:t>
      </w:r>
    </w:p>
    <w:p w:rsidR="00B91FC4" w:rsidRPr="00B91FC4" w:rsidP="00B91FC4" w14:paraId="3D2593BB"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Email notification messages</w:t>
      </w:r>
    </w:p>
    <w:p w:rsidR="00B91FC4" w:rsidRPr="00B91FC4" w:rsidP="00B91FC4" w14:paraId="65A14DF7" w14:textId="76D56A88">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Notification letter</w:t>
      </w:r>
      <w:r w:rsidR="00274763">
        <w:rPr>
          <w:rFonts w:ascii="Arial" w:hAnsi="Arial" w:cs="Arial"/>
        </w:rPr>
        <w:t>s</w:t>
      </w:r>
      <w:r w:rsidRPr="00B91FC4">
        <w:rPr>
          <w:rFonts w:ascii="Arial" w:hAnsi="Arial" w:cs="Arial"/>
        </w:rPr>
        <w:t xml:space="preserve"> and associated materials to be sent to all participants in the </w:t>
      </w:r>
      <w:r w:rsidR="00A05948">
        <w:rPr>
          <w:rFonts w:ascii="Arial" w:hAnsi="Arial" w:cs="Arial"/>
        </w:rPr>
        <w:t>202</w:t>
      </w:r>
      <w:r w:rsidR="00F721CF">
        <w:rPr>
          <w:rFonts w:ascii="Arial" w:hAnsi="Arial" w:cs="Arial"/>
        </w:rPr>
        <w:t>4</w:t>
      </w:r>
      <w:r w:rsidRPr="00B91FC4">
        <w:rPr>
          <w:rFonts w:ascii="Arial" w:hAnsi="Arial" w:cs="Arial"/>
        </w:rPr>
        <w:t xml:space="preserve"> survey</w:t>
      </w:r>
    </w:p>
    <w:p w:rsidR="00B91FC4" w:rsidRPr="00B91FC4" w:rsidP="00B91FC4" w14:paraId="7838DF2F"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Informed Consent letter</w:t>
      </w:r>
    </w:p>
    <w:p w:rsidR="00B91FC4" w:rsidRPr="00B91FC4" w:rsidP="00B91FC4" w14:paraId="38D701D7" w14:textId="4FF18138">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Voluntary letter</w:t>
      </w:r>
      <w:r w:rsidR="00274763">
        <w:rPr>
          <w:rFonts w:ascii="Arial" w:hAnsi="Arial" w:cs="Arial"/>
        </w:rPr>
        <w:t>s</w:t>
      </w:r>
      <w:r w:rsidRPr="00B91FC4">
        <w:rPr>
          <w:rFonts w:ascii="Arial" w:hAnsi="Arial" w:cs="Arial"/>
        </w:rPr>
        <w:t xml:space="preserve"> for state and local government agencies</w:t>
      </w:r>
    </w:p>
    <w:p w:rsidR="00B91FC4" w:rsidP="00B91FC4" w14:paraId="2B6E6102"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Nonresponse follow-up letters for mandatory and voluntary participants</w:t>
      </w:r>
    </w:p>
    <w:p w:rsidR="005C1035" w:rsidP="00B91FC4" w14:paraId="13894765" w14:textId="178C9631">
      <w:pPr>
        <w:widowControl/>
        <w:numPr>
          <w:ilvl w:val="0"/>
          <w:numId w:val="14"/>
        </w:numPr>
        <w:autoSpaceDE/>
        <w:autoSpaceDN/>
        <w:adjustRightInd/>
        <w:spacing w:line="240" w:lineRule="exact"/>
        <w:contextualSpacing/>
        <w:rPr>
          <w:rFonts w:ascii="Arial" w:hAnsi="Arial" w:cs="Arial"/>
        </w:rPr>
      </w:pPr>
      <w:r>
        <w:rPr>
          <w:rFonts w:ascii="Arial" w:hAnsi="Arial" w:cs="Arial"/>
        </w:rPr>
        <w:t>IDCF screenshots</w:t>
      </w:r>
    </w:p>
    <w:p w:rsidR="001706A3" w:rsidRPr="00B91FC4" w:rsidP="00B91FC4" w14:paraId="29B6A8CF" w14:textId="3F021110">
      <w:pPr>
        <w:widowControl/>
        <w:numPr>
          <w:ilvl w:val="0"/>
          <w:numId w:val="14"/>
        </w:numPr>
        <w:autoSpaceDE/>
        <w:autoSpaceDN/>
        <w:adjustRightInd/>
        <w:spacing w:line="240" w:lineRule="exact"/>
        <w:contextualSpacing/>
        <w:rPr>
          <w:rFonts w:ascii="Arial" w:hAnsi="Arial" w:cs="Arial"/>
        </w:rPr>
      </w:pPr>
      <w:r>
        <w:rPr>
          <w:rFonts w:ascii="Arial" w:hAnsi="Arial" w:cs="Arial"/>
        </w:rPr>
        <w:t>Test Pre-collection letter</w:t>
      </w:r>
    </w:p>
    <w:p w:rsidR="002146F7" w:rsidRPr="00D53DEB" w:rsidP="00690F56" w14:paraId="11C98BBD" w14:textId="77777777">
      <w:pPr>
        <w:widowControl/>
        <w:rPr>
          <w:rFonts w:ascii="Times New Roman" w:hAnsi="Times New Roman"/>
        </w:rPr>
      </w:pPr>
    </w:p>
    <w:p w:rsidR="00B91FC4" w:rsidRPr="005F4E87" w:rsidP="00B52744" w14:paraId="62304DA0" w14:textId="37434218">
      <w:pPr>
        <w:widowControl/>
        <w:rPr>
          <w:rFonts w:ascii="Arial" w:hAnsi="Arial" w:cs="Arial"/>
          <w:b/>
          <w:u w:val="single"/>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B91FC4" w:rsidRPr="00BA31F4" w:rsidP="00B91FC4" w14:paraId="721EDE58" w14:textId="77777777">
      <w:pPr>
        <w:spacing w:line="240" w:lineRule="exact"/>
        <w:rPr>
          <w:rFonts w:ascii="Arial" w:hAnsi="Arial" w:cs="Arial"/>
        </w:rPr>
      </w:pPr>
    </w:p>
    <w:p w:rsidR="0080590A" w:rsidRPr="00BA31F4" w:rsidP="0080590A" w14:paraId="54DA768E" w14:textId="70AB9939">
      <w:pPr>
        <w:spacing w:line="240" w:lineRule="exact"/>
        <w:rPr>
          <w:rFonts w:ascii="Arial" w:hAnsi="Arial" w:cs="Arial"/>
        </w:rPr>
      </w:pPr>
      <w:r w:rsidRPr="00BA31F4">
        <w:rPr>
          <w:rFonts w:ascii="Arial" w:hAnsi="Arial" w:cs="Arial"/>
        </w:rPr>
        <w:t xml:space="preserve">The purpose of the </w:t>
      </w:r>
      <w:r w:rsidR="00AA387E">
        <w:rPr>
          <w:rFonts w:ascii="Arial" w:hAnsi="Arial" w:cs="Arial"/>
        </w:rPr>
        <w:t>information</w:t>
      </w:r>
      <w:r w:rsidRPr="00BA31F4">
        <w:rPr>
          <w:rFonts w:ascii="Arial" w:hAnsi="Arial" w:cs="Arial"/>
        </w:rPr>
        <w:t>, as stated in Section 2(b)</w:t>
      </w:r>
      <w:r w:rsidR="00AA387E">
        <w:rPr>
          <w:rFonts w:ascii="Arial" w:hAnsi="Arial" w:cs="Arial"/>
        </w:rPr>
        <w:t xml:space="preserve"> of the Act</w:t>
      </w:r>
      <w:r w:rsidRPr="00BA31F4">
        <w:rPr>
          <w:rFonts w:ascii="Arial" w:hAnsi="Arial" w:cs="Arial"/>
        </w:rPr>
        <w:t xml:space="preserve">, is to assure, as far as possible, every working man and woman in the Nation safe and healthful working conditions. The BLS SOII provides the Nation's primary indicator of the progress towards achieving this goal. BLS is the principal Federal </w:t>
      </w:r>
      <w:r>
        <w:rPr>
          <w:rFonts w:ascii="Arial" w:hAnsi="Arial" w:cs="Arial"/>
        </w:rPr>
        <w:t xml:space="preserve">statistical </w:t>
      </w:r>
      <w:r w:rsidRPr="00BA31F4">
        <w:rPr>
          <w:rFonts w:ascii="Arial" w:hAnsi="Arial" w:cs="Arial"/>
        </w:rPr>
        <w:t xml:space="preserve">agency responsible for measuring labor market activity, working conditions, and price changes in the economy. Its mission is to collect, analyze, and disseminate </w:t>
      </w:r>
      <w:r w:rsidRPr="00BE1586">
        <w:rPr>
          <w:rFonts w:ascii="Arial" w:hAnsi="Arial" w:cs="Arial"/>
        </w:rPr>
        <w:t xml:space="preserve">some of the </w:t>
      </w:r>
      <w:r w:rsidR="00DA65D3">
        <w:rPr>
          <w:rFonts w:ascii="Arial" w:hAnsi="Arial" w:cs="Arial"/>
        </w:rPr>
        <w:t>N</w:t>
      </w:r>
      <w:r w:rsidRPr="00BE1586">
        <w:rPr>
          <w:rFonts w:ascii="Arial" w:hAnsi="Arial" w:cs="Arial"/>
        </w:rPr>
        <w:t xml:space="preserve">ation’s most sensitive and important economic data </w:t>
      </w:r>
      <w:r w:rsidRPr="00BA31F4">
        <w:rPr>
          <w:rFonts w:ascii="Arial" w:hAnsi="Arial" w:cs="Arial"/>
        </w:rPr>
        <w:t xml:space="preserve">to support public and private decision-making. As an independent statistical agency, BLS </w:t>
      </w:r>
      <w:r w:rsidRPr="005B4EC3">
        <w:rPr>
          <w:rFonts w:ascii="Arial" w:hAnsi="Arial" w:cs="Arial"/>
        </w:rPr>
        <w:t xml:space="preserve">serves the </w:t>
      </w:r>
      <w:r w:rsidRPr="005B4EC3">
        <w:rPr>
          <w:rFonts w:ascii="Arial" w:hAnsi="Arial" w:cs="Arial"/>
        </w:rPr>
        <w:t>general public</w:t>
      </w:r>
      <w:r w:rsidRPr="005B4EC3">
        <w:rPr>
          <w:rFonts w:ascii="Arial" w:hAnsi="Arial" w:cs="Arial"/>
        </w:rPr>
        <w:t xml:space="preserve">, the U.S. Congress, DOL and other federal agencies, state and local governments, and business and labor by providing data products that are accurate, objective, relevant, timely, and accessible, as well as providing technical assistance and consulting services. </w:t>
      </w:r>
      <w:r w:rsidRPr="00BA31F4">
        <w:rPr>
          <w:rFonts w:ascii="Arial" w:hAnsi="Arial" w:cs="Arial"/>
        </w:rPr>
        <w:t>SOII’s mission is to produce estimates necessary for the safety and health community to save lives and reduce workplace injuries and illnesses. To that end, the survey measures the overall rate of occurrence of work injuries and illnesses by industry and</w:t>
      </w:r>
      <w:r w:rsidR="002C20A5">
        <w:rPr>
          <w:rFonts w:ascii="Arial" w:hAnsi="Arial" w:cs="Arial"/>
        </w:rPr>
        <w:t>—</w:t>
      </w:r>
      <w:r w:rsidRPr="00BA31F4">
        <w:rPr>
          <w:rFonts w:ascii="Arial" w:hAnsi="Arial" w:cs="Arial"/>
        </w:rPr>
        <w:t>for the most serious cases</w:t>
      </w:r>
      <w:r w:rsidR="002C20A5">
        <w:rPr>
          <w:rFonts w:ascii="Arial" w:hAnsi="Arial" w:cs="Arial"/>
        </w:rPr>
        <w:t>—</w:t>
      </w:r>
      <w:r w:rsidRPr="00BA31F4">
        <w:rPr>
          <w:rFonts w:ascii="Arial" w:hAnsi="Arial" w:cs="Arial"/>
        </w:rPr>
        <w:t>by occupation, worker characteristics, and case circumstance.</w:t>
      </w:r>
      <w:r>
        <w:rPr>
          <w:rFonts w:ascii="Arial" w:hAnsi="Arial" w:cs="Arial"/>
        </w:rPr>
        <w:t xml:space="preserve"> </w:t>
      </w:r>
      <w:r w:rsidRPr="00BA31F4">
        <w:rPr>
          <w:rFonts w:ascii="Arial" w:hAnsi="Arial" w:cs="Arial"/>
        </w:rPr>
        <w:t>The SOII program is vital to the safety of America’s workers. Without these necessary estimates, the safety and health community would be less able to focus enforcement efforts, research prevention practices, and put in place mitigating strategies which lead to fewer occupational fatalities, injuries, and illnesses.</w:t>
      </w:r>
    </w:p>
    <w:p w:rsidR="00B91FC4" w:rsidP="00B91FC4" w14:paraId="2544D367" w14:textId="723ACD14">
      <w:pPr>
        <w:spacing w:line="240" w:lineRule="exact"/>
        <w:rPr>
          <w:rFonts w:ascii="Arial" w:hAnsi="Arial" w:cs="Arial"/>
        </w:rPr>
      </w:pPr>
    </w:p>
    <w:p w:rsidR="00FE6D3A" w:rsidRPr="00B91FC4" w:rsidP="00FE6D3A" w14:paraId="4DE4C589" w14:textId="2DDF5FFF">
      <w:pPr>
        <w:spacing w:line="240" w:lineRule="exact"/>
        <w:rPr>
          <w:rFonts w:ascii="Arial" w:hAnsi="Arial" w:cs="Arial"/>
        </w:rPr>
      </w:pPr>
      <w:r w:rsidRPr="000F4ABE">
        <w:rPr>
          <w:rFonts w:ascii="Arial" w:hAnsi="Arial" w:cs="Arial"/>
        </w:rPr>
        <w:t>The work injury and illness data to be collected in the survey are not available from any other source. The only existing large body of work</w:t>
      </w:r>
      <w:r>
        <w:rPr>
          <w:rFonts w:ascii="Arial" w:hAnsi="Arial" w:cs="Arial"/>
        </w:rPr>
        <w:t xml:space="preserve"> on </w:t>
      </w:r>
      <w:r w:rsidR="00FF2791">
        <w:rPr>
          <w:rFonts w:ascii="Arial" w:hAnsi="Arial" w:cs="Arial"/>
        </w:rPr>
        <w:t>occupational</w:t>
      </w:r>
      <w:r w:rsidRPr="000F4ABE" w:rsidR="00FF2791">
        <w:rPr>
          <w:rFonts w:ascii="Arial" w:hAnsi="Arial" w:cs="Arial"/>
        </w:rPr>
        <w:t xml:space="preserve"> </w:t>
      </w:r>
      <w:r w:rsidRPr="000F4ABE">
        <w:rPr>
          <w:rFonts w:ascii="Arial" w:hAnsi="Arial" w:cs="Arial"/>
        </w:rPr>
        <w:t xml:space="preserve">injury and illness information </w:t>
      </w:r>
      <w:r w:rsidRPr="000F4ABE">
        <w:rPr>
          <w:rFonts w:ascii="Arial" w:hAnsi="Arial" w:cs="Arial"/>
        </w:rPr>
        <w:t>is located in</w:t>
      </w:r>
      <w:r w:rsidRPr="000F4ABE">
        <w:rPr>
          <w:rFonts w:ascii="Arial" w:hAnsi="Arial" w:cs="Arial"/>
        </w:rPr>
        <w:t xml:space="preserve"> workers' compensation programs; however, many states do not include all of the specific kinds of work-related cases which the Act requires employers to record and </w:t>
      </w:r>
      <w:r>
        <w:rPr>
          <w:rFonts w:ascii="Arial" w:hAnsi="Arial" w:cs="Arial"/>
        </w:rPr>
        <w:t xml:space="preserve">to </w:t>
      </w:r>
      <w:r w:rsidRPr="000F4ABE" w:rsidR="00883847">
        <w:rPr>
          <w:rFonts w:ascii="Arial" w:hAnsi="Arial" w:cs="Arial"/>
        </w:rPr>
        <w:t>report. Additionally</w:t>
      </w:r>
      <w:r w:rsidRPr="000F4ABE">
        <w:rPr>
          <w:rFonts w:ascii="Arial" w:hAnsi="Arial" w:cs="Arial"/>
        </w:rPr>
        <w:t xml:space="preserve">, coverage and reporting differences among states and lack of uniformly complete records prevent workers' compensation programs from providing statistically accurate data for national estimates. Workers' compensation data also do not provide a </w:t>
      </w:r>
      <w:r w:rsidR="00333D7A">
        <w:rPr>
          <w:rFonts w:ascii="Arial" w:hAnsi="Arial" w:cs="Arial"/>
        </w:rPr>
        <w:t xml:space="preserve">uniform </w:t>
      </w:r>
      <w:r w:rsidRPr="000F4ABE">
        <w:rPr>
          <w:rFonts w:ascii="Arial" w:hAnsi="Arial" w:cs="Arial"/>
        </w:rPr>
        <w:t xml:space="preserve">measure of the severity of the injury or illness, such as the number of days away from work, and many are missing the OSHA required data elements such as time of event. Therefore, data from state workers' compensation programs cannot serve as a replacement for the annual Survey. Since employers may have recorded demographic and injury/illness circumstances information on a workers' compensation first report of injury/illness form, company accident report, or other document, the survey form allows employers to attach copies of these documents in lieu of entering responses to covered questions on the survey instrument. </w:t>
      </w:r>
    </w:p>
    <w:p w:rsidR="00B91FC4" w:rsidRPr="00BA31F4" w:rsidP="00B91FC4" w14:paraId="5C6ECC97" w14:textId="77777777">
      <w:pPr>
        <w:spacing w:line="240" w:lineRule="exact"/>
        <w:rPr>
          <w:rFonts w:ascii="Arial" w:hAnsi="Arial" w:cs="Arial"/>
        </w:rPr>
      </w:pPr>
    </w:p>
    <w:p w:rsidR="00B91FC4" w:rsidRPr="00BA31F4" w:rsidP="00B91FC4" w14:paraId="21ABA336" w14:textId="0BA4006E">
      <w:pPr>
        <w:spacing w:line="240" w:lineRule="exact"/>
        <w:rPr>
          <w:rFonts w:ascii="Arial" w:hAnsi="Arial" w:cs="Arial"/>
        </w:rPr>
      </w:pPr>
      <w:r>
        <w:rPr>
          <w:rFonts w:ascii="Arial" w:hAnsi="Arial" w:cs="Arial"/>
        </w:rPr>
        <w:t xml:space="preserve">SOII </w:t>
      </w:r>
      <w:r w:rsidRPr="00BA31F4">
        <w:rPr>
          <w:rFonts w:ascii="Arial" w:hAnsi="Arial" w:cs="Arial"/>
        </w:rPr>
        <w:t xml:space="preserve">estimates are used by a wide range of stakeholders to assess the Nation's progress in improving the safety and health of America's </w:t>
      </w:r>
      <w:r w:rsidRPr="00BA31F4" w:rsidR="00FF2791">
        <w:rPr>
          <w:rFonts w:ascii="Arial" w:hAnsi="Arial" w:cs="Arial"/>
        </w:rPr>
        <w:t>workplaces</w:t>
      </w:r>
      <w:r w:rsidRPr="00BA31F4">
        <w:rPr>
          <w:rFonts w:ascii="Arial" w:hAnsi="Arial" w:cs="Arial"/>
        </w:rPr>
        <w:t xml:space="preserve">; to prioritize scarce </w:t>
      </w:r>
      <w:r>
        <w:rPr>
          <w:rFonts w:ascii="Arial" w:hAnsi="Arial" w:cs="Arial"/>
        </w:rPr>
        <w:t>f</w:t>
      </w:r>
      <w:r w:rsidRPr="00BA31F4">
        <w:rPr>
          <w:rFonts w:ascii="Arial" w:hAnsi="Arial" w:cs="Arial"/>
        </w:rPr>
        <w:t xml:space="preserve">ederal and state resources; to guide the development of injury and illness prevention strategies; and to support OSHA and state safety and health standards and research. These stakeholders include OSHA, the National Institute for Occupational Safety and Health (NIOSH), Congress, public policy analysts, state public health officials, safety and health advocates, researchers, and the media. Data are essential for evaluating the effectiveness of Federal and state programs for improving workplace safety and health. </w:t>
      </w:r>
      <w:r w:rsidRPr="00BA31F4">
        <w:rPr>
          <w:rFonts w:ascii="Arial" w:hAnsi="Arial" w:cs="Arial"/>
        </w:rPr>
        <w:t>For these reasons, it is necessary to provide estimates separately for participating states.</w:t>
      </w:r>
    </w:p>
    <w:p w:rsidR="00B91FC4" w:rsidRPr="00BA31F4" w:rsidP="00B91FC4" w14:paraId="3FC08EF0" w14:textId="77777777">
      <w:pPr>
        <w:spacing w:line="240" w:lineRule="exact"/>
        <w:rPr>
          <w:rFonts w:ascii="Arial" w:hAnsi="Arial" w:cs="Arial"/>
        </w:rPr>
      </w:pPr>
    </w:p>
    <w:p w:rsidR="00B91FC4" w:rsidRPr="00BA31F4" w:rsidP="00B91FC4" w14:paraId="593872A4" w14:textId="77777777">
      <w:pPr>
        <w:spacing w:line="240" w:lineRule="exact"/>
        <w:rPr>
          <w:rFonts w:ascii="Arial" w:hAnsi="Arial" w:cs="Arial"/>
        </w:rPr>
      </w:pPr>
      <w:r w:rsidRPr="00BA31F4">
        <w:rPr>
          <w:rFonts w:ascii="Arial" w:hAnsi="Arial" w:cs="Arial"/>
        </w:rPr>
        <w:t>The Bureau of Economic Analysis uses the BLS injury and illness survey data to prepare the economic accounts of the United States. The survey information is used to estimate employer contributions for workers' compensation by industry. The workers' compensation contributions are a component of the employer contributions for social insurance and other labor income in the national income and product account.</w:t>
      </w:r>
    </w:p>
    <w:p w:rsidR="00B91FC4" w:rsidRPr="00BA31F4" w:rsidP="00B91FC4" w14:paraId="6592D52B" w14:textId="77777777">
      <w:pPr>
        <w:spacing w:line="240" w:lineRule="exact"/>
        <w:rPr>
          <w:rFonts w:ascii="Arial" w:hAnsi="Arial" w:cs="Arial"/>
        </w:rPr>
      </w:pPr>
    </w:p>
    <w:p w:rsidR="00B91FC4" w:rsidRPr="00BA31F4" w:rsidP="00B91FC4" w14:paraId="4D08B96C" w14:textId="77777777">
      <w:pPr>
        <w:spacing w:line="240" w:lineRule="exact"/>
        <w:rPr>
          <w:rFonts w:ascii="Arial" w:hAnsi="Arial" w:cs="Arial"/>
        </w:rPr>
      </w:pPr>
      <w:r w:rsidRPr="00BA31F4">
        <w:rPr>
          <w:rFonts w:ascii="Arial" w:hAnsi="Arial" w:cs="Arial"/>
        </w:rPr>
        <w:t>NIOSH and the Council of State and Territorial Epidemiologists (CSTE) identified twenty-two occupational health indicators intended to improve the surveillance of workplace injuries and illnesses by state health agencies. Each health indicator is comprised of one or more frequency measures. The BLS SOII contributes three frequency measures to these health indicators.</w:t>
      </w:r>
    </w:p>
    <w:p w:rsidR="00B91FC4" w:rsidRPr="00BA31F4" w:rsidP="00B91FC4" w14:paraId="62BE462A" w14:textId="77777777">
      <w:pPr>
        <w:spacing w:line="240" w:lineRule="exact"/>
        <w:rPr>
          <w:rFonts w:ascii="Arial" w:hAnsi="Arial" w:cs="Arial"/>
        </w:rPr>
      </w:pPr>
    </w:p>
    <w:p w:rsidR="00693ED8" w:rsidP="00B91FC4" w14:paraId="3E36DF12" w14:textId="18FA1B92">
      <w:pPr>
        <w:spacing w:line="240" w:lineRule="exact"/>
        <w:rPr>
          <w:rFonts w:ascii="Arial" w:hAnsi="Arial" w:cs="Arial"/>
        </w:rPr>
      </w:pPr>
      <w:r>
        <w:rPr>
          <w:rFonts w:ascii="Arial" w:hAnsi="Arial" w:cs="Arial"/>
        </w:rPr>
        <w:t xml:space="preserve">The </w:t>
      </w:r>
      <w:r w:rsidRPr="00693ED8">
        <w:rPr>
          <w:rFonts w:ascii="Arial" w:hAnsi="Arial" w:cs="Arial"/>
        </w:rPr>
        <w:t>SOII estimates the number and frequency (incidence rates) of workplace injuries and illnesses</w:t>
      </w:r>
      <w:r>
        <w:rPr>
          <w:rFonts w:ascii="Arial" w:hAnsi="Arial" w:cs="Arial"/>
        </w:rPr>
        <w:t xml:space="preserve"> by industry. Since 1992, the SOII </w:t>
      </w:r>
      <w:r w:rsidR="004209FB">
        <w:rPr>
          <w:rFonts w:ascii="Arial" w:hAnsi="Arial" w:cs="Arial"/>
        </w:rPr>
        <w:t xml:space="preserve">has </w:t>
      </w:r>
      <w:r>
        <w:rPr>
          <w:rFonts w:ascii="Arial" w:hAnsi="Arial" w:cs="Arial"/>
        </w:rPr>
        <w:t>also collect</w:t>
      </w:r>
      <w:r w:rsidR="004209FB">
        <w:rPr>
          <w:rFonts w:ascii="Arial" w:hAnsi="Arial" w:cs="Arial"/>
        </w:rPr>
        <w:t>ed</w:t>
      </w:r>
      <w:r>
        <w:rPr>
          <w:rFonts w:ascii="Arial" w:hAnsi="Arial" w:cs="Arial"/>
        </w:rPr>
        <w:t xml:space="preserve"> </w:t>
      </w:r>
      <w:r w:rsidRPr="00693ED8">
        <w:rPr>
          <w:rFonts w:ascii="Arial" w:hAnsi="Arial" w:cs="Arial"/>
        </w:rPr>
        <w:t>information for the subset of nonfatal cases that involved at least 1 day away from work</w:t>
      </w:r>
      <w:r>
        <w:rPr>
          <w:rFonts w:ascii="Arial" w:hAnsi="Arial" w:cs="Arial"/>
        </w:rPr>
        <w:t xml:space="preserve"> (DAFW)</w:t>
      </w:r>
      <w:r w:rsidRPr="00693ED8">
        <w:rPr>
          <w:rFonts w:ascii="Arial" w:hAnsi="Arial" w:cs="Arial"/>
        </w:rPr>
        <w:t>, beyond the day of injury or onset of illness</w:t>
      </w:r>
      <w:r>
        <w:rPr>
          <w:rFonts w:ascii="Arial" w:hAnsi="Arial" w:cs="Arial"/>
        </w:rPr>
        <w:t>, thought to be the most severe injury cases</w:t>
      </w:r>
      <w:r w:rsidRPr="00693ED8">
        <w:rPr>
          <w:rFonts w:ascii="Arial" w:hAnsi="Arial" w:cs="Arial"/>
        </w:rPr>
        <w:t xml:space="preserve">. </w:t>
      </w:r>
      <w:r>
        <w:rPr>
          <w:rFonts w:ascii="Arial" w:hAnsi="Arial" w:cs="Arial"/>
        </w:rPr>
        <w:t>T</w:t>
      </w:r>
      <w:r w:rsidRPr="00693ED8">
        <w:rPr>
          <w:rFonts w:ascii="Arial" w:hAnsi="Arial" w:cs="Arial"/>
        </w:rPr>
        <w:t xml:space="preserve">he SOII provides detailed information on the injured/ill worker (age, sex, race, industry, occupation, and length of service), the time in shift, and the circumstances of the injuries and illnesses classified by standardized codes (nature of the injury/illness, part of body affected, primary and secondary sources of the injury/illness, and the event or exposure that produced the injury/illness). Race data categories reflect the Office of Management and Budget (OMB) recommended categories for non-self-reported classification. Optional information on the general job category is used to improve coding for non-descriptive job titles, such as "Customer Service Representative." A check-off for before/during/after work shift is included to identify the events that occurred before or after the work shift. </w:t>
      </w:r>
    </w:p>
    <w:p w:rsidR="00693ED8" w:rsidP="00B91FC4" w14:paraId="78616F04" w14:textId="77777777">
      <w:pPr>
        <w:spacing w:line="240" w:lineRule="exact"/>
        <w:rPr>
          <w:rFonts w:ascii="Arial" w:hAnsi="Arial" w:cs="Arial"/>
        </w:rPr>
      </w:pPr>
    </w:p>
    <w:p w:rsidR="00B91FC4" w:rsidRPr="00BA31F4" w:rsidP="00B91FC4" w14:paraId="563E1FDE" w14:textId="65F1B1AA">
      <w:pPr>
        <w:spacing w:line="240" w:lineRule="exact"/>
        <w:rPr>
          <w:rFonts w:ascii="Arial" w:hAnsi="Arial" w:cs="Arial"/>
        </w:rPr>
      </w:pPr>
      <w:r w:rsidRPr="00BA31F4">
        <w:rPr>
          <w:rFonts w:ascii="Arial" w:hAnsi="Arial" w:cs="Arial"/>
        </w:rPr>
        <w:t>Beginning with survey year 2008, the SOII published national estimates of workplace injuries and illnesses sustained by state and local government workers, including those in such r</w:t>
      </w:r>
      <w:r w:rsidR="00AB42A0">
        <w:rPr>
          <w:rFonts w:ascii="Arial" w:hAnsi="Arial" w:cs="Arial"/>
        </w:rPr>
        <w:t>e</w:t>
      </w:r>
      <w:r w:rsidRPr="00BA31F4">
        <w:rPr>
          <w:rFonts w:ascii="Arial" w:hAnsi="Arial" w:cs="Arial"/>
        </w:rPr>
        <w:t>latively high hazard and high</w:t>
      </w:r>
      <w:r w:rsidR="00681953">
        <w:rPr>
          <w:rFonts w:ascii="Arial" w:hAnsi="Arial" w:cs="Arial"/>
        </w:rPr>
        <w:t>-</w:t>
      </w:r>
      <w:r w:rsidRPr="00BA31F4">
        <w:rPr>
          <w:rFonts w:ascii="Arial" w:hAnsi="Arial" w:cs="Arial"/>
        </w:rPr>
        <w:t>profile occupations as police, firefighters, paramedics, and other public health workers. The BLS collects data from state and local government agencies in all states to support both state and national estimates. The BLS regard</w:t>
      </w:r>
      <w:r w:rsidR="00672243">
        <w:rPr>
          <w:rFonts w:ascii="Arial" w:hAnsi="Arial" w:cs="Arial"/>
        </w:rPr>
        <w:t>ed</w:t>
      </w:r>
      <w:r w:rsidRPr="00BA31F4">
        <w:rPr>
          <w:rFonts w:ascii="Arial" w:hAnsi="Arial" w:cs="Arial"/>
        </w:rPr>
        <w:t xml:space="preserve"> the collection of these data as a significant expansion in its overall coverage of the American workplace</w:t>
      </w:r>
      <w:r w:rsidR="00693ED8">
        <w:rPr>
          <w:rFonts w:ascii="Arial" w:hAnsi="Arial" w:cs="Arial"/>
        </w:rPr>
        <w:t>.</w:t>
      </w:r>
      <w:r w:rsidRPr="00BA31F4">
        <w:rPr>
          <w:rFonts w:ascii="Arial" w:hAnsi="Arial" w:cs="Arial"/>
        </w:rPr>
        <w:t xml:space="preserve"> </w:t>
      </w:r>
    </w:p>
    <w:p w:rsidR="00B91FC4" w:rsidRPr="00BA31F4" w:rsidP="00B91FC4" w14:paraId="28597D10" w14:textId="77777777">
      <w:pPr>
        <w:spacing w:line="240" w:lineRule="exact"/>
        <w:rPr>
          <w:rFonts w:ascii="Arial" w:hAnsi="Arial" w:cs="Arial"/>
        </w:rPr>
      </w:pPr>
      <w:r w:rsidRPr="00BA31F4">
        <w:rPr>
          <w:rFonts w:ascii="Arial" w:hAnsi="Arial" w:cs="Arial"/>
        </w:rPr>
        <w:t xml:space="preserve"> </w:t>
      </w:r>
    </w:p>
    <w:p w:rsidR="00B91FC4" w:rsidRPr="00BA31F4" w:rsidP="00B91FC4" w14:paraId="67D015A8" w14:textId="78C50D30">
      <w:pPr>
        <w:spacing w:line="240" w:lineRule="exact"/>
        <w:rPr>
          <w:rFonts w:ascii="Arial" w:hAnsi="Arial" w:cs="Arial"/>
        </w:rPr>
      </w:pPr>
      <w:r w:rsidRPr="00215C34">
        <w:rPr>
          <w:rFonts w:ascii="Arial" w:hAnsi="Arial" w:cs="Arial"/>
        </w:rPr>
        <w:t xml:space="preserve">Days of job transfer or restriction (DJTR) cases </w:t>
      </w:r>
      <w:r w:rsidR="00C3573D">
        <w:rPr>
          <w:rFonts w:ascii="Arial" w:hAnsi="Arial" w:cs="Arial"/>
        </w:rPr>
        <w:t>became</w:t>
      </w:r>
      <w:r w:rsidRPr="00215C34">
        <w:rPr>
          <w:rFonts w:ascii="Arial" w:hAnsi="Arial" w:cs="Arial"/>
        </w:rPr>
        <w:t xml:space="preserve"> more prevalent since 1992</w:t>
      </w:r>
      <w:r>
        <w:rPr>
          <w:rFonts w:ascii="Arial" w:hAnsi="Arial" w:cs="Arial"/>
        </w:rPr>
        <w:t>,</w:t>
      </w:r>
      <w:r w:rsidRPr="00215C34">
        <w:rPr>
          <w:rFonts w:ascii="Arial" w:hAnsi="Arial" w:cs="Arial"/>
        </w:rPr>
        <w:t xml:space="preserve"> when detailed data were first collected for DAFW cases. </w:t>
      </w:r>
      <w:r w:rsidRPr="00BA31F4">
        <w:rPr>
          <w:rFonts w:ascii="Arial" w:hAnsi="Arial" w:cs="Arial"/>
        </w:rPr>
        <w:t xml:space="preserve">In the two decades prior to the OSHA recordkeeping changes in 2002, incidence rates for </w:t>
      </w:r>
      <w:r w:rsidR="00672243">
        <w:rPr>
          <w:rFonts w:ascii="Arial" w:hAnsi="Arial" w:cs="Arial"/>
        </w:rPr>
        <w:t xml:space="preserve">DAFW </w:t>
      </w:r>
      <w:r w:rsidRPr="00BA31F4">
        <w:rPr>
          <w:rFonts w:ascii="Arial" w:hAnsi="Arial" w:cs="Arial"/>
        </w:rPr>
        <w:t xml:space="preserve">cases decreased significantly while incidence rates for </w:t>
      </w:r>
      <w:r w:rsidR="00672243">
        <w:rPr>
          <w:rFonts w:ascii="Arial" w:hAnsi="Arial" w:cs="Arial"/>
        </w:rPr>
        <w:t xml:space="preserve">DJTR </w:t>
      </w:r>
      <w:r w:rsidRPr="00BA31F4">
        <w:rPr>
          <w:rFonts w:ascii="Arial" w:hAnsi="Arial" w:cs="Arial"/>
        </w:rPr>
        <w:t xml:space="preserve">cases increased significantly. </w:t>
      </w:r>
      <w:r w:rsidRPr="00215C34" w:rsidR="00167C88">
        <w:rPr>
          <w:rFonts w:ascii="Arial" w:hAnsi="Arial" w:cs="Arial"/>
        </w:rPr>
        <w:t xml:space="preserve">In 1992, DJTR cases accounted for 21 percent of total days away from work, days of restricted work activity, or job transfer </w:t>
      </w:r>
      <w:r w:rsidRPr="00215C34" w:rsidR="00926B00">
        <w:rPr>
          <w:rFonts w:ascii="Arial" w:hAnsi="Arial" w:cs="Arial"/>
        </w:rPr>
        <w:t>(DART)</w:t>
      </w:r>
      <w:r w:rsidR="00926B00">
        <w:rPr>
          <w:rFonts w:ascii="Arial" w:hAnsi="Arial" w:cs="Arial"/>
        </w:rPr>
        <w:t xml:space="preserve"> </w:t>
      </w:r>
      <w:r w:rsidRPr="00215C34" w:rsidR="00167C88">
        <w:rPr>
          <w:rFonts w:ascii="Arial" w:hAnsi="Arial" w:cs="Arial"/>
        </w:rPr>
        <w:t>cases. By 2011, DJTR accounted for 40 percent of these cases</w:t>
      </w:r>
      <w:r w:rsidR="00167C88">
        <w:rPr>
          <w:rFonts w:ascii="Arial" w:hAnsi="Arial" w:cs="Arial"/>
        </w:rPr>
        <w:t xml:space="preserve">. </w:t>
      </w:r>
      <w:r w:rsidRPr="00215C34" w:rsidR="00167C88">
        <w:rPr>
          <w:rFonts w:ascii="Arial" w:hAnsi="Arial" w:cs="Arial"/>
        </w:rPr>
        <w:t xml:space="preserve">Both the incidence rate and number of </w:t>
      </w:r>
      <w:r w:rsidR="00672243">
        <w:rPr>
          <w:rFonts w:ascii="Arial" w:hAnsi="Arial" w:cs="Arial"/>
        </w:rPr>
        <w:t xml:space="preserve">DJTR </w:t>
      </w:r>
      <w:r w:rsidRPr="00215C34" w:rsidR="00167C88">
        <w:rPr>
          <w:rFonts w:ascii="Arial" w:hAnsi="Arial" w:cs="Arial"/>
        </w:rPr>
        <w:t xml:space="preserve">cases exceeded that of DAFW in the manufacturing industry sector </w:t>
      </w:r>
      <w:r w:rsidR="00681953">
        <w:rPr>
          <w:rFonts w:ascii="Arial" w:hAnsi="Arial" w:cs="Arial"/>
        </w:rPr>
        <w:t xml:space="preserve">from the </w:t>
      </w:r>
      <w:r w:rsidRPr="00215C34" w:rsidR="00167C88">
        <w:rPr>
          <w:rFonts w:ascii="Arial" w:hAnsi="Arial" w:cs="Arial"/>
        </w:rPr>
        <w:t>late 1990s</w:t>
      </w:r>
      <w:r w:rsidR="00681953">
        <w:rPr>
          <w:rFonts w:ascii="Arial" w:hAnsi="Arial" w:cs="Arial"/>
        </w:rPr>
        <w:t xml:space="preserve"> up until the pandemic</w:t>
      </w:r>
      <w:r w:rsidRPr="00215C34" w:rsidR="00167C88">
        <w:rPr>
          <w:rFonts w:ascii="Arial" w:hAnsi="Arial" w:cs="Arial"/>
        </w:rPr>
        <w:t xml:space="preserve">. </w:t>
      </w:r>
      <w:r w:rsidRPr="00BA31F4">
        <w:rPr>
          <w:rFonts w:ascii="Arial" w:hAnsi="Arial" w:cs="Arial"/>
        </w:rPr>
        <w:t xml:space="preserve">Since the BLS previously collected case and demographic data only for </w:t>
      </w:r>
      <w:r w:rsidR="00C3573D">
        <w:rPr>
          <w:rFonts w:ascii="Arial" w:hAnsi="Arial" w:cs="Arial"/>
        </w:rPr>
        <w:t xml:space="preserve">DAFW </w:t>
      </w:r>
      <w:r w:rsidRPr="00BA31F4">
        <w:rPr>
          <w:rFonts w:ascii="Arial" w:hAnsi="Arial" w:cs="Arial"/>
        </w:rPr>
        <w:t xml:space="preserve">cases, </w:t>
      </w:r>
      <w:r w:rsidR="00C3573D">
        <w:rPr>
          <w:rFonts w:ascii="Arial" w:hAnsi="Arial" w:cs="Arial"/>
        </w:rPr>
        <w:t>details were not available to explain the growing trend in DJTR cases</w:t>
      </w:r>
      <w:r w:rsidRPr="00BA31F4">
        <w:rPr>
          <w:rFonts w:ascii="Arial" w:hAnsi="Arial" w:cs="Arial"/>
        </w:rPr>
        <w:t xml:space="preserve">.  </w:t>
      </w:r>
    </w:p>
    <w:p w:rsidR="00215C34" w:rsidP="00B91FC4" w14:paraId="1903269E" w14:textId="77777777">
      <w:pPr>
        <w:spacing w:line="240" w:lineRule="exact"/>
        <w:rPr>
          <w:rFonts w:ascii="Arial" w:hAnsi="Arial" w:cs="Arial"/>
        </w:rPr>
      </w:pPr>
    </w:p>
    <w:p w:rsidR="00167C88" w:rsidP="00167C88" w14:paraId="4FF6524B" w14:textId="14214A1D">
      <w:pPr>
        <w:widowControl/>
        <w:spacing w:line="240" w:lineRule="exact"/>
        <w:rPr>
          <w:rFonts w:ascii="Arial" w:hAnsi="Arial" w:cs="Arial"/>
          <w:u w:val="single"/>
        </w:rPr>
      </w:pPr>
      <w:r w:rsidRPr="00BA31F4">
        <w:rPr>
          <w:rFonts w:ascii="Arial" w:hAnsi="Arial" w:cs="Arial"/>
        </w:rPr>
        <w:t>Beginning with the survey year</w:t>
      </w:r>
      <w:r>
        <w:rPr>
          <w:rFonts w:ascii="Arial" w:hAnsi="Arial" w:cs="Arial"/>
        </w:rPr>
        <w:t xml:space="preserve"> 2011</w:t>
      </w:r>
      <w:r w:rsidR="00C3573D">
        <w:rPr>
          <w:rFonts w:ascii="Arial" w:hAnsi="Arial" w:cs="Arial"/>
        </w:rPr>
        <w:t xml:space="preserve"> and ending with survey year 2019</w:t>
      </w:r>
      <w:r w:rsidRPr="00BA31F4">
        <w:rPr>
          <w:rFonts w:ascii="Arial" w:hAnsi="Arial" w:cs="Arial"/>
        </w:rPr>
        <w:t xml:space="preserve">, BLS </w:t>
      </w:r>
      <w:r w:rsidR="00C3573D">
        <w:rPr>
          <w:rFonts w:ascii="Arial" w:hAnsi="Arial" w:cs="Arial"/>
        </w:rPr>
        <w:t>conducted a series of three 3-year pilot studies to</w:t>
      </w:r>
      <w:r w:rsidRPr="00BA31F4">
        <w:rPr>
          <w:rFonts w:ascii="Arial" w:hAnsi="Arial" w:cs="Arial"/>
        </w:rPr>
        <w:t xml:space="preserve"> test the collection of case and demographic data for injury and illness cases that require</w:t>
      </w:r>
      <w:r w:rsidR="00672243">
        <w:rPr>
          <w:rFonts w:ascii="Arial" w:hAnsi="Arial" w:cs="Arial"/>
        </w:rPr>
        <w:t>d</w:t>
      </w:r>
      <w:r w:rsidRPr="00BA31F4">
        <w:rPr>
          <w:rFonts w:ascii="Arial" w:hAnsi="Arial" w:cs="Arial"/>
        </w:rPr>
        <w:t xml:space="preserve"> only days of job transfer or restriction. Industry </w:t>
      </w:r>
      <w:r w:rsidRPr="00BA31F4">
        <w:rPr>
          <w:rFonts w:ascii="Arial" w:hAnsi="Arial" w:cs="Arial"/>
        </w:rPr>
        <w:t xml:space="preserve">subsectors were selected based on their </w:t>
      </w:r>
      <w:r w:rsidR="00926B00">
        <w:rPr>
          <w:rFonts w:ascii="Arial" w:hAnsi="Arial" w:cs="Arial"/>
        </w:rPr>
        <w:t>DJTR</w:t>
      </w:r>
      <w:r w:rsidRPr="00BA31F4">
        <w:rPr>
          <w:rFonts w:ascii="Arial" w:hAnsi="Arial" w:cs="Arial"/>
        </w:rPr>
        <w:t xml:space="preserve"> incidence rate (and to some degree the number of cases) in years before the </w:t>
      </w:r>
      <w:r>
        <w:rPr>
          <w:rFonts w:ascii="Arial" w:hAnsi="Arial" w:cs="Arial"/>
        </w:rPr>
        <w:t xml:space="preserve">first </w:t>
      </w:r>
      <w:r w:rsidRPr="00BA31F4">
        <w:rPr>
          <w:rFonts w:ascii="Arial" w:hAnsi="Arial" w:cs="Arial"/>
        </w:rPr>
        <w:t xml:space="preserve">pilot study. Some industries were selected if the </w:t>
      </w:r>
      <w:r w:rsidR="00926B00">
        <w:rPr>
          <w:rFonts w:ascii="Arial" w:hAnsi="Arial" w:cs="Arial"/>
        </w:rPr>
        <w:t>DJTR</w:t>
      </w:r>
      <w:r w:rsidRPr="00BA31F4">
        <w:rPr>
          <w:rFonts w:ascii="Arial" w:hAnsi="Arial" w:cs="Arial"/>
        </w:rPr>
        <w:t xml:space="preserve"> incidence rate was greater than or equal to the </w:t>
      </w:r>
      <w:r w:rsidR="00926B00">
        <w:rPr>
          <w:rFonts w:ascii="Arial" w:hAnsi="Arial" w:cs="Arial"/>
        </w:rPr>
        <w:t>DAFW</w:t>
      </w:r>
      <w:r w:rsidRPr="00BA31F4">
        <w:rPr>
          <w:rFonts w:ascii="Arial" w:hAnsi="Arial" w:cs="Arial"/>
        </w:rPr>
        <w:t xml:space="preserve"> incidence rate in the respective industry.</w:t>
      </w:r>
      <w:r>
        <w:rPr>
          <w:rFonts w:ascii="Arial" w:hAnsi="Arial" w:cs="Arial"/>
        </w:rPr>
        <w:t xml:space="preserve"> </w:t>
      </w:r>
      <w:r w:rsidRPr="00A05948">
        <w:rPr>
          <w:rFonts w:ascii="Arial" w:hAnsi="Arial" w:cs="Arial"/>
        </w:rPr>
        <w:t xml:space="preserve">Data from these pilots can be found at </w:t>
      </w:r>
      <w:hyperlink r:id="rId6" w:history="1">
        <w:r w:rsidR="00672243">
          <w:rPr>
            <w:rStyle w:val="Hyperlink"/>
            <w:rFonts w:ascii="Arial" w:hAnsi="Arial" w:cs="Arial"/>
          </w:rPr>
          <w:t>https://www.bls.gov/iif/nonfatal-injuries-and-illnesses-tables/soii-case-and-demographic-characteristics-historical-data/days-of-job-transfer-or-restriction.htm</w:t>
        </w:r>
      </w:hyperlink>
      <w:r w:rsidRPr="00A05948">
        <w:rPr>
          <w:rFonts w:ascii="Arial" w:hAnsi="Arial" w:cs="Arial"/>
          <w:u w:val="single"/>
        </w:rPr>
        <w:t>.</w:t>
      </w:r>
    </w:p>
    <w:p w:rsidR="007E0F49" w:rsidRPr="00A05948" w:rsidP="00167C88" w14:paraId="2022FC10" w14:textId="77777777">
      <w:pPr>
        <w:widowControl/>
        <w:spacing w:line="240" w:lineRule="exact"/>
        <w:rPr>
          <w:rFonts w:ascii="Arial" w:hAnsi="Arial" w:cs="Arial"/>
        </w:rPr>
      </w:pPr>
    </w:p>
    <w:p w:rsidR="00167C88" w:rsidRPr="00A05948" w:rsidP="00167C88" w14:paraId="0675DC82" w14:textId="4A15487D">
      <w:pPr>
        <w:widowControl/>
        <w:spacing w:line="240" w:lineRule="exact"/>
        <w:rPr>
          <w:rFonts w:ascii="Arial" w:hAnsi="Arial" w:cs="Arial"/>
        </w:rPr>
      </w:pPr>
      <w:r w:rsidRPr="00A05948">
        <w:rPr>
          <w:rFonts w:ascii="Arial" w:hAnsi="Arial" w:cs="Arial"/>
        </w:rPr>
        <w:t xml:space="preserve">Analysis of DJTR data </w:t>
      </w:r>
      <w:r w:rsidR="00926B00">
        <w:rPr>
          <w:rFonts w:ascii="Arial" w:hAnsi="Arial" w:cs="Arial"/>
        </w:rPr>
        <w:t xml:space="preserve">from these pilots </w:t>
      </w:r>
      <w:r w:rsidRPr="00A05948">
        <w:rPr>
          <w:rFonts w:ascii="Arial" w:hAnsi="Arial" w:cs="Arial"/>
        </w:rPr>
        <w:t xml:space="preserve">showed that their inclusion provides a more complete understanding of the circumstances leading to occupational injuries and illnesses than DAFW cases alone can provide. For example, the percentage of DAFW versus DJTR cases in the Food services and drinking places industry remained the same regardless </w:t>
      </w:r>
      <w:r w:rsidR="00FD02CF">
        <w:rPr>
          <w:rFonts w:ascii="Arial" w:hAnsi="Arial" w:cs="Arial"/>
        </w:rPr>
        <w:t xml:space="preserve">of </w:t>
      </w:r>
      <w:r w:rsidRPr="00A05948">
        <w:rPr>
          <w:rFonts w:ascii="Arial" w:hAnsi="Arial" w:cs="Arial"/>
        </w:rPr>
        <w:t>the age of the worker. While in the Amusement, gambling, and recreation industry, workers under the age of 45 had a higher percentage of DJTR cases than DAFW cases. If studying only a few selected industries, policy makers and researchers would be unable to determine the complete picture of this phenomenon. If all industries could be analyzed, safety resources and return-to-work strategies could be developed to address the unique work experiences by the age of the worker or by other characteristics.</w:t>
      </w:r>
    </w:p>
    <w:p w:rsidR="00167C88" w:rsidRPr="00A05948" w:rsidP="00167C88" w14:paraId="729911C8" w14:textId="77777777">
      <w:pPr>
        <w:widowControl/>
        <w:spacing w:line="240" w:lineRule="exact"/>
        <w:rPr>
          <w:rFonts w:ascii="Arial" w:hAnsi="Arial" w:cs="Arial"/>
        </w:rPr>
      </w:pPr>
    </w:p>
    <w:p w:rsidR="00167C88" w:rsidRPr="00BA31F4" w:rsidP="00167C88" w14:paraId="5A55BBA5" w14:textId="6B62D627">
      <w:pPr>
        <w:spacing w:line="240" w:lineRule="exact"/>
        <w:rPr>
          <w:rFonts w:ascii="Arial" w:hAnsi="Arial" w:cs="Arial"/>
        </w:rPr>
      </w:pPr>
      <w:r w:rsidRPr="00A05948">
        <w:rPr>
          <w:rFonts w:ascii="Arial" w:hAnsi="Arial" w:cs="Arial"/>
        </w:rPr>
        <w:t xml:space="preserve">Based on the findings from these studies and the depth of information they produced, as well as the recommendation from the National Academy of Sciences (NAS) </w:t>
      </w:r>
      <w:r w:rsidRPr="00A05948">
        <w:rPr>
          <w:rFonts w:ascii="Arial" w:hAnsi="Arial" w:cs="Arial"/>
          <w:i/>
        </w:rPr>
        <w:t>A Smarter National Surveillance System for Occupational Safety and Health in the 21st Century</w:t>
      </w:r>
      <w:r w:rsidRPr="00A05948">
        <w:rPr>
          <w:rFonts w:ascii="Arial" w:hAnsi="Arial" w:cs="Arial"/>
        </w:rPr>
        <w:t>,</w:t>
      </w:r>
      <w:r>
        <w:rPr>
          <w:rFonts w:ascii="Arial" w:hAnsi="Arial" w:cs="Arial"/>
          <w:vertAlign w:val="superscript"/>
        </w:rPr>
        <w:footnoteReference w:id="3"/>
      </w:r>
      <w:r w:rsidRPr="00A05948">
        <w:rPr>
          <w:rFonts w:ascii="Arial" w:hAnsi="Arial" w:cs="Arial"/>
        </w:rPr>
        <w:t xml:space="preserve"> </w:t>
      </w:r>
      <w:r>
        <w:rPr>
          <w:rFonts w:ascii="Arial" w:hAnsi="Arial" w:cs="Arial"/>
        </w:rPr>
        <w:t>p</w:t>
      </w:r>
      <w:r w:rsidRPr="00A05948">
        <w:rPr>
          <w:rFonts w:ascii="Arial" w:hAnsi="Arial" w:cs="Arial"/>
        </w:rPr>
        <w:t>articularly, Recommendation A from Chapter 4 of the NAS report noted, “BLS should routinely collect detailed case and demographic data for injuries and illnesses resulting in job transfer or restricted duty as well as those resulting in days away from work.” The report further note</w:t>
      </w:r>
      <w:r w:rsidR="000D4ED2">
        <w:rPr>
          <w:rFonts w:ascii="Arial" w:hAnsi="Arial" w:cs="Arial"/>
        </w:rPr>
        <w:t>d</w:t>
      </w:r>
      <w:r w:rsidRPr="00A05948">
        <w:rPr>
          <w:rFonts w:ascii="Arial" w:hAnsi="Arial" w:cs="Arial"/>
        </w:rPr>
        <w:t xml:space="preserve"> that this could be easily accomplished in the short term with minimal impact to respondent burden </w:t>
      </w:r>
      <w:r w:rsidRPr="00A05948" w:rsidR="000D4ED2">
        <w:rPr>
          <w:rFonts w:ascii="Arial" w:hAnsi="Arial" w:cs="Arial"/>
        </w:rPr>
        <w:t>since</w:t>
      </w:r>
      <w:r w:rsidRPr="00A05948">
        <w:rPr>
          <w:rFonts w:ascii="Arial" w:hAnsi="Arial" w:cs="Arial"/>
        </w:rPr>
        <w:t xml:space="preserve"> these data are already recorded by employers.</w:t>
      </w:r>
    </w:p>
    <w:p w:rsidR="00215C34" w:rsidP="00362FC0" w14:paraId="76FCDC08" w14:textId="77777777">
      <w:pPr>
        <w:widowControl/>
        <w:spacing w:line="240" w:lineRule="exact"/>
        <w:rPr>
          <w:rFonts w:ascii="Arial" w:hAnsi="Arial" w:cs="Arial"/>
        </w:rPr>
      </w:pPr>
    </w:p>
    <w:p w:rsidR="00167C88" w:rsidP="00883847" w14:paraId="0DB17BA2" w14:textId="2C11EA7D">
      <w:pPr>
        <w:spacing w:line="240" w:lineRule="exact"/>
        <w:rPr>
          <w:rFonts w:ascii="Arial" w:hAnsi="Arial" w:cs="Arial"/>
        </w:rPr>
      </w:pPr>
      <w:r>
        <w:rPr>
          <w:rFonts w:ascii="Arial" w:hAnsi="Arial" w:cs="Arial"/>
        </w:rPr>
        <w:t>T</w:t>
      </w:r>
      <w:r w:rsidRPr="00362FC0">
        <w:rPr>
          <w:rFonts w:ascii="Arial" w:hAnsi="Arial" w:cs="Arial"/>
        </w:rPr>
        <w:t xml:space="preserve">he BLS </w:t>
      </w:r>
      <w:r w:rsidR="00C3573D">
        <w:rPr>
          <w:rFonts w:ascii="Arial" w:hAnsi="Arial" w:cs="Arial"/>
        </w:rPr>
        <w:t>began</w:t>
      </w:r>
      <w:r w:rsidRPr="00362FC0">
        <w:rPr>
          <w:rFonts w:ascii="Arial" w:hAnsi="Arial" w:cs="Arial"/>
        </w:rPr>
        <w:t xml:space="preserve"> collect</w:t>
      </w:r>
      <w:r w:rsidR="00125FBB">
        <w:rPr>
          <w:rFonts w:ascii="Arial" w:hAnsi="Arial" w:cs="Arial"/>
        </w:rPr>
        <w:t>ing</w:t>
      </w:r>
      <w:r w:rsidRPr="00362FC0">
        <w:rPr>
          <w:rFonts w:ascii="Arial" w:hAnsi="Arial" w:cs="Arial"/>
        </w:rPr>
        <w:t xml:space="preserve"> information on DJTR cases for all industries</w:t>
      </w:r>
      <w:r w:rsidR="00125FBB">
        <w:rPr>
          <w:rFonts w:ascii="Arial" w:hAnsi="Arial" w:cs="Arial"/>
        </w:rPr>
        <w:t xml:space="preserve"> starting with survey year 2021</w:t>
      </w:r>
      <w:r w:rsidR="00297064">
        <w:rPr>
          <w:rFonts w:ascii="Arial" w:hAnsi="Arial" w:cs="Arial"/>
        </w:rPr>
        <w:t xml:space="preserve"> and</w:t>
      </w:r>
      <w:r w:rsidRPr="002956E8">
        <w:rPr>
          <w:rFonts w:ascii="Arial" w:hAnsi="Arial" w:cs="Arial"/>
        </w:rPr>
        <w:t xml:space="preserve"> regards the collection of </w:t>
      </w:r>
      <w:r w:rsidR="00C3573D">
        <w:rPr>
          <w:rFonts w:ascii="Arial" w:hAnsi="Arial" w:cs="Arial"/>
        </w:rPr>
        <w:t xml:space="preserve">details for </w:t>
      </w:r>
      <w:r w:rsidRPr="002956E8">
        <w:rPr>
          <w:rFonts w:ascii="Arial" w:hAnsi="Arial" w:cs="Arial"/>
        </w:rPr>
        <w:t>these cases as significant in its coverage of the American workforce</w:t>
      </w:r>
      <w:r>
        <w:rPr>
          <w:rFonts w:ascii="Arial" w:hAnsi="Arial" w:cs="Arial"/>
        </w:rPr>
        <w:t xml:space="preserve">. </w:t>
      </w:r>
      <w:r w:rsidRPr="00A84852" w:rsidR="00A84852">
        <w:rPr>
          <w:rFonts w:ascii="Arial" w:hAnsi="Arial" w:cs="Arial"/>
        </w:rPr>
        <w:t xml:space="preserve">To retain the level of </w:t>
      </w:r>
      <w:r>
        <w:rPr>
          <w:rFonts w:ascii="Arial" w:hAnsi="Arial" w:cs="Arial"/>
        </w:rPr>
        <w:t xml:space="preserve">currently published detail for DAFW </w:t>
      </w:r>
      <w:r w:rsidRPr="00A84852" w:rsidR="00A84852">
        <w:rPr>
          <w:rFonts w:ascii="Arial" w:hAnsi="Arial" w:cs="Arial"/>
        </w:rPr>
        <w:t>case</w:t>
      </w:r>
      <w:r>
        <w:rPr>
          <w:rFonts w:ascii="Arial" w:hAnsi="Arial" w:cs="Arial"/>
        </w:rPr>
        <w:t>s</w:t>
      </w:r>
      <w:r w:rsidRPr="00A84852" w:rsidR="00A84852">
        <w:rPr>
          <w:rFonts w:ascii="Arial" w:hAnsi="Arial" w:cs="Arial"/>
        </w:rPr>
        <w:t xml:space="preserve"> </w:t>
      </w:r>
      <w:r w:rsidR="00C3573D">
        <w:rPr>
          <w:rFonts w:ascii="Arial" w:hAnsi="Arial" w:cs="Arial"/>
        </w:rPr>
        <w:t xml:space="preserve">to </w:t>
      </w:r>
      <w:r>
        <w:rPr>
          <w:rFonts w:ascii="Arial" w:hAnsi="Arial" w:cs="Arial"/>
        </w:rPr>
        <w:t xml:space="preserve">produce a similar level of detail for DJTR cases, BLS </w:t>
      </w:r>
      <w:r w:rsidR="00C3573D">
        <w:rPr>
          <w:rFonts w:ascii="Arial" w:hAnsi="Arial" w:cs="Arial"/>
        </w:rPr>
        <w:t xml:space="preserve">has </w:t>
      </w:r>
      <w:r>
        <w:rPr>
          <w:rFonts w:ascii="Arial" w:hAnsi="Arial" w:cs="Arial"/>
        </w:rPr>
        <w:t>combine</w:t>
      </w:r>
      <w:r w:rsidR="00C3573D">
        <w:rPr>
          <w:rFonts w:ascii="Arial" w:hAnsi="Arial" w:cs="Arial"/>
        </w:rPr>
        <w:t>d</w:t>
      </w:r>
      <w:r>
        <w:rPr>
          <w:rFonts w:ascii="Arial" w:hAnsi="Arial" w:cs="Arial"/>
        </w:rPr>
        <w:t xml:space="preserve"> case data for two years of collection and produce</w:t>
      </w:r>
      <w:r w:rsidR="00297064">
        <w:rPr>
          <w:rFonts w:ascii="Arial" w:hAnsi="Arial" w:cs="Arial"/>
        </w:rPr>
        <w:t>d</w:t>
      </w:r>
      <w:r>
        <w:rPr>
          <w:rFonts w:ascii="Arial" w:hAnsi="Arial" w:cs="Arial"/>
        </w:rPr>
        <w:t xml:space="preserve"> biennial case and demographic estimates. </w:t>
      </w:r>
      <w:r w:rsidR="00125FBB">
        <w:rPr>
          <w:rFonts w:ascii="Arial" w:hAnsi="Arial" w:cs="Arial"/>
        </w:rPr>
        <w:t xml:space="preserve">The first </w:t>
      </w:r>
      <w:r w:rsidR="00477943">
        <w:rPr>
          <w:rFonts w:ascii="Arial" w:hAnsi="Arial" w:cs="Arial"/>
        </w:rPr>
        <w:t xml:space="preserve">biennial </w:t>
      </w:r>
      <w:r w:rsidR="00125FBB">
        <w:rPr>
          <w:rFonts w:ascii="Arial" w:hAnsi="Arial" w:cs="Arial"/>
        </w:rPr>
        <w:t xml:space="preserve">case and demographic estimates </w:t>
      </w:r>
      <w:r w:rsidR="00477943">
        <w:rPr>
          <w:rFonts w:ascii="Arial" w:hAnsi="Arial" w:cs="Arial"/>
        </w:rPr>
        <w:t xml:space="preserve">covering DAFW and DJTR cases </w:t>
      </w:r>
      <w:r w:rsidR="00125FBB">
        <w:rPr>
          <w:rFonts w:ascii="Arial" w:hAnsi="Arial" w:cs="Arial"/>
        </w:rPr>
        <w:t>combin</w:t>
      </w:r>
      <w:r w:rsidR="00477943">
        <w:rPr>
          <w:rFonts w:ascii="Arial" w:hAnsi="Arial" w:cs="Arial"/>
        </w:rPr>
        <w:t>e</w:t>
      </w:r>
      <w:r w:rsidR="00C3573D">
        <w:rPr>
          <w:rFonts w:ascii="Arial" w:hAnsi="Arial" w:cs="Arial"/>
        </w:rPr>
        <w:t>d</w:t>
      </w:r>
      <w:r w:rsidR="00125FBB">
        <w:rPr>
          <w:rFonts w:ascii="Arial" w:hAnsi="Arial" w:cs="Arial"/>
        </w:rPr>
        <w:t xml:space="preserve"> survey year 2021 and 2022 data </w:t>
      </w:r>
      <w:r w:rsidR="00477943">
        <w:rPr>
          <w:rFonts w:ascii="Arial" w:hAnsi="Arial" w:cs="Arial"/>
        </w:rPr>
        <w:t xml:space="preserve">and </w:t>
      </w:r>
      <w:r w:rsidR="00C3573D">
        <w:rPr>
          <w:rFonts w:ascii="Arial" w:hAnsi="Arial" w:cs="Arial"/>
        </w:rPr>
        <w:t>were</w:t>
      </w:r>
      <w:r w:rsidR="00125FBB">
        <w:rPr>
          <w:rFonts w:ascii="Arial" w:hAnsi="Arial" w:cs="Arial"/>
        </w:rPr>
        <w:t xml:space="preserve"> released in November 2023. </w:t>
      </w:r>
      <w:r w:rsidR="000D4ED2">
        <w:rPr>
          <w:rFonts w:ascii="Arial" w:hAnsi="Arial" w:cs="Arial"/>
        </w:rPr>
        <w:t>The annual summary estimates of counts and incidence rates by detailed industry and case type remains unchanged</w:t>
      </w:r>
      <w:r w:rsidRPr="00A84852" w:rsidR="000D4ED2">
        <w:rPr>
          <w:rFonts w:ascii="Arial" w:hAnsi="Arial" w:cs="Arial"/>
        </w:rPr>
        <w:t>.</w:t>
      </w:r>
    </w:p>
    <w:p w:rsidR="00167C88" w:rsidP="00883847" w14:paraId="03EEF49F" w14:textId="77777777">
      <w:pPr>
        <w:spacing w:line="240" w:lineRule="exact"/>
        <w:rPr>
          <w:rFonts w:ascii="Arial" w:hAnsi="Arial" w:cs="Arial"/>
        </w:rPr>
      </w:pPr>
    </w:p>
    <w:p w:rsidR="00FB7DD2" w:rsidP="00362FC0" w14:paraId="40D9AE59" w14:textId="77777777">
      <w:pPr>
        <w:widowControl/>
        <w:spacing w:line="240" w:lineRule="exact"/>
        <w:rPr>
          <w:rFonts w:ascii="Arial" w:hAnsi="Arial" w:cs="Arial"/>
        </w:rPr>
      </w:pPr>
      <w:r w:rsidRPr="001F49F7">
        <w:rPr>
          <w:rFonts w:ascii="Arial" w:hAnsi="Arial" w:cs="Arial"/>
        </w:rPr>
        <w:t xml:space="preserve">BLS </w:t>
      </w:r>
      <w:r w:rsidR="00167C88">
        <w:rPr>
          <w:rFonts w:ascii="Arial" w:hAnsi="Arial" w:cs="Arial"/>
        </w:rPr>
        <w:t xml:space="preserve">previously </w:t>
      </w:r>
      <w:r w:rsidRPr="001F49F7">
        <w:rPr>
          <w:rFonts w:ascii="Arial" w:hAnsi="Arial" w:cs="Arial"/>
        </w:rPr>
        <w:t xml:space="preserve">maintained </w:t>
      </w:r>
      <w:r w:rsidR="00C3573D">
        <w:rPr>
          <w:rFonts w:ascii="Arial" w:hAnsi="Arial" w:cs="Arial"/>
        </w:rPr>
        <w:t>a</w:t>
      </w:r>
      <w:r w:rsidRPr="001F49F7" w:rsidR="00C3573D">
        <w:rPr>
          <w:rFonts w:ascii="Arial" w:hAnsi="Arial" w:cs="Arial"/>
        </w:rPr>
        <w:t xml:space="preserve"> </w:t>
      </w:r>
      <w:r w:rsidRPr="001F49F7">
        <w:rPr>
          <w:rFonts w:ascii="Arial" w:hAnsi="Arial" w:cs="Arial"/>
        </w:rPr>
        <w:t xml:space="preserve">subsampling process for employers to limit to 15 the number of cases each employer </w:t>
      </w:r>
      <w:r w:rsidR="000D4ED2">
        <w:rPr>
          <w:rFonts w:ascii="Arial" w:hAnsi="Arial" w:cs="Arial"/>
        </w:rPr>
        <w:t>must</w:t>
      </w:r>
      <w:r w:rsidRPr="001F49F7">
        <w:rPr>
          <w:rFonts w:ascii="Arial" w:hAnsi="Arial" w:cs="Arial"/>
        </w:rPr>
        <w:t xml:space="preserve"> submit.</w:t>
      </w:r>
      <w:r w:rsidRPr="00125FBB" w:rsidR="00125FBB">
        <w:rPr>
          <w:rFonts w:ascii="Arial" w:hAnsi="Arial" w:cs="Arial"/>
        </w:rPr>
        <w:t xml:space="preserve"> </w:t>
      </w:r>
      <w:r w:rsidR="00125FBB">
        <w:rPr>
          <w:rFonts w:ascii="Arial" w:hAnsi="Arial" w:cs="Arial"/>
        </w:rPr>
        <w:t xml:space="preserve">BLS pilot tests and simulations demonstrated that collecting both DJTR and DAFW case types increases </w:t>
      </w:r>
      <w:r w:rsidR="007E0F49">
        <w:rPr>
          <w:rFonts w:ascii="Arial" w:hAnsi="Arial" w:cs="Arial"/>
        </w:rPr>
        <w:t xml:space="preserve">both </w:t>
      </w:r>
      <w:r w:rsidR="00125FBB">
        <w:rPr>
          <w:rFonts w:ascii="Arial" w:hAnsi="Arial" w:cs="Arial"/>
        </w:rPr>
        <w:t xml:space="preserve">the number of employers who </w:t>
      </w:r>
      <w:r w:rsidR="00297064">
        <w:rPr>
          <w:rFonts w:ascii="Arial" w:hAnsi="Arial" w:cs="Arial"/>
        </w:rPr>
        <w:t>must</w:t>
      </w:r>
      <w:r w:rsidR="00125FBB">
        <w:rPr>
          <w:rFonts w:ascii="Arial" w:hAnsi="Arial" w:cs="Arial"/>
        </w:rPr>
        <w:t xml:space="preserve"> report case details and the number of employers who would be eligible for subsampling. </w:t>
      </w:r>
      <w:r w:rsidR="00C3573D">
        <w:rPr>
          <w:rFonts w:ascii="Arial" w:hAnsi="Arial" w:cs="Arial"/>
        </w:rPr>
        <w:t>T</w:t>
      </w:r>
      <w:r w:rsidR="00CD3CBF">
        <w:rPr>
          <w:rFonts w:ascii="Arial" w:hAnsi="Arial" w:cs="Arial"/>
        </w:rPr>
        <w:t xml:space="preserve">o </w:t>
      </w:r>
      <w:r w:rsidR="0080590A">
        <w:rPr>
          <w:rFonts w:ascii="Arial" w:hAnsi="Arial" w:cs="Arial"/>
        </w:rPr>
        <w:t>maintain the same level of</w:t>
      </w:r>
      <w:r w:rsidRPr="00CD6BFE" w:rsidR="00CD6BFE">
        <w:rPr>
          <w:rFonts w:ascii="Arial" w:hAnsi="Arial" w:cs="Arial"/>
        </w:rPr>
        <w:t xml:space="preserve"> burden on employer</w:t>
      </w:r>
      <w:r w:rsidR="0080590A">
        <w:rPr>
          <w:rFonts w:ascii="Arial" w:hAnsi="Arial" w:cs="Arial"/>
        </w:rPr>
        <w:t>s</w:t>
      </w:r>
      <w:r w:rsidRPr="00CD6BFE" w:rsidR="00CD6BFE">
        <w:rPr>
          <w:rFonts w:ascii="Arial" w:hAnsi="Arial" w:cs="Arial"/>
        </w:rPr>
        <w:t xml:space="preserve"> and </w:t>
      </w:r>
      <w:r w:rsidR="0080590A">
        <w:rPr>
          <w:rFonts w:ascii="Arial" w:hAnsi="Arial" w:cs="Arial"/>
        </w:rPr>
        <w:t xml:space="preserve">keep </w:t>
      </w:r>
      <w:r w:rsidR="007E0F49">
        <w:rPr>
          <w:rFonts w:ascii="Arial" w:hAnsi="Arial" w:cs="Arial"/>
        </w:rPr>
        <w:t>a neutral</w:t>
      </w:r>
      <w:r w:rsidR="0080590A">
        <w:rPr>
          <w:rFonts w:ascii="Arial" w:hAnsi="Arial" w:cs="Arial"/>
        </w:rPr>
        <w:t xml:space="preserve"> workload </w:t>
      </w:r>
      <w:r w:rsidR="00CD3CBF">
        <w:rPr>
          <w:rFonts w:ascii="Arial" w:hAnsi="Arial" w:cs="Arial"/>
        </w:rPr>
        <w:t xml:space="preserve">on </w:t>
      </w:r>
      <w:r w:rsidRPr="00CD6BFE" w:rsidR="00CD6BFE">
        <w:rPr>
          <w:rFonts w:ascii="Arial" w:hAnsi="Arial" w:cs="Arial"/>
        </w:rPr>
        <w:t>participating state age</w:t>
      </w:r>
      <w:r w:rsidR="007E0F49">
        <w:rPr>
          <w:rFonts w:ascii="Arial" w:hAnsi="Arial" w:cs="Arial"/>
        </w:rPr>
        <w:t>ncies, as well as neutral resource obligations</w:t>
      </w:r>
      <w:r w:rsidR="00CD3CBF">
        <w:rPr>
          <w:rFonts w:ascii="Arial" w:hAnsi="Arial" w:cs="Arial"/>
        </w:rPr>
        <w:t>,</w:t>
      </w:r>
      <w:r w:rsidRPr="00A84852" w:rsidR="00A84852">
        <w:rPr>
          <w:rFonts w:ascii="Arial" w:hAnsi="Arial" w:cs="Arial"/>
        </w:rPr>
        <w:t xml:space="preserve"> </w:t>
      </w:r>
      <w:r w:rsidR="00CD6BFE">
        <w:rPr>
          <w:rFonts w:ascii="Arial" w:hAnsi="Arial" w:cs="Arial"/>
        </w:rPr>
        <w:t>BLS</w:t>
      </w:r>
      <w:r w:rsidRPr="00A84852" w:rsidR="00A84852">
        <w:rPr>
          <w:rFonts w:ascii="Arial" w:hAnsi="Arial" w:cs="Arial"/>
        </w:rPr>
        <w:t xml:space="preserve"> </w:t>
      </w:r>
      <w:r w:rsidR="00CD6BFE">
        <w:rPr>
          <w:rFonts w:ascii="Arial" w:hAnsi="Arial" w:cs="Arial"/>
        </w:rPr>
        <w:t>reduce</w:t>
      </w:r>
      <w:r w:rsidR="00C3573D">
        <w:rPr>
          <w:rFonts w:ascii="Arial" w:hAnsi="Arial" w:cs="Arial"/>
        </w:rPr>
        <w:t>d</w:t>
      </w:r>
      <w:r w:rsidR="00CD6BFE">
        <w:rPr>
          <w:rFonts w:ascii="Arial" w:hAnsi="Arial" w:cs="Arial"/>
        </w:rPr>
        <w:t xml:space="preserve"> </w:t>
      </w:r>
      <w:r w:rsidRPr="00CD6BFE" w:rsidR="00CD6BFE">
        <w:rPr>
          <w:rFonts w:ascii="Arial" w:hAnsi="Arial" w:cs="Arial"/>
        </w:rPr>
        <w:t xml:space="preserve">the number of cases </w:t>
      </w:r>
      <w:r w:rsidR="00C3573D">
        <w:rPr>
          <w:rFonts w:ascii="Arial" w:hAnsi="Arial" w:cs="Arial"/>
        </w:rPr>
        <w:t xml:space="preserve">that </w:t>
      </w:r>
      <w:r w:rsidRPr="00CD6BFE" w:rsidR="00CD6BFE">
        <w:rPr>
          <w:rFonts w:ascii="Arial" w:hAnsi="Arial" w:cs="Arial"/>
        </w:rPr>
        <w:t xml:space="preserve">each employer </w:t>
      </w:r>
      <w:r w:rsidR="00C3573D">
        <w:rPr>
          <w:rFonts w:ascii="Arial" w:hAnsi="Arial" w:cs="Arial"/>
        </w:rPr>
        <w:t>must</w:t>
      </w:r>
      <w:r w:rsidRPr="00CD6BFE" w:rsidR="00CD6BFE">
        <w:rPr>
          <w:rFonts w:ascii="Arial" w:hAnsi="Arial" w:cs="Arial"/>
        </w:rPr>
        <w:t xml:space="preserve"> submit </w:t>
      </w:r>
      <w:r w:rsidR="00CD6BFE">
        <w:rPr>
          <w:rFonts w:ascii="Arial" w:hAnsi="Arial" w:cs="Arial"/>
        </w:rPr>
        <w:t xml:space="preserve">to </w:t>
      </w:r>
      <w:r w:rsidR="00125FBB">
        <w:rPr>
          <w:rFonts w:ascii="Arial" w:hAnsi="Arial" w:cs="Arial"/>
        </w:rPr>
        <w:t xml:space="preserve">a maximum of </w:t>
      </w:r>
      <w:r w:rsidR="00CD6BFE">
        <w:rPr>
          <w:rFonts w:ascii="Arial" w:hAnsi="Arial" w:cs="Arial"/>
        </w:rPr>
        <w:t>8 cases.</w:t>
      </w:r>
      <w:r w:rsidR="00125FBB">
        <w:rPr>
          <w:rFonts w:ascii="Arial" w:hAnsi="Arial" w:cs="Arial"/>
        </w:rPr>
        <w:t xml:space="preserve"> BLS estimated that this </w:t>
      </w:r>
      <w:r w:rsidR="000D4ED2">
        <w:rPr>
          <w:rFonts w:ascii="Arial" w:hAnsi="Arial" w:cs="Arial"/>
        </w:rPr>
        <w:t xml:space="preserve">would </w:t>
      </w:r>
      <w:r w:rsidR="00125FBB">
        <w:rPr>
          <w:rFonts w:ascii="Arial" w:hAnsi="Arial" w:cs="Arial"/>
        </w:rPr>
        <w:t xml:space="preserve">result in approximately the same number of cases collected annually across </w:t>
      </w:r>
      <w:r w:rsidR="008D4807">
        <w:rPr>
          <w:rFonts w:ascii="Arial" w:hAnsi="Arial" w:cs="Arial"/>
        </w:rPr>
        <w:t xml:space="preserve">the </w:t>
      </w:r>
      <w:r w:rsidR="00125FBB">
        <w:rPr>
          <w:rFonts w:ascii="Arial" w:hAnsi="Arial" w:cs="Arial"/>
        </w:rPr>
        <w:t>two case types.</w:t>
      </w:r>
      <w:r w:rsidR="0065091A">
        <w:rPr>
          <w:rFonts w:ascii="Arial" w:hAnsi="Arial" w:cs="Arial"/>
        </w:rPr>
        <w:t xml:space="preserve"> During the 2021-22 biennial cycle during which DJTR cases details were collected for the first time in </w:t>
      </w:r>
      <w:r w:rsidR="0065091A">
        <w:rPr>
          <w:rFonts w:ascii="Arial" w:hAnsi="Arial" w:cs="Arial"/>
        </w:rPr>
        <w:t>addition to DAFW cases, an average of approximately 281,000 cases were collected annually.</w:t>
      </w:r>
      <w:r w:rsidR="00ED5E8C">
        <w:rPr>
          <w:rFonts w:ascii="Arial" w:hAnsi="Arial" w:cs="Arial"/>
        </w:rPr>
        <w:t xml:space="preserve"> For comparison, an average of about 265,000 cases were reported annually over the 2012 to 2018 period leading up to the Covid pandemic. </w:t>
      </w:r>
    </w:p>
    <w:p w:rsidR="00FB7DD2" w:rsidP="00362FC0" w14:paraId="39E8E9D2" w14:textId="77777777">
      <w:pPr>
        <w:widowControl/>
        <w:spacing w:line="240" w:lineRule="exact"/>
        <w:rPr>
          <w:rFonts w:ascii="Arial" w:hAnsi="Arial" w:cs="Arial"/>
        </w:rPr>
      </w:pPr>
    </w:p>
    <w:p w:rsidR="00737031" w:rsidP="00737031" w14:paraId="2CF4C90A" w14:textId="509FC406">
      <w:pPr>
        <w:widowControl/>
        <w:spacing w:line="240" w:lineRule="exact"/>
        <w:rPr>
          <w:rFonts w:ascii="Arial" w:hAnsi="Arial" w:cs="Arial"/>
        </w:rPr>
      </w:pPr>
      <w:r w:rsidRPr="002C7B94">
        <w:rPr>
          <w:rFonts w:ascii="Arial" w:hAnsi="Arial" w:cs="Arial"/>
          <w:b/>
          <w:bCs/>
          <w:u w:val="single"/>
        </w:rPr>
        <w:t>Test for Pre-Collection Letter</w:t>
      </w:r>
      <w:r>
        <w:rPr>
          <w:rFonts w:ascii="Arial" w:hAnsi="Arial" w:cs="Arial"/>
        </w:rPr>
        <w:t xml:space="preserve"> </w:t>
      </w:r>
    </w:p>
    <w:p w:rsidR="00737031" w:rsidP="00737031" w14:paraId="1AB96F52" w14:textId="3ED81BC1">
      <w:pPr>
        <w:widowControl/>
        <w:spacing w:line="240" w:lineRule="exact"/>
        <w:rPr>
          <w:rFonts w:ascii="Arial" w:hAnsi="Arial" w:cs="Arial"/>
        </w:rPr>
      </w:pPr>
      <w:r>
        <w:rPr>
          <w:rFonts w:ascii="Arial" w:hAnsi="Arial" w:cs="Arial"/>
        </w:rPr>
        <w:t xml:space="preserve">The SOII is a mandatory survey that has traditionally experienced relatively high response rates compared to other establishment surveys. However, the SOII response rate has been trending lower for several years and was significantly impacted by the pandemic. BLS seeks approval to conduct a one-year test to evaluate the effectiveness of an additional respondent contact for improving response rates. In this methodological experiment, sampled establishments will be randomized into two groups: control (no additional contacts) and treatment (an additional pre-collection letter). Additional details concerning the experiment are below. </w:t>
      </w:r>
    </w:p>
    <w:p w:rsidR="00737031" w:rsidP="00737031" w14:paraId="56F06BD6" w14:textId="77777777">
      <w:pPr>
        <w:widowControl/>
        <w:spacing w:line="240" w:lineRule="exact"/>
        <w:rPr>
          <w:rFonts w:ascii="Arial" w:hAnsi="Arial" w:cs="Arial"/>
        </w:rPr>
      </w:pPr>
    </w:p>
    <w:p w:rsidR="00737031" w:rsidP="00737031" w14:paraId="6065E2C8" w14:textId="6BBA7707">
      <w:pPr>
        <w:widowControl/>
        <w:spacing w:line="240" w:lineRule="exact"/>
        <w:rPr>
          <w:rFonts w:ascii="Arial" w:hAnsi="Arial" w:cs="Arial"/>
        </w:rPr>
      </w:pPr>
      <w:r w:rsidRPr="00737031">
        <w:rPr>
          <w:rFonts w:ascii="Arial" w:hAnsi="Arial" w:cs="Arial"/>
          <w:i/>
          <w:iCs/>
        </w:rPr>
        <w:t>Experimental Design.</w:t>
      </w:r>
      <w:r w:rsidRPr="00737031">
        <w:rPr>
          <w:rStyle w:val="CommentReference"/>
          <w:i/>
          <w:iCs/>
        </w:rPr>
        <w:t xml:space="preserve"> </w:t>
      </w:r>
      <w:r>
        <w:rPr>
          <w:rFonts w:ascii="Arial" w:hAnsi="Arial" w:cs="Arial"/>
        </w:rPr>
        <w:t xml:space="preserve">The pre-collection letter will be sent via USPS approximately </w:t>
      </w:r>
      <w:r w:rsidR="00FB1DFC">
        <w:rPr>
          <w:rFonts w:ascii="Arial" w:hAnsi="Arial" w:cs="Arial"/>
        </w:rPr>
        <w:t>2</w:t>
      </w:r>
      <w:r>
        <w:rPr>
          <w:rFonts w:ascii="Arial" w:hAnsi="Arial" w:cs="Arial"/>
        </w:rPr>
        <w:t xml:space="preserve"> months before the start of the survey collection. The letter will remind respondents of the prior notification of their requirement to participate in the survey and ask them to prepare to submit their data when collection begins in the weeks following this letter. The letter will ask respondents to verify their establishment information, to advise BLS of any errors, and to provide contact information for the individual who can report information on workplace injuries and illnesses for the sampled establishment. Establishments will be able to respond via email, phone, or fax. </w:t>
      </w:r>
    </w:p>
    <w:p w:rsidR="00737031" w:rsidP="00737031" w14:paraId="3FB9FE07" w14:textId="77777777">
      <w:pPr>
        <w:widowControl/>
        <w:spacing w:line="240" w:lineRule="exact"/>
        <w:rPr>
          <w:rFonts w:ascii="Arial" w:hAnsi="Arial" w:cs="Arial"/>
        </w:rPr>
      </w:pPr>
    </w:p>
    <w:p w:rsidR="00737031" w:rsidP="00737031" w14:paraId="5D53378B" w14:textId="4D9F0EC1">
      <w:pPr>
        <w:widowControl/>
        <w:spacing w:line="240" w:lineRule="exact"/>
        <w:rPr>
          <w:rFonts w:ascii="Arial" w:hAnsi="Arial" w:cs="Arial"/>
        </w:rPr>
      </w:pPr>
      <w:r>
        <w:rPr>
          <w:rFonts w:ascii="Arial" w:hAnsi="Arial" w:cs="Arial"/>
        </w:rPr>
        <w:t>The sample size for this methodological experiment</w:t>
      </w:r>
      <w:r w:rsidR="0048087A">
        <w:rPr>
          <w:rFonts w:ascii="Arial" w:hAnsi="Arial" w:cs="Arial"/>
        </w:rPr>
        <w:t>, including the control and treatment groups,</w:t>
      </w:r>
      <w:r>
        <w:rPr>
          <w:rFonts w:ascii="Arial" w:hAnsi="Arial" w:cs="Arial"/>
        </w:rPr>
        <w:t xml:space="preserve"> will be approximately </w:t>
      </w:r>
      <w:r w:rsidR="0048087A">
        <w:rPr>
          <w:rFonts w:ascii="Arial" w:hAnsi="Arial" w:cs="Arial"/>
        </w:rPr>
        <w:t>5,400</w:t>
      </w:r>
      <w:r>
        <w:rPr>
          <w:rFonts w:ascii="Arial" w:hAnsi="Arial" w:cs="Arial"/>
        </w:rPr>
        <w:t xml:space="preserve"> establishments. This sample size was chosen to detect a </w:t>
      </w:r>
      <w:r w:rsidR="00E86E86">
        <w:rPr>
          <w:rFonts w:ascii="Arial" w:hAnsi="Arial" w:cs="Arial"/>
        </w:rPr>
        <w:t>1</w:t>
      </w:r>
      <w:r>
        <w:rPr>
          <w:rFonts w:ascii="Arial" w:hAnsi="Arial" w:cs="Arial"/>
        </w:rPr>
        <w:t xml:space="preserve"> percent change with a </w:t>
      </w:r>
      <w:r w:rsidR="00C442E2">
        <w:rPr>
          <w:rFonts w:ascii="Arial" w:hAnsi="Arial" w:cs="Arial"/>
        </w:rPr>
        <w:t xml:space="preserve">statistical </w:t>
      </w:r>
      <w:r>
        <w:rPr>
          <w:rFonts w:ascii="Arial" w:hAnsi="Arial" w:cs="Arial"/>
        </w:rPr>
        <w:t>power of 0.80 at a significance level of 0.95</w:t>
      </w:r>
      <w:r w:rsidR="00C442E2">
        <w:rPr>
          <w:rFonts w:ascii="Arial" w:hAnsi="Arial" w:cs="Arial"/>
        </w:rPr>
        <w:t xml:space="preserve">. </w:t>
      </w:r>
      <w:r>
        <w:rPr>
          <w:rFonts w:ascii="Arial" w:hAnsi="Arial" w:cs="Arial"/>
        </w:rPr>
        <w:t>The sample will be stratified to include establishments in all 50 states, the District of Columbia, and 3 territories (Guam, Puerto Rico, Virgin Islands) for which data are collected in the survey. Using frame data, establishments will be sorted into one of two size class</w:t>
      </w:r>
      <w:r w:rsidR="00C442E2">
        <w:rPr>
          <w:rFonts w:ascii="Arial" w:hAnsi="Arial" w:cs="Arial"/>
        </w:rPr>
        <w:t xml:space="preserve"> groupings</w:t>
      </w:r>
      <w:r>
        <w:rPr>
          <w:rFonts w:ascii="Arial" w:hAnsi="Arial" w:cs="Arial"/>
        </w:rPr>
        <w:t xml:space="preserve"> based on the number of employees: small establishments (fewer than 50 employees) and large establishments (50 or more employees). Establishments will be randomly assigned to either the control condition (no pre-collection letter) or the treatment condition (pre-collection letter). Table 1 shows the approximate sample sizes for the size classes and experimental conditions.</w:t>
      </w:r>
    </w:p>
    <w:p w:rsidR="00737031" w:rsidP="00737031" w14:paraId="5C86CA01" w14:textId="77777777">
      <w:pPr>
        <w:widowControl/>
        <w:spacing w:line="240" w:lineRule="exact"/>
        <w:rPr>
          <w:rFonts w:ascii="Arial" w:hAnsi="Arial" w:cs="Arial"/>
        </w:rPr>
      </w:pPr>
    </w:p>
    <w:p w:rsidR="00737031" w:rsidP="00737031" w14:paraId="3A006187" w14:textId="633424EF">
      <w:pPr>
        <w:widowControl/>
        <w:spacing w:line="240" w:lineRule="exact"/>
        <w:rPr>
          <w:rFonts w:ascii="Arial" w:hAnsi="Arial" w:cs="Arial"/>
        </w:rPr>
      </w:pPr>
      <w:r>
        <w:rPr>
          <w:rFonts w:ascii="Arial" w:hAnsi="Arial" w:cs="Arial"/>
        </w:rPr>
        <w:t>Sample Groups and Sizes for Pre-Collection Letter Test</w:t>
      </w:r>
    </w:p>
    <w:tbl>
      <w:tblPr>
        <w:tblStyle w:val="TableGrid"/>
        <w:tblW w:w="10255" w:type="dxa"/>
        <w:tblLayout w:type="fixed"/>
        <w:tblLook w:val="04A0"/>
      </w:tblPr>
      <w:tblGrid>
        <w:gridCol w:w="2563"/>
        <w:gridCol w:w="2564"/>
        <w:gridCol w:w="2564"/>
        <w:gridCol w:w="2564"/>
      </w:tblGrid>
      <w:tr w14:paraId="3F94B4FD" w14:textId="77777777" w:rsidTr="00B816E4">
        <w:tblPrEx>
          <w:tblW w:w="10255" w:type="dxa"/>
          <w:tblLayout w:type="fixed"/>
          <w:tblLook w:val="04A0"/>
        </w:tblPrEx>
        <w:tc>
          <w:tcPr>
            <w:tcW w:w="2563" w:type="dxa"/>
          </w:tcPr>
          <w:p w:rsidR="00737031" w:rsidRPr="00C442E2" w:rsidP="00C442E2" w14:paraId="3BAA57BA" w14:textId="3DB73A97">
            <w:pPr>
              <w:widowControl/>
              <w:spacing w:line="240" w:lineRule="exact"/>
              <w:jc w:val="center"/>
              <w:rPr>
                <w:rFonts w:ascii="Arial" w:hAnsi="Arial" w:cs="Arial"/>
                <w:b/>
                <w:bCs/>
              </w:rPr>
            </w:pPr>
            <w:bookmarkStart w:id="0" w:name="_Hlk162418985"/>
            <w:r w:rsidRPr="00C442E2">
              <w:rPr>
                <w:rFonts w:ascii="Arial" w:hAnsi="Arial" w:cs="Arial"/>
                <w:b/>
                <w:bCs/>
              </w:rPr>
              <w:t>Size groupings</w:t>
            </w:r>
          </w:p>
        </w:tc>
        <w:tc>
          <w:tcPr>
            <w:tcW w:w="2564" w:type="dxa"/>
          </w:tcPr>
          <w:p w:rsidR="00737031" w:rsidRPr="00C442E2" w:rsidP="00C442E2" w14:paraId="10F452B0" w14:textId="77777777">
            <w:pPr>
              <w:widowControl/>
              <w:spacing w:line="240" w:lineRule="exact"/>
              <w:jc w:val="center"/>
              <w:rPr>
                <w:rFonts w:ascii="Arial" w:hAnsi="Arial" w:cs="Arial"/>
                <w:b/>
                <w:bCs/>
              </w:rPr>
            </w:pPr>
            <w:r w:rsidRPr="00C442E2">
              <w:rPr>
                <w:rFonts w:ascii="Arial" w:hAnsi="Arial" w:cs="Arial"/>
                <w:b/>
                <w:bCs/>
              </w:rPr>
              <w:t>Control</w:t>
            </w:r>
          </w:p>
        </w:tc>
        <w:tc>
          <w:tcPr>
            <w:tcW w:w="2564" w:type="dxa"/>
          </w:tcPr>
          <w:p w:rsidR="00737031" w:rsidRPr="00C442E2" w:rsidP="00C442E2" w14:paraId="0814F4CB" w14:textId="77777777">
            <w:pPr>
              <w:widowControl/>
              <w:spacing w:line="240" w:lineRule="exact"/>
              <w:jc w:val="center"/>
              <w:rPr>
                <w:rFonts w:ascii="Arial" w:hAnsi="Arial" w:cs="Arial"/>
                <w:b/>
                <w:bCs/>
              </w:rPr>
            </w:pPr>
            <w:r w:rsidRPr="00C442E2">
              <w:rPr>
                <w:rFonts w:ascii="Arial" w:hAnsi="Arial" w:cs="Arial"/>
                <w:b/>
                <w:bCs/>
              </w:rPr>
              <w:t>Treatment</w:t>
            </w:r>
          </w:p>
        </w:tc>
        <w:tc>
          <w:tcPr>
            <w:tcW w:w="2564" w:type="dxa"/>
          </w:tcPr>
          <w:p w:rsidR="00737031" w:rsidRPr="00C442E2" w:rsidP="00C442E2" w14:paraId="26FFD4D5" w14:textId="77777777">
            <w:pPr>
              <w:widowControl/>
              <w:spacing w:line="240" w:lineRule="exact"/>
              <w:jc w:val="center"/>
              <w:rPr>
                <w:rFonts w:ascii="Arial" w:hAnsi="Arial" w:cs="Arial"/>
                <w:b/>
                <w:bCs/>
              </w:rPr>
            </w:pPr>
            <w:r w:rsidRPr="00C442E2">
              <w:rPr>
                <w:rFonts w:ascii="Arial" w:hAnsi="Arial" w:cs="Arial"/>
                <w:b/>
                <w:bCs/>
              </w:rPr>
              <w:t>Total</w:t>
            </w:r>
          </w:p>
        </w:tc>
      </w:tr>
      <w:tr w14:paraId="1E14CD1D" w14:textId="77777777" w:rsidTr="00B816E4">
        <w:tblPrEx>
          <w:tblW w:w="10255" w:type="dxa"/>
          <w:tblLayout w:type="fixed"/>
          <w:tblLook w:val="04A0"/>
        </w:tblPrEx>
        <w:tc>
          <w:tcPr>
            <w:tcW w:w="2563" w:type="dxa"/>
          </w:tcPr>
          <w:p w:rsidR="0048087A" w:rsidP="0048087A" w14:paraId="46F01DEF" w14:textId="77777777">
            <w:pPr>
              <w:widowControl/>
              <w:spacing w:line="240" w:lineRule="exact"/>
              <w:rPr>
                <w:rFonts w:ascii="Arial" w:hAnsi="Arial" w:cs="Arial"/>
              </w:rPr>
            </w:pPr>
            <w:r>
              <w:rPr>
                <w:rFonts w:ascii="Arial" w:hAnsi="Arial" w:cs="Arial"/>
              </w:rPr>
              <w:t>Small establishments</w:t>
            </w:r>
          </w:p>
        </w:tc>
        <w:tc>
          <w:tcPr>
            <w:tcW w:w="2564" w:type="dxa"/>
          </w:tcPr>
          <w:p w:rsidR="0048087A" w:rsidP="0048087A" w14:paraId="04B9335E" w14:textId="0A88E417">
            <w:pPr>
              <w:widowControl/>
              <w:spacing w:line="240" w:lineRule="exact"/>
              <w:jc w:val="right"/>
              <w:rPr>
                <w:rFonts w:ascii="Arial" w:hAnsi="Arial" w:cs="Arial"/>
              </w:rPr>
            </w:pPr>
            <w:r>
              <w:rPr>
                <w:rFonts w:ascii="Arial" w:hAnsi="Arial" w:cs="Arial"/>
              </w:rPr>
              <w:t>1,350</w:t>
            </w:r>
          </w:p>
        </w:tc>
        <w:tc>
          <w:tcPr>
            <w:tcW w:w="2564" w:type="dxa"/>
          </w:tcPr>
          <w:p w:rsidR="0048087A" w:rsidP="0048087A" w14:paraId="4FF452F2" w14:textId="22DF2B11">
            <w:pPr>
              <w:widowControl/>
              <w:spacing w:line="240" w:lineRule="exact"/>
              <w:jc w:val="right"/>
              <w:rPr>
                <w:rFonts w:ascii="Arial" w:hAnsi="Arial" w:cs="Arial"/>
              </w:rPr>
            </w:pPr>
            <w:r>
              <w:rPr>
                <w:rFonts w:ascii="Arial" w:hAnsi="Arial" w:cs="Arial"/>
              </w:rPr>
              <w:t>1,350</w:t>
            </w:r>
          </w:p>
        </w:tc>
        <w:tc>
          <w:tcPr>
            <w:tcW w:w="2564" w:type="dxa"/>
          </w:tcPr>
          <w:p w:rsidR="0048087A" w:rsidP="0048087A" w14:paraId="6B1EF7C9" w14:textId="7B545EED">
            <w:pPr>
              <w:widowControl/>
              <w:spacing w:line="240" w:lineRule="exact"/>
              <w:jc w:val="right"/>
              <w:rPr>
                <w:rFonts w:ascii="Arial" w:hAnsi="Arial" w:cs="Arial"/>
              </w:rPr>
            </w:pPr>
            <w:r>
              <w:rPr>
                <w:rFonts w:ascii="Arial" w:hAnsi="Arial" w:cs="Arial"/>
              </w:rPr>
              <w:t>2,700</w:t>
            </w:r>
          </w:p>
        </w:tc>
      </w:tr>
      <w:tr w14:paraId="54C21B25" w14:textId="77777777" w:rsidTr="00B816E4">
        <w:tblPrEx>
          <w:tblW w:w="10255" w:type="dxa"/>
          <w:tblLayout w:type="fixed"/>
          <w:tblLook w:val="04A0"/>
        </w:tblPrEx>
        <w:tc>
          <w:tcPr>
            <w:tcW w:w="2563" w:type="dxa"/>
          </w:tcPr>
          <w:p w:rsidR="0048087A" w:rsidP="0048087A" w14:paraId="1F0D8503" w14:textId="77777777">
            <w:pPr>
              <w:widowControl/>
              <w:spacing w:line="240" w:lineRule="exact"/>
              <w:rPr>
                <w:rFonts w:ascii="Arial" w:hAnsi="Arial" w:cs="Arial"/>
              </w:rPr>
            </w:pPr>
            <w:r>
              <w:rPr>
                <w:rFonts w:ascii="Arial" w:hAnsi="Arial" w:cs="Arial"/>
              </w:rPr>
              <w:t>Large Establishments</w:t>
            </w:r>
          </w:p>
        </w:tc>
        <w:tc>
          <w:tcPr>
            <w:tcW w:w="2564" w:type="dxa"/>
          </w:tcPr>
          <w:p w:rsidR="0048087A" w:rsidP="0048087A" w14:paraId="64B495C3" w14:textId="1AD213CF">
            <w:pPr>
              <w:widowControl/>
              <w:spacing w:line="240" w:lineRule="exact"/>
              <w:jc w:val="right"/>
              <w:rPr>
                <w:rFonts w:ascii="Arial" w:hAnsi="Arial" w:cs="Arial"/>
              </w:rPr>
            </w:pPr>
            <w:r>
              <w:rPr>
                <w:rFonts w:ascii="Arial" w:hAnsi="Arial" w:cs="Arial"/>
              </w:rPr>
              <w:t>1,350</w:t>
            </w:r>
          </w:p>
        </w:tc>
        <w:tc>
          <w:tcPr>
            <w:tcW w:w="2564" w:type="dxa"/>
          </w:tcPr>
          <w:p w:rsidR="0048087A" w:rsidP="0048087A" w14:paraId="7EE2333A" w14:textId="1CA867D8">
            <w:pPr>
              <w:widowControl/>
              <w:spacing w:line="240" w:lineRule="exact"/>
              <w:jc w:val="right"/>
              <w:rPr>
                <w:rFonts w:ascii="Arial" w:hAnsi="Arial" w:cs="Arial"/>
              </w:rPr>
            </w:pPr>
            <w:r>
              <w:rPr>
                <w:rFonts w:ascii="Arial" w:hAnsi="Arial" w:cs="Arial"/>
              </w:rPr>
              <w:t>1,350</w:t>
            </w:r>
          </w:p>
        </w:tc>
        <w:tc>
          <w:tcPr>
            <w:tcW w:w="2564" w:type="dxa"/>
          </w:tcPr>
          <w:p w:rsidR="0048087A" w:rsidP="0048087A" w14:paraId="46D42CA9" w14:textId="38A5A09F">
            <w:pPr>
              <w:widowControl/>
              <w:spacing w:line="240" w:lineRule="exact"/>
              <w:jc w:val="right"/>
              <w:rPr>
                <w:rFonts w:ascii="Arial" w:hAnsi="Arial" w:cs="Arial"/>
              </w:rPr>
            </w:pPr>
            <w:r>
              <w:rPr>
                <w:rFonts w:ascii="Arial" w:hAnsi="Arial" w:cs="Arial"/>
              </w:rPr>
              <w:t>2,700</w:t>
            </w:r>
          </w:p>
        </w:tc>
      </w:tr>
      <w:tr w14:paraId="03130F25" w14:textId="77777777" w:rsidTr="00B816E4">
        <w:tblPrEx>
          <w:tblW w:w="10255" w:type="dxa"/>
          <w:tblLayout w:type="fixed"/>
          <w:tblLook w:val="04A0"/>
        </w:tblPrEx>
        <w:tc>
          <w:tcPr>
            <w:tcW w:w="2563" w:type="dxa"/>
          </w:tcPr>
          <w:p w:rsidR="0048087A" w:rsidP="0048087A" w14:paraId="35984CC8" w14:textId="77777777">
            <w:pPr>
              <w:widowControl/>
              <w:spacing w:line="240" w:lineRule="exact"/>
              <w:jc w:val="right"/>
              <w:rPr>
                <w:rFonts w:ascii="Arial" w:hAnsi="Arial" w:cs="Arial"/>
              </w:rPr>
            </w:pPr>
            <w:r>
              <w:rPr>
                <w:rFonts w:ascii="Arial" w:hAnsi="Arial" w:cs="Arial"/>
              </w:rPr>
              <w:t>Total</w:t>
            </w:r>
          </w:p>
        </w:tc>
        <w:tc>
          <w:tcPr>
            <w:tcW w:w="2564" w:type="dxa"/>
          </w:tcPr>
          <w:p w:rsidR="0048087A" w:rsidP="0048087A" w14:paraId="2EC6758A" w14:textId="552BD547">
            <w:pPr>
              <w:widowControl/>
              <w:spacing w:line="240" w:lineRule="exact"/>
              <w:jc w:val="right"/>
              <w:rPr>
                <w:rFonts w:ascii="Arial" w:hAnsi="Arial" w:cs="Arial"/>
              </w:rPr>
            </w:pPr>
            <w:r>
              <w:rPr>
                <w:rFonts w:ascii="Arial" w:hAnsi="Arial" w:cs="Arial"/>
              </w:rPr>
              <w:t>2,700</w:t>
            </w:r>
          </w:p>
        </w:tc>
        <w:tc>
          <w:tcPr>
            <w:tcW w:w="2564" w:type="dxa"/>
          </w:tcPr>
          <w:p w:rsidR="0048087A" w:rsidP="0048087A" w14:paraId="0E9803A8" w14:textId="6D721B35">
            <w:pPr>
              <w:widowControl/>
              <w:spacing w:line="240" w:lineRule="exact"/>
              <w:jc w:val="right"/>
              <w:rPr>
                <w:rFonts w:ascii="Arial" w:hAnsi="Arial" w:cs="Arial"/>
              </w:rPr>
            </w:pPr>
            <w:r>
              <w:rPr>
                <w:rFonts w:ascii="Arial" w:hAnsi="Arial" w:cs="Arial"/>
              </w:rPr>
              <w:t>2,700</w:t>
            </w:r>
          </w:p>
        </w:tc>
        <w:tc>
          <w:tcPr>
            <w:tcW w:w="2564" w:type="dxa"/>
          </w:tcPr>
          <w:p w:rsidR="0048087A" w:rsidP="0048087A" w14:paraId="78D0F34F" w14:textId="48EFF39D">
            <w:pPr>
              <w:widowControl/>
              <w:spacing w:line="240" w:lineRule="exact"/>
              <w:jc w:val="right"/>
              <w:rPr>
                <w:rFonts w:ascii="Arial" w:hAnsi="Arial" w:cs="Arial"/>
              </w:rPr>
            </w:pPr>
            <w:r>
              <w:rPr>
                <w:rFonts w:ascii="Arial" w:hAnsi="Arial" w:cs="Arial"/>
              </w:rPr>
              <w:t>5,400</w:t>
            </w:r>
          </w:p>
        </w:tc>
      </w:tr>
      <w:bookmarkEnd w:id="0"/>
    </w:tbl>
    <w:p w:rsidR="00737031" w:rsidP="00737031" w14:paraId="0D38B238" w14:textId="77777777">
      <w:pPr>
        <w:widowControl/>
        <w:spacing w:line="240" w:lineRule="exact"/>
        <w:rPr>
          <w:rFonts w:ascii="Arial" w:hAnsi="Arial" w:cs="Arial"/>
        </w:rPr>
      </w:pPr>
    </w:p>
    <w:p w:rsidR="00737031" w:rsidP="00737031" w14:paraId="5319D587" w14:textId="77777777">
      <w:pPr>
        <w:widowControl/>
        <w:spacing w:line="240" w:lineRule="exact"/>
        <w:rPr>
          <w:rFonts w:ascii="Arial" w:hAnsi="Arial" w:cs="Arial"/>
        </w:rPr>
      </w:pPr>
    </w:p>
    <w:p w:rsidR="00737031" w:rsidP="00737031" w14:paraId="21217BF2" w14:textId="29705CB2">
      <w:pPr>
        <w:widowControl/>
        <w:spacing w:line="240" w:lineRule="exact"/>
        <w:rPr>
          <w:rFonts w:ascii="Arial" w:hAnsi="Arial" w:cs="Arial"/>
        </w:rPr>
      </w:pPr>
      <w:r>
        <w:rPr>
          <w:rFonts w:ascii="Arial" w:hAnsi="Arial" w:cs="Arial"/>
        </w:rPr>
        <w:t xml:space="preserve">The following types of establishments will be </w:t>
      </w:r>
      <w:r w:rsidR="00C442E2">
        <w:rPr>
          <w:rFonts w:ascii="Arial" w:hAnsi="Arial" w:cs="Arial"/>
        </w:rPr>
        <w:t xml:space="preserve">excluded from </w:t>
      </w:r>
      <w:r>
        <w:rPr>
          <w:rFonts w:ascii="Arial" w:hAnsi="Arial" w:cs="Arial"/>
        </w:rPr>
        <w:t xml:space="preserve">the experiment and will be </w:t>
      </w:r>
      <w:r w:rsidR="00C442E2">
        <w:rPr>
          <w:rFonts w:ascii="Arial" w:hAnsi="Arial" w:cs="Arial"/>
        </w:rPr>
        <w:t>collected normally in the survey</w:t>
      </w:r>
      <w:r>
        <w:rPr>
          <w:rFonts w:ascii="Arial" w:hAnsi="Arial" w:cs="Arial"/>
        </w:rPr>
        <w:t xml:space="preserve">. </w:t>
      </w:r>
    </w:p>
    <w:p w:rsidR="00737031" w:rsidP="00737031" w14:paraId="1C9CAA4A" w14:textId="01DF5DDA">
      <w:pPr>
        <w:pStyle w:val="ListParagraph"/>
        <w:widowControl/>
        <w:numPr>
          <w:ilvl w:val="0"/>
          <w:numId w:val="18"/>
        </w:numPr>
        <w:autoSpaceDE/>
        <w:autoSpaceDN/>
        <w:adjustRightInd/>
        <w:spacing w:after="160" w:line="240" w:lineRule="exact"/>
        <w:contextualSpacing/>
        <w:rPr>
          <w:rFonts w:ascii="Arial" w:hAnsi="Arial" w:cs="Arial"/>
        </w:rPr>
      </w:pPr>
      <w:r>
        <w:rPr>
          <w:rFonts w:ascii="Arial" w:hAnsi="Arial" w:cs="Arial"/>
        </w:rPr>
        <w:t xml:space="preserve">Establishments in the public sector </w:t>
      </w:r>
      <w:r w:rsidR="00C442E2">
        <w:rPr>
          <w:rFonts w:ascii="Arial" w:hAnsi="Arial" w:cs="Arial"/>
        </w:rPr>
        <w:t>(state and local government)</w:t>
      </w:r>
    </w:p>
    <w:p w:rsidR="00C442E2" w:rsidP="00C442E2" w14:paraId="3F94D072" w14:textId="77777777">
      <w:pPr>
        <w:pStyle w:val="ListParagraph"/>
        <w:widowControl/>
        <w:numPr>
          <w:ilvl w:val="0"/>
          <w:numId w:val="18"/>
        </w:numPr>
        <w:autoSpaceDE/>
        <w:autoSpaceDN/>
        <w:adjustRightInd/>
        <w:spacing w:after="160" w:line="240" w:lineRule="exact"/>
        <w:contextualSpacing/>
        <w:rPr>
          <w:rFonts w:ascii="Arial" w:hAnsi="Arial" w:cs="Arial"/>
        </w:rPr>
      </w:pPr>
      <w:r w:rsidRPr="00C442E2">
        <w:rPr>
          <w:rFonts w:ascii="Arial" w:hAnsi="Arial" w:cs="Arial"/>
        </w:rPr>
        <w:t>Private sector establishments that have previously “opted-in” to be contacted via email</w:t>
      </w:r>
      <w:r>
        <w:rPr>
          <w:rStyle w:val="FootnoteReference"/>
          <w:rFonts w:ascii="Arial" w:hAnsi="Arial" w:cs="Arial"/>
        </w:rPr>
        <w:footnoteReference w:id="4"/>
      </w:r>
      <w:r w:rsidRPr="00C442E2">
        <w:rPr>
          <w:rFonts w:ascii="Arial" w:hAnsi="Arial" w:cs="Arial"/>
        </w:rPr>
        <w:t xml:space="preserve"> </w:t>
      </w:r>
    </w:p>
    <w:p w:rsidR="004D6F6A" w:rsidP="00C442E2" w14:paraId="40287D16" w14:textId="484B202D">
      <w:pPr>
        <w:pStyle w:val="ListParagraph"/>
        <w:widowControl/>
        <w:numPr>
          <w:ilvl w:val="0"/>
          <w:numId w:val="18"/>
        </w:numPr>
        <w:autoSpaceDE/>
        <w:autoSpaceDN/>
        <w:adjustRightInd/>
        <w:spacing w:after="160" w:line="240" w:lineRule="exact"/>
        <w:contextualSpacing/>
        <w:rPr>
          <w:rFonts w:ascii="Arial" w:hAnsi="Arial" w:cs="Arial"/>
        </w:rPr>
      </w:pPr>
      <w:r w:rsidRPr="00C442E2">
        <w:rPr>
          <w:rFonts w:ascii="Arial" w:hAnsi="Arial" w:cs="Arial"/>
        </w:rPr>
        <w:t>Private sector establishments for which BLS already has existing relationships to collect data directly</w:t>
      </w:r>
      <w:r w:rsidR="00953F49">
        <w:rPr>
          <w:rFonts w:ascii="Arial" w:hAnsi="Arial" w:cs="Arial"/>
        </w:rPr>
        <w:t>.</w:t>
      </w:r>
    </w:p>
    <w:p w:rsidR="00737031" w:rsidP="00737031" w14:paraId="155106B8" w14:textId="77777777">
      <w:pPr>
        <w:widowControl/>
        <w:spacing w:line="240" w:lineRule="exact"/>
        <w:rPr>
          <w:rFonts w:ascii="Arial" w:hAnsi="Arial" w:cs="Arial"/>
        </w:rPr>
      </w:pPr>
    </w:p>
    <w:p w:rsidR="00737031" w:rsidP="00737031" w14:paraId="607B900B" w14:textId="5DA493F8">
      <w:pPr>
        <w:widowControl/>
        <w:spacing w:line="240" w:lineRule="exact"/>
        <w:rPr>
          <w:rFonts w:ascii="Arial" w:hAnsi="Arial" w:cs="Arial"/>
        </w:rPr>
      </w:pPr>
      <w:bookmarkStart w:id="1" w:name="_Hlk162418830"/>
      <w:r w:rsidRPr="00737031">
        <w:rPr>
          <w:rFonts w:ascii="Arial" w:hAnsi="Arial" w:cs="Arial"/>
          <w:i/>
          <w:iCs/>
        </w:rPr>
        <w:t>Burden.</w:t>
      </w:r>
      <w:r>
        <w:rPr>
          <w:rFonts w:ascii="Arial" w:hAnsi="Arial" w:cs="Arial"/>
        </w:rPr>
        <w:t xml:space="preserve"> BLS estimates that reporting burden for this experiment will be minimal.  Burden for establishments in the control condition will not change. Burden for establishments in the treatment condition will increase by 6 minutes (1 minute to read the letter and 5 minutes to collect and report data to BLS). </w:t>
      </w:r>
      <w:r w:rsidR="00B930C3">
        <w:rPr>
          <w:rFonts w:ascii="Arial" w:hAnsi="Arial" w:cs="Arial"/>
        </w:rPr>
        <w:t xml:space="preserve">Burden estimates </w:t>
      </w:r>
      <w:r>
        <w:rPr>
          <w:rFonts w:ascii="Arial" w:hAnsi="Arial" w:cs="Arial"/>
        </w:rPr>
        <w:t xml:space="preserve">for this experiment </w:t>
      </w:r>
      <w:r w:rsidR="00B930C3">
        <w:rPr>
          <w:rFonts w:ascii="Arial" w:hAnsi="Arial" w:cs="Arial"/>
        </w:rPr>
        <w:t>are included in item 12 below.</w:t>
      </w:r>
      <w:bookmarkEnd w:id="1"/>
    </w:p>
    <w:p w:rsidR="00737031" w:rsidP="00737031" w14:paraId="7F51CF9B" w14:textId="77777777">
      <w:pPr>
        <w:widowControl/>
        <w:spacing w:line="240" w:lineRule="exact"/>
        <w:rPr>
          <w:rFonts w:ascii="Arial" w:hAnsi="Arial" w:cs="Arial"/>
        </w:rPr>
      </w:pPr>
    </w:p>
    <w:p w:rsidR="00FB7DD2" w:rsidP="00737031" w14:paraId="6355AC98" w14:textId="510093C9">
      <w:pPr>
        <w:widowControl/>
        <w:spacing w:line="240" w:lineRule="exact"/>
        <w:rPr>
          <w:rFonts w:ascii="Arial" w:hAnsi="Arial" w:cs="Arial"/>
        </w:rPr>
      </w:pPr>
      <w:r w:rsidRPr="00737031">
        <w:rPr>
          <w:rFonts w:ascii="Arial" w:hAnsi="Arial" w:cs="Arial"/>
          <w:i/>
          <w:iCs/>
        </w:rPr>
        <w:t>Analysis.</w:t>
      </w:r>
      <w:r>
        <w:rPr>
          <w:rFonts w:ascii="Arial" w:hAnsi="Arial" w:cs="Arial"/>
        </w:rPr>
        <w:t xml:space="preserve"> To determine whether the pre-collection letter was effective, BLS will compare the quality, timeliness, and completeness of response for the experimental conditions and size groups. If determined to be effective</w:t>
      </w:r>
      <w:r w:rsidR="004D6F6A">
        <w:rPr>
          <w:rFonts w:ascii="Arial" w:hAnsi="Arial" w:cs="Arial"/>
        </w:rPr>
        <w:t xml:space="preserve"> at improving </w:t>
      </w:r>
      <w:r w:rsidR="004E0745">
        <w:rPr>
          <w:rFonts w:ascii="Arial" w:hAnsi="Arial" w:cs="Arial"/>
        </w:rPr>
        <w:t xml:space="preserve">timeliness of </w:t>
      </w:r>
      <w:r w:rsidR="004D6F6A">
        <w:rPr>
          <w:rFonts w:ascii="Arial" w:hAnsi="Arial" w:cs="Arial"/>
        </w:rPr>
        <w:t xml:space="preserve">survey responses </w:t>
      </w:r>
      <w:r w:rsidR="004E0745">
        <w:rPr>
          <w:rFonts w:ascii="Arial" w:hAnsi="Arial" w:cs="Arial"/>
        </w:rPr>
        <w:t xml:space="preserve">and overall survey </w:t>
      </w:r>
      <w:r w:rsidR="004D6F6A">
        <w:rPr>
          <w:rFonts w:ascii="Arial" w:hAnsi="Arial" w:cs="Arial"/>
        </w:rPr>
        <w:t>rates</w:t>
      </w:r>
      <w:r w:rsidR="00B930C3">
        <w:rPr>
          <w:rFonts w:ascii="Arial" w:hAnsi="Arial" w:cs="Arial"/>
        </w:rPr>
        <w:t xml:space="preserve"> for the treatment groups in the experiment</w:t>
      </w:r>
      <w:r>
        <w:rPr>
          <w:rFonts w:ascii="Arial" w:hAnsi="Arial" w:cs="Arial"/>
        </w:rPr>
        <w:t xml:space="preserve">, BLS will evaluate potential options for expanding the use of the letter to improve response </w:t>
      </w:r>
      <w:r w:rsidR="00B930C3">
        <w:rPr>
          <w:rFonts w:ascii="Arial" w:hAnsi="Arial" w:cs="Arial"/>
        </w:rPr>
        <w:t xml:space="preserve">for these groups </w:t>
      </w:r>
      <w:r>
        <w:rPr>
          <w:rFonts w:ascii="Arial" w:hAnsi="Arial" w:cs="Arial"/>
        </w:rPr>
        <w:t>in future survey cycles.</w:t>
      </w:r>
    </w:p>
    <w:p w:rsidR="003B13A8" w:rsidRPr="00B65823" w:rsidP="00690F56" w14:paraId="2C5FA43C" w14:textId="77777777">
      <w:pPr>
        <w:widowControl/>
        <w:rPr>
          <w:rFonts w:ascii="Times New Roman" w:hAnsi="Times New Roman"/>
        </w:rPr>
      </w:pPr>
    </w:p>
    <w:p w:rsidR="00690F56" w:rsidP="00B65823" w14:paraId="1908DC84" w14:textId="5FAD8562">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w:t>
      </w:r>
      <w:r w:rsidR="001D4362">
        <w:rPr>
          <w:rFonts w:ascii="Times New Roman" w:hAnsi="Times New Roman"/>
          <w:b/>
          <w:bCs/>
        </w:rPr>
        <w:t xml:space="preserve"> </w:t>
      </w:r>
      <w:r w:rsidRPr="00D53DEB">
        <w:rPr>
          <w:rFonts w:ascii="Times New Roman" w:hAnsi="Times New Roman"/>
          <w:b/>
          <w:bCs/>
        </w:rPr>
        <w:t>consideration of using information technology to reduce burden.</w:t>
      </w:r>
    </w:p>
    <w:p w:rsidR="00B91FC4" w:rsidRPr="00BA31F4" w:rsidP="00B91FC4" w14:paraId="535B775A" w14:textId="3BE4D9E8">
      <w:pPr>
        <w:spacing w:line="240" w:lineRule="exact"/>
        <w:rPr>
          <w:rFonts w:ascii="Arial" w:hAnsi="Arial" w:cs="Arial"/>
        </w:rPr>
      </w:pPr>
    </w:p>
    <w:p w:rsidR="00D35642" w:rsidP="00B91FC4" w14:paraId="498E1AED" w14:textId="78D6D5BE">
      <w:pPr>
        <w:spacing w:line="240" w:lineRule="exact"/>
        <w:rPr>
          <w:rFonts w:ascii="Arial" w:hAnsi="Arial" w:cs="Arial"/>
        </w:rPr>
      </w:pPr>
      <w:r w:rsidRPr="00D35642">
        <w:rPr>
          <w:rFonts w:ascii="Arial" w:hAnsi="Arial" w:cs="Arial"/>
        </w:rPr>
        <w:t xml:space="preserve">Employers covered under the Act are in one of two categories: (1) Employers who maintain OSHA records on a regular basis; and (2) employers who are normally exempt from OSHA recordkeeping. Each year a sample of exempt employers is required to keep records and participate in the SOII. In December, prior to the survey reference year, sampled employers who are normally exempt from recordkeeping </w:t>
      </w:r>
      <w:r w:rsidR="00B22CE3">
        <w:rPr>
          <w:rFonts w:ascii="Arial" w:hAnsi="Arial" w:cs="Arial"/>
        </w:rPr>
        <w:t>are</w:t>
      </w:r>
      <w:r w:rsidRPr="00D35642">
        <w:rPr>
          <w:rFonts w:ascii="Arial" w:hAnsi="Arial" w:cs="Arial"/>
        </w:rPr>
        <w:t xml:space="preserve"> notified by the BLS or participating state agencies to record their injuries and illnesses on the OSHA recordkeeping forms, which </w:t>
      </w:r>
      <w:r w:rsidR="00B22CE3">
        <w:rPr>
          <w:rFonts w:ascii="Arial" w:hAnsi="Arial" w:cs="Arial"/>
        </w:rPr>
        <w:t>are</w:t>
      </w:r>
      <w:r w:rsidRPr="00D35642">
        <w:rPr>
          <w:rFonts w:ascii="Arial" w:hAnsi="Arial" w:cs="Arial"/>
        </w:rPr>
        <w:t xml:space="preserve"> provided by the BLS. The BLS also provide</w:t>
      </w:r>
      <w:r w:rsidR="00B22CE3">
        <w:rPr>
          <w:rFonts w:ascii="Arial" w:hAnsi="Arial" w:cs="Arial"/>
        </w:rPr>
        <w:t>s</w:t>
      </w:r>
      <w:r w:rsidRPr="00D35642">
        <w:rPr>
          <w:rFonts w:ascii="Arial" w:hAnsi="Arial" w:cs="Arial"/>
        </w:rPr>
        <w:t xml:space="preserve"> a courtesy copy of the required OSHA recordkeeping forms to all other survey participants for that reference year.</w:t>
      </w:r>
    </w:p>
    <w:p w:rsidR="00D35642" w:rsidP="00B91FC4" w14:paraId="38B6E2F9" w14:textId="77777777">
      <w:pPr>
        <w:spacing w:line="240" w:lineRule="exact"/>
        <w:rPr>
          <w:rFonts w:ascii="Arial" w:hAnsi="Arial" w:cs="Arial"/>
        </w:rPr>
      </w:pPr>
    </w:p>
    <w:p w:rsidR="00B91FC4" w:rsidRPr="00BA31F4" w:rsidP="00B91FC4" w14:paraId="7BF8432E" w14:textId="4F3240E8">
      <w:pPr>
        <w:spacing w:line="240" w:lineRule="exact"/>
        <w:rPr>
          <w:rFonts w:ascii="Arial" w:hAnsi="Arial" w:cs="Arial"/>
        </w:rPr>
      </w:pPr>
      <w:r w:rsidRPr="00FE2809">
        <w:rPr>
          <w:rFonts w:ascii="Arial" w:hAnsi="Arial" w:cs="Arial"/>
        </w:rPr>
        <w:t xml:space="preserve">The survey's sample selection process employs stratified random sampling to reduce the burden on private sector establishments. The BLS Internet </w:t>
      </w:r>
      <w:r w:rsidRPr="00FE2809" w:rsidR="003C61F8">
        <w:rPr>
          <w:rFonts w:ascii="Arial" w:hAnsi="Arial" w:cs="Arial"/>
        </w:rPr>
        <w:t>D</w:t>
      </w:r>
      <w:r w:rsidRPr="00FE2809">
        <w:rPr>
          <w:rFonts w:ascii="Arial" w:hAnsi="Arial" w:cs="Arial"/>
        </w:rPr>
        <w:t xml:space="preserve">ata </w:t>
      </w:r>
      <w:r w:rsidRPr="00FE2809" w:rsidR="003C61F8">
        <w:rPr>
          <w:rFonts w:ascii="Arial" w:hAnsi="Arial" w:cs="Arial"/>
        </w:rPr>
        <w:t>C</w:t>
      </w:r>
      <w:r w:rsidRPr="00FE2809">
        <w:rPr>
          <w:rFonts w:ascii="Arial" w:hAnsi="Arial" w:cs="Arial"/>
        </w:rPr>
        <w:t xml:space="preserve">ollection </w:t>
      </w:r>
      <w:r w:rsidRPr="00FE2809" w:rsidR="003C61F8">
        <w:rPr>
          <w:rFonts w:ascii="Arial" w:hAnsi="Arial" w:cs="Arial"/>
        </w:rPr>
        <w:t>F</w:t>
      </w:r>
      <w:r w:rsidRPr="00FE2809">
        <w:rPr>
          <w:rFonts w:ascii="Arial" w:hAnsi="Arial" w:cs="Arial"/>
        </w:rPr>
        <w:t xml:space="preserve">acility (IDCF) was first introduced for the SOII in 2003 and is currently being used for the </w:t>
      </w:r>
      <w:r w:rsidRPr="00FE2809" w:rsidR="00AE2E95">
        <w:rPr>
          <w:rFonts w:ascii="Arial" w:hAnsi="Arial" w:cs="Arial"/>
        </w:rPr>
        <w:t>202</w:t>
      </w:r>
      <w:r w:rsidRPr="00FE2809" w:rsidR="003C61F8">
        <w:rPr>
          <w:rFonts w:ascii="Arial" w:hAnsi="Arial" w:cs="Arial"/>
        </w:rPr>
        <w:t>3</w:t>
      </w:r>
      <w:r w:rsidRPr="00FE2809">
        <w:rPr>
          <w:rFonts w:ascii="Arial" w:hAnsi="Arial" w:cs="Arial"/>
        </w:rPr>
        <w:t xml:space="preserve"> </w:t>
      </w:r>
      <w:r w:rsidRPr="00FE2809" w:rsidR="00C969F6">
        <w:rPr>
          <w:rFonts w:ascii="Arial" w:hAnsi="Arial" w:cs="Arial"/>
        </w:rPr>
        <w:t>SOII</w:t>
      </w:r>
      <w:r w:rsidRPr="00FE2809">
        <w:rPr>
          <w:rFonts w:ascii="Arial" w:hAnsi="Arial" w:cs="Arial"/>
        </w:rPr>
        <w:t xml:space="preserve">. For the </w:t>
      </w:r>
      <w:r w:rsidRPr="00FE2809" w:rsidR="006F6CD2">
        <w:rPr>
          <w:rFonts w:ascii="Arial" w:hAnsi="Arial" w:cs="Arial"/>
        </w:rPr>
        <w:t>most recent</w:t>
      </w:r>
      <w:r w:rsidRPr="00FE2809" w:rsidR="00C969F6">
        <w:rPr>
          <w:rFonts w:ascii="Arial" w:hAnsi="Arial" w:cs="Arial"/>
        </w:rPr>
        <w:t>ly</w:t>
      </w:r>
      <w:r w:rsidRPr="00FE2809" w:rsidR="006F6CD2">
        <w:rPr>
          <w:rFonts w:ascii="Arial" w:hAnsi="Arial" w:cs="Arial"/>
        </w:rPr>
        <w:t xml:space="preserve"> completed (</w:t>
      </w:r>
      <w:r w:rsidRPr="00FE2809">
        <w:rPr>
          <w:rFonts w:ascii="Arial" w:hAnsi="Arial" w:cs="Arial"/>
        </w:rPr>
        <w:t>20</w:t>
      </w:r>
      <w:r w:rsidRPr="00FE2809" w:rsidR="003C61F8">
        <w:rPr>
          <w:rFonts w:ascii="Arial" w:hAnsi="Arial" w:cs="Arial"/>
        </w:rPr>
        <w:t>22</w:t>
      </w:r>
      <w:r w:rsidRPr="00FE2809" w:rsidR="006F6CD2">
        <w:rPr>
          <w:rFonts w:ascii="Arial" w:hAnsi="Arial" w:cs="Arial"/>
        </w:rPr>
        <w:t>)</w:t>
      </w:r>
      <w:r w:rsidRPr="00FE2809">
        <w:rPr>
          <w:rFonts w:ascii="Arial" w:hAnsi="Arial" w:cs="Arial"/>
        </w:rPr>
        <w:t xml:space="preserve"> SOII, a total of </w:t>
      </w:r>
      <w:r w:rsidRPr="00FE2809" w:rsidR="004A601C">
        <w:rPr>
          <w:rFonts w:ascii="Arial" w:hAnsi="Arial" w:cs="Arial"/>
        </w:rPr>
        <w:t>1</w:t>
      </w:r>
      <w:r w:rsidRPr="00FE2809" w:rsidR="00960957">
        <w:rPr>
          <w:rFonts w:ascii="Arial" w:hAnsi="Arial" w:cs="Arial"/>
        </w:rPr>
        <w:t>45,488</w:t>
      </w:r>
      <w:r w:rsidRPr="00FE2809" w:rsidR="00C969F6">
        <w:rPr>
          <w:rFonts w:ascii="Arial" w:hAnsi="Arial" w:cs="Arial"/>
        </w:rPr>
        <w:t xml:space="preserve"> </w:t>
      </w:r>
      <w:r w:rsidRPr="00FE2809">
        <w:rPr>
          <w:rFonts w:ascii="Arial" w:hAnsi="Arial" w:cs="Arial"/>
        </w:rPr>
        <w:t xml:space="preserve">establishments with </w:t>
      </w:r>
      <w:r w:rsidRPr="00FE2809" w:rsidR="004A601C">
        <w:rPr>
          <w:rFonts w:ascii="Arial" w:hAnsi="Arial" w:cs="Arial"/>
        </w:rPr>
        <w:t>225,581</w:t>
      </w:r>
      <w:r w:rsidR="001D4362">
        <w:rPr>
          <w:rFonts w:ascii="Arial" w:hAnsi="Arial" w:cs="Arial"/>
        </w:rPr>
        <w:t xml:space="preserve"> </w:t>
      </w:r>
      <w:r w:rsidRPr="00FE2809">
        <w:rPr>
          <w:rFonts w:ascii="Arial" w:hAnsi="Arial" w:cs="Arial"/>
        </w:rPr>
        <w:t xml:space="preserve">cases involving days away from work, job transfer or restriction </w:t>
      </w:r>
      <w:r w:rsidRPr="00FE2809" w:rsidR="0086554A">
        <w:rPr>
          <w:rFonts w:ascii="Arial" w:hAnsi="Arial" w:cs="Arial"/>
        </w:rPr>
        <w:t xml:space="preserve">(DART) </w:t>
      </w:r>
      <w:r w:rsidRPr="00FE2809">
        <w:rPr>
          <w:rFonts w:ascii="Arial" w:hAnsi="Arial" w:cs="Arial"/>
        </w:rPr>
        <w:t xml:space="preserve">reported using IDCF, accounting for </w:t>
      </w:r>
      <w:r w:rsidRPr="00FE2809" w:rsidR="00960957">
        <w:rPr>
          <w:rFonts w:ascii="Arial" w:hAnsi="Arial" w:cs="Arial"/>
        </w:rPr>
        <w:t>83</w:t>
      </w:r>
      <w:r w:rsidRPr="00FE2809" w:rsidR="00C969F6">
        <w:rPr>
          <w:rFonts w:ascii="Arial" w:hAnsi="Arial" w:cs="Arial"/>
        </w:rPr>
        <w:t xml:space="preserve"> </w:t>
      </w:r>
      <w:r w:rsidRPr="00FE2809">
        <w:rPr>
          <w:rFonts w:ascii="Arial" w:hAnsi="Arial" w:cs="Arial"/>
        </w:rPr>
        <w:t>percent of survey responses and 8</w:t>
      </w:r>
      <w:r w:rsidRPr="00FE2809" w:rsidR="00B046FE">
        <w:rPr>
          <w:rFonts w:ascii="Arial" w:hAnsi="Arial" w:cs="Arial"/>
        </w:rPr>
        <w:t>1</w:t>
      </w:r>
      <w:r w:rsidRPr="00FE2809">
        <w:rPr>
          <w:rFonts w:ascii="Arial" w:hAnsi="Arial" w:cs="Arial"/>
        </w:rPr>
        <w:t xml:space="preserve"> percent of reported cases. An additional </w:t>
      </w:r>
      <w:r w:rsidRPr="00FE2809" w:rsidR="00DA15EA">
        <w:rPr>
          <w:rFonts w:ascii="Arial" w:hAnsi="Arial" w:cs="Arial"/>
        </w:rPr>
        <w:t>12,</w:t>
      </w:r>
      <w:r w:rsidRPr="00FE2809" w:rsidR="00FB0444">
        <w:rPr>
          <w:rFonts w:ascii="Arial" w:hAnsi="Arial" w:cs="Arial"/>
        </w:rPr>
        <w:t>935</w:t>
      </w:r>
      <w:r w:rsidRPr="00FE2809" w:rsidR="00C969F6">
        <w:rPr>
          <w:rFonts w:ascii="Arial" w:hAnsi="Arial" w:cs="Arial"/>
        </w:rPr>
        <w:t xml:space="preserve"> </w:t>
      </w:r>
      <w:r w:rsidRPr="00FE2809">
        <w:rPr>
          <w:rFonts w:ascii="Arial" w:hAnsi="Arial" w:cs="Arial"/>
        </w:rPr>
        <w:t xml:space="preserve">establishment responses were reported electronically via our keyed data file upload process, accounting for another </w:t>
      </w:r>
      <w:r w:rsidRPr="00FE2809" w:rsidR="00960957">
        <w:rPr>
          <w:rFonts w:ascii="Arial" w:hAnsi="Arial" w:cs="Arial"/>
        </w:rPr>
        <w:t xml:space="preserve">7 </w:t>
      </w:r>
      <w:r w:rsidRPr="00FE2809">
        <w:rPr>
          <w:rFonts w:ascii="Arial" w:hAnsi="Arial" w:cs="Arial"/>
        </w:rPr>
        <w:t>percent of responses for the 20</w:t>
      </w:r>
      <w:r w:rsidRPr="00FE2809" w:rsidR="003C61F8">
        <w:rPr>
          <w:rFonts w:ascii="Arial" w:hAnsi="Arial" w:cs="Arial"/>
        </w:rPr>
        <w:t>22</w:t>
      </w:r>
      <w:r w:rsidRPr="00FE2809">
        <w:rPr>
          <w:rFonts w:ascii="Arial" w:hAnsi="Arial" w:cs="Arial"/>
        </w:rPr>
        <w:t xml:space="preserve"> SOII. </w:t>
      </w:r>
      <w:r w:rsidRPr="00FE2809" w:rsidR="0086554A">
        <w:rPr>
          <w:rFonts w:ascii="Arial" w:hAnsi="Arial" w:cs="Arial"/>
        </w:rPr>
        <w:t xml:space="preserve">This keyed data file upload is an internal process used by SOII data collectors to upload formatted files collected directly from large employers with many establishments in the sample for which they </w:t>
      </w:r>
      <w:r w:rsidRPr="00FE2809" w:rsidR="00C969F6">
        <w:rPr>
          <w:rFonts w:ascii="Arial" w:hAnsi="Arial" w:cs="Arial"/>
        </w:rPr>
        <w:t>can</w:t>
      </w:r>
      <w:r w:rsidRPr="00FE2809" w:rsidR="0086554A">
        <w:rPr>
          <w:rFonts w:ascii="Arial" w:hAnsi="Arial" w:cs="Arial"/>
        </w:rPr>
        <w:t xml:space="preserve"> report injury and illness data centrally. </w:t>
      </w:r>
    </w:p>
    <w:p w:rsidR="00B91FC4" w:rsidRPr="00BA31F4" w:rsidP="00B91FC4" w14:paraId="7B8020AF" w14:textId="51A31691">
      <w:pPr>
        <w:spacing w:line="240" w:lineRule="exact"/>
        <w:rPr>
          <w:rFonts w:ascii="Arial" w:hAnsi="Arial" w:cs="Arial"/>
        </w:rPr>
      </w:pPr>
    </w:p>
    <w:p w:rsidR="00B91FC4" w:rsidRPr="00BA31F4" w:rsidP="00B91FC4" w14:paraId="7D72CEE9" w14:textId="77777777">
      <w:pPr>
        <w:spacing w:line="240" w:lineRule="exact"/>
        <w:rPr>
          <w:rFonts w:ascii="Arial" w:hAnsi="Arial" w:cs="Arial"/>
        </w:rPr>
      </w:pPr>
      <w:r w:rsidRPr="00BA31F4">
        <w:rPr>
          <w:rFonts w:ascii="Arial" w:hAnsi="Arial" w:cs="Arial"/>
        </w:rPr>
        <w:t xml:space="preserve">Employers still may attach a copy of their OSHA 300A summary form to complete Part I of the survey when submitting the hard copy version of the data collection form. In addition, they will continue to be offered the option of attaching an alternative record that contains the requested worker and case circumstances information on the data collection case form. Alternative forms could be workers' compensation first report of </w:t>
      </w:r>
      <w:r w:rsidRPr="00BA31F4">
        <w:rPr>
          <w:rFonts w:ascii="Arial" w:hAnsi="Arial" w:cs="Arial"/>
        </w:rPr>
        <w:t xml:space="preserve">injury forms, company accident reports, insurance forms, or the OSHA supplemental case form. </w:t>
      </w:r>
    </w:p>
    <w:p w:rsidR="00B91FC4" w:rsidRPr="00BA31F4" w:rsidP="00B91FC4" w14:paraId="3878BA1B" w14:textId="77777777">
      <w:pPr>
        <w:spacing w:line="240" w:lineRule="exact"/>
        <w:rPr>
          <w:rFonts w:ascii="Arial" w:hAnsi="Arial" w:cs="Arial"/>
        </w:rPr>
      </w:pPr>
    </w:p>
    <w:p w:rsidR="00690F56" w:rsidRPr="00A47DA7" w:rsidP="00B52744" w14:paraId="04006A6E" w14:textId="4B9BAFC8">
      <w:pPr>
        <w:spacing w:line="240" w:lineRule="exact"/>
        <w:rPr>
          <w:rFonts w:ascii="Times New Roman" w:hAnsi="Times New Roman"/>
        </w:rPr>
      </w:pPr>
      <w:r w:rsidRPr="00BA31F4">
        <w:rPr>
          <w:rFonts w:ascii="Arial" w:hAnsi="Arial" w:cs="Arial"/>
        </w:rPr>
        <w:t xml:space="preserve">The survey allows respondents to opt in to receive </w:t>
      </w:r>
      <w:r>
        <w:rPr>
          <w:rFonts w:ascii="Arial" w:hAnsi="Arial" w:cs="Arial"/>
        </w:rPr>
        <w:t xml:space="preserve">by email the </w:t>
      </w:r>
      <w:r w:rsidRPr="00BA31F4">
        <w:rPr>
          <w:rFonts w:ascii="Arial" w:hAnsi="Arial" w:cs="Arial"/>
        </w:rPr>
        <w:t>notification of the requirement to respond</w:t>
      </w:r>
      <w:r>
        <w:rPr>
          <w:rFonts w:ascii="Arial" w:hAnsi="Arial" w:cs="Arial"/>
        </w:rPr>
        <w:t xml:space="preserve"> to the SOII. For the </w:t>
      </w:r>
      <w:r w:rsidR="00712A6F">
        <w:rPr>
          <w:rFonts w:ascii="Arial" w:hAnsi="Arial" w:cs="Arial"/>
        </w:rPr>
        <w:t>2024</w:t>
      </w:r>
      <w:r>
        <w:rPr>
          <w:rFonts w:ascii="Arial" w:hAnsi="Arial" w:cs="Arial"/>
        </w:rPr>
        <w:t xml:space="preserve"> SOII, </w:t>
      </w:r>
      <w:r w:rsidR="00D52788">
        <w:rPr>
          <w:rFonts w:ascii="Arial" w:hAnsi="Arial" w:cs="Arial"/>
        </w:rPr>
        <w:t>over</w:t>
      </w:r>
      <w:r>
        <w:rPr>
          <w:rFonts w:ascii="Arial" w:hAnsi="Arial" w:cs="Arial"/>
        </w:rPr>
        <w:t xml:space="preserve"> </w:t>
      </w:r>
      <w:r w:rsidRPr="00723D61" w:rsidR="00712A6F">
        <w:rPr>
          <w:rFonts w:ascii="Arial" w:hAnsi="Arial" w:cs="Arial"/>
        </w:rPr>
        <w:t>48</w:t>
      </w:r>
      <w:r w:rsidRPr="00A3207A" w:rsidR="00D52788">
        <w:rPr>
          <w:rFonts w:ascii="Arial" w:hAnsi="Arial" w:cs="Arial"/>
        </w:rPr>
        <w:t>,000</w:t>
      </w:r>
      <w:r>
        <w:rPr>
          <w:rFonts w:ascii="Arial" w:hAnsi="Arial" w:cs="Arial"/>
        </w:rPr>
        <w:t xml:space="preserve"> establishments were notified of their requirement to maintain injury and illness records required to respond to the SOII. And </w:t>
      </w:r>
      <w:r w:rsidRPr="00723D61" w:rsidR="00712A6F">
        <w:rPr>
          <w:rFonts w:ascii="Arial" w:hAnsi="Arial" w:cs="Arial"/>
        </w:rPr>
        <w:t>52</w:t>
      </w:r>
      <w:r w:rsidR="00712A6F">
        <w:rPr>
          <w:rFonts w:ascii="Arial" w:hAnsi="Arial" w:cs="Arial"/>
        </w:rPr>
        <w:t>,300</w:t>
      </w:r>
      <w:r>
        <w:rPr>
          <w:rFonts w:ascii="Arial" w:hAnsi="Arial" w:cs="Arial"/>
        </w:rPr>
        <w:t xml:space="preserve"> establishments were emailed during data collection processes for the on-going </w:t>
      </w:r>
      <w:r w:rsidR="00712A6F">
        <w:rPr>
          <w:rFonts w:ascii="Arial" w:hAnsi="Arial" w:cs="Arial"/>
        </w:rPr>
        <w:t>2023</w:t>
      </w:r>
      <w:r>
        <w:rPr>
          <w:rFonts w:ascii="Arial" w:hAnsi="Arial" w:cs="Arial"/>
        </w:rPr>
        <w:t xml:space="preserve"> SOII.</w:t>
      </w:r>
      <w:r w:rsidRPr="00BA31F4">
        <w:rPr>
          <w:rFonts w:ascii="Arial" w:hAnsi="Arial" w:cs="Arial"/>
        </w:rPr>
        <w:t xml:space="preserve"> The respondent must make a positive selection to opt in</w:t>
      </w:r>
      <w:r>
        <w:rPr>
          <w:rFonts w:ascii="Arial" w:hAnsi="Arial" w:cs="Arial"/>
        </w:rPr>
        <w:t xml:space="preserve"> for email notification</w:t>
      </w:r>
      <w:r w:rsidRPr="00BA31F4">
        <w:rPr>
          <w:rFonts w:ascii="Arial" w:hAnsi="Arial" w:cs="Arial"/>
        </w:rPr>
        <w:t xml:space="preserve">; this selection </w:t>
      </w:r>
      <w:r w:rsidR="0023446D">
        <w:rPr>
          <w:rFonts w:ascii="Arial" w:hAnsi="Arial" w:cs="Arial"/>
        </w:rPr>
        <w:t>is</w:t>
      </w:r>
      <w:r w:rsidRPr="00BA31F4">
        <w:rPr>
          <w:rFonts w:ascii="Arial" w:hAnsi="Arial" w:cs="Arial"/>
        </w:rPr>
        <w:t xml:space="preserve"> retained. The </w:t>
      </w:r>
      <w:r>
        <w:rPr>
          <w:rFonts w:ascii="Arial" w:hAnsi="Arial" w:cs="Arial"/>
        </w:rPr>
        <w:t xml:space="preserve">BLS </w:t>
      </w:r>
      <w:r w:rsidRPr="00BA31F4">
        <w:rPr>
          <w:rFonts w:ascii="Arial" w:hAnsi="Arial" w:cs="Arial"/>
        </w:rPr>
        <w:t xml:space="preserve">will email these respondents in subsequent years if selected to participate in the survey. The email is pre-filled from the registration </w:t>
      </w:r>
      <w:r w:rsidRPr="00BA31F4" w:rsidR="001D4362">
        <w:rPr>
          <w:rFonts w:ascii="Arial" w:hAnsi="Arial" w:cs="Arial"/>
        </w:rPr>
        <w:t>email,</w:t>
      </w:r>
      <w:r w:rsidRPr="00BA31F4">
        <w:rPr>
          <w:rFonts w:ascii="Arial" w:hAnsi="Arial" w:cs="Arial"/>
        </w:rPr>
        <w:t xml:space="preserve"> but the respondent </w:t>
      </w:r>
      <w:r>
        <w:rPr>
          <w:rFonts w:ascii="Arial" w:hAnsi="Arial" w:cs="Arial"/>
        </w:rPr>
        <w:t>may</w:t>
      </w:r>
      <w:r w:rsidRPr="00BA31F4">
        <w:rPr>
          <w:rFonts w:ascii="Arial" w:hAnsi="Arial" w:cs="Arial"/>
        </w:rPr>
        <w:t xml:space="preserve"> change the email address at </w:t>
      </w:r>
      <w:r w:rsidR="00D360A7">
        <w:rPr>
          <w:rFonts w:ascii="Arial" w:hAnsi="Arial" w:cs="Arial"/>
        </w:rPr>
        <w:t xml:space="preserve">any time during the data collection process, </w:t>
      </w:r>
      <w:r w:rsidRPr="00BA31F4">
        <w:rPr>
          <w:rFonts w:ascii="Arial" w:hAnsi="Arial" w:cs="Arial"/>
        </w:rPr>
        <w:t xml:space="preserve">if desired. The survey will use email </w:t>
      </w:r>
      <w:r w:rsidR="0023446D">
        <w:rPr>
          <w:rFonts w:ascii="Arial" w:hAnsi="Arial" w:cs="Arial"/>
        </w:rPr>
        <w:t xml:space="preserve">to notify employers of their </w:t>
      </w:r>
      <w:r w:rsidRPr="00BA31F4">
        <w:rPr>
          <w:rFonts w:ascii="Arial" w:hAnsi="Arial" w:cs="Arial"/>
        </w:rPr>
        <w:t>responsibility to participate in the survey as well as for data collection in accordance with BLS policy on the use of email for data collection.</w:t>
      </w:r>
    </w:p>
    <w:p w:rsidR="00690F56" w:rsidRPr="006A4637" w:rsidP="00B65823" w14:paraId="1EFFB376" w14:textId="77777777">
      <w:pPr>
        <w:widowControl/>
        <w:rPr>
          <w:rFonts w:ascii="Times New Roman" w:hAnsi="Times New Roman"/>
        </w:rPr>
      </w:pPr>
    </w:p>
    <w:p w:rsidR="00690F56" w:rsidRPr="00D53DEB" w:rsidP="00B65823"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B91FC4" w:rsidRPr="00BA31F4" w:rsidP="00B91FC4" w14:paraId="78344CA1" w14:textId="77777777">
      <w:pPr>
        <w:spacing w:line="240" w:lineRule="exact"/>
        <w:rPr>
          <w:rFonts w:ascii="Arial" w:hAnsi="Arial" w:cs="Arial"/>
        </w:rPr>
      </w:pPr>
    </w:p>
    <w:p w:rsidR="00B91FC4" w:rsidRPr="00BA31F4" w:rsidP="00B91FC4" w14:paraId="096CABE9" w14:textId="36CBA35E">
      <w:pPr>
        <w:spacing w:line="240" w:lineRule="exact"/>
        <w:rPr>
          <w:rFonts w:ascii="Arial" w:hAnsi="Arial" w:cs="Arial"/>
        </w:rPr>
      </w:pPr>
      <w:r w:rsidRPr="00BA31F4">
        <w:rPr>
          <w:rFonts w:ascii="Arial" w:hAnsi="Arial" w:cs="Arial"/>
        </w:rPr>
        <w:t xml:space="preserve">As nearly all employers in the private sector are covered by the Occupational Safety and Health Act, the SOII </w:t>
      </w:r>
      <w:r w:rsidRPr="00BA31F4" w:rsidR="0023446D">
        <w:rPr>
          <w:rFonts w:ascii="Arial" w:hAnsi="Arial" w:cs="Arial"/>
        </w:rPr>
        <w:t>can</w:t>
      </w:r>
      <w:r w:rsidRPr="00BA31F4">
        <w:rPr>
          <w:rFonts w:ascii="Arial" w:hAnsi="Arial" w:cs="Arial"/>
        </w:rPr>
        <w:t xml:space="preserve"> produce statistics for almost all industries. However, to provide comprehensive, private sector estimates, </w:t>
      </w:r>
      <w:r w:rsidR="00A503C1">
        <w:rPr>
          <w:rFonts w:ascii="Arial" w:hAnsi="Arial" w:cs="Arial"/>
        </w:rPr>
        <w:t>BLS must</w:t>
      </w:r>
      <w:r w:rsidRPr="00BA31F4">
        <w:rPr>
          <w:rFonts w:ascii="Arial" w:hAnsi="Arial" w:cs="Arial"/>
        </w:rPr>
        <w:t xml:space="preserve"> secure data from other </w:t>
      </w:r>
      <w:r>
        <w:rPr>
          <w:rFonts w:ascii="Arial" w:hAnsi="Arial" w:cs="Arial"/>
        </w:rPr>
        <w:t>f</w:t>
      </w:r>
      <w:r w:rsidRPr="00BA31F4">
        <w:rPr>
          <w:rFonts w:ascii="Arial" w:hAnsi="Arial" w:cs="Arial"/>
        </w:rPr>
        <w:t>ederal agencies having statutory authority affecting the safety and health of employees in coal, metal, and other nonmetal mining, and on railroads. Comparable data are provided by the Mine Safety and Health Administration, U.S. Department of Labor, for mining employers and by the Federal Railroad Administration, U.S. Department of Transportation, for railroad employers.</w:t>
      </w:r>
    </w:p>
    <w:p w:rsidR="00B91FC4" w:rsidRPr="00BA31F4" w:rsidP="00B91FC4" w14:paraId="290BC105" w14:textId="77777777">
      <w:pPr>
        <w:spacing w:line="240" w:lineRule="exact"/>
        <w:rPr>
          <w:rFonts w:ascii="Arial" w:hAnsi="Arial" w:cs="Arial"/>
        </w:rPr>
      </w:pPr>
    </w:p>
    <w:p w:rsidR="00B91FC4" w:rsidRPr="00BA31F4" w:rsidP="00B91FC4" w14:paraId="4F356FC0" w14:textId="3DF92CC9">
      <w:pPr>
        <w:spacing w:line="240" w:lineRule="exact"/>
        <w:rPr>
          <w:rFonts w:ascii="Arial" w:hAnsi="Arial" w:cs="Arial"/>
        </w:rPr>
      </w:pPr>
      <w:r w:rsidRPr="00BA31F4">
        <w:rPr>
          <w:rFonts w:ascii="Arial" w:hAnsi="Arial" w:cs="Arial"/>
        </w:rPr>
        <w:t xml:space="preserve">OSHA requires establishments in </w:t>
      </w:r>
      <w:r w:rsidR="00A9671E">
        <w:rPr>
          <w:rFonts w:ascii="Arial" w:hAnsi="Arial" w:cs="Arial"/>
        </w:rPr>
        <w:t>covered industries</w:t>
      </w:r>
      <w:r>
        <w:rPr>
          <w:rStyle w:val="FootnoteReference"/>
          <w:rFonts w:ascii="Arial" w:hAnsi="Arial" w:cs="Arial"/>
        </w:rPr>
        <w:footnoteReference w:id="5"/>
      </w:r>
      <w:r w:rsidR="00A9671E">
        <w:rPr>
          <w:rFonts w:ascii="Arial" w:hAnsi="Arial" w:cs="Arial"/>
        </w:rPr>
        <w:t xml:space="preserve"> </w:t>
      </w:r>
      <w:r w:rsidRPr="00BA31F4">
        <w:rPr>
          <w:rFonts w:ascii="Arial" w:hAnsi="Arial" w:cs="Arial"/>
        </w:rPr>
        <w:t xml:space="preserve">to record on </w:t>
      </w:r>
      <w:r w:rsidR="00FD5BE0">
        <w:rPr>
          <w:rFonts w:ascii="Arial" w:hAnsi="Arial" w:cs="Arial"/>
        </w:rPr>
        <w:t>injury and illness</w:t>
      </w:r>
      <w:r w:rsidRPr="00BA31F4" w:rsidR="00FD5BE0">
        <w:rPr>
          <w:rFonts w:ascii="Arial" w:hAnsi="Arial" w:cs="Arial"/>
        </w:rPr>
        <w:t xml:space="preserve"> </w:t>
      </w:r>
      <w:r w:rsidRPr="00BA31F4">
        <w:rPr>
          <w:rFonts w:ascii="Arial" w:hAnsi="Arial" w:cs="Arial"/>
        </w:rPr>
        <w:t xml:space="preserve">logs and retain data </w:t>
      </w:r>
      <w:r w:rsidRPr="00BA31F4" w:rsidR="00931160">
        <w:rPr>
          <w:rFonts w:ascii="Arial" w:hAnsi="Arial" w:cs="Arial"/>
        </w:rPr>
        <w:t>like</w:t>
      </w:r>
      <w:r w:rsidRPr="00BA31F4">
        <w:rPr>
          <w:rFonts w:ascii="Arial" w:hAnsi="Arial" w:cs="Arial"/>
        </w:rPr>
        <w:t xml:space="preserve"> those collected by the SOII</w:t>
      </w:r>
      <w:r w:rsidR="00C4587D">
        <w:rPr>
          <w:rFonts w:ascii="Arial" w:hAnsi="Arial" w:cs="Arial"/>
        </w:rPr>
        <w:t>.</w:t>
      </w:r>
      <w:r w:rsidRPr="00BA31F4">
        <w:rPr>
          <w:rFonts w:ascii="Arial" w:hAnsi="Arial" w:cs="Arial"/>
        </w:rPr>
        <w:t xml:space="preserve"> The BLS collects information from OSHA logs from a sample of establishments</w:t>
      </w:r>
      <w:r>
        <w:rPr>
          <w:rFonts w:ascii="Arial" w:hAnsi="Arial" w:cs="Arial"/>
        </w:rPr>
        <w:t xml:space="preserve"> </w:t>
      </w:r>
      <w:r w:rsidRPr="00BA31F4">
        <w:rPr>
          <w:rFonts w:ascii="Arial" w:hAnsi="Arial" w:cs="Arial"/>
        </w:rPr>
        <w:t>representative of the entire U.S. economy, including establishments that maintain OSHA records on a regular basis (non-exempt) as well as establishments that are normally exempt from OSHA recordkeeping. The burden of recording information on the OSHA logs for employers who normally must keep records is already reflected in OSHA's clearance</w:t>
      </w:r>
      <w:r>
        <w:rPr>
          <w:rFonts w:ascii="Arial" w:hAnsi="Arial" w:cs="Arial"/>
        </w:rPr>
        <w:t>.</w:t>
      </w:r>
      <w:r w:rsidRPr="00BA31F4">
        <w:rPr>
          <w:rFonts w:ascii="Arial" w:hAnsi="Arial" w:cs="Arial"/>
        </w:rPr>
        <w:t xml:space="preserve"> (</w:t>
      </w:r>
      <w:r w:rsidR="002513BE">
        <w:rPr>
          <w:rFonts w:ascii="Arial" w:hAnsi="Arial" w:cs="Arial"/>
        </w:rPr>
        <w:t>See</w:t>
      </w:r>
      <w:r w:rsidRPr="00BA31F4">
        <w:rPr>
          <w:rFonts w:ascii="Arial" w:hAnsi="Arial" w:cs="Arial"/>
        </w:rPr>
        <w:t xml:space="preserve"> section 12 for additional detail on SOII burden for OSHA exempt and non-exempt establishments</w:t>
      </w:r>
      <w:r>
        <w:rPr>
          <w:rFonts w:ascii="Arial" w:hAnsi="Arial" w:cs="Arial"/>
        </w:rPr>
        <w:t>.</w:t>
      </w:r>
      <w:r w:rsidRPr="00BA31F4">
        <w:rPr>
          <w:rFonts w:ascii="Arial" w:hAnsi="Arial" w:cs="Arial"/>
        </w:rPr>
        <w:t xml:space="preserve">)  </w:t>
      </w:r>
    </w:p>
    <w:p w:rsidR="00B91FC4" w:rsidRPr="00BA31F4" w:rsidP="00B91FC4" w14:paraId="500CED32" w14:textId="77777777">
      <w:pPr>
        <w:spacing w:line="240" w:lineRule="exact"/>
        <w:rPr>
          <w:rFonts w:ascii="Arial" w:hAnsi="Arial" w:cs="Arial"/>
        </w:rPr>
      </w:pPr>
    </w:p>
    <w:p w:rsidR="00B91FC4" w:rsidRPr="000F4ABE" w:rsidP="00B91FC4" w14:paraId="1AF465D7" w14:textId="62A2944C">
      <w:pPr>
        <w:spacing w:line="240" w:lineRule="exact"/>
        <w:rPr>
          <w:rFonts w:ascii="Arial" w:hAnsi="Arial" w:cs="Arial"/>
        </w:rPr>
      </w:pPr>
      <w:r>
        <w:rPr>
          <w:rFonts w:ascii="Arial" w:hAnsi="Arial" w:cs="Arial"/>
        </w:rPr>
        <w:t xml:space="preserve">Beginning with calendar year (CY) 2016, </w:t>
      </w:r>
      <w:r w:rsidRPr="00BA31F4">
        <w:rPr>
          <w:rFonts w:ascii="Arial" w:hAnsi="Arial" w:cs="Arial"/>
        </w:rPr>
        <w:t>OSHA amended its recordkeeping regulations to require employers</w:t>
      </w:r>
      <w:r>
        <w:rPr>
          <w:rFonts w:ascii="Arial" w:hAnsi="Arial" w:cs="Arial"/>
        </w:rPr>
        <w:t xml:space="preserve"> with 250 or more employees in all industries, and employers</w:t>
      </w:r>
      <w:r w:rsidRPr="000F4ABE">
        <w:rPr>
          <w:rFonts w:ascii="Arial" w:hAnsi="Arial" w:cs="Arial"/>
        </w:rPr>
        <w:t xml:space="preserve"> </w:t>
      </w:r>
      <w:r>
        <w:rPr>
          <w:rFonts w:ascii="Arial" w:hAnsi="Arial" w:cs="Arial"/>
        </w:rPr>
        <w:t xml:space="preserve">in certain industries with 20 to 249 employees, </w:t>
      </w:r>
      <w:r w:rsidRPr="000F4ABE">
        <w:rPr>
          <w:rFonts w:ascii="Arial" w:hAnsi="Arial" w:cs="Arial"/>
        </w:rPr>
        <w:t xml:space="preserve">to submit </w:t>
      </w:r>
      <w:r>
        <w:rPr>
          <w:rFonts w:ascii="Arial" w:hAnsi="Arial" w:cs="Arial"/>
        </w:rPr>
        <w:t>300A Summary form</w:t>
      </w:r>
      <w:r w:rsidRPr="000F4ABE">
        <w:rPr>
          <w:rFonts w:ascii="Arial" w:hAnsi="Arial" w:cs="Arial"/>
        </w:rPr>
        <w:t xml:space="preserve"> injury and illness information electronically</w:t>
      </w:r>
      <w:r>
        <w:rPr>
          <w:rFonts w:ascii="Arial" w:hAnsi="Arial" w:cs="Arial"/>
        </w:rPr>
        <w:t xml:space="preserve"> to OSHA</w:t>
      </w:r>
      <w:r w:rsidRPr="000F4ABE">
        <w:rPr>
          <w:rFonts w:ascii="Arial" w:hAnsi="Arial" w:cs="Arial"/>
        </w:rPr>
        <w:t xml:space="preserve">. </w:t>
      </w:r>
      <w:r w:rsidRPr="000F4ABE" w:rsidR="0099721F">
        <w:rPr>
          <w:rFonts w:ascii="Arial" w:hAnsi="Arial" w:cs="Arial"/>
        </w:rPr>
        <w:t xml:space="preserve">OSHA developed the Injury Tracking Application (ITA) to </w:t>
      </w:r>
      <w:r w:rsidR="0099721F">
        <w:rPr>
          <w:rFonts w:ascii="Arial" w:hAnsi="Arial" w:cs="Arial"/>
        </w:rPr>
        <w:t xml:space="preserve">electronically </w:t>
      </w:r>
      <w:r w:rsidRPr="000F4ABE" w:rsidR="0099721F">
        <w:rPr>
          <w:rFonts w:ascii="Arial" w:hAnsi="Arial" w:cs="Arial"/>
        </w:rPr>
        <w:t xml:space="preserve">collect </w:t>
      </w:r>
      <w:r w:rsidR="00A503C1">
        <w:rPr>
          <w:rFonts w:ascii="Arial" w:hAnsi="Arial" w:cs="Arial"/>
        </w:rPr>
        <w:t xml:space="preserve">these </w:t>
      </w:r>
      <w:r w:rsidRPr="000F4ABE" w:rsidR="0099721F">
        <w:rPr>
          <w:rFonts w:ascii="Arial" w:hAnsi="Arial" w:cs="Arial"/>
        </w:rPr>
        <w:t xml:space="preserve">records. </w:t>
      </w:r>
      <w:r w:rsidR="00931160">
        <w:rPr>
          <w:rFonts w:ascii="Arial" w:hAnsi="Arial" w:cs="Arial"/>
        </w:rPr>
        <w:t xml:space="preserve">OSHA further amended its recordkeeping regulations </w:t>
      </w:r>
      <w:r w:rsidR="004317BF">
        <w:rPr>
          <w:rFonts w:ascii="Arial" w:hAnsi="Arial" w:cs="Arial"/>
        </w:rPr>
        <w:t xml:space="preserve">effective with CY 2023 reporting </w:t>
      </w:r>
      <w:r w:rsidR="00931160">
        <w:rPr>
          <w:rFonts w:ascii="Arial" w:hAnsi="Arial" w:cs="Arial"/>
        </w:rPr>
        <w:t xml:space="preserve">to require covered employers to additionally report details from their OSHA Form 300 (Log of Work-Related Injuries and Illnesses) and OSHA Form 301 (Injury and Illness Incident Report). </w:t>
      </w:r>
      <w:r w:rsidR="0099721F">
        <w:rPr>
          <w:rFonts w:ascii="Arial" w:hAnsi="Arial" w:cs="Arial"/>
        </w:rPr>
        <w:t>Changes to t</w:t>
      </w:r>
      <w:r w:rsidRPr="000F4ABE">
        <w:rPr>
          <w:rFonts w:ascii="Arial" w:hAnsi="Arial" w:cs="Arial"/>
        </w:rPr>
        <w:t xml:space="preserve">he </w:t>
      </w:r>
      <w:r>
        <w:rPr>
          <w:rFonts w:ascii="Arial" w:hAnsi="Arial" w:cs="Arial"/>
        </w:rPr>
        <w:t xml:space="preserve">OSHA </w:t>
      </w:r>
      <w:r w:rsidRPr="000F4ABE">
        <w:rPr>
          <w:rFonts w:ascii="Arial" w:hAnsi="Arial" w:cs="Arial"/>
        </w:rPr>
        <w:t>rule d</w:t>
      </w:r>
      <w:r>
        <w:rPr>
          <w:rFonts w:ascii="Arial" w:hAnsi="Arial" w:cs="Arial"/>
        </w:rPr>
        <w:t>id</w:t>
      </w:r>
      <w:r w:rsidRPr="000F4ABE">
        <w:rPr>
          <w:rFonts w:ascii="Arial" w:hAnsi="Arial" w:cs="Arial"/>
        </w:rPr>
        <w:t xml:space="preserve"> not add to or change any employer’s obligation to </w:t>
      </w:r>
      <w:r w:rsidRPr="000F4ABE">
        <w:rPr>
          <w:rFonts w:ascii="Arial" w:hAnsi="Arial" w:cs="Arial"/>
        </w:rPr>
        <w:t>complete and retain injury and illness records under OSHA’s regulations for recording and reporting occupational injuries and illnesses</w:t>
      </w:r>
      <w:r w:rsidR="00FD35DD">
        <w:rPr>
          <w:rFonts w:ascii="Arial" w:hAnsi="Arial" w:cs="Arial"/>
        </w:rPr>
        <w:t xml:space="preserve">; however, </w:t>
      </w:r>
      <w:r w:rsidR="0099721F">
        <w:rPr>
          <w:rFonts w:ascii="Arial" w:hAnsi="Arial" w:cs="Arial"/>
        </w:rPr>
        <w:t xml:space="preserve">these </w:t>
      </w:r>
      <w:r w:rsidR="00FD35DD">
        <w:rPr>
          <w:rFonts w:ascii="Arial" w:hAnsi="Arial" w:cs="Arial"/>
        </w:rPr>
        <w:t>new rule</w:t>
      </w:r>
      <w:r w:rsidR="00FD4F78">
        <w:rPr>
          <w:rFonts w:ascii="Arial" w:hAnsi="Arial" w:cs="Arial"/>
        </w:rPr>
        <w:t>s</w:t>
      </w:r>
      <w:r w:rsidR="00FD35DD">
        <w:rPr>
          <w:rFonts w:ascii="Arial" w:hAnsi="Arial" w:cs="Arial"/>
        </w:rPr>
        <w:t xml:space="preserve"> </w:t>
      </w:r>
      <w:r w:rsidRPr="000F4ABE">
        <w:rPr>
          <w:rFonts w:ascii="Arial" w:hAnsi="Arial" w:cs="Arial"/>
        </w:rPr>
        <w:t>modifie</w:t>
      </w:r>
      <w:r>
        <w:rPr>
          <w:rFonts w:ascii="Arial" w:hAnsi="Arial" w:cs="Arial"/>
        </w:rPr>
        <w:t>d</w:t>
      </w:r>
      <w:r w:rsidRPr="000F4ABE">
        <w:rPr>
          <w:rFonts w:ascii="Arial" w:hAnsi="Arial" w:cs="Arial"/>
        </w:rPr>
        <w:t xml:space="preserve"> employers’ obligations to transmit </w:t>
      </w:r>
      <w:r>
        <w:rPr>
          <w:rFonts w:ascii="Arial" w:hAnsi="Arial" w:cs="Arial"/>
        </w:rPr>
        <w:t xml:space="preserve">electronically </w:t>
      </w:r>
      <w:r w:rsidRPr="000F4ABE">
        <w:rPr>
          <w:rFonts w:ascii="Arial" w:hAnsi="Arial" w:cs="Arial"/>
        </w:rPr>
        <w:t xml:space="preserve">information from these records to OSHA. </w:t>
      </w:r>
      <w:r w:rsidR="00FD35DD">
        <w:rPr>
          <w:rFonts w:ascii="Arial" w:hAnsi="Arial" w:cs="Arial"/>
        </w:rPr>
        <w:t>As a result, s</w:t>
      </w:r>
      <w:r w:rsidRPr="000F4ABE">
        <w:rPr>
          <w:rFonts w:ascii="Arial" w:hAnsi="Arial" w:cs="Arial"/>
        </w:rPr>
        <w:t xml:space="preserve">ome </w:t>
      </w:r>
      <w:r w:rsidRPr="000F4ABE" w:rsidR="00FD4F78">
        <w:rPr>
          <w:rFonts w:ascii="Arial" w:hAnsi="Arial" w:cs="Arial"/>
        </w:rPr>
        <w:t xml:space="preserve">private industry </w:t>
      </w:r>
      <w:r w:rsidRPr="000F4ABE">
        <w:rPr>
          <w:rFonts w:ascii="Arial" w:hAnsi="Arial" w:cs="Arial"/>
        </w:rPr>
        <w:t xml:space="preserve">establishments are required to report to both the SOII and OSHA under the </w:t>
      </w:r>
      <w:r>
        <w:rPr>
          <w:rFonts w:ascii="Arial" w:hAnsi="Arial" w:cs="Arial"/>
        </w:rPr>
        <w:t xml:space="preserve">ITA </w:t>
      </w:r>
      <w:r w:rsidRPr="000F4ABE">
        <w:rPr>
          <w:rFonts w:ascii="Arial" w:hAnsi="Arial" w:cs="Arial"/>
        </w:rPr>
        <w:t xml:space="preserve">rule.  </w:t>
      </w:r>
    </w:p>
    <w:p w:rsidR="00B91FC4" w:rsidRPr="000F4ABE" w:rsidP="00B91FC4" w14:paraId="2CF3B84E" w14:textId="77777777">
      <w:pPr>
        <w:spacing w:line="240" w:lineRule="exact"/>
        <w:rPr>
          <w:rFonts w:ascii="Arial" w:hAnsi="Arial" w:cs="Arial"/>
        </w:rPr>
      </w:pPr>
    </w:p>
    <w:p w:rsidR="00B91FC4" w:rsidP="00B91FC4" w14:paraId="1CF261F4" w14:textId="7AC70B77">
      <w:pPr>
        <w:spacing w:line="240" w:lineRule="exact"/>
        <w:rPr>
          <w:rFonts w:ascii="Arial" w:hAnsi="Arial" w:cs="Arial"/>
        </w:rPr>
      </w:pPr>
      <w:bookmarkStart w:id="2" w:name="_Hlk158795439"/>
      <w:r w:rsidRPr="00A3207A">
        <w:rPr>
          <w:rFonts w:ascii="Arial" w:hAnsi="Arial" w:cs="Arial"/>
        </w:rPr>
        <w:t>When OSHA amended it</w:t>
      </w:r>
      <w:r w:rsidR="003019EF">
        <w:rPr>
          <w:rFonts w:ascii="Arial" w:hAnsi="Arial" w:cs="Arial"/>
        </w:rPr>
        <w:t>s</w:t>
      </w:r>
      <w:r w:rsidRPr="00A3207A">
        <w:rPr>
          <w:rFonts w:ascii="Arial" w:hAnsi="Arial" w:cs="Arial"/>
        </w:rPr>
        <w:t xml:space="preserve"> recordkeeping rules beginning with CY 2016, OMB requested that BLS evaluate using the OSHA-collected electronic injury and illness data as an input to SOII estimates. The OSHA rule, and therefore the data collected electronically by that rule, covers a subset of the US economy, necessitating the development of new methodologies to use the OSHA electronic data along with the SOII reported data to produce nationally representative estimates, while protecting the confidentiality of the SOII sampled establishments as required by the Confidential Information Protection and Statistical Efficiency Act (CIPSEA). Also, measuring nonresponse is critical to creating accurate and reliable estimates. </w:t>
      </w:r>
    </w:p>
    <w:bookmarkEnd w:id="2"/>
    <w:p w:rsidR="00B91FC4" w:rsidP="00B91FC4" w14:paraId="19A48A69" w14:textId="77777777">
      <w:pPr>
        <w:spacing w:line="240" w:lineRule="exact"/>
        <w:rPr>
          <w:rFonts w:ascii="Arial" w:hAnsi="Arial" w:cs="Arial"/>
        </w:rPr>
      </w:pPr>
    </w:p>
    <w:p w:rsidR="00486020" w:rsidP="00B91FC4" w14:paraId="7756F746" w14:textId="6EEC6708">
      <w:pPr>
        <w:spacing w:line="240" w:lineRule="exact"/>
        <w:rPr>
          <w:rFonts w:ascii="Arial" w:hAnsi="Arial" w:cs="Arial"/>
        </w:rPr>
      </w:pPr>
      <w:r w:rsidRPr="00003AA2">
        <w:rPr>
          <w:rFonts w:ascii="Arial" w:hAnsi="Arial" w:cs="Arial"/>
        </w:rPr>
        <w:t>From 2016 through February 2017, BLS and OSHA formed a working group to examine ways to reduce duplicative burden where possible</w:t>
      </w:r>
      <w:r w:rsidRPr="0099721F">
        <w:rPr>
          <w:rFonts w:ascii="Arial" w:hAnsi="Arial" w:cs="Arial"/>
        </w:rPr>
        <w:t>.</w:t>
      </w:r>
      <w:r w:rsidRPr="00003AA2">
        <w:rPr>
          <w:rFonts w:ascii="Arial" w:hAnsi="Arial" w:cs="Arial"/>
        </w:rPr>
        <w:t xml:space="preserve"> BLS and OSHA </w:t>
      </w:r>
      <w:r w:rsidR="00FD35DD">
        <w:rPr>
          <w:rFonts w:ascii="Arial" w:hAnsi="Arial" w:cs="Arial"/>
        </w:rPr>
        <w:t xml:space="preserve">worked together to </w:t>
      </w:r>
      <w:r w:rsidRPr="00003AA2">
        <w:rPr>
          <w:rFonts w:ascii="Arial" w:hAnsi="Arial" w:cs="Arial"/>
        </w:rPr>
        <w:t xml:space="preserve">align </w:t>
      </w:r>
      <w:r w:rsidR="00FD35DD">
        <w:rPr>
          <w:rFonts w:ascii="Arial" w:hAnsi="Arial" w:cs="Arial"/>
        </w:rPr>
        <w:t xml:space="preserve">as closely as possible the </w:t>
      </w:r>
      <w:r w:rsidRPr="00003AA2">
        <w:rPr>
          <w:rFonts w:ascii="Arial" w:hAnsi="Arial" w:cs="Arial"/>
        </w:rPr>
        <w:t xml:space="preserve">OSHA electronic collection with the SOII and BLS shared electronic data collection expertise. BLS continues to work closely with OSHA </w:t>
      </w:r>
      <w:r w:rsidR="00840FC2">
        <w:rPr>
          <w:rFonts w:ascii="Arial" w:hAnsi="Arial" w:cs="Arial"/>
        </w:rPr>
        <w:t xml:space="preserve">who has shared ITA data </w:t>
      </w:r>
      <w:r w:rsidRPr="00003AA2">
        <w:rPr>
          <w:rFonts w:ascii="Arial" w:hAnsi="Arial" w:cs="Arial"/>
        </w:rPr>
        <w:t>to inform on-going research efforts.</w:t>
      </w:r>
      <w:r w:rsidR="0072412A">
        <w:rPr>
          <w:rFonts w:ascii="Arial" w:hAnsi="Arial" w:cs="Arial"/>
        </w:rPr>
        <w:t xml:space="preserve"> Working with OSHA and DOL’s Office of the Chief Information Officer (OCIO), BLS was able to implement an application programming interface (API) that allows establishments that have reported to OSHA </w:t>
      </w:r>
      <w:r w:rsidR="0072412A">
        <w:rPr>
          <w:rFonts w:ascii="Arial" w:hAnsi="Arial" w:cs="Arial"/>
        </w:rPr>
        <w:t>ITA</w:t>
      </w:r>
      <w:r w:rsidR="0072412A">
        <w:rPr>
          <w:rFonts w:ascii="Arial" w:hAnsi="Arial" w:cs="Arial"/>
        </w:rPr>
        <w:t xml:space="preserve"> and which can be matched to an establishment in the SOII sample to securely import their data from OSHA ITA to BLS.</w:t>
      </w:r>
      <w:r w:rsidR="00204634">
        <w:rPr>
          <w:rFonts w:ascii="Arial" w:hAnsi="Arial" w:cs="Arial"/>
        </w:rPr>
        <w:t xml:space="preserve"> This API has allowed OSHA covered establishments </w:t>
      </w:r>
      <w:r w:rsidR="000924B7">
        <w:rPr>
          <w:rFonts w:ascii="Arial" w:hAnsi="Arial" w:cs="Arial"/>
        </w:rPr>
        <w:t xml:space="preserve">to reduce duplicative reporting burden over the past three years by </w:t>
      </w:r>
      <w:r w:rsidR="00204634">
        <w:rPr>
          <w:rFonts w:ascii="Arial" w:hAnsi="Arial" w:cs="Arial"/>
        </w:rPr>
        <w:t>import</w:t>
      </w:r>
      <w:r w:rsidR="000924B7">
        <w:rPr>
          <w:rFonts w:ascii="Arial" w:hAnsi="Arial" w:cs="Arial"/>
        </w:rPr>
        <w:t>ing</w:t>
      </w:r>
      <w:r w:rsidR="00204634">
        <w:rPr>
          <w:rFonts w:ascii="Arial" w:hAnsi="Arial" w:cs="Arial"/>
        </w:rPr>
        <w:t xml:space="preserve"> data from OSHA ITA to BLS</w:t>
      </w:r>
      <w:r w:rsidR="000924B7">
        <w:rPr>
          <w:rFonts w:ascii="Arial" w:hAnsi="Arial" w:cs="Arial"/>
        </w:rPr>
        <w:t xml:space="preserve">. </w:t>
      </w:r>
    </w:p>
    <w:p w:rsidR="00B91FC4" w:rsidP="00B91FC4" w14:paraId="706F177A" w14:textId="3A3B4695">
      <w:pPr>
        <w:spacing w:line="240" w:lineRule="exact"/>
        <w:rPr>
          <w:rFonts w:ascii="Arial" w:hAnsi="Arial" w:cs="Arial"/>
        </w:rPr>
      </w:pPr>
    </w:p>
    <w:p w:rsidR="00E04CE0" w:rsidP="00B91FC4" w14:paraId="63807BC2" w14:textId="43CF2310">
      <w:pPr>
        <w:spacing w:line="240" w:lineRule="exact"/>
        <w:rPr>
          <w:rFonts w:ascii="Arial" w:hAnsi="Arial" w:cs="Arial"/>
        </w:rPr>
      </w:pPr>
      <w:r>
        <w:rPr>
          <w:rFonts w:ascii="Arial" w:hAnsi="Arial" w:cs="Arial"/>
        </w:rPr>
        <w:t xml:space="preserve">BLS has continued to collaborate with OSHA to expand </w:t>
      </w:r>
      <w:r w:rsidR="00E901C3">
        <w:rPr>
          <w:rFonts w:ascii="Arial" w:hAnsi="Arial" w:cs="Arial"/>
        </w:rPr>
        <w:t xml:space="preserve">the API </w:t>
      </w:r>
      <w:r>
        <w:rPr>
          <w:rFonts w:ascii="Arial" w:hAnsi="Arial" w:cs="Arial"/>
        </w:rPr>
        <w:t xml:space="preserve">that allows </w:t>
      </w:r>
      <w:r w:rsidR="00E901C3">
        <w:rPr>
          <w:rFonts w:ascii="Arial" w:hAnsi="Arial" w:cs="Arial"/>
        </w:rPr>
        <w:t xml:space="preserve">covered </w:t>
      </w:r>
      <w:r>
        <w:rPr>
          <w:rFonts w:ascii="Arial" w:hAnsi="Arial" w:cs="Arial"/>
        </w:rPr>
        <w:t>respondents to securely import data they have previously reported to OSHA ITA into the SOII Internet Data Collection</w:t>
      </w:r>
      <w:r w:rsidR="003526A5">
        <w:rPr>
          <w:rFonts w:ascii="Arial" w:hAnsi="Arial" w:cs="Arial"/>
        </w:rPr>
        <w:t xml:space="preserve"> </w:t>
      </w:r>
      <w:r>
        <w:rPr>
          <w:rFonts w:ascii="Arial" w:hAnsi="Arial" w:cs="Arial"/>
        </w:rPr>
        <w:t>Facility (IDCF). First implemented for</w:t>
      </w:r>
      <w:r w:rsidR="004317BF">
        <w:rPr>
          <w:rFonts w:ascii="Arial" w:hAnsi="Arial" w:cs="Arial"/>
        </w:rPr>
        <w:t xml:space="preserve"> CY</w:t>
      </w:r>
      <w:r>
        <w:rPr>
          <w:rFonts w:ascii="Arial" w:hAnsi="Arial" w:cs="Arial"/>
        </w:rPr>
        <w:t xml:space="preserve"> </w:t>
      </w:r>
      <w:r w:rsidRPr="00F4744E" w:rsidR="00F4744E">
        <w:rPr>
          <w:rFonts w:ascii="Arial" w:hAnsi="Arial" w:cs="Arial"/>
        </w:rPr>
        <w:t xml:space="preserve">2020, </w:t>
      </w:r>
      <w:r w:rsidR="005677A8">
        <w:rPr>
          <w:rFonts w:ascii="Arial" w:hAnsi="Arial" w:cs="Arial"/>
        </w:rPr>
        <w:t xml:space="preserve">SOII </w:t>
      </w:r>
      <w:r w:rsidRPr="00F4744E" w:rsidR="00F4744E">
        <w:rPr>
          <w:rFonts w:ascii="Arial" w:hAnsi="Arial" w:cs="Arial"/>
        </w:rPr>
        <w:t xml:space="preserve">IDCF users </w:t>
      </w:r>
      <w:r w:rsidR="005677A8">
        <w:rPr>
          <w:rFonts w:ascii="Arial" w:hAnsi="Arial" w:cs="Arial"/>
        </w:rPr>
        <w:t xml:space="preserve">who also are required to report to OSHA ITA </w:t>
      </w:r>
      <w:r w:rsidR="00E901C3">
        <w:rPr>
          <w:rFonts w:ascii="Arial" w:hAnsi="Arial" w:cs="Arial"/>
        </w:rPr>
        <w:t>are</w:t>
      </w:r>
      <w:r w:rsidRPr="00F4744E" w:rsidR="00FD5BE0">
        <w:rPr>
          <w:rFonts w:ascii="Arial" w:hAnsi="Arial" w:cs="Arial"/>
        </w:rPr>
        <w:t xml:space="preserve"> </w:t>
      </w:r>
      <w:r w:rsidRPr="00F4744E" w:rsidR="00F4744E">
        <w:rPr>
          <w:rFonts w:ascii="Arial" w:hAnsi="Arial" w:cs="Arial"/>
        </w:rPr>
        <w:t xml:space="preserve">prompted to enter their assigned OSHA ID which is used to link to reported data in OSHA ITA. </w:t>
      </w:r>
      <w:r w:rsidR="00364441">
        <w:rPr>
          <w:rFonts w:ascii="Arial" w:hAnsi="Arial" w:cs="Arial"/>
        </w:rPr>
        <w:t xml:space="preserve">BLS </w:t>
      </w:r>
      <w:r>
        <w:rPr>
          <w:rFonts w:ascii="Arial" w:hAnsi="Arial" w:cs="Arial"/>
        </w:rPr>
        <w:t>can</w:t>
      </w:r>
      <w:r w:rsidR="00364441">
        <w:rPr>
          <w:rFonts w:ascii="Arial" w:hAnsi="Arial" w:cs="Arial"/>
        </w:rPr>
        <w:t xml:space="preserve"> determine, based on industry and employment, which SOII sampled establishments are also required to report to OSHA ITA and these </w:t>
      </w:r>
      <w:r w:rsidR="00E901C3">
        <w:rPr>
          <w:rFonts w:ascii="Arial" w:hAnsi="Arial" w:cs="Arial"/>
        </w:rPr>
        <w:t xml:space="preserve">covered </w:t>
      </w:r>
      <w:r w:rsidR="00364441">
        <w:rPr>
          <w:rFonts w:ascii="Arial" w:hAnsi="Arial" w:cs="Arial"/>
        </w:rPr>
        <w:t xml:space="preserve">establishments </w:t>
      </w:r>
      <w:r w:rsidR="00E730B4">
        <w:rPr>
          <w:rFonts w:ascii="Arial" w:hAnsi="Arial" w:cs="Arial"/>
        </w:rPr>
        <w:t xml:space="preserve">are provided an opportunity </w:t>
      </w:r>
      <w:r w:rsidR="00364441">
        <w:rPr>
          <w:rFonts w:ascii="Arial" w:hAnsi="Arial" w:cs="Arial"/>
        </w:rPr>
        <w:t xml:space="preserve">in SOII IDCF </w:t>
      </w:r>
      <w:r w:rsidR="00FD5BE0">
        <w:rPr>
          <w:rFonts w:ascii="Arial" w:hAnsi="Arial" w:cs="Arial"/>
        </w:rPr>
        <w:t>to try to</w:t>
      </w:r>
      <w:r w:rsidR="00364441">
        <w:rPr>
          <w:rFonts w:ascii="Arial" w:hAnsi="Arial" w:cs="Arial"/>
        </w:rPr>
        <w:t xml:space="preserve"> import data from ITA. </w:t>
      </w:r>
      <w:r w:rsidRPr="00F4744E" w:rsidR="00F4744E">
        <w:rPr>
          <w:rFonts w:ascii="Arial" w:hAnsi="Arial" w:cs="Arial"/>
        </w:rPr>
        <w:t>If a match is found</w:t>
      </w:r>
      <w:r w:rsidR="005677A8">
        <w:rPr>
          <w:rFonts w:ascii="Arial" w:hAnsi="Arial" w:cs="Arial"/>
        </w:rPr>
        <w:t xml:space="preserve"> for an establishment in the SOII sample</w:t>
      </w:r>
      <w:r w:rsidRPr="00F4744E" w:rsidR="00F4744E">
        <w:rPr>
          <w:rFonts w:ascii="Arial" w:hAnsi="Arial" w:cs="Arial"/>
        </w:rPr>
        <w:t xml:space="preserve">, additional matching </w:t>
      </w:r>
      <w:r w:rsidR="00E730B4">
        <w:rPr>
          <w:rFonts w:ascii="Arial" w:hAnsi="Arial" w:cs="Arial"/>
        </w:rPr>
        <w:t>must be satisfied</w:t>
      </w:r>
      <w:r w:rsidRPr="00F4744E" w:rsidR="00F4744E">
        <w:rPr>
          <w:rFonts w:ascii="Arial" w:hAnsi="Arial" w:cs="Arial"/>
        </w:rPr>
        <w:t xml:space="preserve"> to ensure a definitive establishment match</w:t>
      </w:r>
      <w:r w:rsidR="00E730B4">
        <w:rPr>
          <w:rFonts w:ascii="Arial" w:hAnsi="Arial" w:cs="Arial"/>
        </w:rPr>
        <w:t xml:space="preserve"> that is critical for the accuracy </w:t>
      </w:r>
      <w:r w:rsidR="004317BF">
        <w:rPr>
          <w:rFonts w:ascii="Arial" w:hAnsi="Arial" w:cs="Arial"/>
        </w:rPr>
        <w:t xml:space="preserve">and reliability </w:t>
      </w:r>
      <w:r w:rsidR="00E730B4">
        <w:rPr>
          <w:rFonts w:ascii="Arial" w:hAnsi="Arial" w:cs="Arial"/>
        </w:rPr>
        <w:t xml:space="preserve">of SOII </w:t>
      </w:r>
      <w:r w:rsidR="004317BF">
        <w:rPr>
          <w:rFonts w:ascii="Arial" w:hAnsi="Arial" w:cs="Arial"/>
        </w:rPr>
        <w:t>statistics</w:t>
      </w:r>
      <w:r w:rsidRPr="00F4744E" w:rsidR="00F4744E">
        <w:rPr>
          <w:rFonts w:ascii="Arial" w:hAnsi="Arial" w:cs="Arial"/>
        </w:rPr>
        <w:t>. For matched establishments</w:t>
      </w:r>
      <w:r w:rsidR="005677A8">
        <w:rPr>
          <w:rFonts w:ascii="Arial" w:hAnsi="Arial" w:cs="Arial"/>
        </w:rPr>
        <w:t>,</w:t>
      </w:r>
      <w:r w:rsidRPr="00F4744E" w:rsidR="00F4744E">
        <w:rPr>
          <w:rFonts w:ascii="Arial" w:hAnsi="Arial" w:cs="Arial"/>
        </w:rPr>
        <w:t xml:space="preserve"> summary establishment data </w:t>
      </w:r>
      <w:r>
        <w:rPr>
          <w:rFonts w:ascii="Arial" w:hAnsi="Arial" w:cs="Arial"/>
        </w:rPr>
        <w:t xml:space="preserve">have been </w:t>
      </w:r>
      <w:r w:rsidRPr="00F4744E" w:rsidR="00F4744E">
        <w:rPr>
          <w:rFonts w:ascii="Arial" w:hAnsi="Arial" w:cs="Arial"/>
        </w:rPr>
        <w:t xml:space="preserve">imported </w:t>
      </w:r>
      <w:r>
        <w:rPr>
          <w:rFonts w:ascii="Arial" w:hAnsi="Arial" w:cs="Arial"/>
        </w:rPr>
        <w:t xml:space="preserve">since SY 2020 and, following further OSHA </w:t>
      </w:r>
      <w:r w:rsidR="004317BF">
        <w:rPr>
          <w:rFonts w:ascii="Arial" w:hAnsi="Arial" w:cs="Arial"/>
        </w:rPr>
        <w:t>rule changes</w:t>
      </w:r>
      <w:r>
        <w:rPr>
          <w:rFonts w:ascii="Arial" w:hAnsi="Arial" w:cs="Arial"/>
        </w:rPr>
        <w:t xml:space="preserve"> starting with </w:t>
      </w:r>
      <w:r w:rsidR="004317BF">
        <w:rPr>
          <w:rFonts w:ascii="Arial" w:hAnsi="Arial" w:cs="Arial"/>
        </w:rPr>
        <w:t>CY</w:t>
      </w:r>
      <w:r>
        <w:rPr>
          <w:rFonts w:ascii="Arial" w:hAnsi="Arial" w:cs="Arial"/>
        </w:rPr>
        <w:t xml:space="preserve"> 2023, </w:t>
      </w:r>
      <w:r w:rsidR="00E730B4">
        <w:rPr>
          <w:rFonts w:ascii="Arial" w:hAnsi="Arial" w:cs="Arial"/>
        </w:rPr>
        <w:t xml:space="preserve">case details are also imported for establishments that are newly required to </w:t>
      </w:r>
      <w:r>
        <w:rPr>
          <w:rFonts w:ascii="Arial" w:hAnsi="Arial" w:cs="Arial"/>
        </w:rPr>
        <w:t xml:space="preserve">report </w:t>
      </w:r>
      <w:r w:rsidR="00E730B4">
        <w:rPr>
          <w:rFonts w:ascii="Arial" w:hAnsi="Arial" w:cs="Arial"/>
        </w:rPr>
        <w:t xml:space="preserve">information </w:t>
      </w:r>
      <w:r>
        <w:rPr>
          <w:rFonts w:ascii="Arial" w:hAnsi="Arial" w:cs="Arial"/>
        </w:rPr>
        <w:t xml:space="preserve">from their OSHA Form 300 and OSHA Form 301. This </w:t>
      </w:r>
      <w:r w:rsidR="00E730B4">
        <w:rPr>
          <w:rFonts w:ascii="Arial" w:hAnsi="Arial" w:cs="Arial"/>
        </w:rPr>
        <w:t xml:space="preserve">newly expanded </w:t>
      </w:r>
      <w:r>
        <w:rPr>
          <w:rFonts w:ascii="Arial" w:hAnsi="Arial" w:cs="Arial"/>
        </w:rPr>
        <w:t xml:space="preserve">API import process </w:t>
      </w:r>
      <w:r w:rsidR="00E730B4">
        <w:rPr>
          <w:rFonts w:ascii="Arial" w:hAnsi="Arial" w:cs="Arial"/>
        </w:rPr>
        <w:t xml:space="preserve">further </w:t>
      </w:r>
      <w:r>
        <w:rPr>
          <w:rFonts w:ascii="Arial" w:hAnsi="Arial" w:cs="Arial"/>
        </w:rPr>
        <w:t xml:space="preserve">reduces </w:t>
      </w:r>
      <w:r w:rsidR="00FE6D3A">
        <w:rPr>
          <w:rFonts w:ascii="Arial" w:hAnsi="Arial" w:cs="Arial"/>
        </w:rPr>
        <w:t>duplicative reporting burden</w:t>
      </w:r>
      <w:r>
        <w:rPr>
          <w:rFonts w:ascii="Arial" w:hAnsi="Arial" w:cs="Arial"/>
        </w:rPr>
        <w:t xml:space="preserve"> for respondents where BLS can match the establishment that reported to OSHA ITA to the establishment on the SOII database</w:t>
      </w:r>
      <w:r w:rsidR="006F754F">
        <w:rPr>
          <w:rFonts w:ascii="Arial" w:hAnsi="Arial" w:cs="Arial"/>
        </w:rPr>
        <w:t>.</w:t>
      </w:r>
      <w:r>
        <w:rPr>
          <w:rFonts w:ascii="Arial" w:hAnsi="Arial" w:cs="Arial"/>
        </w:rPr>
        <w:t xml:space="preserve"> For the most recently completed survey year (2022), 6,210 respondents were able to use this API to </w:t>
      </w:r>
      <w:r w:rsidR="00E730B4">
        <w:rPr>
          <w:rFonts w:ascii="Arial" w:hAnsi="Arial" w:cs="Arial"/>
        </w:rPr>
        <w:t xml:space="preserve">successfully </w:t>
      </w:r>
      <w:r>
        <w:rPr>
          <w:rFonts w:ascii="Arial" w:hAnsi="Arial" w:cs="Arial"/>
        </w:rPr>
        <w:t xml:space="preserve">import their data from OSHA ITA when reporting to the SOII. </w:t>
      </w:r>
      <w:r w:rsidR="00E730B4">
        <w:rPr>
          <w:rFonts w:ascii="Arial" w:hAnsi="Arial" w:cs="Arial"/>
        </w:rPr>
        <w:t xml:space="preserve">Following modifications recently implemented for </w:t>
      </w:r>
      <w:r w:rsidR="004317BF">
        <w:rPr>
          <w:rFonts w:ascii="Arial" w:hAnsi="Arial" w:cs="Arial"/>
        </w:rPr>
        <w:t>CY</w:t>
      </w:r>
      <w:r w:rsidR="00E730B4">
        <w:rPr>
          <w:rFonts w:ascii="Arial" w:hAnsi="Arial" w:cs="Arial"/>
        </w:rPr>
        <w:t xml:space="preserve"> 2023, </w:t>
      </w:r>
      <w:r>
        <w:rPr>
          <w:rFonts w:ascii="Arial" w:hAnsi="Arial" w:cs="Arial"/>
        </w:rPr>
        <w:t xml:space="preserve">we anticipate that respondents will be able to import case details for an estimated </w:t>
      </w:r>
      <w:r w:rsidR="00723D61">
        <w:rPr>
          <w:rFonts w:ascii="Arial" w:hAnsi="Arial" w:cs="Arial"/>
        </w:rPr>
        <w:t>24,200</w:t>
      </w:r>
      <w:r w:rsidR="00E730B4">
        <w:rPr>
          <w:rFonts w:ascii="Arial" w:hAnsi="Arial" w:cs="Arial"/>
        </w:rPr>
        <w:t xml:space="preserve"> cases that they would otherwise have to report to both agencies separately.</w:t>
      </w:r>
      <w:r w:rsidR="006F754F">
        <w:rPr>
          <w:rFonts w:ascii="Arial" w:hAnsi="Arial" w:cs="Arial"/>
        </w:rPr>
        <w:t xml:space="preserve"> </w:t>
      </w:r>
      <w:r w:rsidR="00E730B4">
        <w:rPr>
          <w:rFonts w:ascii="Arial" w:hAnsi="Arial" w:cs="Arial"/>
        </w:rPr>
        <w:t xml:space="preserve">Actual outcomes from the SY 2023 collection will not be available until </w:t>
      </w:r>
      <w:r w:rsidR="003D7A49">
        <w:rPr>
          <w:rFonts w:ascii="Arial" w:hAnsi="Arial" w:cs="Arial"/>
        </w:rPr>
        <w:t xml:space="preserve">July 2024. </w:t>
      </w:r>
    </w:p>
    <w:p w:rsidR="00E04CE0" w:rsidP="00B91FC4" w14:paraId="73E58EC2" w14:textId="77777777">
      <w:pPr>
        <w:spacing w:line="240" w:lineRule="exact"/>
        <w:rPr>
          <w:rFonts w:ascii="Arial" w:hAnsi="Arial" w:cs="Arial"/>
        </w:rPr>
      </w:pPr>
    </w:p>
    <w:p w:rsidR="00A50CE0" w:rsidP="0064327E" w14:paraId="429BFEFD" w14:textId="7C80E8F0">
      <w:pPr>
        <w:spacing w:line="240" w:lineRule="exact"/>
        <w:rPr>
          <w:rFonts w:ascii="Arial" w:hAnsi="Arial" w:cs="Arial"/>
        </w:rPr>
      </w:pPr>
      <w:r w:rsidRPr="0064327E">
        <w:rPr>
          <w:rFonts w:ascii="Arial" w:hAnsi="Arial" w:cs="Arial"/>
        </w:rPr>
        <w:t xml:space="preserve">The accuracy, integrity, and confidentiality of respondent data remains a critical priority </w:t>
      </w:r>
      <w:r w:rsidRPr="0064327E">
        <w:rPr>
          <w:rFonts w:ascii="Arial" w:hAnsi="Arial" w:cs="Arial"/>
        </w:rPr>
        <w:t xml:space="preserve">for BLS. </w:t>
      </w:r>
      <w:r w:rsidR="00FD5BE0">
        <w:rPr>
          <w:rFonts w:ascii="Arial" w:hAnsi="Arial" w:cs="Arial"/>
        </w:rPr>
        <w:t>T</w:t>
      </w:r>
      <w:r w:rsidRPr="0064327E">
        <w:rPr>
          <w:rFonts w:ascii="Arial" w:hAnsi="Arial" w:cs="Arial"/>
        </w:rPr>
        <w:t>o ensure the accuracy and integrity of data necessary to produce statistically reliable estimates, BLS ensure</w:t>
      </w:r>
      <w:r w:rsidR="00DD4135">
        <w:rPr>
          <w:rFonts w:ascii="Arial" w:hAnsi="Arial" w:cs="Arial"/>
        </w:rPr>
        <w:t>d</w:t>
      </w:r>
      <w:r w:rsidRPr="0064327E">
        <w:rPr>
          <w:rFonts w:ascii="Arial" w:hAnsi="Arial" w:cs="Arial"/>
        </w:rPr>
        <w:t xml:space="preserve"> that the design of this technological solution safeguards the confidentiality of SOII respondents. Design features of this technological solution </w:t>
      </w:r>
      <w:r w:rsidRPr="0064327E">
        <w:rPr>
          <w:rFonts w:ascii="Arial" w:hAnsi="Arial" w:cs="Arial"/>
        </w:rPr>
        <w:t>include</w:t>
      </w:r>
      <w:r w:rsidR="00DD4135">
        <w:rPr>
          <w:rFonts w:ascii="Arial" w:hAnsi="Arial" w:cs="Arial"/>
        </w:rPr>
        <w:t>s</w:t>
      </w:r>
      <w:r w:rsidRPr="0064327E">
        <w:rPr>
          <w:rFonts w:ascii="Arial" w:hAnsi="Arial" w:cs="Arial"/>
        </w:rPr>
        <w:t xml:space="preserve"> unidirectional transfer of data from OSHA ITA to BLS. BLS believes that the pledge of confidentiality to ensure the use of respondent data only for statistical purposes is essential to fostering a willingness among respondents to share their data. BLS will adhere to all existing confidentiality protections described in the section on Confidentiality below for the implementation of this technological solution. Data collected from SOII respondents </w:t>
      </w:r>
      <w:r w:rsidR="00DD4135">
        <w:rPr>
          <w:rFonts w:ascii="Arial" w:hAnsi="Arial" w:cs="Arial"/>
        </w:rPr>
        <w:t>is</w:t>
      </w:r>
      <w:r w:rsidRPr="0064327E">
        <w:rPr>
          <w:rFonts w:ascii="Arial" w:hAnsi="Arial" w:cs="Arial"/>
        </w:rPr>
        <w:t xml:space="preserve"> </w:t>
      </w:r>
      <w:r w:rsidRPr="0064327E" w:rsidR="00DD4135">
        <w:rPr>
          <w:rFonts w:ascii="Arial" w:hAnsi="Arial" w:cs="Arial"/>
        </w:rPr>
        <w:t>neither accessible to nor</w:t>
      </w:r>
      <w:r w:rsidRPr="0064327E">
        <w:rPr>
          <w:rFonts w:ascii="Arial" w:hAnsi="Arial" w:cs="Arial"/>
        </w:rPr>
        <w:t xml:space="preserve"> shared with OSHA.</w:t>
      </w:r>
    </w:p>
    <w:p w:rsidR="00A50CE0" w:rsidP="0064327E" w14:paraId="4955DA37" w14:textId="77777777">
      <w:pPr>
        <w:spacing w:line="240" w:lineRule="exact"/>
        <w:rPr>
          <w:rFonts w:ascii="Arial" w:hAnsi="Arial" w:cs="Arial"/>
        </w:rPr>
      </w:pPr>
    </w:p>
    <w:p w:rsidR="00DF1742" w:rsidRPr="000F4ABE" w:rsidP="00DF1742" w14:paraId="75F1CAED" w14:textId="72FC11B5">
      <w:pPr>
        <w:spacing w:line="240" w:lineRule="exact"/>
        <w:rPr>
          <w:rFonts w:ascii="Arial" w:hAnsi="Arial" w:cs="Arial"/>
        </w:rPr>
      </w:pPr>
      <w:r>
        <w:rPr>
          <w:rFonts w:ascii="Arial" w:hAnsi="Arial" w:cs="Arial"/>
        </w:rPr>
        <w:t xml:space="preserve">BLS continues research on ways to improve matching between OSHA ITA and the BLS SOII; however, the extent to which duplicative reporting burden resulting from OSHA ITA collection can be reduced is limited. BLS must be able to definitively match an establishment that has reported to OSHA to an establishment in the BLS SOII sample </w:t>
      </w:r>
      <w:r w:rsidR="002C20A5">
        <w:rPr>
          <w:rFonts w:ascii="Arial" w:hAnsi="Arial" w:cs="Arial"/>
        </w:rPr>
        <w:t>to</w:t>
      </w:r>
      <w:r>
        <w:rPr>
          <w:rFonts w:ascii="Arial" w:hAnsi="Arial" w:cs="Arial"/>
        </w:rPr>
        <w:t xml:space="preserve"> produce accurate and reliable statistics. Covered establishments must first report to OSHA to have an opportunity to import data to SOII IDCF. Further, establishment matching is imperfect. OSHA collection is defined by a rule </w:t>
      </w:r>
      <w:r w:rsidR="00E901C3">
        <w:rPr>
          <w:rFonts w:ascii="Arial" w:hAnsi="Arial" w:cs="Arial"/>
        </w:rPr>
        <w:t>but</w:t>
      </w:r>
      <w:r>
        <w:rPr>
          <w:rFonts w:ascii="Arial" w:hAnsi="Arial" w:cs="Arial"/>
        </w:rPr>
        <w:t xml:space="preserve"> not based on a known establishment frame. The scope of reporting for an establishment to OSHA is largely left to the discretion of the employer. This may be less critical for OSHA but is </w:t>
      </w:r>
      <w:r w:rsidR="00E901C3">
        <w:rPr>
          <w:rFonts w:ascii="Arial" w:hAnsi="Arial" w:cs="Arial"/>
        </w:rPr>
        <w:t>vital</w:t>
      </w:r>
      <w:r>
        <w:rPr>
          <w:rFonts w:ascii="Arial" w:hAnsi="Arial" w:cs="Arial"/>
        </w:rPr>
        <w:t xml:space="preserve"> for BLS matching to an establishment for tabulating accurate and reliable estimates.       </w:t>
      </w:r>
    </w:p>
    <w:p w:rsidR="0064327E" w:rsidRPr="0064327E" w:rsidP="0064327E" w14:paraId="60DA1875" w14:textId="01AC4814">
      <w:pPr>
        <w:spacing w:line="240" w:lineRule="exact"/>
        <w:rPr>
          <w:rFonts w:ascii="Arial" w:hAnsi="Arial" w:cs="Arial"/>
        </w:rPr>
      </w:pPr>
      <w:r w:rsidRPr="0064327E">
        <w:rPr>
          <w:rFonts w:ascii="Arial" w:hAnsi="Arial" w:cs="Arial"/>
        </w:rPr>
        <w:t xml:space="preserve"> </w:t>
      </w:r>
    </w:p>
    <w:p w:rsidR="00B91FC4" w:rsidRPr="000F4ABE" w:rsidP="00B91FC4" w14:paraId="65795260" w14:textId="412ED67F">
      <w:pPr>
        <w:spacing w:line="240" w:lineRule="exact"/>
        <w:rPr>
          <w:rFonts w:ascii="Arial" w:hAnsi="Arial" w:cs="Arial"/>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14:paraId="034A882C" w14:textId="77777777">
      <w:pPr>
        <w:widowControl/>
        <w:rPr>
          <w:rFonts w:ascii="Times New Roman" w:hAnsi="Times New Roman"/>
        </w:rPr>
      </w:pPr>
    </w:p>
    <w:p w:rsidR="00B91FC4" w:rsidRPr="00A47DA7" w:rsidP="00B52744" w14:paraId="5053A8EA" w14:textId="4272CF14">
      <w:pPr>
        <w:spacing w:line="240" w:lineRule="exact"/>
        <w:rPr>
          <w:rFonts w:ascii="Times New Roman" w:hAnsi="Times New Roman"/>
        </w:rPr>
      </w:pPr>
      <w:r w:rsidRPr="000F4ABE">
        <w:rPr>
          <w:rFonts w:ascii="Arial" w:hAnsi="Arial" w:cs="Arial"/>
        </w:rPr>
        <w:t xml:space="preserve">The BLS minimizes the burden upon small employers by using a highly efficient stratified random sampling plan. Under this sampling plan, smaller employment units within an industry have a lower probability of selection. In addition, using the electronic data collection option enables small employers with no </w:t>
      </w:r>
      <w:r w:rsidR="00FD5BE0">
        <w:rPr>
          <w:rFonts w:ascii="Arial" w:hAnsi="Arial" w:cs="Arial"/>
        </w:rPr>
        <w:t>DAFW or DJTR</w:t>
      </w:r>
      <w:r w:rsidRPr="000F4ABE">
        <w:rPr>
          <w:rFonts w:ascii="Arial" w:hAnsi="Arial" w:cs="Arial"/>
        </w:rPr>
        <w:t xml:space="preserve"> cases to simply enter information from the summary form for the survey on the Internet which completes their response.</w:t>
      </w:r>
    </w:p>
    <w:p w:rsidR="00690F56" w:rsidRPr="00A973AA" w:rsidP="00B65823" w14:paraId="5D56A05A" w14:textId="77777777">
      <w:pPr>
        <w:widowControl/>
        <w:rPr>
          <w:rFonts w:ascii="Times New Roman" w:hAnsi="Times New Roman"/>
        </w:rPr>
      </w:pPr>
    </w:p>
    <w:p w:rsidR="00B91FC4" w:rsidRPr="005F4E87" w:rsidP="00B52744" w14:paraId="07F84065" w14:textId="1928473F">
      <w:pPr>
        <w:widowControl/>
        <w:rPr>
          <w:rFonts w:ascii="Arial" w:hAnsi="Arial" w:cs="Arial"/>
          <w:b/>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91FC4" w:rsidRPr="000F4ABE" w:rsidP="00B91FC4" w14:paraId="59CB25E7" w14:textId="77777777">
      <w:pPr>
        <w:spacing w:line="240" w:lineRule="exact"/>
        <w:rPr>
          <w:rFonts w:ascii="Arial" w:hAnsi="Arial" w:cs="Arial"/>
        </w:rPr>
      </w:pPr>
    </w:p>
    <w:p w:rsidR="00B91FC4" w:rsidRPr="000F4ABE" w:rsidP="00B91FC4" w14:paraId="6179E622" w14:textId="5D648982">
      <w:pPr>
        <w:spacing w:line="240" w:lineRule="exact"/>
        <w:rPr>
          <w:rFonts w:ascii="Arial" w:hAnsi="Arial" w:cs="Arial"/>
        </w:rPr>
      </w:pPr>
      <w:r w:rsidRPr="000F4ABE">
        <w:rPr>
          <w:rFonts w:ascii="Arial" w:hAnsi="Arial" w:cs="Arial"/>
        </w:rPr>
        <w:t xml:space="preserve">Operational and budgetary issues, along with the data uses described above, make collecting survey data annually essential. The annual survey is a cooperative program with state agencies, which are partially funded by the </w:t>
      </w:r>
      <w:r>
        <w:rPr>
          <w:rFonts w:ascii="Arial" w:hAnsi="Arial" w:cs="Arial"/>
        </w:rPr>
        <w:t>f</w:t>
      </w:r>
      <w:r w:rsidRPr="000F4ABE">
        <w:rPr>
          <w:rFonts w:ascii="Arial" w:hAnsi="Arial" w:cs="Arial"/>
        </w:rPr>
        <w:t xml:space="preserve">ederal government to collect and process the survey data. </w:t>
      </w:r>
      <w:r>
        <w:rPr>
          <w:rFonts w:ascii="Arial" w:hAnsi="Arial" w:cs="Arial"/>
        </w:rPr>
        <w:t>St</w:t>
      </w:r>
      <w:r w:rsidRPr="000F4ABE">
        <w:rPr>
          <w:rFonts w:ascii="Arial" w:hAnsi="Arial" w:cs="Arial"/>
        </w:rPr>
        <w:t xml:space="preserve">ates share the data with the BLS for generating national estimates. State grant agencies must finance half the costs by appropriation requests to their own state legislatures, many of which convene and appropriate funds over a cycle that may differ from the </w:t>
      </w:r>
      <w:r>
        <w:rPr>
          <w:rFonts w:ascii="Arial" w:hAnsi="Arial" w:cs="Arial"/>
        </w:rPr>
        <w:t>f</w:t>
      </w:r>
      <w:r w:rsidRPr="000F4ABE">
        <w:rPr>
          <w:rFonts w:ascii="Arial" w:hAnsi="Arial" w:cs="Arial"/>
        </w:rPr>
        <w:t xml:space="preserve">ederal budget cycle. Therefore, it is likely that many states would be </w:t>
      </w:r>
      <w:r>
        <w:rPr>
          <w:rFonts w:ascii="Arial" w:hAnsi="Arial" w:cs="Arial"/>
        </w:rPr>
        <w:t>un</w:t>
      </w:r>
      <w:r w:rsidRPr="000F4ABE">
        <w:rPr>
          <w:rFonts w:ascii="Arial" w:hAnsi="Arial" w:cs="Arial"/>
        </w:rPr>
        <w:t xml:space="preserve">able to participate in a program of less frequent scheduling. If states drop out, the </w:t>
      </w:r>
      <w:r>
        <w:rPr>
          <w:rFonts w:ascii="Arial" w:hAnsi="Arial" w:cs="Arial"/>
        </w:rPr>
        <w:t>f</w:t>
      </w:r>
      <w:r w:rsidRPr="000F4ABE">
        <w:rPr>
          <w:rFonts w:ascii="Arial" w:hAnsi="Arial" w:cs="Arial"/>
        </w:rPr>
        <w:t xml:space="preserve">ederal government </w:t>
      </w:r>
      <w:r w:rsidR="00206902">
        <w:rPr>
          <w:rFonts w:ascii="Arial" w:hAnsi="Arial" w:cs="Arial"/>
        </w:rPr>
        <w:t>must</w:t>
      </w:r>
      <w:r w:rsidRPr="000F4ABE">
        <w:rPr>
          <w:rFonts w:ascii="Arial" w:hAnsi="Arial" w:cs="Arial"/>
        </w:rPr>
        <w:t xml:space="preserve"> assume the collection of the data at an increased cost. In addition, complex data collection and coding activities require a fully trained staff. With less frequent collection and the associated unbalanced workloads, states would be </w:t>
      </w:r>
      <w:r>
        <w:rPr>
          <w:rFonts w:ascii="Arial" w:hAnsi="Arial" w:cs="Arial"/>
        </w:rPr>
        <w:t>un</w:t>
      </w:r>
      <w:r w:rsidRPr="000F4ABE">
        <w:rPr>
          <w:rFonts w:ascii="Arial" w:hAnsi="Arial" w:cs="Arial"/>
        </w:rPr>
        <w:t xml:space="preserve">able to maintain the skilled staff needed to </w:t>
      </w:r>
      <w:r w:rsidR="00932F39">
        <w:rPr>
          <w:rFonts w:ascii="Arial" w:hAnsi="Arial" w:cs="Arial"/>
        </w:rPr>
        <w:t>conduct</w:t>
      </w:r>
      <w:r w:rsidRPr="000F4ABE" w:rsidR="00932F39">
        <w:rPr>
          <w:rFonts w:ascii="Arial" w:hAnsi="Arial" w:cs="Arial"/>
        </w:rPr>
        <w:t xml:space="preserve"> </w:t>
      </w:r>
      <w:r w:rsidRPr="000F4ABE">
        <w:rPr>
          <w:rFonts w:ascii="Arial" w:hAnsi="Arial" w:cs="Arial"/>
        </w:rPr>
        <w:t>the survey.</w:t>
      </w:r>
    </w:p>
    <w:p w:rsidR="00B91FC4" w:rsidRPr="000F4ABE" w:rsidP="00B91FC4" w14:paraId="1C7E90AD" w14:textId="77777777">
      <w:pPr>
        <w:spacing w:line="240" w:lineRule="exact"/>
        <w:rPr>
          <w:rFonts w:ascii="Arial" w:hAnsi="Arial" w:cs="Arial"/>
        </w:rPr>
      </w:pPr>
    </w:p>
    <w:p w:rsidR="00B91FC4" w:rsidRPr="00B91FC4" w:rsidP="00B91FC4" w14:paraId="7BD726CB" w14:textId="02C3F12B">
      <w:pPr>
        <w:spacing w:line="240" w:lineRule="exact"/>
        <w:rPr>
          <w:rFonts w:ascii="Arial" w:hAnsi="Arial" w:cs="Arial"/>
        </w:rPr>
      </w:pPr>
      <w:r w:rsidRPr="000F4ABE">
        <w:rPr>
          <w:rFonts w:ascii="Arial" w:hAnsi="Arial" w:cs="Arial"/>
        </w:rPr>
        <w:t xml:space="preserve">At a joint meeting of the Occupational Safety and Health Statistics Committee of the Labor Research Advisory Council (LRAC) and the Business Research Advisory Council </w:t>
      </w:r>
      <w:r w:rsidRPr="000F4ABE">
        <w:rPr>
          <w:rFonts w:ascii="Arial" w:hAnsi="Arial" w:cs="Arial"/>
        </w:rPr>
        <w:t>(BRAC) on August 4, 1977, a resolution was adopted opposing a change in the frequency of the survey. The resolution asserted that a less frequent survey would be "less responsive to the needs and considerations of the profession, Congress, and the public if carried out at less frequent periods."</w:t>
      </w:r>
    </w:p>
    <w:p w:rsidR="00F55431" w:rsidRPr="00A47DA7" w:rsidP="00B65823" w14:paraId="21BDEEF7"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 xml:space="preserve">requiring respondents to report information to the agency more often than </w:t>
      </w:r>
      <w:r w:rsidRPr="003E1039">
        <w:rPr>
          <w:rFonts w:ascii="Times New Roman" w:hAnsi="Times New Roman"/>
          <w:b/>
          <w:bCs/>
        </w:rPr>
        <w:t>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 xml:space="preserve">requiring respondents to prepare a written response to a collection of information in fewer than 30 days after receipt of </w:t>
      </w:r>
      <w:r w:rsidRPr="003E1039">
        <w:rPr>
          <w:rFonts w:ascii="Times New Roman" w:hAnsi="Times New Roman"/>
          <w:b/>
          <w:bCs/>
        </w:rPr>
        <w:t>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 xml:space="preserve">requiring respondents to submit more than an original and two copies of any </w:t>
      </w:r>
      <w:r w:rsidRPr="003E1039">
        <w:rPr>
          <w:rFonts w:ascii="Times New Roman" w:hAnsi="Times New Roman"/>
          <w:b/>
          <w:bCs/>
        </w:rPr>
        <w:t>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 xml:space="preserve">requiring respondents to retain records, other than health, medical, government contract, grant-in-aid, or tax records for more than three </w:t>
      </w:r>
      <w:r w:rsidRPr="003E1039">
        <w:rPr>
          <w:rFonts w:ascii="Times New Roman" w:hAnsi="Times New Roman"/>
          <w:b/>
          <w:bCs/>
        </w:rPr>
        <w:t>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 xml:space="preserve">in connection with a statistical survey, that is not designed to produce valid and reliable results that can be generalized to the universe of </w:t>
      </w:r>
      <w:r w:rsidRPr="003E1039">
        <w:rPr>
          <w:rFonts w:ascii="Times New Roman" w:hAnsi="Times New Roman"/>
          <w:b/>
          <w:bCs/>
        </w:rPr>
        <w:t>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 xml:space="preserve">requiring the use of statistical data classification that has not been reviewed and approved by </w:t>
      </w:r>
      <w:r w:rsidRPr="003E1039">
        <w:rPr>
          <w:rFonts w:ascii="Times New Roman" w:hAnsi="Times New Roman"/>
          <w:b/>
          <w:bCs/>
        </w:rPr>
        <w:t>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91FC4" w:rsidP="00B65823" w14:paraId="583D2BFF" w14:textId="77777777">
      <w:pPr>
        <w:widowControl/>
        <w:numPr>
          <w:ilvl w:val="0"/>
          <w:numId w:val="4"/>
        </w:numPr>
        <w:tabs>
          <w:tab w:val="clear" w:pos="1080"/>
        </w:tabs>
        <w:rPr>
          <w:b/>
          <w:bCs/>
        </w:rPr>
      </w:pPr>
      <w:r w:rsidRPr="003E1039">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00B91FC4" w:rsidP="00B91FC4" w14:paraId="674F2591" w14:textId="77777777">
      <w:pPr>
        <w:widowControl/>
        <w:rPr>
          <w:rFonts w:ascii="Times New Roman" w:hAnsi="Times New Roman"/>
          <w:b/>
          <w:bCs/>
        </w:rPr>
      </w:pPr>
    </w:p>
    <w:p w:rsidR="00B91FC4" w:rsidRPr="000F4ABE" w:rsidP="00B91FC4" w14:paraId="52068766" w14:textId="1A844EA1">
      <w:pPr>
        <w:spacing w:line="240" w:lineRule="exact"/>
        <w:rPr>
          <w:rFonts w:ascii="Arial" w:hAnsi="Arial" w:cs="Arial"/>
        </w:rPr>
      </w:pPr>
      <w:r w:rsidRPr="000F4ABE">
        <w:rPr>
          <w:rFonts w:ascii="Arial" w:hAnsi="Arial" w:cs="Arial"/>
        </w:rPr>
        <w:t>Survey data are collected once annually. Respondents have thirty days to complete survey forms and no additional copies are required. The BLS does not require survey record retention for respondents.</w:t>
      </w:r>
    </w:p>
    <w:p w:rsidR="00B91FC4" w:rsidRPr="000F4ABE" w:rsidP="00B91FC4" w14:paraId="5F8538FB" w14:textId="77777777">
      <w:pPr>
        <w:spacing w:line="240" w:lineRule="exact"/>
        <w:rPr>
          <w:rFonts w:ascii="Arial" w:hAnsi="Arial" w:cs="Arial"/>
        </w:rPr>
      </w:pPr>
    </w:p>
    <w:p w:rsidR="00642220" w:rsidP="00B91FC4" w14:paraId="3DCDBA31" w14:textId="5C1E9A54">
      <w:pPr>
        <w:spacing w:line="240" w:lineRule="exact"/>
        <w:rPr>
          <w:rFonts w:ascii="Arial" w:hAnsi="Arial" w:cs="Arial"/>
        </w:rPr>
      </w:pPr>
      <w:bookmarkStart w:id="3" w:name="_Hlk159856136"/>
      <w:r w:rsidRPr="000F4ABE">
        <w:rPr>
          <w:rFonts w:ascii="Arial" w:hAnsi="Arial" w:cs="Arial"/>
        </w:rPr>
        <w:t xml:space="preserve">The survey provides valid and reliable estimates that reflect the worker injury and illness experience for the universe of </w:t>
      </w:r>
      <w:r w:rsidR="004236BC">
        <w:rPr>
          <w:rFonts w:ascii="Arial" w:hAnsi="Arial" w:cs="Arial"/>
        </w:rPr>
        <w:t xml:space="preserve">in-scope </w:t>
      </w:r>
      <w:r w:rsidRPr="000F4ABE">
        <w:rPr>
          <w:rFonts w:ascii="Arial" w:hAnsi="Arial" w:cs="Arial"/>
        </w:rPr>
        <w:t xml:space="preserve">private sector </w:t>
      </w:r>
      <w:r w:rsidR="00206902">
        <w:rPr>
          <w:rFonts w:ascii="Arial" w:hAnsi="Arial" w:cs="Arial"/>
        </w:rPr>
        <w:t xml:space="preserve">and state and local government </w:t>
      </w:r>
      <w:r w:rsidRPr="000F4ABE">
        <w:rPr>
          <w:rFonts w:ascii="Arial" w:hAnsi="Arial" w:cs="Arial"/>
        </w:rPr>
        <w:t xml:space="preserve">employers. Incident information for injuries and illnesses </w:t>
      </w:r>
      <w:r w:rsidR="00206902">
        <w:rPr>
          <w:rFonts w:ascii="Arial" w:hAnsi="Arial" w:cs="Arial"/>
        </w:rPr>
        <w:t xml:space="preserve">resulting in days away from work, job transfer, or restriction </w:t>
      </w:r>
      <w:r w:rsidRPr="000F4ABE">
        <w:rPr>
          <w:rFonts w:ascii="Arial" w:hAnsi="Arial" w:cs="Arial"/>
        </w:rPr>
        <w:t xml:space="preserve">is classified by the BLS and participating state agencies using the BLS Occupational Injury and Illness Classification </w:t>
      </w:r>
      <w:r w:rsidR="00206902">
        <w:rPr>
          <w:rFonts w:ascii="Arial" w:hAnsi="Arial" w:cs="Arial"/>
        </w:rPr>
        <w:t>System (OIICS)</w:t>
      </w:r>
      <w:r w:rsidRPr="000F4ABE" w:rsidR="00206902">
        <w:rPr>
          <w:rFonts w:ascii="Arial" w:hAnsi="Arial" w:cs="Arial"/>
        </w:rPr>
        <w:t xml:space="preserve"> </w:t>
      </w:r>
      <w:r w:rsidRPr="000F4ABE">
        <w:rPr>
          <w:rFonts w:ascii="Arial" w:hAnsi="Arial" w:cs="Arial"/>
        </w:rPr>
        <w:t>which was submitted to OMB with the initial program redesign clearance in 1991.</w:t>
      </w:r>
      <w:r w:rsidR="008846C1">
        <w:rPr>
          <w:rFonts w:ascii="Arial" w:hAnsi="Arial" w:cs="Arial"/>
        </w:rPr>
        <w:t xml:space="preserve"> An updated version of this classification </w:t>
      </w:r>
      <w:r w:rsidR="009011F2">
        <w:rPr>
          <w:rFonts w:ascii="Arial" w:hAnsi="Arial" w:cs="Arial"/>
        </w:rPr>
        <w:t>system</w:t>
      </w:r>
      <w:r w:rsidR="008846C1">
        <w:rPr>
          <w:rFonts w:ascii="Arial" w:hAnsi="Arial" w:cs="Arial"/>
        </w:rPr>
        <w:t xml:space="preserve"> </w:t>
      </w:r>
      <w:r w:rsidR="00FD5BE0">
        <w:rPr>
          <w:rFonts w:ascii="Arial" w:hAnsi="Arial" w:cs="Arial"/>
        </w:rPr>
        <w:t xml:space="preserve">(OIICS 2.0) </w:t>
      </w:r>
      <w:r w:rsidR="009011F2">
        <w:rPr>
          <w:rFonts w:ascii="Arial" w:hAnsi="Arial" w:cs="Arial"/>
        </w:rPr>
        <w:t>was</w:t>
      </w:r>
      <w:r w:rsidR="008846C1">
        <w:rPr>
          <w:rFonts w:ascii="Arial" w:hAnsi="Arial" w:cs="Arial"/>
        </w:rPr>
        <w:t xml:space="preserve"> submitted to OMB in 2011</w:t>
      </w:r>
      <w:r w:rsidR="008F7383">
        <w:rPr>
          <w:rFonts w:ascii="Arial" w:hAnsi="Arial" w:cs="Arial"/>
        </w:rPr>
        <w:t>,</w:t>
      </w:r>
      <w:r w:rsidR="00FD5BE0">
        <w:rPr>
          <w:rFonts w:ascii="Arial" w:hAnsi="Arial" w:cs="Arial"/>
        </w:rPr>
        <w:t xml:space="preserve"> and a subsequent update (OIICS 3.0) was submitted in </w:t>
      </w:r>
      <w:r w:rsidR="00BA2E14">
        <w:rPr>
          <w:rFonts w:ascii="Arial" w:hAnsi="Arial" w:cs="Arial"/>
        </w:rPr>
        <w:t>2017</w:t>
      </w:r>
      <w:r w:rsidR="008846C1">
        <w:rPr>
          <w:rFonts w:ascii="Arial" w:hAnsi="Arial" w:cs="Arial"/>
        </w:rPr>
        <w:t>.</w:t>
      </w:r>
    </w:p>
    <w:p w:rsidR="001B08A5" w:rsidP="00B91FC4" w14:paraId="483CAF7F" w14:textId="77777777">
      <w:pPr>
        <w:spacing w:line="240" w:lineRule="exact"/>
        <w:rPr>
          <w:rFonts w:ascii="Arial" w:hAnsi="Arial" w:cs="Arial"/>
        </w:rPr>
      </w:pPr>
    </w:p>
    <w:p w:rsidR="00AA19CF" w:rsidP="00B20DD1" w14:paraId="325B4853" w14:textId="2A822C72">
      <w:pPr>
        <w:widowControl/>
        <w:spacing w:line="240" w:lineRule="exact"/>
        <w:rPr>
          <w:rFonts w:ascii="Arial" w:hAnsi="Arial" w:cs="Arial"/>
        </w:rPr>
      </w:pPr>
      <w:bookmarkStart w:id="4" w:name="_Hlk178748805"/>
      <w:r>
        <w:rPr>
          <w:rFonts w:ascii="Arial" w:hAnsi="Arial" w:cs="Arial"/>
        </w:rPr>
        <w:t>P</w:t>
      </w:r>
      <w:r w:rsidRPr="001B08A5">
        <w:rPr>
          <w:rFonts w:ascii="Arial" w:hAnsi="Arial" w:cs="Arial"/>
        </w:rPr>
        <w:t>er OMB Statistical Policy Directive 15: Standards for Maintaining, Collecting, and Presenting Federal Data on Race and Ethnicity (SPD</w:t>
      </w:r>
      <w:r>
        <w:rPr>
          <w:rFonts w:ascii="Arial" w:hAnsi="Arial" w:cs="Arial"/>
        </w:rPr>
        <w:t>-</w:t>
      </w:r>
      <w:r w:rsidRPr="001B08A5">
        <w:rPr>
          <w:rFonts w:ascii="Arial" w:hAnsi="Arial" w:cs="Arial"/>
        </w:rPr>
        <w:t xml:space="preserve">15), </w:t>
      </w:r>
      <w:r>
        <w:rPr>
          <w:rFonts w:ascii="Arial" w:hAnsi="Arial" w:cs="Arial"/>
        </w:rPr>
        <w:t xml:space="preserve">the </w:t>
      </w:r>
      <w:r w:rsidRPr="001B08A5">
        <w:rPr>
          <w:rFonts w:ascii="Arial" w:hAnsi="Arial" w:cs="Arial"/>
        </w:rPr>
        <w:t xml:space="preserve">BLS plans to implement the new race and ethnicity question </w:t>
      </w:r>
      <w:r>
        <w:rPr>
          <w:rFonts w:ascii="Arial" w:hAnsi="Arial" w:cs="Arial"/>
        </w:rPr>
        <w:t xml:space="preserve">and categories </w:t>
      </w:r>
      <w:r w:rsidRPr="001B08A5">
        <w:rPr>
          <w:rFonts w:ascii="Arial" w:hAnsi="Arial" w:cs="Arial"/>
        </w:rPr>
        <w:t xml:space="preserve">in SOII collection, </w:t>
      </w:r>
      <w:r>
        <w:rPr>
          <w:rFonts w:ascii="Arial" w:hAnsi="Arial" w:cs="Arial"/>
        </w:rPr>
        <w:t>estimation</w:t>
      </w:r>
      <w:r w:rsidRPr="001B08A5">
        <w:rPr>
          <w:rFonts w:ascii="Arial" w:hAnsi="Arial" w:cs="Arial"/>
        </w:rPr>
        <w:t xml:space="preserve">, and </w:t>
      </w:r>
      <w:r w:rsidRPr="001B08A5">
        <w:rPr>
          <w:rFonts w:ascii="Arial" w:hAnsi="Arial" w:cs="Arial"/>
        </w:rPr>
        <w:t>publication</w:t>
      </w:r>
      <w:r>
        <w:rPr>
          <w:rFonts w:ascii="Arial" w:hAnsi="Arial" w:cs="Arial"/>
        </w:rPr>
        <w:t>s</w:t>
      </w:r>
      <w:r w:rsidRPr="001B08A5">
        <w:rPr>
          <w:rFonts w:ascii="Arial" w:hAnsi="Arial" w:cs="Arial"/>
        </w:rPr>
        <w:t xml:space="preserve"> </w:t>
      </w:r>
      <w:r>
        <w:rPr>
          <w:rFonts w:ascii="Arial" w:hAnsi="Arial" w:cs="Arial"/>
        </w:rPr>
        <w:t xml:space="preserve">during the biennial period </w:t>
      </w:r>
      <w:r w:rsidRPr="001B08A5">
        <w:rPr>
          <w:rFonts w:ascii="Arial" w:hAnsi="Arial" w:cs="Arial"/>
        </w:rPr>
        <w:t xml:space="preserve">starting with reference year (RY) 2027 collection that will begin in January 2028, ahead of the required implementation date of March 28, 2029. </w:t>
      </w:r>
      <w:r>
        <w:rPr>
          <w:rFonts w:ascii="Arial" w:hAnsi="Arial" w:cs="Arial"/>
        </w:rPr>
        <w:t>(See high-level timeline below.)</w:t>
      </w:r>
      <w:r w:rsidRPr="00AA19CF">
        <w:rPr>
          <w:rFonts w:ascii="Arial" w:hAnsi="Arial" w:cs="Arial"/>
        </w:rPr>
        <w:t xml:space="preserve"> </w:t>
      </w:r>
      <w:r w:rsidR="00F6260C">
        <w:rPr>
          <w:rFonts w:ascii="Arial" w:hAnsi="Arial" w:cs="Arial"/>
        </w:rPr>
        <w:t xml:space="preserve">This is the only time for which this implementation is practical and possible for BLS and will meet dates specified in the revised SPD-15. </w:t>
      </w:r>
      <w:r>
        <w:rPr>
          <w:rFonts w:ascii="Arial" w:hAnsi="Arial" w:cs="Arial"/>
        </w:rPr>
        <w:t>Note that, SOII race and ethnicity data are published biennially (every other year)</w:t>
      </w:r>
      <w:r w:rsidR="004236BC">
        <w:rPr>
          <w:rFonts w:ascii="Arial" w:hAnsi="Arial" w:cs="Arial"/>
        </w:rPr>
        <w:t>,</w:t>
      </w:r>
      <w:r>
        <w:rPr>
          <w:rFonts w:ascii="Arial" w:hAnsi="Arial" w:cs="Arial"/>
        </w:rPr>
        <w:t xml:space="preserve"> and any changes must be implemented during the first year of a biennial cycle to collect consistent data from which to publish biennial estimates for case characteristics and worker demographics. After assessing work that will be required, the BLS determined that resource</w:t>
      </w:r>
      <w:r w:rsidR="00B44B60">
        <w:rPr>
          <w:rFonts w:ascii="Arial" w:hAnsi="Arial" w:cs="Arial"/>
        </w:rPr>
        <w:t>s</w:t>
      </w:r>
      <w:r>
        <w:rPr>
          <w:rFonts w:ascii="Arial" w:hAnsi="Arial" w:cs="Arial"/>
        </w:rPr>
        <w:t xml:space="preserve"> </w:t>
      </w:r>
      <w:r w:rsidR="00F55E6A">
        <w:rPr>
          <w:rFonts w:ascii="Arial" w:hAnsi="Arial" w:cs="Arial"/>
        </w:rPr>
        <w:t>committed to other system implementation activities (details described below)</w:t>
      </w:r>
      <w:r w:rsidR="00B44B60">
        <w:rPr>
          <w:rFonts w:ascii="Arial" w:hAnsi="Arial" w:cs="Arial"/>
        </w:rPr>
        <w:t xml:space="preserve"> within the existing fund level</w:t>
      </w:r>
      <w:r w:rsidR="00F55E6A">
        <w:rPr>
          <w:rFonts w:ascii="Arial" w:hAnsi="Arial" w:cs="Arial"/>
        </w:rPr>
        <w:t>,</w:t>
      </w:r>
      <w:r>
        <w:rPr>
          <w:rFonts w:ascii="Arial" w:hAnsi="Arial" w:cs="Arial"/>
        </w:rPr>
        <w:t xml:space="preserve"> make</w:t>
      </w:r>
      <w:r w:rsidR="00B44B60">
        <w:rPr>
          <w:rFonts w:ascii="Arial" w:hAnsi="Arial" w:cs="Arial"/>
        </w:rPr>
        <w:t>s</w:t>
      </w:r>
      <w:r>
        <w:rPr>
          <w:rFonts w:ascii="Arial" w:hAnsi="Arial" w:cs="Arial"/>
        </w:rPr>
        <w:t xml:space="preserve"> implementation of the new race and ethnicity updates infeasible prior to the start of RY 2027 collection. </w:t>
      </w:r>
      <w:r w:rsidRPr="001B08A5">
        <w:rPr>
          <w:rFonts w:ascii="Arial" w:hAnsi="Arial" w:cs="Arial"/>
        </w:rPr>
        <w:t xml:space="preserve">Data collected for the RY 2027 SOII will be combined with data from </w:t>
      </w:r>
      <w:r>
        <w:rPr>
          <w:rFonts w:ascii="Arial" w:hAnsi="Arial" w:cs="Arial"/>
        </w:rPr>
        <w:t xml:space="preserve">the </w:t>
      </w:r>
      <w:r w:rsidRPr="001B08A5">
        <w:rPr>
          <w:rFonts w:ascii="Arial" w:hAnsi="Arial" w:cs="Arial"/>
        </w:rPr>
        <w:t>RY 2028</w:t>
      </w:r>
      <w:r>
        <w:rPr>
          <w:rFonts w:ascii="Arial" w:hAnsi="Arial" w:cs="Arial"/>
        </w:rPr>
        <w:t xml:space="preserve"> SOII </w:t>
      </w:r>
      <w:r w:rsidRPr="001B08A5">
        <w:rPr>
          <w:rFonts w:ascii="Arial" w:hAnsi="Arial" w:cs="Arial"/>
        </w:rPr>
        <w:t>to produce biennial estimates of nonfatal occupational injuries and illnesses, including worker demographics reflecting the new race and ethnicity standards</w:t>
      </w:r>
      <w:r>
        <w:rPr>
          <w:rFonts w:ascii="Arial" w:hAnsi="Arial" w:cs="Arial"/>
        </w:rPr>
        <w:t xml:space="preserve">. These RY 2027-28 biennial SOII case and demographic estimates using updated race and ethnicity </w:t>
      </w:r>
      <w:r w:rsidRPr="001B08A5">
        <w:rPr>
          <w:rFonts w:ascii="Arial" w:hAnsi="Arial" w:cs="Arial"/>
        </w:rPr>
        <w:t>will be published for the first time in November 2029.</w:t>
      </w:r>
      <w:r>
        <w:rPr>
          <w:rFonts w:ascii="Arial" w:hAnsi="Arial" w:cs="Arial"/>
        </w:rPr>
        <w:t xml:space="preserve"> In the meantime, the BLS will continue to publish biennial estimates that include statistics using existing race and ethnicity categories until SPD-15 updates are implemented starting with the RY 2027</w:t>
      </w:r>
      <w:r w:rsidR="00F55E6A">
        <w:rPr>
          <w:rFonts w:ascii="Arial" w:hAnsi="Arial" w:cs="Arial"/>
        </w:rPr>
        <w:t xml:space="preserve"> SOII.</w:t>
      </w:r>
      <w:r>
        <w:rPr>
          <w:rFonts w:ascii="Arial" w:hAnsi="Arial" w:cs="Arial"/>
        </w:rPr>
        <w:t xml:space="preserve"> </w:t>
      </w:r>
    </w:p>
    <w:p w:rsidR="00AA19CF" w:rsidP="00436554" w14:paraId="4FE9488E" w14:textId="77777777">
      <w:pPr>
        <w:widowControl/>
        <w:rPr>
          <w:rFonts w:ascii="Arial" w:hAnsi="Arial" w:cs="Arial"/>
        </w:rPr>
      </w:pPr>
    </w:p>
    <w:p w:rsidR="00AA19CF" w:rsidP="00AA19CF" w14:paraId="6A5A793D" w14:textId="77777777">
      <w:pPr>
        <w:widowControl/>
        <w:rPr>
          <w:rFonts w:ascii="Arial" w:hAnsi="Arial" w:cs="Arial"/>
        </w:rPr>
      </w:pPr>
      <w:r>
        <w:rPr>
          <w:rFonts w:ascii="Arial" w:hAnsi="Arial" w:cs="Arial"/>
        </w:rPr>
        <w:t>BLS timeline for implementing SPD-15 in the Survey of Occupational Injuries and Illnesses (SOII)</w:t>
      </w:r>
    </w:p>
    <w:tbl>
      <w:tblPr>
        <w:tblStyle w:val="TableGrid"/>
        <w:tblW w:w="0" w:type="auto"/>
        <w:tblLook w:val="04A0"/>
      </w:tblPr>
      <w:tblGrid>
        <w:gridCol w:w="2875"/>
        <w:gridCol w:w="6475"/>
      </w:tblGrid>
      <w:tr w14:paraId="281BEB97" w14:textId="77777777" w:rsidTr="004236BC">
        <w:tblPrEx>
          <w:tblW w:w="0" w:type="auto"/>
          <w:tblLook w:val="04A0"/>
        </w:tblPrEx>
        <w:tc>
          <w:tcPr>
            <w:tcW w:w="2875" w:type="dxa"/>
            <w:vAlign w:val="center"/>
          </w:tcPr>
          <w:p w:rsidR="00AA19CF" w:rsidRPr="00A76108" w:rsidP="00CE2671" w14:paraId="2BEA07C2" w14:textId="77777777">
            <w:pPr>
              <w:widowControl/>
              <w:jc w:val="center"/>
              <w:rPr>
                <w:rFonts w:ascii="Arial" w:hAnsi="Arial" w:cs="Arial"/>
                <w:b/>
                <w:bCs/>
              </w:rPr>
            </w:pPr>
            <w:r w:rsidRPr="00A76108">
              <w:rPr>
                <w:rFonts w:ascii="Arial" w:hAnsi="Arial" w:cs="Arial"/>
                <w:b/>
                <w:bCs/>
              </w:rPr>
              <w:t>Date</w:t>
            </w:r>
          </w:p>
        </w:tc>
        <w:tc>
          <w:tcPr>
            <w:tcW w:w="6475" w:type="dxa"/>
            <w:vAlign w:val="center"/>
          </w:tcPr>
          <w:p w:rsidR="00AA19CF" w:rsidRPr="00A76108" w:rsidP="00CE2671" w14:paraId="4C3854D9" w14:textId="77777777">
            <w:pPr>
              <w:widowControl/>
              <w:jc w:val="center"/>
              <w:rPr>
                <w:rFonts w:ascii="Arial" w:hAnsi="Arial" w:cs="Arial"/>
                <w:b/>
                <w:bCs/>
              </w:rPr>
            </w:pPr>
            <w:r>
              <w:rPr>
                <w:rFonts w:ascii="Arial" w:hAnsi="Arial" w:cs="Arial"/>
                <w:b/>
                <w:bCs/>
              </w:rPr>
              <w:t>Activity</w:t>
            </w:r>
          </w:p>
        </w:tc>
      </w:tr>
      <w:tr w14:paraId="540C5116" w14:textId="77777777" w:rsidTr="004236BC">
        <w:tblPrEx>
          <w:tblW w:w="0" w:type="auto"/>
          <w:tblLook w:val="04A0"/>
        </w:tblPrEx>
        <w:tc>
          <w:tcPr>
            <w:tcW w:w="2875" w:type="dxa"/>
            <w:vAlign w:val="center"/>
          </w:tcPr>
          <w:p w:rsidR="00AA19CF" w:rsidP="00CE2671" w14:paraId="5229C2C4" w14:textId="77777777">
            <w:pPr>
              <w:widowControl/>
              <w:rPr>
                <w:rFonts w:ascii="Arial" w:hAnsi="Arial" w:cs="Arial"/>
              </w:rPr>
            </w:pPr>
            <w:r>
              <w:rPr>
                <w:rFonts w:ascii="Arial" w:hAnsi="Arial" w:cs="Arial"/>
              </w:rPr>
              <w:t>January 2027</w:t>
            </w:r>
          </w:p>
        </w:tc>
        <w:tc>
          <w:tcPr>
            <w:tcW w:w="6475" w:type="dxa"/>
            <w:vAlign w:val="center"/>
          </w:tcPr>
          <w:p w:rsidR="00AA19CF" w:rsidP="00CE2671" w14:paraId="2721BAE9" w14:textId="77777777">
            <w:pPr>
              <w:widowControl/>
              <w:rPr>
                <w:rFonts w:ascii="Arial" w:hAnsi="Arial" w:cs="Arial"/>
              </w:rPr>
            </w:pPr>
            <w:r>
              <w:rPr>
                <w:rFonts w:ascii="Arial" w:hAnsi="Arial" w:cs="Arial"/>
              </w:rPr>
              <w:t>Begin work to implement SPD-15 changes to SOII forms, processes, and IT systems</w:t>
            </w:r>
          </w:p>
        </w:tc>
      </w:tr>
      <w:tr w14:paraId="48B93D7F" w14:textId="77777777" w:rsidTr="004236BC">
        <w:tblPrEx>
          <w:tblW w:w="0" w:type="auto"/>
          <w:tblLook w:val="04A0"/>
        </w:tblPrEx>
        <w:tc>
          <w:tcPr>
            <w:tcW w:w="2875" w:type="dxa"/>
            <w:vAlign w:val="center"/>
          </w:tcPr>
          <w:p w:rsidR="00AA19CF" w:rsidP="00CE2671" w14:paraId="778FAE07" w14:textId="77777777">
            <w:pPr>
              <w:widowControl/>
              <w:rPr>
                <w:rFonts w:ascii="Arial" w:hAnsi="Arial" w:cs="Arial"/>
              </w:rPr>
            </w:pPr>
            <w:r>
              <w:rPr>
                <w:rFonts w:ascii="Arial" w:hAnsi="Arial" w:cs="Arial"/>
              </w:rPr>
              <w:t>January 2028</w:t>
            </w:r>
          </w:p>
        </w:tc>
        <w:tc>
          <w:tcPr>
            <w:tcW w:w="6475" w:type="dxa"/>
            <w:vAlign w:val="center"/>
          </w:tcPr>
          <w:p w:rsidR="00AA19CF" w:rsidP="00CE2671" w14:paraId="5E14381B" w14:textId="77777777">
            <w:pPr>
              <w:widowControl/>
              <w:rPr>
                <w:rFonts w:ascii="Arial" w:hAnsi="Arial" w:cs="Arial"/>
              </w:rPr>
            </w:pPr>
            <w:r>
              <w:rPr>
                <w:rFonts w:ascii="Arial" w:hAnsi="Arial" w:cs="Arial"/>
              </w:rPr>
              <w:t>Collect reference year (RY) 2027 data reflecting updated race/ethnicity</w:t>
            </w:r>
          </w:p>
        </w:tc>
      </w:tr>
      <w:tr w14:paraId="0B2E7F71" w14:textId="77777777" w:rsidTr="004236BC">
        <w:tblPrEx>
          <w:tblW w:w="0" w:type="auto"/>
          <w:tblLook w:val="04A0"/>
        </w:tblPrEx>
        <w:tc>
          <w:tcPr>
            <w:tcW w:w="2875" w:type="dxa"/>
            <w:vAlign w:val="center"/>
          </w:tcPr>
          <w:p w:rsidR="00AA19CF" w:rsidP="00CE2671" w14:paraId="05791B3D" w14:textId="77777777">
            <w:pPr>
              <w:widowControl/>
              <w:rPr>
                <w:rFonts w:ascii="Arial" w:hAnsi="Arial" w:cs="Arial"/>
              </w:rPr>
            </w:pPr>
            <w:r>
              <w:rPr>
                <w:rFonts w:ascii="Arial" w:hAnsi="Arial" w:cs="Arial"/>
              </w:rPr>
              <w:t>January 2029</w:t>
            </w:r>
          </w:p>
        </w:tc>
        <w:tc>
          <w:tcPr>
            <w:tcW w:w="6475" w:type="dxa"/>
            <w:vAlign w:val="center"/>
          </w:tcPr>
          <w:p w:rsidR="00AA19CF" w:rsidP="00CE2671" w14:paraId="1216AE6E" w14:textId="77777777">
            <w:pPr>
              <w:widowControl/>
              <w:rPr>
                <w:rFonts w:ascii="Arial" w:hAnsi="Arial" w:cs="Arial"/>
              </w:rPr>
            </w:pPr>
            <w:r>
              <w:rPr>
                <w:rFonts w:ascii="Arial" w:hAnsi="Arial" w:cs="Arial"/>
              </w:rPr>
              <w:t>Collect RY 2028 data reflecting updated race/ethnicity</w:t>
            </w:r>
          </w:p>
        </w:tc>
      </w:tr>
      <w:tr w14:paraId="21156D26" w14:textId="77777777" w:rsidTr="004236BC">
        <w:tblPrEx>
          <w:tblW w:w="0" w:type="auto"/>
          <w:tblLook w:val="04A0"/>
        </w:tblPrEx>
        <w:tc>
          <w:tcPr>
            <w:tcW w:w="2875" w:type="dxa"/>
            <w:vAlign w:val="center"/>
          </w:tcPr>
          <w:p w:rsidR="00AA19CF" w:rsidP="00CE2671" w14:paraId="11DBBE7D" w14:textId="77777777">
            <w:pPr>
              <w:widowControl/>
              <w:rPr>
                <w:rFonts w:ascii="Arial" w:hAnsi="Arial" w:cs="Arial"/>
              </w:rPr>
            </w:pPr>
            <w:r>
              <w:rPr>
                <w:rFonts w:ascii="Arial" w:hAnsi="Arial" w:cs="Arial"/>
              </w:rPr>
              <w:t>November 2029</w:t>
            </w:r>
          </w:p>
        </w:tc>
        <w:tc>
          <w:tcPr>
            <w:tcW w:w="6475" w:type="dxa"/>
            <w:vAlign w:val="center"/>
          </w:tcPr>
          <w:p w:rsidR="00AA19CF" w:rsidP="00CE2671" w14:paraId="362769DF" w14:textId="77777777">
            <w:pPr>
              <w:widowControl/>
              <w:rPr>
                <w:rFonts w:ascii="Arial" w:hAnsi="Arial" w:cs="Arial"/>
              </w:rPr>
            </w:pPr>
            <w:r>
              <w:rPr>
                <w:rFonts w:ascii="Arial" w:hAnsi="Arial" w:cs="Arial"/>
              </w:rPr>
              <w:t>Publish RY 2028-29 biennial case and demographic SOII estimates for first time using updated race/ethnicity</w:t>
            </w:r>
          </w:p>
        </w:tc>
      </w:tr>
    </w:tbl>
    <w:p w:rsidR="00AA19CF" w:rsidP="00436554" w14:paraId="7EC04858" w14:textId="77777777">
      <w:pPr>
        <w:widowControl/>
        <w:rPr>
          <w:rFonts w:ascii="Arial" w:hAnsi="Arial" w:cs="Arial"/>
        </w:rPr>
      </w:pPr>
    </w:p>
    <w:p w:rsidR="00436554" w:rsidP="00B20DD1" w14:paraId="08A3B325" w14:textId="306C8479">
      <w:pPr>
        <w:widowControl/>
        <w:spacing w:line="240" w:lineRule="exact"/>
        <w:rPr>
          <w:rFonts w:ascii="Arial" w:hAnsi="Arial" w:cs="Arial"/>
        </w:rPr>
      </w:pPr>
      <w:r>
        <w:rPr>
          <w:rFonts w:ascii="Arial" w:hAnsi="Arial" w:cs="Arial"/>
        </w:rPr>
        <w:t>T</w:t>
      </w:r>
      <w:r>
        <w:rPr>
          <w:rFonts w:ascii="Arial" w:hAnsi="Arial" w:cs="Arial"/>
        </w:rPr>
        <w:t xml:space="preserve">he BLS recently implemented major updates to data collection processes and systems for the Occupational Injury and Illness Classification System (OIICS) coding taxonomy and the 2022 revision for the North American Industry Classification System (NAICS). </w:t>
      </w:r>
      <w:r w:rsidR="00830ECC">
        <w:rPr>
          <w:rFonts w:ascii="Arial" w:hAnsi="Arial" w:cs="Arial"/>
        </w:rPr>
        <w:t>The BLS must complete a</w:t>
      </w:r>
      <w:r>
        <w:rPr>
          <w:rFonts w:ascii="Arial" w:hAnsi="Arial" w:cs="Arial"/>
        </w:rPr>
        <w:t xml:space="preserve">dditional development work for estimation and dissemination processes and systems </w:t>
      </w:r>
      <w:r w:rsidR="00830ECC">
        <w:rPr>
          <w:rFonts w:ascii="Arial" w:hAnsi="Arial" w:cs="Arial"/>
        </w:rPr>
        <w:t xml:space="preserve">that </w:t>
      </w:r>
      <w:r>
        <w:rPr>
          <w:rFonts w:ascii="Arial" w:hAnsi="Arial" w:cs="Arial"/>
        </w:rPr>
        <w:t xml:space="preserve">will </w:t>
      </w:r>
      <w:r w:rsidR="00B44B60">
        <w:rPr>
          <w:rFonts w:ascii="Arial" w:hAnsi="Arial" w:cs="Arial"/>
        </w:rPr>
        <w:t>utilize</w:t>
      </w:r>
      <w:r>
        <w:rPr>
          <w:rFonts w:ascii="Arial" w:hAnsi="Arial" w:cs="Arial"/>
        </w:rPr>
        <w:t xml:space="preserve"> available resources during the 2025 fiscal year and cannot be delayed without adversely impacting BLS’ ability to meet its regular publication schedule. </w:t>
      </w:r>
      <w:r w:rsidRPr="00245436">
        <w:rPr>
          <w:rFonts w:ascii="Arial" w:hAnsi="Arial" w:cs="Arial"/>
        </w:rPr>
        <w:t>After these IT system</w:t>
      </w:r>
      <w:r w:rsidR="00473C00">
        <w:rPr>
          <w:rFonts w:ascii="Arial" w:hAnsi="Arial" w:cs="Arial"/>
        </w:rPr>
        <w:t>s</w:t>
      </w:r>
      <w:r w:rsidRPr="00245436">
        <w:rPr>
          <w:rFonts w:ascii="Arial" w:hAnsi="Arial" w:cs="Arial"/>
        </w:rPr>
        <w:t xml:space="preserve"> changes are implemented, BLS will commit those resources to implement SPD-15 in </w:t>
      </w:r>
      <w:r>
        <w:rPr>
          <w:rFonts w:ascii="Arial" w:hAnsi="Arial" w:cs="Arial"/>
        </w:rPr>
        <w:t>SOII</w:t>
      </w:r>
      <w:r w:rsidRPr="00245436">
        <w:rPr>
          <w:rFonts w:ascii="Arial" w:hAnsi="Arial" w:cs="Arial"/>
        </w:rPr>
        <w:t xml:space="preserve"> data collection, estimation, and dissemination systems and processes.</w:t>
      </w:r>
    </w:p>
    <w:p w:rsidR="00436554" w:rsidP="00B20DD1" w14:paraId="0B1C4433" w14:textId="77777777">
      <w:pPr>
        <w:widowControl/>
        <w:spacing w:line="240" w:lineRule="exact"/>
        <w:rPr>
          <w:rFonts w:ascii="Arial" w:hAnsi="Arial" w:cs="Arial"/>
        </w:rPr>
      </w:pPr>
    </w:p>
    <w:p w:rsidR="00436554" w:rsidP="00B20DD1" w14:paraId="5670FD04" w14:textId="586EB125">
      <w:pPr>
        <w:widowControl/>
        <w:spacing w:line="240" w:lineRule="exact"/>
        <w:rPr>
          <w:rFonts w:ascii="Arial" w:hAnsi="Arial" w:cs="Arial"/>
        </w:rPr>
      </w:pPr>
      <w:r w:rsidRPr="00245436">
        <w:rPr>
          <w:rFonts w:ascii="Arial" w:hAnsi="Arial" w:cs="Arial"/>
        </w:rPr>
        <w:t xml:space="preserve">The work involved to implement changes throughout </w:t>
      </w:r>
      <w:r>
        <w:rPr>
          <w:rFonts w:ascii="Arial" w:hAnsi="Arial" w:cs="Arial"/>
        </w:rPr>
        <w:t>SOII</w:t>
      </w:r>
      <w:r w:rsidRPr="00245436">
        <w:rPr>
          <w:rFonts w:ascii="Arial" w:hAnsi="Arial" w:cs="Arial"/>
        </w:rPr>
        <w:t xml:space="preserve"> collection, estimation, and dissemination IT systems and processes is complex</w:t>
      </w:r>
      <w:r w:rsidR="00F55E6A">
        <w:rPr>
          <w:rFonts w:ascii="Arial" w:hAnsi="Arial" w:cs="Arial"/>
        </w:rPr>
        <w:t xml:space="preserve"> and therefore, resource intensive</w:t>
      </w:r>
      <w:r w:rsidRPr="00245436">
        <w:rPr>
          <w:rFonts w:ascii="Arial" w:hAnsi="Arial" w:cs="Arial"/>
        </w:rPr>
        <w:t xml:space="preserve">. </w:t>
      </w:r>
      <w:r w:rsidR="00830ECC">
        <w:rPr>
          <w:rFonts w:ascii="Arial" w:hAnsi="Arial" w:cs="Arial"/>
        </w:rPr>
        <w:t xml:space="preserve">The </w:t>
      </w:r>
      <w:r w:rsidRPr="00245436">
        <w:rPr>
          <w:rFonts w:ascii="Arial" w:hAnsi="Arial" w:cs="Arial"/>
        </w:rPr>
        <w:t>SOII produces over 6 million estimates in its biennial release that include</w:t>
      </w:r>
      <w:r w:rsidR="00830ECC">
        <w:rPr>
          <w:rFonts w:ascii="Arial" w:hAnsi="Arial" w:cs="Arial"/>
        </w:rPr>
        <w:t>s</w:t>
      </w:r>
      <w:r w:rsidRPr="00245436">
        <w:rPr>
          <w:rFonts w:ascii="Arial" w:hAnsi="Arial" w:cs="Arial"/>
        </w:rPr>
        <w:t xml:space="preserve"> worker demographics. Any change </w:t>
      </w:r>
      <w:r>
        <w:rPr>
          <w:rFonts w:ascii="Arial" w:hAnsi="Arial" w:cs="Arial"/>
        </w:rPr>
        <w:t xml:space="preserve">to the </w:t>
      </w:r>
      <w:r w:rsidR="004236BC">
        <w:rPr>
          <w:rFonts w:ascii="Arial" w:hAnsi="Arial" w:cs="Arial"/>
        </w:rPr>
        <w:t xml:space="preserve">SOII </w:t>
      </w:r>
      <w:r>
        <w:rPr>
          <w:rFonts w:ascii="Arial" w:hAnsi="Arial" w:cs="Arial"/>
        </w:rPr>
        <w:t xml:space="preserve">collection system </w:t>
      </w:r>
      <w:r w:rsidRPr="00245436">
        <w:rPr>
          <w:rFonts w:ascii="Arial" w:hAnsi="Arial" w:cs="Arial"/>
        </w:rPr>
        <w:t xml:space="preserve">has significant downstream impacts on estimation and related outputs, both in terms of </w:t>
      </w:r>
      <w:r w:rsidR="00473C00">
        <w:rPr>
          <w:rFonts w:ascii="Arial" w:hAnsi="Arial" w:cs="Arial"/>
        </w:rPr>
        <w:t xml:space="preserve">their availability in the online </w:t>
      </w:r>
      <w:r w:rsidRPr="00245436">
        <w:rPr>
          <w:rFonts w:ascii="Arial" w:hAnsi="Arial" w:cs="Arial"/>
        </w:rPr>
        <w:t xml:space="preserve">searchable BLS </w:t>
      </w:r>
      <w:r w:rsidR="00473C00">
        <w:rPr>
          <w:rFonts w:ascii="Arial" w:hAnsi="Arial" w:cs="Arial"/>
        </w:rPr>
        <w:t xml:space="preserve">public </w:t>
      </w:r>
      <w:r w:rsidRPr="00245436">
        <w:rPr>
          <w:rFonts w:ascii="Arial" w:hAnsi="Arial" w:cs="Arial"/>
        </w:rPr>
        <w:t>database and in the layout and format of published tables. These systematic processes are carefully planned, developed, and extensively tested to ensure the highest quality data while mitigating the chance of errata.</w:t>
      </w:r>
    </w:p>
    <w:p w:rsidR="00436554" w:rsidP="00436554" w14:paraId="47A76DE6" w14:textId="77777777">
      <w:pPr>
        <w:widowControl/>
        <w:rPr>
          <w:rFonts w:ascii="Arial" w:hAnsi="Arial" w:cs="Arial"/>
        </w:rPr>
      </w:pPr>
    </w:p>
    <w:bookmarkEnd w:id="4"/>
    <w:p w:rsidR="008B56D1" w:rsidRPr="001B08A5" w:rsidP="00B20DD1" w14:paraId="65865DFC" w14:textId="15BAB818">
      <w:pPr>
        <w:widowControl/>
        <w:spacing w:line="240" w:lineRule="exact"/>
        <w:rPr>
          <w:rFonts w:ascii="Arial" w:hAnsi="Arial" w:cs="Arial"/>
        </w:rPr>
      </w:pPr>
      <w:r w:rsidRPr="008B56D1">
        <w:rPr>
          <w:rFonts w:ascii="Arial" w:hAnsi="Arial" w:cs="Arial"/>
        </w:rPr>
        <w:t>BLS also requests an exemption</w:t>
      </w:r>
      <w:r w:rsidR="003E7EC4">
        <w:rPr>
          <w:rFonts w:ascii="Arial" w:hAnsi="Arial" w:cs="Arial"/>
        </w:rPr>
        <w:t xml:space="preserve"> </w:t>
      </w:r>
      <w:r w:rsidRPr="008B56D1">
        <w:rPr>
          <w:rFonts w:ascii="Arial" w:hAnsi="Arial" w:cs="Arial"/>
        </w:rPr>
        <w:t>to implement minimum categories for race and ethnicity in the SOII to align with Figure 3 in SPD 15</w:t>
      </w:r>
      <w:r w:rsidR="003824B2">
        <w:rPr>
          <w:rFonts w:ascii="Arial" w:hAnsi="Arial" w:cs="Arial"/>
        </w:rPr>
        <w:t xml:space="preserve">, starting with RY 2027 </w:t>
      </w:r>
      <w:r w:rsidR="00484281">
        <w:rPr>
          <w:rFonts w:ascii="Arial" w:hAnsi="Arial" w:cs="Arial"/>
        </w:rPr>
        <w:t xml:space="preserve">as </w:t>
      </w:r>
      <w:r w:rsidR="003824B2">
        <w:rPr>
          <w:rFonts w:ascii="Arial" w:hAnsi="Arial" w:cs="Arial"/>
        </w:rPr>
        <w:t>described above</w:t>
      </w:r>
      <w:r w:rsidRPr="008B56D1">
        <w:rPr>
          <w:rFonts w:ascii="Arial" w:hAnsi="Arial" w:cs="Arial"/>
        </w:rPr>
        <w:t>. Workplace injury and illness data collected by the SOII are based on employer recordkeeping requirements promulgated by the Occupational Safety and Health Administration (OSHA). OSHA recordkeeping and related OSHA Forms do not include collection of worker race or ethnicity, so the SOII collects race and ethnicity data as an optional response. When reported to the SOII, race and ethnicity are proxy reported by the employer. Proxy reporting of race and ethnicity by the employer may differ from reporting of this characteristic by the worker. Further, race and ethnicity data is often missing due to the optional nature of this response for the SOII. Over the most recent five years covering RY 2019 to RY 2023, race and ethnicity data was not available on average for nearly 48 percent of nonfatal occupational injury and illness cases for which detailed data on case circumstances and worker demographics were collected in the SOII. BLS plans for implementation of SPD 15 in the SOII will be documented in DOL's SPD 15 Action Plan as well as in any interim Information Collection Requests for the SOII.</w:t>
      </w:r>
    </w:p>
    <w:p w:rsidR="001B08A5" w:rsidRPr="00B91FC4" w:rsidP="00B91FC4" w14:paraId="330B8A8C" w14:textId="77777777">
      <w:pPr>
        <w:spacing w:line="240" w:lineRule="exact"/>
        <w:rPr>
          <w:rFonts w:ascii="Arial" w:hAnsi="Arial" w:cs="Arial"/>
        </w:rPr>
      </w:pPr>
    </w:p>
    <w:bookmarkEnd w:id="3"/>
    <w:p w:rsidR="00690F56" w:rsidRPr="00871CA6" w:rsidP="00B65823" w14:paraId="186CBA80" w14:textId="77777777">
      <w:pPr>
        <w:widowControl/>
        <w:rPr>
          <w:rFonts w:ascii="Times New Roman" w:hAnsi="Times New Roman"/>
        </w:rPr>
      </w:pPr>
    </w:p>
    <w:p w:rsidR="00690F56" w:rsidRPr="00D53DEB" w:rsidP="00B65823" w14:paraId="1E3B8C08" w14:textId="2A72FE3D">
      <w:pPr>
        <w:widowControl/>
        <w:rPr>
          <w:rFonts w:ascii="Times New Roman" w:hAnsi="Times New Roman"/>
        </w:rPr>
      </w:pPr>
      <w:r w:rsidRPr="00D53DEB">
        <w:rPr>
          <w:rFonts w:ascii="Times New Roman" w:hAnsi="Times New Roman"/>
          <w:b/>
          <w:bCs/>
        </w:rPr>
        <w:t>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P="00B65823" w14:paraId="767B60FC" w14:textId="77777777">
      <w:pPr>
        <w:widowControl/>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91FC4" w:rsidRPr="005F4E87" w:rsidP="00B91FC4" w14:paraId="4E74E8D6" w14:textId="5FBB5025">
      <w:pPr>
        <w:spacing w:line="240" w:lineRule="exact"/>
        <w:rPr>
          <w:rFonts w:ascii="Arial" w:hAnsi="Arial" w:cs="Arial"/>
          <w:b/>
          <w:u w:val="single"/>
        </w:rPr>
      </w:pPr>
    </w:p>
    <w:p w:rsidR="00B91FC4" w:rsidRPr="005F4E87" w:rsidP="00B91FC4" w14:paraId="28EF6FB4" w14:textId="77777777">
      <w:pPr>
        <w:spacing w:line="240" w:lineRule="exact"/>
        <w:rPr>
          <w:rFonts w:ascii="Arial" w:hAnsi="Arial" w:cs="Arial"/>
          <w:b/>
        </w:rPr>
      </w:pPr>
      <w:r w:rsidRPr="005F4E87">
        <w:rPr>
          <w:rFonts w:ascii="Arial" w:hAnsi="Arial" w:cs="Arial"/>
          <w:b/>
          <w:u w:val="single"/>
        </w:rPr>
        <w:t>Federal Register Notice</w:t>
      </w:r>
      <w:r w:rsidRPr="005F4E87">
        <w:rPr>
          <w:rFonts w:ascii="Arial" w:hAnsi="Arial" w:cs="Arial"/>
          <w:b/>
        </w:rPr>
        <w:t xml:space="preserve">.  </w:t>
      </w:r>
    </w:p>
    <w:p w:rsidR="00B91FC4" w:rsidRPr="000F4ABE" w:rsidP="00B91FC4" w14:paraId="049D1F57" w14:textId="77777777">
      <w:pPr>
        <w:spacing w:line="240" w:lineRule="exact"/>
        <w:rPr>
          <w:rFonts w:ascii="Arial" w:hAnsi="Arial" w:cs="Arial"/>
        </w:rPr>
      </w:pPr>
    </w:p>
    <w:p w:rsidR="00B91FC4" w:rsidP="00F40015" w14:paraId="1AC80302" w14:textId="4B403E92">
      <w:pPr>
        <w:spacing w:line="240" w:lineRule="exact"/>
        <w:rPr>
          <w:rFonts w:ascii="Arial" w:hAnsi="Arial" w:cs="Arial"/>
        </w:rPr>
      </w:pPr>
      <w:r>
        <w:rPr>
          <w:rFonts w:ascii="Arial" w:hAnsi="Arial" w:cs="Arial"/>
        </w:rPr>
        <w:t xml:space="preserve">A letter dated April 17, </w:t>
      </w:r>
      <w:r w:rsidR="009E1D93">
        <w:rPr>
          <w:rFonts w:ascii="Arial" w:hAnsi="Arial" w:cs="Arial"/>
        </w:rPr>
        <w:t>2024,</w:t>
      </w:r>
      <w:r>
        <w:rPr>
          <w:rFonts w:ascii="Arial" w:hAnsi="Arial" w:cs="Arial"/>
        </w:rPr>
        <w:t xml:space="preserve"> was received from the Chief Economist for the Bureau of Economic Analysis (BEA) </w:t>
      </w:r>
      <w:r w:rsidRPr="00640975">
        <w:rPr>
          <w:rFonts w:ascii="Arial" w:hAnsi="Arial" w:cs="Arial"/>
        </w:rPr>
        <w:t>on the Federal Register notice published in 8</w:t>
      </w:r>
      <w:r w:rsidR="00C73F82">
        <w:rPr>
          <w:rFonts w:ascii="Arial" w:hAnsi="Arial" w:cs="Arial"/>
        </w:rPr>
        <w:t>9</w:t>
      </w:r>
      <w:r w:rsidRPr="00640975">
        <w:rPr>
          <w:rFonts w:ascii="Arial" w:hAnsi="Arial" w:cs="Arial"/>
        </w:rPr>
        <w:t xml:space="preserve"> FR </w:t>
      </w:r>
      <w:r w:rsidR="00C73F82">
        <w:rPr>
          <w:rFonts w:ascii="Arial" w:hAnsi="Arial" w:cs="Arial"/>
        </w:rPr>
        <w:t>27454</w:t>
      </w:r>
      <w:r w:rsidRPr="00640975">
        <w:rPr>
          <w:rFonts w:ascii="Arial" w:hAnsi="Arial" w:cs="Arial"/>
        </w:rPr>
        <w:t xml:space="preserve"> on </w:t>
      </w:r>
      <w:r w:rsidR="00C73F82">
        <w:rPr>
          <w:rFonts w:ascii="Arial" w:hAnsi="Arial" w:cs="Arial"/>
        </w:rPr>
        <w:t xml:space="preserve">April 17, </w:t>
      </w:r>
      <w:r w:rsidR="00147713">
        <w:rPr>
          <w:rFonts w:ascii="Arial" w:hAnsi="Arial" w:cs="Arial"/>
        </w:rPr>
        <w:t>2024</w:t>
      </w:r>
      <w:r w:rsidRPr="00640975">
        <w:rPr>
          <w:rFonts w:ascii="Arial" w:hAnsi="Arial" w:cs="Arial"/>
        </w:rPr>
        <w:t>.</w:t>
      </w:r>
      <w:r>
        <w:rPr>
          <w:rFonts w:ascii="Arial" w:hAnsi="Arial" w:cs="Arial"/>
        </w:rPr>
        <w:t xml:space="preserve"> This BEA letter</w:t>
      </w:r>
      <w:r w:rsidRPr="00F40015">
        <w:rPr>
          <w:rFonts w:ascii="Arial" w:hAnsi="Arial" w:cs="Arial"/>
        </w:rPr>
        <w:t xml:space="preserve"> </w:t>
      </w:r>
      <w:r>
        <w:rPr>
          <w:rFonts w:ascii="Arial" w:hAnsi="Arial" w:cs="Arial"/>
        </w:rPr>
        <w:t xml:space="preserve">expressed </w:t>
      </w:r>
      <w:r w:rsidRPr="00F40015">
        <w:rPr>
          <w:rFonts w:ascii="Arial" w:hAnsi="Arial" w:cs="Arial"/>
        </w:rPr>
        <w:t>strong support</w:t>
      </w:r>
      <w:r>
        <w:rPr>
          <w:rFonts w:ascii="Arial" w:hAnsi="Arial" w:cs="Arial"/>
        </w:rPr>
        <w:t xml:space="preserve"> for </w:t>
      </w:r>
      <w:r w:rsidRPr="00F40015">
        <w:rPr>
          <w:rFonts w:ascii="Arial" w:hAnsi="Arial" w:cs="Arial"/>
        </w:rPr>
        <w:t xml:space="preserve">the continued collection of data by the </w:t>
      </w:r>
      <w:r>
        <w:rPr>
          <w:rFonts w:ascii="Arial" w:hAnsi="Arial" w:cs="Arial"/>
        </w:rPr>
        <w:t xml:space="preserve">BLS SOII and noted that these </w:t>
      </w:r>
      <w:r w:rsidRPr="00F40015">
        <w:rPr>
          <w:rFonts w:ascii="Arial" w:hAnsi="Arial" w:cs="Arial"/>
        </w:rPr>
        <w:t>data are important elements in the derivation of major components of BEA’s economic statistics.</w:t>
      </w:r>
      <w:r w:rsidR="009F0CE5">
        <w:rPr>
          <w:rFonts w:ascii="Arial" w:hAnsi="Arial" w:cs="Arial"/>
        </w:rPr>
        <w:t xml:space="preserve"> This was the sole comment received regarding this notice.</w:t>
      </w:r>
    </w:p>
    <w:p w:rsidR="00B91FC4" w:rsidP="00B91FC4" w14:paraId="06281243" w14:textId="77777777">
      <w:pPr>
        <w:spacing w:line="240" w:lineRule="exact"/>
        <w:rPr>
          <w:rFonts w:ascii="Arial" w:hAnsi="Arial" w:cs="Arial"/>
        </w:rPr>
      </w:pPr>
    </w:p>
    <w:p w:rsidR="00B91FC4" w:rsidRPr="005F4E87" w:rsidP="00B91FC4" w14:paraId="4A514019" w14:textId="77777777">
      <w:pPr>
        <w:spacing w:line="240" w:lineRule="exact"/>
        <w:rPr>
          <w:rFonts w:ascii="Arial" w:hAnsi="Arial" w:cs="Arial"/>
          <w:b/>
        </w:rPr>
      </w:pPr>
      <w:r w:rsidRPr="005F4E87">
        <w:rPr>
          <w:rFonts w:ascii="Arial" w:hAnsi="Arial" w:cs="Arial"/>
          <w:b/>
          <w:u w:val="single"/>
        </w:rPr>
        <w:t>Consultations</w:t>
      </w:r>
      <w:r w:rsidRPr="005F4E87">
        <w:rPr>
          <w:rFonts w:ascii="Arial" w:hAnsi="Arial" w:cs="Arial"/>
          <w:b/>
        </w:rPr>
        <w:t xml:space="preserve">.  </w:t>
      </w:r>
    </w:p>
    <w:p w:rsidR="00B91FC4" w:rsidRPr="000F4ABE" w:rsidP="00B91FC4" w14:paraId="2A14DBEB" w14:textId="77777777">
      <w:pPr>
        <w:spacing w:line="240" w:lineRule="exact"/>
        <w:rPr>
          <w:rFonts w:ascii="Arial" w:hAnsi="Arial" w:cs="Arial"/>
        </w:rPr>
      </w:pPr>
    </w:p>
    <w:p w:rsidR="00B91FC4" w:rsidRPr="000F4ABE" w:rsidP="00B91FC4" w14:paraId="7D45A23B" w14:textId="1F6BDDA6">
      <w:pPr>
        <w:spacing w:line="240" w:lineRule="exact"/>
        <w:rPr>
          <w:rFonts w:ascii="Arial" w:hAnsi="Arial" w:cs="Arial"/>
        </w:rPr>
      </w:pPr>
      <w:r w:rsidRPr="000F4ABE">
        <w:rPr>
          <w:rFonts w:ascii="Arial" w:hAnsi="Arial" w:cs="Arial"/>
        </w:rPr>
        <w:t xml:space="preserve">Semiannually, the BLS meets with both the Data Users Advisory Committee </w:t>
      </w:r>
      <w:r w:rsidR="009011F2">
        <w:rPr>
          <w:rFonts w:ascii="Arial" w:hAnsi="Arial" w:cs="Arial"/>
        </w:rPr>
        <w:t xml:space="preserve">(DUAC) </w:t>
      </w:r>
      <w:r w:rsidRPr="000F4ABE">
        <w:rPr>
          <w:rFonts w:ascii="Arial" w:hAnsi="Arial" w:cs="Arial"/>
        </w:rPr>
        <w:t xml:space="preserve">and the BLS Technical Advisory Committee </w:t>
      </w:r>
      <w:r w:rsidR="009011F2">
        <w:rPr>
          <w:rFonts w:ascii="Arial" w:hAnsi="Arial" w:cs="Arial"/>
        </w:rPr>
        <w:t xml:space="preserve">(TAC) </w:t>
      </w:r>
      <w:r w:rsidRPr="000F4ABE">
        <w:rPr>
          <w:rFonts w:ascii="Arial" w:hAnsi="Arial" w:cs="Arial"/>
        </w:rPr>
        <w:t xml:space="preserve">to review programs and to solicit </w:t>
      </w:r>
      <w:r w:rsidRPr="000F4ABE">
        <w:rPr>
          <w:rFonts w:ascii="Arial" w:hAnsi="Arial" w:cs="Arial"/>
        </w:rPr>
        <w:t>advice and recommendations for program enhancement. The BLS also meets periodically with the Federal Economic Statistics Advisory Committee</w:t>
      </w:r>
      <w:r w:rsidR="009011F2">
        <w:rPr>
          <w:rFonts w:ascii="Arial" w:hAnsi="Arial" w:cs="Arial"/>
        </w:rPr>
        <w:t xml:space="preserve"> (FESAC)</w:t>
      </w:r>
      <w:r w:rsidRPr="000F4ABE">
        <w:rPr>
          <w:rFonts w:ascii="Arial" w:hAnsi="Arial" w:cs="Arial"/>
        </w:rPr>
        <w:t>.</w:t>
      </w:r>
    </w:p>
    <w:p w:rsidR="00B91FC4" w:rsidRPr="000F4ABE" w:rsidP="00B91FC4" w14:paraId="736DA5CB" w14:textId="77777777">
      <w:pPr>
        <w:spacing w:line="240" w:lineRule="exact"/>
        <w:rPr>
          <w:rFonts w:ascii="Arial" w:hAnsi="Arial" w:cs="Arial"/>
        </w:rPr>
      </w:pPr>
    </w:p>
    <w:p w:rsidR="00B91FC4" w:rsidRPr="000F4ABE" w:rsidP="00B91FC4" w14:paraId="507E6065" w14:textId="77777777">
      <w:pPr>
        <w:spacing w:line="240" w:lineRule="exact"/>
        <w:rPr>
          <w:rFonts w:ascii="Arial" w:hAnsi="Arial" w:cs="Arial"/>
        </w:rPr>
      </w:pPr>
      <w:r w:rsidRPr="000F4ABE">
        <w:rPr>
          <w:rFonts w:ascii="Arial" w:hAnsi="Arial" w:cs="Arial"/>
        </w:rPr>
        <w:t xml:space="preserve">The BLS holds periodic conferences with the state agencies which receive grants to conduct the survey.  </w:t>
      </w:r>
    </w:p>
    <w:p w:rsidR="00B91FC4" w:rsidRPr="000F4ABE" w:rsidP="00B91FC4" w14:paraId="1B44E214" w14:textId="77777777">
      <w:pPr>
        <w:spacing w:line="240" w:lineRule="exact"/>
        <w:rPr>
          <w:rFonts w:ascii="Arial" w:hAnsi="Arial" w:cs="Arial"/>
        </w:rPr>
      </w:pPr>
    </w:p>
    <w:p w:rsidR="00690F56" w:rsidRPr="00B65823" w:rsidP="00B52744" w14:paraId="7644A432" w14:textId="22CC8949">
      <w:pPr>
        <w:spacing w:line="240" w:lineRule="exact"/>
        <w:rPr>
          <w:rFonts w:ascii="Times New Roman" w:hAnsi="Times New Roman"/>
          <w:bCs/>
        </w:rPr>
      </w:pPr>
      <w:r w:rsidRPr="000F4ABE">
        <w:rPr>
          <w:rFonts w:ascii="Arial" w:hAnsi="Arial" w:cs="Arial"/>
        </w:rPr>
        <w:t xml:space="preserve">The BLS meets periodically with representatives </w:t>
      </w:r>
      <w:r w:rsidR="00932F39">
        <w:rPr>
          <w:rFonts w:ascii="Arial" w:hAnsi="Arial" w:cs="Arial"/>
        </w:rPr>
        <w:t>from</w:t>
      </w:r>
      <w:r w:rsidRPr="000F4ABE">
        <w:rPr>
          <w:rFonts w:ascii="Arial" w:hAnsi="Arial" w:cs="Arial"/>
        </w:rPr>
        <w:t xml:space="preserve"> OSHA</w:t>
      </w:r>
      <w:r w:rsidR="00932F39">
        <w:rPr>
          <w:rFonts w:ascii="Arial" w:hAnsi="Arial" w:cs="Arial"/>
        </w:rPr>
        <w:t>,</w:t>
      </w:r>
      <w:r w:rsidRPr="000F4ABE">
        <w:rPr>
          <w:rFonts w:ascii="Arial" w:hAnsi="Arial" w:cs="Arial"/>
        </w:rPr>
        <w:t xml:space="preserve"> NIOSH</w:t>
      </w:r>
      <w:r w:rsidR="00932F39">
        <w:rPr>
          <w:rFonts w:ascii="Arial" w:hAnsi="Arial" w:cs="Arial"/>
        </w:rPr>
        <w:t>, and the Council of State and Territorial Epidemiologists (CSTE)</w:t>
      </w:r>
      <w:r w:rsidRPr="000F4ABE">
        <w:rPr>
          <w:rFonts w:ascii="Arial" w:hAnsi="Arial" w:cs="Arial"/>
        </w:rPr>
        <w:t>.</w:t>
      </w:r>
      <w:r>
        <w:rPr>
          <w:rFonts w:ascii="Times New Roman" w:hAnsi="Times New Roman"/>
          <w:bCs/>
        </w:rPr>
        <w:tab/>
      </w:r>
    </w:p>
    <w:p w:rsidR="0060114B" w:rsidRPr="00A47DA7" w:rsidP="00B65823" w14:paraId="425C0DB9" w14:textId="77777777">
      <w:pPr>
        <w:widowControl/>
        <w:autoSpaceDE/>
        <w:autoSpaceDN/>
        <w:adjustRightInd/>
        <w:rPr>
          <w:rFonts w:ascii="Times New Roman" w:eastAsia="Calibri" w:hAnsi="Times New Roman"/>
        </w:rPr>
      </w:pPr>
    </w:p>
    <w:p w:rsidR="00B91FC4" w:rsidRPr="005F4E87" w:rsidP="00B52744" w14:paraId="1DA04C7D" w14:textId="6A10B4A1">
      <w:pPr>
        <w:widowControl/>
        <w:rPr>
          <w:rFonts w:ascii="Arial" w:hAnsi="Arial" w:cs="Arial"/>
          <w:b/>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B91FC4" w:rsidRPr="000F4ABE" w:rsidP="00B91FC4" w14:paraId="29A30EEF" w14:textId="77777777">
      <w:pPr>
        <w:spacing w:line="240" w:lineRule="exact"/>
        <w:rPr>
          <w:rFonts w:ascii="Arial" w:hAnsi="Arial" w:cs="Arial"/>
        </w:rPr>
      </w:pPr>
    </w:p>
    <w:p w:rsidR="00B91FC4" w:rsidRPr="00B91FC4" w:rsidP="00B91FC4" w14:paraId="66CE9112" w14:textId="33A1D4D2">
      <w:pPr>
        <w:spacing w:line="240" w:lineRule="exact"/>
        <w:rPr>
          <w:rFonts w:ascii="Arial" w:hAnsi="Arial" w:cs="Arial"/>
        </w:rPr>
      </w:pPr>
      <w:r w:rsidRPr="000F4ABE">
        <w:rPr>
          <w:rFonts w:ascii="Arial" w:hAnsi="Arial" w:cs="Arial"/>
        </w:rPr>
        <w:t>No payments or gifts are provided to respondents.</w:t>
      </w:r>
    </w:p>
    <w:p w:rsidR="00690F56" w:rsidRPr="00871CA6" w:rsidP="00B65823" w14:paraId="3D9804C1" w14:textId="77777777">
      <w:pPr>
        <w:widowControl/>
        <w:rPr>
          <w:rFonts w:ascii="Times New Roman" w:hAnsi="Times New Roman"/>
        </w:rPr>
      </w:pPr>
    </w:p>
    <w:p w:rsidR="00690F56" w:rsidP="00B65823" w14:paraId="41D6A133" w14:textId="1DEE7FD3">
      <w:pPr>
        <w:widowControl/>
        <w:rPr>
          <w:rFonts w:ascii="Times New Roman" w:hAnsi="Times New Roman"/>
          <w:bCs/>
        </w:rPr>
      </w:pPr>
      <w:r w:rsidRPr="00D53DEB">
        <w:rPr>
          <w:rFonts w:ascii="Times New Roman" w:hAnsi="Times New Roman"/>
          <w:b/>
          <w:bCs/>
        </w:rPr>
        <w:t>10.  Describe any assurance of confidentiality provided to respondents and the basis for the assurance in statute, regulation, or agency policy.</w:t>
      </w:r>
    </w:p>
    <w:p w:rsidR="00D17977" w:rsidRPr="005F4E87" w:rsidP="00D17977" w14:paraId="10D2D5A1" w14:textId="0AE86820">
      <w:pPr>
        <w:spacing w:line="240" w:lineRule="exact"/>
        <w:rPr>
          <w:rFonts w:ascii="Arial" w:hAnsi="Arial" w:cs="Arial"/>
          <w:b/>
        </w:rPr>
      </w:pPr>
    </w:p>
    <w:p w:rsidR="00D17977" w:rsidRPr="000F4ABE" w:rsidP="00D17977" w14:paraId="39F8F383" w14:textId="77777777">
      <w:pPr>
        <w:spacing w:line="240" w:lineRule="exact"/>
        <w:rPr>
          <w:rFonts w:ascii="Arial" w:hAnsi="Arial" w:cs="Arial"/>
        </w:rPr>
      </w:pPr>
      <w:r w:rsidRPr="000F4ABE">
        <w:rPr>
          <w:rFonts w:ascii="Arial" w:hAnsi="Arial" w:cs="Arial"/>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D17977" w:rsidRPr="000F4ABE" w:rsidP="00D17977" w14:paraId="1EA2AFC6" w14:textId="77777777">
      <w:pPr>
        <w:spacing w:line="240" w:lineRule="exact"/>
        <w:rPr>
          <w:rFonts w:ascii="Arial" w:hAnsi="Arial" w:cs="Arial"/>
        </w:rPr>
      </w:pPr>
      <w:r w:rsidRPr="000F4ABE">
        <w:rPr>
          <w:rFonts w:ascii="Arial" w:hAnsi="Arial" w:cs="Arial"/>
        </w:rPr>
        <w:t> </w:t>
      </w:r>
    </w:p>
    <w:p w:rsidR="00D17977" w:rsidRPr="000F4ABE" w:rsidP="00D17977" w14:paraId="623E07D5" w14:textId="77777777">
      <w:pPr>
        <w:spacing w:line="240" w:lineRule="exact"/>
        <w:rPr>
          <w:rFonts w:ascii="Arial" w:hAnsi="Arial" w:cs="Arial"/>
        </w:rPr>
      </w:pPr>
      <w:r w:rsidRPr="000F4ABE">
        <w:rPr>
          <w:rFonts w:ascii="Arial" w:hAnsi="Arial" w:cs="Arial"/>
        </w:rPr>
        <w:t>Based on this law, the BLS provides respondents with the following confidentiality pledge/informed consent statement:</w:t>
      </w:r>
    </w:p>
    <w:p w:rsidR="00D17977" w:rsidRPr="000F4ABE" w:rsidP="00D17977" w14:paraId="00BF6C78" w14:textId="77777777">
      <w:pPr>
        <w:spacing w:line="240" w:lineRule="exact"/>
        <w:rPr>
          <w:rFonts w:ascii="Arial" w:hAnsi="Arial" w:cs="Arial"/>
        </w:rPr>
      </w:pPr>
      <w:r w:rsidRPr="000F4ABE">
        <w:rPr>
          <w:rFonts w:ascii="Arial" w:hAnsi="Arial" w:cs="Arial"/>
        </w:rPr>
        <w:t> </w:t>
      </w:r>
    </w:p>
    <w:p w:rsidR="00D17977" w:rsidRPr="000F4ABE" w:rsidP="00D17977" w14:paraId="01BDD1A1" w14:textId="210702CD">
      <w:pPr>
        <w:spacing w:line="240" w:lineRule="exact"/>
        <w:rPr>
          <w:rFonts w:ascii="Arial" w:hAnsi="Arial" w:cs="Arial"/>
        </w:rPr>
      </w:pPr>
      <w:r w:rsidRPr="00B92C4A">
        <w:rPr>
          <w:rFonts w:ascii="Arial" w:hAnsi="Arial" w:cs="Arial"/>
          <w:i/>
          <w:iCs/>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0F4ABE">
        <w:rPr>
          <w:rFonts w:ascii="Arial" w:hAnsi="Arial" w:cs="Arial"/>
        </w:rPr>
        <w:t> </w:t>
      </w:r>
    </w:p>
    <w:p w:rsidR="00756343" w:rsidP="00D17977" w14:paraId="09968305" w14:textId="77777777">
      <w:pPr>
        <w:spacing w:line="240" w:lineRule="exact"/>
        <w:rPr>
          <w:rFonts w:ascii="Arial" w:hAnsi="Arial" w:cs="Arial"/>
        </w:rPr>
      </w:pPr>
    </w:p>
    <w:p w:rsidR="00D17977" w:rsidRPr="000F4ABE" w:rsidP="00D17977" w14:paraId="6A1FB499" w14:textId="07595820">
      <w:pPr>
        <w:spacing w:line="240" w:lineRule="exact"/>
        <w:rPr>
          <w:rFonts w:ascii="Arial" w:hAnsi="Arial" w:cs="Arial"/>
        </w:rPr>
      </w:pPr>
      <w:r w:rsidRPr="000F4ABE">
        <w:rPr>
          <w:rFonts w:ascii="Arial" w:hAnsi="Arial" w:cs="Arial"/>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D17977" w:rsidRPr="000F4ABE" w:rsidP="00D17977" w14:paraId="5D604ABE" w14:textId="77777777">
      <w:pPr>
        <w:spacing w:line="240" w:lineRule="exact"/>
        <w:rPr>
          <w:rFonts w:ascii="Arial" w:hAnsi="Arial" w:cs="Arial"/>
        </w:rPr>
      </w:pPr>
    </w:p>
    <w:p w:rsidR="00D17977" w:rsidRPr="000F4ABE" w:rsidP="00D17977" w14:paraId="522040DA" w14:textId="00810743">
      <w:pPr>
        <w:spacing w:line="240" w:lineRule="exact"/>
        <w:rPr>
          <w:rFonts w:ascii="Arial" w:hAnsi="Arial" w:cs="Arial"/>
        </w:rPr>
      </w:pPr>
      <w:r w:rsidRPr="000F4ABE">
        <w:rPr>
          <w:rFonts w:ascii="Arial" w:hAnsi="Arial" w:cs="Arial"/>
        </w:rPr>
        <w:t xml:space="preserve">The </w:t>
      </w:r>
      <w:r w:rsidR="00FD5BE0">
        <w:rPr>
          <w:rFonts w:ascii="Arial" w:hAnsi="Arial" w:cs="Arial"/>
        </w:rPr>
        <w:t>2024</w:t>
      </w:r>
      <w:r w:rsidRPr="000F4ABE" w:rsidR="00FD5BE0">
        <w:rPr>
          <w:rFonts w:ascii="Arial" w:hAnsi="Arial" w:cs="Arial"/>
        </w:rPr>
        <w:t xml:space="preserve"> </w:t>
      </w:r>
      <w:r w:rsidRPr="000F4ABE">
        <w:rPr>
          <w:rFonts w:ascii="Arial" w:hAnsi="Arial" w:cs="Arial"/>
        </w:rPr>
        <w:t>reporting form, BLS No. 9300, and the related Internet data collection site, will carry the confidentiality statement referenced above.</w:t>
      </w:r>
    </w:p>
    <w:p w:rsidR="00D17977" w:rsidRPr="000F4ABE" w:rsidP="00D17977" w14:paraId="3A64BF44" w14:textId="77777777">
      <w:pPr>
        <w:spacing w:line="240" w:lineRule="exact"/>
        <w:rPr>
          <w:rFonts w:ascii="Arial" w:hAnsi="Arial" w:cs="Arial"/>
        </w:rPr>
      </w:pPr>
    </w:p>
    <w:p w:rsidR="00D17977" w:rsidRPr="00D17977" w:rsidP="00D17977" w14:paraId="4F5BD3A2" w14:textId="18F584D2">
      <w:pPr>
        <w:spacing w:line="240" w:lineRule="exact"/>
        <w:rPr>
          <w:rFonts w:ascii="Arial" w:hAnsi="Arial" w:cs="Arial"/>
          <w:b/>
          <w:u w:val="single"/>
        </w:rPr>
      </w:pPr>
      <w:r w:rsidRPr="000F4ABE">
        <w:rPr>
          <w:rFonts w:ascii="Arial" w:hAnsi="Arial" w:cs="Arial"/>
        </w:rPr>
        <w:t xml:space="preserve">State </w:t>
      </w:r>
      <w:r>
        <w:rPr>
          <w:rFonts w:ascii="Arial" w:hAnsi="Arial" w:cs="Arial"/>
        </w:rPr>
        <w:t xml:space="preserve">and territory </w:t>
      </w:r>
      <w:r w:rsidRPr="000F4ABE">
        <w:rPr>
          <w:rFonts w:ascii="Arial" w:hAnsi="Arial" w:cs="Arial"/>
        </w:rPr>
        <w:t>statutes</w:t>
      </w:r>
      <w:r>
        <w:rPr>
          <w:rFonts w:ascii="Arial" w:hAnsi="Arial" w:cs="Arial"/>
        </w:rPr>
        <w:t xml:space="preserve"> vary—for example,</w:t>
      </w:r>
      <w:r w:rsidRPr="000F4ABE">
        <w:rPr>
          <w:rFonts w:ascii="Arial" w:hAnsi="Arial" w:cs="Arial"/>
        </w:rPr>
        <w:t xml:space="preserve"> in New Jersey, Maine, Wisconsin, Illinois and Guam</w:t>
      </w:r>
      <w:r>
        <w:rPr>
          <w:rFonts w:ascii="Arial" w:hAnsi="Arial" w:cs="Arial"/>
        </w:rPr>
        <w:t xml:space="preserve">—and </w:t>
      </w:r>
      <w:r w:rsidRPr="000F4ABE">
        <w:rPr>
          <w:rFonts w:ascii="Arial" w:hAnsi="Arial" w:cs="Arial"/>
        </w:rPr>
        <w:t xml:space="preserve">allow </w:t>
      </w:r>
      <w:r>
        <w:rPr>
          <w:rFonts w:ascii="Arial" w:hAnsi="Arial" w:cs="Arial"/>
        </w:rPr>
        <w:t xml:space="preserve">the </w:t>
      </w:r>
      <w:r w:rsidRPr="000F4ABE">
        <w:rPr>
          <w:rFonts w:ascii="Arial" w:hAnsi="Arial" w:cs="Arial"/>
        </w:rPr>
        <w:t>disclosure of state and local government records. Therefore</w:t>
      </w:r>
      <w:r w:rsidR="00AE35C6">
        <w:rPr>
          <w:rFonts w:ascii="Arial" w:hAnsi="Arial" w:cs="Arial"/>
        </w:rPr>
        <w:t>,</w:t>
      </w:r>
      <w:r>
        <w:rPr>
          <w:rFonts w:ascii="Arial" w:hAnsi="Arial" w:cs="Arial"/>
        </w:rPr>
        <w:t xml:space="preserve"> the BLS does</w:t>
      </w:r>
      <w:r w:rsidRPr="000F4ABE">
        <w:rPr>
          <w:rFonts w:ascii="Arial" w:hAnsi="Arial" w:cs="Arial"/>
        </w:rPr>
        <w:t xml:space="preserve"> not pledge confidentiality to the state and local government units included in their samples.</w:t>
      </w:r>
    </w:p>
    <w:p w:rsidR="00690F56" w:rsidRPr="00871CA6" w:rsidP="00B65823" w14:paraId="61F2ECC1" w14:textId="77777777">
      <w:pPr>
        <w:widowControl/>
        <w:rPr>
          <w:rFonts w:ascii="Times New Roman" w:hAnsi="Times New Roman"/>
        </w:rPr>
      </w:pPr>
    </w:p>
    <w:p w:rsidR="00690F56" w:rsidP="00B65823" w14:paraId="02AFA701" w14:textId="6AAF943C">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D17977" w:rsidP="00B65823" w14:paraId="6CD6C3B8" w14:textId="77777777">
      <w:pPr>
        <w:widowControl/>
        <w:rPr>
          <w:rFonts w:ascii="Times New Roman" w:hAnsi="Times New Roman"/>
          <w:b/>
          <w:bCs/>
        </w:rPr>
      </w:pPr>
    </w:p>
    <w:p w:rsidR="00D17977" w:rsidRPr="000F4ABE" w:rsidP="00D17977" w14:paraId="2A707414" w14:textId="2FE86EC7">
      <w:pPr>
        <w:spacing w:line="240" w:lineRule="exact"/>
        <w:rPr>
          <w:rFonts w:ascii="Arial" w:hAnsi="Arial" w:cs="Arial"/>
        </w:rPr>
      </w:pPr>
      <w:r w:rsidRPr="000F4ABE">
        <w:rPr>
          <w:rFonts w:ascii="Arial" w:hAnsi="Arial" w:cs="Arial"/>
        </w:rPr>
        <w:t xml:space="preserve">The name of the </w:t>
      </w:r>
      <w:r w:rsidR="009F071F">
        <w:rPr>
          <w:rFonts w:ascii="Arial" w:hAnsi="Arial" w:cs="Arial"/>
        </w:rPr>
        <w:t xml:space="preserve">injured/ill </w:t>
      </w:r>
      <w:r w:rsidRPr="000F4ABE">
        <w:rPr>
          <w:rFonts w:ascii="Arial" w:hAnsi="Arial" w:cs="Arial"/>
        </w:rPr>
        <w:t xml:space="preserve">worker is obtained </w:t>
      </w:r>
      <w:r w:rsidR="00EE0DCC">
        <w:rPr>
          <w:rFonts w:ascii="Arial" w:hAnsi="Arial" w:cs="Arial"/>
        </w:rPr>
        <w:t xml:space="preserve">for DAFW and DJTR cases </w:t>
      </w:r>
      <w:r w:rsidRPr="000F4ABE">
        <w:rPr>
          <w:rFonts w:ascii="Arial" w:hAnsi="Arial" w:cs="Arial"/>
        </w:rPr>
        <w:t xml:space="preserve">and used </w:t>
      </w:r>
      <w:r w:rsidR="00CE6ABC">
        <w:rPr>
          <w:rFonts w:ascii="Arial" w:hAnsi="Arial" w:cs="Arial"/>
        </w:rPr>
        <w:t xml:space="preserve">to ensure data quality and </w:t>
      </w:r>
      <w:r w:rsidRPr="000F4ABE">
        <w:rPr>
          <w:rFonts w:ascii="Arial" w:hAnsi="Arial" w:cs="Arial"/>
        </w:rPr>
        <w:t xml:space="preserve">to facilitate recontacts with employers when data clarifications are required. </w:t>
      </w:r>
      <w:r w:rsidRPr="0058702C" w:rsidR="009F071F">
        <w:rPr>
          <w:rFonts w:ascii="Arial" w:hAnsi="Arial" w:cs="Arial"/>
        </w:rPr>
        <w:t xml:space="preserve">BLS does not publish or release the name of the injured/ill worker. </w:t>
      </w:r>
      <w:r w:rsidRPr="00AE35C6" w:rsidR="00EE0DCC">
        <w:rPr>
          <w:rFonts w:ascii="Arial" w:hAnsi="Arial" w:cs="Arial"/>
        </w:rPr>
        <w:t>BLS</w:t>
      </w:r>
      <w:r w:rsidRPr="00EE0DCC" w:rsidR="00EE0DCC">
        <w:rPr>
          <w:rFonts w:ascii="Arial" w:hAnsi="Arial" w:cs="Arial"/>
          <w:lang w:val="en"/>
        </w:rPr>
        <w:t xml:space="preserve"> policy on Personally Identifiable Information (PII) states that, “No employee shall disclose PII to any individual or entity except pursuant to a written request by, or with the prior written consent of, the individual to whom the record pertains. Disclosure of the record to individuals with a need-to-know is allowable. Any individual may inspect records of which they are the subject within 30 days of requesting access unless access is specifically exempt under the provisions of the Privacy Act or other legal authorities.”</w:t>
      </w:r>
      <w:r w:rsidR="00EE0DCC">
        <w:rPr>
          <w:rFonts w:ascii="Arial" w:hAnsi="Arial" w:cs="Arial"/>
          <w:lang w:val="en"/>
        </w:rPr>
        <w:t xml:space="preserve"> OSHA recordkeeping also allows employers to substitute </w:t>
      </w:r>
      <w:r w:rsidR="00F20E36">
        <w:rPr>
          <w:rFonts w:ascii="Arial" w:hAnsi="Arial" w:cs="Arial"/>
          <w:lang w:val="en"/>
        </w:rPr>
        <w:t xml:space="preserve">“privacy case” for </w:t>
      </w:r>
      <w:r w:rsidR="00EE0DCC">
        <w:rPr>
          <w:rFonts w:ascii="Arial" w:hAnsi="Arial" w:cs="Arial"/>
          <w:lang w:val="en"/>
        </w:rPr>
        <w:t xml:space="preserve">the name of the worker </w:t>
      </w:r>
      <w:r w:rsidR="00F20E36">
        <w:rPr>
          <w:rFonts w:ascii="Arial" w:hAnsi="Arial" w:cs="Arial"/>
          <w:lang w:val="en"/>
        </w:rPr>
        <w:t>for cases of a sensitive nature.</w:t>
      </w:r>
      <w:r w:rsidR="00EE0DCC">
        <w:rPr>
          <w:rFonts w:ascii="Arial" w:hAnsi="Arial" w:cs="Arial"/>
          <w:lang w:val="en"/>
        </w:rPr>
        <w:t xml:space="preserve"> </w:t>
      </w:r>
    </w:p>
    <w:p w:rsidR="00D17977" w:rsidRPr="000F4ABE" w:rsidP="00D17977" w14:paraId="3721E222" w14:textId="77777777">
      <w:pPr>
        <w:spacing w:line="240" w:lineRule="exact"/>
        <w:rPr>
          <w:rFonts w:ascii="Arial" w:hAnsi="Arial" w:cs="Arial"/>
        </w:rPr>
      </w:pPr>
    </w:p>
    <w:p w:rsidR="00D17977" w:rsidRPr="00D17977" w:rsidP="00D17977" w14:paraId="061F68B4" w14:textId="2EB3614D">
      <w:pPr>
        <w:spacing w:line="240" w:lineRule="exact"/>
        <w:rPr>
          <w:rFonts w:ascii="Arial" w:hAnsi="Arial" w:cs="Arial"/>
        </w:rPr>
      </w:pPr>
      <w:r w:rsidRPr="000F4ABE">
        <w:rPr>
          <w:rFonts w:ascii="Arial" w:hAnsi="Arial" w:cs="Arial"/>
        </w:rPr>
        <w:t>The race of the injured/ill worker is requested at the option of the respondent. This information can be used to analyze workplace injury and illness rates by race and to compare health information by race from other sources.</w:t>
      </w:r>
    </w:p>
    <w:p w:rsidR="00690F56" w:rsidRPr="00871CA6" w:rsidP="00B65823" w14:paraId="27A67CE6"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Indicate 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3B7CD386">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r w:rsidR="00344B33">
        <w:rPr>
          <w:rFonts w:ascii="Times New Roman" w:hAnsi="Times New Roman"/>
          <w:b/>
          <w:bCs/>
        </w:rPr>
        <w:t>.</w:t>
      </w:r>
    </w:p>
    <w:p w:rsidR="00CD215D" w:rsidP="00B65823"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DD4135" w:rsidRPr="00B65823" w:rsidP="00DD4135" w14:paraId="68AEF475" w14:textId="77777777">
      <w:pPr>
        <w:widowControl/>
        <w:ind w:left="1080"/>
        <w:rPr>
          <w:rFonts w:ascii="Times New Roman" w:hAnsi="Times New Roman"/>
          <w:b/>
          <w:bCs/>
        </w:rPr>
      </w:pPr>
    </w:p>
    <w:p w:rsidR="00D17977" w:rsidRPr="000F4ABE" w:rsidP="00D17977" w14:paraId="15CA610B" w14:textId="2171341F">
      <w:pPr>
        <w:spacing w:line="240" w:lineRule="exact"/>
        <w:rPr>
          <w:rFonts w:ascii="Arial" w:hAnsi="Arial" w:cs="Arial"/>
        </w:rPr>
      </w:pPr>
      <w:r w:rsidRPr="000F4ABE">
        <w:rPr>
          <w:rFonts w:ascii="Arial" w:hAnsi="Arial" w:cs="Arial"/>
        </w:rPr>
        <w:t xml:space="preserve">Multiple factors contribute to the estimate of employer burden for the survey. First, the BLS recording burden estimates are consistent with the burden estimates used by OSHA. Second, the 'Total Hours Worked' and the 'Employment Average' data elements </w:t>
      </w:r>
      <w:r w:rsidRPr="000F4ABE">
        <w:rPr>
          <w:rFonts w:ascii="Arial" w:hAnsi="Arial" w:cs="Arial"/>
        </w:rPr>
        <w:t xml:space="preserve">requested in our Survey form 9300 are required on the OSHA Summary form 300A and </w:t>
      </w:r>
      <w:r>
        <w:rPr>
          <w:rFonts w:ascii="Arial" w:hAnsi="Arial" w:cs="Arial"/>
        </w:rPr>
        <w:t>is</w:t>
      </w:r>
      <w:r w:rsidRPr="000F4ABE">
        <w:rPr>
          <w:rFonts w:ascii="Arial" w:hAnsi="Arial" w:cs="Arial"/>
        </w:rPr>
        <w:t xml:space="preserve"> a</w:t>
      </w:r>
      <w:r>
        <w:rPr>
          <w:rFonts w:ascii="Arial" w:hAnsi="Arial" w:cs="Arial"/>
        </w:rPr>
        <w:t xml:space="preserve"> simple</w:t>
      </w:r>
      <w:r w:rsidRPr="000F4ABE">
        <w:rPr>
          <w:rFonts w:ascii="Arial" w:hAnsi="Arial" w:cs="Arial"/>
        </w:rPr>
        <w:t xml:space="preserve"> transfer of data to the BLS form. Therefore, the burden of calculating hours and employment for those employers who normally must keep the OSHA 300A is already reflected in OSHA's burden hours.</w:t>
      </w:r>
    </w:p>
    <w:p w:rsidR="00D17977" w:rsidRPr="000F4ABE" w:rsidP="00D17977" w14:paraId="0FF9A337" w14:textId="77777777">
      <w:pPr>
        <w:spacing w:line="240" w:lineRule="exact"/>
        <w:rPr>
          <w:rFonts w:ascii="Arial" w:hAnsi="Arial" w:cs="Arial"/>
        </w:rPr>
      </w:pPr>
    </w:p>
    <w:p w:rsidR="00D17977" w:rsidRPr="005F4E87" w:rsidP="00D17977" w14:paraId="76F71BA4" w14:textId="77777777">
      <w:pPr>
        <w:spacing w:line="240" w:lineRule="exact"/>
        <w:rPr>
          <w:rFonts w:ascii="Arial" w:hAnsi="Arial" w:cs="Arial"/>
          <w:b/>
          <w:u w:val="single"/>
        </w:rPr>
      </w:pPr>
      <w:r w:rsidRPr="005F4E87">
        <w:rPr>
          <w:rFonts w:ascii="Arial" w:hAnsi="Arial" w:cs="Arial"/>
          <w:b/>
          <w:u w:val="single"/>
        </w:rPr>
        <w:t>Reporting Burden for the SOII Survey Data Collection (Form 9300)</w:t>
      </w:r>
      <w:r w:rsidRPr="005F4E87">
        <w:rPr>
          <w:rFonts w:ascii="Arial" w:hAnsi="Arial" w:cs="Arial"/>
          <w:b/>
        </w:rPr>
        <w:t>.</w:t>
      </w:r>
    </w:p>
    <w:p w:rsidR="00D17977" w:rsidRPr="000F4ABE" w:rsidP="00D17977" w14:paraId="00EC584B" w14:textId="77777777">
      <w:pPr>
        <w:spacing w:line="240" w:lineRule="exact"/>
        <w:rPr>
          <w:rFonts w:ascii="Arial" w:hAnsi="Arial" w:cs="Arial"/>
        </w:rPr>
      </w:pPr>
    </w:p>
    <w:p w:rsidR="00D17977" w:rsidRPr="000F4ABE" w:rsidP="00D17977" w14:paraId="0603F683" w14:textId="5B3D015F">
      <w:pPr>
        <w:spacing w:line="240" w:lineRule="exact"/>
        <w:rPr>
          <w:rFonts w:ascii="Arial" w:hAnsi="Arial" w:cs="Arial"/>
        </w:rPr>
      </w:pPr>
      <w:r w:rsidRPr="000F4ABE">
        <w:rPr>
          <w:rFonts w:ascii="Arial" w:hAnsi="Arial" w:cs="Arial"/>
        </w:rPr>
        <w:t xml:space="preserve">As noted above, with the implementation of the OSHA Summary </w:t>
      </w:r>
      <w:r w:rsidR="00F051C9">
        <w:rPr>
          <w:rFonts w:ascii="Arial" w:hAnsi="Arial" w:cs="Arial"/>
        </w:rPr>
        <w:t xml:space="preserve">of Work-Related Injuries and Illnesses </w:t>
      </w:r>
      <w:r w:rsidRPr="000F4ABE">
        <w:rPr>
          <w:rFonts w:ascii="Arial" w:hAnsi="Arial" w:cs="Arial"/>
        </w:rPr>
        <w:t xml:space="preserve">Form 300A, the completion of the SOII requires transferring totals or photocopying the summary form for Part 1 of survey form 9300. The BLS estimates each of the </w:t>
      </w:r>
      <w:r w:rsidR="00210616">
        <w:rPr>
          <w:rFonts w:ascii="Arial" w:hAnsi="Arial" w:cs="Arial"/>
        </w:rPr>
        <w:t>228,200</w:t>
      </w:r>
      <w:r w:rsidRPr="000F4ABE">
        <w:rPr>
          <w:rFonts w:ascii="Arial" w:hAnsi="Arial" w:cs="Arial"/>
        </w:rPr>
        <w:t xml:space="preserve"> sample units will spend an average of 10 minutes to complete Part 1 of the form. Therefore, the total burden for Part 1 of the form is </w:t>
      </w:r>
      <w:r w:rsidR="002031A3">
        <w:rPr>
          <w:rFonts w:ascii="Arial" w:hAnsi="Arial" w:cs="Arial"/>
        </w:rPr>
        <w:t>38,034</w:t>
      </w:r>
      <w:r w:rsidRPr="000F4ABE">
        <w:rPr>
          <w:rFonts w:ascii="Arial" w:hAnsi="Arial" w:cs="Arial"/>
        </w:rPr>
        <w:t xml:space="preserve"> hours [(</w:t>
      </w:r>
      <w:r w:rsidR="00210616">
        <w:rPr>
          <w:rFonts w:ascii="Arial" w:hAnsi="Arial" w:cs="Arial"/>
        </w:rPr>
        <w:t>228,200</w:t>
      </w:r>
      <w:r w:rsidRPr="000F4ABE">
        <w:rPr>
          <w:rFonts w:ascii="Arial" w:hAnsi="Arial" w:cs="Arial"/>
        </w:rPr>
        <w:t xml:space="preserve"> sample units x 10 minutes)/60 = </w:t>
      </w:r>
      <w:r w:rsidR="002031A3">
        <w:rPr>
          <w:rFonts w:ascii="Arial" w:hAnsi="Arial" w:cs="Arial"/>
        </w:rPr>
        <w:t>38,034</w:t>
      </w:r>
      <w:r w:rsidRPr="000F4ABE">
        <w:rPr>
          <w:rFonts w:ascii="Arial" w:hAnsi="Arial" w:cs="Arial"/>
        </w:rPr>
        <w:t xml:space="preserve"> hours].</w:t>
      </w:r>
    </w:p>
    <w:p w:rsidR="00D17977" w:rsidRPr="000F4ABE" w:rsidP="00D17977" w14:paraId="6114BB15" w14:textId="77777777">
      <w:pPr>
        <w:spacing w:line="240" w:lineRule="exact"/>
        <w:rPr>
          <w:rFonts w:ascii="Arial" w:hAnsi="Arial" w:cs="Arial"/>
        </w:rPr>
      </w:pPr>
    </w:p>
    <w:p w:rsidR="00D17977" w:rsidRPr="000F4ABE" w:rsidP="00D17977" w14:paraId="735A0281" w14:textId="77777777">
      <w:pPr>
        <w:spacing w:line="240" w:lineRule="exact"/>
        <w:rPr>
          <w:rFonts w:ascii="Arial" w:hAnsi="Arial" w:cs="Arial"/>
        </w:rPr>
      </w:pPr>
      <w:r w:rsidRPr="00A16477">
        <w:rPr>
          <w:rFonts w:ascii="Arial" w:hAnsi="Arial" w:cs="Arial"/>
          <w:b/>
        </w:rPr>
        <w:t xml:space="preserve">Table 1. </w:t>
      </w:r>
      <w:r>
        <w:rPr>
          <w:rFonts w:ascii="Arial" w:hAnsi="Arial" w:cs="Arial"/>
        </w:rPr>
        <w:t xml:space="preserve">Reporting Burden for </w:t>
      </w:r>
      <w:r w:rsidRPr="000F4ABE">
        <w:rPr>
          <w:rFonts w:ascii="Arial" w:hAnsi="Arial" w:cs="Arial"/>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0"/>
        <w:gridCol w:w="2387"/>
        <w:gridCol w:w="1350"/>
        <w:gridCol w:w="1084"/>
      </w:tblGrid>
      <w:tr w14:paraId="68EDF141" w14:textId="77777777" w:rsidTr="00895F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50" w:type="dxa"/>
          </w:tcPr>
          <w:p w:rsidR="005A11A0" w:rsidRPr="000F4ABE" w:rsidP="00F96F2C" w14:paraId="5F1F02B3" w14:textId="77777777">
            <w:pPr>
              <w:spacing w:line="240" w:lineRule="exact"/>
              <w:jc w:val="center"/>
              <w:rPr>
                <w:rFonts w:ascii="Arial" w:hAnsi="Arial" w:cs="Arial"/>
              </w:rPr>
            </w:pPr>
            <w:bookmarkStart w:id="5" w:name="OLE_LINK1"/>
            <w:bookmarkStart w:id="6" w:name="OLE_LINK2"/>
            <w:r w:rsidRPr="000F4ABE">
              <w:rPr>
                <w:rFonts w:ascii="Arial" w:hAnsi="Arial" w:cs="Arial"/>
              </w:rPr>
              <w:t>Sector</w:t>
            </w:r>
          </w:p>
        </w:tc>
        <w:tc>
          <w:tcPr>
            <w:tcW w:w="2387" w:type="dxa"/>
          </w:tcPr>
          <w:p w:rsidR="005A11A0" w:rsidRPr="000F4ABE" w:rsidP="00F96F2C" w14:paraId="43B78656" w14:textId="77777777">
            <w:pPr>
              <w:spacing w:line="240" w:lineRule="exact"/>
              <w:jc w:val="center"/>
              <w:rPr>
                <w:rFonts w:ascii="Arial" w:hAnsi="Arial" w:cs="Arial"/>
              </w:rPr>
            </w:pPr>
            <w:r w:rsidRPr="000F4ABE">
              <w:rPr>
                <w:rFonts w:ascii="Arial" w:hAnsi="Arial" w:cs="Arial"/>
              </w:rPr>
              <w:t>Sample units</w:t>
            </w:r>
          </w:p>
        </w:tc>
        <w:tc>
          <w:tcPr>
            <w:tcW w:w="1350" w:type="dxa"/>
          </w:tcPr>
          <w:p w:rsidR="005A11A0" w:rsidP="00F96F2C" w14:paraId="7D89C59E" w14:textId="77777777">
            <w:pPr>
              <w:spacing w:line="240" w:lineRule="exact"/>
              <w:jc w:val="center"/>
              <w:rPr>
                <w:rFonts w:ascii="Arial" w:hAnsi="Arial" w:cs="Arial"/>
              </w:rPr>
            </w:pPr>
            <w:r>
              <w:rPr>
                <w:rFonts w:ascii="Arial" w:hAnsi="Arial" w:cs="Arial"/>
              </w:rPr>
              <w:t>Average</w:t>
            </w:r>
          </w:p>
          <w:p w:rsidR="005A11A0" w:rsidP="00F96F2C" w14:paraId="25C4084C" w14:textId="77777777">
            <w:pPr>
              <w:spacing w:line="240" w:lineRule="exact"/>
              <w:jc w:val="center"/>
              <w:rPr>
                <w:rFonts w:ascii="Arial" w:hAnsi="Arial" w:cs="Arial"/>
              </w:rPr>
            </w:pPr>
            <w:r>
              <w:rPr>
                <w:rFonts w:ascii="Arial" w:hAnsi="Arial" w:cs="Arial"/>
              </w:rPr>
              <w:t>Burden</w:t>
            </w:r>
          </w:p>
          <w:p w:rsidR="005A11A0" w:rsidRPr="000F4ABE" w:rsidP="00F96F2C" w14:paraId="22303993" w14:textId="07C7E0D4">
            <w:pPr>
              <w:spacing w:line="240" w:lineRule="exact"/>
              <w:jc w:val="center"/>
              <w:rPr>
                <w:rFonts w:ascii="Arial" w:hAnsi="Arial" w:cs="Arial"/>
              </w:rPr>
            </w:pPr>
            <w:r>
              <w:rPr>
                <w:rFonts w:ascii="Arial" w:hAnsi="Arial" w:cs="Arial"/>
              </w:rPr>
              <w:t>(minutes)</w:t>
            </w:r>
          </w:p>
        </w:tc>
        <w:tc>
          <w:tcPr>
            <w:tcW w:w="1084" w:type="dxa"/>
          </w:tcPr>
          <w:p w:rsidR="005A11A0" w:rsidRPr="000F4ABE" w:rsidP="00F96F2C" w14:paraId="72A96E00" w14:textId="00ADAF71">
            <w:pPr>
              <w:spacing w:line="240" w:lineRule="exact"/>
              <w:jc w:val="center"/>
              <w:rPr>
                <w:rFonts w:ascii="Arial" w:hAnsi="Arial" w:cs="Arial"/>
              </w:rPr>
            </w:pPr>
            <w:r w:rsidRPr="000F4ABE">
              <w:rPr>
                <w:rFonts w:ascii="Arial" w:hAnsi="Arial" w:cs="Arial"/>
              </w:rPr>
              <w:t>Hours</w:t>
            </w:r>
          </w:p>
        </w:tc>
      </w:tr>
      <w:tr w14:paraId="16FE0501" w14:textId="77777777" w:rsidTr="00895F0B">
        <w:tblPrEx>
          <w:tblW w:w="0" w:type="auto"/>
          <w:tblLook w:val="01E0"/>
        </w:tblPrEx>
        <w:tc>
          <w:tcPr>
            <w:tcW w:w="2550" w:type="dxa"/>
          </w:tcPr>
          <w:p w:rsidR="005A11A0" w:rsidRPr="000F4ABE" w:rsidP="00F96F2C" w14:paraId="0B4D432D" w14:textId="77777777">
            <w:pPr>
              <w:spacing w:line="240" w:lineRule="exact"/>
              <w:rPr>
                <w:rFonts w:ascii="Arial" w:hAnsi="Arial" w:cs="Arial"/>
              </w:rPr>
            </w:pPr>
            <w:r w:rsidRPr="000F4ABE">
              <w:rPr>
                <w:rFonts w:ascii="Arial" w:hAnsi="Arial" w:cs="Arial"/>
              </w:rPr>
              <w:t>Private</w:t>
            </w:r>
          </w:p>
        </w:tc>
        <w:tc>
          <w:tcPr>
            <w:tcW w:w="2387" w:type="dxa"/>
          </w:tcPr>
          <w:p w:rsidR="005A11A0" w:rsidRPr="000F4ABE" w:rsidP="00F96F2C" w14:paraId="2E16D2CA" w14:textId="73248479">
            <w:pPr>
              <w:spacing w:line="240" w:lineRule="exact"/>
              <w:jc w:val="right"/>
              <w:rPr>
                <w:rFonts w:ascii="Arial" w:hAnsi="Arial" w:cs="Arial"/>
              </w:rPr>
            </w:pPr>
            <w:r>
              <w:rPr>
                <w:rFonts w:ascii="Arial" w:hAnsi="Arial" w:cs="Arial"/>
              </w:rPr>
              <w:t>207,300</w:t>
            </w:r>
          </w:p>
        </w:tc>
        <w:tc>
          <w:tcPr>
            <w:tcW w:w="1350" w:type="dxa"/>
          </w:tcPr>
          <w:p w:rsidR="005A11A0" w:rsidP="00F96F2C" w14:paraId="1AC6A078" w14:textId="6B13DD45">
            <w:pPr>
              <w:spacing w:line="240" w:lineRule="exact"/>
              <w:jc w:val="right"/>
              <w:rPr>
                <w:rFonts w:ascii="Arial" w:hAnsi="Arial" w:cs="Arial"/>
              </w:rPr>
            </w:pPr>
            <w:r>
              <w:rPr>
                <w:rFonts w:ascii="Arial" w:hAnsi="Arial" w:cs="Arial"/>
              </w:rPr>
              <w:t>10</w:t>
            </w:r>
          </w:p>
        </w:tc>
        <w:tc>
          <w:tcPr>
            <w:tcW w:w="1084" w:type="dxa"/>
          </w:tcPr>
          <w:p w:rsidR="005A11A0" w:rsidRPr="000F4ABE" w:rsidP="00F96F2C" w14:paraId="3CA16720" w14:textId="2F1D86BC">
            <w:pPr>
              <w:spacing w:line="240" w:lineRule="exact"/>
              <w:jc w:val="right"/>
              <w:rPr>
                <w:rFonts w:ascii="Arial" w:hAnsi="Arial" w:cs="Arial"/>
              </w:rPr>
            </w:pPr>
            <w:r>
              <w:rPr>
                <w:rFonts w:ascii="Arial" w:hAnsi="Arial" w:cs="Arial"/>
              </w:rPr>
              <w:t>34,550</w:t>
            </w:r>
          </w:p>
        </w:tc>
      </w:tr>
      <w:tr w14:paraId="1A9EE965" w14:textId="77777777" w:rsidTr="00895F0B">
        <w:tblPrEx>
          <w:tblW w:w="0" w:type="auto"/>
          <w:tblLook w:val="01E0"/>
        </w:tblPrEx>
        <w:tc>
          <w:tcPr>
            <w:tcW w:w="2550" w:type="dxa"/>
          </w:tcPr>
          <w:p w:rsidR="005A11A0" w:rsidRPr="000F4ABE" w:rsidP="00F96F2C" w14:paraId="2A12AAB1" w14:textId="77777777">
            <w:pPr>
              <w:spacing w:line="240" w:lineRule="exact"/>
              <w:rPr>
                <w:rFonts w:ascii="Arial" w:hAnsi="Arial" w:cs="Arial"/>
              </w:rPr>
            </w:pPr>
            <w:r w:rsidRPr="000F4ABE">
              <w:rPr>
                <w:rFonts w:ascii="Arial" w:hAnsi="Arial" w:cs="Arial"/>
              </w:rPr>
              <w:t>Public (mandatory)</w:t>
            </w:r>
          </w:p>
        </w:tc>
        <w:tc>
          <w:tcPr>
            <w:tcW w:w="2387" w:type="dxa"/>
          </w:tcPr>
          <w:p w:rsidR="005A11A0" w:rsidRPr="000F4ABE" w:rsidP="008C395F" w14:paraId="292B0C0A" w14:textId="4155C68D">
            <w:pPr>
              <w:spacing w:line="240" w:lineRule="exact"/>
              <w:jc w:val="right"/>
              <w:rPr>
                <w:rFonts w:ascii="Arial" w:hAnsi="Arial" w:cs="Arial"/>
              </w:rPr>
            </w:pPr>
            <w:r>
              <w:rPr>
                <w:rFonts w:ascii="Arial" w:hAnsi="Arial" w:cs="Arial"/>
              </w:rPr>
              <w:t>15,100</w:t>
            </w:r>
          </w:p>
        </w:tc>
        <w:tc>
          <w:tcPr>
            <w:tcW w:w="1350" w:type="dxa"/>
          </w:tcPr>
          <w:p w:rsidR="005A11A0" w:rsidP="000673FF" w14:paraId="10BF3F0F" w14:textId="5313AE23">
            <w:pPr>
              <w:spacing w:line="240" w:lineRule="exact"/>
              <w:jc w:val="right"/>
              <w:rPr>
                <w:rFonts w:ascii="Arial" w:hAnsi="Arial" w:cs="Arial"/>
              </w:rPr>
            </w:pPr>
            <w:r>
              <w:rPr>
                <w:rFonts w:ascii="Arial" w:hAnsi="Arial" w:cs="Arial"/>
              </w:rPr>
              <w:t>10</w:t>
            </w:r>
          </w:p>
        </w:tc>
        <w:tc>
          <w:tcPr>
            <w:tcW w:w="1084" w:type="dxa"/>
          </w:tcPr>
          <w:p w:rsidR="005A11A0" w:rsidRPr="000F4ABE" w:rsidP="000673FF" w14:paraId="737996E6" w14:textId="5106E656">
            <w:pPr>
              <w:spacing w:line="240" w:lineRule="exact"/>
              <w:jc w:val="right"/>
              <w:rPr>
                <w:rFonts w:ascii="Arial" w:hAnsi="Arial" w:cs="Arial"/>
              </w:rPr>
            </w:pPr>
            <w:r>
              <w:rPr>
                <w:rFonts w:ascii="Arial" w:hAnsi="Arial" w:cs="Arial"/>
              </w:rPr>
              <w:t>2,517</w:t>
            </w:r>
            <w:r w:rsidRPr="000F4ABE">
              <w:rPr>
                <w:rFonts w:ascii="Arial" w:hAnsi="Arial" w:cs="Arial"/>
              </w:rPr>
              <w:t xml:space="preserve"> </w:t>
            </w:r>
          </w:p>
        </w:tc>
      </w:tr>
      <w:tr w14:paraId="5B29D09A" w14:textId="77777777" w:rsidTr="00895F0B">
        <w:tblPrEx>
          <w:tblW w:w="0" w:type="auto"/>
          <w:tblLook w:val="01E0"/>
        </w:tblPrEx>
        <w:tc>
          <w:tcPr>
            <w:tcW w:w="2550" w:type="dxa"/>
          </w:tcPr>
          <w:p w:rsidR="005A11A0" w:rsidRPr="000F4ABE" w:rsidP="00F96F2C" w14:paraId="5D6C9AA3" w14:textId="77777777">
            <w:pPr>
              <w:spacing w:line="240" w:lineRule="exact"/>
              <w:rPr>
                <w:rFonts w:ascii="Arial" w:hAnsi="Arial" w:cs="Arial"/>
              </w:rPr>
            </w:pPr>
            <w:r w:rsidRPr="000F4ABE">
              <w:rPr>
                <w:rFonts w:ascii="Arial" w:hAnsi="Arial" w:cs="Arial"/>
              </w:rPr>
              <w:t>Public (voluntary)</w:t>
            </w:r>
          </w:p>
        </w:tc>
        <w:tc>
          <w:tcPr>
            <w:tcW w:w="2387" w:type="dxa"/>
          </w:tcPr>
          <w:p w:rsidR="005A11A0" w:rsidRPr="000F4ABE" w:rsidP="00F96F2C" w14:paraId="2A753BFA" w14:textId="4A8223BB">
            <w:pPr>
              <w:spacing w:line="240" w:lineRule="exact"/>
              <w:jc w:val="right"/>
              <w:rPr>
                <w:rFonts w:ascii="Arial" w:hAnsi="Arial" w:cs="Arial"/>
              </w:rPr>
            </w:pPr>
            <w:r>
              <w:rPr>
                <w:rFonts w:ascii="Arial" w:hAnsi="Arial" w:cs="Arial"/>
              </w:rPr>
              <w:t>5,800</w:t>
            </w:r>
          </w:p>
        </w:tc>
        <w:tc>
          <w:tcPr>
            <w:tcW w:w="1350" w:type="dxa"/>
          </w:tcPr>
          <w:p w:rsidR="005A11A0" w:rsidP="00F96F2C" w14:paraId="00FC0DDA" w14:textId="0090CCF8">
            <w:pPr>
              <w:spacing w:line="240" w:lineRule="exact"/>
              <w:jc w:val="right"/>
              <w:rPr>
                <w:rFonts w:ascii="Arial" w:hAnsi="Arial" w:cs="Arial"/>
              </w:rPr>
            </w:pPr>
            <w:r>
              <w:rPr>
                <w:rFonts w:ascii="Arial" w:hAnsi="Arial" w:cs="Arial"/>
              </w:rPr>
              <w:t>10</w:t>
            </w:r>
          </w:p>
        </w:tc>
        <w:tc>
          <w:tcPr>
            <w:tcW w:w="1084" w:type="dxa"/>
          </w:tcPr>
          <w:p w:rsidR="005A11A0" w:rsidRPr="000F4ABE" w:rsidP="00F96F2C" w14:paraId="6E8ABAB6" w14:textId="13E2DB19">
            <w:pPr>
              <w:spacing w:line="240" w:lineRule="exact"/>
              <w:jc w:val="right"/>
              <w:rPr>
                <w:rFonts w:ascii="Arial" w:hAnsi="Arial" w:cs="Arial"/>
              </w:rPr>
            </w:pPr>
            <w:r>
              <w:rPr>
                <w:rFonts w:ascii="Arial" w:hAnsi="Arial" w:cs="Arial"/>
              </w:rPr>
              <w:t>967</w:t>
            </w:r>
          </w:p>
        </w:tc>
      </w:tr>
      <w:tr w14:paraId="1C160075" w14:textId="77777777" w:rsidTr="00895F0B">
        <w:tblPrEx>
          <w:tblW w:w="0" w:type="auto"/>
          <w:tblLook w:val="01E0"/>
        </w:tblPrEx>
        <w:tc>
          <w:tcPr>
            <w:tcW w:w="2550" w:type="dxa"/>
          </w:tcPr>
          <w:p w:rsidR="005A11A0" w:rsidRPr="000F4ABE" w:rsidP="00F96F2C" w14:paraId="6E3480C7" w14:textId="77777777">
            <w:pPr>
              <w:spacing w:line="240" w:lineRule="exact"/>
              <w:rPr>
                <w:rFonts w:ascii="Arial" w:hAnsi="Arial" w:cs="Arial"/>
              </w:rPr>
            </w:pPr>
            <w:r w:rsidRPr="000F4ABE">
              <w:rPr>
                <w:rFonts w:ascii="Arial" w:hAnsi="Arial" w:cs="Arial"/>
              </w:rPr>
              <w:t>Total</w:t>
            </w:r>
          </w:p>
        </w:tc>
        <w:tc>
          <w:tcPr>
            <w:tcW w:w="2387" w:type="dxa"/>
          </w:tcPr>
          <w:p w:rsidR="005A11A0" w:rsidRPr="000F4ABE" w:rsidP="008C395F" w14:paraId="6F3D5484" w14:textId="71B76005">
            <w:pPr>
              <w:spacing w:line="240" w:lineRule="exact"/>
              <w:jc w:val="right"/>
              <w:rPr>
                <w:rFonts w:ascii="Arial" w:hAnsi="Arial" w:cs="Arial"/>
              </w:rPr>
            </w:pPr>
            <w:r>
              <w:rPr>
                <w:rFonts w:ascii="Arial" w:hAnsi="Arial" w:cs="Arial"/>
              </w:rPr>
              <w:t>228,200</w:t>
            </w:r>
          </w:p>
        </w:tc>
        <w:tc>
          <w:tcPr>
            <w:tcW w:w="1350" w:type="dxa"/>
          </w:tcPr>
          <w:p w:rsidR="005A11A0" w:rsidP="000673FF" w14:paraId="42A52F39" w14:textId="1656C85E">
            <w:pPr>
              <w:spacing w:line="240" w:lineRule="exact"/>
              <w:jc w:val="right"/>
              <w:rPr>
                <w:rFonts w:ascii="Arial" w:hAnsi="Arial" w:cs="Arial"/>
              </w:rPr>
            </w:pPr>
            <w:r>
              <w:rPr>
                <w:rFonts w:ascii="Arial" w:hAnsi="Arial" w:cs="Arial"/>
              </w:rPr>
              <w:t>10</w:t>
            </w:r>
          </w:p>
        </w:tc>
        <w:tc>
          <w:tcPr>
            <w:tcW w:w="1084" w:type="dxa"/>
          </w:tcPr>
          <w:p w:rsidR="005A11A0" w:rsidRPr="000F4ABE" w:rsidP="000673FF" w14:paraId="1EE04078" w14:textId="60AC0769">
            <w:pPr>
              <w:spacing w:line="240" w:lineRule="exact"/>
              <w:jc w:val="right"/>
              <w:rPr>
                <w:rFonts w:ascii="Arial" w:hAnsi="Arial" w:cs="Arial"/>
              </w:rPr>
            </w:pPr>
            <w:r>
              <w:rPr>
                <w:rFonts w:ascii="Arial" w:hAnsi="Arial" w:cs="Arial"/>
              </w:rPr>
              <w:t>38,034</w:t>
            </w:r>
          </w:p>
        </w:tc>
      </w:tr>
    </w:tbl>
    <w:bookmarkEnd w:id="5"/>
    <w:bookmarkEnd w:id="6"/>
    <w:p w:rsidR="00D17977" w:rsidRPr="000F4ABE" w:rsidP="00D17977" w14:paraId="131C3936" w14:textId="77777777">
      <w:pPr>
        <w:spacing w:line="240" w:lineRule="exact"/>
        <w:rPr>
          <w:rFonts w:ascii="Arial" w:hAnsi="Arial" w:cs="Arial"/>
        </w:rPr>
      </w:pPr>
      <w:r w:rsidRPr="000F4ABE">
        <w:rPr>
          <w:rFonts w:ascii="Arial" w:hAnsi="Arial" w:cs="Arial"/>
        </w:rPr>
        <w:t xml:space="preserve"> </w:t>
      </w:r>
    </w:p>
    <w:p w:rsidR="00D17977" w:rsidRPr="000F4ABE" w:rsidP="00D17977" w14:paraId="3CCB82A4" w14:textId="294603BC">
      <w:pPr>
        <w:spacing w:line="240" w:lineRule="exact"/>
        <w:rPr>
          <w:rFonts w:ascii="Arial" w:hAnsi="Arial" w:cs="Arial"/>
        </w:rPr>
      </w:pPr>
      <w:r w:rsidRPr="000F4ABE">
        <w:rPr>
          <w:rFonts w:ascii="Arial" w:hAnsi="Arial" w:cs="Arial"/>
        </w:rPr>
        <w:t xml:space="preserve">In Part 2 of the form, a burden allowance is provided to permit respondents to report up to </w:t>
      </w:r>
      <w:r w:rsidRPr="006A59A0">
        <w:rPr>
          <w:rFonts w:ascii="Arial" w:hAnsi="Arial" w:cs="Arial"/>
        </w:rPr>
        <w:t>300,000</w:t>
      </w:r>
      <w:r w:rsidRPr="000F4ABE">
        <w:rPr>
          <w:rFonts w:ascii="Arial" w:hAnsi="Arial" w:cs="Arial"/>
        </w:rPr>
        <w:t xml:space="preserve"> </w:t>
      </w:r>
      <w:r>
        <w:rPr>
          <w:rFonts w:ascii="Arial" w:hAnsi="Arial" w:cs="Arial"/>
        </w:rPr>
        <w:t>days-away-from-work</w:t>
      </w:r>
      <w:r w:rsidR="008C395F">
        <w:rPr>
          <w:rFonts w:ascii="Arial" w:hAnsi="Arial" w:cs="Arial"/>
        </w:rPr>
        <w:t xml:space="preserve"> and days-of-job-transfer or restriction</w:t>
      </w:r>
      <w:r>
        <w:rPr>
          <w:rFonts w:ascii="Arial" w:hAnsi="Arial" w:cs="Arial"/>
        </w:rPr>
        <w:t xml:space="preserve"> cases</w:t>
      </w:r>
      <w:r w:rsidRPr="000F4ABE">
        <w:rPr>
          <w:rFonts w:ascii="Arial" w:hAnsi="Arial" w:cs="Arial"/>
        </w:rPr>
        <w:t xml:space="preserve">. The respondent copies the occupation and number of days away from work </w:t>
      </w:r>
      <w:r w:rsidR="006A59A0">
        <w:rPr>
          <w:rFonts w:ascii="Arial" w:hAnsi="Arial" w:cs="Arial"/>
        </w:rPr>
        <w:t xml:space="preserve">or days of job transfer or restriction </w:t>
      </w:r>
      <w:r w:rsidRPr="000F4ABE">
        <w:rPr>
          <w:rFonts w:ascii="Arial" w:hAnsi="Arial" w:cs="Arial"/>
        </w:rPr>
        <w:t xml:space="preserve">for each sampled injury/illness from the corresponding line of their </w:t>
      </w:r>
      <w:r w:rsidR="002B4331">
        <w:rPr>
          <w:rFonts w:ascii="Arial" w:hAnsi="Arial" w:cs="Arial"/>
        </w:rPr>
        <w:t xml:space="preserve">OSHA </w:t>
      </w:r>
      <w:r w:rsidRPr="000F4ABE">
        <w:rPr>
          <w:rFonts w:ascii="Arial" w:hAnsi="Arial" w:cs="Arial"/>
        </w:rPr>
        <w:t>Log of Work-Related Injuries and Illnesses</w:t>
      </w:r>
      <w:r w:rsidR="002B4331">
        <w:rPr>
          <w:rFonts w:ascii="Arial" w:hAnsi="Arial" w:cs="Arial"/>
        </w:rPr>
        <w:t xml:space="preserve"> Form 300</w:t>
      </w:r>
      <w:r w:rsidRPr="000F4ABE">
        <w:rPr>
          <w:rFonts w:ascii="Arial" w:hAnsi="Arial" w:cs="Arial"/>
        </w:rPr>
        <w:t xml:space="preserve">. The other required information about the injured/ill worker and the incident is generally available from a workers' compensation report, a company accident report, an insurance form, or the OSHA </w:t>
      </w:r>
      <w:r w:rsidR="002B4331">
        <w:rPr>
          <w:rFonts w:ascii="Arial" w:hAnsi="Arial" w:cs="Arial"/>
        </w:rPr>
        <w:t>Injury and Incident Report Form 301</w:t>
      </w:r>
      <w:r w:rsidRPr="000F4ABE">
        <w:rPr>
          <w:rFonts w:ascii="Arial" w:hAnsi="Arial" w:cs="Arial"/>
        </w:rPr>
        <w:t xml:space="preserve">. The employer is given the option of attaching such a document in lieu of copying the data to the data collection form. The questions on race and type of job are optional. </w:t>
      </w:r>
      <w:r w:rsidRPr="001B0640">
        <w:rPr>
          <w:rFonts w:ascii="Arial" w:hAnsi="Arial" w:cs="Arial"/>
        </w:rPr>
        <w:t xml:space="preserve">With an average burden of </w:t>
      </w:r>
      <w:r w:rsidRPr="001B0640" w:rsidR="00D0491A">
        <w:rPr>
          <w:rFonts w:ascii="Arial" w:hAnsi="Arial" w:cs="Arial"/>
        </w:rPr>
        <w:t xml:space="preserve">15 </w:t>
      </w:r>
      <w:r w:rsidRPr="001B0640">
        <w:rPr>
          <w:rFonts w:ascii="Arial" w:hAnsi="Arial" w:cs="Arial"/>
        </w:rPr>
        <w:t xml:space="preserve">minutes per case, the total burden for Part 2 is </w:t>
      </w:r>
      <w:r w:rsidRPr="001B0640" w:rsidR="001B0640">
        <w:rPr>
          <w:rFonts w:ascii="Arial" w:hAnsi="Arial" w:cs="Arial"/>
        </w:rPr>
        <w:t>75</w:t>
      </w:r>
      <w:r w:rsidRPr="001B0640">
        <w:rPr>
          <w:rFonts w:ascii="Arial" w:hAnsi="Arial" w:cs="Arial"/>
        </w:rPr>
        <w:t xml:space="preserve">,000 hours [(300,000 cases x </w:t>
      </w:r>
      <w:r w:rsidRPr="001B0640" w:rsidR="00D0491A">
        <w:rPr>
          <w:rFonts w:ascii="Arial" w:hAnsi="Arial" w:cs="Arial"/>
        </w:rPr>
        <w:t xml:space="preserve">15 </w:t>
      </w:r>
      <w:r w:rsidRPr="001B0640">
        <w:rPr>
          <w:rFonts w:ascii="Arial" w:hAnsi="Arial" w:cs="Arial"/>
        </w:rPr>
        <w:t xml:space="preserve">minutes)/60 = </w:t>
      </w:r>
      <w:r w:rsidRPr="001B0640" w:rsidR="001B0640">
        <w:rPr>
          <w:rFonts w:ascii="Arial" w:hAnsi="Arial" w:cs="Arial"/>
        </w:rPr>
        <w:t>75</w:t>
      </w:r>
      <w:r w:rsidRPr="001B0640">
        <w:rPr>
          <w:rFonts w:ascii="Arial" w:hAnsi="Arial" w:cs="Arial"/>
        </w:rPr>
        <w:t>,000 hours].</w:t>
      </w:r>
    </w:p>
    <w:p w:rsidR="00D17977" w:rsidRPr="000F4ABE" w:rsidP="00D17977" w14:paraId="665FA5FE" w14:textId="77777777">
      <w:pPr>
        <w:spacing w:line="240" w:lineRule="exact"/>
        <w:rPr>
          <w:rFonts w:ascii="Arial" w:hAnsi="Arial" w:cs="Arial"/>
        </w:rPr>
      </w:pPr>
    </w:p>
    <w:p w:rsidR="00D17977" w:rsidRPr="000F4ABE" w:rsidP="00D17977" w14:paraId="7E6FE7FF" w14:textId="77777777">
      <w:pPr>
        <w:spacing w:line="240" w:lineRule="exact"/>
        <w:rPr>
          <w:rFonts w:ascii="Arial" w:hAnsi="Arial" w:cs="Arial"/>
        </w:rPr>
      </w:pPr>
      <w:r w:rsidRPr="00A16477">
        <w:rPr>
          <w:rFonts w:ascii="Arial" w:hAnsi="Arial" w:cs="Arial"/>
          <w:b/>
        </w:rPr>
        <w:t xml:space="preserve">Table 2. </w:t>
      </w:r>
      <w:r>
        <w:rPr>
          <w:rFonts w:ascii="Arial" w:hAnsi="Arial" w:cs="Arial"/>
        </w:rPr>
        <w:t xml:space="preserve">Reporting Burden for </w:t>
      </w:r>
      <w:r w:rsidRPr="000F4ABE">
        <w:rPr>
          <w:rFonts w:ascii="Arial" w:hAnsi="Arial" w:cs="Arial"/>
        </w:rPr>
        <w:t>Form 9300 – Part II</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4"/>
        <w:gridCol w:w="4327"/>
        <w:gridCol w:w="1350"/>
        <w:gridCol w:w="1084"/>
      </w:tblGrid>
      <w:tr w14:paraId="558C639F" w14:textId="77777777" w:rsidTr="0016297E">
        <w:tblPrEx>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364" w:type="dxa"/>
            <w:vAlign w:val="center"/>
          </w:tcPr>
          <w:p w:rsidR="005A11A0" w:rsidRPr="000F4ABE" w:rsidP="00F96F2C" w14:paraId="262422F7" w14:textId="77777777">
            <w:pPr>
              <w:spacing w:line="240" w:lineRule="exact"/>
              <w:jc w:val="center"/>
              <w:rPr>
                <w:rFonts w:ascii="Arial" w:hAnsi="Arial" w:cs="Arial"/>
              </w:rPr>
            </w:pPr>
            <w:r w:rsidRPr="000F4ABE">
              <w:rPr>
                <w:rFonts w:ascii="Arial" w:hAnsi="Arial" w:cs="Arial"/>
              </w:rPr>
              <w:t>Sector</w:t>
            </w:r>
          </w:p>
        </w:tc>
        <w:tc>
          <w:tcPr>
            <w:tcW w:w="4327" w:type="dxa"/>
            <w:vAlign w:val="center"/>
          </w:tcPr>
          <w:p w:rsidR="005A11A0" w:rsidRPr="000F4ABE" w:rsidP="00FC3DD6" w14:paraId="535E24FD" w14:textId="0A140190">
            <w:pPr>
              <w:spacing w:line="240" w:lineRule="exact"/>
              <w:jc w:val="center"/>
              <w:rPr>
                <w:rFonts w:ascii="Arial" w:hAnsi="Arial" w:cs="Arial"/>
              </w:rPr>
            </w:pPr>
            <w:r w:rsidRPr="000F4ABE">
              <w:rPr>
                <w:rFonts w:ascii="Arial" w:hAnsi="Arial" w:cs="Arial"/>
              </w:rPr>
              <w:t xml:space="preserve">Days away from work cases and days of job transfer </w:t>
            </w:r>
            <w:r>
              <w:rPr>
                <w:rFonts w:ascii="Arial" w:hAnsi="Arial" w:cs="Arial"/>
              </w:rPr>
              <w:t>and</w:t>
            </w:r>
            <w:r w:rsidRPr="000F4ABE">
              <w:rPr>
                <w:rFonts w:ascii="Arial" w:hAnsi="Arial" w:cs="Arial"/>
              </w:rPr>
              <w:t xml:space="preserve"> restriction</w:t>
            </w:r>
            <w:r>
              <w:rPr>
                <w:rFonts w:ascii="Arial" w:hAnsi="Arial" w:cs="Arial"/>
              </w:rPr>
              <w:t xml:space="preserve"> </w:t>
            </w:r>
            <w:r w:rsidRPr="000F4ABE">
              <w:rPr>
                <w:rFonts w:ascii="Arial" w:hAnsi="Arial" w:cs="Arial"/>
              </w:rPr>
              <w:t>cases</w:t>
            </w:r>
          </w:p>
        </w:tc>
        <w:tc>
          <w:tcPr>
            <w:tcW w:w="1350" w:type="dxa"/>
          </w:tcPr>
          <w:p w:rsidR="005A11A0" w:rsidP="005A11A0" w14:paraId="54B3D183" w14:textId="77777777">
            <w:pPr>
              <w:spacing w:line="240" w:lineRule="exact"/>
              <w:jc w:val="center"/>
              <w:rPr>
                <w:rFonts w:ascii="Arial" w:hAnsi="Arial" w:cs="Arial"/>
              </w:rPr>
            </w:pPr>
            <w:r>
              <w:rPr>
                <w:rFonts w:ascii="Arial" w:hAnsi="Arial" w:cs="Arial"/>
              </w:rPr>
              <w:t>Average</w:t>
            </w:r>
          </w:p>
          <w:p w:rsidR="005A11A0" w:rsidP="005A11A0" w14:paraId="117968E2" w14:textId="77777777">
            <w:pPr>
              <w:spacing w:line="240" w:lineRule="exact"/>
              <w:jc w:val="center"/>
              <w:rPr>
                <w:rFonts w:ascii="Arial" w:hAnsi="Arial" w:cs="Arial"/>
              </w:rPr>
            </w:pPr>
            <w:r>
              <w:rPr>
                <w:rFonts w:ascii="Arial" w:hAnsi="Arial" w:cs="Arial"/>
              </w:rPr>
              <w:t>Burden</w:t>
            </w:r>
          </w:p>
          <w:p w:rsidR="005A11A0" w:rsidRPr="000F4ABE" w:rsidP="005A11A0" w14:paraId="00D7923F" w14:textId="79B954DB">
            <w:pPr>
              <w:spacing w:line="240" w:lineRule="exact"/>
              <w:jc w:val="center"/>
              <w:rPr>
                <w:rFonts w:ascii="Arial" w:hAnsi="Arial" w:cs="Arial"/>
              </w:rPr>
            </w:pPr>
            <w:r>
              <w:rPr>
                <w:rFonts w:ascii="Arial" w:hAnsi="Arial" w:cs="Arial"/>
              </w:rPr>
              <w:t>(minutes)</w:t>
            </w:r>
          </w:p>
        </w:tc>
        <w:tc>
          <w:tcPr>
            <w:tcW w:w="1084" w:type="dxa"/>
            <w:vAlign w:val="center"/>
          </w:tcPr>
          <w:p w:rsidR="005A11A0" w:rsidRPr="000F4ABE" w:rsidP="00F96F2C" w14:paraId="5DBDCDC8" w14:textId="77408267">
            <w:pPr>
              <w:spacing w:line="240" w:lineRule="exact"/>
              <w:jc w:val="center"/>
              <w:rPr>
                <w:rFonts w:ascii="Arial" w:hAnsi="Arial" w:cs="Arial"/>
              </w:rPr>
            </w:pPr>
            <w:r w:rsidRPr="000F4ABE">
              <w:rPr>
                <w:rFonts w:ascii="Arial" w:hAnsi="Arial" w:cs="Arial"/>
              </w:rPr>
              <w:t>Hours</w:t>
            </w:r>
          </w:p>
        </w:tc>
      </w:tr>
      <w:tr w14:paraId="57ECEF32" w14:textId="77777777" w:rsidTr="00895F0B">
        <w:tblPrEx>
          <w:tblW w:w="9125" w:type="dxa"/>
          <w:tblLook w:val="01E0"/>
        </w:tblPrEx>
        <w:tc>
          <w:tcPr>
            <w:tcW w:w="2364" w:type="dxa"/>
          </w:tcPr>
          <w:p w:rsidR="005A11A0" w:rsidRPr="000F4ABE" w:rsidP="00F96F2C" w14:paraId="05D6AF2B" w14:textId="77777777">
            <w:pPr>
              <w:spacing w:line="240" w:lineRule="exact"/>
              <w:rPr>
                <w:rFonts w:ascii="Arial" w:hAnsi="Arial" w:cs="Arial"/>
              </w:rPr>
            </w:pPr>
            <w:r w:rsidRPr="000F4ABE">
              <w:rPr>
                <w:rFonts w:ascii="Arial" w:hAnsi="Arial" w:cs="Arial"/>
              </w:rPr>
              <w:t>Private</w:t>
            </w:r>
          </w:p>
        </w:tc>
        <w:tc>
          <w:tcPr>
            <w:tcW w:w="4327" w:type="dxa"/>
          </w:tcPr>
          <w:p w:rsidR="005A11A0" w:rsidRPr="000F4ABE" w:rsidP="00F96F2C" w14:paraId="180AC763" w14:textId="2BFD8A44">
            <w:pPr>
              <w:spacing w:line="240" w:lineRule="exact"/>
              <w:jc w:val="right"/>
              <w:rPr>
                <w:rFonts w:ascii="Arial" w:hAnsi="Arial" w:cs="Arial"/>
              </w:rPr>
            </w:pPr>
            <w:r w:rsidRPr="000F4ABE">
              <w:rPr>
                <w:rFonts w:ascii="Arial" w:hAnsi="Arial" w:cs="Arial"/>
              </w:rPr>
              <w:t>255,000</w:t>
            </w:r>
          </w:p>
        </w:tc>
        <w:tc>
          <w:tcPr>
            <w:tcW w:w="1350" w:type="dxa"/>
          </w:tcPr>
          <w:p w:rsidR="005A11A0" w:rsidP="00F96F2C" w14:paraId="7A35EFB2" w14:textId="61014C96">
            <w:pPr>
              <w:spacing w:line="240" w:lineRule="exact"/>
              <w:jc w:val="right"/>
              <w:rPr>
                <w:rFonts w:ascii="Arial" w:hAnsi="Arial" w:cs="Arial"/>
              </w:rPr>
            </w:pPr>
            <w:r>
              <w:rPr>
                <w:rFonts w:ascii="Arial" w:hAnsi="Arial" w:cs="Arial"/>
              </w:rPr>
              <w:t>15</w:t>
            </w:r>
          </w:p>
        </w:tc>
        <w:tc>
          <w:tcPr>
            <w:tcW w:w="1084" w:type="dxa"/>
          </w:tcPr>
          <w:p w:rsidR="005A11A0" w:rsidRPr="000F4ABE" w:rsidP="00F96F2C" w14:paraId="708FCE5E" w14:textId="691232DB">
            <w:pPr>
              <w:spacing w:line="240" w:lineRule="exact"/>
              <w:jc w:val="right"/>
              <w:rPr>
                <w:rFonts w:ascii="Arial" w:hAnsi="Arial" w:cs="Arial"/>
              </w:rPr>
            </w:pPr>
            <w:r>
              <w:rPr>
                <w:rFonts w:ascii="Arial" w:hAnsi="Arial" w:cs="Arial"/>
              </w:rPr>
              <w:t>63,750</w:t>
            </w:r>
          </w:p>
        </w:tc>
      </w:tr>
      <w:tr w14:paraId="6345C266" w14:textId="77777777" w:rsidTr="00895F0B">
        <w:tblPrEx>
          <w:tblW w:w="9125" w:type="dxa"/>
          <w:tblLook w:val="01E0"/>
        </w:tblPrEx>
        <w:tc>
          <w:tcPr>
            <w:tcW w:w="2364" w:type="dxa"/>
          </w:tcPr>
          <w:p w:rsidR="005A11A0" w:rsidRPr="000F4ABE" w:rsidP="00F96F2C" w14:paraId="37A14587" w14:textId="77777777">
            <w:pPr>
              <w:spacing w:line="240" w:lineRule="exact"/>
              <w:rPr>
                <w:rFonts w:ascii="Arial" w:hAnsi="Arial" w:cs="Arial"/>
              </w:rPr>
            </w:pPr>
            <w:r w:rsidRPr="000F4ABE">
              <w:rPr>
                <w:rFonts w:ascii="Arial" w:hAnsi="Arial" w:cs="Arial"/>
              </w:rPr>
              <w:t>Public (mandatory)</w:t>
            </w:r>
          </w:p>
        </w:tc>
        <w:tc>
          <w:tcPr>
            <w:tcW w:w="4327" w:type="dxa"/>
          </w:tcPr>
          <w:p w:rsidR="005A11A0" w:rsidRPr="000F4ABE" w:rsidP="00F96F2C" w14:paraId="40F52941" w14:textId="35BFF637">
            <w:pPr>
              <w:spacing w:line="240" w:lineRule="exact"/>
              <w:jc w:val="right"/>
              <w:rPr>
                <w:rFonts w:ascii="Arial" w:hAnsi="Arial" w:cs="Arial"/>
              </w:rPr>
            </w:pPr>
            <w:r w:rsidRPr="000F4ABE">
              <w:rPr>
                <w:rFonts w:ascii="Arial" w:hAnsi="Arial" w:cs="Arial"/>
              </w:rPr>
              <w:t xml:space="preserve"> 37,500</w:t>
            </w:r>
          </w:p>
        </w:tc>
        <w:tc>
          <w:tcPr>
            <w:tcW w:w="1350" w:type="dxa"/>
          </w:tcPr>
          <w:p w:rsidR="005A11A0" w:rsidP="00F96F2C" w14:paraId="720263F1" w14:textId="6351F685">
            <w:pPr>
              <w:spacing w:line="240" w:lineRule="exact"/>
              <w:jc w:val="right"/>
              <w:rPr>
                <w:rFonts w:ascii="Arial" w:hAnsi="Arial" w:cs="Arial"/>
              </w:rPr>
            </w:pPr>
            <w:r>
              <w:rPr>
                <w:rFonts w:ascii="Arial" w:hAnsi="Arial" w:cs="Arial"/>
              </w:rPr>
              <w:t>15</w:t>
            </w:r>
          </w:p>
        </w:tc>
        <w:tc>
          <w:tcPr>
            <w:tcW w:w="1084" w:type="dxa"/>
          </w:tcPr>
          <w:p w:rsidR="005A11A0" w:rsidRPr="000F4ABE" w:rsidP="00F96F2C" w14:paraId="183C7AF5" w14:textId="023979CD">
            <w:pPr>
              <w:spacing w:line="240" w:lineRule="exact"/>
              <w:jc w:val="right"/>
              <w:rPr>
                <w:rFonts w:ascii="Arial" w:hAnsi="Arial" w:cs="Arial"/>
              </w:rPr>
            </w:pPr>
            <w:r>
              <w:rPr>
                <w:rFonts w:ascii="Arial" w:hAnsi="Arial" w:cs="Arial"/>
              </w:rPr>
              <w:t>9,375</w:t>
            </w:r>
          </w:p>
        </w:tc>
      </w:tr>
      <w:tr w14:paraId="1B9B2245" w14:textId="77777777" w:rsidTr="00895F0B">
        <w:tblPrEx>
          <w:tblW w:w="9125" w:type="dxa"/>
          <w:tblLook w:val="01E0"/>
        </w:tblPrEx>
        <w:tc>
          <w:tcPr>
            <w:tcW w:w="2364" w:type="dxa"/>
          </w:tcPr>
          <w:p w:rsidR="005A11A0" w:rsidRPr="000F4ABE" w:rsidP="00F96F2C" w14:paraId="063FA224" w14:textId="77777777">
            <w:pPr>
              <w:spacing w:line="240" w:lineRule="exact"/>
              <w:rPr>
                <w:rFonts w:ascii="Arial" w:hAnsi="Arial" w:cs="Arial"/>
              </w:rPr>
            </w:pPr>
            <w:r w:rsidRPr="000F4ABE">
              <w:rPr>
                <w:rFonts w:ascii="Arial" w:hAnsi="Arial" w:cs="Arial"/>
              </w:rPr>
              <w:t>Public (voluntary)</w:t>
            </w:r>
          </w:p>
        </w:tc>
        <w:tc>
          <w:tcPr>
            <w:tcW w:w="4327" w:type="dxa"/>
          </w:tcPr>
          <w:p w:rsidR="005A11A0" w:rsidRPr="000F4ABE" w:rsidP="00F96F2C" w14:paraId="523C05CF" w14:textId="0CA10283">
            <w:pPr>
              <w:spacing w:line="240" w:lineRule="exact"/>
              <w:jc w:val="right"/>
              <w:rPr>
                <w:rFonts w:ascii="Arial" w:hAnsi="Arial" w:cs="Arial"/>
              </w:rPr>
            </w:pPr>
            <w:r w:rsidRPr="000F4ABE">
              <w:rPr>
                <w:rFonts w:ascii="Arial" w:hAnsi="Arial" w:cs="Arial"/>
              </w:rPr>
              <w:t xml:space="preserve">  7,500</w:t>
            </w:r>
          </w:p>
        </w:tc>
        <w:tc>
          <w:tcPr>
            <w:tcW w:w="1350" w:type="dxa"/>
          </w:tcPr>
          <w:p w:rsidR="005A11A0" w:rsidP="00F96F2C" w14:paraId="6A93B55E" w14:textId="0C9B9C06">
            <w:pPr>
              <w:spacing w:line="240" w:lineRule="exact"/>
              <w:jc w:val="right"/>
              <w:rPr>
                <w:rFonts w:ascii="Arial" w:hAnsi="Arial" w:cs="Arial"/>
              </w:rPr>
            </w:pPr>
            <w:r>
              <w:rPr>
                <w:rFonts w:ascii="Arial" w:hAnsi="Arial" w:cs="Arial"/>
              </w:rPr>
              <w:t>15</w:t>
            </w:r>
          </w:p>
        </w:tc>
        <w:tc>
          <w:tcPr>
            <w:tcW w:w="1084" w:type="dxa"/>
          </w:tcPr>
          <w:p w:rsidR="005A11A0" w:rsidRPr="000F4ABE" w:rsidP="00F96F2C" w14:paraId="63B7C205" w14:textId="60C116C7">
            <w:pPr>
              <w:spacing w:line="240" w:lineRule="exact"/>
              <w:jc w:val="right"/>
              <w:rPr>
                <w:rFonts w:ascii="Arial" w:hAnsi="Arial" w:cs="Arial"/>
              </w:rPr>
            </w:pPr>
            <w:r>
              <w:rPr>
                <w:rFonts w:ascii="Arial" w:hAnsi="Arial" w:cs="Arial"/>
              </w:rPr>
              <w:t>1,875</w:t>
            </w:r>
          </w:p>
        </w:tc>
      </w:tr>
      <w:tr w14:paraId="245BFFE3" w14:textId="77777777" w:rsidTr="00895F0B">
        <w:tblPrEx>
          <w:tblW w:w="9125" w:type="dxa"/>
          <w:tblLook w:val="01E0"/>
        </w:tblPrEx>
        <w:tc>
          <w:tcPr>
            <w:tcW w:w="2364" w:type="dxa"/>
          </w:tcPr>
          <w:p w:rsidR="005A11A0" w:rsidRPr="000F4ABE" w:rsidP="00F96F2C" w14:paraId="297E6C7C" w14:textId="77777777">
            <w:pPr>
              <w:spacing w:line="240" w:lineRule="exact"/>
              <w:rPr>
                <w:rFonts w:ascii="Arial" w:hAnsi="Arial" w:cs="Arial"/>
              </w:rPr>
            </w:pPr>
            <w:r w:rsidRPr="000F4ABE">
              <w:rPr>
                <w:rFonts w:ascii="Arial" w:hAnsi="Arial" w:cs="Arial"/>
              </w:rPr>
              <w:t>Total</w:t>
            </w:r>
          </w:p>
        </w:tc>
        <w:tc>
          <w:tcPr>
            <w:tcW w:w="4327" w:type="dxa"/>
          </w:tcPr>
          <w:p w:rsidR="005A11A0" w:rsidRPr="000F4ABE" w:rsidP="00F96F2C" w14:paraId="7214AC75" w14:textId="1A7D2C24">
            <w:pPr>
              <w:spacing w:line="240" w:lineRule="exact"/>
              <w:jc w:val="right"/>
              <w:rPr>
                <w:rFonts w:ascii="Arial" w:hAnsi="Arial" w:cs="Arial"/>
              </w:rPr>
            </w:pPr>
            <w:r w:rsidRPr="00665B64">
              <w:rPr>
                <w:rFonts w:ascii="Arial" w:hAnsi="Arial" w:cs="Arial"/>
              </w:rPr>
              <w:t>300,000</w:t>
            </w:r>
          </w:p>
        </w:tc>
        <w:tc>
          <w:tcPr>
            <w:tcW w:w="1350" w:type="dxa"/>
          </w:tcPr>
          <w:p w:rsidR="005A11A0" w:rsidP="00F96F2C" w14:paraId="3F00472B" w14:textId="427A4033">
            <w:pPr>
              <w:spacing w:line="240" w:lineRule="exact"/>
              <w:jc w:val="right"/>
              <w:rPr>
                <w:rFonts w:ascii="Arial" w:hAnsi="Arial" w:cs="Arial"/>
              </w:rPr>
            </w:pPr>
            <w:r>
              <w:rPr>
                <w:rFonts w:ascii="Arial" w:hAnsi="Arial" w:cs="Arial"/>
              </w:rPr>
              <w:t>15</w:t>
            </w:r>
          </w:p>
        </w:tc>
        <w:tc>
          <w:tcPr>
            <w:tcW w:w="1084" w:type="dxa"/>
          </w:tcPr>
          <w:p w:rsidR="005A11A0" w:rsidRPr="000F4ABE" w:rsidP="00F96F2C" w14:paraId="1E28F56C" w14:textId="3FA1D8A0">
            <w:pPr>
              <w:spacing w:line="240" w:lineRule="exact"/>
              <w:jc w:val="right"/>
              <w:rPr>
                <w:rFonts w:ascii="Arial" w:hAnsi="Arial" w:cs="Arial"/>
              </w:rPr>
            </w:pPr>
            <w:r>
              <w:rPr>
                <w:rFonts w:ascii="Arial" w:hAnsi="Arial" w:cs="Arial"/>
              </w:rPr>
              <w:t>75,000</w:t>
            </w:r>
          </w:p>
        </w:tc>
      </w:tr>
    </w:tbl>
    <w:p w:rsidR="00D17977" w:rsidP="00D17977" w14:paraId="78745E29" w14:textId="77777777">
      <w:pPr>
        <w:spacing w:line="240" w:lineRule="exact"/>
        <w:rPr>
          <w:rFonts w:ascii="Arial" w:hAnsi="Arial" w:cs="Arial"/>
        </w:rPr>
      </w:pPr>
      <w:bookmarkStart w:id="7" w:name="OLE_LINK5"/>
      <w:bookmarkStart w:id="8" w:name="OLE_LINK6"/>
    </w:p>
    <w:bookmarkEnd w:id="7"/>
    <w:bookmarkEnd w:id="8"/>
    <w:p w:rsidR="00160C94" w:rsidP="00D17977" w14:paraId="3259B1B0" w14:textId="05707FEB">
      <w:pPr>
        <w:spacing w:line="240" w:lineRule="exact"/>
        <w:rPr>
          <w:rFonts w:ascii="Arial" w:hAnsi="Arial" w:cs="Arial"/>
        </w:rPr>
      </w:pPr>
      <w:r>
        <w:rPr>
          <w:rFonts w:ascii="Arial" w:hAnsi="Arial" w:cs="Arial"/>
        </w:rPr>
        <w:t xml:space="preserve">The BLS estimates that it will take respondents that are selected to respond to the test pre-collection letter an average of 6 minutes per response, including time to read the short letter and to provide requested information. With an average burden of 6 minutes per respondent, the total burden for the pre-collection letter test is 270 hours [(2,700 sample units x 6 minutes)/60 = 270 hours]. </w:t>
      </w:r>
    </w:p>
    <w:p w:rsidR="002446A5" w:rsidP="00D17977" w14:paraId="1CD39995" w14:textId="77777777">
      <w:pPr>
        <w:spacing w:line="240" w:lineRule="exact"/>
        <w:rPr>
          <w:rFonts w:ascii="Arial" w:hAnsi="Arial" w:cs="Arial"/>
        </w:rPr>
      </w:pPr>
    </w:p>
    <w:p w:rsidR="00341C18" w:rsidP="00D17977" w14:paraId="360DB687" w14:textId="71DCF9B8">
      <w:pPr>
        <w:spacing w:line="240" w:lineRule="exact"/>
        <w:rPr>
          <w:rFonts w:ascii="Arial" w:hAnsi="Arial" w:cs="Arial"/>
        </w:rPr>
      </w:pPr>
      <w:r w:rsidRPr="00160C94">
        <w:rPr>
          <w:rFonts w:ascii="Arial" w:hAnsi="Arial" w:cs="Arial"/>
          <w:b/>
          <w:bCs/>
        </w:rPr>
        <w:t>Table 3.</w:t>
      </w:r>
      <w:r>
        <w:rPr>
          <w:rFonts w:ascii="Arial" w:hAnsi="Arial" w:cs="Arial"/>
        </w:rPr>
        <w:t xml:space="preserve"> Reporting burden for </w:t>
      </w:r>
      <w:r w:rsidR="0048087A">
        <w:rPr>
          <w:rFonts w:ascii="Arial" w:hAnsi="Arial" w:cs="Arial"/>
        </w:rPr>
        <w:t xml:space="preserve">treatment groups in </w:t>
      </w:r>
      <w:r>
        <w:rPr>
          <w:rFonts w:ascii="Arial" w:hAnsi="Arial" w:cs="Arial"/>
        </w:rPr>
        <w:t>pre-collection letter</w:t>
      </w:r>
      <w:r w:rsidR="002446A5">
        <w:rPr>
          <w:rFonts w:ascii="Arial" w:hAnsi="Arial" w:cs="Arial"/>
        </w:rPr>
        <w:t xml:space="preserve"> test</w:t>
      </w:r>
    </w:p>
    <w:tbl>
      <w:tblPr>
        <w:tblStyle w:val="TableGrid"/>
        <w:tblW w:w="0" w:type="auto"/>
        <w:tblLook w:val="04A0"/>
      </w:tblPr>
      <w:tblGrid>
        <w:gridCol w:w="2434"/>
        <w:gridCol w:w="2472"/>
        <w:gridCol w:w="2222"/>
        <w:gridCol w:w="2222"/>
      </w:tblGrid>
      <w:tr w14:paraId="5B5B70DF" w14:textId="77777777" w:rsidTr="00847B32">
        <w:tblPrEx>
          <w:tblW w:w="0" w:type="auto"/>
          <w:tblLook w:val="04A0"/>
        </w:tblPrEx>
        <w:trPr>
          <w:tblHeader/>
        </w:trPr>
        <w:tc>
          <w:tcPr>
            <w:tcW w:w="2434" w:type="dxa"/>
          </w:tcPr>
          <w:p w:rsidR="00160C94" w:rsidP="00160C94" w14:paraId="36085FA2" w14:textId="2C84EABB">
            <w:pPr>
              <w:spacing w:line="240" w:lineRule="exact"/>
              <w:jc w:val="center"/>
              <w:rPr>
                <w:rFonts w:ascii="Arial" w:hAnsi="Arial" w:cs="Arial"/>
              </w:rPr>
            </w:pPr>
            <w:r>
              <w:rPr>
                <w:rFonts w:ascii="Arial" w:hAnsi="Arial" w:cs="Arial"/>
              </w:rPr>
              <w:t>Sector</w:t>
            </w:r>
          </w:p>
        </w:tc>
        <w:tc>
          <w:tcPr>
            <w:tcW w:w="2472" w:type="dxa"/>
          </w:tcPr>
          <w:p w:rsidR="00160C94" w:rsidP="00160C94" w14:paraId="1527A2B2" w14:textId="77777777">
            <w:pPr>
              <w:spacing w:line="240" w:lineRule="exact"/>
              <w:jc w:val="center"/>
              <w:rPr>
                <w:rFonts w:ascii="Arial" w:hAnsi="Arial" w:cs="Arial"/>
              </w:rPr>
            </w:pPr>
            <w:r>
              <w:rPr>
                <w:rFonts w:ascii="Arial" w:hAnsi="Arial" w:cs="Arial"/>
              </w:rPr>
              <w:t>Sample units</w:t>
            </w:r>
          </w:p>
          <w:p w:rsidR="0048087A" w:rsidP="00160C94" w14:paraId="7A49A317" w14:textId="0893EC7B">
            <w:pPr>
              <w:spacing w:line="240" w:lineRule="exact"/>
              <w:jc w:val="center"/>
              <w:rPr>
                <w:rFonts w:ascii="Arial" w:hAnsi="Arial" w:cs="Arial"/>
              </w:rPr>
            </w:pPr>
            <w:r>
              <w:rPr>
                <w:rFonts w:ascii="Arial" w:hAnsi="Arial" w:cs="Arial"/>
              </w:rPr>
              <w:t>(treatment groups)</w:t>
            </w:r>
          </w:p>
        </w:tc>
        <w:tc>
          <w:tcPr>
            <w:tcW w:w="2222" w:type="dxa"/>
          </w:tcPr>
          <w:p w:rsidR="00160C94" w:rsidP="00160C94" w14:paraId="51DD9D49" w14:textId="77777777">
            <w:pPr>
              <w:spacing w:line="240" w:lineRule="exact"/>
              <w:jc w:val="center"/>
              <w:rPr>
                <w:rFonts w:ascii="Arial" w:hAnsi="Arial" w:cs="Arial"/>
              </w:rPr>
            </w:pPr>
            <w:r>
              <w:rPr>
                <w:rFonts w:ascii="Arial" w:hAnsi="Arial" w:cs="Arial"/>
              </w:rPr>
              <w:t>Average Burden</w:t>
            </w:r>
          </w:p>
          <w:p w:rsidR="00160C94" w:rsidP="00160C94" w14:paraId="0F99971E" w14:textId="48CDB663">
            <w:pPr>
              <w:spacing w:line="240" w:lineRule="exact"/>
              <w:jc w:val="center"/>
              <w:rPr>
                <w:rFonts w:ascii="Arial" w:hAnsi="Arial" w:cs="Arial"/>
              </w:rPr>
            </w:pPr>
            <w:r>
              <w:rPr>
                <w:rFonts w:ascii="Arial" w:hAnsi="Arial" w:cs="Arial"/>
              </w:rPr>
              <w:t>(Minutes)</w:t>
            </w:r>
          </w:p>
        </w:tc>
        <w:tc>
          <w:tcPr>
            <w:tcW w:w="2222" w:type="dxa"/>
          </w:tcPr>
          <w:p w:rsidR="00160C94" w:rsidP="00160C94" w14:paraId="76029001" w14:textId="2D6B7E52">
            <w:pPr>
              <w:spacing w:line="240" w:lineRule="exact"/>
              <w:jc w:val="center"/>
              <w:rPr>
                <w:rFonts w:ascii="Arial" w:hAnsi="Arial" w:cs="Arial"/>
              </w:rPr>
            </w:pPr>
            <w:r>
              <w:rPr>
                <w:rFonts w:ascii="Arial" w:hAnsi="Arial" w:cs="Arial"/>
              </w:rPr>
              <w:t>Hours</w:t>
            </w:r>
          </w:p>
        </w:tc>
      </w:tr>
      <w:tr w14:paraId="40E0D23C" w14:textId="77777777" w:rsidTr="00160C94">
        <w:tblPrEx>
          <w:tblW w:w="0" w:type="auto"/>
          <w:tblLook w:val="04A0"/>
        </w:tblPrEx>
        <w:tc>
          <w:tcPr>
            <w:tcW w:w="2434" w:type="dxa"/>
          </w:tcPr>
          <w:p w:rsidR="00160C94" w:rsidP="00D17977" w14:paraId="5E05F440" w14:textId="5F696DCA">
            <w:pPr>
              <w:spacing w:line="240" w:lineRule="exact"/>
              <w:rPr>
                <w:rFonts w:ascii="Arial" w:hAnsi="Arial" w:cs="Arial"/>
              </w:rPr>
            </w:pPr>
            <w:r>
              <w:rPr>
                <w:rFonts w:ascii="Arial" w:hAnsi="Arial" w:cs="Arial"/>
              </w:rPr>
              <w:t>Private</w:t>
            </w:r>
            <w:r w:rsidR="0048087A">
              <w:rPr>
                <w:rFonts w:ascii="Arial" w:hAnsi="Arial" w:cs="Arial"/>
              </w:rPr>
              <w:t>, small establishments</w:t>
            </w:r>
          </w:p>
        </w:tc>
        <w:tc>
          <w:tcPr>
            <w:tcW w:w="2472" w:type="dxa"/>
          </w:tcPr>
          <w:p w:rsidR="00160C94" w:rsidP="00160C94" w14:paraId="257821E7" w14:textId="1E326A0D">
            <w:pPr>
              <w:spacing w:line="240" w:lineRule="exact"/>
              <w:jc w:val="right"/>
              <w:rPr>
                <w:rFonts w:ascii="Arial" w:hAnsi="Arial" w:cs="Arial"/>
              </w:rPr>
            </w:pPr>
            <w:r>
              <w:rPr>
                <w:rFonts w:ascii="Arial" w:hAnsi="Arial" w:cs="Arial"/>
              </w:rPr>
              <w:t>1,350</w:t>
            </w:r>
          </w:p>
        </w:tc>
        <w:tc>
          <w:tcPr>
            <w:tcW w:w="2222" w:type="dxa"/>
          </w:tcPr>
          <w:p w:rsidR="00160C94" w:rsidP="00160C94" w14:paraId="4E96227B" w14:textId="09168115">
            <w:pPr>
              <w:spacing w:line="240" w:lineRule="exact"/>
              <w:jc w:val="right"/>
              <w:rPr>
                <w:rFonts w:ascii="Arial" w:hAnsi="Arial" w:cs="Arial"/>
              </w:rPr>
            </w:pPr>
            <w:r>
              <w:rPr>
                <w:rFonts w:ascii="Arial" w:hAnsi="Arial" w:cs="Arial"/>
              </w:rPr>
              <w:t>6</w:t>
            </w:r>
          </w:p>
        </w:tc>
        <w:tc>
          <w:tcPr>
            <w:tcW w:w="2222" w:type="dxa"/>
          </w:tcPr>
          <w:p w:rsidR="00160C94" w:rsidP="00160C94" w14:paraId="0CB96EEB" w14:textId="69FACBFE">
            <w:pPr>
              <w:spacing w:line="240" w:lineRule="exact"/>
              <w:jc w:val="right"/>
              <w:rPr>
                <w:rFonts w:ascii="Arial" w:hAnsi="Arial" w:cs="Arial"/>
              </w:rPr>
            </w:pPr>
            <w:r>
              <w:rPr>
                <w:rFonts w:ascii="Arial" w:hAnsi="Arial" w:cs="Arial"/>
              </w:rPr>
              <w:t>135</w:t>
            </w:r>
          </w:p>
        </w:tc>
      </w:tr>
      <w:tr w14:paraId="2ED52E20" w14:textId="77777777" w:rsidTr="00160C94">
        <w:tblPrEx>
          <w:tblW w:w="0" w:type="auto"/>
          <w:tblLook w:val="04A0"/>
        </w:tblPrEx>
        <w:tc>
          <w:tcPr>
            <w:tcW w:w="2434" w:type="dxa"/>
          </w:tcPr>
          <w:p w:rsidR="0048087A" w:rsidP="00D17977" w14:paraId="6B003C5F" w14:textId="758E11E0">
            <w:pPr>
              <w:spacing w:line="240" w:lineRule="exact"/>
              <w:rPr>
                <w:rFonts w:ascii="Arial" w:hAnsi="Arial" w:cs="Arial"/>
              </w:rPr>
            </w:pPr>
            <w:r>
              <w:rPr>
                <w:rFonts w:ascii="Arial" w:hAnsi="Arial" w:cs="Arial"/>
              </w:rPr>
              <w:t>Private, large establishments</w:t>
            </w:r>
          </w:p>
        </w:tc>
        <w:tc>
          <w:tcPr>
            <w:tcW w:w="2472" w:type="dxa"/>
          </w:tcPr>
          <w:p w:rsidR="0048087A" w:rsidP="00160C94" w14:paraId="0318FFCD" w14:textId="3C0AC859">
            <w:pPr>
              <w:spacing w:line="240" w:lineRule="exact"/>
              <w:jc w:val="right"/>
              <w:rPr>
                <w:rFonts w:ascii="Arial" w:hAnsi="Arial" w:cs="Arial"/>
              </w:rPr>
            </w:pPr>
            <w:r>
              <w:rPr>
                <w:rFonts w:ascii="Arial" w:hAnsi="Arial" w:cs="Arial"/>
              </w:rPr>
              <w:t>1,350</w:t>
            </w:r>
          </w:p>
        </w:tc>
        <w:tc>
          <w:tcPr>
            <w:tcW w:w="2222" w:type="dxa"/>
          </w:tcPr>
          <w:p w:rsidR="0048087A" w:rsidP="00160C94" w14:paraId="711A158A" w14:textId="40E587A3">
            <w:pPr>
              <w:spacing w:line="240" w:lineRule="exact"/>
              <w:jc w:val="right"/>
              <w:rPr>
                <w:rFonts w:ascii="Arial" w:hAnsi="Arial" w:cs="Arial"/>
              </w:rPr>
            </w:pPr>
            <w:r>
              <w:rPr>
                <w:rFonts w:ascii="Arial" w:hAnsi="Arial" w:cs="Arial"/>
              </w:rPr>
              <w:t>6</w:t>
            </w:r>
          </w:p>
        </w:tc>
        <w:tc>
          <w:tcPr>
            <w:tcW w:w="2222" w:type="dxa"/>
          </w:tcPr>
          <w:p w:rsidR="0048087A" w:rsidP="00160C94" w14:paraId="10B94693" w14:textId="60105238">
            <w:pPr>
              <w:spacing w:line="240" w:lineRule="exact"/>
              <w:jc w:val="right"/>
              <w:rPr>
                <w:rFonts w:ascii="Arial" w:hAnsi="Arial" w:cs="Arial"/>
              </w:rPr>
            </w:pPr>
            <w:r>
              <w:rPr>
                <w:rFonts w:ascii="Arial" w:hAnsi="Arial" w:cs="Arial"/>
              </w:rPr>
              <w:t>135</w:t>
            </w:r>
          </w:p>
        </w:tc>
      </w:tr>
      <w:tr w14:paraId="489B9AF6" w14:textId="77777777" w:rsidTr="00160C94">
        <w:tblPrEx>
          <w:tblW w:w="0" w:type="auto"/>
          <w:tblLook w:val="04A0"/>
        </w:tblPrEx>
        <w:tc>
          <w:tcPr>
            <w:tcW w:w="2434" w:type="dxa"/>
          </w:tcPr>
          <w:p w:rsidR="00160C94" w:rsidP="00160C94" w14:paraId="3635C838" w14:textId="6020FC46">
            <w:pPr>
              <w:spacing w:line="240" w:lineRule="exact"/>
              <w:rPr>
                <w:rFonts w:ascii="Arial" w:hAnsi="Arial" w:cs="Arial"/>
              </w:rPr>
            </w:pPr>
            <w:r>
              <w:rPr>
                <w:rFonts w:ascii="Arial" w:hAnsi="Arial" w:cs="Arial"/>
              </w:rPr>
              <w:t>Total</w:t>
            </w:r>
          </w:p>
        </w:tc>
        <w:tc>
          <w:tcPr>
            <w:tcW w:w="2472" w:type="dxa"/>
          </w:tcPr>
          <w:p w:rsidR="00160C94" w:rsidP="00160C94" w14:paraId="484ED1A7" w14:textId="3BEA52C8">
            <w:pPr>
              <w:spacing w:line="240" w:lineRule="exact"/>
              <w:jc w:val="right"/>
              <w:rPr>
                <w:rFonts w:ascii="Arial" w:hAnsi="Arial" w:cs="Arial"/>
              </w:rPr>
            </w:pPr>
            <w:r>
              <w:rPr>
                <w:rFonts w:ascii="Arial" w:hAnsi="Arial" w:cs="Arial"/>
              </w:rPr>
              <w:t>2,700</w:t>
            </w:r>
          </w:p>
        </w:tc>
        <w:tc>
          <w:tcPr>
            <w:tcW w:w="2222" w:type="dxa"/>
          </w:tcPr>
          <w:p w:rsidR="00160C94" w:rsidP="00160C94" w14:paraId="12CDCE2F" w14:textId="2776A4ED">
            <w:pPr>
              <w:spacing w:line="240" w:lineRule="exact"/>
              <w:jc w:val="right"/>
              <w:rPr>
                <w:rFonts w:ascii="Arial" w:hAnsi="Arial" w:cs="Arial"/>
              </w:rPr>
            </w:pPr>
            <w:r>
              <w:rPr>
                <w:rFonts w:ascii="Arial" w:hAnsi="Arial" w:cs="Arial"/>
              </w:rPr>
              <w:t>6</w:t>
            </w:r>
          </w:p>
        </w:tc>
        <w:tc>
          <w:tcPr>
            <w:tcW w:w="2222" w:type="dxa"/>
          </w:tcPr>
          <w:p w:rsidR="00160C94" w:rsidP="00160C94" w14:paraId="7C6BA4BB" w14:textId="0DA1F2C4">
            <w:pPr>
              <w:spacing w:line="240" w:lineRule="exact"/>
              <w:jc w:val="right"/>
              <w:rPr>
                <w:rFonts w:ascii="Arial" w:hAnsi="Arial" w:cs="Arial"/>
              </w:rPr>
            </w:pPr>
            <w:r>
              <w:rPr>
                <w:rFonts w:ascii="Arial" w:hAnsi="Arial" w:cs="Arial"/>
              </w:rPr>
              <w:t>270</w:t>
            </w:r>
          </w:p>
        </w:tc>
      </w:tr>
    </w:tbl>
    <w:p w:rsidR="00341C18" w:rsidP="00D17977" w14:paraId="710A81FB" w14:textId="77777777">
      <w:pPr>
        <w:spacing w:line="240" w:lineRule="exact"/>
        <w:rPr>
          <w:rFonts w:ascii="Arial" w:hAnsi="Arial" w:cs="Arial"/>
        </w:rPr>
      </w:pPr>
    </w:p>
    <w:p w:rsidR="00341C18" w:rsidP="00D17977" w14:paraId="62669FB2" w14:textId="77777777">
      <w:pPr>
        <w:spacing w:line="240" w:lineRule="exact"/>
        <w:rPr>
          <w:rFonts w:ascii="Arial" w:hAnsi="Arial" w:cs="Arial"/>
        </w:rPr>
      </w:pPr>
    </w:p>
    <w:p w:rsidR="00D17977" w:rsidRPr="000F4ABE" w:rsidP="00D17977" w14:paraId="64ECE1BE" w14:textId="456CDBA5">
      <w:pPr>
        <w:spacing w:line="240" w:lineRule="exact"/>
        <w:rPr>
          <w:rFonts w:ascii="Arial" w:hAnsi="Arial" w:cs="Arial"/>
        </w:rPr>
      </w:pPr>
      <w:r w:rsidRPr="00BC7963">
        <w:rPr>
          <w:rFonts w:ascii="Arial" w:hAnsi="Arial" w:cs="Arial"/>
        </w:rPr>
        <w:t xml:space="preserve">Total burden for the survey data collection Form 9300 is, therefore, </w:t>
      </w:r>
      <w:r w:rsidR="002446A5">
        <w:rPr>
          <w:rFonts w:ascii="Arial" w:hAnsi="Arial" w:cs="Arial"/>
        </w:rPr>
        <w:t>113,304</w:t>
      </w:r>
      <w:r w:rsidRPr="00BC7963">
        <w:rPr>
          <w:rFonts w:ascii="Arial" w:hAnsi="Arial" w:cs="Arial"/>
        </w:rPr>
        <w:t xml:space="preserve"> hours (</w:t>
      </w:r>
      <w:r w:rsidR="00BC7963">
        <w:rPr>
          <w:rFonts w:ascii="Arial" w:hAnsi="Arial" w:cs="Arial"/>
        </w:rPr>
        <w:t>38,034 + 75,000</w:t>
      </w:r>
      <w:r w:rsidR="002446A5">
        <w:rPr>
          <w:rFonts w:ascii="Arial" w:hAnsi="Arial" w:cs="Arial"/>
        </w:rPr>
        <w:t xml:space="preserve"> + 270</w:t>
      </w:r>
      <w:r w:rsidRPr="00BC7963">
        <w:rPr>
          <w:rFonts w:ascii="Arial" w:hAnsi="Arial" w:cs="Arial"/>
        </w:rPr>
        <w:t xml:space="preserve">). The average reporting burden is then </w:t>
      </w:r>
      <w:r w:rsidR="00BC7963">
        <w:rPr>
          <w:rFonts w:ascii="Arial" w:hAnsi="Arial" w:cs="Arial"/>
        </w:rPr>
        <w:t>approximately 30</w:t>
      </w:r>
      <w:r w:rsidRPr="00BC7963">
        <w:rPr>
          <w:rFonts w:ascii="Arial" w:hAnsi="Arial" w:cs="Arial"/>
        </w:rPr>
        <w:t xml:space="preserve"> minutes or 0.</w:t>
      </w:r>
      <w:r w:rsidR="00BC7963">
        <w:rPr>
          <w:rFonts w:ascii="Arial" w:hAnsi="Arial" w:cs="Arial"/>
        </w:rPr>
        <w:t>5</w:t>
      </w:r>
      <w:r w:rsidRPr="00BC7963">
        <w:rPr>
          <w:rFonts w:ascii="Arial" w:hAnsi="Arial" w:cs="Arial"/>
        </w:rPr>
        <w:t> hours per respondent (</w:t>
      </w:r>
      <w:r w:rsidR="002446A5">
        <w:rPr>
          <w:rFonts w:ascii="Arial" w:hAnsi="Arial" w:cs="Arial"/>
        </w:rPr>
        <w:t>113,304</w:t>
      </w:r>
      <w:r w:rsidRPr="00BC7963">
        <w:rPr>
          <w:rFonts w:ascii="Arial" w:hAnsi="Arial" w:cs="Arial"/>
        </w:rPr>
        <w:t xml:space="preserve"> hours/</w:t>
      </w:r>
      <w:r w:rsidRPr="00BC7963" w:rsidR="00040991">
        <w:rPr>
          <w:rFonts w:ascii="Arial" w:hAnsi="Arial" w:cs="Arial"/>
        </w:rPr>
        <w:t>228,200</w:t>
      </w:r>
      <w:r w:rsidRPr="00BC7963">
        <w:rPr>
          <w:rFonts w:ascii="Arial" w:hAnsi="Arial" w:cs="Arial"/>
        </w:rPr>
        <w:t xml:space="preserve"> sample units = 0.</w:t>
      </w:r>
      <w:r w:rsidR="00BC7963">
        <w:rPr>
          <w:rFonts w:ascii="Arial" w:hAnsi="Arial" w:cs="Arial"/>
        </w:rPr>
        <w:t>5</w:t>
      </w:r>
      <w:r w:rsidRPr="00BC7963">
        <w:rPr>
          <w:rFonts w:ascii="Arial" w:hAnsi="Arial" w:cs="Arial"/>
        </w:rPr>
        <w:t xml:space="preserve"> hours per sample unit).</w:t>
      </w:r>
    </w:p>
    <w:p w:rsidR="00D17977" w:rsidP="00D17977" w14:paraId="6E9D260A" w14:textId="77777777">
      <w:pPr>
        <w:spacing w:line="240" w:lineRule="exact"/>
        <w:rPr>
          <w:rFonts w:ascii="Arial" w:hAnsi="Arial" w:cs="Arial"/>
          <w:b/>
        </w:rPr>
      </w:pPr>
    </w:p>
    <w:p w:rsidR="00D17977" w:rsidRPr="000F4ABE" w:rsidP="00D17977" w14:paraId="1DC93CAE" w14:textId="48D88D13">
      <w:pPr>
        <w:spacing w:line="240" w:lineRule="exact"/>
        <w:rPr>
          <w:rFonts w:ascii="Arial" w:hAnsi="Arial" w:cs="Arial"/>
        </w:rPr>
      </w:pPr>
      <w:r w:rsidRPr="00A16477">
        <w:rPr>
          <w:rFonts w:ascii="Arial" w:hAnsi="Arial" w:cs="Arial"/>
          <w:b/>
        </w:rPr>
        <w:t xml:space="preserve">Table </w:t>
      </w:r>
      <w:r w:rsidR="00160C94">
        <w:rPr>
          <w:rFonts w:ascii="Arial" w:hAnsi="Arial" w:cs="Arial"/>
          <w:b/>
        </w:rPr>
        <w:t>4</w:t>
      </w:r>
      <w:r w:rsidRPr="00A16477">
        <w:rPr>
          <w:rFonts w:ascii="Arial" w:hAnsi="Arial" w:cs="Arial"/>
          <w:b/>
        </w:rPr>
        <w:t>.</w:t>
      </w:r>
      <w:r>
        <w:rPr>
          <w:rFonts w:ascii="Arial" w:hAnsi="Arial" w:cs="Arial"/>
        </w:rPr>
        <w:t xml:space="preserve"> Total Reporting Burden for the SOII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6163"/>
      </w:tblGrid>
      <w:tr w14:paraId="48960621" w14:textId="77777777" w:rsidTr="00F96F2C">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92" w:type="dxa"/>
          </w:tcPr>
          <w:p w:rsidR="00D17977" w:rsidRPr="000F4ABE" w:rsidP="00F96F2C" w14:paraId="4C299A2E" w14:textId="77777777">
            <w:pPr>
              <w:spacing w:line="240" w:lineRule="exact"/>
              <w:jc w:val="center"/>
              <w:rPr>
                <w:rFonts w:ascii="Arial" w:hAnsi="Arial" w:cs="Arial"/>
              </w:rPr>
            </w:pPr>
            <w:r w:rsidRPr="000F4ABE">
              <w:rPr>
                <w:rFonts w:ascii="Arial" w:hAnsi="Arial" w:cs="Arial"/>
              </w:rPr>
              <w:t>Sector</w:t>
            </w:r>
          </w:p>
        </w:tc>
        <w:tc>
          <w:tcPr>
            <w:tcW w:w="6163" w:type="dxa"/>
          </w:tcPr>
          <w:p w:rsidR="00D17977" w:rsidRPr="000F4ABE" w:rsidP="00F96F2C" w14:paraId="730CAEAD" w14:textId="77777777">
            <w:pPr>
              <w:spacing w:line="240" w:lineRule="exact"/>
              <w:jc w:val="center"/>
              <w:rPr>
                <w:rFonts w:ascii="Arial" w:hAnsi="Arial" w:cs="Arial"/>
              </w:rPr>
            </w:pPr>
            <w:r w:rsidRPr="000F4ABE">
              <w:rPr>
                <w:rFonts w:ascii="Arial" w:hAnsi="Arial" w:cs="Arial"/>
              </w:rPr>
              <w:t>Hours</w:t>
            </w:r>
          </w:p>
        </w:tc>
      </w:tr>
      <w:tr w14:paraId="016A8E7B" w14:textId="77777777" w:rsidTr="00F96F2C">
        <w:tblPrEx>
          <w:tblW w:w="9355" w:type="dxa"/>
          <w:tblLook w:val="01E0"/>
        </w:tblPrEx>
        <w:tc>
          <w:tcPr>
            <w:tcW w:w="3192" w:type="dxa"/>
          </w:tcPr>
          <w:p w:rsidR="00D17977" w:rsidRPr="000F4ABE" w:rsidP="00F96F2C" w14:paraId="3E75ED64" w14:textId="77777777">
            <w:pPr>
              <w:spacing w:line="240" w:lineRule="exact"/>
              <w:rPr>
                <w:rFonts w:ascii="Arial" w:hAnsi="Arial" w:cs="Arial"/>
              </w:rPr>
            </w:pPr>
            <w:r w:rsidRPr="000F4ABE">
              <w:rPr>
                <w:rFonts w:ascii="Arial" w:hAnsi="Arial" w:cs="Arial"/>
              </w:rPr>
              <w:t>Private</w:t>
            </w:r>
          </w:p>
        </w:tc>
        <w:tc>
          <w:tcPr>
            <w:tcW w:w="6163" w:type="dxa"/>
          </w:tcPr>
          <w:p w:rsidR="00D17977" w:rsidRPr="000F4ABE" w:rsidP="00921FAC" w14:paraId="4D20E128" w14:textId="36A8DE1B">
            <w:pPr>
              <w:spacing w:line="240" w:lineRule="exact"/>
              <w:jc w:val="right"/>
              <w:rPr>
                <w:rFonts w:ascii="Arial" w:hAnsi="Arial" w:cs="Arial"/>
              </w:rPr>
            </w:pPr>
            <w:r>
              <w:rPr>
                <w:rFonts w:ascii="Arial" w:hAnsi="Arial" w:cs="Arial"/>
              </w:rPr>
              <w:t>98,570</w:t>
            </w:r>
            <w:r w:rsidR="00BC7963">
              <w:rPr>
                <w:rFonts w:ascii="Arial" w:hAnsi="Arial" w:cs="Arial"/>
              </w:rPr>
              <w:t xml:space="preserve"> (34,550 + 63,750</w:t>
            </w:r>
            <w:r>
              <w:rPr>
                <w:rFonts w:ascii="Arial" w:hAnsi="Arial" w:cs="Arial"/>
              </w:rPr>
              <w:t xml:space="preserve"> +270</w:t>
            </w:r>
            <w:r w:rsidR="00BC7963">
              <w:rPr>
                <w:rFonts w:ascii="Arial" w:hAnsi="Arial" w:cs="Arial"/>
              </w:rPr>
              <w:t>)</w:t>
            </w:r>
          </w:p>
        </w:tc>
      </w:tr>
      <w:tr w14:paraId="03D4976B" w14:textId="77777777" w:rsidTr="00F96F2C">
        <w:tblPrEx>
          <w:tblW w:w="9355" w:type="dxa"/>
          <w:tblLook w:val="01E0"/>
        </w:tblPrEx>
        <w:tc>
          <w:tcPr>
            <w:tcW w:w="3192" w:type="dxa"/>
          </w:tcPr>
          <w:p w:rsidR="00D17977" w:rsidRPr="000F4ABE" w:rsidP="00F96F2C" w14:paraId="6FE8BB14" w14:textId="77777777">
            <w:pPr>
              <w:spacing w:line="240" w:lineRule="exact"/>
              <w:rPr>
                <w:rFonts w:ascii="Arial" w:hAnsi="Arial" w:cs="Arial"/>
              </w:rPr>
            </w:pPr>
            <w:r w:rsidRPr="000F4ABE">
              <w:rPr>
                <w:rFonts w:ascii="Arial" w:hAnsi="Arial" w:cs="Arial"/>
              </w:rPr>
              <w:t>Public (mandatory)</w:t>
            </w:r>
          </w:p>
        </w:tc>
        <w:tc>
          <w:tcPr>
            <w:tcW w:w="6163" w:type="dxa"/>
          </w:tcPr>
          <w:p w:rsidR="00D17977" w:rsidRPr="000F4ABE" w:rsidP="00921FAC" w14:paraId="4E5DE986" w14:textId="369B93E9">
            <w:pPr>
              <w:spacing w:line="240" w:lineRule="exact"/>
              <w:jc w:val="right"/>
              <w:rPr>
                <w:rFonts w:ascii="Arial" w:hAnsi="Arial" w:cs="Arial"/>
              </w:rPr>
            </w:pPr>
            <w:r>
              <w:rPr>
                <w:rFonts w:ascii="Arial" w:hAnsi="Arial" w:cs="Arial"/>
              </w:rPr>
              <w:t>11,892 (2,517 + 9,375)</w:t>
            </w:r>
          </w:p>
        </w:tc>
      </w:tr>
      <w:tr w14:paraId="7AB34FBD" w14:textId="77777777" w:rsidTr="00F96F2C">
        <w:tblPrEx>
          <w:tblW w:w="9355" w:type="dxa"/>
          <w:tblLook w:val="01E0"/>
        </w:tblPrEx>
        <w:tc>
          <w:tcPr>
            <w:tcW w:w="3192" w:type="dxa"/>
          </w:tcPr>
          <w:p w:rsidR="00D17977" w:rsidRPr="000F4ABE" w:rsidP="00F96F2C" w14:paraId="0DC1A044" w14:textId="77777777">
            <w:pPr>
              <w:spacing w:line="240" w:lineRule="exact"/>
              <w:rPr>
                <w:rFonts w:ascii="Arial" w:hAnsi="Arial" w:cs="Arial"/>
              </w:rPr>
            </w:pPr>
            <w:r w:rsidRPr="000F4ABE">
              <w:rPr>
                <w:rFonts w:ascii="Arial" w:hAnsi="Arial" w:cs="Arial"/>
              </w:rPr>
              <w:t>Public (voluntary)</w:t>
            </w:r>
          </w:p>
        </w:tc>
        <w:tc>
          <w:tcPr>
            <w:tcW w:w="6163" w:type="dxa"/>
          </w:tcPr>
          <w:p w:rsidR="00D17977" w:rsidRPr="000F4ABE" w:rsidP="00F96F2C" w14:paraId="582E139D" w14:textId="7D2A7331">
            <w:pPr>
              <w:spacing w:line="240" w:lineRule="exact"/>
              <w:jc w:val="right"/>
              <w:rPr>
                <w:rFonts w:ascii="Arial" w:hAnsi="Arial" w:cs="Arial"/>
              </w:rPr>
            </w:pPr>
            <w:r>
              <w:rPr>
                <w:rFonts w:ascii="Arial" w:hAnsi="Arial" w:cs="Arial"/>
              </w:rPr>
              <w:t>2,842 (967 + 1,875)</w:t>
            </w:r>
          </w:p>
        </w:tc>
      </w:tr>
      <w:tr w14:paraId="63C46822" w14:textId="77777777" w:rsidTr="00F96F2C">
        <w:tblPrEx>
          <w:tblW w:w="9355" w:type="dxa"/>
          <w:tblLook w:val="01E0"/>
        </w:tblPrEx>
        <w:trPr>
          <w:trHeight w:val="58"/>
        </w:trPr>
        <w:tc>
          <w:tcPr>
            <w:tcW w:w="3192" w:type="dxa"/>
          </w:tcPr>
          <w:p w:rsidR="00D17977" w:rsidRPr="000F4ABE" w:rsidP="00F96F2C" w14:paraId="4C070078" w14:textId="77777777">
            <w:pPr>
              <w:spacing w:line="240" w:lineRule="exact"/>
              <w:rPr>
                <w:rFonts w:ascii="Arial" w:hAnsi="Arial" w:cs="Arial"/>
              </w:rPr>
            </w:pPr>
            <w:r w:rsidRPr="000F4ABE">
              <w:rPr>
                <w:rFonts w:ascii="Arial" w:hAnsi="Arial" w:cs="Arial"/>
              </w:rPr>
              <w:t>Total</w:t>
            </w:r>
          </w:p>
        </w:tc>
        <w:tc>
          <w:tcPr>
            <w:tcW w:w="6163" w:type="dxa"/>
          </w:tcPr>
          <w:p w:rsidR="00D17977" w:rsidRPr="000F4ABE" w:rsidP="00921FAC" w14:paraId="43A9CA58" w14:textId="666635FC">
            <w:pPr>
              <w:spacing w:line="240" w:lineRule="exact"/>
              <w:jc w:val="right"/>
              <w:rPr>
                <w:rFonts w:ascii="Arial" w:hAnsi="Arial" w:cs="Arial"/>
              </w:rPr>
            </w:pPr>
            <w:r>
              <w:rPr>
                <w:rFonts w:ascii="Arial" w:hAnsi="Arial" w:cs="Arial"/>
              </w:rPr>
              <w:t>113,304</w:t>
            </w:r>
            <w:r w:rsidR="00BC7963">
              <w:rPr>
                <w:rFonts w:ascii="Arial" w:hAnsi="Arial" w:cs="Arial"/>
              </w:rPr>
              <w:t xml:space="preserve"> (38,034 + 75,000</w:t>
            </w:r>
            <w:r>
              <w:rPr>
                <w:rFonts w:ascii="Arial" w:hAnsi="Arial" w:cs="Arial"/>
              </w:rPr>
              <w:t xml:space="preserve"> +270</w:t>
            </w:r>
            <w:r w:rsidR="00BC7963">
              <w:rPr>
                <w:rFonts w:ascii="Arial" w:hAnsi="Arial" w:cs="Arial"/>
              </w:rPr>
              <w:t>)</w:t>
            </w:r>
          </w:p>
        </w:tc>
      </w:tr>
    </w:tbl>
    <w:p w:rsidR="001304BB" w:rsidRPr="000F4ABE" w:rsidP="00BC7963" w14:paraId="2A5090D4" w14:textId="6FAE2B1A">
      <w:pPr>
        <w:spacing w:line="240" w:lineRule="exact"/>
        <w:rPr>
          <w:rFonts w:ascii="Arial" w:hAnsi="Arial" w:cs="Arial"/>
        </w:rPr>
      </w:pPr>
      <w:r w:rsidRPr="000F4ABE">
        <w:rPr>
          <w:rFonts w:ascii="Arial" w:hAnsi="Arial" w:cs="Arial"/>
        </w:rPr>
        <w:t xml:space="preserve">  </w:t>
      </w:r>
    </w:p>
    <w:p w:rsidR="00D17977" w:rsidRPr="000F4ABE" w:rsidP="00D17977" w14:paraId="2B3EB4B6" w14:textId="77777777">
      <w:pPr>
        <w:spacing w:line="240" w:lineRule="exact"/>
        <w:rPr>
          <w:rFonts w:ascii="Arial" w:hAnsi="Arial" w:cs="Arial"/>
          <w:u w:val="single"/>
        </w:rPr>
      </w:pPr>
      <w:r w:rsidRPr="005F4E87">
        <w:rPr>
          <w:rFonts w:ascii="Arial" w:hAnsi="Arial" w:cs="Arial"/>
          <w:b/>
          <w:u w:val="single"/>
        </w:rPr>
        <w:t>Recording Burden for SOII Pre-notification Recording</w:t>
      </w:r>
      <w:r w:rsidRPr="000F4ABE">
        <w:rPr>
          <w:rFonts w:ascii="Arial" w:hAnsi="Arial" w:cs="Arial"/>
        </w:rPr>
        <w:t>.</w:t>
      </w:r>
    </w:p>
    <w:p w:rsidR="00D17977" w:rsidRPr="000F4ABE" w:rsidP="00D17977" w14:paraId="1FA76E1E" w14:textId="77777777">
      <w:pPr>
        <w:spacing w:line="240" w:lineRule="exact"/>
        <w:rPr>
          <w:rFonts w:ascii="Arial" w:hAnsi="Arial" w:cs="Arial"/>
        </w:rPr>
      </w:pPr>
    </w:p>
    <w:p w:rsidR="00D17977" w:rsidRPr="000F4ABE" w:rsidP="00D17977" w14:paraId="7538355F" w14:textId="30A9CBCD">
      <w:pPr>
        <w:spacing w:line="240" w:lineRule="exact"/>
        <w:rPr>
          <w:rFonts w:ascii="Arial" w:hAnsi="Arial" w:cs="Arial"/>
        </w:rPr>
      </w:pPr>
      <w:r w:rsidRPr="000F4ABE">
        <w:rPr>
          <w:rFonts w:ascii="Arial" w:hAnsi="Arial" w:cs="Arial"/>
        </w:rPr>
        <w:t xml:space="preserve">Recording burden for normally exempt employers who are pre-notified to keep records for a survey year is </w:t>
      </w:r>
      <w:r w:rsidR="00766EBF">
        <w:rPr>
          <w:rFonts w:ascii="Arial" w:hAnsi="Arial" w:cs="Arial"/>
        </w:rPr>
        <w:t>101,600</w:t>
      </w:r>
      <w:r w:rsidRPr="004E6F77">
        <w:rPr>
          <w:rFonts w:ascii="Arial" w:hAnsi="Arial" w:cs="Arial"/>
        </w:rPr>
        <w:t xml:space="preserve"> hours</w:t>
      </w:r>
      <w:r w:rsidRPr="000F4ABE">
        <w:rPr>
          <w:rFonts w:ascii="Arial" w:hAnsi="Arial" w:cs="Arial"/>
        </w:rPr>
        <w:t xml:space="preserve">. The BLS </w:t>
      </w:r>
      <w:r w:rsidR="00722416">
        <w:rPr>
          <w:rFonts w:ascii="Arial" w:hAnsi="Arial" w:cs="Arial"/>
        </w:rPr>
        <w:t>uses</w:t>
      </w:r>
      <w:r w:rsidRPr="000F4ABE">
        <w:rPr>
          <w:rFonts w:ascii="Arial" w:hAnsi="Arial" w:cs="Arial"/>
        </w:rPr>
        <w:t xml:space="preserve"> the OSHA estimate stated on the Log </w:t>
      </w:r>
      <w:r w:rsidR="004E6F77">
        <w:rPr>
          <w:rFonts w:ascii="Arial" w:hAnsi="Arial" w:cs="Arial"/>
        </w:rPr>
        <w:t xml:space="preserve">of Work-Related Injuries and Illnesses </w:t>
      </w:r>
      <w:r>
        <w:rPr>
          <w:rFonts w:ascii="Arial" w:hAnsi="Arial" w:cs="Arial"/>
        </w:rPr>
        <w:t xml:space="preserve">(OSHA </w:t>
      </w:r>
      <w:r w:rsidR="004E6F77">
        <w:rPr>
          <w:rFonts w:ascii="Arial" w:hAnsi="Arial" w:cs="Arial"/>
        </w:rPr>
        <w:t>F</w:t>
      </w:r>
      <w:r>
        <w:rPr>
          <w:rFonts w:ascii="Arial" w:hAnsi="Arial" w:cs="Arial"/>
        </w:rPr>
        <w:t xml:space="preserve">orm 300) </w:t>
      </w:r>
      <w:r w:rsidRPr="000F4ABE">
        <w:rPr>
          <w:rFonts w:ascii="Arial" w:hAnsi="Arial" w:cs="Arial"/>
        </w:rPr>
        <w:t xml:space="preserve">that each new entry on the Log requires, on average, 14 minutes. OSHA </w:t>
      </w:r>
      <w:r w:rsidR="00722416">
        <w:rPr>
          <w:rFonts w:ascii="Arial" w:hAnsi="Arial" w:cs="Arial"/>
        </w:rPr>
        <w:t xml:space="preserve">further </w:t>
      </w:r>
      <w:r w:rsidRPr="000F4ABE">
        <w:rPr>
          <w:rFonts w:ascii="Arial" w:hAnsi="Arial" w:cs="Arial"/>
        </w:rPr>
        <w:t xml:space="preserve">estimates that completion of the OSHA Injury and Illness Incident Report </w:t>
      </w:r>
      <w:r>
        <w:rPr>
          <w:rFonts w:ascii="Arial" w:hAnsi="Arial" w:cs="Arial"/>
        </w:rPr>
        <w:t xml:space="preserve">(OSHA </w:t>
      </w:r>
      <w:r w:rsidR="004E6F77">
        <w:rPr>
          <w:rFonts w:ascii="Arial" w:hAnsi="Arial" w:cs="Arial"/>
        </w:rPr>
        <w:t>F</w:t>
      </w:r>
      <w:r>
        <w:rPr>
          <w:rFonts w:ascii="Arial" w:hAnsi="Arial" w:cs="Arial"/>
        </w:rPr>
        <w:t xml:space="preserve">orm 301) </w:t>
      </w:r>
      <w:r w:rsidRPr="000F4ABE">
        <w:rPr>
          <w:rFonts w:ascii="Arial" w:hAnsi="Arial" w:cs="Arial"/>
        </w:rPr>
        <w:t>will require, on average</w:t>
      </w:r>
      <w:r>
        <w:rPr>
          <w:rFonts w:ascii="Arial" w:hAnsi="Arial" w:cs="Arial"/>
        </w:rPr>
        <w:t>,</w:t>
      </w:r>
      <w:r w:rsidRPr="000F4ABE">
        <w:rPr>
          <w:rFonts w:ascii="Arial" w:hAnsi="Arial" w:cs="Arial"/>
        </w:rPr>
        <w:t xml:space="preserve"> 22 minutes</w:t>
      </w:r>
      <w:r w:rsidR="00722416">
        <w:rPr>
          <w:rFonts w:ascii="Arial" w:hAnsi="Arial" w:cs="Arial"/>
        </w:rPr>
        <w:t xml:space="preserve"> and </w:t>
      </w:r>
      <w:r w:rsidRPr="000F4ABE">
        <w:rPr>
          <w:rFonts w:ascii="Arial" w:hAnsi="Arial" w:cs="Arial"/>
        </w:rPr>
        <w:t xml:space="preserve">that completion of each summary form </w:t>
      </w:r>
      <w:r>
        <w:rPr>
          <w:rFonts w:ascii="Arial" w:hAnsi="Arial" w:cs="Arial"/>
        </w:rPr>
        <w:t xml:space="preserve">(OSHA form 300A) </w:t>
      </w:r>
      <w:r w:rsidRPr="000F4ABE">
        <w:rPr>
          <w:rFonts w:ascii="Arial" w:hAnsi="Arial" w:cs="Arial"/>
        </w:rPr>
        <w:t>will require, on average, 5</w:t>
      </w:r>
      <w:r>
        <w:rPr>
          <w:rFonts w:ascii="Arial" w:hAnsi="Arial" w:cs="Arial"/>
        </w:rPr>
        <w:t>8</w:t>
      </w:r>
      <w:r w:rsidRPr="000F4ABE">
        <w:rPr>
          <w:rFonts w:ascii="Arial" w:hAnsi="Arial" w:cs="Arial"/>
        </w:rPr>
        <w:t xml:space="preserve"> minutes.  </w:t>
      </w:r>
    </w:p>
    <w:p w:rsidR="00D17977" w:rsidRPr="000F4ABE" w:rsidP="00D17977" w14:paraId="0864761D" w14:textId="77777777">
      <w:pPr>
        <w:spacing w:line="240" w:lineRule="exact"/>
        <w:rPr>
          <w:rFonts w:ascii="Arial" w:hAnsi="Arial" w:cs="Arial"/>
        </w:rPr>
      </w:pPr>
    </w:p>
    <w:p w:rsidR="00D17977" w:rsidRPr="000F4ABE" w:rsidP="00D17977" w14:paraId="1113E452" w14:textId="6265D240">
      <w:pPr>
        <w:spacing w:line="240" w:lineRule="exact"/>
        <w:rPr>
          <w:rFonts w:ascii="Arial" w:hAnsi="Arial" w:cs="Arial"/>
        </w:rPr>
      </w:pPr>
      <w:r w:rsidRPr="00A16477">
        <w:rPr>
          <w:rFonts w:ascii="Arial" w:hAnsi="Arial" w:cs="Arial"/>
          <w:b/>
        </w:rPr>
        <w:t xml:space="preserve">Table </w:t>
      </w:r>
      <w:r w:rsidR="00160C94">
        <w:rPr>
          <w:rFonts w:ascii="Arial" w:hAnsi="Arial" w:cs="Arial"/>
          <w:b/>
        </w:rPr>
        <w:t>5</w:t>
      </w:r>
      <w:r w:rsidRPr="00A16477">
        <w:rPr>
          <w:rFonts w:ascii="Arial" w:hAnsi="Arial" w:cs="Arial"/>
          <w:b/>
        </w:rPr>
        <w:t xml:space="preserve">. </w:t>
      </w:r>
      <w:r w:rsidRPr="00A16477">
        <w:rPr>
          <w:rFonts w:ascii="Arial" w:hAnsi="Arial" w:cs="Arial"/>
        </w:rPr>
        <w:t xml:space="preserve">Recording Burden for </w:t>
      </w:r>
      <w:r w:rsidRPr="000F4ABE">
        <w:rPr>
          <w:rFonts w:ascii="Arial" w:hAnsi="Arial" w:cs="Arial"/>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2"/>
        <w:gridCol w:w="2385"/>
        <w:gridCol w:w="2099"/>
        <w:gridCol w:w="2354"/>
      </w:tblGrid>
      <w:tr w14:paraId="26DDA01B" w14:textId="77777777" w:rsidTr="00895F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2" w:type="dxa"/>
          </w:tcPr>
          <w:p w:rsidR="005A11A0" w:rsidRPr="000F4ABE" w:rsidP="00F96F2C" w14:paraId="432AD097" w14:textId="77777777">
            <w:pPr>
              <w:spacing w:line="240" w:lineRule="exact"/>
              <w:jc w:val="center"/>
              <w:rPr>
                <w:rFonts w:ascii="Arial" w:hAnsi="Arial" w:cs="Arial"/>
              </w:rPr>
            </w:pPr>
            <w:r w:rsidRPr="000F4ABE">
              <w:rPr>
                <w:rFonts w:ascii="Arial" w:hAnsi="Arial" w:cs="Arial"/>
              </w:rPr>
              <w:t>Sector</w:t>
            </w:r>
          </w:p>
        </w:tc>
        <w:tc>
          <w:tcPr>
            <w:tcW w:w="2385" w:type="dxa"/>
          </w:tcPr>
          <w:p w:rsidR="005A11A0" w:rsidRPr="000F4ABE" w:rsidP="00F96F2C" w14:paraId="5C91108A" w14:textId="77777777">
            <w:pPr>
              <w:spacing w:line="240" w:lineRule="exact"/>
              <w:jc w:val="center"/>
              <w:rPr>
                <w:rFonts w:ascii="Arial" w:hAnsi="Arial" w:cs="Arial"/>
              </w:rPr>
            </w:pPr>
            <w:r w:rsidRPr="000F4ABE">
              <w:rPr>
                <w:rFonts w:ascii="Arial" w:hAnsi="Arial" w:cs="Arial"/>
              </w:rPr>
              <w:t>Sample units</w:t>
            </w:r>
          </w:p>
        </w:tc>
        <w:tc>
          <w:tcPr>
            <w:tcW w:w="2099" w:type="dxa"/>
          </w:tcPr>
          <w:p w:rsidR="005A11A0" w:rsidP="005A11A0" w14:paraId="1D533B9D" w14:textId="77777777">
            <w:pPr>
              <w:spacing w:line="240" w:lineRule="exact"/>
              <w:jc w:val="center"/>
              <w:rPr>
                <w:rFonts w:ascii="Arial" w:hAnsi="Arial" w:cs="Arial"/>
              </w:rPr>
            </w:pPr>
            <w:r>
              <w:rPr>
                <w:rFonts w:ascii="Arial" w:hAnsi="Arial" w:cs="Arial"/>
              </w:rPr>
              <w:t>Average</w:t>
            </w:r>
          </w:p>
          <w:p w:rsidR="005A11A0" w:rsidP="005A11A0" w14:paraId="1D22AE29" w14:textId="77777777">
            <w:pPr>
              <w:spacing w:line="240" w:lineRule="exact"/>
              <w:jc w:val="center"/>
              <w:rPr>
                <w:rFonts w:ascii="Arial" w:hAnsi="Arial" w:cs="Arial"/>
              </w:rPr>
            </w:pPr>
            <w:r>
              <w:rPr>
                <w:rFonts w:ascii="Arial" w:hAnsi="Arial" w:cs="Arial"/>
              </w:rPr>
              <w:t>Burden</w:t>
            </w:r>
          </w:p>
          <w:p w:rsidR="005A11A0" w:rsidRPr="000F4ABE" w:rsidP="005A11A0" w14:paraId="6C7ADCF2" w14:textId="5680103E">
            <w:pPr>
              <w:spacing w:line="240" w:lineRule="exact"/>
              <w:jc w:val="center"/>
              <w:rPr>
                <w:rFonts w:ascii="Arial" w:hAnsi="Arial" w:cs="Arial"/>
              </w:rPr>
            </w:pPr>
            <w:r>
              <w:rPr>
                <w:rFonts w:ascii="Arial" w:hAnsi="Arial" w:cs="Arial"/>
              </w:rPr>
              <w:t>(minutes)</w:t>
            </w:r>
          </w:p>
        </w:tc>
        <w:tc>
          <w:tcPr>
            <w:tcW w:w="2354" w:type="dxa"/>
          </w:tcPr>
          <w:p w:rsidR="005A11A0" w:rsidRPr="000F4ABE" w:rsidP="00F96F2C" w14:paraId="44345640" w14:textId="620ECA7C">
            <w:pPr>
              <w:spacing w:line="240" w:lineRule="exact"/>
              <w:jc w:val="center"/>
              <w:rPr>
                <w:rFonts w:ascii="Arial" w:hAnsi="Arial" w:cs="Arial"/>
              </w:rPr>
            </w:pPr>
            <w:r w:rsidRPr="000F4ABE">
              <w:rPr>
                <w:rFonts w:ascii="Arial" w:hAnsi="Arial" w:cs="Arial"/>
              </w:rPr>
              <w:t>Hours</w:t>
            </w:r>
          </w:p>
        </w:tc>
      </w:tr>
      <w:tr w14:paraId="757A3FAC" w14:textId="77777777" w:rsidTr="00895F0B">
        <w:tblPrEx>
          <w:tblW w:w="0" w:type="auto"/>
          <w:tblLook w:val="01E0"/>
        </w:tblPrEx>
        <w:tc>
          <w:tcPr>
            <w:tcW w:w="2512" w:type="dxa"/>
          </w:tcPr>
          <w:p w:rsidR="005A11A0" w:rsidRPr="000F4ABE" w:rsidP="00F96F2C" w14:paraId="1F53F0E5" w14:textId="77777777">
            <w:pPr>
              <w:spacing w:line="240" w:lineRule="exact"/>
              <w:rPr>
                <w:rFonts w:ascii="Arial" w:hAnsi="Arial" w:cs="Arial"/>
              </w:rPr>
            </w:pPr>
            <w:r w:rsidRPr="000F4ABE">
              <w:rPr>
                <w:rFonts w:ascii="Arial" w:hAnsi="Arial" w:cs="Arial"/>
              </w:rPr>
              <w:t>Private</w:t>
            </w:r>
          </w:p>
        </w:tc>
        <w:tc>
          <w:tcPr>
            <w:tcW w:w="2385" w:type="dxa"/>
          </w:tcPr>
          <w:p w:rsidR="005A11A0" w:rsidRPr="000F4ABE" w:rsidP="00F96F2C" w14:paraId="724D46CC" w14:textId="2B1E1EA9">
            <w:pPr>
              <w:spacing w:line="240" w:lineRule="exact"/>
              <w:jc w:val="right"/>
              <w:rPr>
                <w:rFonts w:ascii="Arial" w:hAnsi="Arial" w:cs="Arial"/>
              </w:rPr>
            </w:pPr>
            <w:r>
              <w:rPr>
                <w:rFonts w:ascii="Arial" w:hAnsi="Arial" w:cs="Arial"/>
              </w:rPr>
              <w:t>80,000</w:t>
            </w:r>
          </w:p>
        </w:tc>
        <w:tc>
          <w:tcPr>
            <w:tcW w:w="2099" w:type="dxa"/>
          </w:tcPr>
          <w:p w:rsidR="005A11A0" w:rsidP="00F96F2C" w14:paraId="511FBE93" w14:textId="61374029">
            <w:pPr>
              <w:spacing w:line="240" w:lineRule="exact"/>
              <w:jc w:val="right"/>
              <w:rPr>
                <w:rFonts w:ascii="Arial" w:hAnsi="Arial" w:cs="Arial"/>
              </w:rPr>
            </w:pPr>
            <w:r>
              <w:rPr>
                <w:rFonts w:ascii="Arial" w:hAnsi="Arial" w:cs="Arial"/>
              </w:rPr>
              <w:t>58</w:t>
            </w:r>
          </w:p>
        </w:tc>
        <w:tc>
          <w:tcPr>
            <w:tcW w:w="2354" w:type="dxa"/>
          </w:tcPr>
          <w:p w:rsidR="005A11A0" w:rsidRPr="000F4ABE" w:rsidP="00F96F2C" w14:paraId="19A1F680" w14:textId="407B3151">
            <w:pPr>
              <w:spacing w:line="240" w:lineRule="exact"/>
              <w:jc w:val="right"/>
              <w:rPr>
                <w:rFonts w:ascii="Arial" w:hAnsi="Arial" w:cs="Arial"/>
              </w:rPr>
            </w:pPr>
            <w:r>
              <w:rPr>
                <w:rFonts w:ascii="Arial" w:hAnsi="Arial" w:cs="Arial"/>
              </w:rPr>
              <w:t>77,333</w:t>
            </w:r>
          </w:p>
        </w:tc>
      </w:tr>
      <w:tr w14:paraId="672C75F9" w14:textId="77777777" w:rsidTr="00895F0B">
        <w:tblPrEx>
          <w:tblW w:w="0" w:type="auto"/>
          <w:tblLook w:val="01E0"/>
        </w:tblPrEx>
        <w:tc>
          <w:tcPr>
            <w:tcW w:w="2512" w:type="dxa"/>
          </w:tcPr>
          <w:p w:rsidR="005A11A0" w:rsidRPr="000F4ABE" w:rsidP="00F96F2C" w14:paraId="6DE9AC02" w14:textId="77777777">
            <w:pPr>
              <w:spacing w:line="240" w:lineRule="exact"/>
              <w:rPr>
                <w:rFonts w:ascii="Arial" w:hAnsi="Arial" w:cs="Arial"/>
              </w:rPr>
            </w:pPr>
            <w:r w:rsidRPr="000F4ABE">
              <w:rPr>
                <w:rFonts w:ascii="Arial" w:hAnsi="Arial" w:cs="Arial"/>
              </w:rPr>
              <w:t>Public (voluntary)</w:t>
            </w:r>
          </w:p>
        </w:tc>
        <w:tc>
          <w:tcPr>
            <w:tcW w:w="2385" w:type="dxa"/>
          </w:tcPr>
          <w:p w:rsidR="005A11A0" w:rsidRPr="000F4ABE" w:rsidP="00F96F2C" w14:paraId="3878B2C0" w14:textId="3428B517">
            <w:pPr>
              <w:spacing w:line="240" w:lineRule="exact"/>
              <w:jc w:val="right"/>
              <w:rPr>
                <w:rFonts w:ascii="Arial" w:hAnsi="Arial" w:cs="Arial"/>
              </w:rPr>
            </w:pPr>
            <w:r>
              <w:rPr>
                <w:rFonts w:ascii="Arial" w:hAnsi="Arial" w:cs="Arial"/>
              </w:rPr>
              <w:t>5,800</w:t>
            </w:r>
          </w:p>
        </w:tc>
        <w:tc>
          <w:tcPr>
            <w:tcW w:w="2099" w:type="dxa"/>
          </w:tcPr>
          <w:p w:rsidR="005A11A0" w:rsidP="00F96F2C" w14:paraId="09F20953" w14:textId="65E4BCB2">
            <w:pPr>
              <w:spacing w:line="240" w:lineRule="exact"/>
              <w:jc w:val="right"/>
              <w:rPr>
                <w:rFonts w:ascii="Arial" w:hAnsi="Arial" w:cs="Arial"/>
              </w:rPr>
            </w:pPr>
            <w:r>
              <w:rPr>
                <w:rFonts w:ascii="Arial" w:hAnsi="Arial" w:cs="Arial"/>
              </w:rPr>
              <w:t>58</w:t>
            </w:r>
          </w:p>
        </w:tc>
        <w:tc>
          <w:tcPr>
            <w:tcW w:w="2354" w:type="dxa"/>
          </w:tcPr>
          <w:p w:rsidR="005A11A0" w:rsidRPr="000F4ABE" w:rsidP="00F96F2C" w14:paraId="096E4A7E" w14:textId="49DEF88D">
            <w:pPr>
              <w:spacing w:line="240" w:lineRule="exact"/>
              <w:jc w:val="right"/>
              <w:rPr>
                <w:rFonts w:ascii="Arial" w:hAnsi="Arial" w:cs="Arial"/>
              </w:rPr>
            </w:pPr>
            <w:r>
              <w:rPr>
                <w:rFonts w:ascii="Arial" w:hAnsi="Arial" w:cs="Arial"/>
              </w:rPr>
              <w:t>5,607</w:t>
            </w:r>
          </w:p>
        </w:tc>
      </w:tr>
      <w:tr w14:paraId="56EE1CAC" w14:textId="77777777" w:rsidTr="00895F0B">
        <w:tblPrEx>
          <w:tblW w:w="0" w:type="auto"/>
          <w:tblLook w:val="01E0"/>
        </w:tblPrEx>
        <w:tc>
          <w:tcPr>
            <w:tcW w:w="2512" w:type="dxa"/>
          </w:tcPr>
          <w:p w:rsidR="005A11A0" w:rsidRPr="000F4ABE" w:rsidP="00F96F2C" w14:paraId="2FB6C61F" w14:textId="77777777">
            <w:pPr>
              <w:spacing w:line="240" w:lineRule="exact"/>
              <w:rPr>
                <w:rFonts w:ascii="Arial" w:hAnsi="Arial" w:cs="Arial"/>
              </w:rPr>
            </w:pPr>
            <w:r w:rsidRPr="000F4ABE">
              <w:rPr>
                <w:rFonts w:ascii="Arial" w:hAnsi="Arial" w:cs="Arial"/>
              </w:rPr>
              <w:t>Total</w:t>
            </w:r>
          </w:p>
        </w:tc>
        <w:tc>
          <w:tcPr>
            <w:tcW w:w="2385" w:type="dxa"/>
          </w:tcPr>
          <w:p w:rsidR="005A11A0" w:rsidRPr="000F4ABE" w:rsidP="00F96F2C" w14:paraId="11DB65FC" w14:textId="26A43FEA">
            <w:pPr>
              <w:spacing w:line="240" w:lineRule="exact"/>
              <w:jc w:val="right"/>
              <w:rPr>
                <w:rFonts w:ascii="Arial" w:hAnsi="Arial" w:cs="Arial"/>
              </w:rPr>
            </w:pPr>
            <w:r>
              <w:rPr>
                <w:rFonts w:ascii="Arial" w:hAnsi="Arial" w:cs="Arial"/>
              </w:rPr>
              <w:t>85,800</w:t>
            </w:r>
          </w:p>
        </w:tc>
        <w:tc>
          <w:tcPr>
            <w:tcW w:w="2099" w:type="dxa"/>
          </w:tcPr>
          <w:p w:rsidR="005A11A0" w:rsidP="00F96F2C" w14:paraId="66268EA6" w14:textId="7696C2A3">
            <w:pPr>
              <w:spacing w:line="240" w:lineRule="exact"/>
              <w:jc w:val="right"/>
              <w:rPr>
                <w:rFonts w:ascii="Arial" w:hAnsi="Arial" w:cs="Arial"/>
              </w:rPr>
            </w:pPr>
            <w:r>
              <w:rPr>
                <w:rFonts w:ascii="Arial" w:hAnsi="Arial" w:cs="Arial"/>
              </w:rPr>
              <w:t>58</w:t>
            </w:r>
          </w:p>
        </w:tc>
        <w:tc>
          <w:tcPr>
            <w:tcW w:w="2354" w:type="dxa"/>
          </w:tcPr>
          <w:p w:rsidR="005A11A0" w:rsidRPr="000F4ABE" w:rsidP="00F96F2C" w14:paraId="28E43C68" w14:textId="255C6F4C">
            <w:pPr>
              <w:spacing w:line="240" w:lineRule="exact"/>
              <w:jc w:val="right"/>
              <w:rPr>
                <w:rFonts w:ascii="Arial" w:hAnsi="Arial" w:cs="Arial"/>
              </w:rPr>
            </w:pPr>
            <w:r>
              <w:rPr>
                <w:rFonts w:ascii="Arial" w:hAnsi="Arial" w:cs="Arial"/>
              </w:rPr>
              <w:t>82,940</w:t>
            </w:r>
          </w:p>
        </w:tc>
      </w:tr>
    </w:tbl>
    <w:p w:rsidR="00D17977" w:rsidP="00D17977" w14:paraId="07CEE9D9" w14:textId="77777777">
      <w:pPr>
        <w:spacing w:line="240" w:lineRule="exact"/>
        <w:rPr>
          <w:rFonts w:ascii="Arial" w:hAnsi="Arial" w:cs="Arial"/>
        </w:rPr>
      </w:pPr>
    </w:p>
    <w:p w:rsidR="00D17977" w:rsidP="00D17977" w14:paraId="27EDEADF" w14:textId="7AAD3D94">
      <w:pPr>
        <w:spacing w:line="240" w:lineRule="exact"/>
        <w:rPr>
          <w:rFonts w:ascii="Arial" w:hAnsi="Arial" w:cs="Arial"/>
        </w:rPr>
      </w:pPr>
      <w:r w:rsidRPr="000F4ABE">
        <w:rPr>
          <w:rFonts w:ascii="Arial" w:hAnsi="Arial" w:cs="Arial"/>
        </w:rPr>
        <w:t xml:space="preserve">The BLS sample will include approximately </w:t>
      </w:r>
      <w:r>
        <w:rPr>
          <w:rFonts w:ascii="Arial" w:hAnsi="Arial" w:cs="Arial"/>
        </w:rPr>
        <w:t>80,000</w:t>
      </w:r>
      <w:r w:rsidRPr="000F4ABE">
        <w:rPr>
          <w:rFonts w:ascii="Arial" w:hAnsi="Arial" w:cs="Arial"/>
        </w:rPr>
        <w:t xml:space="preserve"> private sector </w:t>
      </w:r>
      <w:r w:rsidR="0034752E">
        <w:rPr>
          <w:rFonts w:ascii="Arial" w:hAnsi="Arial" w:cs="Arial"/>
        </w:rPr>
        <w:t>establishments and 5,800 public sector establishments that are normally exempt from OSHA recordkeeping</w:t>
      </w:r>
      <w:r w:rsidRPr="000F4ABE">
        <w:rPr>
          <w:rFonts w:ascii="Arial" w:hAnsi="Arial" w:cs="Arial"/>
        </w:rPr>
        <w:t xml:space="preserve">. It is expected that </w:t>
      </w:r>
      <w:r w:rsidR="0034752E">
        <w:rPr>
          <w:rFonts w:ascii="Arial" w:hAnsi="Arial" w:cs="Arial"/>
        </w:rPr>
        <w:t xml:space="preserve">combined </w:t>
      </w:r>
      <w:r w:rsidRPr="000F4ABE">
        <w:rPr>
          <w:rFonts w:ascii="Arial" w:hAnsi="Arial" w:cs="Arial"/>
        </w:rPr>
        <w:t xml:space="preserve">they will record </w:t>
      </w:r>
      <w:r>
        <w:rPr>
          <w:rFonts w:ascii="Arial" w:hAnsi="Arial" w:cs="Arial"/>
        </w:rPr>
        <w:t xml:space="preserve">approximately </w:t>
      </w:r>
      <w:r w:rsidR="0034752E">
        <w:rPr>
          <w:rFonts w:ascii="Arial" w:hAnsi="Arial" w:cs="Arial"/>
        </w:rPr>
        <w:t>31,100</w:t>
      </w:r>
      <w:r w:rsidRPr="000F4ABE">
        <w:rPr>
          <w:rFonts w:ascii="Arial" w:hAnsi="Arial" w:cs="Arial"/>
        </w:rPr>
        <w:t xml:space="preserve"> cases on the Log </w:t>
      </w:r>
      <w:r w:rsidR="004E6F77">
        <w:rPr>
          <w:rFonts w:ascii="Arial" w:hAnsi="Arial" w:cs="Arial"/>
        </w:rPr>
        <w:t>(OSHA Form 300)</w:t>
      </w:r>
      <w:r w:rsidRPr="000F4ABE">
        <w:rPr>
          <w:rFonts w:ascii="Arial" w:hAnsi="Arial" w:cs="Arial"/>
        </w:rPr>
        <w:t xml:space="preserve"> for a total burden of </w:t>
      </w:r>
      <w:r w:rsidR="0034752E">
        <w:rPr>
          <w:rFonts w:ascii="Arial" w:hAnsi="Arial" w:cs="Arial"/>
        </w:rPr>
        <w:t>7,257</w:t>
      </w:r>
      <w:r>
        <w:rPr>
          <w:rFonts w:ascii="Arial" w:hAnsi="Arial" w:cs="Arial"/>
        </w:rPr>
        <w:t xml:space="preserve"> </w:t>
      </w:r>
      <w:r w:rsidRPr="000F4ABE">
        <w:rPr>
          <w:rFonts w:ascii="Arial" w:hAnsi="Arial" w:cs="Arial"/>
        </w:rPr>
        <w:t>hours [(</w:t>
      </w:r>
      <w:r w:rsidR="0034752E">
        <w:rPr>
          <w:rFonts w:ascii="Arial" w:hAnsi="Arial" w:cs="Arial"/>
        </w:rPr>
        <w:t>31,100</w:t>
      </w:r>
      <w:r w:rsidRPr="000F4ABE">
        <w:rPr>
          <w:rFonts w:ascii="Arial" w:hAnsi="Arial" w:cs="Arial"/>
        </w:rPr>
        <w:t xml:space="preserve"> cases x 14 minutes)/60 = </w:t>
      </w:r>
      <w:r w:rsidR="0034752E">
        <w:rPr>
          <w:rFonts w:ascii="Arial" w:hAnsi="Arial" w:cs="Arial"/>
        </w:rPr>
        <w:t>7,257</w:t>
      </w:r>
      <w:r w:rsidRPr="000F4ABE">
        <w:rPr>
          <w:rFonts w:ascii="Arial" w:hAnsi="Arial" w:cs="Arial"/>
        </w:rPr>
        <w:t xml:space="preserve">] and on the OSHA Injury and Illness Incident Report </w:t>
      </w:r>
      <w:r w:rsidR="004E6F77">
        <w:rPr>
          <w:rFonts w:ascii="Arial" w:hAnsi="Arial" w:cs="Arial"/>
        </w:rPr>
        <w:t xml:space="preserve">(Form 301) </w:t>
      </w:r>
      <w:r w:rsidRPr="000F4ABE">
        <w:rPr>
          <w:rFonts w:ascii="Arial" w:hAnsi="Arial" w:cs="Arial"/>
        </w:rPr>
        <w:t xml:space="preserve">for </w:t>
      </w:r>
      <w:r w:rsidR="00766EBF">
        <w:rPr>
          <w:rFonts w:ascii="Arial" w:hAnsi="Arial" w:cs="Arial"/>
        </w:rPr>
        <w:t>11,403</w:t>
      </w:r>
      <w:r w:rsidRPr="000F4ABE">
        <w:rPr>
          <w:rFonts w:ascii="Arial" w:hAnsi="Arial" w:cs="Arial"/>
        </w:rPr>
        <w:t xml:space="preserve"> burden hours [(</w:t>
      </w:r>
      <w:r w:rsidR="00766EBF">
        <w:rPr>
          <w:rFonts w:ascii="Arial" w:hAnsi="Arial" w:cs="Arial"/>
        </w:rPr>
        <w:t>31</w:t>
      </w:r>
      <w:r w:rsidR="0034752E">
        <w:rPr>
          <w:rFonts w:ascii="Arial" w:hAnsi="Arial" w:cs="Arial"/>
        </w:rPr>
        <w:t>,100</w:t>
      </w:r>
      <w:r w:rsidRPr="000F4ABE">
        <w:rPr>
          <w:rFonts w:ascii="Arial" w:hAnsi="Arial" w:cs="Arial"/>
        </w:rPr>
        <w:t xml:space="preserve"> cases x 22 minutes)/60 = </w:t>
      </w:r>
      <w:r w:rsidR="00766EBF">
        <w:rPr>
          <w:rFonts w:ascii="Arial" w:hAnsi="Arial" w:cs="Arial"/>
        </w:rPr>
        <w:t>11,403</w:t>
      </w:r>
      <w:r w:rsidRPr="000F4ABE">
        <w:rPr>
          <w:rFonts w:ascii="Arial" w:hAnsi="Arial" w:cs="Arial"/>
        </w:rPr>
        <w:t xml:space="preserve">]. All </w:t>
      </w:r>
      <w:r>
        <w:rPr>
          <w:rFonts w:ascii="Arial" w:hAnsi="Arial" w:cs="Arial"/>
        </w:rPr>
        <w:t>80,000</w:t>
      </w:r>
      <w:r w:rsidRPr="000F4ABE">
        <w:rPr>
          <w:rFonts w:ascii="Arial" w:hAnsi="Arial" w:cs="Arial"/>
        </w:rPr>
        <w:t xml:space="preserve"> normally exempt prenotified employers will need to complete the 5</w:t>
      </w:r>
      <w:r>
        <w:rPr>
          <w:rFonts w:ascii="Arial" w:hAnsi="Arial" w:cs="Arial"/>
        </w:rPr>
        <w:t>8</w:t>
      </w:r>
      <w:r w:rsidRPr="000F4ABE">
        <w:rPr>
          <w:rFonts w:ascii="Arial" w:hAnsi="Arial" w:cs="Arial"/>
        </w:rPr>
        <w:t xml:space="preserve"> minute</w:t>
      </w:r>
      <w:r w:rsidR="00344B33">
        <w:rPr>
          <w:rFonts w:ascii="Arial" w:hAnsi="Arial" w:cs="Arial"/>
        </w:rPr>
        <w:t>s</w:t>
      </w:r>
      <w:r w:rsidRPr="000F4ABE">
        <w:rPr>
          <w:rFonts w:ascii="Arial" w:hAnsi="Arial" w:cs="Arial"/>
        </w:rPr>
        <w:t xml:space="preserve"> summary </w:t>
      </w:r>
      <w:r w:rsidR="001F15CF">
        <w:rPr>
          <w:rFonts w:ascii="Arial" w:hAnsi="Arial" w:cs="Arial"/>
        </w:rPr>
        <w:t>(F</w:t>
      </w:r>
      <w:r w:rsidRPr="000F4ABE">
        <w:rPr>
          <w:rFonts w:ascii="Arial" w:hAnsi="Arial" w:cs="Arial"/>
        </w:rPr>
        <w:t xml:space="preserve">orm </w:t>
      </w:r>
      <w:r w:rsidR="001F15CF">
        <w:rPr>
          <w:rFonts w:ascii="Arial" w:hAnsi="Arial" w:cs="Arial"/>
        </w:rPr>
        <w:t xml:space="preserve">300A) </w:t>
      </w:r>
      <w:r w:rsidRPr="000F4ABE">
        <w:rPr>
          <w:rFonts w:ascii="Arial" w:hAnsi="Arial" w:cs="Arial"/>
        </w:rPr>
        <w:t xml:space="preserve">for a burden of </w:t>
      </w:r>
      <w:r>
        <w:rPr>
          <w:rFonts w:ascii="Arial" w:hAnsi="Arial" w:cs="Arial"/>
        </w:rPr>
        <w:t xml:space="preserve">77,333 </w:t>
      </w:r>
      <w:r w:rsidRPr="000F4ABE">
        <w:rPr>
          <w:rFonts w:ascii="Arial" w:hAnsi="Arial" w:cs="Arial"/>
        </w:rPr>
        <w:t>hours [(</w:t>
      </w:r>
      <w:r>
        <w:rPr>
          <w:rFonts w:ascii="Arial" w:hAnsi="Arial" w:cs="Arial"/>
        </w:rPr>
        <w:t>80,000</w:t>
      </w:r>
      <w:r w:rsidRPr="000F4ABE">
        <w:rPr>
          <w:rFonts w:ascii="Arial" w:hAnsi="Arial" w:cs="Arial"/>
        </w:rPr>
        <w:t xml:space="preserve"> sample units x 5</w:t>
      </w:r>
      <w:r>
        <w:rPr>
          <w:rFonts w:ascii="Arial" w:hAnsi="Arial" w:cs="Arial"/>
        </w:rPr>
        <w:t>8</w:t>
      </w:r>
      <w:r w:rsidRPr="000F4ABE">
        <w:rPr>
          <w:rFonts w:ascii="Arial" w:hAnsi="Arial" w:cs="Arial"/>
        </w:rPr>
        <w:t xml:space="preserve"> minutes)/60 = </w:t>
      </w:r>
      <w:r>
        <w:rPr>
          <w:rFonts w:ascii="Arial" w:hAnsi="Arial" w:cs="Arial"/>
        </w:rPr>
        <w:t>77,333</w:t>
      </w:r>
      <w:r w:rsidRPr="000F4ABE">
        <w:rPr>
          <w:rFonts w:ascii="Arial" w:hAnsi="Arial" w:cs="Arial"/>
        </w:rPr>
        <w:t xml:space="preserve">]. </w:t>
      </w:r>
      <w:r w:rsidRPr="000F4ABE" w:rsidR="00BA1CFC">
        <w:rPr>
          <w:rFonts w:ascii="Arial" w:hAnsi="Arial" w:cs="Arial"/>
        </w:rPr>
        <w:t>The total</w:t>
      </w:r>
      <w:r w:rsidRPr="000F4ABE">
        <w:rPr>
          <w:rFonts w:ascii="Arial" w:hAnsi="Arial" w:cs="Arial"/>
        </w:rPr>
        <w:t xml:space="preserve"> recordkeeping burden for this normally exempt group of </w:t>
      </w:r>
      <w:r w:rsidR="00766EBF">
        <w:rPr>
          <w:rFonts w:ascii="Arial" w:hAnsi="Arial" w:cs="Arial"/>
        </w:rPr>
        <w:t>establishments</w:t>
      </w:r>
      <w:r w:rsidRPr="000F4ABE" w:rsidR="00766EBF">
        <w:rPr>
          <w:rFonts w:ascii="Arial" w:hAnsi="Arial" w:cs="Arial"/>
        </w:rPr>
        <w:t xml:space="preserve"> </w:t>
      </w:r>
      <w:r w:rsidRPr="000F4ABE">
        <w:rPr>
          <w:rFonts w:ascii="Arial" w:hAnsi="Arial" w:cs="Arial"/>
        </w:rPr>
        <w:t>will be</w:t>
      </w:r>
      <w:r>
        <w:rPr>
          <w:rFonts w:ascii="Arial" w:hAnsi="Arial" w:cs="Arial"/>
        </w:rPr>
        <w:t xml:space="preserve"> </w:t>
      </w:r>
      <w:r w:rsidR="00766EBF">
        <w:rPr>
          <w:rFonts w:ascii="Arial" w:hAnsi="Arial" w:cs="Arial"/>
        </w:rPr>
        <w:t>101,600</w:t>
      </w:r>
      <w:r w:rsidRPr="000F4ABE">
        <w:rPr>
          <w:rFonts w:ascii="Arial" w:hAnsi="Arial" w:cs="Arial"/>
        </w:rPr>
        <w:t xml:space="preserve"> hours (</w:t>
      </w:r>
      <w:r w:rsidR="00766EBF">
        <w:rPr>
          <w:rFonts w:ascii="Arial" w:hAnsi="Arial" w:cs="Arial"/>
        </w:rPr>
        <w:t>7,257 + 11,403 + 82,940</w:t>
      </w:r>
      <w:r w:rsidRPr="000F4ABE">
        <w:rPr>
          <w:rFonts w:ascii="Arial" w:hAnsi="Arial" w:cs="Arial"/>
        </w:rPr>
        <w:t>).</w:t>
      </w:r>
    </w:p>
    <w:p w:rsidR="00D17977" w:rsidP="00D17977" w14:paraId="6D5839F6" w14:textId="77777777">
      <w:pPr>
        <w:spacing w:line="240" w:lineRule="exact"/>
        <w:rPr>
          <w:rFonts w:ascii="Arial" w:hAnsi="Arial" w:cs="Arial"/>
          <w:b/>
        </w:rPr>
      </w:pPr>
    </w:p>
    <w:p w:rsidR="00D17977" w:rsidRPr="000F4ABE" w:rsidP="00D17977" w14:paraId="6CB4811C" w14:textId="2DB1BC4B">
      <w:pPr>
        <w:spacing w:line="240" w:lineRule="exact"/>
        <w:rPr>
          <w:rFonts w:ascii="Arial" w:hAnsi="Arial" w:cs="Arial"/>
        </w:rPr>
      </w:pPr>
      <w:r w:rsidRPr="00A16477">
        <w:rPr>
          <w:rFonts w:ascii="Arial" w:hAnsi="Arial" w:cs="Arial"/>
          <w:b/>
        </w:rPr>
        <w:t xml:space="preserve">Table </w:t>
      </w:r>
      <w:r w:rsidR="00160C94">
        <w:rPr>
          <w:rFonts w:ascii="Arial" w:hAnsi="Arial" w:cs="Arial"/>
          <w:b/>
        </w:rPr>
        <w:t>6</w:t>
      </w:r>
      <w:r w:rsidRPr="00A16477">
        <w:rPr>
          <w:rFonts w:ascii="Arial" w:hAnsi="Arial" w:cs="Arial"/>
          <w:b/>
        </w:rPr>
        <w:t>.</w:t>
      </w:r>
      <w:r>
        <w:rPr>
          <w:rFonts w:ascii="Arial" w:hAnsi="Arial" w:cs="Arial"/>
        </w:rPr>
        <w:t xml:space="preserve"> Recording Burden for </w:t>
      </w:r>
      <w:r w:rsidRPr="000F4ABE">
        <w:rPr>
          <w:rFonts w:ascii="Arial" w:hAnsi="Arial" w:cs="Arial"/>
        </w:rPr>
        <w:t>Form 9300 – Part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9"/>
        <w:gridCol w:w="2357"/>
        <w:gridCol w:w="1217"/>
        <w:gridCol w:w="1309"/>
        <w:gridCol w:w="1217"/>
        <w:gridCol w:w="1291"/>
      </w:tblGrid>
      <w:tr w14:paraId="78E1F7E8" w14:textId="77777777" w:rsidTr="007773D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018" w:type="dxa"/>
            <w:vAlign w:val="center"/>
          </w:tcPr>
          <w:p w:rsidR="005A11A0" w:rsidRPr="000F4ABE" w:rsidP="00F96F2C" w14:paraId="63C9FAFE" w14:textId="77777777">
            <w:pPr>
              <w:spacing w:line="240" w:lineRule="exact"/>
              <w:jc w:val="center"/>
              <w:rPr>
                <w:rFonts w:ascii="Arial" w:hAnsi="Arial" w:cs="Arial"/>
              </w:rPr>
            </w:pPr>
            <w:r w:rsidRPr="000F4ABE">
              <w:rPr>
                <w:rFonts w:ascii="Arial" w:hAnsi="Arial" w:cs="Arial"/>
              </w:rPr>
              <w:t>Sector</w:t>
            </w:r>
          </w:p>
        </w:tc>
        <w:tc>
          <w:tcPr>
            <w:tcW w:w="2463" w:type="dxa"/>
            <w:vAlign w:val="center"/>
          </w:tcPr>
          <w:p w:rsidR="005A11A0" w:rsidRPr="000F4ABE" w:rsidP="00F96F2C" w14:paraId="56AECACC" w14:textId="12325337">
            <w:pPr>
              <w:spacing w:line="240" w:lineRule="exact"/>
              <w:jc w:val="center"/>
              <w:rPr>
                <w:rFonts w:ascii="Arial" w:hAnsi="Arial" w:cs="Arial"/>
              </w:rPr>
            </w:pPr>
            <w:r w:rsidRPr="000F4ABE">
              <w:rPr>
                <w:rFonts w:ascii="Arial" w:hAnsi="Arial" w:cs="Arial"/>
              </w:rPr>
              <w:t>Days away from work cases and days of job transfer or restriction</w:t>
            </w:r>
            <w:r>
              <w:rPr>
                <w:rFonts w:ascii="Arial" w:hAnsi="Arial" w:cs="Arial"/>
              </w:rPr>
              <w:t xml:space="preserve"> </w:t>
            </w:r>
            <w:r w:rsidRPr="000F4ABE">
              <w:rPr>
                <w:rFonts w:ascii="Arial" w:hAnsi="Arial" w:cs="Arial"/>
              </w:rPr>
              <w:t>cases</w:t>
            </w:r>
          </w:p>
        </w:tc>
        <w:tc>
          <w:tcPr>
            <w:tcW w:w="1087" w:type="dxa"/>
          </w:tcPr>
          <w:p w:rsidR="005A11A0" w:rsidP="005A11A0" w14:paraId="4CAD2ABA" w14:textId="77777777">
            <w:pPr>
              <w:spacing w:line="240" w:lineRule="exact"/>
              <w:jc w:val="center"/>
              <w:rPr>
                <w:rFonts w:ascii="Arial" w:hAnsi="Arial" w:cs="Arial"/>
              </w:rPr>
            </w:pPr>
            <w:r>
              <w:rPr>
                <w:rFonts w:ascii="Arial" w:hAnsi="Arial" w:cs="Arial"/>
              </w:rPr>
              <w:t>Average</w:t>
            </w:r>
          </w:p>
          <w:p w:rsidR="005A11A0" w:rsidP="005A11A0" w14:paraId="2A4D0B98" w14:textId="77777777">
            <w:pPr>
              <w:spacing w:line="240" w:lineRule="exact"/>
              <w:jc w:val="center"/>
              <w:rPr>
                <w:rFonts w:ascii="Arial" w:hAnsi="Arial" w:cs="Arial"/>
              </w:rPr>
            </w:pPr>
            <w:r>
              <w:rPr>
                <w:rFonts w:ascii="Arial" w:hAnsi="Arial" w:cs="Arial"/>
              </w:rPr>
              <w:t>Burden</w:t>
            </w:r>
          </w:p>
          <w:p w:rsidR="005A11A0" w:rsidRPr="000F4ABE" w:rsidP="005A11A0" w14:paraId="7D24EFF7" w14:textId="68C2A0E1">
            <w:pPr>
              <w:spacing w:line="240" w:lineRule="exact"/>
              <w:jc w:val="center"/>
              <w:rPr>
                <w:rFonts w:ascii="Arial" w:hAnsi="Arial" w:cs="Arial"/>
              </w:rPr>
            </w:pPr>
            <w:r>
              <w:rPr>
                <w:rFonts w:ascii="Arial" w:hAnsi="Arial" w:cs="Arial"/>
              </w:rPr>
              <w:t>(minutes)</w:t>
            </w:r>
          </w:p>
        </w:tc>
        <w:tc>
          <w:tcPr>
            <w:tcW w:w="1356" w:type="dxa"/>
            <w:vAlign w:val="center"/>
          </w:tcPr>
          <w:p w:rsidR="005A11A0" w:rsidRPr="000F4ABE" w:rsidP="00F96F2C" w14:paraId="0AA6DCDD" w14:textId="184DD65A">
            <w:pPr>
              <w:spacing w:line="240" w:lineRule="exact"/>
              <w:jc w:val="center"/>
              <w:rPr>
                <w:rFonts w:ascii="Arial" w:hAnsi="Arial" w:cs="Arial"/>
              </w:rPr>
            </w:pPr>
            <w:r w:rsidRPr="000F4ABE">
              <w:rPr>
                <w:rFonts w:ascii="Arial" w:hAnsi="Arial" w:cs="Arial"/>
              </w:rPr>
              <w:t>Log hours</w:t>
            </w:r>
          </w:p>
        </w:tc>
        <w:tc>
          <w:tcPr>
            <w:tcW w:w="1113" w:type="dxa"/>
          </w:tcPr>
          <w:p w:rsidR="005A11A0" w:rsidP="005A11A0" w14:paraId="079E24AA" w14:textId="77777777">
            <w:pPr>
              <w:spacing w:line="240" w:lineRule="exact"/>
              <w:jc w:val="center"/>
              <w:rPr>
                <w:rFonts w:ascii="Arial" w:hAnsi="Arial" w:cs="Arial"/>
              </w:rPr>
            </w:pPr>
            <w:r>
              <w:rPr>
                <w:rFonts w:ascii="Arial" w:hAnsi="Arial" w:cs="Arial"/>
              </w:rPr>
              <w:t>Average</w:t>
            </w:r>
          </w:p>
          <w:p w:rsidR="005A11A0" w:rsidP="005A11A0" w14:paraId="58F13EC2" w14:textId="77777777">
            <w:pPr>
              <w:spacing w:line="240" w:lineRule="exact"/>
              <w:jc w:val="center"/>
              <w:rPr>
                <w:rFonts w:ascii="Arial" w:hAnsi="Arial" w:cs="Arial"/>
              </w:rPr>
            </w:pPr>
            <w:r>
              <w:rPr>
                <w:rFonts w:ascii="Arial" w:hAnsi="Arial" w:cs="Arial"/>
              </w:rPr>
              <w:t>Burden</w:t>
            </w:r>
          </w:p>
          <w:p w:rsidR="005A11A0" w:rsidRPr="000F4ABE" w:rsidP="005A11A0" w14:paraId="3BB3F314" w14:textId="3A0190BD">
            <w:pPr>
              <w:spacing w:line="240" w:lineRule="exact"/>
              <w:jc w:val="center"/>
              <w:rPr>
                <w:rFonts w:ascii="Arial" w:hAnsi="Arial" w:cs="Arial"/>
              </w:rPr>
            </w:pPr>
            <w:r>
              <w:rPr>
                <w:rFonts w:ascii="Arial" w:hAnsi="Arial" w:cs="Arial"/>
              </w:rPr>
              <w:t>(minutes)</w:t>
            </w:r>
          </w:p>
        </w:tc>
        <w:tc>
          <w:tcPr>
            <w:tcW w:w="1313" w:type="dxa"/>
            <w:vAlign w:val="center"/>
          </w:tcPr>
          <w:p w:rsidR="005A11A0" w:rsidRPr="000F4ABE" w:rsidP="00F96F2C" w14:paraId="3E73BB37" w14:textId="577EEF6C">
            <w:pPr>
              <w:spacing w:line="240" w:lineRule="exact"/>
              <w:jc w:val="center"/>
              <w:rPr>
                <w:rFonts w:ascii="Arial" w:hAnsi="Arial" w:cs="Arial"/>
              </w:rPr>
            </w:pPr>
            <w:r w:rsidRPr="000F4ABE">
              <w:rPr>
                <w:rFonts w:ascii="Arial" w:hAnsi="Arial" w:cs="Arial"/>
              </w:rPr>
              <w:t>Incident report hours</w:t>
            </w:r>
          </w:p>
        </w:tc>
      </w:tr>
      <w:tr w14:paraId="7428CB3D" w14:textId="77777777" w:rsidTr="00895F0B">
        <w:tblPrEx>
          <w:tblW w:w="0" w:type="auto"/>
          <w:tblLook w:val="01E0"/>
        </w:tblPrEx>
        <w:tc>
          <w:tcPr>
            <w:tcW w:w="2018" w:type="dxa"/>
          </w:tcPr>
          <w:p w:rsidR="005A11A0" w:rsidRPr="000F4ABE" w:rsidP="00F96F2C" w14:paraId="0FF071B3" w14:textId="77777777">
            <w:pPr>
              <w:spacing w:line="240" w:lineRule="exact"/>
              <w:rPr>
                <w:rFonts w:ascii="Arial" w:hAnsi="Arial" w:cs="Arial"/>
              </w:rPr>
            </w:pPr>
            <w:r w:rsidRPr="000F4ABE">
              <w:rPr>
                <w:rFonts w:ascii="Arial" w:hAnsi="Arial" w:cs="Arial"/>
              </w:rPr>
              <w:t>Private</w:t>
            </w:r>
          </w:p>
        </w:tc>
        <w:tc>
          <w:tcPr>
            <w:tcW w:w="2463" w:type="dxa"/>
          </w:tcPr>
          <w:p w:rsidR="005A11A0" w:rsidRPr="000F4ABE" w:rsidP="00921FAC" w14:paraId="1646A198" w14:textId="63695083">
            <w:pPr>
              <w:spacing w:line="240" w:lineRule="exact"/>
              <w:jc w:val="right"/>
              <w:rPr>
                <w:rFonts w:ascii="Arial" w:hAnsi="Arial" w:cs="Arial"/>
              </w:rPr>
            </w:pPr>
            <w:r>
              <w:rPr>
                <w:rFonts w:ascii="Arial" w:hAnsi="Arial" w:cs="Arial"/>
              </w:rPr>
              <w:t>25,100</w:t>
            </w:r>
          </w:p>
        </w:tc>
        <w:tc>
          <w:tcPr>
            <w:tcW w:w="1087" w:type="dxa"/>
          </w:tcPr>
          <w:p w:rsidR="005A11A0" w:rsidP="00665B64" w14:paraId="4117F6F2" w14:textId="19160330">
            <w:pPr>
              <w:spacing w:line="240" w:lineRule="exact"/>
              <w:jc w:val="right"/>
              <w:rPr>
                <w:rFonts w:ascii="Arial" w:hAnsi="Arial" w:cs="Arial"/>
              </w:rPr>
            </w:pPr>
            <w:r>
              <w:rPr>
                <w:rFonts w:ascii="Arial" w:hAnsi="Arial" w:cs="Arial"/>
              </w:rPr>
              <w:t>14</w:t>
            </w:r>
          </w:p>
        </w:tc>
        <w:tc>
          <w:tcPr>
            <w:tcW w:w="1356" w:type="dxa"/>
          </w:tcPr>
          <w:p w:rsidR="005A11A0" w:rsidRPr="000F4ABE" w:rsidP="00665B64" w14:paraId="2EB1F539" w14:textId="0D16DC8E">
            <w:pPr>
              <w:spacing w:line="240" w:lineRule="exact"/>
              <w:jc w:val="right"/>
              <w:rPr>
                <w:rFonts w:ascii="Arial" w:hAnsi="Arial" w:cs="Arial"/>
              </w:rPr>
            </w:pPr>
            <w:r>
              <w:rPr>
                <w:rFonts w:ascii="Arial" w:hAnsi="Arial" w:cs="Arial"/>
              </w:rPr>
              <w:t>5,857</w:t>
            </w:r>
          </w:p>
        </w:tc>
        <w:tc>
          <w:tcPr>
            <w:tcW w:w="1113" w:type="dxa"/>
          </w:tcPr>
          <w:p w:rsidR="005A11A0" w:rsidP="00665B64" w14:paraId="4F245B3A" w14:textId="61379541">
            <w:pPr>
              <w:spacing w:line="240" w:lineRule="exact"/>
              <w:jc w:val="right"/>
              <w:rPr>
                <w:rFonts w:ascii="Arial" w:hAnsi="Arial" w:cs="Arial"/>
              </w:rPr>
            </w:pPr>
            <w:r>
              <w:rPr>
                <w:rFonts w:ascii="Arial" w:hAnsi="Arial" w:cs="Arial"/>
              </w:rPr>
              <w:t>22</w:t>
            </w:r>
          </w:p>
        </w:tc>
        <w:tc>
          <w:tcPr>
            <w:tcW w:w="1313" w:type="dxa"/>
          </w:tcPr>
          <w:p w:rsidR="005A11A0" w:rsidRPr="000F4ABE" w:rsidP="00665B64" w14:paraId="7C195D9A" w14:textId="01810EE0">
            <w:pPr>
              <w:spacing w:line="240" w:lineRule="exact"/>
              <w:jc w:val="right"/>
              <w:rPr>
                <w:rFonts w:ascii="Arial" w:hAnsi="Arial" w:cs="Arial"/>
              </w:rPr>
            </w:pPr>
            <w:r>
              <w:rPr>
                <w:rFonts w:ascii="Arial" w:hAnsi="Arial" w:cs="Arial"/>
              </w:rPr>
              <w:t>9,203</w:t>
            </w:r>
          </w:p>
        </w:tc>
      </w:tr>
      <w:tr w14:paraId="4B46327E" w14:textId="77777777" w:rsidTr="00895F0B">
        <w:tblPrEx>
          <w:tblW w:w="0" w:type="auto"/>
          <w:tblLook w:val="01E0"/>
        </w:tblPrEx>
        <w:tc>
          <w:tcPr>
            <w:tcW w:w="2018" w:type="dxa"/>
          </w:tcPr>
          <w:p w:rsidR="005A11A0" w:rsidRPr="000F4ABE" w:rsidP="00F96F2C" w14:paraId="5C09CB62" w14:textId="77777777">
            <w:pPr>
              <w:spacing w:line="240" w:lineRule="exact"/>
              <w:rPr>
                <w:rFonts w:ascii="Arial" w:hAnsi="Arial" w:cs="Arial"/>
              </w:rPr>
            </w:pPr>
            <w:r w:rsidRPr="000F4ABE">
              <w:rPr>
                <w:rFonts w:ascii="Arial" w:hAnsi="Arial" w:cs="Arial"/>
              </w:rPr>
              <w:t>Public (voluntary)</w:t>
            </w:r>
          </w:p>
        </w:tc>
        <w:tc>
          <w:tcPr>
            <w:tcW w:w="2463" w:type="dxa"/>
          </w:tcPr>
          <w:p w:rsidR="005A11A0" w:rsidRPr="000F4ABE" w:rsidP="00921FAC" w14:paraId="7ECC61EA" w14:textId="7A7289C2">
            <w:pPr>
              <w:spacing w:line="240" w:lineRule="exact"/>
              <w:jc w:val="right"/>
              <w:rPr>
                <w:rFonts w:ascii="Arial" w:hAnsi="Arial" w:cs="Arial"/>
              </w:rPr>
            </w:pPr>
            <w:r>
              <w:rPr>
                <w:rFonts w:ascii="Arial" w:hAnsi="Arial" w:cs="Arial"/>
              </w:rPr>
              <w:t>6,000</w:t>
            </w:r>
          </w:p>
        </w:tc>
        <w:tc>
          <w:tcPr>
            <w:tcW w:w="1087" w:type="dxa"/>
          </w:tcPr>
          <w:p w:rsidR="005A11A0" w:rsidP="00665B64" w14:paraId="1E6F7942" w14:textId="1BC5A90A">
            <w:pPr>
              <w:spacing w:line="240" w:lineRule="exact"/>
              <w:jc w:val="right"/>
              <w:rPr>
                <w:rFonts w:ascii="Arial" w:hAnsi="Arial" w:cs="Arial"/>
              </w:rPr>
            </w:pPr>
            <w:r>
              <w:rPr>
                <w:rFonts w:ascii="Arial" w:hAnsi="Arial" w:cs="Arial"/>
              </w:rPr>
              <w:t>14</w:t>
            </w:r>
          </w:p>
        </w:tc>
        <w:tc>
          <w:tcPr>
            <w:tcW w:w="1356" w:type="dxa"/>
          </w:tcPr>
          <w:p w:rsidR="005A11A0" w:rsidRPr="000F4ABE" w:rsidP="00665B64" w14:paraId="01D53CC2" w14:textId="4F698711">
            <w:pPr>
              <w:spacing w:line="240" w:lineRule="exact"/>
              <w:jc w:val="right"/>
              <w:rPr>
                <w:rFonts w:ascii="Arial" w:hAnsi="Arial" w:cs="Arial"/>
              </w:rPr>
            </w:pPr>
            <w:r>
              <w:rPr>
                <w:rFonts w:ascii="Arial" w:hAnsi="Arial" w:cs="Arial"/>
              </w:rPr>
              <w:t>1,400</w:t>
            </w:r>
          </w:p>
        </w:tc>
        <w:tc>
          <w:tcPr>
            <w:tcW w:w="1113" w:type="dxa"/>
          </w:tcPr>
          <w:p w:rsidR="005A11A0" w:rsidP="00665B64" w14:paraId="0278F0F6" w14:textId="251FEB37">
            <w:pPr>
              <w:spacing w:line="240" w:lineRule="exact"/>
              <w:jc w:val="right"/>
              <w:rPr>
                <w:rFonts w:ascii="Arial" w:hAnsi="Arial" w:cs="Arial"/>
              </w:rPr>
            </w:pPr>
            <w:r>
              <w:rPr>
                <w:rFonts w:ascii="Arial" w:hAnsi="Arial" w:cs="Arial"/>
              </w:rPr>
              <w:t>22</w:t>
            </w:r>
          </w:p>
        </w:tc>
        <w:tc>
          <w:tcPr>
            <w:tcW w:w="1313" w:type="dxa"/>
          </w:tcPr>
          <w:p w:rsidR="005A11A0" w:rsidRPr="000F4ABE" w:rsidP="00665B64" w14:paraId="6C887D92" w14:textId="40CC8E39">
            <w:pPr>
              <w:spacing w:line="240" w:lineRule="exact"/>
              <w:jc w:val="right"/>
              <w:rPr>
                <w:rFonts w:ascii="Arial" w:hAnsi="Arial" w:cs="Arial"/>
              </w:rPr>
            </w:pPr>
            <w:r>
              <w:rPr>
                <w:rFonts w:ascii="Arial" w:hAnsi="Arial" w:cs="Arial"/>
              </w:rPr>
              <w:t>2,200</w:t>
            </w:r>
          </w:p>
        </w:tc>
      </w:tr>
      <w:tr w14:paraId="32FA7CB7" w14:textId="77777777" w:rsidTr="00895F0B">
        <w:tblPrEx>
          <w:tblW w:w="0" w:type="auto"/>
          <w:tblLook w:val="01E0"/>
        </w:tblPrEx>
        <w:tc>
          <w:tcPr>
            <w:tcW w:w="2018" w:type="dxa"/>
          </w:tcPr>
          <w:p w:rsidR="005A11A0" w:rsidRPr="000F4ABE" w:rsidP="00F96F2C" w14:paraId="5F0BDE45" w14:textId="77777777">
            <w:pPr>
              <w:spacing w:line="240" w:lineRule="exact"/>
              <w:rPr>
                <w:rFonts w:ascii="Arial" w:hAnsi="Arial" w:cs="Arial"/>
              </w:rPr>
            </w:pPr>
            <w:r w:rsidRPr="000F4ABE">
              <w:rPr>
                <w:rFonts w:ascii="Arial" w:hAnsi="Arial" w:cs="Arial"/>
              </w:rPr>
              <w:t>Total</w:t>
            </w:r>
          </w:p>
        </w:tc>
        <w:tc>
          <w:tcPr>
            <w:tcW w:w="2463" w:type="dxa"/>
          </w:tcPr>
          <w:p w:rsidR="005A11A0" w:rsidRPr="000F4ABE" w:rsidP="00921FAC" w14:paraId="655AD661" w14:textId="7F686AAF">
            <w:pPr>
              <w:spacing w:line="240" w:lineRule="exact"/>
              <w:jc w:val="right"/>
              <w:rPr>
                <w:rFonts w:ascii="Arial" w:hAnsi="Arial" w:cs="Arial"/>
              </w:rPr>
            </w:pPr>
            <w:r>
              <w:rPr>
                <w:rFonts w:ascii="Arial" w:hAnsi="Arial" w:cs="Arial"/>
              </w:rPr>
              <w:t>31,100</w:t>
            </w:r>
          </w:p>
        </w:tc>
        <w:tc>
          <w:tcPr>
            <w:tcW w:w="1087" w:type="dxa"/>
          </w:tcPr>
          <w:p w:rsidR="005A11A0" w:rsidP="00665B64" w14:paraId="4A01BCFD" w14:textId="13F5AFEE">
            <w:pPr>
              <w:spacing w:line="240" w:lineRule="exact"/>
              <w:jc w:val="right"/>
              <w:rPr>
                <w:rFonts w:ascii="Arial" w:hAnsi="Arial" w:cs="Arial"/>
              </w:rPr>
            </w:pPr>
            <w:r>
              <w:rPr>
                <w:rFonts w:ascii="Arial" w:hAnsi="Arial" w:cs="Arial"/>
              </w:rPr>
              <w:t>14</w:t>
            </w:r>
          </w:p>
        </w:tc>
        <w:tc>
          <w:tcPr>
            <w:tcW w:w="1356" w:type="dxa"/>
          </w:tcPr>
          <w:p w:rsidR="005A11A0" w:rsidRPr="000F4ABE" w:rsidP="00665B64" w14:paraId="68DF34DB" w14:textId="358BA9E6">
            <w:pPr>
              <w:spacing w:line="240" w:lineRule="exact"/>
              <w:jc w:val="right"/>
              <w:rPr>
                <w:rFonts w:ascii="Arial" w:hAnsi="Arial" w:cs="Arial"/>
              </w:rPr>
            </w:pPr>
            <w:r>
              <w:rPr>
                <w:rFonts w:ascii="Arial" w:hAnsi="Arial" w:cs="Arial"/>
              </w:rPr>
              <w:t>7,257</w:t>
            </w:r>
          </w:p>
        </w:tc>
        <w:tc>
          <w:tcPr>
            <w:tcW w:w="1113" w:type="dxa"/>
          </w:tcPr>
          <w:p w:rsidR="005A11A0" w:rsidP="00665B64" w14:paraId="1F09AECC" w14:textId="2B516C5B">
            <w:pPr>
              <w:spacing w:line="240" w:lineRule="exact"/>
              <w:jc w:val="right"/>
              <w:rPr>
                <w:rFonts w:ascii="Arial" w:hAnsi="Arial" w:cs="Arial"/>
              </w:rPr>
            </w:pPr>
            <w:r>
              <w:rPr>
                <w:rFonts w:ascii="Arial" w:hAnsi="Arial" w:cs="Arial"/>
              </w:rPr>
              <w:t>22</w:t>
            </w:r>
          </w:p>
        </w:tc>
        <w:tc>
          <w:tcPr>
            <w:tcW w:w="1313" w:type="dxa"/>
          </w:tcPr>
          <w:p w:rsidR="005A11A0" w:rsidRPr="000F4ABE" w:rsidP="00665B64" w14:paraId="55FBABCB" w14:textId="74C0AF15">
            <w:pPr>
              <w:spacing w:line="240" w:lineRule="exact"/>
              <w:jc w:val="right"/>
              <w:rPr>
                <w:rFonts w:ascii="Arial" w:hAnsi="Arial" w:cs="Arial"/>
              </w:rPr>
            </w:pPr>
            <w:r>
              <w:rPr>
                <w:rFonts w:ascii="Arial" w:hAnsi="Arial" w:cs="Arial"/>
              </w:rPr>
              <w:t>11,403</w:t>
            </w:r>
          </w:p>
        </w:tc>
      </w:tr>
    </w:tbl>
    <w:p w:rsidR="00D17977" w:rsidP="00D17977" w14:paraId="4E8F3685" w14:textId="77777777">
      <w:pPr>
        <w:spacing w:line="240" w:lineRule="exact"/>
        <w:rPr>
          <w:rFonts w:ascii="Arial" w:hAnsi="Arial" w:cs="Arial"/>
          <w:b/>
        </w:rPr>
      </w:pPr>
    </w:p>
    <w:p w:rsidR="00D17977" w:rsidRPr="000F4ABE" w:rsidP="00D17977" w14:paraId="094543D3" w14:textId="25D0CFC1">
      <w:pPr>
        <w:spacing w:line="240" w:lineRule="exact"/>
        <w:rPr>
          <w:rFonts w:ascii="Arial" w:hAnsi="Arial" w:cs="Arial"/>
        </w:rPr>
      </w:pPr>
      <w:r w:rsidRPr="00A16477">
        <w:rPr>
          <w:rFonts w:ascii="Arial" w:hAnsi="Arial" w:cs="Arial"/>
          <w:b/>
        </w:rPr>
        <w:t xml:space="preserve">Table </w:t>
      </w:r>
      <w:r w:rsidR="00160C94">
        <w:rPr>
          <w:rFonts w:ascii="Arial" w:hAnsi="Arial" w:cs="Arial"/>
          <w:b/>
        </w:rPr>
        <w:t>7</w:t>
      </w:r>
      <w:r w:rsidRPr="00A16477">
        <w:rPr>
          <w:rFonts w:ascii="Arial" w:hAnsi="Arial" w:cs="Arial"/>
          <w:b/>
        </w:rPr>
        <w:t>.</w:t>
      </w:r>
      <w:r>
        <w:rPr>
          <w:rFonts w:ascii="Arial" w:hAnsi="Arial" w:cs="Arial"/>
        </w:rPr>
        <w:t xml:space="preserve"> Total Recording Burden for </w:t>
      </w:r>
      <w:r w:rsidR="00174EC6">
        <w:rPr>
          <w:rFonts w:ascii="Arial" w:hAnsi="Arial" w:cs="Arial"/>
        </w:rPr>
        <w:t>Form 9300 Part I and Part II</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6190"/>
      </w:tblGrid>
      <w:tr w14:paraId="32086CA1" w14:textId="77777777" w:rsidTr="00F96F2C">
        <w:tblPrEx>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92" w:type="dxa"/>
          </w:tcPr>
          <w:p w:rsidR="00D17977" w:rsidRPr="000F4ABE" w:rsidP="00F96F2C" w14:paraId="4147ABFA" w14:textId="77777777">
            <w:pPr>
              <w:spacing w:line="240" w:lineRule="exact"/>
              <w:jc w:val="center"/>
              <w:rPr>
                <w:rFonts w:ascii="Arial" w:hAnsi="Arial" w:cs="Arial"/>
              </w:rPr>
            </w:pPr>
            <w:r w:rsidRPr="000F4ABE">
              <w:rPr>
                <w:rFonts w:ascii="Arial" w:hAnsi="Arial" w:cs="Arial"/>
              </w:rPr>
              <w:t>Sector</w:t>
            </w:r>
          </w:p>
        </w:tc>
        <w:tc>
          <w:tcPr>
            <w:tcW w:w="6190" w:type="dxa"/>
          </w:tcPr>
          <w:p w:rsidR="00D17977" w:rsidRPr="000F4ABE" w:rsidP="00F96F2C" w14:paraId="759D63BE" w14:textId="77777777">
            <w:pPr>
              <w:spacing w:line="240" w:lineRule="exact"/>
              <w:jc w:val="center"/>
              <w:rPr>
                <w:rFonts w:ascii="Arial" w:hAnsi="Arial" w:cs="Arial"/>
              </w:rPr>
            </w:pPr>
            <w:r w:rsidRPr="000F4ABE">
              <w:rPr>
                <w:rFonts w:ascii="Arial" w:hAnsi="Arial" w:cs="Arial"/>
              </w:rPr>
              <w:t>Hours</w:t>
            </w:r>
          </w:p>
        </w:tc>
      </w:tr>
      <w:tr w14:paraId="6FCA1CE3" w14:textId="77777777" w:rsidTr="00F96F2C">
        <w:tblPrEx>
          <w:tblW w:w="9382" w:type="dxa"/>
          <w:tblLook w:val="01E0"/>
        </w:tblPrEx>
        <w:tc>
          <w:tcPr>
            <w:tcW w:w="3192" w:type="dxa"/>
          </w:tcPr>
          <w:p w:rsidR="00D17977" w:rsidRPr="000F4ABE" w:rsidP="00F96F2C" w14:paraId="083C3907" w14:textId="77777777">
            <w:pPr>
              <w:spacing w:line="240" w:lineRule="exact"/>
              <w:rPr>
                <w:rFonts w:ascii="Arial" w:hAnsi="Arial" w:cs="Arial"/>
              </w:rPr>
            </w:pPr>
            <w:r w:rsidRPr="000F4ABE">
              <w:rPr>
                <w:rFonts w:ascii="Arial" w:hAnsi="Arial" w:cs="Arial"/>
              </w:rPr>
              <w:t>Private</w:t>
            </w:r>
          </w:p>
        </w:tc>
        <w:tc>
          <w:tcPr>
            <w:tcW w:w="6190" w:type="dxa"/>
          </w:tcPr>
          <w:p w:rsidR="00D17977" w:rsidRPr="000F4ABE" w:rsidP="00921FAC" w14:paraId="09648189" w14:textId="1D5D2F09">
            <w:pPr>
              <w:spacing w:line="240" w:lineRule="exact"/>
              <w:jc w:val="right"/>
              <w:rPr>
                <w:rFonts w:ascii="Arial" w:hAnsi="Arial" w:cs="Arial"/>
              </w:rPr>
            </w:pPr>
            <w:r>
              <w:rPr>
                <w:rFonts w:ascii="Arial" w:hAnsi="Arial" w:cs="Arial"/>
              </w:rPr>
              <w:t>92,393</w:t>
            </w:r>
            <w:r w:rsidRPr="00B862A6" w:rsidR="00B862A6">
              <w:rPr>
                <w:rFonts w:ascii="Arial" w:hAnsi="Arial" w:cs="Arial"/>
              </w:rPr>
              <w:t xml:space="preserve"> (</w:t>
            </w:r>
            <w:r>
              <w:rPr>
                <w:rFonts w:ascii="Arial" w:hAnsi="Arial" w:cs="Arial"/>
              </w:rPr>
              <w:t>77,333 + 5,857 + 9,203</w:t>
            </w:r>
            <w:r w:rsidRPr="00B862A6" w:rsidR="00B862A6">
              <w:rPr>
                <w:rFonts w:ascii="Arial" w:hAnsi="Arial" w:cs="Arial"/>
              </w:rPr>
              <w:t>)</w:t>
            </w:r>
          </w:p>
        </w:tc>
      </w:tr>
      <w:tr w14:paraId="24795967" w14:textId="77777777" w:rsidTr="00F96F2C">
        <w:tblPrEx>
          <w:tblW w:w="9382" w:type="dxa"/>
          <w:tblLook w:val="01E0"/>
        </w:tblPrEx>
        <w:tc>
          <w:tcPr>
            <w:tcW w:w="3192" w:type="dxa"/>
          </w:tcPr>
          <w:p w:rsidR="00D17977" w:rsidRPr="000F4ABE" w:rsidP="00F96F2C" w14:paraId="37C3328B" w14:textId="77777777">
            <w:pPr>
              <w:spacing w:line="240" w:lineRule="exact"/>
              <w:rPr>
                <w:rFonts w:ascii="Arial" w:hAnsi="Arial" w:cs="Arial"/>
              </w:rPr>
            </w:pPr>
            <w:r w:rsidRPr="000F4ABE">
              <w:rPr>
                <w:rFonts w:ascii="Arial" w:hAnsi="Arial" w:cs="Arial"/>
              </w:rPr>
              <w:t>Public (voluntary)</w:t>
            </w:r>
          </w:p>
        </w:tc>
        <w:tc>
          <w:tcPr>
            <w:tcW w:w="6190" w:type="dxa"/>
          </w:tcPr>
          <w:p w:rsidR="00D17977" w:rsidRPr="000F4ABE" w:rsidP="00921FAC" w14:paraId="5676BE8F" w14:textId="025CBC8D">
            <w:pPr>
              <w:spacing w:line="240" w:lineRule="exact"/>
              <w:jc w:val="right"/>
              <w:rPr>
                <w:rFonts w:ascii="Arial" w:hAnsi="Arial" w:cs="Arial"/>
              </w:rPr>
            </w:pPr>
            <w:r>
              <w:rPr>
                <w:rFonts w:ascii="Arial" w:hAnsi="Arial" w:cs="Arial"/>
              </w:rPr>
              <w:t>9,207</w:t>
            </w:r>
            <w:r w:rsidRPr="00B862A6" w:rsidR="00B862A6">
              <w:rPr>
                <w:rFonts w:ascii="Arial" w:hAnsi="Arial" w:cs="Arial"/>
              </w:rPr>
              <w:t xml:space="preserve"> (</w:t>
            </w:r>
            <w:r>
              <w:rPr>
                <w:rFonts w:ascii="Arial" w:hAnsi="Arial" w:cs="Arial"/>
              </w:rPr>
              <w:t>5,607 + 1,400 + 2,200</w:t>
            </w:r>
            <w:r w:rsidRPr="00B862A6" w:rsidR="00B862A6">
              <w:rPr>
                <w:rFonts w:ascii="Arial" w:hAnsi="Arial" w:cs="Arial"/>
              </w:rPr>
              <w:t>)</w:t>
            </w:r>
          </w:p>
        </w:tc>
      </w:tr>
      <w:tr w14:paraId="66041FF9" w14:textId="77777777" w:rsidTr="00F96F2C">
        <w:tblPrEx>
          <w:tblW w:w="9382" w:type="dxa"/>
          <w:tblLook w:val="01E0"/>
        </w:tblPrEx>
        <w:trPr>
          <w:trHeight w:val="58"/>
        </w:trPr>
        <w:tc>
          <w:tcPr>
            <w:tcW w:w="3192" w:type="dxa"/>
          </w:tcPr>
          <w:p w:rsidR="00D17977" w:rsidRPr="000F4ABE" w:rsidP="00F96F2C" w14:paraId="5E679C02" w14:textId="77777777">
            <w:pPr>
              <w:spacing w:line="240" w:lineRule="exact"/>
              <w:rPr>
                <w:rFonts w:ascii="Arial" w:hAnsi="Arial" w:cs="Arial"/>
              </w:rPr>
            </w:pPr>
            <w:r w:rsidRPr="000F4ABE">
              <w:rPr>
                <w:rFonts w:ascii="Arial" w:hAnsi="Arial" w:cs="Arial"/>
              </w:rPr>
              <w:t>Total</w:t>
            </w:r>
          </w:p>
        </w:tc>
        <w:tc>
          <w:tcPr>
            <w:tcW w:w="6190" w:type="dxa"/>
          </w:tcPr>
          <w:p w:rsidR="00D17977" w:rsidRPr="000F4ABE" w:rsidP="00921FAC" w14:paraId="47D8DF87" w14:textId="624F05F6">
            <w:pPr>
              <w:spacing w:line="240" w:lineRule="exact"/>
              <w:jc w:val="right"/>
              <w:rPr>
                <w:rFonts w:ascii="Arial" w:hAnsi="Arial" w:cs="Arial"/>
              </w:rPr>
            </w:pPr>
            <w:r>
              <w:rPr>
                <w:rFonts w:ascii="Arial" w:hAnsi="Arial" w:cs="Arial"/>
              </w:rPr>
              <w:t>101,600</w:t>
            </w:r>
          </w:p>
        </w:tc>
      </w:tr>
    </w:tbl>
    <w:p w:rsidR="004E729C" w:rsidRPr="000F4ABE" w:rsidP="00D17977" w14:paraId="44C92E56" w14:textId="01284EE9">
      <w:pPr>
        <w:spacing w:line="240" w:lineRule="exact"/>
        <w:rPr>
          <w:rFonts w:ascii="Arial" w:hAnsi="Arial" w:cs="Arial"/>
        </w:rPr>
      </w:pPr>
    </w:p>
    <w:p w:rsidR="00D17977" w:rsidRPr="005F4E87" w:rsidP="00D17977" w14:paraId="79704320" w14:textId="77777777">
      <w:pPr>
        <w:spacing w:line="240" w:lineRule="exact"/>
        <w:rPr>
          <w:rFonts w:ascii="Arial" w:hAnsi="Arial" w:cs="Arial"/>
          <w:b/>
        </w:rPr>
      </w:pPr>
      <w:r w:rsidRPr="005F4E87">
        <w:rPr>
          <w:rFonts w:ascii="Arial" w:hAnsi="Arial" w:cs="Arial"/>
          <w:b/>
          <w:u w:val="single"/>
        </w:rPr>
        <w:t>Total SOII Burden</w:t>
      </w:r>
      <w:r w:rsidRPr="005F4E87">
        <w:rPr>
          <w:rFonts w:ascii="Arial" w:hAnsi="Arial" w:cs="Arial"/>
          <w:b/>
        </w:rPr>
        <w:t>.</w:t>
      </w:r>
    </w:p>
    <w:p w:rsidR="00D17977" w:rsidRPr="000F4ABE" w:rsidP="00D17977" w14:paraId="62CC0E25" w14:textId="77777777">
      <w:pPr>
        <w:spacing w:line="240" w:lineRule="exact"/>
        <w:rPr>
          <w:rFonts w:ascii="Arial" w:hAnsi="Arial" w:cs="Arial"/>
        </w:rPr>
      </w:pPr>
    </w:p>
    <w:p w:rsidR="00D17977" w:rsidRPr="000F4ABE" w:rsidP="00D17977" w14:paraId="49479475" w14:textId="3217DC27">
      <w:pPr>
        <w:spacing w:after="120"/>
        <w:rPr>
          <w:rFonts w:ascii="Arial" w:hAnsi="Arial" w:cs="Arial"/>
        </w:rPr>
      </w:pPr>
      <w:r w:rsidRPr="000F4ABE">
        <w:rPr>
          <w:rFonts w:ascii="Arial" w:hAnsi="Arial" w:cs="Arial"/>
        </w:rPr>
        <w:t>Combined burden for recording (</w:t>
      </w:r>
      <w:r w:rsidR="009F3EDC">
        <w:rPr>
          <w:rFonts w:ascii="Arial" w:hAnsi="Arial" w:cs="Arial"/>
        </w:rPr>
        <w:t>113,304</w:t>
      </w:r>
      <w:r w:rsidRPr="000F4ABE">
        <w:rPr>
          <w:rFonts w:ascii="Arial" w:hAnsi="Arial" w:cs="Arial"/>
        </w:rPr>
        <w:t>) plus reporting (</w:t>
      </w:r>
      <w:r w:rsidR="007B61C6">
        <w:rPr>
          <w:rFonts w:ascii="Arial" w:hAnsi="Arial" w:cs="Arial"/>
        </w:rPr>
        <w:t>101,600</w:t>
      </w:r>
      <w:r w:rsidRPr="000F4ABE">
        <w:rPr>
          <w:rFonts w:ascii="Arial" w:hAnsi="Arial" w:cs="Arial"/>
        </w:rPr>
        <w:t xml:space="preserve">) on the BLS Form 9300 </w:t>
      </w:r>
      <w:r w:rsidR="009F3EDC">
        <w:rPr>
          <w:rFonts w:ascii="Arial" w:hAnsi="Arial" w:cs="Arial"/>
        </w:rPr>
        <w:t xml:space="preserve">pre-collection letter test </w:t>
      </w:r>
      <w:r w:rsidRPr="000F4ABE">
        <w:rPr>
          <w:rFonts w:ascii="Arial" w:hAnsi="Arial" w:cs="Arial"/>
        </w:rPr>
        <w:t xml:space="preserve">is </w:t>
      </w:r>
      <w:r w:rsidR="009F3EDC">
        <w:rPr>
          <w:rFonts w:ascii="Arial" w:hAnsi="Arial" w:cs="Arial"/>
        </w:rPr>
        <w:t>214,</w:t>
      </w:r>
      <w:r w:rsidR="002A05EB">
        <w:rPr>
          <w:rFonts w:ascii="Arial" w:hAnsi="Arial" w:cs="Arial"/>
        </w:rPr>
        <w:t xml:space="preserve">904 </w:t>
      </w:r>
      <w:r w:rsidRPr="000F4ABE">
        <w:rPr>
          <w:rFonts w:ascii="Arial" w:hAnsi="Arial" w:cs="Arial"/>
        </w:rPr>
        <w:t>hours</w:t>
      </w:r>
      <w:r w:rsidR="009F3EDC">
        <w:rPr>
          <w:rFonts w:ascii="Arial" w:hAnsi="Arial" w:cs="Arial"/>
        </w:rPr>
        <w:t xml:space="preserve"> for the single year in which the pre-collection letter test will be conducted</w:t>
      </w:r>
      <w:r w:rsidRPr="000F4ABE">
        <w:rPr>
          <w:rFonts w:ascii="Arial" w:hAnsi="Arial" w:cs="Arial"/>
        </w:rPr>
        <w:t>.</w:t>
      </w:r>
      <w:r w:rsidR="009F3EDC">
        <w:rPr>
          <w:rFonts w:ascii="Arial" w:hAnsi="Arial" w:cs="Arial"/>
        </w:rPr>
        <w:t xml:space="preserve"> Otherwise, the combined burden for recording (113,034) plus reporting (101,600) on the BLS for 9300 is 214,634 hours.</w:t>
      </w:r>
    </w:p>
    <w:p w:rsidR="00D17977" w:rsidP="00D17977" w14:paraId="5A171F60" w14:textId="77777777">
      <w:pPr>
        <w:spacing w:line="240" w:lineRule="exact"/>
        <w:rPr>
          <w:rFonts w:ascii="Arial" w:hAnsi="Arial" w:cs="Arial"/>
          <w:b/>
        </w:rPr>
      </w:pPr>
    </w:p>
    <w:p w:rsidR="00D17977" w:rsidRPr="000F4ABE" w:rsidP="00D17977" w14:paraId="441B7BAB" w14:textId="0E4A1CC4">
      <w:pPr>
        <w:spacing w:line="240" w:lineRule="exact"/>
        <w:rPr>
          <w:rFonts w:ascii="Arial" w:hAnsi="Arial" w:cs="Arial"/>
        </w:rPr>
      </w:pPr>
      <w:r w:rsidRPr="000B7003">
        <w:rPr>
          <w:rFonts w:ascii="Arial" w:hAnsi="Arial" w:cs="Arial"/>
          <w:b/>
        </w:rPr>
        <w:t xml:space="preserve">Table </w:t>
      </w:r>
      <w:r w:rsidR="00160C94">
        <w:rPr>
          <w:rFonts w:ascii="Arial" w:hAnsi="Arial" w:cs="Arial"/>
          <w:b/>
        </w:rPr>
        <w:t>8</w:t>
      </w:r>
      <w:r w:rsidR="00274763">
        <w:rPr>
          <w:rFonts w:ascii="Arial" w:hAnsi="Arial" w:cs="Arial"/>
          <w:b/>
        </w:rPr>
        <w:t>a</w:t>
      </w:r>
      <w:r w:rsidRPr="000B7003">
        <w:rPr>
          <w:rFonts w:ascii="Arial" w:hAnsi="Arial" w:cs="Arial"/>
          <w:b/>
        </w:rPr>
        <w:t>.</w:t>
      </w:r>
      <w:r>
        <w:rPr>
          <w:rFonts w:ascii="Arial" w:hAnsi="Arial" w:cs="Arial"/>
        </w:rPr>
        <w:t xml:space="preserve"> Total SOII Recording and Reporting Burden</w:t>
      </w:r>
      <w:r w:rsidR="00470C72">
        <w:rPr>
          <w:rFonts w:ascii="Arial" w:hAnsi="Arial" w:cs="Arial"/>
        </w:rPr>
        <w:t>, including pre-collection test</w:t>
      </w:r>
      <w:r w:rsidRPr="000F4AB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2"/>
        <w:gridCol w:w="1620"/>
        <w:gridCol w:w="5458"/>
      </w:tblGrid>
      <w:tr w14:paraId="5F9FA60B" w14:textId="77777777" w:rsidTr="00F96F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72" w:type="dxa"/>
          </w:tcPr>
          <w:p w:rsidR="00D17977" w:rsidRPr="000F4ABE" w:rsidP="00F96F2C" w14:paraId="6D642822" w14:textId="77777777">
            <w:pPr>
              <w:spacing w:line="240" w:lineRule="exact"/>
              <w:jc w:val="center"/>
              <w:rPr>
                <w:rFonts w:ascii="Arial" w:hAnsi="Arial" w:cs="Arial"/>
              </w:rPr>
            </w:pPr>
            <w:r w:rsidRPr="000F4ABE">
              <w:rPr>
                <w:rFonts w:ascii="Arial" w:hAnsi="Arial" w:cs="Arial"/>
              </w:rPr>
              <w:t>Sector</w:t>
            </w:r>
          </w:p>
        </w:tc>
        <w:tc>
          <w:tcPr>
            <w:tcW w:w="1620" w:type="dxa"/>
          </w:tcPr>
          <w:p w:rsidR="00D17977" w:rsidRPr="000F4ABE" w:rsidP="00F96F2C" w14:paraId="36649876" w14:textId="77777777">
            <w:pPr>
              <w:spacing w:line="240" w:lineRule="exact"/>
              <w:jc w:val="center"/>
              <w:rPr>
                <w:rFonts w:ascii="Arial" w:hAnsi="Arial" w:cs="Arial"/>
              </w:rPr>
            </w:pPr>
            <w:r w:rsidRPr="000F4ABE">
              <w:rPr>
                <w:rFonts w:ascii="Arial" w:hAnsi="Arial" w:cs="Arial"/>
              </w:rPr>
              <w:t>Sample units</w:t>
            </w:r>
          </w:p>
        </w:tc>
        <w:tc>
          <w:tcPr>
            <w:tcW w:w="5458" w:type="dxa"/>
          </w:tcPr>
          <w:p w:rsidR="00D17977" w:rsidRPr="000F4ABE" w:rsidP="00F96F2C" w14:paraId="4C39C74D" w14:textId="77777777">
            <w:pPr>
              <w:spacing w:line="240" w:lineRule="exact"/>
              <w:jc w:val="center"/>
              <w:rPr>
                <w:rFonts w:ascii="Arial" w:hAnsi="Arial" w:cs="Arial"/>
              </w:rPr>
            </w:pPr>
            <w:r w:rsidRPr="000F4ABE">
              <w:rPr>
                <w:rFonts w:ascii="Arial" w:hAnsi="Arial" w:cs="Arial"/>
              </w:rPr>
              <w:t>Hours</w:t>
            </w:r>
          </w:p>
        </w:tc>
      </w:tr>
      <w:tr w14:paraId="2B854857" w14:textId="77777777" w:rsidTr="00F96F2C">
        <w:tblPrEx>
          <w:tblW w:w="0" w:type="auto"/>
          <w:tblLayout w:type="fixed"/>
          <w:tblLook w:val="01E0"/>
        </w:tblPrEx>
        <w:tc>
          <w:tcPr>
            <w:tcW w:w="2272" w:type="dxa"/>
          </w:tcPr>
          <w:p w:rsidR="00D17977" w:rsidRPr="000F4ABE" w:rsidP="00F96F2C" w14:paraId="0AB1E25E" w14:textId="77777777">
            <w:pPr>
              <w:spacing w:line="240" w:lineRule="exact"/>
              <w:rPr>
                <w:rFonts w:ascii="Arial" w:hAnsi="Arial" w:cs="Arial"/>
              </w:rPr>
            </w:pPr>
            <w:r w:rsidRPr="000F4ABE">
              <w:rPr>
                <w:rFonts w:ascii="Arial" w:hAnsi="Arial" w:cs="Arial"/>
              </w:rPr>
              <w:t>Private</w:t>
            </w:r>
          </w:p>
        </w:tc>
        <w:tc>
          <w:tcPr>
            <w:tcW w:w="1620" w:type="dxa"/>
          </w:tcPr>
          <w:p w:rsidR="00D17977" w:rsidRPr="000F4ABE" w:rsidP="00F96F2C" w14:paraId="6545F8FA" w14:textId="7876F8DB">
            <w:pPr>
              <w:spacing w:line="240" w:lineRule="exact"/>
              <w:jc w:val="right"/>
              <w:rPr>
                <w:rFonts w:ascii="Arial" w:hAnsi="Arial" w:cs="Arial"/>
              </w:rPr>
            </w:pPr>
            <w:r>
              <w:rPr>
                <w:rFonts w:ascii="Arial" w:hAnsi="Arial" w:cs="Arial"/>
              </w:rPr>
              <w:t>207,300</w:t>
            </w:r>
          </w:p>
        </w:tc>
        <w:tc>
          <w:tcPr>
            <w:tcW w:w="5458" w:type="dxa"/>
          </w:tcPr>
          <w:p w:rsidR="00D17977" w:rsidRPr="000F4ABE" w:rsidP="00921FAC" w14:paraId="486D7DF0" w14:textId="63204F19">
            <w:pPr>
              <w:spacing w:line="240" w:lineRule="exact"/>
              <w:jc w:val="right"/>
              <w:rPr>
                <w:rFonts w:ascii="Arial" w:hAnsi="Arial" w:cs="Arial"/>
              </w:rPr>
            </w:pPr>
            <w:r>
              <w:rPr>
                <w:rFonts w:ascii="Arial" w:hAnsi="Arial" w:cs="Arial"/>
              </w:rPr>
              <w:t>190,9</w:t>
            </w:r>
            <w:r w:rsidR="00DB2E06">
              <w:rPr>
                <w:rFonts w:ascii="Arial" w:hAnsi="Arial" w:cs="Arial"/>
              </w:rPr>
              <w:t>6</w:t>
            </w:r>
            <w:r>
              <w:rPr>
                <w:rFonts w:ascii="Arial" w:hAnsi="Arial" w:cs="Arial"/>
              </w:rPr>
              <w:t>3</w:t>
            </w:r>
            <w:r w:rsidRPr="00374D40" w:rsidR="00374D40">
              <w:rPr>
                <w:rFonts w:ascii="Arial" w:hAnsi="Arial" w:cs="Arial"/>
              </w:rPr>
              <w:t xml:space="preserve"> (</w:t>
            </w:r>
            <w:r w:rsidR="00B46377">
              <w:rPr>
                <w:rFonts w:ascii="Arial" w:hAnsi="Arial" w:cs="Arial"/>
              </w:rPr>
              <w:t>34,</w:t>
            </w:r>
            <w:r w:rsidR="006D04BF">
              <w:rPr>
                <w:rFonts w:ascii="Arial" w:hAnsi="Arial" w:cs="Arial"/>
              </w:rPr>
              <w:t xml:space="preserve">550 </w:t>
            </w:r>
            <w:r w:rsidR="00B46377">
              <w:rPr>
                <w:rFonts w:ascii="Arial" w:hAnsi="Arial" w:cs="Arial"/>
              </w:rPr>
              <w:t xml:space="preserve">+ 63,750 </w:t>
            </w:r>
            <w:r>
              <w:rPr>
                <w:rFonts w:ascii="Arial" w:hAnsi="Arial" w:cs="Arial"/>
              </w:rPr>
              <w:t xml:space="preserve">+ 270 </w:t>
            </w:r>
            <w:r w:rsidR="00B46377">
              <w:rPr>
                <w:rFonts w:ascii="Arial" w:hAnsi="Arial" w:cs="Arial"/>
              </w:rPr>
              <w:t>+ 77,333 + 5,857 + 9,203</w:t>
            </w:r>
            <w:r w:rsidR="00C74762">
              <w:rPr>
                <w:rFonts w:ascii="Arial" w:hAnsi="Arial" w:cs="Arial"/>
              </w:rPr>
              <w:t>)</w:t>
            </w:r>
          </w:p>
        </w:tc>
      </w:tr>
      <w:tr w14:paraId="20D22EE5" w14:textId="77777777" w:rsidTr="00F96F2C">
        <w:tblPrEx>
          <w:tblW w:w="0" w:type="auto"/>
          <w:tblLayout w:type="fixed"/>
          <w:tblLook w:val="01E0"/>
        </w:tblPrEx>
        <w:tc>
          <w:tcPr>
            <w:tcW w:w="2272" w:type="dxa"/>
          </w:tcPr>
          <w:p w:rsidR="00D17977" w:rsidRPr="000F4ABE" w:rsidP="00F96F2C" w14:paraId="3334F784" w14:textId="77777777">
            <w:pPr>
              <w:spacing w:line="240" w:lineRule="exact"/>
              <w:rPr>
                <w:rFonts w:ascii="Arial" w:hAnsi="Arial" w:cs="Arial"/>
              </w:rPr>
            </w:pPr>
            <w:r w:rsidRPr="000F4ABE">
              <w:rPr>
                <w:rFonts w:ascii="Arial" w:hAnsi="Arial" w:cs="Arial"/>
              </w:rPr>
              <w:t>Public (mandatory)</w:t>
            </w:r>
          </w:p>
        </w:tc>
        <w:tc>
          <w:tcPr>
            <w:tcW w:w="1620" w:type="dxa"/>
          </w:tcPr>
          <w:p w:rsidR="00D17977" w:rsidRPr="000F4ABE" w:rsidP="00E0258B" w14:paraId="1208487D" w14:textId="3C042669">
            <w:pPr>
              <w:spacing w:line="240" w:lineRule="exact"/>
              <w:jc w:val="right"/>
              <w:rPr>
                <w:rFonts w:ascii="Arial" w:hAnsi="Arial" w:cs="Arial"/>
              </w:rPr>
            </w:pPr>
            <w:r>
              <w:rPr>
                <w:rFonts w:ascii="Arial" w:hAnsi="Arial" w:cs="Arial"/>
              </w:rPr>
              <w:t>15,100</w:t>
            </w:r>
          </w:p>
        </w:tc>
        <w:tc>
          <w:tcPr>
            <w:tcW w:w="5458" w:type="dxa"/>
          </w:tcPr>
          <w:p w:rsidR="00D17977" w:rsidRPr="000F4ABE" w:rsidP="00921FAC" w14:paraId="62D1AC77" w14:textId="7F3D791D">
            <w:pPr>
              <w:spacing w:line="240" w:lineRule="exact"/>
              <w:jc w:val="right"/>
              <w:rPr>
                <w:rFonts w:ascii="Arial" w:hAnsi="Arial" w:cs="Arial"/>
              </w:rPr>
            </w:pPr>
            <w:r>
              <w:rPr>
                <w:rFonts w:ascii="Arial" w:hAnsi="Arial" w:cs="Arial"/>
              </w:rPr>
              <w:t>11,892 (2,517 + 9,375)</w:t>
            </w:r>
          </w:p>
        </w:tc>
      </w:tr>
      <w:tr w14:paraId="68889E36" w14:textId="77777777" w:rsidTr="00F96F2C">
        <w:tblPrEx>
          <w:tblW w:w="0" w:type="auto"/>
          <w:tblLayout w:type="fixed"/>
          <w:tblLook w:val="01E0"/>
        </w:tblPrEx>
        <w:trPr>
          <w:trHeight w:val="269"/>
        </w:trPr>
        <w:tc>
          <w:tcPr>
            <w:tcW w:w="2272" w:type="dxa"/>
          </w:tcPr>
          <w:p w:rsidR="00D17977" w:rsidRPr="000F4ABE" w:rsidP="00F96F2C" w14:paraId="3A5DBC9E" w14:textId="77777777">
            <w:pPr>
              <w:spacing w:line="240" w:lineRule="exact"/>
              <w:rPr>
                <w:rFonts w:ascii="Arial" w:hAnsi="Arial" w:cs="Arial"/>
              </w:rPr>
            </w:pPr>
            <w:r w:rsidRPr="000F4ABE">
              <w:rPr>
                <w:rFonts w:ascii="Arial" w:hAnsi="Arial" w:cs="Arial"/>
              </w:rPr>
              <w:t>Public (voluntary)</w:t>
            </w:r>
          </w:p>
        </w:tc>
        <w:tc>
          <w:tcPr>
            <w:tcW w:w="1620" w:type="dxa"/>
          </w:tcPr>
          <w:p w:rsidR="00D17977" w:rsidRPr="000F4ABE" w:rsidP="00F96F2C" w14:paraId="3919C06E" w14:textId="44E604A9">
            <w:pPr>
              <w:spacing w:line="240" w:lineRule="exact"/>
              <w:jc w:val="right"/>
              <w:rPr>
                <w:rFonts w:ascii="Arial" w:hAnsi="Arial" w:cs="Arial"/>
              </w:rPr>
            </w:pPr>
            <w:r>
              <w:rPr>
                <w:rFonts w:ascii="Arial" w:hAnsi="Arial" w:cs="Arial"/>
              </w:rPr>
              <w:t>5,800</w:t>
            </w:r>
          </w:p>
        </w:tc>
        <w:tc>
          <w:tcPr>
            <w:tcW w:w="5458" w:type="dxa"/>
          </w:tcPr>
          <w:p w:rsidR="00D17977" w:rsidRPr="000F4ABE" w:rsidP="00921FAC" w14:paraId="2BF81D4B" w14:textId="5290A57F">
            <w:pPr>
              <w:spacing w:line="240" w:lineRule="exact"/>
              <w:jc w:val="right"/>
              <w:rPr>
                <w:rFonts w:ascii="Arial" w:hAnsi="Arial" w:cs="Arial"/>
              </w:rPr>
            </w:pPr>
            <w:r>
              <w:rPr>
                <w:rFonts w:ascii="Arial" w:hAnsi="Arial" w:cs="Arial"/>
              </w:rPr>
              <w:t>12,049</w:t>
            </w:r>
            <w:r w:rsidRPr="00374D40" w:rsidR="00374D40">
              <w:rPr>
                <w:rFonts w:ascii="Arial" w:hAnsi="Arial" w:cs="Arial"/>
              </w:rPr>
              <w:t xml:space="preserve"> (</w:t>
            </w:r>
            <w:r w:rsidR="00B46377">
              <w:rPr>
                <w:rFonts w:ascii="Arial" w:hAnsi="Arial" w:cs="Arial"/>
              </w:rPr>
              <w:t>967 + 1,875 + 5,607 + 1,400+ 2,200</w:t>
            </w:r>
            <w:r w:rsidR="0012559C">
              <w:rPr>
                <w:rFonts w:ascii="Arial" w:hAnsi="Arial" w:cs="Arial"/>
              </w:rPr>
              <w:t>)</w:t>
            </w:r>
          </w:p>
        </w:tc>
      </w:tr>
      <w:tr w14:paraId="6852D26F" w14:textId="77777777" w:rsidTr="00F96F2C">
        <w:tblPrEx>
          <w:tblW w:w="0" w:type="auto"/>
          <w:tblLayout w:type="fixed"/>
          <w:tblLook w:val="01E0"/>
        </w:tblPrEx>
        <w:tc>
          <w:tcPr>
            <w:tcW w:w="2272" w:type="dxa"/>
          </w:tcPr>
          <w:p w:rsidR="00D17977" w:rsidRPr="000F4ABE" w:rsidP="00F96F2C" w14:paraId="5C2A60E5" w14:textId="77777777">
            <w:pPr>
              <w:spacing w:line="240" w:lineRule="exact"/>
              <w:rPr>
                <w:rFonts w:ascii="Arial" w:hAnsi="Arial" w:cs="Arial"/>
              </w:rPr>
            </w:pPr>
            <w:r w:rsidRPr="000F4ABE">
              <w:rPr>
                <w:rFonts w:ascii="Arial" w:hAnsi="Arial" w:cs="Arial"/>
              </w:rPr>
              <w:t>Total</w:t>
            </w:r>
          </w:p>
        </w:tc>
        <w:tc>
          <w:tcPr>
            <w:tcW w:w="1620" w:type="dxa"/>
          </w:tcPr>
          <w:p w:rsidR="00D17977" w:rsidRPr="000F4ABE" w:rsidP="00E0258B" w14:paraId="60D424E1" w14:textId="3F9E74F7">
            <w:pPr>
              <w:spacing w:line="240" w:lineRule="exact"/>
              <w:jc w:val="right"/>
              <w:rPr>
                <w:rFonts w:ascii="Arial" w:hAnsi="Arial" w:cs="Arial"/>
              </w:rPr>
            </w:pPr>
            <w:r>
              <w:rPr>
                <w:rFonts w:ascii="Arial" w:hAnsi="Arial" w:cs="Arial"/>
              </w:rPr>
              <w:t>228,200</w:t>
            </w:r>
          </w:p>
        </w:tc>
        <w:tc>
          <w:tcPr>
            <w:tcW w:w="5458" w:type="dxa"/>
          </w:tcPr>
          <w:p w:rsidR="00D17977" w:rsidRPr="000F4ABE" w:rsidP="00921FAC" w14:paraId="4597B6F6" w14:textId="2E72C9D6">
            <w:pPr>
              <w:spacing w:line="240" w:lineRule="exact"/>
              <w:jc w:val="right"/>
              <w:rPr>
                <w:rFonts w:ascii="Arial" w:hAnsi="Arial" w:cs="Arial"/>
              </w:rPr>
            </w:pPr>
            <w:r>
              <w:rPr>
                <w:rFonts w:ascii="Arial" w:hAnsi="Arial" w:cs="Arial"/>
              </w:rPr>
              <w:t>214,</w:t>
            </w:r>
            <w:r w:rsidR="00DB2E06">
              <w:rPr>
                <w:rFonts w:ascii="Arial" w:hAnsi="Arial" w:cs="Arial"/>
              </w:rPr>
              <w:t>904</w:t>
            </w:r>
          </w:p>
        </w:tc>
      </w:tr>
    </w:tbl>
    <w:p w:rsidR="00D17977" w:rsidRPr="000F4ABE" w:rsidP="00D17977" w14:paraId="4C5FC8B6" w14:textId="77777777">
      <w:pPr>
        <w:spacing w:line="240" w:lineRule="exact"/>
        <w:rPr>
          <w:rFonts w:ascii="Arial" w:hAnsi="Arial" w:cs="Arial"/>
        </w:rPr>
      </w:pPr>
      <w:r w:rsidRPr="000F4ABE">
        <w:rPr>
          <w:rFonts w:ascii="Arial" w:hAnsi="Arial" w:cs="Arial"/>
        </w:rPr>
        <w:t xml:space="preserve"> </w:t>
      </w:r>
    </w:p>
    <w:p w:rsidR="00470C72" w:rsidRPr="000F4ABE" w:rsidP="00470C72" w14:paraId="23CF2E86" w14:textId="1F035121">
      <w:pPr>
        <w:spacing w:line="240" w:lineRule="exact"/>
        <w:rPr>
          <w:rFonts w:ascii="Arial" w:hAnsi="Arial" w:cs="Arial"/>
        </w:rPr>
      </w:pPr>
      <w:r w:rsidRPr="000B7003">
        <w:rPr>
          <w:rFonts w:ascii="Arial" w:hAnsi="Arial" w:cs="Arial"/>
          <w:b/>
        </w:rPr>
        <w:t xml:space="preserve">Table </w:t>
      </w:r>
      <w:r>
        <w:rPr>
          <w:rFonts w:ascii="Arial" w:hAnsi="Arial" w:cs="Arial"/>
          <w:b/>
        </w:rPr>
        <w:t>8b</w:t>
      </w:r>
      <w:r w:rsidRPr="000B7003">
        <w:rPr>
          <w:rFonts w:ascii="Arial" w:hAnsi="Arial" w:cs="Arial"/>
          <w:b/>
        </w:rPr>
        <w:t>.</w:t>
      </w:r>
      <w:r>
        <w:rPr>
          <w:rFonts w:ascii="Arial" w:hAnsi="Arial" w:cs="Arial"/>
        </w:rPr>
        <w:t xml:space="preserve"> Total SOII Recording and Reporting Burden, excluding pre-collection test</w:t>
      </w:r>
      <w:r w:rsidRPr="000F4AB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2"/>
        <w:gridCol w:w="1620"/>
        <w:gridCol w:w="5458"/>
      </w:tblGrid>
      <w:tr w14:paraId="0A1D96F0" w14:textId="77777777" w:rsidTr="00076DD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72" w:type="dxa"/>
          </w:tcPr>
          <w:p w:rsidR="00470C72" w:rsidRPr="000F4ABE" w:rsidP="00076DD8" w14:paraId="5E389D66" w14:textId="77777777">
            <w:pPr>
              <w:spacing w:line="240" w:lineRule="exact"/>
              <w:jc w:val="center"/>
              <w:rPr>
                <w:rFonts w:ascii="Arial" w:hAnsi="Arial" w:cs="Arial"/>
              </w:rPr>
            </w:pPr>
            <w:r w:rsidRPr="000F4ABE">
              <w:rPr>
                <w:rFonts w:ascii="Arial" w:hAnsi="Arial" w:cs="Arial"/>
              </w:rPr>
              <w:t>Sector</w:t>
            </w:r>
          </w:p>
        </w:tc>
        <w:tc>
          <w:tcPr>
            <w:tcW w:w="1620" w:type="dxa"/>
          </w:tcPr>
          <w:p w:rsidR="00470C72" w:rsidRPr="000F4ABE" w:rsidP="00076DD8" w14:paraId="3CFB4046" w14:textId="77777777">
            <w:pPr>
              <w:spacing w:line="240" w:lineRule="exact"/>
              <w:jc w:val="center"/>
              <w:rPr>
                <w:rFonts w:ascii="Arial" w:hAnsi="Arial" w:cs="Arial"/>
              </w:rPr>
            </w:pPr>
            <w:r w:rsidRPr="000F4ABE">
              <w:rPr>
                <w:rFonts w:ascii="Arial" w:hAnsi="Arial" w:cs="Arial"/>
              </w:rPr>
              <w:t>Sample units</w:t>
            </w:r>
          </w:p>
        </w:tc>
        <w:tc>
          <w:tcPr>
            <w:tcW w:w="5458" w:type="dxa"/>
          </w:tcPr>
          <w:p w:rsidR="00470C72" w:rsidRPr="000F4ABE" w:rsidP="00076DD8" w14:paraId="0DDD9EB1" w14:textId="77777777">
            <w:pPr>
              <w:spacing w:line="240" w:lineRule="exact"/>
              <w:jc w:val="center"/>
              <w:rPr>
                <w:rFonts w:ascii="Arial" w:hAnsi="Arial" w:cs="Arial"/>
              </w:rPr>
            </w:pPr>
            <w:r w:rsidRPr="000F4ABE">
              <w:rPr>
                <w:rFonts w:ascii="Arial" w:hAnsi="Arial" w:cs="Arial"/>
              </w:rPr>
              <w:t>Hours</w:t>
            </w:r>
          </w:p>
        </w:tc>
      </w:tr>
      <w:tr w14:paraId="44098B9F" w14:textId="77777777" w:rsidTr="00076DD8">
        <w:tblPrEx>
          <w:tblW w:w="0" w:type="auto"/>
          <w:tblLayout w:type="fixed"/>
          <w:tblLook w:val="01E0"/>
        </w:tblPrEx>
        <w:tc>
          <w:tcPr>
            <w:tcW w:w="2272" w:type="dxa"/>
          </w:tcPr>
          <w:p w:rsidR="00470C72" w:rsidRPr="000F4ABE" w:rsidP="00076DD8" w14:paraId="2C34363A" w14:textId="77777777">
            <w:pPr>
              <w:spacing w:line="240" w:lineRule="exact"/>
              <w:rPr>
                <w:rFonts w:ascii="Arial" w:hAnsi="Arial" w:cs="Arial"/>
              </w:rPr>
            </w:pPr>
            <w:r w:rsidRPr="000F4ABE">
              <w:rPr>
                <w:rFonts w:ascii="Arial" w:hAnsi="Arial" w:cs="Arial"/>
              </w:rPr>
              <w:t>Private</w:t>
            </w:r>
          </w:p>
        </w:tc>
        <w:tc>
          <w:tcPr>
            <w:tcW w:w="1620" w:type="dxa"/>
          </w:tcPr>
          <w:p w:rsidR="00470C72" w:rsidRPr="000F4ABE" w:rsidP="00076DD8" w14:paraId="6A111C05" w14:textId="77777777">
            <w:pPr>
              <w:spacing w:line="240" w:lineRule="exact"/>
              <w:jc w:val="right"/>
              <w:rPr>
                <w:rFonts w:ascii="Arial" w:hAnsi="Arial" w:cs="Arial"/>
              </w:rPr>
            </w:pPr>
            <w:r>
              <w:rPr>
                <w:rFonts w:ascii="Arial" w:hAnsi="Arial" w:cs="Arial"/>
              </w:rPr>
              <w:t>207,300</w:t>
            </w:r>
          </w:p>
        </w:tc>
        <w:tc>
          <w:tcPr>
            <w:tcW w:w="5458" w:type="dxa"/>
          </w:tcPr>
          <w:p w:rsidR="00470C72" w:rsidRPr="000F4ABE" w:rsidP="00076DD8" w14:paraId="2D6CDA90" w14:textId="6987677E">
            <w:pPr>
              <w:spacing w:line="240" w:lineRule="exact"/>
              <w:jc w:val="right"/>
              <w:rPr>
                <w:rFonts w:ascii="Arial" w:hAnsi="Arial" w:cs="Arial"/>
              </w:rPr>
            </w:pPr>
            <w:r>
              <w:rPr>
                <w:rFonts w:ascii="Arial" w:hAnsi="Arial" w:cs="Arial"/>
              </w:rPr>
              <w:t>190,693</w:t>
            </w:r>
            <w:r w:rsidRPr="00374D40">
              <w:rPr>
                <w:rFonts w:ascii="Arial" w:hAnsi="Arial" w:cs="Arial"/>
              </w:rPr>
              <w:t xml:space="preserve"> (</w:t>
            </w:r>
            <w:r>
              <w:rPr>
                <w:rFonts w:ascii="Arial" w:hAnsi="Arial" w:cs="Arial"/>
              </w:rPr>
              <w:t>34,</w:t>
            </w:r>
            <w:r w:rsidR="006D04BF">
              <w:rPr>
                <w:rFonts w:ascii="Arial" w:hAnsi="Arial" w:cs="Arial"/>
              </w:rPr>
              <w:t xml:space="preserve">550 </w:t>
            </w:r>
            <w:r>
              <w:rPr>
                <w:rFonts w:ascii="Arial" w:hAnsi="Arial" w:cs="Arial"/>
              </w:rPr>
              <w:t>+ 63,750 + 77,333 + 5,857 + 9,203)</w:t>
            </w:r>
          </w:p>
        </w:tc>
      </w:tr>
      <w:tr w14:paraId="33D93C6F" w14:textId="77777777" w:rsidTr="00076DD8">
        <w:tblPrEx>
          <w:tblW w:w="0" w:type="auto"/>
          <w:tblLayout w:type="fixed"/>
          <w:tblLook w:val="01E0"/>
        </w:tblPrEx>
        <w:tc>
          <w:tcPr>
            <w:tcW w:w="2272" w:type="dxa"/>
          </w:tcPr>
          <w:p w:rsidR="00470C72" w:rsidRPr="000F4ABE" w:rsidP="00076DD8" w14:paraId="3D3E2D47" w14:textId="77777777">
            <w:pPr>
              <w:spacing w:line="240" w:lineRule="exact"/>
              <w:rPr>
                <w:rFonts w:ascii="Arial" w:hAnsi="Arial" w:cs="Arial"/>
              </w:rPr>
            </w:pPr>
            <w:r w:rsidRPr="000F4ABE">
              <w:rPr>
                <w:rFonts w:ascii="Arial" w:hAnsi="Arial" w:cs="Arial"/>
              </w:rPr>
              <w:t>Public (mandatory)</w:t>
            </w:r>
          </w:p>
        </w:tc>
        <w:tc>
          <w:tcPr>
            <w:tcW w:w="1620" w:type="dxa"/>
          </w:tcPr>
          <w:p w:rsidR="00470C72" w:rsidRPr="000F4ABE" w:rsidP="00076DD8" w14:paraId="155BC075" w14:textId="77777777">
            <w:pPr>
              <w:spacing w:line="240" w:lineRule="exact"/>
              <w:jc w:val="right"/>
              <w:rPr>
                <w:rFonts w:ascii="Arial" w:hAnsi="Arial" w:cs="Arial"/>
              </w:rPr>
            </w:pPr>
            <w:r>
              <w:rPr>
                <w:rFonts w:ascii="Arial" w:hAnsi="Arial" w:cs="Arial"/>
              </w:rPr>
              <w:t>15,100</w:t>
            </w:r>
          </w:p>
        </w:tc>
        <w:tc>
          <w:tcPr>
            <w:tcW w:w="5458" w:type="dxa"/>
          </w:tcPr>
          <w:p w:rsidR="00470C72" w:rsidRPr="000F4ABE" w:rsidP="00076DD8" w14:paraId="7BF2FCCD" w14:textId="77777777">
            <w:pPr>
              <w:spacing w:line="240" w:lineRule="exact"/>
              <w:jc w:val="right"/>
              <w:rPr>
                <w:rFonts w:ascii="Arial" w:hAnsi="Arial" w:cs="Arial"/>
              </w:rPr>
            </w:pPr>
            <w:r>
              <w:rPr>
                <w:rFonts w:ascii="Arial" w:hAnsi="Arial" w:cs="Arial"/>
              </w:rPr>
              <w:t>11,892 (2,517 + 9,375)</w:t>
            </w:r>
          </w:p>
        </w:tc>
      </w:tr>
      <w:tr w14:paraId="2DA6C08D" w14:textId="77777777" w:rsidTr="00076DD8">
        <w:tblPrEx>
          <w:tblW w:w="0" w:type="auto"/>
          <w:tblLayout w:type="fixed"/>
          <w:tblLook w:val="01E0"/>
        </w:tblPrEx>
        <w:trPr>
          <w:trHeight w:val="269"/>
        </w:trPr>
        <w:tc>
          <w:tcPr>
            <w:tcW w:w="2272" w:type="dxa"/>
          </w:tcPr>
          <w:p w:rsidR="00470C72" w:rsidRPr="000F4ABE" w:rsidP="00076DD8" w14:paraId="2FF040D2" w14:textId="77777777">
            <w:pPr>
              <w:spacing w:line="240" w:lineRule="exact"/>
              <w:rPr>
                <w:rFonts w:ascii="Arial" w:hAnsi="Arial" w:cs="Arial"/>
              </w:rPr>
            </w:pPr>
            <w:r w:rsidRPr="000F4ABE">
              <w:rPr>
                <w:rFonts w:ascii="Arial" w:hAnsi="Arial" w:cs="Arial"/>
              </w:rPr>
              <w:t>Public (voluntary)</w:t>
            </w:r>
          </w:p>
        </w:tc>
        <w:tc>
          <w:tcPr>
            <w:tcW w:w="1620" w:type="dxa"/>
          </w:tcPr>
          <w:p w:rsidR="00470C72" w:rsidRPr="000F4ABE" w:rsidP="00076DD8" w14:paraId="2EF3919B" w14:textId="77777777">
            <w:pPr>
              <w:spacing w:line="240" w:lineRule="exact"/>
              <w:jc w:val="right"/>
              <w:rPr>
                <w:rFonts w:ascii="Arial" w:hAnsi="Arial" w:cs="Arial"/>
              </w:rPr>
            </w:pPr>
            <w:r>
              <w:rPr>
                <w:rFonts w:ascii="Arial" w:hAnsi="Arial" w:cs="Arial"/>
              </w:rPr>
              <w:t>5,800</w:t>
            </w:r>
          </w:p>
        </w:tc>
        <w:tc>
          <w:tcPr>
            <w:tcW w:w="5458" w:type="dxa"/>
          </w:tcPr>
          <w:p w:rsidR="00470C72" w:rsidRPr="000F4ABE" w:rsidP="00076DD8" w14:paraId="5125AE91" w14:textId="77777777">
            <w:pPr>
              <w:spacing w:line="240" w:lineRule="exact"/>
              <w:jc w:val="right"/>
              <w:rPr>
                <w:rFonts w:ascii="Arial" w:hAnsi="Arial" w:cs="Arial"/>
              </w:rPr>
            </w:pPr>
            <w:r>
              <w:rPr>
                <w:rFonts w:ascii="Arial" w:hAnsi="Arial" w:cs="Arial"/>
              </w:rPr>
              <w:t>12,049</w:t>
            </w:r>
            <w:r w:rsidRPr="00374D40">
              <w:rPr>
                <w:rFonts w:ascii="Arial" w:hAnsi="Arial" w:cs="Arial"/>
              </w:rPr>
              <w:t xml:space="preserve"> (</w:t>
            </w:r>
            <w:r>
              <w:rPr>
                <w:rFonts w:ascii="Arial" w:hAnsi="Arial" w:cs="Arial"/>
              </w:rPr>
              <w:t>967 + 1,875 + 5,607 + 1,400+ 2,200)</w:t>
            </w:r>
          </w:p>
        </w:tc>
      </w:tr>
      <w:tr w14:paraId="01EADC64" w14:textId="77777777" w:rsidTr="00076DD8">
        <w:tblPrEx>
          <w:tblW w:w="0" w:type="auto"/>
          <w:tblLayout w:type="fixed"/>
          <w:tblLook w:val="01E0"/>
        </w:tblPrEx>
        <w:tc>
          <w:tcPr>
            <w:tcW w:w="2272" w:type="dxa"/>
          </w:tcPr>
          <w:p w:rsidR="00470C72" w:rsidRPr="000F4ABE" w:rsidP="00076DD8" w14:paraId="7135ACD3" w14:textId="77777777">
            <w:pPr>
              <w:spacing w:line="240" w:lineRule="exact"/>
              <w:rPr>
                <w:rFonts w:ascii="Arial" w:hAnsi="Arial" w:cs="Arial"/>
              </w:rPr>
            </w:pPr>
            <w:r w:rsidRPr="000F4ABE">
              <w:rPr>
                <w:rFonts w:ascii="Arial" w:hAnsi="Arial" w:cs="Arial"/>
              </w:rPr>
              <w:t>Total</w:t>
            </w:r>
          </w:p>
        </w:tc>
        <w:tc>
          <w:tcPr>
            <w:tcW w:w="1620" w:type="dxa"/>
          </w:tcPr>
          <w:p w:rsidR="00470C72" w:rsidRPr="000F4ABE" w:rsidP="00076DD8" w14:paraId="3333FF0F" w14:textId="77777777">
            <w:pPr>
              <w:spacing w:line="240" w:lineRule="exact"/>
              <w:jc w:val="right"/>
              <w:rPr>
                <w:rFonts w:ascii="Arial" w:hAnsi="Arial" w:cs="Arial"/>
              </w:rPr>
            </w:pPr>
            <w:r>
              <w:rPr>
                <w:rFonts w:ascii="Arial" w:hAnsi="Arial" w:cs="Arial"/>
              </w:rPr>
              <w:t>228,200</w:t>
            </w:r>
          </w:p>
        </w:tc>
        <w:tc>
          <w:tcPr>
            <w:tcW w:w="5458" w:type="dxa"/>
          </w:tcPr>
          <w:p w:rsidR="00470C72" w:rsidRPr="000F4ABE" w:rsidP="00076DD8" w14:paraId="6CCCA535" w14:textId="755114A6">
            <w:pPr>
              <w:spacing w:line="240" w:lineRule="exact"/>
              <w:jc w:val="right"/>
              <w:rPr>
                <w:rFonts w:ascii="Arial" w:hAnsi="Arial" w:cs="Arial"/>
              </w:rPr>
            </w:pPr>
            <w:r>
              <w:rPr>
                <w:rFonts w:ascii="Arial" w:hAnsi="Arial" w:cs="Arial"/>
              </w:rPr>
              <w:t>214,634</w:t>
            </w:r>
          </w:p>
        </w:tc>
      </w:tr>
    </w:tbl>
    <w:p w:rsidR="00470C72" w:rsidP="00D17977" w14:paraId="7B774A12" w14:textId="77777777">
      <w:pPr>
        <w:spacing w:line="240" w:lineRule="exact"/>
        <w:rPr>
          <w:rFonts w:ascii="Arial" w:hAnsi="Arial" w:cs="Arial"/>
          <w:b/>
          <w:u w:val="single"/>
        </w:rPr>
      </w:pPr>
    </w:p>
    <w:p w:rsidR="00470C72" w:rsidP="00D17977" w14:paraId="62B711EB" w14:textId="77777777">
      <w:pPr>
        <w:spacing w:line="240" w:lineRule="exact"/>
        <w:rPr>
          <w:rFonts w:ascii="Arial" w:hAnsi="Arial" w:cs="Arial"/>
          <w:b/>
          <w:u w:val="single"/>
        </w:rPr>
      </w:pPr>
    </w:p>
    <w:p w:rsidR="00D17977" w:rsidP="00D17977" w14:paraId="2EDC9789" w14:textId="4EB3CC72">
      <w:pPr>
        <w:spacing w:line="240" w:lineRule="exact"/>
        <w:rPr>
          <w:rFonts w:ascii="Arial" w:hAnsi="Arial" w:cs="Arial"/>
          <w:b/>
        </w:rPr>
      </w:pPr>
      <w:r w:rsidRPr="005F4E87">
        <w:rPr>
          <w:rFonts w:ascii="Arial" w:hAnsi="Arial" w:cs="Arial"/>
          <w:b/>
          <w:u w:val="single"/>
        </w:rPr>
        <w:t xml:space="preserve">SOII Burden Hours for </w:t>
      </w:r>
      <w:r w:rsidRPr="005F4E87" w:rsidR="00B25B7C">
        <w:rPr>
          <w:rFonts w:ascii="Arial" w:hAnsi="Arial" w:cs="Arial"/>
          <w:b/>
          <w:u w:val="single"/>
        </w:rPr>
        <w:t>SY</w:t>
      </w:r>
      <w:r w:rsidR="00B25B7C">
        <w:rPr>
          <w:rFonts w:ascii="Arial" w:hAnsi="Arial" w:cs="Arial"/>
          <w:b/>
          <w:u w:val="single"/>
        </w:rPr>
        <w:t>2024</w:t>
      </w:r>
      <w:r w:rsidRPr="005F4E87" w:rsidR="00B25B7C">
        <w:rPr>
          <w:rFonts w:ascii="Arial" w:hAnsi="Arial" w:cs="Arial"/>
          <w:b/>
          <w:u w:val="single"/>
        </w:rPr>
        <w:t xml:space="preserve"> </w:t>
      </w:r>
      <w:r w:rsidRPr="005F4E87">
        <w:rPr>
          <w:rFonts w:ascii="Arial" w:hAnsi="Arial" w:cs="Arial"/>
          <w:b/>
          <w:u w:val="single"/>
        </w:rPr>
        <w:t xml:space="preserve">through </w:t>
      </w:r>
      <w:r w:rsidRPr="005F4E87" w:rsidR="00B25B7C">
        <w:rPr>
          <w:rFonts w:ascii="Arial" w:hAnsi="Arial" w:cs="Arial"/>
          <w:b/>
          <w:u w:val="single"/>
        </w:rPr>
        <w:t>SY</w:t>
      </w:r>
      <w:r w:rsidR="00B25B7C">
        <w:rPr>
          <w:rFonts w:ascii="Arial" w:hAnsi="Arial" w:cs="Arial"/>
          <w:b/>
          <w:u w:val="single"/>
        </w:rPr>
        <w:t>2026</w:t>
      </w:r>
      <w:r w:rsidRPr="005F4E87">
        <w:rPr>
          <w:rFonts w:ascii="Arial" w:hAnsi="Arial" w:cs="Arial"/>
          <w:b/>
        </w:rPr>
        <w:t>.</w:t>
      </w:r>
    </w:p>
    <w:p w:rsidR="00030894" w:rsidP="00D17977" w14:paraId="2A4FE33C" w14:textId="77777777">
      <w:pPr>
        <w:spacing w:line="240" w:lineRule="exact"/>
        <w:rPr>
          <w:rFonts w:ascii="Arial" w:hAnsi="Arial" w:cs="Arial"/>
          <w:b/>
        </w:rPr>
      </w:pPr>
    </w:p>
    <w:p w:rsidR="00030894" w:rsidP="00D17977" w14:paraId="44FAC091" w14:textId="62C0031A">
      <w:pPr>
        <w:spacing w:line="240" w:lineRule="exact"/>
        <w:rPr>
          <w:rFonts w:ascii="Arial" w:hAnsi="Arial" w:cs="Arial"/>
        </w:rPr>
      </w:pPr>
      <w:r w:rsidRPr="000B7003">
        <w:rPr>
          <w:rFonts w:ascii="Arial" w:hAnsi="Arial" w:cs="Arial"/>
          <w:b/>
        </w:rPr>
        <w:t xml:space="preserve">Table </w:t>
      </w:r>
      <w:r>
        <w:rPr>
          <w:rFonts w:ascii="Arial" w:hAnsi="Arial" w:cs="Arial"/>
          <w:b/>
        </w:rPr>
        <w:t>9</w:t>
      </w:r>
      <w:r w:rsidRPr="000B7003">
        <w:rPr>
          <w:rFonts w:ascii="Arial" w:hAnsi="Arial" w:cs="Arial"/>
          <w:b/>
        </w:rPr>
        <w:t>.</w:t>
      </w:r>
      <w:r>
        <w:rPr>
          <w:rFonts w:ascii="Arial" w:hAnsi="Arial" w:cs="Arial"/>
        </w:rPr>
        <w:t xml:space="preserve"> SOII Burden Hours, SY2024-2026</w:t>
      </w:r>
    </w:p>
    <w:p w:rsidR="00B10262" w:rsidP="00D17977" w14:paraId="24DAE01B" w14:textId="77777777">
      <w:pPr>
        <w:spacing w:line="240" w:lineRule="exact"/>
        <w:rPr>
          <w:rFonts w:ascii="Arial" w:hAnsi="Arial" w:cs="Arial"/>
        </w:rPr>
      </w:pPr>
    </w:p>
    <w:p w:rsidR="00B10262" w:rsidRPr="00E60FB0" w:rsidP="00B10262" w14:paraId="1471B283"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pPr w:leftFromText="180" w:rightFromText="180" w:vertAnchor="text" w:horzAnchor="margin" w:tblpXSpec="center" w:tblpY="474"/>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350"/>
        <w:gridCol w:w="1350"/>
        <w:gridCol w:w="1260"/>
        <w:gridCol w:w="1350"/>
        <w:gridCol w:w="1170"/>
        <w:gridCol w:w="1170"/>
        <w:gridCol w:w="1080"/>
        <w:gridCol w:w="1620"/>
      </w:tblGrid>
      <w:tr w14:paraId="6EC0FCE5" w14:textId="77777777" w:rsidTr="009235E0">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9"/>
          <w:tblHeader/>
        </w:trPr>
        <w:tc>
          <w:tcPr>
            <w:tcW w:w="900" w:type="dxa"/>
            <w:vAlign w:val="center"/>
          </w:tcPr>
          <w:p w:rsidR="009235E0" w:rsidP="009235E0" w14:paraId="6EB151DA" w14:textId="77777777">
            <w:pPr>
              <w:spacing w:line="240" w:lineRule="exact"/>
              <w:jc w:val="center"/>
              <w:rPr>
                <w:rFonts w:ascii="Arial" w:hAnsi="Arial" w:cs="Arial"/>
              </w:rPr>
            </w:pPr>
            <w:r>
              <w:rPr>
                <w:rFonts w:ascii="Arial" w:hAnsi="Arial" w:cs="Arial"/>
              </w:rPr>
              <w:t>Survey</w:t>
            </w:r>
          </w:p>
          <w:p w:rsidR="009235E0" w:rsidRPr="000F4ABE" w:rsidP="009235E0" w14:paraId="239DFFD3" w14:textId="77777777">
            <w:pPr>
              <w:spacing w:line="240" w:lineRule="exact"/>
              <w:jc w:val="center"/>
              <w:rPr>
                <w:rFonts w:ascii="Arial" w:hAnsi="Arial" w:cs="Arial"/>
              </w:rPr>
            </w:pPr>
            <w:r w:rsidRPr="000F4ABE">
              <w:rPr>
                <w:rFonts w:ascii="Arial" w:hAnsi="Arial" w:cs="Arial"/>
              </w:rPr>
              <w:t>Year</w:t>
            </w:r>
          </w:p>
        </w:tc>
        <w:tc>
          <w:tcPr>
            <w:tcW w:w="1350" w:type="dxa"/>
            <w:vAlign w:val="center"/>
          </w:tcPr>
          <w:p w:rsidR="009235E0" w:rsidRPr="000F4ABE" w:rsidP="009235E0" w14:paraId="7F6BFD37" w14:textId="77777777">
            <w:pPr>
              <w:spacing w:line="240" w:lineRule="exact"/>
              <w:jc w:val="center"/>
              <w:rPr>
                <w:rFonts w:ascii="Arial" w:hAnsi="Arial" w:cs="Arial"/>
              </w:rPr>
            </w:pPr>
            <w:r w:rsidRPr="000F4ABE">
              <w:rPr>
                <w:rFonts w:ascii="Arial" w:hAnsi="Arial" w:cs="Arial"/>
              </w:rPr>
              <w:t>Sector</w:t>
            </w:r>
          </w:p>
        </w:tc>
        <w:tc>
          <w:tcPr>
            <w:tcW w:w="1350" w:type="dxa"/>
          </w:tcPr>
          <w:p w:rsidR="009235E0" w:rsidRPr="001C6E5A" w:rsidP="009235E0" w14:paraId="6CDE36B1" w14:textId="77777777">
            <w:pPr>
              <w:spacing w:line="240" w:lineRule="exact"/>
              <w:jc w:val="center"/>
              <w:rPr>
                <w:rFonts w:ascii="Arial" w:hAnsi="Arial" w:cs="Arial"/>
              </w:rPr>
            </w:pPr>
            <w:r>
              <w:rPr>
                <w:rFonts w:ascii="Arial" w:hAnsi="Arial" w:cs="Arial"/>
              </w:rPr>
              <w:t>No. of Respondents</w:t>
            </w:r>
          </w:p>
        </w:tc>
        <w:tc>
          <w:tcPr>
            <w:tcW w:w="1260" w:type="dxa"/>
            <w:vAlign w:val="center"/>
          </w:tcPr>
          <w:p w:rsidR="009235E0" w:rsidP="009235E0" w14:paraId="23E50D21" w14:textId="77777777">
            <w:pPr>
              <w:spacing w:line="240" w:lineRule="exact"/>
              <w:jc w:val="center"/>
              <w:rPr>
                <w:rFonts w:ascii="Arial" w:hAnsi="Arial" w:cs="Arial"/>
              </w:rPr>
            </w:pPr>
            <w:r w:rsidRPr="001C6E5A">
              <w:rPr>
                <w:rFonts w:ascii="Arial" w:hAnsi="Arial" w:cs="Arial"/>
              </w:rPr>
              <w:t>Reporting</w:t>
            </w:r>
          </w:p>
          <w:p w:rsidR="009235E0" w:rsidP="009235E0" w14:paraId="253562F6" w14:textId="77777777">
            <w:pPr>
              <w:spacing w:line="240" w:lineRule="exact"/>
              <w:jc w:val="center"/>
              <w:rPr>
                <w:rFonts w:ascii="Arial" w:hAnsi="Arial" w:cs="Arial"/>
              </w:rPr>
            </w:pPr>
            <w:r>
              <w:rPr>
                <w:rFonts w:ascii="Arial" w:hAnsi="Arial" w:cs="Arial"/>
              </w:rPr>
              <w:t>Burden</w:t>
            </w:r>
          </w:p>
          <w:p w:rsidR="009235E0" w:rsidRPr="001C6E5A" w:rsidP="009235E0" w14:paraId="0C224525" w14:textId="77777777">
            <w:pPr>
              <w:spacing w:line="240" w:lineRule="exact"/>
              <w:jc w:val="center"/>
              <w:rPr>
                <w:rFonts w:ascii="Arial" w:hAnsi="Arial" w:cs="Arial"/>
              </w:rPr>
            </w:pPr>
            <w:r>
              <w:rPr>
                <w:rFonts w:ascii="Arial" w:hAnsi="Arial" w:cs="Arial"/>
              </w:rPr>
              <w:t>(Hours)</w:t>
            </w:r>
          </w:p>
        </w:tc>
        <w:tc>
          <w:tcPr>
            <w:tcW w:w="1350" w:type="dxa"/>
            <w:vAlign w:val="center"/>
          </w:tcPr>
          <w:p w:rsidR="009235E0" w:rsidP="009235E0" w14:paraId="19C364C0" w14:textId="77777777">
            <w:pPr>
              <w:spacing w:line="240" w:lineRule="exact"/>
              <w:jc w:val="center"/>
              <w:rPr>
                <w:rFonts w:ascii="Arial" w:hAnsi="Arial" w:cs="Arial"/>
              </w:rPr>
            </w:pPr>
            <w:r w:rsidRPr="001C6E5A">
              <w:rPr>
                <w:rFonts w:ascii="Arial" w:hAnsi="Arial" w:cs="Arial"/>
              </w:rPr>
              <w:t>Recording</w:t>
            </w:r>
          </w:p>
          <w:p w:rsidR="009235E0" w:rsidP="009235E0" w14:paraId="77FCD816" w14:textId="77777777">
            <w:pPr>
              <w:spacing w:line="240" w:lineRule="exact"/>
              <w:jc w:val="center"/>
              <w:rPr>
                <w:rFonts w:ascii="Arial" w:hAnsi="Arial" w:cs="Arial"/>
              </w:rPr>
            </w:pPr>
            <w:r>
              <w:rPr>
                <w:rFonts w:ascii="Arial" w:hAnsi="Arial" w:cs="Arial"/>
              </w:rPr>
              <w:t>Burden</w:t>
            </w:r>
          </w:p>
          <w:p w:rsidR="009235E0" w:rsidRPr="001C6E5A" w:rsidP="009235E0" w14:paraId="39FAC8FE" w14:textId="77777777">
            <w:pPr>
              <w:spacing w:line="240" w:lineRule="exact"/>
              <w:jc w:val="center"/>
              <w:rPr>
                <w:rFonts w:ascii="Arial" w:hAnsi="Arial" w:cs="Arial"/>
              </w:rPr>
            </w:pPr>
            <w:r>
              <w:rPr>
                <w:rFonts w:ascii="Arial" w:hAnsi="Arial" w:cs="Arial"/>
              </w:rPr>
              <w:t>(Hours)</w:t>
            </w:r>
          </w:p>
        </w:tc>
        <w:tc>
          <w:tcPr>
            <w:tcW w:w="1170" w:type="dxa"/>
            <w:vAlign w:val="center"/>
          </w:tcPr>
          <w:p w:rsidR="009235E0" w:rsidP="009235E0" w14:paraId="64FD7BA2" w14:textId="77777777">
            <w:pPr>
              <w:spacing w:line="240" w:lineRule="exact"/>
              <w:jc w:val="center"/>
              <w:rPr>
                <w:rFonts w:ascii="Arial" w:hAnsi="Arial" w:cs="Arial"/>
              </w:rPr>
            </w:pPr>
            <w:r w:rsidRPr="001C6E5A">
              <w:rPr>
                <w:rFonts w:ascii="Arial" w:hAnsi="Arial" w:cs="Arial"/>
              </w:rPr>
              <w:t xml:space="preserve">Total </w:t>
            </w:r>
          </w:p>
          <w:p w:rsidR="009235E0" w:rsidP="009235E0" w14:paraId="6B7CDB01" w14:textId="77777777">
            <w:pPr>
              <w:spacing w:line="240" w:lineRule="exact"/>
              <w:jc w:val="center"/>
              <w:rPr>
                <w:rFonts w:ascii="Arial" w:hAnsi="Arial" w:cs="Arial"/>
              </w:rPr>
            </w:pPr>
            <w:r w:rsidRPr="001C6E5A">
              <w:rPr>
                <w:rFonts w:ascii="Arial" w:hAnsi="Arial" w:cs="Arial"/>
              </w:rPr>
              <w:t>Burden</w:t>
            </w:r>
          </w:p>
          <w:p w:rsidR="009235E0" w:rsidRPr="001C6E5A" w:rsidP="009235E0" w14:paraId="2FEA9772" w14:textId="77777777">
            <w:pPr>
              <w:spacing w:line="240" w:lineRule="exact"/>
              <w:jc w:val="center"/>
              <w:rPr>
                <w:rFonts w:ascii="Arial" w:hAnsi="Arial" w:cs="Arial"/>
              </w:rPr>
            </w:pPr>
            <w:r>
              <w:rPr>
                <w:rFonts w:ascii="Arial" w:hAnsi="Arial" w:cs="Arial"/>
              </w:rPr>
              <w:t>(Hours)</w:t>
            </w:r>
          </w:p>
        </w:tc>
        <w:tc>
          <w:tcPr>
            <w:tcW w:w="1170" w:type="dxa"/>
          </w:tcPr>
          <w:p w:rsidR="009235E0" w:rsidRPr="00844B1B" w:rsidP="009235E0" w14:paraId="55C0C169" w14:textId="77777777">
            <w:pPr>
              <w:spacing w:line="240" w:lineRule="exact"/>
              <w:jc w:val="center"/>
              <w:rPr>
                <w:rFonts w:ascii="Arial" w:hAnsi="Arial" w:cs="Arial"/>
                <w:bCs/>
              </w:rPr>
            </w:pPr>
            <w:r w:rsidRPr="004D1E9B">
              <w:rPr>
                <w:rFonts w:ascii="Arial" w:hAnsi="Arial" w:cs="Arial"/>
                <w:bCs/>
                <w:sz w:val="22"/>
                <w:szCs w:val="22"/>
              </w:rPr>
              <w:t>Average Burden (Hours)</w:t>
            </w:r>
          </w:p>
        </w:tc>
        <w:tc>
          <w:tcPr>
            <w:tcW w:w="1080" w:type="dxa"/>
          </w:tcPr>
          <w:p w:rsidR="009235E0" w:rsidRPr="001C6E5A" w:rsidP="009235E0" w14:paraId="5EC8C08B" w14:textId="77777777">
            <w:pPr>
              <w:spacing w:line="240" w:lineRule="exact"/>
              <w:jc w:val="center"/>
              <w:rPr>
                <w:rFonts w:ascii="Arial" w:hAnsi="Arial" w:cs="Arial"/>
              </w:rPr>
            </w:pPr>
            <w:r>
              <w:rPr>
                <w:rFonts w:ascii="Arial" w:hAnsi="Arial" w:cs="Arial"/>
              </w:rPr>
              <w:t>Hourly Wage Rate</w:t>
            </w:r>
          </w:p>
        </w:tc>
        <w:tc>
          <w:tcPr>
            <w:tcW w:w="1620" w:type="dxa"/>
            <w:vAlign w:val="center"/>
          </w:tcPr>
          <w:p w:rsidR="009235E0" w:rsidRPr="001C6E5A" w:rsidP="009235E0" w14:paraId="568F87CF" w14:textId="77777777">
            <w:pPr>
              <w:spacing w:line="240" w:lineRule="exact"/>
              <w:jc w:val="center"/>
              <w:rPr>
                <w:rFonts w:ascii="Arial" w:hAnsi="Arial" w:cs="Arial"/>
              </w:rPr>
            </w:pPr>
            <w:r w:rsidRPr="001C6E5A">
              <w:rPr>
                <w:rFonts w:ascii="Arial" w:hAnsi="Arial" w:cs="Arial"/>
              </w:rPr>
              <w:t xml:space="preserve">Total </w:t>
            </w:r>
            <w:r>
              <w:rPr>
                <w:rFonts w:ascii="Arial" w:hAnsi="Arial" w:cs="Arial"/>
              </w:rPr>
              <w:t>Burden C</w:t>
            </w:r>
            <w:r w:rsidRPr="001C6E5A">
              <w:rPr>
                <w:rFonts w:ascii="Arial" w:hAnsi="Arial" w:cs="Arial"/>
              </w:rPr>
              <w:t>ost</w:t>
            </w:r>
          </w:p>
        </w:tc>
      </w:tr>
      <w:tr w14:paraId="4ADFEABB" w14:textId="77777777" w:rsidTr="009235E0">
        <w:tblPrEx>
          <w:tblW w:w="11250" w:type="dxa"/>
          <w:tblLayout w:type="fixed"/>
          <w:tblLook w:val="01E0"/>
        </w:tblPrEx>
        <w:tc>
          <w:tcPr>
            <w:tcW w:w="900" w:type="dxa"/>
          </w:tcPr>
          <w:p w:rsidR="009235E0" w:rsidRPr="000F4ABE" w:rsidP="009235E0" w14:paraId="26964F3A" w14:textId="77777777">
            <w:pPr>
              <w:spacing w:line="240" w:lineRule="exact"/>
              <w:rPr>
                <w:rFonts w:ascii="Arial" w:hAnsi="Arial" w:cs="Arial"/>
              </w:rPr>
            </w:pPr>
            <w:r>
              <w:rPr>
                <w:rFonts w:ascii="Arial" w:hAnsi="Arial" w:cs="Arial"/>
              </w:rPr>
              <w:t>2024</w:t>
            </w:r>
          </w:p>
        </w:tc>
        <w:tc>
          <w:tcPr>
            <w:tcW w:w="1350" w:type="dxa"/>
          </w:tcPr>
          <w:p w:rsidR="009235E0" w:rsidRPr="000F4ABE" w:rsidP="009235E0" w14:paraId="6F6A1838" w14:textId="77777777">
            <w:pPr>
              <w:spacing w:line="240" w:lineRule="exact"/>
              <w:rPr>
                <w:rFonts w:ascii="Arial" w:hAnsi="Arial" w:cs="Arial"/>
              </w:rPr>
            </w:pPr>
            <w:r w:rsidRPr="000F4ABE">
              <w:rPr>
                <w:rFonts w:ascii="Arial" w:hAnsi="Arial" w:cs="Arial"/>
              </w:rPr>
              <w:t>Private</w:t>
            </w:r>
          </w:p>
        </w:tc>
        <w:tc>
          <w:tcPr>
            <w:tcW w:w="1350" w:type="dxa"/>
          </w:tcPr>
          <w:p w:rsidR="009235E0" w:rsidP="009235E0" w14:paraId="5430065E" w14:textId="77777777">
            <w:pPr>
              <w:spacing w:line="240" w:lineRule="exact"/>
              <w:jc w:val="right"/>
              <w:rPr>
                <w:rFonts w:ascii="Arial" w:hAnsi="Arial" w:cs="Arial"/>
              </w:rPr>
            </w:pPr>
            <w:r>
              <w:rPr>
                <w:rFonts w:ascii="Arial" w:hAnsi="Arial" w:cs="Arial"/>
              </w:rPr>
              <w:t>207,300</w:t>
            </w:r>
          </w:p>
        </w:tc>
        <w:tc>
          <w:tcPr>
            <w:tcW w:w="1260" w:type="dxa"/>
          </w:tcPr>
          <w:p w:rsidR="009235E0" w:rsidRPr="001C6E5A" w:rsidP="009235E0" w14:paraId="51711EE3" w14:textId="77777777">
            <w:pPr>
              <w:spacing w:line="240" w:lineRule="exact"/>
              <w:jc w:val="right"/>
              <w:rPr>
                <w:rFonts w:ascii="Arial" w:hAnsi="Arial" w:cs="Arial"/>
              </w:rPr>
            </w:pPr>
            <w:r>
              <w:rPr>
                <w:rFonts w:ascii="Arial" w:hAnsi="Arial" w:cs="Arial"/>
              </w:rPr>
              <w:t>98,570</w:t>
            </w:r>
          </w:p>
        </w:tc>
        <w:tc>
          <w:tcPr>
            <w:tcW w:w="1350" w:type="dxa"/>
          </w:tcPr>
          <w:p w:rsidR="009235E0" w:rsidRPr="001C6E5A" w:rsidP="009235E0" w14:paraId="7BBAC307" w14:textId="77777777">
            <w:pPr>
              <w:spacing w:line="240" w:lineRule="exact"/>
              <w:jc w:val="right"/>
              <w:rPr>
                <w:rFonts w:ascii="Arial" w:hAnsi="Arial" w:cs="Arial"/>
              </w:rPr>
            </w:pPr>
            <w:r>
              <w:rPr>
                <w:rFonts w:ascii="Arial" w:hAnsi="Arial" w:cs="Arial"/>
              </w:rPr>
              <w:t>92,393</w:t>
            </w:r>
          </w:p>
        </w:tc>
        <w:tc>
          <w:tcPr>
            <w:tcW w:w="1170" w:type="dxa"/>
          </w:tcPr>
          <w:p w:rsidR="009235E0" w:rsidRPr="001C6E5A" w:rsidP="009235E0" w14:paraId="46D8D835" w14:textId="77777777">
            <w:pPr>
              <w:spacing w:line="240" w:lineRule="exact"/>
              <w:jc w:val="right"/>
              <w:rPr>
                <w:rFonts w:ascii="Arial" w:hAnsi="Arial" w:cs="Arial"/>
              </w:rPr>
            </w:pPr>
            <w:r>
              <w:rPr>
                <w:rFonts w:ascii="Arial" w:hAnsi="Arial" w:cs="Arial"/>
              </w:rPr>
              <w:t>190,963</w:t>
            </w:r>
          </w:p>
        </w:tc>
        <w:tc>
          <w:tcPr>
            <w:tcW w:w="1170" w:type="dxa"/>
          </w:tcPr>
          <w:p w:rsidR="009235E0" w:rsidP="009235E0" w14:paraId="07EB3C0E" w14:textId="77777777">
            <w:pPr>
              <w:spacing w:line="240" w:lineRule="exact"/>
              <w:jc w:val="center"/>
              <w:rPr>
                <w:rFonts w:ascii="Arial" w:hAnsi="Arial" w:cs="Arial"/>
                <w:color w:val="000000"/>
              </w:rPr>
            </w:pPr>
            <w:r>
              <w:rPr>
                <w:rFonts w:ascii="Arial" w:hAnsi="Arial" w:cs="Arial"/>
                <w:color w:val="000000"/>
              </w:rPr>
              <w:t>0.921</w:t>
            </w:r>
          </w:p>
        </w:tc>
        <w:tc>
          <w:tcPr>
            <w:tcW w:w="1080" w:type="dxa"/>
          </w:tcPr>
          <w:p w:rsidR="009235E0" w:rsidRPr="00AA5D07" w:rsidP="009235E0" w14:paraId="666B8D8C"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472210FF" w14:textId="77777777">
            <w:pPr>
              <w:spacing w:line="240" w:lineRule="exact"/>
              <w:jc w:val="right"/>
              <w:rPr>
                <w:rFonts w:ascii="Arial" w:hAnsi="Arial" w:cs="Arial"/>
              </w:rPr>
            </w:pPr>
            <w:r w:rsidRPr="001C6E5A">
              <w:rPr>
                <w:rFonts w:ascii="Arial" w:hAnsi="Arial" w:cs="Arial"/>
                <w:color w:val="000000"/>
                <w:sz w:val="22"/>
                <w:szCs w:val="22"/>
              </w:rPr>
              <w:t xml:space="preserve"> </w:t>
            </w:r>
            <w:r w:rsidRPr="001C6E5A">
              <w:rPr>
                <w:rFonts w:ascii="Arial" w:hAnsi="Arial" w:cs="Arial"/>
                <w:color w:val="000000"/>
              </w:rPr>
              <w:t xml:space="preserve">$ </w:t>
            </w:r>
            <w:r>
              <w:rPr>
                <w:rFonts w:ascii="Arial" w:hAnsi="Arial" w:cs="Arial"/>
                <w:color w:val="000000"/>
              </w:rPr>
              <w:t>6,284,592</w:t>
            </w:r>
            <w:r w:rsidRPr="001C6E5A">
              <w:rPr>
                <w:rFonts w:ascii="Arial" w:hAnsi="Arial" w:cs="Arial"/>
                <w:color w:val="000000"/>
              </w:rPr>
              <w:t xml:space="preserve"> </w:t>
            </w:r>
          </w:p>
        </w:tc>
      </w:tr>
      <w:tr w14:paraId="20F90027" w14:textId="77777777" w:rsidTr="009235E0">
        <w:tblPrEx>
          <w:tblW w:w="11250" w:type="dxa"/>
          <w:tblLayout w:type="fixed"/>
          <w:tblLook w:val="01E0"/>
        </w:tblPrEx>
        <w:tc>
          <w:tcPr>
            <w:tcW w:w="900" w:type="dxa"/>
          </w:tcPr>
          <w:p w:rsidR="009235E0" w:rsidRPr="000F4ABE" w:rsidP="009235E0" w14:paraId="7F55A89A" w14:textId="77777777">
            <w:pPr>
              <w:spacing w:line="240" w:lineRule="exact"/>
              <w:rPr>
                <w:rFonts w:ascii="Arial" w:hAnsi="Arial" w:cs="Arial"/>
              </w:rPr>
            </w:pPr>
          </w:p>
        </w:tc>
        <w:tc>
          <w:tcPr>
            <w:tcW w:w="1350" w:type="dxa"/>
          </w:tcPr>
          <w:p w:rsidR="009235E0" w:rsidRPr="000F4ABE" w:rsidP="009235E0" w14:paraId="14322106" w14:textId="77777777">
            <w:pPr>
              <w:spacing w:line="240" w:lineRule="exact"/>
              <w:rPr>
                <w:rFonts w:ascii="Arial" w:hAnsi="Arial" w:cs="Arial"/>
              </w:rPr>
            </w:pPr>
            <w:r w:rsidRPr="000F4ABE">
              <w:rPr>
                <w:rFonts w:ascii="Arial" w:hAnsi="Arial" w:cs="Arial"/>
              </w:rPr>
              <w:t>Public (m)</w:t>
            </w:r>
          </w:p>
        </w:tc>
        <w:tc>
          <w:tcPr>
            <w:tcW w:w="1350" w:type="dxa"/>
          </w:tcPr>
          <w:p w:rsidR="009235E0" w:rsidP="009235E0" w14:paraId="6229929C" w14:textId="77777777">
            <w:pPr>
              <w:spacing w:line="240" w:lineRule="exact"/>
              <w:jc w:val="right"/>
              <w:rPr>
                <w:rFonts w:ascii="Arial" w:hAnsi="Arial" w:cs="Arial"/>
              </w:rPr>
            </w:pPr>
            <w:r>
              <w:rPr>
                <w:rFonts w:ascii="Arial" w:hAnsi="Arial" w:cs="Arial"/>
              </w:rPr>
              <w:t>15,100</w:t>
            </w:r>
          </w:p>
        </w:tc>
        <w:tc>
          <w:tcPr>
            <w:tcW w:w="1260" w:type="dxa"/>
          </w:tcPr>
          <w:p w:rsidR="009235E0" w:rsidRPr="001C6E5A" w:rsidP="009235E0" w14:paraId="6FEA43AF" w14:textId="77777777">
            <w:pPr>
              <w:spacing w:line="240" w:lineRule="exact"/>
              <w:jc w:val="right"/>
              <w:rPr>
                <w:rFonts w:ascii="Arial" w:hAnsi="Arial" w:cs="Arial"/>
              </w:rPr>
            </w:pPr>
            <w:r>
              <w:rPr>
                <w:rFonts w:ascii="Arial" w:hAnsi="Arial" w:cs="Arial"/>
              </w:rPr>
              <w:t>11,892</w:t>
            </w:r>
          </w:p>
        </w:tc>
        <w:tc>
          <w:tcPr>
            <w:tcW w:w="1350" w:type="dxa"/>
          </w:tcPr>
          <w:p w:rsidR="009235E0" w:rsidRPr="001C6E5A" w:rsidP="009235E0" w14:paraId="093388B0" w14:textId="77777777">
            <w:pPr>
              <w:spacing w:line="240" w:lineRule="exact"/>
              <w:jc w:val="right"/>
              <w:rPr>
                <w:rFonts w:ascii="Arial" w:hAnsi="Arial" w:cs="Arial"/>
              </w:rPr>
            </w:pPr>
            <w:r w:rsidRPr="001C6E5A">
              <w:rPr>
                <w:rFonts w:ascii="Arial" w:hAnsi="Arial" w:cs="Arial"/>
              </w:rPr>
              <w:t xml:space="preserve">  --</w:t>
            </w:r>
          </w:p>
        </w:tc>
        <w:tc>
          <w:tcPr>
            <w:tcW w:w="1170" w:type="dxa"/>
          </w:tcPr>
          <w:p w:rsidR="009235E0" w:rsidRPr="001C6E5A" w:rsidP="009235E0" w14:paraId="190F8202" w14:textId="77777777">
            <w:pPr>
              <w:spacing w:line="240" w:lineRule="exact"/>
              <w:jc w:val="right"/>
              <w:rPr>
                <w:rFonts w:ascii="Arial" w:hAnsi="Arial" w:cs="Arial"/>
              </w:rPr>
            </w:pPr>
            <w:r>
              <w:rPr>
                <w:rFonts w:ascii="Arial" w:hAnsi="Arial" w:cs="Arial"/>
              </w:rPr>
              <w:t>11,892</w:t>
            </w:r>
          </w:p>
        </w:tc>
        <w:tc>
          <w:tcPr>
            <w:tcW w:w="1170" w:type="dxa"/>
          </w:tcPr>
          <w:p w:rsidR="009235E0" w:rsidP="009235E0" w14:paraId="02FB57CE" w14:textId="77777777">
            <w:pPr>
              <w:spacing w:line="240" w:lineRule="exact"/>
              <w:jc w:val="center"/>
              <w:rPr>
                <w:rFonts w:ascii="Arial" w:hAnsi="Arial" w:cs="Arial"/>
                <w:color w:val="000000"/>
              </w:rPr>
            </w:pPr>
            <w:r>
              <w:rPr>
                <w:rFonts w:ascii="Arial" w:hAnsi="Arial" w:cs="Arial"/>
                <w:color w:val="000000"/>
              </w:rPr>
              <w:t>0.788</w:t>
            </w:r>
          </w:p>
        </w:tc>
        <w:tc>
          <w:tcPr>
            <w:tcW w:w="1080" w:type="dxa"/>
          </w:tcPr>
          <w:p w:rsidR="009235E0" w:rsidRPr="00030894" w:rsidP="009235E0" w14:paraId="7F641B7A"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3E7F0684"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391,366</w:t>
            </w:r>
            <w:r w:rsidRPr="001C6E5A">
              <w:rPr>
                <w:rFonts w:ascii="Arial" w:hAnsi="Arial" w:cs="Arial"/>
                <w:color w:val="000000"/>
              </w:rPr>
              <w:t xml:space="preserve"> </w:t>
            </w:r>
          </w:p>
        </w:tc>
      </w:tr>
      <w:tr w14:paraId="43A4B231" w14:textId="77777777" w:rsidTr="009235E0">
        <w:tblPrEx>
          <w:tblW w:w="11250" w:type="dxa"/>
          <w:tblLayout w:type="fixed"/>
          <w:tblLook w:val="01E0"/>
        </w:tblPrEx>
        <w:trPr>
          <w:trHeight w:val="233"/>
        </w:trPr>
        <w:tc>
          <w:tcPr>
            <w:tcW w:w="900" w:type="dxa"/>
          </w:tcPr>
          <w:p w:rsidR="009235E0" w:rsidRPr="000F4ABE" w:rsidP="009235E0" w14:paraId="21FB6613" w14:textId="77777777">
            <w:pPr>
              <w:spacing w:line="240" w:lineRule="exact"/>
              <w:rPr>
                <w:rFonts w:ascii="Arial" w:hAnsi="Arial" w:cs="Arial"/>
              </w:rPr>
            </w:pPr>
          </w:p>
        </w:tc>
        <w:tc>
          <w:tcPr>
            <w:tcW w:w="1350" w:type="dxa"/>
          </w:tcPr>
          <w:p w:rsidR="009235E0" w:rsidRPr="000F4ABE" w:rsidP="009235E0" w14:paraId="4487A983" w14:textId="77777777">
            <w:pPr>
              <w:spacing w:line="240" w:lineRule="exact"/>
              <w:rPr>
                <w:rFonts w:ascii="Arial" w:hAnsi="Arial" w:cs="Arial"/>
              </w:rPr>
            </w:pPr>
            <w:r w:rsidRPr="000F4ABE">
              <w:rPr>
                <w:rFonts w:ascii="Arial" w:hAnsi="Arial" w:cs="Arial"/>
              </w:rPr>
              <w:t>Public (v)</w:t>
            </w:r>
          </w:p>
        </w:tc>
        <w:tc>
          <w:tcPr>
            <w:tcW w:w="1350" w:type="dxa"/>
          </w:tcPr>
          <w:p w:rsidR="009235E0" w:rsidRPr="001C6E5A" w:rsidP="009235E0" w14:paraId="237EF2CA" w14:textId="77777777">
            <w:pPr>
              <w:spacing w:line="240" w:lineRule="exact"/>
              <w:jc w:val="right"/>
              <w:rPr>
                <w:rFonts w:ascii="Arial" w:hAnsi="Arial" w:cs="Arial"/>
              </w:rPr>
            </w:pPr>
            <w:r>
              <w:rPr>
                <w:rFonts w:ascii="Arial" w:hAnsi="Arial" w:cs="Arial"/>
              </w:rPr>
              <w:t>5,800</w:t>
            </w:r>
          </w:p>
        </w:tc>
        <w:tc>
          <w:tcPr>
            <w:tcW w:w="1260" w:type="dxa"/>
          </w:tcPr>
          <w:p w:rsidR="009235E0" w:rsidRPr="001C6E5A" w:rsidP="009235E0" w14:paraId="5834EDF2" w14:textId="77777777">
            <w:pPr>
              <w:spacing w:line="240" w:lineRule="exact"/>
              <w:jc w:val="right"/>
              <w:rPr>
                <w:rFonts w:ascii="Arial" w:hAnsi="Arial" w:cs="Arial"/>
              </w:rPr>
            </w:pPr>
            <w:r w:rsidRPr="001C6E5A">
              <w:rPr>
                <w:rFonts w:ascii="Arial" w:hAnsi="Arial" w:cs="Arial"/>
              </w:rPr>
              <w:t xml:space="preserve"> </w:t>
            </w:r>
            <w:r>
              <w:rPr>
                <w:rFonts w:ascii="Arial" w:hAnsi="Arial" w:cs="Arial"/>
              </w:rPr>
              <w:t>2,842</w:t>
            </w:r>
          </w:p>
        </w:tc>
        <w:tc>
          <w:tcPr>
            <w:tcW w:w="1350" w:type="dxa"/>
          </w:tcPr>
          <w:p w:rsidR="009235E0" w:rsidRPr="001C6E5A" w:rsidP="009235E0" w14:paraId="01995075" w14:textId="77777777">
            <w:pPr>
              <w:spacing w:line="240" w:lineRule="exact"/>
              <w:jc w:val="right"/>
              <w:rPr>
                <w:rFonts w:ascii="Arial" w:hAnsi="Arial" w:cs="Arial"/>
              </w:rPr>
            </w:pPr>
            <w:r>
              <w:rPr>
                <w:rFonts w:ascii="Arial" w:hAnsi="Arial" w:cs="Arial"/>
              </w:rPr>
              <w:t>9,207</w:t>
            </w:r>
          </w:p>
        </w:tc>
        <w:tc>
          <w:tcPr>
            <w:tcW w:w="1170" w:type="dxa"/>
          </w:tcPr>
          <w:p w:rsidR="009235E0" w:rsidRPr="001C6E5A" w:rsidP="009235E0" w14:paraId="71B04F6C" w14:textId="77777777">
            <w:pPr>
              <w:spacing w:line="240" w:lineRule="exact"/>
              <w:jc w:val="right"/>
              <w:rPr>
                <w:rFonts w:ascii="Arial" w:hAnsi="Arial" w:cs="Arial"/>
              </w:rPr>
            </w:pPr>
            <w:r>
              <w:rPr>
                <w:rFonts w:ascii="Arial" w:hAnsi="Arial" w:cs="Arial"/>
              </w:rPr>
              <w:t>12,049</w:t>
            </w:r>
          </w:p>
        </w:tc>
        <w:tc>
          <w:tcPr>
            <w:tcW w:w="1170" w:type="dxa"/>
          </w:tcPr>
          <w:p w:rsidR="009235E0" w:rsidP="009235E0" w14:paraId="13E3E7E9" w14:textId="77777777">
            <w:pPr>
              <w:spacing w:line="240" w:lineRule="exact"/>
              <w:jc w:val="center"/>
              <w:rPr>
                <w:rFonts w:ascii="Arial" w:hAnsi="Arial" w:cs="Arial"/>
                <w:color w:val="000000"/>
              </w:rPr>
            </w:pPr>
            <w:r>
              <w:rPr>
                <w:rFonts w:ascii="Arial" w:hAnsi="Arial" w:cs="Arial"/>
                <w:color w:val="000000"/>
              </w:rPr>
              <w:t>2.077</w:t>
            </w:r>
          </w:p>
        </w:tc>
        <w:tc>
          <w:tcPr>
            <w:tcW w:w="1080" w:type="dxa"/>
          </w:tcPr>
          <w:p w:rsidR="009235E0" w:rsidRPr="00030894" w:rsidP="009235E0" w14:paraId="29449676"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474CE4EA"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396,533</w:t>
            </w:r>
            <w:r w:rsidRPr="001C6E5A">
              <w:rPr>
                <w:rFonts w:ascii="Arial" w:hAnsi="Arial" w:cs="Arial"/>
                <w:color w:val="000000"/>
              </w:rPr>
              <w:t xml:space="preserve">    </w:t>
            </w:r>
          </w:p>
        </w:tc>
      </w:tr>
      <w:tr w14:paraId="233B7AD5" w14:textId="77777777" w:rsidTr="009235E0">
        <w:tblPrEx>
          <w:tblW w:w="11250" w:type="dxa"/>
          <w:tblLayout w:type="fixed"/>
          <w:tblLook w:val="01E0"/>
        </w:tblPrEx>
        <w:tc>
          <w:tcPr>
            <w:tcW w:w="900" w:type="dxa"/>
          </w:tcPr>
          <w:p w:rsidR="009235E0" w:rsidRPr="000F4ABE" w:rsidP="009235E0" w14:paraId="7340E54C" w14:textId="77777777">
            <w:pPr>
              <w:spacing w:line="240" w:lineRule="exact"/>
              <w:rPr>
                <w:rFonts w:ascii="Arial" w:hAnsi="Arial" w:cs="Arial"/>
              </w:rPr>
            </w:pPr>
          </w:p>
        </w:tc>
        <w:tc>
          <w:tcPr>
            <w:tcW w:w="1350" w:type="dxa"/>
          </w:tcPr>
          <w:p w:rsidR="009235E0" w:rsidRPr="000F4ABE" w:rsidP="009235E0" w14:paraId="1BA979D7" w14:textId="77777777">
            <w:pPr>
              <w:spacing w:line="240" w:lineRule="exact"/>
              <w:rPr>
                <w:rFonts w:ascii="Arial" w:hAnsi="Arial" w:cs="Arial"/>
              </w:rPr>
            </w:pPr>
            <w:r w:rsidRPr="000F4ABE">
              <w:rPr>
                <w:rFonts w:ascii="Arial" w:hAnsi="Arial" w:cs="Arial"/>
              </w:rPr>
              <w:t>Total</w:t>
            </w:r>
          </w:p>
        </w:tc>
        <w:tc>
          <w:tcPr>
            <w:tcW w:w="1350" w:type="dxa"/>
          </w:tcPr>
          <w:p w:rsidR="009235E0" w:rsidP="009235E0" w14:paraId="4FB3EFDE" w14:textId="77777777">
            <w:pPr>
              <w:spacing w:line="240" w:lineRule="exact"/>
              <w:jc w:val="right"/>
              <w:rPr>
                <w:rFonts w:ascii="Arial" w:hAnsi="Arial" w:cs="Arial"/>
              </w:rPr>
            </w:pPr>
            <w:r>
              <w:rPr>
                <w:rFonts w:ascii="Arial" w:hAnsi="Arial" w:cs="Arial"/>
              </w:rPr>
              <w:t>228,200</w:t>
            </w:r>
          </w:p>
        </w:tc>
        <w:tc>
          <w:tcPr>
            <w:tcW w:w="1260" w:type="dxa"/>
          </w:tcPr>
          <w:p w:rsidR="009235E0" w:rsidRPr="001C6E5A" w:rsidP="009235E0" w14:paraId="4505EB6B" w14:textId="77777777">
            <w:pPr>
              <w:spacing w:line="240" w:lineRule="exact"/>
              <w:jc w:val="right"/>
              <w:rPr>
                <w:rFonts w:ascii="Arial" w:hAnsi="Arial" w:cs="Arial"/>
              </w:rPr>
            </w:pPr>
            <w:r>
              <w:rPr>
                <w:rFonts w:ascii="Arial" w:hAnsi="Arial" w:cs="Arial"/>
              </w:rPr>
              <w:t>113,304</w:t>
            </w:r>
          </w:p>
        </w:tc>
        <w:tc>
          <w:tcPr>
            <w:tcW w:w="1350" w:type="dxa"/>
          </w:tcPr>
          <w:p w:rsidR="009235E0" w:rsidRPr="001C6E5A" w:rsidP="009235E0" w14:paraId="0F254490" w14:textId="77777777">
            <w:pPr>
              <w:spacing w:line="240" w:lineRule="exact"/>
              <w:jc w:val="right"/>
              <w:rPr>
                <w:rFonts w:ascii="Arial" w:hAnsi="Arial" w:cs="Arial"/>
              </w:rPr>
            </w:pPr>
            <w:r w:rsidRPr="001C6E5A">
              <w:rPr>
                <w:rFonts w:ascii="Arial" w:hAnsi="Arial" w:cs="Arial"/>
              </w:rPr>
              <w:t xml:space="preserve"> </w:t>
            </w:r>
            <w:r>
              <w:rPr>
                <w:rFonts w:ascii="Arial" w:hAnsi="Arial" w:cs="Arial"/>
              </w:rPr>
              <w:t>101,600</w:t>
            </w:r>
          </w:p>
        </w:tc>
        <w:tc>
          <w:tcPr>
            <w:tcW w:w="1170" w:type="dxa"/>
          </w:tcPr>
          <w:p w:rsidR="009235E0" w:rsidRPr="001C6E5A" w:rsidP="009235E0" w14:paraId="23C3EFE0" w14:textId="77777777">
            <w:pPr>
              <w:spacing w:line="240" w:lineRule="exact"/>
              <w:jc w:val="right"/>
              <w:rPr>
                <w:rFonts w:ascii="Arial" w:hAnsi="Arial" w:cs="Arial"/>
              </w:rPr>
            </w:pPr>
            <w:r>
              <w:rPr>
                <w:rFonts w:ascii="Arial" w:hAnsi="Arial" w:cs="Arial"/>
              </w:rPr>
              <w:t>214,904</w:t>
            </w:r>
          </w:p>
        </w:tc>
        <w:tc>
          <w:tcPr>
            <w:tcW w:w="1170" w:type="dxa"/>
          </w:tcPr>
          <w:p w:rsidR="009235E0" w:rsidP="009235E0" w14:paraId="2ED63A9E" w14:textId="77777777">
            <w:pPr>
              <w:spacing w:line="240" w:lineRule="exact"/>
              <w:jc w:val="center"/>
              <w:rPr>
                <w:rFonts w:ascii="Arial" w:hAnsi="Arial" w:cs="Arial"/>
                <w:color w:val="000000"/>
              </w:rPr>
            </w:pPr>
            <w:r>
              <w:rPr>
                <w:rFonts w:ascii="Arial" w:hAnsi="Arial" w:cs="Arial"/>
                <w:color w:val="000000"/>
              </w:rPr>
              <w:t>0.942</w:t>
            </w:r>
          </w:p>
        </w:tc>
        <w:tc>
          <w:tcPr>
            <w:tcW w:w="1080" w:type="dxa"/>
          </w:tcPr>
          <w:p w:rsidR="009235E0" w:rsidRPr="00030894" w:rsidP="009235E0" w14:paraId="6B939BDC"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18CF264F"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7,072,491</w:t>
            </w:r>
            <w:r w:rsidRPr="001C6E5A">
              <w:rPr>
                <w:rFonts w:ascii="Arial" w:hAnsi="Arial" w:cs="Arial"/>
                <w:color w:val="000000"/>
              </w:rPr>
              <w:t xml:space="preserve"> </w:t>
            </w:r>
          </w:p>
        </w:tc>
      </w:tr>
      <w:tr w14:paraId="357C4ECB" w14:textId="77777777" w:rsidTr="009235E0">
        <w:tblPrEx>
          <w:tblW w:w="11250" w:type="dxa"/>
          <w:tblLayout w:type="fixed"/>
          <w:tblLook w:val="01E0"/>
        </w:tblPrEx>
        <w:trPr>
          <w:trHeight w:val="71"/>
        </w:trPr>
        <w:tc>
          <w:tcPr>
            <w:tcW w:w="900" w:type="dxa"/>
            <w:shd w:val="clear" w:color="auto" w:fill="000000" w:themeFill="text1"/>
          </w:tcPr>
          <w:p w:rsidR="009235E0" w:rsidRPr="00CA7DF4" w:rsidP="009235E0" w14:paraId="5C7FB8C2" w14:textId="77777777">
            <w:pPr>
              <w:spacing w:line="240" w:lineRule="exact"/>
              <w:rPr>
                <w:rFonts w:ascii="Arial" w:hAnsi="Arial" w:cs="Arial"/>
                <w:sz w:val="16"/>
                <w:szCs w:val="16"/>
              </w:rPr>
            </w:pPr>
          </w:p>
        </w:tc>
        <w:tc>
          <w:tcPr>
            <w:tcW w:w="1350" w:type="dxa"/>
            <w:shd w:val="clear" w:color="auto" w:fill="000000" w:themeFill="text1"/>
          </w:tcPr>
          <w:p w:rsidR="009235E0" w:rsidRPr="00CA7DF4" w:rsidP="009235E0" w14:paraId="2ADFD04E" w14:textId="77777777">
            <w:pPr>
              <w:spacing w:line="240" w:lineRule="exact"/>
              <w:rPr>
                <w:rFonts w:ascii="Arial" w:hAnsi="Arial" w:cs="Arial"/>
                <w:sz w:val="16"/>
                <w:szCs w:val="16"/>
              </w:rPr>
            </w:pPr>
          </w:p>
        </w:tc>
        <w:tc>
          <w:tcPr>
            <w:tcW w:w="1350" w:type="dxa"/>
            <w:shd w:val="clear" w:color="auto" w:fill="000000" w:themeFill="text1"/>
          </w:tcPr>
          <w:p w:rsidR="009235E0" w:rsidRPr="001C6E5A" w:rsidP="009235E0" w14:paraId="67471467" w14:textId="77777777">
            <w:pPr>
              <w:spacing w:line="240" w:lineRule="exact"/>
              <w:jc w:val="right"/>
              <w:rPr>
                <w:rFonts w:ascii="Arial" w:hAnsi="Arial" w:cs="Arial"/>
                <w:sz w:val="16"/>
                <w:szCs w:val="16"/>
              </w:rPr>
            </w:pPr>
          </w:p>
        </w:tc>
        <w:tc>
          <w:tcPr>
            <w:tcW w:w="1260" w:type="dxa"/>
            <w:shd w:val="clear" w:color="auto" w:fill="000000" w:themeFill="text1"/>
          </w:tcPr>
          <w:p w:rsidR="009235E0" w:rsidRPr="001C6E5A" w:rsidP="009235E0" w14:paraId="2CE6ABFB" w14:textId="77777777">
            <w:pPr>
              <w:spacing w:line="240" w:lineRule="exact"/>
              <w:jc w:val="right"/>
              <w:rPr>
                <w:rFonts w:ascii="Arial" w:hAnsi="Arial" w:cs="Arial"/>
                <w:sz w:val="16"/>
                <w:szCs w:val="16"/>
              </w:rPr>
            </w:pPr>
          </w:p>
        </w:tc>
        <w:tc>
          <w:tcPr>
            <w:tcW w:w="1350" w:type="dxa"/>
            <w:shd w:val="clear" w:color="auto" w:fill="000000" w:themeFill="text1"/>
          </w:tcPr>
          <w:p w:rsidR="009235E0" w:rsidRPr="001C6E5A" w:rsidP="009235E0" w14:paraId="286079A0" w14:textId="77777777">
            <w:pPr>
              <w:spacing w:line="240" w:lineRule="exact"/>
              <w:jc w:val="right"/>
              <w:rPr>
                <w:rFonts w:ascii="Arial" w:hAnsi="Arial" w:cs="Arial"/>
                <w:sz w:val="16"/>
                <w:szCs w:val="16"/>
              </w:rPr>
            </w:pPr>
          </w:p>
        </w:tc>
        <w:tc>
          <w:tcPr>
            <w:tcW w:w="1170" w:type="dxa"/>
            <w:shd w:val="clear" w:color="auto" w:fill="000000" w:themeFill="text1"/>
          </w:tcPr>
          <w:p w:rsidR="009235E0" w:rsidRPr="001C6E5A" w:rsidP="009235E0" w14:paraId="1826C6DE" w14:textId="77777777">
            <w:pPr>
              <w:spacing w:line="240" w:lineRule="exact"/>
              <w:jc w:val="right"/>
              <w:rPr>
                <w:rFonts w:ascii="Arial" w:hAnsi="Arial" w:cs="Arial"/>
                <w:sz w:val="16"/>
                <w:szCs w:val="16"/>
              </w:rPr>
            </w:pPr>
          </w:p>
        </w:tc>
        <w:tc>
          <w:tcPr>
            <w:tcW w:w="1170" w:type="dxa"/>
            <w:shd w:val="clear" w:color="auto" w:fill="000000" w:themeFill="text1"/>
          </w:tcPr>
          <w:p w:rsidR="009235E0" w:rsidRPr="00AA5D07" w:rsidP="009235E0" w14:paraId="22A80107" w14:textId="77777777">
            <w:pPr>
              <w:spacing w:line="240" w:lineRule="exact"/>
              <w:jc w:val="center"/>
              <w:rPr>
                <w:rFonts w:ascii="Arial" w:hAnsi="Arial" w:cs="Arial"/>
              </w:rPr>
            </w:pPr>
          </w:p>
        </w:tc>
        <w:tc>
          <w:tcPr>
            <w:tcW w:w="1080" w:type="dxa"/>
            <w:shd w:val="clear" w:color="auto" w:fill="000000" w:themeFill="text1"/>
          </w:tcPr>
          <w:p w:rsidR="009235E0" w:rsidRPr="00AA5D07" w:rsidP="009235E0" w14:paraId="223C1CDF" w14:textId="77777777">
            <w:pPr>
              <w:spacing w:line="240" w:lineRule="exact"/>
              <w:jc w:val="center"/>
              <w:rPr>
                <w:rFonts w:ascii="Arial" w:hAnsi="Arial" w:cs="Arial"/>
              </w:rPr>
            </w:pPr>
          </w:p>
        </w:tc>
        <w:tc>
          <w:tcPr>
            <w:tcW w:w="1620" w:type="dxa"/>
            <w:shd w:val="clear" w:color="auto" w:fill="000000" w:themeFill="text1"/>
            <w:vAlign w:val="bottom"/>
          </w:tcPr>
          <w:p w:rsidR="009235E0" w:rsidRPr="001C6E5A" w:rsidP="009235E0" w14:paraId="772C5ABE" w14:textId="77777777">
            <w:pPr>
              <w:spacing w:line="240" w:lineRule="exact"/>
              <w:jc w:val="right"/>
              <w:rPr>
                <w:rFonts w:ascii="Arial" w:hAnsi="Arial" w:cs="Arial"/>
                <w:sz w:val="16"/>
                <w:szCs w:val="16"/>
              </w:rPr>
            </w:pPr>
          </w:p>
        </w:tc>
      </w:tr>
      <w:tr w14:paraId="55893AA4" w14:textId="77777777" w:rsidTr="009235E0">
        <w:tblPrEx>
          <w:tblW w:w="11250" w:type="dxa"/>
          <w:tblLayout w:type="fixed"/>
          <w:tblLook w:val="01E0"/>
        </w:tblPrEx>
        <w:tc>
          <w:tcPr>
            <w:tcW w:w="900" w:type="dxa"/>
          </w:tcPr>
          <w:p w:rsidR="009235E0" w:rsidRPr="000F4ABE" w:rsidP="009235E0" w14:paraId="188C145F" w14:textId="77777777">
            <w:pPr>
              <w:spacing w:line="240" w:lineRule="exact"/>
              <w:rPr>
                <w:rFonts w:ascii="Arial" w:hAnsi="Arial" w:cs="Arial"/>
              </w:rPr>
            </w:pPr>
            <w:r>
              <w:rPr>
                <w:rFonts w:ascii="Arial" w:hAnsi="Arial" w:cs="Arial"/>
              </w:rPr>
              <w:t>2025</w:t>
            </w:r>
          </w:p>
        </w:tc>
        <w:tc>
          <w:tcPr>
            <w:tcW w:w="1350" w:type="dxa"/>
          </w:tcPr>
          <w:p w:rsidR="009235E0" w:rsidRPr="000F4ABE" w:rsidP="009235E0" w14:paraId="50F633FD" w14:textId="77777777">
            <w:pPr>
              <w:spacing w:line="240" w:lineRule="exact"/>
              <w:rPr>
                <w:rFonts w:ascii="Arial" w:hAnsi="Arial" w:cs="Arial"/>
              </w:rPr>
            </w:pPr>
            <w:r w:rsidRPr="000F4ABE">
              <w:rPr>
                <w:rFonts w:ascii="Arial" w:hAnsi="Arial" w:cs="Arial"/>
              </w:rPr>
              <w:t>Private</w:t>
            </w:r>
          </w:p>
        </w:tc>
        <w:tc>
          <w:tcPr>
            <w:tcW w:w="1350" w:type="dxa"/>
          </w:tcPr>
          <w:p w:rsidR="009235E0" w:rsidP="009235E0" w14:paraId="10354296" w14:textId="77777777">
            <w:pPr>
              <w:spacing w:line="240" w:lineRule="exact"/>
              <w:jc w:val="right"/>
              <w:rPr>
                <w:rFonts w:ascii="Arial" w:hAnsi="Arial" w:cs="Arial"/>
              </w:rPr>
            </w:pPr>
            <w:r>
              <w:rPr>
                <w:rFonts w:ascii="Arial" w:hAnsi="Arial" w:cs="Arial"/>
              </w:rPr>
              <w:t>207,300</w:t>
            </w:r>
          </w:p>
        </w:tc>
        <w:tc>
          <w:tcPr>
            <w:tcW w:w="1260" w:type="dxa"/>
          </w:tcPr>
          <w:p w:rsidR="009235E0" w:rsidRPr="001C6E5A" w:rsidP="009235E0" w14:paraId="66482784" w14:textId="77777777">
            <w:pPr>
              <w:spacing w:line="240" w:lineRule="exact"/>
              <w:jc w:val="right"/>
              <w:rPr>
                <w:rFonts w:ascii="Arial" w:hAnsi="Arial" w:cs="Arial"/>
              </w:rPr>
            </w:pPr>
            <w:r>
              <w:rPr>
                <w:rFonts w:ascii="Arial" w:hAnsi="Arial" w:cs="Arial"/>
              </w:rPr>
              <w:t>98,300</w:t>
            </w:r>
          </w:p>
        </w:tc>
        <w:tc>
          <w:tcPr>
            <w:tcW w:w="1350" w:type="dxa"/>
          </w:tcPr>
          <w:p w:rsidR="009235E0" w:rsidRPr="001C6E5A" w:rsidP="009235E0" w14:paraId="7920E78A" w14:textId="77777777">
            <w:pPr>
              <w:spacing w:line="240" w:lineRule="exact"/>
              <w:jc w:val="right"/>
              <w:rPr>
                <w:rFonts w:ascii="Arial" w:hAnsi="Arial" w:cs="Arial"/>
              </w:rPr>
            </w:pPr>
            <w:r>
              <w:rPr>
                <w:rFonts w:ascii="Arial" w:hAnsi="Arial" w:cs="Arial"/>
              </w:rPr>
              <w:t>92,393</w:t>
            </w:r>
          </w:p>
        </w:tc>
        <w:tc>
          <w:tcPr>
            <w:tcW w:w="1170" w:type="dxa"/>
          </w:tcPr>
          <w:p w:rsidR="009235E0" w:rsidRPr="001C6E5A" w:rsidP="009235E0" w14:paraId="7E5F8B3F" w14:textId="77777777">
            <w:pPr>
              <w:spacing w:line="240" w:lineRule="exact"/>
              <w:jc w:val="right"/>
              <w:rPr>
                <w:rFonts w:ascii="Arial" w:hAnsi="Arial" w:cs="Arial"/>
              </w:rPr>
            </w:pPr>
            <w:r>
              <w:rPr>
                <w:rFonts w:ascii="Arial" w:hAnsi="Arial" w:cs="Arial"/>
              </w:rPr>
              <w:t>190,693</w:t>
            </w:r>
          </w:p>
        </w:tc>
        <w:tc>
          <w:tcPr>
            <w:tcW w:w="1170" w:type="dxa"/>
          </w:tcPr>
          <w:p w:rsidR="009235E0" w:rsidP="009235E0" w14:paraId="326DE24E" w14:textId="77777777">
            <w:pPr>
              <w:spacing w:line="240" w:lineRule="exact"/>
              <w:jc w:val="center"/>
              <w:rPr>
                <w:rFonts w:ascii="Arial" w:hAnsi="Arial" w:cs="Arial"/>
                <w:color w:val="000000"/>
              </w:rPr>
            </w:pPr>
            <w:r>
              <w:rPr>
                <w:rFonts w:ascii="Arial" w:hAnsi="Arial" w:cs="Arial"/>
                <w:color w:val="000000"/>
              </w:rPr>
              <w:t>0.920</w:t>
            </w:r>
          </w:p>
        </w:tc>
        <w:tc>
          <w:tcPr>
            <w:tcW w:w="1080" w:type="dxa"/>
          </w:tcPr>
          <w:p w:rsidR="009235E0" w:rsidRPr="00AA5D07" w:rsidP="009235E0" w14:paraId="3C8F8BE6"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69F6CDEB" w14:textId="77777777">
            <w:pPr>
              <w:spacing w:line="240" w:lineRule="exact"/>
              <w:jc w:val="right"/>
              <w:rPr>
                <w:rFonts w:ascii="Arial" w:hAnsi="Arial" w:cs="Arial"/>
              </w:rPr>
            </w:pPr>
            <w:r w:rsidRPr="001C6E5A">
              <w:rPr>
                <w:rFonts w:ascii="Arial" w:hAnsi="Arial" w:cs="Arial"/>
                <w:color w:val="000000"/>
                <w:sz w:val="22"/>
                <w:szCs w:val="22"/>
              </w:rPr>
              <w:t xml:space="preserve"> </w:t>
            </w:r>
            <w:r w:rsidRPr="001C6E5A">
              <w:rPr>
                <w:rFonts w:ascii="Arial" w:hAnsi="Arial" w:cs="Arial"/>
                <w:color w:val="000000"/>
              </w:rPr>
              <w:t xml:space="preserve">$ </w:t>
            </w:r>
            <w:r>
              <w:rPr>
                <w:rFonts w:ascii="Arial" w:hAnsi="Arial" w:cs="Arial"/>
                <w:color w:val="000000"/>
              </w:rPr>
              <w:t>6,275,707</w:t>
            </w:r>
            <w:r w:rsidRPr="001C6E5A">
              <w:rPr>
                <w:rFonts w:ascii="Arial" w:hAnsi="Arial" w:cs="Arial"/>
                <w:color w:val="000000"/>
              </w:rPr>
              <w:t xml:space="preserve"> </w:t>
            </w:r>
          </w:p>
        </w:tc>
      </w:tr>
      <w:tr w14:paraId="6F74E81A" w14:textId="77777777" w:rsidTr="009235E0">
        <w:tblPrEx>
          <w:tblW w:w="11250" w:type="dxa"/>
          <w:tblLayout w:type="fixed"/>
          <w:tblLook w:val="01E0"/>
        </w:tblPrEx>
        <w:tc>
          <w:tcPr>
            <w:tcW w:w="900" w:type="dxa"/>
          </w:tcPr>
          <w:p w:rsidR="009235E0" w:rsidRPr="000F4ABE" w:rsidP="009235E0" w14:paraId="7DC016C7" w14:textId="77777777">
            <w:pPr>
              <w:spacing w:line="240" w:lineRule="exact"/>
              <w:rPr>
                <w:rFonts w:ascii="Arial" w:hAnsi="Arial" w:cs="Arial"/>
              </w:rPr>
            </w:pPr>
          </w:p>
        </w:tc>
        <w:tc>
          <w:tcPr>
            <w:tcW w:w="1350" w:type="dxa"/>
          </w:tcPr>
          <w:p w:rsidR="009235E0" w:rsidRPr="000F4ABE" w:rsidP="009235E0" w14:paraId="4D36DEE2" w14:textId="77777777">
            <w:pPr>
              <w:spacing w:line="240" w:lineRule="exact"/>
              <w:rPr>
                <w:rFonts w:ascii="Arial" w:hAnsi="Arial" w:cs="Arial"/>
              </w:rPr>
            </w:pPr>
            <w:r w:rsidRPr="000F4ABE">
              <w:rPr>
                <w:rFonts w:ascii="Arial" w:hAnsi="Arial" w:cs="Arial"/>
              </w:rPr>
              <w:t>Public (m)</w:t>
            </w:r>
          </w:p>
        </w:tc>
        <w:tc>
          <w:tcPr>
            <w:tcW w:w="1350" w:type="dxa"/>
          </w:tcPr>
          <w:p w:rsidR="009235E0" w:rsidP="009235E0" w14:paraId="4D11510D" w14:textId="77777777">
            <w:pPr>
              <w:spacing w:line="240" w:lineRule="exact"/>
              <w:jc w:val="right"/>
              <w:rPr>
                <w:rFonts w:ascii="Arial" w:hAnsi="Arial" w:cs="Arial"/>
              </w:rPr>
            </w:pPr>
            <w:r>
              <w:rPr>
                <w:rFonts w:ascii="Arial" w:hAnsi="Arial" w:cs="Arial"/>
              </w:rPr>
              <w:t>15,100</w:t>
            </w:r>
          </w:p>
        </w:tc>
        <w:tc>
          <w:tcPr>
            <w:tcW w:w="1260" w:type="dxa"/>
          </w:tcPr>
          <w:p w:rsidR="009235E0" w:rsidRPr="001C6E5A" w:rsidP="009235E0" w14:paraId="2C5F4E78" w14:textId="77777777">
            <w:pPr>
              <w:spacing w:line="240" w:lineRule="exact"/>
              <w:jc w:val="right"/>
              <w:rPr>
                <w:rFonts w:ascii="Arial" w:hAnsi="Arial" w:cs="Arial"/>
              </w:rPr>
            </w:pPr>
            <w:r>
              <w:rPr>
                <w:rFonts w:ascii="Arial" w:hAnsi="Arial" w:cs="Arial"/>
              </w:rPr>
              <w:t>11,892</w:t>
            </w:r>
          </w:p>
        </w:tc>
        <w:tc>
          <w:tcPr>
            <w:tcW w:w="1350" w:type="dxa"/>
          </w:tcPr>
          <w:p w:rsidR="009235E0" w:rsidRPr="001C6E5A" w:rsidP="009235E0" w14:paraId="5F5216E7" w14:textId="77777777">
            <w:pPr>
              <w:spacing w:line="240" w:lineRule="exact"/>
              <w:jc w:val="right"/>
              <w:rPr>
                <w:rFonts w:ascii="Arial" w:hAnsi="Arial" w:cs="Arial"/>
              </w:rPr>
            </w:pPr>
            <w:r w:rsidRPr="001C6E5A">
              <w:rPr>
                <w:rFonts w:ascii="Arial" w:hAnsi="Arial" w:cs="Arial"/>
              </w:rPr>
              <w:t xml:space="preserve">  --</w:t>
            </w:r>
          </w:p>
        </w:tc>
        <w:tc>
          <w:tcPr>
            <w:tcW w:w="1170" w:type="dxa"/>
          </w:tcPr>
          <w:p w:rsidR="009235E0" w:rsidRPr="001C6E5A" w:rsidP="009235E0" w14:paraId="6B45766E" w14:textId="77777777">
            <w:pPr>
              <w:spacing w:line="240" w:lineRule="exact"/>
              <w:jc w:val="right"/>
              <w:rPr>
                <w:rFonts w:ascii="Arial" w:hAnsi="Arial" w:cs="Arial"/>
              </w:rPr>
            </w:pPr>
            <w:r>
              <w:rPr>
                <w:rFonts w:ascii="Arial" w:hAnsi="Arial" w:cs="Arial"/>
              </w:rPr>
              <w:t>11,892</w:t>
            </w:r>
          </w:p>
        </w:tc>
        <w:tc>
          <w:tcPr>
            <w:tcW w:w="1170" w:type="dxa"/>
          </w:tcPr>
          <w:p w:rsidR="009235E0" w:rsidP="009235E0" w14:paraId="62DD43FC" w14:textId="77777777">
            <w:pPr>
              <w:spacing w:line="240" w:lineRule="exact"/>
              <w:jc w:val="center"/>
              <w:rPr>
                <w:rFonts w:ascii="Arial" w:hAnsi="Arial" w:cs="Arial"/>
                <w:color w:val="000000"/>
              </w:rPr>
            </w:pPr>
            <w:r>
              <w:rPr>
                <w:rFonts w:ascii="Arial" w:hAnsi="Arial" w:cs="Arial"/>
                <w:color w:val="000000"/>
              </w:rPr>
              <w:t>0.788</w:t>
            </w:r>
          </w:p>
        </w:tc>
        <w:tc>
          <w:tcPr>
            <w:tcW w:w="1080" w:type="dxa"/>
          </w:tcPr>
          <w:p w:rsidR="009235E0" w:rsidRPr="00030894" w:rsidP="009235E0" w14:paraId="5D85F549"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771FCA15"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391,366</w:t>
            </w:r>
            <w:r w:rsidRPr="001C6E5A">
              <w:rPr>
                <w:rFonts w:ascii="Arial" w:hAnsi="Arial" w:cs="Arial"/>
                <w:color w:val="000000"/>
              </w:rPr>
              <w:t xml:space="preserve"> </w:t>
            </w:r>
          </w:p>
        </w:tc>
      </w:tr>
      <w:tr w14:paraId="1745625C" w14:textId="77777777" w:rsidTr="009235E0">
        <w:tblPrEx>
          <w:tblW w:w="11250" w:type="dxa"/>
          <w:tblLayout w:type="fixed"/>
          <w:tblLook w:val="01E0"/>
        </w:tblPrEx>
        <w:tc>
          <w:tcPr>
            <w:tcW w:w="900" w:type="dxa"/>
          </w:tcPr>
          <w:p w:rsidR="009235E0" w:rsidRPr="000F4ABE" w:rsidP="009235E0" w14:paraId="09E51C0C" w14:textId="77777777">
            <w:pPr>
              <w:spacing w:line="240" w:lineRule="exact"/>
              <w:rPr>
                <w:rFonts w:ascii="Arial" w:hAnsi="Arial" w:cs="Arial"/>
              </w:rPr>
            </w:pPr>
          </w:p>
        </w:tc>
        <w:tc>
          <w:tcPr>
            <w:tcW w:w="1350" w:type="dxa"/>
          </w:tcPr>
          <w:p w:rsidR="009235E0" w:rsidRPr="000F4ABE" w:rsidP="009235E0" w14:paraId="3571A0D2" w14:textId="77777777">
            <w:pPr>
              <w:spacing w:line="240" w:lineRule="exact"/>
              <w:rPr>
                <w:rFonts w:ascii="Arial" w:hAnsi="Arial" w:cs="Arial"/>
              </w:rPr>
            </w:pPr>
            <w:r w:rsidRPr="000F4ABE">
              <w:rPr>
                <w:rFonts w:ascii="Arial" w:hAnsi="Arial" w:cs="Arial"/>
              </w:rPr>
              <w:t>Public (v)</w:t>
            </w:r>
          </w:p>
        </w:tc>
        <w:tc>
          <w:tcPr>
            <w:tcW w:w="1350" w:type="dxa"/>
          </w:tcPr>
          <w:p w:rsidR="009235E0" w:rsidRPr="001C6E5A" w:rsidP="009235E0" w14:paraId="6333756C" w14:textId="77777777">
            <w:pPr>
              <w:spacing w:line="240" w:lineRule="exact"/>
              <w:jc w:val="right"/>
              <w:rPr>
                <w:rFonts w:ascii="Arial" w:hAnsi="Arial" w:cs="Arial"/>
              </w:rPr>
            </w:pPr>
            <w:r>
              <w:rPr>
                <w:rFonts w:ascii="Arial" w:hAnsi="Arial" w:cs="Arial"/>
              </w:rPr>
              <w:t>5,800</w:t>
            </w:r>
          </w:p>
        </w:tc>
        <w:tc>
          <w:tcPr>
            <w:tcW w:w="1260" w:type="dxa"/>
          </w:tcPr>
          <w:p w:rsidR="009235E0" w:rsidRPr="001C6E5A" w:rsidP="009235E0" w14:paraId="482CA7F8" w14:textId="77777777">
            <w:pPr>
              <w:spacing w:line="240" w:lineRule="exact"/>
              <w:jc w:val="right"/>
              <w:rPr>
                <w:rFonts w:ascii="Arial" w:hAnsi="Arial" w:cs="Arial"/>
              </w:rPr>
            </w:pPr>
            <w:r w:rsidRPr="001C6E5A">
              <w:rPr>
                <w:rFonts w:ascii="Arial" w:hAnsi="Arial" w:cs="Arial"/>
              </w:rPr>
              <w:t xml:space="preserve"> </w:t>
            </w:r>
            <w:r>
              <w:rPr>
                <w:rFonts w:ascii="Arial" w:hAnsi="Arial" w:cs="Arial"/>
              </w:rPr>
              <w:t>2,842</w:t>
            </w:r>
          </w:p>
        </w:tc>
        <w:tc>
          <w:tcPr>
            <w:tcW w:w="1350" w:type="dxa"/>
          </w:tcPr>
          <w:p w:rsidR="009235E0" w:rsidRPr="001C6E5A" w:rsidP="009235E0" w14:paraId="7434B8F8" w14:textId="77777777">
            <w:pPr>
              <w:spacing w:line="240" w:lineRule="exact"/>
              <w:jc w:val="right"/>
              <w:rPr>
                <w:rFonts w:ascii="Arial" w:hAnsi="Arial" w:cs="Arial"/>
              </w:rPr>
            </w:pPr>
            <w:r>
              <w:rPr>
                <w:rFonts w:ascii="Arial" w:hAnsi="Arial" w:cs="Arial"/>
              </w:rPr>
              <w:t>9,207</w:t>
            </w:r>
          </w:p>
        </w:tc>
        <w:tc>
          <w:tcPr>
            <w:tcW w:w="1170" w:type="dxa"/>
          </w:tcPr>
          <w:p w:rsidR="009235E0" w:rsidRPr="001C6E5A" w:rsidP="009235E0" w14:paraId="25A9072B" w14:textId="77777777">
            <w:pPr>
              <w:spacing w:line="240" w:lineRule="exact"/>
              <w:jc w:val="right"/>
              <w:rPr>
                <w:rFonts w:ascii="Arial" w:hAnsi="Arial" w:cs="Arial"/>
              </w:rPr>
            </w:pPr>
            <w:r>
              <w:rPr>
                <w:rFonts w:ascii="Arial" w:hAnsi="Arial" w:cs="Arial"/>
              </w:rPr>
              <w:t>12,049</w:t>
            </w:r>
          </w:p>
        </w:tc>
        <w:tc>
          <w:tcPr>
            <w:tcW w:w="1170" w:type="dxa"/>
          </w:tcPr>
          <w:p w:rsidR="009235E0" w:rsidP="009235E0" w14:paraId="6084C6E0" w14:textId="77777777">
            <w:pPr>
              <w:spacing w:line="240" w:lineRule="exact"/>
              <w:jc w:val="center"/>
              <w:rPr>
                <w:rFonts w:ascii="Arial" w:hAnsi="Arial" w:cs="Arial"/>
                <w:color w:val="000000"/>
              </w:rPr>
            </w:pPr>
            <w:r>
              <w:rPr>
                <w:rFonts w:ascii="Arial" w:hAnsi="Arial" w:cs="Arial"/>
                <w:color w:val="000000"/>
              </w:rPr>
              <w:t>2.077</w:t>
            </w:r>
          </w:p>
        </w:tc>
        <w:tc>
          <w:tcPr>
            <w:tcW w:w="1080" w:type="dxa"/>
          </w:tcPr>
          <w:p w:rsidR="009235E0" w:rsidRPr="00030894" w:rsidP="009235E0" w14:paraId="60CE5970"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674A0443"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396,533</w:t>
            </w:r>
            <w:r w:rsidRPr="001C6E5A">
              <w:rPr>
                <w:rFonts w:ascii="Arial" w:hAnsi="Arial" w:cs="Arial"/>
                <w:color w:val="000000"/>
              </w:rPr>
              <w:t xml:space="preserve">    </w:t>
            </w:r>
          </w:p>
        </w:tc>
      </w:tr>
      <w:tr w14:paraId="4B3C0C75" w14:textId="77777777" w:rsidTr="009235E0">
        <w:tblPrEx>
          <w:tblW w:w="11250" w:type="dxa"/>
          <w:tblLayout w:type="fixed"/>
          <w:tblLook w:val="01E0"/>
        </w:tblPrEx>
        <w:tc>
          <w:tcPr>
            <w:tcW w:w="900" w:type="dxa"/>
          </w:tcPr>
          <w:p w:rsidR="009235E0" w:rsidRPr="000F4ABE" w:rsidP="009235E0" w14:paraId="1621E249" w14:textId="77777777">
            <w:pPr>
              <w:spacing w:line="240" w:lineRule="exact"/>
              <w:rPr>
                <w:rFonts w:ascii="Arial" w:hAnsi="Arial" w:cs="Arial"/>
              </w:rPr>
            </w:pPr>
          </w:p>
        </w:tc>
        <w:tc>
          <w:tcPr>
            <w:tcW w:w="1350" w:type="dxa"/>
          </w:tcPr>
          <w:p w:rsidR="009235E0" w:rsidRPr="000F4ABE" w:rsidP="009235E0" w14:paraId="2CF2CBB5" w14:textId="77777777">
            <w:pPr>
              <w:spacing w:line="240" w:lineRule="exact"/>
              <w:rPr>
                <w:rFonts w:ascii="Arial" w:hAnsi="Arial" w:cs="Arial"/>
              </w:rPr>
            </w:pPr>
            <w:r w:rsidRPr="000F4ABE">
              <w:rPr>
                <w:rFonts w:ascii="Arial" w:hAnsi="Arial" w:cs="Arial"/>
              </w:rPr>
              <w:t>Total</w:t>
            </w:r>
          </w:p>
        </w:tc>
        <w:tc>
          <w:tcPr>
            <w:tcW w:w="1350" w:type="dxa"/>
          </w:tcPr>
          <w:p w:rsidR="009235E0" w:rsidP="009235E0" w14:paraId="797DB9A4" w14:textId="77777777">
            <w:pPr>
              <w:spacing w:line="240" w:lineRule="exact"/>
              <w:jc w:val="right"/>
              <w:rPr>
                <w:rFonts w:ascii="Arial" w:hAnsi="Arial" w:cs="Arial"/>
              </w:rPr>
            </w:pPr>
            <w:r>
              <w:rPr>
                <w:rFonts w:ascii="Arial" w:hAnsi="Arial" w:cs="Arial"/>
              </w:rPr>
              <w:t>228,200</w:t>
            </w:r>
          </w:p>
        </w:tc>
        <w:tc>
          <w:tcPr>
            <w:tcW w:w="1260" w:type="dxa"/>
          </w:tcPr>
          <w:p w:rsidR="009235E0" w:rsidRPr="001C6E5A" w:rsidP="009235E0" w14:paraId="6747AF14" w14:textId="77777777">
            <w:pPr>
              <w:spacing w:line="240" w:lineRule="exact"/>
              <w:jc w:val="right"/>
              <w:rPr>
                <w:rFonts w:ascii="Arial" w:hAnsi="Arial" w:cs="Arial"/>
              </w:rPr>
            </w:pPr>
            <w:r>
              <w:rPr>
                <w:rFonts w:ascii="Arial" w:hAnsi="Arial" w:cs="Arial"/>
              </w:rPr>
              <w:t>113,034</w:t>
            </w:r>
          </w:p>
        </w:tc>
        <w:tc>
          <w:tcPr>
            <w:tcW w:w="1350" w:type="dxa"/>
          </w:tcPr>
          <w:p w:rsidR="009235E0" w:rsidRPr="001C6E5A" w:rsidP="009235E0" w14:paraId="44147EB0" w14:textId="77777777">
            <w:pPr>
              <w:spacing w:line="240" w:lineRule="exact"/>
              <w:jc w:val="right"/>
              <w:rPr>
                <w:rFonts w:ascii="Arial" w:hAnsi="Arial" w:cs="Arial"/>
              </w:rPr>
            </w:pPr>
            <w:r w:rsidRPr="001C6E5A">
              <w:rPr>
                <w:rFonts w:ascii="Arial" w:hAnsi="Arial" w:cs="Arial"/>
              </w:rPr>
              <w:t xml:space="preserve"> </w:t>
            </w:r>
            <w:r>
              <w:rPr>
                <w:rFonts w:ascii="Arial" w:hAnsi="Arial" w:cs="Arial"/>
              </w:rPr>
              <w:t>101,600</w:t>
            </w:r>
          </w:p>
        </w:tc>
        <w:tc>
          <w:tcPr>
            <w:tcW w:w="1170" w:type="dxa"/>
          </w:tcPr>
          <w:p w:rsidR="009235E0" w:rsidRPr="001C6E5A" w:rsidP="009235E0" w14:paraId="614CF968" w14:textId="77777777">
            <w:pPr>
              <w:spacing w:line="240" w:lineRule="exact"/>
              <w:jc w:val="right"/>
              <w:rPr>
                <w:rFonts w:ascii="Arial" w:hAnsi="Arial" w:cs="Arial"/>
              </w:rPr>
            </w:pPr>
            <w:r>
              <w:rPr>
                <w:rFonts w:ascii="Arial" w:hAnsi="Arial" w:cs="Arial"/>
              </w:rPr>
              <w:t>214,634</w:t>
            </w:r>
          </w:p>
        </w:tc>
        <w:tc>
          <w:tcPr>
            <w:tcW w:w="1170" w:type="dxa"/>
          </w:tcPr>
          <w:p w:rsidR="009235E0" w:rsidP="009235E0" w14:paraId="6108F1F5" w14:textId="77777777">
            <w:pPr>
              <w:spacing w:line="240" w:lineRule="exact"/>
              <w:jc w:val="center"/>
              <w:rPr>
                <w:rFonts w:ascii="Arial" w:hAnsi="Arial" w:cs="Arial"/>
                <w:color w:val="000000"/>
              </w:rPr>
            </w:pPr>
            <w:r>
              <w:rPr>
                <w:rFonts w:ascii="Arial" w:hAnsi="Arial" w:cs="Arial"/>
                <w:color w:val="000000"/>
              </w:rPr>
              <w:t>0.941</w:t>
            </w:r>
          </w:p>
        </w:tc>
        <w:tc>
          <w:tcPr>
            <w:tcW w:w="1080" w:type="dxa"/>
          </w:tcPr>
          <w:p w:rsidR="009235E0" w:rsidRPr="00030894" w:rsidP="009235E0" w14:paraId="2F37226A"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71301140"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7,063,605</w:t>
            </w:r>
            <w:r w:rsidRPr="001C6E5A">
              <w:rPr>
                <w:rFonts w:ascii="Arial" w:hAnsi="Arial" w:cs="Arial"/>
                <w:color w:val="000000"/>
              </w:rPr>
              <w:t xml:space="preserve"> </w:t>
            </w:r>
          </w:p>
        </w:tc>
      </w:tr>
      <w:tr w14:paraId="0C4A0E72" w14:textId="77777777" w:rsidTr="009235E0">
        <w:tblPrEx>
          <w:tblW w:w="11250" w:type="dxa"/>
          <w:tblLayout w:type="fixed"/>
          <w:tblLook w:val="01E0"/>
        </w:tblPrEx>
        <w:trPr>
          <w:trHeight w:val="242"/>
        </w:trPr>
        <w:tc>
          <w:tcPr>
            <w:tcW w:w="900" w:type="dxa"/>
            <w:shd w:val="clear" w:color="auto" w:fill="000000" w:themeFill="text1"/>
          </w:tcPr>
          <w:p w:rsidR="009235E0" w:rsidRPr="000F4ABE" w:rsidP="009235E0" w14:paraId="53C8AD56" w14:textId="77777777">
            <w:pPr>
              <w:spacing w:line="240" w:lineRule="exact"/>
              <w:rPr>
                <w:rFonts w:ascii="Arial" w:hAnsi="Arial" w:cs="Arial"/>
              </w:rPr>
            </w:pPr>
          </w:p>
        </w:tc>
        <w:tc>
          <w:tcPr>
            <w:tcW w:w="1350" w:type="dxa"/>
            <w:shd w:val="clear" w:color="auto" w:fill="000000" w:themeFill="text1"/>
          </w:tcPr>
          <w:p w:rsidR="009235E0" w:rsidRPr="000F4ABE" w:rsidP="009235E0" w14:paraId="54AEA54A" w14:textId="77777777">
            <w:pPr>
              <w:spacing w:line="240" w:lineRule="exact"/>
              <w:rPr>
                <w:rFonts w:ascii="Arial" w:hAnsi="Arial" w:cs="Arial"/>
              </w:rPr>
            </w:pPr>
          </w:p>
        </w:tc>
        <w:tc>
          <w:tcPr>
            <w:tcW w:w="1350" w:type="dxa"/>
            <w:shd w:val="clear" w:color="auto" w:fill="000000" w:themeFill="text1"/>
          </w:tcPr>
          <w:p w:rsidR="009235E0" w:rsidRPr="001C6E5A" w:rsidP="009235E0" w14:paraId="4B07FB0C" w14:textId="77777777">
            <w:pPr>
              <w:spacing w:line="240" w:lineRule="exact"/>
              <w:jc w:val="right"/>
              <w:rPr>
                <w:rFonts w:ascii="Arial" w:hAnsi="Arial" w:cs="Arial"/>
              </w:rPr>
            </w:pPr>
          </w:p>
        </w:tc>
        <w:tc>
          <w:tcPr>
            <w:tcW w:w="1260" w:type="dxa"/>
            <w:shd w:val="clear" w:color="auto" w:fill="000000" w:themeFill="text1"/>
          </w:tcPr>
          <w:p w:rsidR="009235E0" w:rsidRPr="001C6E5A" w:rsidP="009235E0" w14:paraId="0C36DC2C" w14:textId="77777777">
            <w:pPr>
              <w:spacing w:line="240" w:lineRule="exact"/>
              <w:jc w:val="right"/>
              <w:rPr>
                <w:rFonts w:ascii="Arial" w:hAnsi="Arial" w:cs="Arial"/>
              </w:rPr>
            </w:pPr>
          </w:p>
        </w:tc>
        <w:tc>
          <w:tcPr>
            <w:tcW w:w="1350" w:type="dxa"/>
            <w:shd w:val="clear" w:color="auto" w:fill="000000" w:themeFill="text1"/>
          </w:tcPr>
          <w:p w:rsidR="009235E0" w:rsidRPr="001C6E5A" w:rsidP="009235E0" w14:paraId="2FA92B2C" w14:textId="77777777">
            <w:pPr>
              <w:spacing w:line="240" w:lineRule="exact"/>
              <w:jc w:val="right"/>
              <w:rPr>
                <w:rFonts w:ascii="Arial" w:hAnsi="Arial" w:cs="Arial"/>
              </w:rPr>
            </w:pPr>
          </w:p>
        </w:tc>
        <w:tc>
          <w:tcPr>
            <w:tcW w:w="1170" w:type="dxa"/>
            <w:shd w:val="clear" w:color="auto" w:fill="000000" w:themeFill="text1"/>
          </w:tcPr>
          <w:p w:rsidR="009235E0" w:rsidRPr="001C6E5A" w:rsidP="009235E0" w14:paraId="07EA10C1" w14:textId="77777777">
            <w:pPr>
              <w:spacing w:line="240" w:lineRule="exact"/>
              <w:jc w:val="right"/>
              <w:rPr>
                <w:rFonts w:ascii="Arial" w:hAnsi="Arial" w:cs="Arial"/>
              </w:rPr>
            </w:pPr>
          </w:p>
        </w:tc>
        <w:tc>
          <w:tcPr>
            <w:tcW w:w="1170" w:type="dxa"/>
            <w:shd w:val="clear" w:color="auto" w:fill="000000" w:themeFill="text1"/>
          </w:tcPr>
          <w:p w:rsidR="009235E0" w:rsidRPr="00AA5D07" w:rsidP="009235E0" w14:paraId="39916074" w14:textId="77777777">
            <w:pPr>
              <w:spacing w:line="240" w:lineRule="exact"/>
              <w:jc w:val="center"/>
              <w:rPr>
                <w:rFonts w:ascii="Arial" w:hAnsi="Arial" w:cs="Arial"/>
                <w:color w:val="000000"/>
              </w:rPr>
            </w:pPr>
          </w:p>
        </w:tc>
        <w:tc>
          <w:tcPr>
            <w:tcW w:w="1080" w:type="dxa"/>
            <w:shd w:val="clear" w:color="auto" w:fill="000000" w:themeFill="text1"/>
          </w:tcPr>
          <w:p w:rsidR="009235E0" w:rsidRPr="00AA5D07" w:rsidP="009235E0" w14:paraId="192E1FA7" w14:textId="77777777">
            <w:pPr>
              <w:spacing w:line="240" w:lineRule="exact"/>
              <w:jc w:val="center"/>
              <w:rPr>
                <w:rFonts w:ascii="Arial" w:hAnsi="Arial" w:cs="Arial"/>
                <w:color w:val="000000"/>
              </w:rPr>
            </w:pPr>
          </w:p>
        </w:tc>
        <w:tc>
          <w:tcPr>
            <w:tcW w:w="1620" w:type="dxa"/>
            <w:shd w:val="clear" w:color="auto" w:fill="000000" w:themeFill="text1"/>
            <w:vAlign w:val="bottom"/>
          </w:tcPr>
          <w:p w:rsidR="009235E0" w:rsidRPr="001C6E5A" w:rsidP="009235E0" w14:paraId="19811785" w14:textId="77777777">
            <w:pPr>
              <w:spacing w:line="240" w:lineRule="exact"/>
              <w:jc w:val="right"/>
              <w:rPr>
                <w:rFonts w:ascii="Arial" w:hAnsi="Arial" w:cs="Arial"/>
              </w:rPr>
            </w:pPr>
            <w:r w:rsidRPr="001C6E5A">
              <w:rPr>
                <w:rFonts w:ascii="Arial" w:hAnsi="Arial" w:cs="Arial"/>
                <w:color w:val="000000"/>
                <w:sz w:val="22"/>
                <w:szCs w:val="22"/>
              </w:rPr>
              <w:t xml:space="preserve"> $                  </w:t>
            </w:r>
          </w:p>
        </w:tc>
      </w:tr>
      <w:tr w14:paraId="634F5CD5" w14:textId="77777777" w:rsidTr="009235E0">
        <w:tblPrEx>
          <w:tblW w:w="11250" w:type="dxa"/>
          <w:tblLayout w:type="fixed"/>
          <w:tblLook w:val="01E0"/>
        </w:tblPrEx>
        <w:tc>
          <w:tcPr>
            <w:tcW w:w="900" w:type="dxa"/>
          </w:tcPr>
          <w:p w:rsidR="009235E0" w:rsidRPr="000F4ABE" w:rsidP="009235E0" w14:paraId="4F6C3970" w14:textId="77777777">
            <w:pPr>
              <w:spacing w:line="240" w:lineRule="exact"/>
              <w:rPr>
                <w:rFonts w:ascii="Arial" w:hAnsi="Arial" w:cs="Arial"/>
              </w:rPr>
            </w:pPr>
            <w:r>
              <w:rPr>
                <w:rFonts w:ascii="Arial" w:hAnsi="Arial" w:cs="Arial"/>
              </w:rPr>
              <w:t>2026</w:t>
            </w:r>
          </w:p>
        </w:tc>
        <w:tc>
          <w:tcPr>
            <w:tcW w:w="1350" w:type="dxa"/>
          </w:tcPr>
          <w:p w:rsidR="009235E0" w:rsidRPr="000F4ABE" w:rsidP="009235E0" w14:paraId="05E45CB3" w14:textId="77777777">
            <w:pPr>
              <w:spacing w:line="240" w:lineRule="exact"/>
              <w:rPr>
                <w:rFonts w:ascii="Arial" w:hAnsi="Arial" w:cs="Arial"/>
              </w:rPr>
            </w:pPr>
            <w:r w:rsidRPr="000F4ABE">
              <w:rPr>
                <w:rFonts w:ascii="Arial" w:hAnsi="Arial" w:cs="Arial"/>
              </w:rPr>
              <w:t>Private</w:t>
            </w:r>
          </w:p>
        </w:tc>
        <w:tc>
          <w:tcPr>
            <w:tcW w:w="1350" w:type="dxa"/>
          </w:tcPr>
          <w:p w:rsidR="009235E0" w:rsidP="009235E0" w14:paraId="24C4FECB" w14:textId="77777777">
            <w:pPr>
              <w:spacing w:line="240" w:lineRule="exact"/>
              <w:jc w:val="right"/>
              <w:rPr>
                <w:rFonts w:ascii="Arial" w:hAnsi="Arial" w:cs="Arial"/>
              </w:rPr>
            </w:pPr>
            <w:r>
              <w:rPr>
                <w:rFonts w:ascii="Arial" w:hAnsi="Arial" w:cs="Arial"/>
              </w:rPr>
              <w:t>207,300</w:t>
            </w:r>
          </w:p>
        </w:tc>
        <w:tc>
          <w:tcPr>
            <w:tcW w:w="1260" w:type="dxa"/>
          </w:tcPr>
          <w:p w:rsidR="009235E0" w:rsidRPr="001C6E5A" w:rsidP="009235E0" w14:paraId="346F7B54" w14:textId="77777777">
            <w:pPr>
              <w:spacing w:line="240" w:lineRule="exact"/>
              <w:jc w:val="right"/>
              <w:rPr>
                <w:rFonts w:ascii="Arial" w:hAnsi="Arial" w:cs="Arial"/>
              </w:rPr>
            </w:pPr>
            <w:r>
              <w:rPr>
                <w:rFonts w:ascii="Arial" w:hAnsi="Arial" w:cs="Arial"/>
              </w:rPr>
              <w:t>98,300</w:t>
            </w:r>
          </w:p>
        </w:tc>
        <w:tc>
          <w:tcPr>
            <w:tcW w:w="1350" w:type="dxa"/>
          </w:tcPr>
          <w:p w:rsidR="009235E0" w:rsidRPr="001C6E5A" w:rsidP="009235E0" w14:paraId="33DB073B" w14:textId="77777777">
            <w:pPr>
              <w:spacing w:line="240" w:lineRule="exact"/>
              <w:jc w:val="right"/>
              <w:rPr>
                <w:rFonts w:ascii="Arial" w:hAnsi="Arial" w:cs="Arial"/>
              </w:rPr>
            </w:pPr>
            <w:r>
              <w:rPr>
                <w:rFonts w:ascii="Arial" w:hAnsi="Arial" w:cs="Arial"/>
              </w:rPr>
              <w:t>92,393</w:t>
            </w:r>
          </w:p>
        </w:tc>
        <w:tc>
          <w:tcPr>
            <w:tcW w:w="1170" w:type="dxa"/>
          </w:tcPr>
          <w:p w:rsidR="009235E0" w:rsidRPr="001C6E5A" w:rsidP="009235E0" w14:paraId="74B1215F" w14:textId="77777777">
            <w:pPr>
              <w:spacing w:line="240" w:lineRule="exact"/>
              <w:jc w:val="right"/>
              <w:rPr>
                <w:rFonts w:ascii="Arial" w:hAnsi="Arial" w:cs="Arial"/>
              </w:rPr>
            </w:pPr>
            <w:r>
              <w:rPr>
                <w:rFonts w:ascii="Arial" w:hAnsi="Arial" w:cs="Arial"/>
              </w:rPr>
              <w:t>190,693</w:t>
            </w:r>
          </w:p>
        </w:tc>
        <w:tc>
          <w:tcPr>
            <w:tcW w:w="1170" w:type="dxa"/>
          </w:tcPr>
          <w:p w:rsidR="009235E0" w:rsidP="009235E0" w14:paraId="4A5A2987" w14:textId="77777777">
            <w:pPr>
              <w:spacing w:line="240" w:lineRule="exact"/>
              <w:jc w:val="center"/>
              <w:rPr>
                <w:rFonts w:ascii="Arial" w:hAnsi="Arial" w:cs="Arial"/>
                <w:color w:val="000000"/>
              </w:rPr>
            </w:pPr>
            <w:r>
              <w:rPr>
                <w:rFonts w:ascii="Arial" w:hAnsi="Arial" w:cs="Arial"/>
                <w:color w:val="000000"/>
              </w:rPr>
              <w:t>0.920</w:t>
            </w:r>
          </w:p>
        </w:tc>
        <w:tc>
          <w:tcPr>
            <w:tcW w:w="1080" w:type="dxa"/>
          </w:tcPr>
          <w:p w:rsidR="009235E0" w:rsidRPr="00AA5D07" w:rsidP="009235E0" w14:paraId="7FF80F28"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6A6A800B" w14:textId="77777777">
            <w:pPr>
              <w:spacing w:line="240" w:lineRule="exact"/>
              <w:jc w:val="right"/>
              <w:rPr>
                <w:rFonts w:ascii="Arial" w:hAnsi="Arial" w:cs="Arial"/>
              </w:rPr>
            </w:pPr>
            <w:r w:rsidRPr="001C6E5A">
              <w:rPr>
                <w:rFonts w:ascii="Arial" w:hAnsi="Arial" w:cs="Arial"/>
                <w:color w:val="000000"/>
                <w:sz w:val="22"/>
                <w:szCs w:val="22"/>
              </w:rPr>
              <w:t xml:space="preserve"> </w:t>
            </w:r>
            <w:r w:rsidRPr="001C6E5A">
              <w:rPr>
                <w:rFonts w:ascii="Arial" w:hAnsi="Arial" w:cs="Arial"/>
                <w:color w:val="000000"/>
              </w:rPr>
              <w:t xml:space="preserve">$ </w:t>
            </w:r>
            <w:r>
              <w:rPr>
                <w:rFonts w:ascii="Arial" w:hAnsi="Arial" w:cs="Arial"/>
                <w:color w:val="000000"/>
              </w:rPr>
              <w:t>6,275,707</w:t>
            </w:r>
            <w:r w:rsidRPr="001C6E5A">
              <w:rPr>
                <w:rFonts w:ascii="Arial" w:hAnsi="Arial" w:cs="Arial"/>
                <w:color w:val="000000"/>
              </w:rPr>
              <w:t xml:space="preserve"> </w:t>
            </w:r>
          </w:p>
        </w:tc>
      </w:tr>
      <w:tr w14:paraId="2A8924B4" w14:textId="77777777" w:rsidTr="009235E0">
        <w:tblPrEx>
          <w:tblW w:w="11250" w:type="dxa"/>
          <w:tblLayout w:type="fixed"/>
          <w:tblLook w:val="01E0"/>
        </w:tblPrEx>
        <w:tc>
          <w:tcPr>
            <w:tcW w:w="900" w:type="dxa"/>
          </w:tcPr>
          <w:p w:rsidR="009235E0" w:rsidRPr="000F4ABE" w:rsidP="009235E0" w14:paraId="47326657" w14:textId="77777777">
            <w:pPr>
              <w:spacing w:line="240" w:lineRule="exact"/>
              <w:rPr>
                <w:rFonts w:ascii="Arial" w:hAnsi="Arial" w:cs="Arial"/>
              </w:rPr>
            </w:pPr>
          </w:p>
        </w:tc>
        <w:tc>
          <w:tcPr>
            <w:tcW w:w="1350" w:type="dxa"/>
          </w:tcPr>
          <w:p w:rsidR="009235E0" w:rsidRPr="000F4ABE" w:rsidP="009235E0" w14:paraId="738CFEC7" w14:textId="77777777">
            <w:pPr>
              <w:spacing w:line="240" w:lineRule="exact"/>
              <w:rPr>
                <w:rFonts w:ascii="Arial" w:hAnsi="Arial" w:cs="Arial"/>
              </w:rPr>
            </w:pPr>
            <w:r w:rsidRPr="000F4ABE">
              <w:rPr>
                <w:rFonts w:ascii="Arial" w:hAnsi="Arial" w:cs="Arial"/>
              </w:rPr>
              <w:t>Public (m)</w:t>
            </w:r>
          </w:p>
        </w:tc>
        <w:tc>
          <w:tcPr>
            <w:tcW w:w="1350" w:type="dxa"/>
          </w:tcPr>
          <w:p w:rsidR="009235E0" w:rsidP="009235E0" w14:paraId="03171D12" w14:textId="77777777">
            <w:pPr>
              <w:spacing w:line="240" w:lineRule="exact"/>
              <w:jc w:val="right"/>
              <w:rPr>
                <w:rFonts w:ascii="Arial" w:hAnsi="Arial" w:cs="Arial"/>
              </w:rPr>
            </w:pPr>
            <w:r>
              <w:rPr>
                <w:rFonts w:ascii="Arial" w:hAnsi="Arial" w:cs="Arial"/>
              </w:rPr>
              <w:t>15,100</w:t>
            </w:r>
          </w:p>
        </w:tc>
        <w:tc>
          <w:tcPr>
            <w:tcW w:w="1260" w:type="dxa"/>
          </w:tcPr>
          <w:p w:rsidR="009235E0" w:rsidRPr="001C6E5A" w:rsidP="009235E0" w14:paraId="28C2E9EC" w14:textId="77777777">
            <w:pPr>
              <w:spacing w:line="240" w:lineRule="exact"/>
              <w:jc w:val="right"/>
              <w:rPr>
                <w:rFonts w:ascii="Arial" w:hAnsi="Arial" w:cs="Arial"/>
              </w:rPr>
            </w:pPr>
            <w:r>
              <w:rPr>
                <w:rFonts w:ascii="Arial" w:hAnsi="Arial" w:cs="Arial"/>
              </w:rPr>
              <w:t>11,892</w:t>
            </w:r>
          </w:p>
        </w:tc>
        <w:tc>
          <w:tcPr>
            <w:tcW w:w="1350" w:type="dxa"/>
          </w:tcPr>
          <w:p w:rsidR="009235E0" w:rsidRPr="001C6E5A" w:rsidP="009235E0" w14:paraId="5894C6EC" w14:textId="77777777">
            <w:pPr>
              <w:spacing w:line="240" w:lineRule="exact"/>
              <w:jc w:val="right"/>
              <w:rPr>
                <w:rFonts w:ascii="Arial" w:hAnsi="Arial" w:cs="Arial"/>
              </w:rPr>
            </w:pPr>
            <w:r w:rsidRPr="001C6E5A">
              <w:rPr>
                <w:rFonts w:ascii="Arial" w:hAnsi="Arial" w:cs="Arial"/>
              </w:rPr>
              <w:t xml:space="preserve">  --</w:t>
            </w:r>
          </w:p>
        </w:tc>
        <w:tc>
          <w:tcPr>
            <w:tcW w:w="1170" w:type="dxa"/>
          </w:tcPr>
          <w:p w:rsidR="009235E0" w:rsidRPr="001C6E5A" w:rsidP="009235E0" w14:paraId="5EA02173" w14:textId="77777777">
            <w:pPr>
              <w:spacing w:line="240" w:lineRule="exact"/>
              <w:jc w:val="right"/>
              <w:rPr>
                <w:rFonts w:ascii="Arial" w:hAnsi="Arial" w:cs="Arial"/>
              </w:rPr>
            </w:pPr>
            <w:r>
              <w:rPr>
                <w:rFonts w:ascii="Arial" w:hAnsi="Arial" w:cs="Arial"/>
              </w:rPr>
              <w:t>11,892</w:t>
            </w:r>
          </w:p>
        </w:tc>
        <w:tc>
          <w:tcPr>
            <w:tcW w:w="1170" w:type="dxa"/>
          </w:tcPr>
          <w:p w:rsidR="009235E0" w:rsidP="009235E0" w14:paraId="40303130" w14:textId="77777777">
            <w:pPr>
              <w:spacing w:line="240" w:lineRule="exact"/>
              <w:jc w:val="center"/>
              <w:rPr>
                <w:rFonts w:ascii="Arial" w:hAnsi="Arial" w:cs="Arial"/>
                <w:color w:val="000000"/>
              </w:rPr>
            </w:pPr>
            <w:r>
              <w:rPr>
                <w:rFonts w:ascii="Arial" w:hAnsi="Arial" w:cs="Arial"/>
                <w:color w:val="000000"/>
              </w:rPr>
              <w:t>0.788</w:t>
            </w:r>
          </w:p>
        </w:tc>
        <w:tc>
          <w:tcPr>
            <w:tcW w:w="1080" w:type="dxa"/>
          </w:tcPr>
          <w:p w:rsidR="009235E0" w:rsidRPr="00030894" w:rsidP="009235E0" w14:paraId="13DBD44F"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736C9451"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391,366</w:t>
            </w:r>
            <w:r w:rsidRPr="001C6E5A">
              <w:rPr>
                <w:rFonts w:ascii="Arial" w:hAnsi="Arial" w:cs="Arial"/>
                <w:color w:val="000000"/>
              </w:rPr>
              <w:t xml:space="preserve"> </w:t>
            </w:r>
          </w:p>
        </w:tc>
      </w:tr>
      <w:tr w14:paraId="0C8D4007" w14:textId="77777777" w:rsidTr="009235E0">
        <w:tblPrEx>
          <w:tblW w:w="11250" w:type="dxa"/>
          <w:tblLayout w:type="fixed"/>
          <w:tblLook w:val="01E0"/>
        </w:tblPrEx>
        <w:tc>
          <w:tcPr>
            <w:tcW w:w="900" w:type="dxa"/>
          </w:tcPr>
          <w:p w:rsidR="009235E0" w:rsidRPr="000F4ABE" w:rsidP="009235E0" w14:paraId="6228523D" w14:textId="77777777">
            <w:pPr>
              <w:spacing w:line="240" w:lineRule="exact"/>
              <w:rPr>
                <w:rFonts w:ascii="Arial" w:hAnsi="Arial" w:cs="Arial"/>
              </w:rPr>
            </w:pPr>
          </w:p>
        </w:tc>
        <w:tc>
          <w:tcPr>
            <w:tcW w:w="1350" w:type="dxa"/>
          </w:tcPr>
          <w:p w:rsidR="009235E0" w:rsidRPr="000F4ABE" w:rsidP="009235E0" w14:paraId="3FE7DB1B" w14:textId="77777777">
            <w:pPr>
              <w:spacing w:line="240" w:lineRule="exact"/>
              <w:rPr>
                <w:rFonts w:ascii="Arial" w:hAnsi="Arial" w:cs="Arial"/>
              </w:rPr>
            </w:pPr>
            <w:r w:rsidRPr="000F4ABE">
              <w:rPr>
                <w:rFonts w:ascii="Arial" w:hAnsi="Arial" w:cs="Arial"/>
              </w:rPr>
              <w:t>Public (v)</w:t>
            </w:r>
          </w:p>
        </w:tc>
        <w:tc>
          <w:tcPr>
            <w:tcW w:w="1350" w:type="dxa"/>
          </w:tcPr>
          <w:p w:rsidR="009235E0" w:rsidRPr="001C6E5A" w:rsidP="009235E0" w14:paraId="3CCD78B2" w14:textId="77777777">
            <w:pPr>
              <w:spacing w:line="240" w:lineRule="exact"/>
              <w:jc w:val="right"/>
              <w:rPr>
                <w:rFonts w:ascii="Arial" w:hAnsi="Arial" w:cs="Arial"/>
              </w:rPr>
            </w:pPr>
            <w:r>
              <w:rPr>
                <w:rFonts w:ascii="Arial" w:hAnsi="Arial" w:cs="Arial"/>
              </w:rPr>
              <w:t>5,800</w:t>
            </w:r>
          </w:p>
        </w:tc>
        <w:tc>
          <w:tcPr>
            <w:tcW w:w="1260" w:type="dxa"/>
          </w:tcPr>
          <w:p w:rsidR="009235E0" w:rsidRPr="001C6E5A" w:rsidP="009235E0" w14:paraId="319C0EFE" w14:textId="77777777">
            <w:pPr>
              <w:spacing w:line="240" w:lineRule="exact"/>
              <w:jc w:val="right"/>
              <w:rPr>
                <w:rFonts w:ascii="Arial" w:hAnsi="Arial" w:cs="Arial"/>
              </w:rPr>
            </w:pPr>
            <w:r w:rsidRPr="001C6E5A">
              <w:rPr>
                <w:rFonts w:ascii="Arial" w:hAnsi="Arial" w:cs="Arial"/>
              </w:rPr>
              <w:t xml:space="preserve"> </w:t>
            </w:r>
            <w:r>
              <w:rPr>
                <w:rFonts w:ascii="Arial" w:hAnsi="Arial" w:cs="Arial"/>
              </w:rPr>
              <w:t>2,842</w:t>
            </w:r>
          </w:p>
        </w:tc>
        <w:tc>
          <w:tcPr>
            <w:tcW w:w="1350" w:type="dxa"/>
          </w:tcPr>
          <w:p w:rsidR="009235E0" w:rsidRPr="001C6E5A" w:rsidP="009235E0" w14:paraId="4AF8074E" w14:textId="77777777">
            <w:pPr>
              <w:spacing w:line="240" w:lineRule="exact"/>
              <w:jc w:val="right"/>
              <w:rPr>
                <w:rFonts w:ascii="Arial" w:hAnsi="Arial" w:cs="Arial"/>
              </w:rPr>
            </w:pPr>
            <w:r>
              <w:rPr>
                <w:rFonts w:ascii="Arial" w:hAnsi="Arial" w:cs="Arial"/>
              </w:rPr>
              <w:t>9,207</w:t>
            </w:r>
          </w:p>
        </w:tc>
        <w:tc>
          <w:tcPr>
            <w:tcW w:w="1170" w:type="dxa"/>
          </w:tcPr>
          <w:p w:rsidR="009235E0" w:rsidRPr="001C6E5A" w:rsidP="009235E0" w14:paraId="283D1DCB" w14:textId="77777777">
            <w:pPr>
              <w:spacing w:line="240" w:lineRule="exact"/>
              <w:jc w:val="right"/>
              <w:rPr>
                <w:rFonts w:ascii="Arial" w:hAnsi="Arial" w:cs="Arial"/>
              </w:rPr>
            </w:pPr>
            <w:r>
              <w:rPr>
                <w:rFonts w:ascii="Arial" w:hAnsi="Arial" w:cs="Arial"/>
              </w:rPr>
              <w:t>12,049</w:t>
            </w:r>
          </w:p>
        </w:tc>
        <w:tc>
          <w:tcPr>
            <w:tcW w:w="1170" w:type="dxa"/>
          </w:tcPr>
          <w:p w:rsidR="009235E0" w:rsidP="009235E0" w14:paraId="4BACC226" w14:textId="77777777">
            <w:pPr>
              <w:spacing w:line="240" w:lineRule="exact"/>
              <w:jc w:val="center"/>
              <w:rPr>
                <w:rFonts w:ascii="Arial" w:hAnsi="Arial" w:cs="Arial"/>
                <w:color w:val="000000"/>
              </w:rPr>
            </w:pPr>
            <w:r>
              <w:rPr>
                <w:rFonts w:ascii="Arial" w:hAnsi="Arial" w:cs="Arial"/>
                <w:color w:val="000000"/>
              </w:rPr>
              <w:t>2.077</w:t>
            </w:r>
          </w:p>
        </w:tc>
        <w:tc>
          <w:tcPr>
            <w:tcW w:w="1080" w:type="dxa"/>
          </w:tcPr>
          <w:p w:rsidR="009235E0" w:rsidRPr="00030894" w:rsidP="009235E0" w14:paraId="3DA0F7A2"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6348D4CC"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396,533</w:t>
            </w:r>
            <w:r w:rsidRPr="001C6E5A">
              <w:rPr>
                <w:rFonts w:ascii="Arial" w:hAnsi="Arial" w:cs="Arial"/>
                <w:color w:val="000000"/>
              </w:rPr>
              <w:t xml:space="preserve">    </w:t>
            </w:r>
          </w:p>
        </w:tc>
      </w:tr>
      <w:tr w14:paraId="7C8C040E" w14:textId="77777777" w:rsidTr="009235E0">
        <w:tblPrEx>
          <w:tblW w:w="11250" w:type="dxa"/>
          <w:tblLayout w:type="fixed"/>
          <w:tblLook w:val="01E0"/>
        </w:tblPrEx>
        <w:tc>
          <w:tcPr>
            <w:tcW w:w="900" w:type="dxa"/>
          </w:tcPr>
          <w:p w:rsidR="009235E0" w:rsidRPr="000F4ABE" w:rsidP="009235E0" w14:paraId="50FBA9E8" w14:textId="77777777">
            <w:pPr>
              <w:spacing w:line="240" w:lineRule="exact"/>
              <w:rPr>
                <w:rFonts w:ascii="Arial" w:hAnsi="Arial" w:cs="Arial"/>
              </w:rPr>
            </w:pPr>
          </w:p>
        </w:tc>
        <w:tc>
          <w:tcPr>
            <w:tcW w:w="1350" w:type="dxa"/>
          </w:tcPr>
          <w:p w:rsidR="009235E0" w:rsidRPr="000F4ABE" w:rsidP="009235E0" w14:paraId="61B1FB7A" w14:textId="77777777">
            <w:pPr>
              <w:spacing w:line="240" w:lineRule="exact"/>
              <w:rPr>
                <w:rFonts w:ascii="Arial" w:hAnsi="Arial" w:cs="Arial"/>
              </w:rPr>
            </w:pPr>
            <w:r w:rsidRPr="000F4ABE">
              <w:rPr>
                <w:rFonts w:ascii="Arial" w:hAnsi="Arial" w:cs="Arial"/>
              </w:rPr>
              <w:t>Total</w:t>
            </w:r>
          </w:p>
        </w:tc>
        <w:tc>
          <w:tcPr>
            <w:tcW w:w="1350" w:type="dxa"/>
          </w:tcPr>
          <w:p w:rsidR="009235E0" w:rsidP="009235E0" w14:paraId="04095B21" w14:textId="77777777">
            <w:pPr>
              <w:spacing w:line="240" w:lineRule="exact"/>
              <w:jc w:val="right"/>
              <w:rPr>
                <w:rFonts w:ascii="Arial" w:hAnsi="Arial" w:cs="Arial"/>
              </w:rPr>
            </w:pPr>
            <w:r>
              <w:rPr>
                <w:rFonts w:ascii="Arial" w:hAnsi="Arial" w:cs="Arial"/>
              </w:rPr>
              <w:t>228,200</w:t>
            </w:r>
          </w:p>
        </w:tc>
        <w:tc>
          <w:tcPr>
            <w:tcW w:w="1260" w:type="dxa"/>
          </w:tcPr>
          <w:p w:rsidR="009235E0" w:rsidRPr="001C6E5A" w:rsidP="009235E0" w14:paraId="75F9B25D" w14:textId="77777777">
            <w:pPr>
              <w:spacing w:line="240" w:lineRule="exact"/>
              <w:jc w:val="right"/>
              <w:rPr>
                <w:rFonts w:ascii="Arial" w:hAnsi="Arial" w:cs="Arial"/>
              </w:rPr>
            </w:pPr>
            <w:r>
              <w:rPr>
                <w:rFonts w:ascii="Arial" w:hAnsi="Arial" w:cs="Arial"/>
              </w:rPr>
              <w:t>113,034</w:t>
            </w:r>
          </w:p>
        </w:tc>
        <w:tc>
          <w:tcPr>
            <w:tcW w:w="1350" w:type="dxa"/>
          </w:tcPr>
          <w:p w:rsidR="009235E0" w:rsidRPr="001C6E5A" w:rsidP="009235E0" w14:paraId="073C8E87" w14:textId="77777777">
            <w:pPr>
              <w:spacing w:line="240" w:lineRule="exact"/>
              <w:jc w:val="right"/>
              <w:rPr>
                <w:rFonts w:ascii="Arial" w:hAnsi="Arial" w:cs="Arial"/>
              </w:rPr>
            </w:pPr>
            <w:r w:rsidRPr="001C6E5A">
              <w:rPr>
                <w:rFonts w:ascii="Arial" w:hAnsi="Arial" w:cs="Arial"/>
              </w:rPr>
              <w:t xml:space="preserve"> </w:t>
            </w:r>
            <w:r>
              <w:rPr>
                <w:rFonts w:ascii="Arial" w:hAnsi="Arial" w:cs="Arial"/>
              </w:rPr>
              <w:t>101,600</w:t>
            </w:r>
          </w:p>
        </w:tc>
        <w:tc>
          <w:tcPr>
            <w:tcW w:w="1170" w:type="dxa"/>
          </w:tcPr>
          <w:p w:rsidR="009235E0" w:rsidRPr="001C6E5A" w:rsidP="009235E0" w14:paraId="39348485" w14:textId="77777777">
            <w:pPr>
              <w:spacing w:line="240" w:lineRule="exact"/>
              <w:jc w:val="right"/>
              <w:rPr>
                <w:rFonts w:ascii="Arial" w:hAnsi="Arial" w:cs="Arial"/>
              </w:rPr>
            </w:pPr>
            <w:r>
              <w:rPr>
                <w:rFonts w:ascii="Arial" w:hAnsi="Arial" w:cs="Arial"/>
              </w:rPr>
              <w:t>214,634</w:t>
            </w:r>
          </w:p>
        </w:tc>
        <w:tc>
          <w:tcPr>
            <w:tcW w:w="1170" w:type="dxa"/>
          </w:tcPr>
          <w:p w:rsidR="009235E0" w:rsidP="009235E0" w14:paraId="2ECCB3FD" w14:textId="77777777">
            <w:pPr>
              <w:spacing w:line="240" w:lineRule="exact"/>
              <w:jc w:val="center"/>
              <w:rPr>
                <w:rFonts w:ascii="Arial" w:hAnsi="Arial" w:cs="Arial"/>
                <w:color w:val="000000"/>
              </w:rPr>
            </w:pPr>
            <w:r>
              <w:rPr>
                <w:rFonts w:ascii="Arial" w:hAnsi="Arial" w:cs="Arial"/>
                <w:color w:val="000000"/>
              </w:rPr>
              <w:t>0.941</w:t>
            </w:r>
          </w:p>
        </w:tc>
        <w:tc>
          <w:tcPr>
            <w:tcW w:w="1080" w:type="dxa"/>
          </w:tcPr>
          <w:p w:rsidR="009235E0" w:rsidRPr="00030894" w:rsidP="009235E0" w14:paraId="7E21CA4C"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715ABA32"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7,063,605</w:t>
            </w:r>
            <w:r w:rsidRPr="001C6E5A">
              <w:rPr>
                <w:rFonts w:ascii="Arial" w:hAnsi="Arial" w:cs="Arial"/>
                <w:color w:val="000000"/>
              </w:rPr>
              <w:t xml:space="preserve"> </w:t>
            </w:r>
          </w:p>
        </w:tc>
      </w:tr>
    </w:tbl>
    <w:p w:rsidR="00B10262" w:rsidRPr="005F4E87" w:rsidP="00D17977" w14:paraId="0C7EC7A0" w14:textId="77777777">
      <w:pPr>
        <w:spacing w:line="240" w:lineRule="exact"/>
        <w:rPr>
          <w:rFonts w:ascii="Arial" w:hAnsi="Arial" w:cs="Arial"/>
          <w:b/>
          <w:u w:val="single"/>
        </w:rPr>
      </w:pPr>
    </w:p>
    <w:p w:rsidR="00D17977" w:rsidP="00D17977" w14:paraId="5FAE24B4" w14:textId="77777777">
      <w:pPr>
        <w:spacing w:line="240" w:lineRule="exact"/>
        <w:rPr>
          <w:rFonts w:ascii="Arial" w:hAnsi="Arial" w:cs="Arial"/>
        </w:rPr>
      </w:pPr>
    </w:p>
    <w:p w:rsidR="00D17977" w:rsidRPr="000F4ABE" w:rsidP="00D17977" w14:paraId="36C30799" w14:textId="31E894AD">
      <w:pPr>
        <w:spacing w:line="240" w:lineRule="exact"/>
        <w:rPr>
          <w:rFonts w:ascii="Arial" w:hAnsi="Arial" w:cs="Arial"/>
        </w:rPr>
      </w:pPr>
    </w:p>
    <w:p w:rsidR="00D17977" w:rsidRPr="000F4ABE" w:rsidP="00D17977" w14:paraId="3A9243D2" w14:textId="77777777">
      <w:pPr>
        <w:spacing w:line="240" w:lineRule="exact"/>
        <w:rPr>
          <w:rFonts w:ascii="Arial" w:hAnsi="Arial" w:cs="Arial"/>
        </w:rPr>
      </w:pPr>
    </w:p>
    <w:p w:rsidR="00D17977" w:rsidRPr="002A6340" w:rsidP="00D17977" w14:paraId="1840AE4D" w14:textId="7A5961D3">
      <w:pPr>
        <w:spacing w:line="240" w:lineRule="exact"/>
        <w:rPr>
          <w:rFonts w:ascii="Arial" w:hAnsi="Arial" w:cs="Arial"/>
        </w:rPr>
      </w:pPr>
      <w:r w:rsidRPr="000F4ABE">
        <w:rPr>
          <w:rFonts w:ascii="Arial" w:hAnsi="Arial" w:cs="Arial"/>
        </w:rPr>
        <w:t xml:space="preserve">Respondent cost for the SOII (Private </w:t>
      </w:r>
      <w:r>
        <w:rPr>
          <w:rFonts w:ascii="Arial" w:hAnsi="Arial" w:cs="Arial"/>
        </w:rPr>
        <w:t>s</w:t>
      </w:r>
      <w:r w:rsidRPr="000F4ABE">
        <w:rPr>
          <w:rFonts w:ascii="Arial" w:hAnsi="Arial" w:cs="Arial"/>
        </w:rPr>
        <w:t>ector) is estimated at $</w:t>
      </w:r>
      <w:r w:rsidR="00052706">
        <w:rPr>
          <w:rFonts w:ascii="Arial" w:hAnsi="Arial" w:cs="Arial"/>
        </w:rPr>
        <w:t>6.276</w:t>
      </w:r>
      <w:r>
        <w:rPr>
          <w:rFonts w:ascii="Arial" w:hAnsi="Arial" w:cs="Arial"/>
        </w:rPr>
        <w:t xml:space="preserve"> </w:t>
      </w:r>
      <w:r w:rsidRPr="000F4ABE">
        <w:rPr>
          <w:rFonts w:ascii="Arial" w:hAnsi="Arial" w:cs="Arial"/>
        </w:rPr>
        <w:t>million based on an employer cost of $</w:t>
      </w:r>
      <w:r w:rsidR="00052706">
        <w:rPr>
          <w:rFonts w:ascii="Arial" w:hAnsi="Arial" w:cs="Arial"/>
        </w:rPr>
        <w:t>32.91</w:t>
      </w:r>
      <w:r>
        <w:rPr>
          <w:rFonts w:ascii="Arial" w:hAnsi="Arial" w:cs="Arial"/>
        </w:rPr>
        <w:t xml:space="preserve"> </w:t>
      </w:r>
      <w:r w:rsidRPr="000F4ABE">
        <w:rPr>
          <w:rFonts w:ascii="Arial" w:hAnsi="Arial" w:cs="Arial"/>
        </w:rPr>
        <w:t>an hour (</w:t>
      </w:r>
      <w:r w:rsidR="009F3A37">
        <w:rPr>
          <w:rFonts w:ascii="Arial" w:hAnsi="Arial" w:cs="Arial"/>
        </w:rPr>
        <w:t>190,693</w:t>
      </w:r>
      <w:r w:rsidRPr="000F4ABE">
        <w:rPr>
          <w:rFonts w:ascii="Arial" w:hAnsi="Arial" w:cs="Arial"/>
        </w:rPr>
        <w:t xml:space="preserve"> * $</w:t>
      </w:r>
      <w:r w:rsidR="009F3A37">
        <w:rPr>
          <w:rFonts w:ascii="Arial" w:hAnsi="Arial" w:cs="Arial"/>
        </w:rPr>
        <w:t>32.91</w:t>
      </w:r>
      <w:r>
        <w:rPr>
          <w:rFonts w:ascii="Arial" w:hAnsi="Arial" w:cs="Arial"/>
        </w:rPr>
        <w:t xml:space="preserve"> </w:t>
      </w:r>
      <w:r w:rsidRPr="000F4ABE">
        <w:rPr>
          <w:rFonts w:ascii="Arial" w:hAnsi="Arial" w:cs="Arial"/>
        </w:rPr>
        <w:t>= approximately $</w:t>
      </w:r>
      <w:r w:rsidR="00052706">
        <w:rPr>
          <w:rFonts w:ascii="Arial" w:hAnsi="Arial" w:cs="Arial"/>
        </w:rPr>
        <w:t>6.276</w:t>
      </w:r>
      <w:r w:rsidRPr="000F4ABE">
        <w:rPr>
          <w:rFonts w:ascii="Arial" w:hAnsi="Arial" w:cs="Arial"/>
        </w:rPr>
        <w:t xml:space="preserve"> million). With the addition of state and local government units, this respondent cost is estimated at $</w:t>
      </w:r>
      <w:r w:rsidR="00052706">
        <w:rPr>
          <w:rFonts w:ascii="Arial" w:hAnsi="Arial" w:cs="Arial"/>
        </w:rPr>
        <w:t>7.064</w:t>
      </w:r>
      <w:r>
        <w:rPr>
          <w:rFonts w:ascii="Arial" w:hAnsi="Arial" w:cs="Arial"/>
        </w:rPr>
        <w:t xml:space="preserve"> </w:t>
      </w:r>
      <w:r w:rsidRPr="000F4ABE">
        <w:rPr>
          <w:rFonts w:ascii="Arial" w:hAnsi="Arial" w:cs="Arial"/>
        </w:rPr>
        <w:t>million based on an employer cost of $</w:t>
      </w:r>
      <w:r w:rsidR="00052706">
        <w:rPr>
          <w:rFonts w:ascii="Arial" w:hAnsi="Arial" w:cs="Arial"/>
        </w:rPr>
        <w:t>32.91</w:t>
      </w:r>
      <w:r w:rsidRPr="000F4ABE">
        <w:rPr>
          <w:rFonts w:ascii="Arial" w:hAnsi="Arial" w:cs="Arial"/>
        </w:rPr>
        <w:t xml:space="preserve"> an hour (</w:t>
      </w:r>
      <w:r w:rsidR="00052706">
        <w:rPr>
          <w:rFonts w:ascii="Arial" w:hAnsi="Arial" w:cs="Arial"/>
        </w:rPr>
        <w:t>214,634</w:t>
      </w:r>
      <w:r>
        <w:rPr>
          <w:rFonts w:ascii="Arial" w:hAnsi="Arial" w:cs="Arial"/>
        </w:rPr>
        <w:t xml:space="preserve"> </w:t>
      </w:r>
      <w:r w:rsidRPr="000F4ABE">
        <w:rPr>
          <w:rFonts w:ascii="Arial" w:hAnsi="Arial" w:cs="Arial"/>
        </w:rPr>
        <w:t>* $</w:t>
      </w:r>
      <w:r w:rsidR="00052706">
        <w:rPr>
          <w:rFonts w:ascii="Arial" w:hAnsi="Arial" w:cs="Arial"/>
        </w:rPr>
        <w:t>32.91</w:t>
      </w:r>
      <w:r>
        <w:rPr>
          <w:rFonts w:ascii="Arial" w:hAnsi="Arial" w:cs="Arial"/>
        </w:rPr>
        <w:t xml:space="preserve"> </w:t>
      </w:r>
      <w:r w:rsidRPr="000F4ABE">
        <w:rPr>
          <w:rFonts w:ascii="Arial" w:hAnsi="Arial" w:cs="Arial"/>
        </w:rPr>
        <w:t>= approximately $</w:t>
      </w:r>
      <w:r w:rsidR="00052706">
        <w:rPr>
          <w:rFonts w:ascii="Arial" w:hAnsi="Arial" w:cs="Arial"/>
        </w:rPr>
        <w:t>7.064</w:t>
      </w:r>
      <w:r>
        <w:rPr>
          <w:rFonts w:ascii="Arial" w:hAnsi="Arial" w:cs="Arial"/>
        </w:rPr>
        <w:t xml:space="preserve"> </w:t>
      </w:r>
      <w:r w:rsidRPr="000F4ABE">
        <w:rPr>
          <w:rFonts w:ascii="Arial" w:hAnsi="Arial" w:cs="Arial"/>
        </w:rPr>
        <w:t xml:space="preserve">million). </w:t>
      </w:r>
      <w:r w:rsidR="00DB2E06">
        <w:rPr>
          <w:rFonts w:ascii="Arial" w:hAnsi="Arial" w:cs="Arial"/>
        </w:rPr>
        <w:t>For the single year during which the pre-collection test will be conducted, respondent cost for the SOII (private sector) is estimated at $6.284 million based on employer cost of $32.91 an hour (190,963 * $32.91 = approximately $6.284 million). With the addition of state and local government units, this respondent cost is estimate</w:t>
      </w:r>
      <w:r w:rsidR="00344B33">
        <w:rPr>
          <w:rFonts w:ascii="Arial" w:hAnsi="Arial" w:cs="Arial"/>
        </w:rPr>
        <w:t>d</w:t>
      </w:r>
      <w:r w:rsidR="00DB2E06">
        <w:rPr>
          <w:rFonts w:ascii="Arial" w:hAnsi="Arial" w:cs="Arial"/>
        </w:rPr>
        <w:t xml:space="preserve"> at $7.072 million based on employer cost of $32.91 an hour (214,904 * $32.91 = $7.072 million). </w:t>
      </w:r>
      <w:r w:rsidRPr="000F4ABE">
        <w:rPr>
          <w:rFonts w:ascii="Arial" w:hAnsi="Arial" w:cs="Arial"/>
        </w:rPr>
        <w:t xml:space="preserve">The employer cost is based on employer costs for wages, salaries, and employee benefits for sales and office workers reported by the BLS </w:t>
      </w:r>
      <w:r>
        <w:rPr>
          <w:rFonts w:ascii="Arial" w:hAnsi="Arial" w:cs="Arial"/>
        </w:rPr>
        <w:t>in</w:t>
      </w:r>
      <w:r w:rsidRPr="00776723">
        <w:t xml:space="preserve"> </w:t>
      </w:r>
      <w:hyperlink r:id="rId7" w:history="1">
        <w:r w:rsidR="009F3A37">
          <w:rPr>
            <w:rStyle w:val="Hyperlink"/>
          </w:rPr>
          <w:t>Employer Costs for Employee Compensation--December 2023, USDL-23-2567</w:t>
        </w:r>
      </w:hyperlink>
      <w:r w:rsidR="0036085A">
        <w:t>.</w:t>
      </w:r>
    </w:p>
    <w:p w:rsidR="00690F56" w:rsidRPr="00F72D66" w:rsidP="00B65823" w14:paraId="6E445B0D" w14:textId="77777777">
      <w:pPr>
        <w:widowControl/>
        <w:autoSpaceDE/>
        <w:autoSpaceDN/>
        <w:adjustRightInd/>
        <w:rPr>
          <w:rFonts w:ascii="Times New Roman" w:hAnsi="Times New Roman"/>
          <w:highlight w:val="yellow"/>
        </w:rPr>
      </w:pPr>
    </w:p>
    <w:p w:rsidR="00CD215D" w:rsidRPr="00D53DEB" w:rsidP="00B65823"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04C6BC23">
      <w:pPr>
        <w:widowControl/>
        <w:numPr>
          <w:ilvl w:val="0"/>
          <w:numId w:val="4"/>
        </w:numPr>
        <w:tabs>
          <w:tab w:val="clear" w:pos="1080"/>
        </w:tabs>
        <w:spacing w:after="120"/>
        <w:rPr>
          <w:rFonts w:ascii="Times New Roman" w:hAnsi="Times New Roman"/>
          <w:b/>
        </w:rPr>
      </w:pPr>
      <w:r w:rsidRPr="00CA21AC">
        <w:rPr>
          <w:rFonts w:ascii="Times New Roman" w:hAnsi="Times New Roman"/>
          <w:b/>
          <w:bCs/>
        </w:rPr>
        <w:t>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start</w:t>
      </w:r>
      <w:r w:rsidRPr="0052513D">
        <w:rPr>
          <w:rFonts w:ascii="Times New Roman" w:hAnsi="Times New Roman"/>
          <w:b/>
          <w:bCs/>
        </w:rPr>
        <w:t xml:space="preserve">up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maintenance and purchase of service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Capital and start-up costs include, among other items, preparations for collecting information such as purchasing </w:t>
      </w:r>
      <w:r w:rsidRPr="006A7451">
        <w:rPr>
          <w:rFonts w:ascii="Times New Roman" w:hAnsi="Times New Roman"/>
          <w:b/>
          <w:bCs/>
        </w:rPr>
        <w:t>computers and software; monitoring, sampling, drilling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D17977" w:rsidRPr="00473AD1" w:rsidP="00D17977" w14:paraId="1C94EED9" w14:textId="77777777">
      <w:pPr>
        <w:spacing w:line="240" w:lineRule="exact"/>
        <w:rPr>
          <w:rFonts w:ascii="Arial" w:hAnsi="Arial" w:cs="Arial"/>
        </w:rPr>
      </w:pPr>
    </w:p>
    <w:p w:rsidR="00CD215D" w:rsidRPr="00D17977" w:rsidP="00D17977" w14:paraId="0AAEE3FF" w14:textId="132DCB3D">
      <w:pPr>
        <w:spacing w:line="240" w:lineRule="exact"/>
        <w:rPr>
          <w:rFonts w:ascii="Arial" w:hAnsi="Arial" w:cs="Arial"/>
        </w:rPr>
      </w:pPr>
      <w:r w:rsidRPr="00473AD1">
        <w:rPr>
          <w:rFonts w:ascii="Arial" w:hAnsi="Arial" w:cs="Arial"/>
        </w:rPr>
        <w:t xml:space="preserve">Respondents are </w:t>
      </w:r>
      <w:r w:rsidRPr="00473AD1" w:rsidR="00AA7BD9">
        <w:rPr>
          <w:rFonts w:ascii="Arial" w:hAnsi="Arial" w:cs="Arial"/>
        </w:rPr>
        <w:t>provided with</w:t>
      </w:r>
      <w:r w:rsidRPr="00473AD1">
        <w:rPr>
          <w:rFonts w:ascii="Arial" w:hAnsi="Arial" w:cs="Arial"/>
        </w:rPr>
        <w:t xml:space="preserve"> all materials needed to complete the survey. No capital costs or startup costs are incurred in the recordkeeping or reporting functions of this survey. The costs of generating, maintaining, and disclosing the information requested are direct burden hours as specified in item 12. The recordkeeping practices require only manual recording of information, thereby, no systems work would be required. Employers who have chosen to keep records electronically need only access them for survey purposes. </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B65823" w14:paraId="697B43F9" w14:textId="77777777">
      <w:pPr>
        <w:widowControl/>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1742AB" w:rsidP="00B65823" w14:paraId="3545A032" w14:textId="77777777">
      <w:pPr>
        <w:widowControl/>
        <w:rPr>
          <w:rFonts w:ascii="Times New Roman" w:hAnsi="Times New Roman"/>
          <w:b/>
          <w:bCs/>
        </w:rPr>
      </w:pPr>
    </w:p>
    <w:p w:rsidR="00690F56" w:rsidRPr="00D17977" w:rsidP="00D17977" w14:paraId="38EB8CFC" w14:textId="572C4B01">
      <w:pPr>
        <w:spacing w:line="240" w:lineRule="exact"/>
        <w:rPr>
          <w:rFonts w:ascii="Arial" w:hAnsi="Arial" w:cs="Arial"/>
        </w:rPr>
      </w:pPr>
      <w:r w:rsidRPr="00473AD1">
        <w:rPr>
          <w:rFonts w:ascii="Arial" w:hAnsi="Arial" w:cs="Arial"/>
        </w:rPr>
        <w:t xml:space="preserve">Collection costs for the survey are funded on a </w:t>
      </w:r>
      <w:r w:rsidRPr="006E4952">
        <w:rPr>
          <w:rFonts w:ascii="Arial" w:hAnsi="Arial" w:cs="Arial"/>
        </w:rPr>
        <w:t>50/50 federal-state matching basis. The federal share of survey collection costs in Fiscal Year (FY) 20</w:t>
      </w:r>
      <w:r w:rsidRPr="006E4952" w:rsidR="008846C1">
        <w:rPr>
          <w:rFonts w:ascii="Arial" w:hAnsi="Arial" w:cs="Arial"/>
        </w:rPr>
        <w:t>2</w:t>
      </w:r>
      <w:r w:rsidRPr="006E4952" w:rsidR="00F721CF">
        <w:rPr>
          <w:rFonts w:ascii="Arial" w:hAnsi="Arial" w:cs="Arial"/>
        </w:rPr>
        <w:t>4</w:t>
      </w:r>
      <w:r w:rsidRPr="006E4952">
        <w:rPr>
          <w:rFonts w:ascii="Arial" w:hAnsi="Arial" w:cs="Arial"/>
        </w:rPr>
        <w:t xml:space="preserve"> is around $5.</w:t>
      </w:r>
      <w:r w:rsidRPr="006E4952" w:rsidR="006E4952">
        <w:rPr>
          <w:rFonts w:ascii="Arial" w:hAnsi="Arial" w:cs="Arial"/>
        </w:rPr>
        <w:t>8</w:t>
      </w:r>
      <w:r w:rsidRPr="006E4952">
        <w:rPr>
          <w:rFonts w:ascii="Arial" w:hAnsi="Arial" w:cs="Arial"/>
        </w:rPr>
        <w:t xml:space="preserve"> million, an amount that is being matched by participating states. In addition, approximately $</w:t>
      </w:r>
      <w:r w:rsidR="001D3046">
        <w:rPr>
          <w:rFonts w:ascii="Arial" w:hAnsi="Arial" w:cs="Arial"/>
        </w:rPr>
        <w:t>1</w:t>
      </w:r>
      <w:r w:rsidR="00EA6227">
        <w:rPr>
          <w:rFonts w:ascii="Arial" w:hAnsi="Arial" w:cs="Arial"/>
        </w:rPr>
        <w:t>7.</w:t>
      </w:r>
      <w:r w:rsidR="00D83386">
        <w:rPr>
          <w:rFonts w:ascii="Arial" w:hAnsi="Arial" w:cs="Arial"/>
        </w:rPr>
        <w:t>1</w:t>
      </w:r>
      <w:r w:rsidRPr="006E4952" w:rsidR="00E21734">
        <w:rPr>
          <w:rFonts w:ascii="Arial" w:hAnsi="Arial" w:cs="Arial"/>
        </w:rPr>
        <w:t xml:space="preserve"> </w:t>
      </w:r>
      <w:r w:rsidRPr="006E4952">
        <w:rPr>
          <w:rFonts w:ascii="Arial" w:hAnsi="Arial" w:cs="Arial"/>
        </w:rPr>
        <w:t> million in FY 20</w:t>
      </w:r>
      <w:r w:rsidRPr="006E4952" w:rsidR="008846C1">
        <w:rPr>
          <w:rFonts w:ascii="Arial" w:hAnsi="Arial" w:cs="Arial"/>
        </w:rPr>
        <w:t>2</w:t>
      </w:r>
      <w:r w:rsidRPr="006E4952" w:rsidR="006E4952">
        <w:rPr>
          <w:rFonts w:ascii="Arial" w:hAnsi="Arial" w:cs="Arial"/>
        </w:rPr>
        <w:t>4</w:t>
      </w:r>
      <w:r w:rsidRPr="006E4952">
        <w:rPr>
          <w:rFonts w:ascii="Arial" w:hAnsi="Arial" w:cs="Arial"/>
        </w:rPr>
        <w:t xml:space="preserve"> non-collection expenses</w:t>
      </w:r>
      <w:r w:rsidRPr="008D1F56">
        <w:rPr>
          <w:rFonts w:ascii="Arial" w:hAnsi="Arial" w:cs="Arial"/>
        </w:rPr>
        <w:t xml:space="preserve"> is being incurred by the BLS, for the purpose of providing and maintaining the computers, telecommunications capacity, and software needed to capture the data, as well as retaining the staff who refine the design of the survey, select new survey samples each year, maintain data quality standards, produce and distribute estimates to the states, and publish the national data, as well as other related activities. </w:t>
      </w:r>
    </w:p>
    <w:p w:rsidR="00690F56" w:rsidRPr="00871CA6" w:rsidP="00B65823" w14:paraId="3F8C7E1B" w14:textId="77777777">
      <w:pPr>
        <w:widowControl/>
        <w:rPr>
          <w:rFonts w:ascii="Times New Roman" w:hAnsi="Times New Roman"/>
        </w:rPr>
      </w:pPr>
    </w:p>
    <w:p w:rsidR="00D17977" w:rsidP="00E66C82" w14:paraId="1F9CAAD3" w14:textId="3A24E893">
      <w:pPr>
        <w:widowControl/>
        <w:rPr>
          <w:rFonts w:ascii="Arial" w:hAnsi="Arial" w:cs="Arial"/>
          <w:b/>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D17977" w:rsidRPr="008D1F56" w:rsidP="00D17977" w14:paraId="585233DC" w14:textId="77777777">
      <w:pPr>
        <w:spacing w:line="240" w:lineRule="exact"/>
        <w:rPr>
          <w:rFonts w:ascii="Arial" w:hAnsi="Arial" w:cs="Arial"/>
        </w:rPr>
      </w:pPr>
    </w:p>
    <w:p w:rsidR="00690F56" w:rsidRPr="00D17977" w:rsidP="00D17977" w14:paraId="13EF01B8" w14:textId="761349A6">
      <w:pPr>
        <w:spacing w:line="240" w:lineRule="exact"/>
        <w:rPr>
          <w:rFonts w:ascii="Arial" w:hAnsi="Arial" w:cs="Arial"/>
        </w:rPr>
      </w:pPr>
      <w:r>
        <w:rPr>
          <w:rFonts w:ascii="Arial" w:hAnsi="Arial" w:cs="Arial"/>
        </w:rPr>
        <w:t>There is a</w:t>
      </w:r>
      <w:r w:rsidR="00667A65">
        <w:rPr>
          <w:rFonts w:ascii="Arial" w:hAnsi="Arial" w:cs="Arial"/>
        </w:rPr>
        <w:t>n</w:t>
      </w:r>
      <w:r>
        <w:rPr>
          <w:rFonts w:ascii="Arial" w:hAnsi="Arial" w:cs="Arial"/>
        </w:rPr>
        <w:t xml:space="preserve"> increase in burden of </w:t>
      </w:r>
      <w:r w:rsidR="00C30116">
        <w:rPr>
          <w:rFonts w:ascii="Arial" w:hAnsi="Arial" w:cs="Arial"/>
        </w:rPr>
        <w:t>27,045</w:t>
      </w:r>
      <w:r>
        <w:rPr>
          <w:rFonts w:ascii="Arial" w:hAnsi="Arial" w:cs="Arial"/>
        </w:rPr>
        <w:t xml:space="preserve"> hours (214,</w:t>
      </w:r>
      <w:r w:rsidR="00C30116">
        <w:rPr>
          <w:rFonts w:ascii="Arial" w:hAnsi="Arial" w:cs="Arial"/>
        </w:rPr>
        <w:t>904</w:t>
      </w:r>
      <w:r>
        <w:rPr>
          <w:rFonts w:ascii="Arial" w:hAnsi="Arial" w:cs="Arial"/>
        </w:rPr>
        <w:t xml:space="preserve"> – 187,859)</w:t>
      </w:r>
      <w:r w:rsidR="00C30116">
        <w:rPr>
          <w:rFonts w:ascii="Arial" w:hAnsi="Arial" w:cs="Arial"/>
        </w:rPr>
        <w:t xml:space="preserve"> for collection year 2024</w:t>
      </w:r>
      <w:r>
        <w:rPr>
          <w:rFonts w:ascii="Arial" w:hAnsi="Arial" w:cs="Arial"/>
        </w:rPr>
        <w:t xml:space="preserve">. This increase is </w:t>
      </w:r>
      <w:r w:rsidR="00434981">
        <w:rPr>
          <w:rFonts w:ascii="Arial" w:hAnsi="Arial" w:cs="Arial"/>
        </w:rPr>
        <w:t>primarily</w:t>
      </w:r>
      <w:r w:rsidR="00F6297F">
        <w:rPr>
          <w:rFonts w:ascii="Arial" w:hAnsi="Arial" w:cs="Arial"/>
        </w:rPr>
        <w:t xml:space="preserve"> due to increased reporting burden </w:t>
      </w:r>
      <w:r>
        <w:rPr>
          <w:rFonts w:ascii="Arial" w:hAnsi="Arial" w:cs="Arial"/>
        </w:rPr>
        <w:t>for Part II</w:t>
      </w:r>
      <w:r w:rsidR="00F6297F">
        <w:rPr>
          <w:rFonts w:ascii="Arial" w:hAnsi="Arial" w:cs="Arial"/>
        </w:rPr>
        <w:t xml:space="preserve"> to reflect the </w:t>
      </w:r>
      <w:r>
        <w:rPr>
          <w:rFonts w:ascii="Arial" w:hAnsi="Arial" w:cs="Arial"/>
        </w:rPr>
        <w:t>increase</w:t>
      </w:r>
      <w:r w:rsidR="00F6297F">
        <w:rPr>
          <w:rFonts w:ascii="Arial" w:hAnsi="Arial" w:cs="Arial"/>
        </w:rPr>
        <w:t xml:space="preserve"> in the </w:t>
      </w:r>
      <w:r w:rsidR="005845A8">
        <w:rPr>
          <w:rFonts w:ascii="Arial" w:hAnsi="Arial" w:cs="Arial"/>
        </w:rPr>
        <w:t xml:space="preserve">estimated average </w:t>
      </w:r>
      <w:r w:rsidR="00F6297F">
        <w:rPr>
          <w:rFonts w:ascii="Arial" w:hAnsi="Arial" w:cs="Arial"/>
        </w:rPr>
        <w:t>time to report a case</w:t>
      </w:r>
      <w:r w:rsidR="00C30116">
        <w:rPr>
          <w:rFonts w:ascii="Arial" w:hAnsi="Arial" w:cs="Arial"/>
        </w:rPr>
        <w:t>, but also include</w:t>
      </w:r>
      <w:r w:rsidR="00F6304F">
        <w:rPr>
          <w:rFonts w:ascii="Arial" w:hAnsi="Arial" w:cs="Arial"/>
        </w:rPr>
        <w:t>s</w:t>
      </w:r>
      <w:r w:rsidR="00C30116">
        <w:rPr>
          <w:rFonts w:ascii="Arial" w:hAnsi="Arial" w:cs="Arial"/>
        </w:rPr>
        <w:t xml:space="preserve"> the small increase of 270 hours for the pre-collection test letter</w:t>
      </w:r>
      <w:r w:rsidR="00F6297F">
        <w:rPr>
          <w:rFonts w:ascii="Arial" w:hAnsi="Arial" w:cs="Arial"/>
        </w:rPr>
        <w:t xml:space="preserve">. This increase </w:t>
      </w:r>
      <w:r>
        <w:rPr>
          <w:rFonts w:ascii="Arial" w:hAnsi="Arial" w:cs="Arial"/>
        </w:rPr>
        <w:t xml:space="preserve">from 10 to 15 minutes (50 percent) per case </w:t>
      </w:r>
      <w:r w:rsidR="00F6297F">
        <w:rPr>
          <w:rFonts w:ascii="Arial" w:hAnsi="Arial" w:cs="Arial"/>
        </w:rPr>
        <w:t>is</w:t>
      </w:r>
      <w:r>
        <w:rPr>
          <w:rFonts w:ascii="Arial" w:hAnsi="Arial" w:cs="Arial"/>
        </w:rPr>
        <w:t xml:space="preserve"> consistent with OSHA burden estimates published in </w:t>
      </w:r>
      <w:r>
        <w:rPr>
          <w:rFonts w:ascii="Arial" w:hAnsi="Arial" w:cs="Arial"/>
        </w:rPr>
        <w:t>their most recent rulemaking</w:t>
      </w:r>
      <w:r>
        <w:rPr>
          <w:rStyle w:val="FootnoteReference"/>
          <w:rFonts w:ascii="Arial" w:hAnsi="Arial" w:cs="Arial"/>
        </w:rPr>
        <w:footnoteReference w:id="6"/>
      </w:r>
      <w:r>
        <w:rPr>
          <w:rFonts w:ascii="Arial" w:hAnsi="Arial" w:cs="Arial"/>
        </w:rPr>
        <w:t xml:space="preserve"> </w:t>
      </w:r>
      <w:r w:rsidR="005845A8">
        <w:rPr>
          <w:rFonts w:ascii="Arial" w:hAnsi="Arial" w:cs="Arial"/>
        </w:rPr>
        <w:t xml:space="preserve">and </w:t>
      </w:r>
      <w:r w:rsidR="00F6297F">
        <w:rPr>
          <w:rFonts w:ascii="Arial" w:hAnsi="Arial" w:cs="Arial"/>
        </w:rPr>
        <w:t xml:space="preserve">accounts for 25,000 hours in increased burden. </w:t>
      </w:r>
      <w:r>
        <w:rPr>
          <w:rFonts w:ascii="Arial" w:hAnsi="Arial" w:cs="Arial"/>
        </w:rPr>
        <w:t xml:space="preserve">Second, </w:t>
      </w:r>
      <w:r w:rsidR="00604E45">
        <w:rPr>
          <w:rFonts w:ascii="Arial" w:hAnsi="Arial" w:cs="Arial"/>
        </w:rPr>
        <w:t>t</w:t>
      </w:r>
      <w:r>
        <w:rPr>
          <w:rFonts w:ascii="Arial" w:hAnsi="Arial" w:cs="Arial"/>
        </w:rPr>
        <w:t xml:space="preserve">here is an increase in </w:t>
      </w:r>
      <w:r w:rsidR="005845A8">
        <w:rPr>
          <w:rFonts w:ascii="Arial" w:hAnsi="Arial" w:cs="Arial"/>
        </w:rPr>
        <w:t xml:space="preserve">reporting burden due to an increase in the number of cases BLS estimates will be reported by establishments normally exempt from OSHA recordkeeping. This increase in cases is likely due to a rise in reported cases </w:t>
      </w:r>
      <w:r>
        <w:rPr>
          <w:rFonts w:ascii="Arial" w:hAnsi="Arial" w:cs="Arial"/>
        </w:rPr>
        <w:t xml:space="preserve">as levels return to pre-pandemic norms. </w:t>
      </w:r>
      <w:r w:rsidR="00434981">
        <w:rPr>
          <w:rFonts w:ascii="Arial" w:hAnsi="Arial" w:cs="Arial"/>
        </w:rPr>
        <w:t>Finally, there is also a small increase of 270 hours from the pre-collection test letter.</w:t>
      </w:r>
      <w:r w:rsidR="00C30116">
        <w:rPr>
          <w:rFonts w:ascii="Arial" w:hAnsi="Arial" w:cs="Arial"/>
        </w:rPr>
        <w:t xml:space="preserve"> Burden will decrease to 214,634 for collection years 2025 and 2026. A </w:t>
      </w:r>
      <w:r w:rsidR="00C30116">
        <w:rPr>
          <w:rFonts w:ascii="Arial" w:hAnsi="Arial" w:cs="Arial"/>
        </w:rPr>
        <w:t>nonsubstantive</w:t>
      </w:r>
      <w:r w:rsidR="00C30116">
        <w:rPr>
          <w:rFonts w:ascii="Arial" w:hAnsi="Arial" w:cs="Arial"/>
        </w:rPr>
        <w:t xml:space="preserve"> change will be requested to adjust the burden estimate for these year</w:t>
      </w:r>
      <w:r w:rsidR="009E1CD8">
        <w:rPr>
          <w:rFonts w:ascii="Arial" w:hAnsi="Arial" w:cs="Arial"/>
        </w:rPr>
        <w:t>s</w:t>
      </w:r>
      <w:r w:rsidR="00C30116">
        <w:rPr>
          <w:rFonts w:ascii="Arial" w:hAnsi="Arial" w:cs="Arial"/>
        </w:rPr>
        <w:t xml:space="preserve"> once the pre-collection test is complete.  </w:t>
      </w:r>
    </w:p>
    <w:p w:rsidR="00690F56" w:rsidRPr="00F4518C" w:rsidP="00B65823" w14:paraId="5321AF4F" w14:textId="77777777">
      <w:pPr>
        <w:widowControl/>
        <w:rPr>
          <w:rFonts w:ascii="Times New Roman" w:hAnsi="Times New Roman"/>
        </w:rPr>
      </w:pPr>
    </w:p>
    <w:p w:rsidR="00D17977" w:rsidP="00B65823" w14:paraId="6A47F498" w14:textId="19090324">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D17977" w:rsidRPr="008D1F56" w:rsidP="00D17977" w14:paraId="1DBC13E0" w14:textId="77777777">
      <w:pPr>
        <w:spacing w:line="240" w:lineRule="exact"/>
        <w:rPr>
          <w:rFonts w:ascii="Arial" w:hAnsi="Arial" w:cs="Arial"/>
        </w:rPr>
      </w:pPr>
    </w:p>
    <w:p w:rsidR="00D17977" w:rsidRPr="008D1F56" w:rsidP="00D17977" w14:paraId="5353427A" w14:textId="6F5A2354">
      <w:pPr>
        <w:spacing w:line="240" w:lineRule="exact"/>
        <w:rPr>
          <w:rFonts w:ascii="Arial" w:hAnsi="Arial" w:cs="Arial"/>
        </w:rPr>
      </w:pPr>
      <w:r w:rsidRPr="008D1F56">
        <w:rPr>
          <w:rFonts w:ascii="Arial" w:hAnsi="Arial" w:cs="Arial"/>
        </w:rPr>
        <w:t xml:space="preserve">Results from the survey are published in </w:t>
      </w:r>
      <w:r>
        <w:rPr>
          <w:rFonts w:ascii="Arial" w:hAnsi="Arial" w:cs="Arial"/>
        </w:rPr>
        <w:t>a news</w:t>
      </w:r>
      <w:r w:rsidRPr="008D1F56">
        <w:rPr>
          <w:rFonts w:ascii="Arial" w:hAnsi="Arial" w:cs="Arial"/>
        </w:rPr>
        <w:t xml:space="preserve"> release. Data also are published in the President's Report on Occupational Safety and Health, an annual report to the U.S. Congress. Survey data </w:t>
      </w:r>
      <w:r w:rsidRPr="008D1F56" w:rsidR="006E4952">
        <w:rPr>
          <w:rFonts w:ascii="Arial" w:hAnsi="Arial" w:cs="Arial"/>
        </w:rPr>
        <w:t>are also</w:t>
      </w:r>
      <w:r w:rsidRPr="008D1F56">
        <w:rPr>
          <w:rFonts w:ascii="Arial" w:hAnsi="Arial" w:cs="Arial"/>
        </w:rPr>
        <w:t xml:space="preserve"> available on the Internet. The </w:t>
      </w:r>
      <w:r>
        <w:rPr>
          <w:rFonts w:ascii="Arial" w:hAnsi="Arial" w:cs="Arial"/>
        </w:rPr>
        <w:t xml:space="preserve">SOII news release presenting </w:t>
      </w:r>
      <w:r w:rsidRPr="008D1F56">
        <w:rPr>
          <w:rFonts w:ascii="Arial" w:hAnsi="Arial" w:cs="Arial"/>
        </w:rPr>
        <w:t>industry rates and counts</w:t>
      </w:r>
      <w:r w:rsidR="00D36E68">
        <w:rPr>
          <w:rFonts w:ascii="Arial" w:hAnsi="Arial" w:cs="Arial"/>
        </w:rPr>
        <w:t xml:space="preserve"> is published annually</w:t>
      </w:r>
      <w:r w:rsidR="004B28BB">
        <w:rPr>
          <w:rFonts w:ascii="Arial" w:hAnsi="Arial" w:cs="Arial"/>
        </w:rPr>
        <w:t xml:space="preserve">. </w:t>
      </w:r>
      <w:r w:rsidR="00D36E68">
        <w:rPr>
          <w:rFonts w:ascii="Arial" w:hAnsi="Arial" w:cs="Arial"/>
        </w:rPr>
        <w:t xml:space="preserve">The RY 2020 SOII news release was the last in which case and demographic data were released annually. The RY 2022 SOII news release that was published in November 2023 included </w:t>
      </w:r>
      <w:r w:rsidRPr="00813AB3" w:rsidR="00813AB3">
        <w:rPr>
          <w:rFonts w:ascii="Arial" w:hAnsi="Arial" w:cs="Arial"/>
        </w:rPr>
        <w:t xml:space="preserve">the first biennial release of RY 2021-2022 DJTR and DAFW </w:t>
      </w:r>
      <w:r w:rsidR="00813AB3">
        <w:rPr>
          <w:rFonts w:ascii="Arial" w:hAnsi="Arial" w:cs="Arial"/>
        </w:rPr>
        <w:t>c</w:t>
      </w:r>
      <w:r w:rsidRPr="00813AB3" w:rsidR="00813AB3">
        <w:rPr>
          <w:rFonts w:ascii="Arial" w:hAnsi="Arial" w:cs="Arial"/>
        </w:rPr>
        <w:t xml:space="preserve">ase and </w:t>
      </w:r>
      <w:r w:rsidR="00813AB3">
        <w:rPr>
          <w:rFonts w:ascii="Arial" w:hAnsi="Arial" w:cs="Arial"/>
        </w:rPr>
        <w:t>d</w:t>
      </w:r>
      <w:r w:rsidRPr="00813AB3" w:rsidR="00813AB3">
        <w:rPr>
          <w:rFonts w:ascii="Arial" w:hAnsi="Arial" w:cs="Arial"/>
        </w:rPr>
        <w:t xml:space="preserve">emographic data </w:t>
      </w:r>
      <w:r w:rsidR="00D36E68">
        <w:rPr>
          <w:rFonts w:ascii="Arial" w:hAnsi="Arial" w:cs="Arial"/>
        </w:rPr>
        <w:t xml:space="preserve">that </w:t>
      </w:r>
      <w:r w:rsidRPr="00813AB3" w:rsidR="00813AB3">
        <w:rPr>
          <w:rFonts w:ascii="Arial" w:hAnsi="Arial" w:cs="Arial"/>
        </w:rPr>
        <w:t xml:space="preserve">will only be disseminated every other year in biennial estimate form. </w:t>
      </w:r>
      <w:r w:rsidR="00D36E68">
        <w:rPr>
          <w:rFonts w:ascii="Arial" w:hAnsi="Arial" w:cs="Arial"/>
        </w:rPr>
        <w:t>T</w:t>
      </w:r>
      <w:r w:rsidRPr="00813AB3" w:rsidR="00813AB3">
        <w:rPr>
          <w:rFonts w:ascii="Arial" w:hAnsi="Arial" w:cs="Arial"/>
        </w:rPr>
        <w:t xml:space="preserve">he next scheduled release of </w:t>
      </w:r>
      <w:r w:rsidR="00813AB3">
        <w:rPr>
          <w:rFonts w:ascii="Arial" w:hAnsi="Arial" w:cs="Arial"/>
        </w:rPr>
        <w:t>c</w:t>
      </w:r>
      <w:r w:rsidRPr="00813AB3" w:rsidR="00813AB3">
        <w:rPr>
          <w:rFonts w:ascii="Arial" w:hAnsi="Arial" w:cs="Arial"/>
        </w:rPr>
        <w:t xml:space="preserve">ase and </w:t>
      </w:r>
      <w:r w:rsidR="00813AB3">
        <w:rPr>
          <w:rFonts w:ascii="Arial" w:hAnsi="Arial" w:cs="Arial"/>
        </w:rPr>
        <w:t>d</w:t>
      </w:r>
      <w:r w:rsidRPr="00813AB3" w:rsidR="00813AB3">
        <w:rPr>
          <w:rFonts w:ascii="Arial" w:hAnsi="Arial" w:cs="Arial"/>
        </w:rPr>
        <w:t>emographic data will take place in the fall of 202</w:t>
      </w:r>
      <w:r w:rsidR="00D36E68">
        <w:rPr>
          <w:rFonts w:ascii="Arial" w:hAnsi="Arial" w:cs="Arial"/>
        </w:rPr>
        <w:t>5</w:t>
      </w:r>
      <w:r w:rsidRPr="00813AB3" w:rsidR="00813AB3">
        <w:rPr>
          <w:rFonts w:ascii="Arial" w:hAnsi="Arial" w:cs="Arial"/>
        </w:rPr>
        <w:t>, for which biennial estimates for RY 202</w:t>
      </w:r>
      <w:r w:rsidR="00D36E68">
        <w:rPr>
          <w:rFonts w:ascii="Arial" w:hAnsi="Arial" w:cs="Arial"/>
        </w:rPr>
        <w:t>3</w:t>
      </w:r>
      <w:r w:rsidRPr="00813AB3" w:rsidR="00813AB3">
        <w:rPr>
          <w:rFonts w:ascii="Arial" w:hAnsi="Arial" w:cs="Arial"/>
        </w:rPr>
        <w:t>-202</w:t>
      </w:r>
      <w:r w:rsidR="00D36E68">
        <w:rPr>
          <w:rFonts w:ascii="Arial" w:hAnsi="Arial" w:cs="Arial"/>
        </w:rPr>
        <w:t>4 will be published</w:t>
      </w:r>
      <w:r w:rsidR="00813AB3">
        <w:rPr>
          <w:rFonts w:ascii="Arial" w:hAnsi="Arial" w:cs="Arial"/>
        </w:rPr>
        <w:t>.</w:t>
      </w:r>
      <w:r w:rsidRPr="00813AB3" w:rsidR="00813AB3">
        <w:rPr>
          <w:rFonts w:ascii="Arial" w:hAnsi="Arial" w:cs="Arial"/>
        </w:rPr>
        <w:t xml:space="preserve"> </w:t>
      </w:r>
      <w:r w:rsidR="000D34E7">
        <w:rPr>
          <w:rFonts w:ascii="Arial" w:hAnsi="Arial" w:cs="Arial"/>
        </w:rPr>
        <w:t>BLS will continue to publish summary industry estimates annually.</w:t>
      </w:r>
    </w:p>
    <w:p w:rsidR="00D17977" w:rsidRPr="008D1F56" w:rsidP="00D17977" w14:paraId="3C2A34D0" w14:textId="77777777">
      <w:pPr>
        <w:spacing w:line="240" w:lineRule="exact"/>
        <w:rPr>
          <w:rFonts w:ascii="Arial" w:hAnsi="Arial" w:cs="Arial"/>
        </w:rPr>
      </w:pPr>
      <w:r w:rsidRPr="008D1F56">
        <w:rPr>
          <w:rFonts w:ascii="Arial" w:hAnsi="Arial" w:cs="Arial"/>
        </w:rPr>
        <w:br/>
        <w:t>Listed below is a summary timetable that identifies the major collection phases and tentative dates for publishing the data.</w:t>
      </w:r>
    </w:p>
    <w:p w:rsidR="00D17977" w:rsidRPr="008D1F56" w:rsidP="00D17977" w14:paraId="3A38D805" w14:textId="77777777">
      <w:pPr>
        <w:spacing w:line="240" w:lineRule="exact"/>
        <w:rPr>
          <w:rFonts w:ascii="Arial" w:hAnsi="Arial" w:cs="Arial"/>
        </w:rPr>
      </w:pPr>
      <w:r w:rsidRPr="008D1F56">
        <w:rPr>
          <w:rFonts w:ascii="Arial" w:hAnsi="Arial" w:cs="Arial"/>
        </w:rPr>
        <w:br/>
      </w:r>
      <w:r w:rsidRPr="00A16477">
        <w:rPr>
          <w:rFonts w:ascii="Arial" w:hAnsi="Arial" w:cs="Arial"/>
          <w:b/>
        </w:rPr>
        <w:t>Table 9.</w:t>
      </w:r>
      <w:r>
        <w:rPr>
          <w:rFonts w:ascii="Arial" w:hAnsi="Arial" w:cs="Arial"/>
        </w:rPr>
        <w:t xml:space="preserve"> Summary Timetable for Major SOII Collection Phases </w:t>
      </w:r>
    </w:p>
    <w:tbl>
      <w:tblPr>
        <w:tblStyle w:val="TableGrid"/>
        <w:tblW w:w="0" w:type="auto"/>
        <w:tblInd w:w="-5" w:type="dxa"/>
        <w:tblLook w:val="04A0"/>
      </w:tblPr>
      <w:tblGrid>
        <w:gridCol w:w="2244"/>
        <w:gridCol w:w="7111"/>
      </w:tblGrid>
      <w:tr w14:paraId="265E9392" w14:textId="77777777" w:rsidTr="00F96F2C">
        <w:tblPrEx>
          <w:tblW w:w="0" w:type="auto"/>
          <w:tblInd w:w="-5" w:type="dxa"/>
          <w:tblLook w:val="04A0"/>
        </w:tblPrEx>
        <w:tc>
          <w:tcPr>
            <w:tcW w:w="2244" w:type="dxa"/>
            <w:vAlign w:val="center"/>
          </w:tcPr>
          <w:p w:rsidR="00D17977" w:rsidRPr="000D3EAF" w:rsidP="00F96F2C" w14:paraId="31C40418" w14:textId="0994B0BA">
            <w:pPr>
              <w:tabs>
                <w:tab w:val="left" w:pos="1440"/>
              </w:tabs>
              <w:spacing w:line="240" w:lineRule="exact"/>
              <w:rPr>
                <w:rFonts w:ascii="Arial" w:hAnsi="Arial" w:cs="Arial"/>
              </w:rPr>
            </w:pPr>
            <w:r w:rsidRPr="008D1F56">
              <w:rPr>
                <w:rFonts w:ascii="Arial" w:hAnsi="Arial" w:cs="Arial"/>
                <w:color w:val="000000"/>
                <w:szCs w:val="22"/>
              </w:rPr>
              <w:t>December</w:t>
            </w:r>
          </w:p>
        </w:tc>
        <w:tc>
          <w:tcPr>
            <w:tcW w:w="7111" w:type="dxa"/>
            <w:vAlign w:val="bottom"/>
          </w:tcPr>
          <w:p w:rsidR="00D17977" w:rsidRPr="000D3EAF" w:rsidP="00F96F2C" w14:paraId="47DDE31C" w14:textId="77777777">
            <w:pPr>
              <w:tabs>
                <w:tab w:val="left" w:pos="1440"/>
              </w:tabs>
              <w:spacing w:line="240" w:lineRule="exact"/>
              <w:rPr>
                <w:rFonts w:ascii="Arial" w:hAnsi="Arial" w:cs="Arial"/>
              </w:rPr>
            </w:pPr>
            <w:r w:rsidRPr="008D1F56">
              <w:rPr>
                <w:rFonts w:ascii="Arial" w:hAnsi="Arial" w:cs="Arial"/>
                <w:color w:val="000000"/>
                <w:szCs w:val="22"/>
              </w:rPr>
              <w:t>Pre-notification mailing</w:t>
            </w:r>
          </w:p>
        </w:tc>
      </w:tr>
      <w:tr w14:paraId="64BA5F78" w14:textId="77777777" w:rsidTr="00F96F2C">
        <w:tblPrEx>
          <w:tblW w:w="0" w:type="auto"/>
          <w:tblInd w:w="-5" w:type="dxa"/>
          <w:tblLook w:val="04A0"/>
        </w:tblPrEx>
        <w:tc>
          <w:tcPr>
            <w:tcW w:w="2244" w:type="dxa"/>
            <w:vAlign w:val="center"/>
          </w:tcPr>
          <w:p w:rsidR="00783FF9" w:rsidRPr="000D3EAF" w:rsidP="00F96F2C" w14:paraId="15501F2F" w14:textId="24AFD099">
            <w:pPr>
              <w:tabs>
                <w:tab w:val="left" w:pos="1440"/>
              </w:tabs>
              <w:spacing w:line="240" w:lineRule="exact"/>
              <w:rPr>
                <w:rFonts w:ascii="Arial" w:hAnsi="Arial" w:cs="Arial"/>
              </w:rPr>
            </w:pPr>
            <w:r w:rsidRPr="008D1F56">
              <w:rPr>
                <w:rFonts w:ascii="Arial" w:hAnsi="Arial" w:cs="Arial"/>
                <w:color w:val="000000"/>
                <w:szCs w:val="22"/>
              </w:rPr>
              <w:t>January</w:t>
            </w:r>
          </w:p>
        </w:tc>
        <w:tc>
          <w:tcPr>
            <w:tcW w:w="7111" w:type="dxa"/>
            <w:vAlign w:val="bottom"/>
          </w:tcPr>
          <w:p w:rsidR="00D17977" w:rsidRPr="000D3EAF" w:rsidP="00F96F2C" w14:paraId="3DC90B11" w14:textId="77777777">
            <w:pPr>
              <w:tabs>
                <w:tab w:val="left" w:pos="1440"/>
              </w:tabs>
              <w:spacing w:line="240" w:lineRule="exact"/>
              <w:rPr>
                <w:rFonts w:ascii="Arial" w:hAnsi="Arial" w:cs="Arial"/>
              </w:rPr>
            </w:pPr>
            <w:r w:rsidRPr="008D1F56">
              <w:rPr>
                <w:rFonts w:ascii="Arial" w:hAnsi="Arial" w:cs="Arial"/>
                <w:color w:val="000000"/>
                <w:szCs w:val="22"/>
              </w:rPr>
              <w:t>Initial mailing of BLS No. 9300 forms to sample units</w:t>
            </w:r>
          </w:p>
        </w:tc>
      </w:tr>
      <w:tr w14:paraId="6AF925AC" w14:textId="77777777" w:rsidTr="00F96F2C">
        <w:tblPrEx>
          <w:tblW w:w="0" w:type="auto"/>
          <w:tblInd w:w="-5" w:type="dxa"/>
          <w:tblLook w:val="04A0"/>
        </w:tblPrEx>
        <w:tc>
          <w:tcPr>
            <w:tcW w:w="2244" w:type="dxa"/>
            <w:vAlign w:val="center"/>
          </w:tcPr>
          <w:p w:rsidR="00D17977" w:rsidRPr="008060D4" w:rsidP="00F96F2C" w14:paraId="5CED65B2" w14:textId="77777777">
            <w:pPr>
              <w:tabs>
                <w:tab w:val="left" w:pos="1440"/>
              </w:tabs>
              <w:spacing w:line="240" w:lineRule="exact"/>
              <w:rPr>
                <w:rFonts w:ascii="Arial" w:hAnsi="Arial" w:cs="Arial"/>
              </w:rPr>
            </w:pPr>
            <w:r w:rsidRPr="008060D4">
              <w:rPr>
                <w:rFonts w:ascii="Arial" w:hAnsi="Arial" w:cs="Arial"/>
                <w:color w:val="000000"/>
                <w:szCs w:val="22"/>
              </w:rPr>
              <w:t>March</w:t>
            </w:r>
          </w:p>
        </w:tc>
        <w:tc>
          <w:tcPr>
            <w:tcW w:w="7111" w:type="dxa"/>
            <w:vAlign w:val="bottom"/>
          </w:tcPr>
          <w:p w:rsidR="00D17977" w:rsidRPr="000D3EAF" w:rsidP="00F96F2C" w14:paraId="1A63351C" w14:textId="77777777">
            <w:pPr>
              <w:tabs>
                <w:tab w:val="left" w:pos="1440"/>
              </w:tabs>
              <w:spacing w:line="240" w:lineRule="exact"/>
              <w:rPr>
                <w:rFonts w:ascii="Arial" w:hAnsi="Arial" w:cs="Arial"/>
              </w:rPr>
            </w:pPr>
            <w:r w:rsidRPr="008D1F56">
              <w:rPr>
                <w:rFonts w:ascii="Arial" w:hAnsi="Arial" w:cs="Arial"/>
                <w:color w:val="000000"/>
                <w:szCs w:val="22"/>
              </w:rPr>
              <w:t>Second request mailing to nonrespondents</w:t>
            </w:r>
          </w:p>
        </w:tc>
      </w:tr>
      <w:tr w14:paraId="0B317A28" w14:textId="77777777" w:rsidTr="00F96F2C">
        <w:tblPrEx>
          <w:tblW w:w="0" w:type="auto"/>
          <w:tblInd w:w="-5" w:type="dxa"/>
          <w:tblLook w:val="04A0"/>
        </w:tblPrEx>
        <w:tc>
          <w:tcPr>
            <w:tcW w:w="2244" w:type="dxa"/>
            <w:vAlign w:val="center"/>
          </w:tcPr>
          <w:p w:rsidR="00D17977" w:rsidRPr="008060D4" w:rsidP="00F96F2C" w14:paraId="732721A8" w14:textId="77777777">
            <w:pPr>
              <w:tabs>
                <w:tab w:val="left" w:pos="1440"/>
              </w:tabs>
              <w:spacing w:line="240" w:lineRule="exact"/>
              <w:rPr>
                <w:rFonts w:ascii="Arial" w:hAnsi="Arial" w:cs="Arial"/>
              </w:rPr>
            </w:pPr>
            <w:r w:rsidRPr="008060D4">
              <w:rPr>
                <w:rFonts w:ascii="Arial" w:hAnsi="Arial" w:cs="Arial"/>
                <w:color w:val="000000"/>
                <w:szCs w:val="22"/>
              </w:rPr>
              <w:t>April</w:t>
            </w:r>
          </w:p>
        </w:tc>
        <w:tc>
          <w:tcPr>
            <w:tcW w:w="7111" w:type="dxa"/>
            <w:vAlign w:val="bottom"/>
          </w:tcPr>
          <w:p w:rsidR="00D17977" w:rsidRPr="000D3EAF" w:rsidP="00F96F2C" w14:paraId="3F4312B5" w14:textId="77777777">
            <w:pPr>
              <w:tabs>
                <w:tab w:val="left" w:pos="1440"/>
              </w:tabs>
              <w:spacing w:line="240" w:lineRule="exact"/>
              <w:rPr>
                <w:rFonts w:ascii="Arial" w:hAnsi="Arial" w:cs="Arial"/>
              </w:rPr>
            </w:pPr>
            <w:r w:rsidRPr="008D1F56">
              <w:rPr>
                <w:rFonts w:ascii="Arial" w:hAnsi="Arial" w:cs="Arial"/>
                <w:color w:val="000000"/>
                <w:szCs w:val="22"/>
              </w:rPr>
              <w:t>Third request mailing to nonrespondents</w:t>
            </w:r>
          </w:p>
        </w:tc>
      </w:tr>
      <w:tr w14:paraId="33AC1405" w14:textId="77777777" w:rsidTr="00F96F2C">
        <w:tblPrEx>
          <w:tblW w:w="0" w:type="auto"/>
          <w:tblInd w:w="-5" w:type="dxa"/>
          <w:tblLook w:val="04A0"/>
        </w:tblPrEx>
        <w:tc>
          <w:tcPr>
            <w:tcW w:w="2244" w:type="dxa"/>
            <w:vAlign w:val="center"/>
          </w:tcPr>
          <w:p w:rsidR="00D17977" w:rsidRPr="000D3EAF" w:rsidP="00F96F2C" w14:paraId="04280031" w14:textId="77777777">
            <w:pPr>
              <w:tabs>
                <w:tab w:val="left" w:pos="1440"/>
              </w:tabs>
              <w:spacing w:line="240" w:lineRule="exact"/>
              <w:rPr>
                <w:rFonts w:ascii="Arial" w:hAnsi="Arial" w:cs="Arial"/>
              </w:rPr>
            </w:pPr>
            <w:r w:rsidRPr="008D1F56">
              <w:rPr>
                <w:rFonts w:ascii="Arial" w:hAnsi="Arial" w:cs="Arial"/>
                <w:color w:val="000000"/>
                <w:szCs w:val="22"/>
              </w:rPr>
              <w:t>May</w:t>
            </w:r>
          </w:p>
        </w:tc>
        <w:tc>
          <w:tcPr>
            <w:tcW w:w="7111" w:type="dxa"/>
            <w:vAlign w:val="bottom"/>
          </w:tcPr>
          <w:p w:rsidR="00D17977" w:rsidRPr="000D3EAF" w:rsidP="00F96F2C" w14:paraId="0D9BF8FF" w14:textId="77777777">
            <w:pPr>
              <w:tabs>
                <w:tab w:val="left" w:pos="1440"/>
              </w:tabs>
              <w:spacing w:line="240" w:lineRule="exact"/>
              <w:rPr>
                <w:rFonts w:ascii="Arial" w:hAnsi="Arial" w:cs="Arial"/>
              </w:rPr>
            </w:pPr>
            <w:r w:rsidRPr="008D1F56">
              <w:rPr>
                <w:rFonts w:ascii="Arial" w:hAnsi="Arial" w:cs="Arial"/>
                <w:color w:val="000000"/>
                <w:szCs w:val="22"/>
              </w:rPr>
              <w:t>Telephone</w:t>
            </w:r>
            <w:r>
              <w:rPr>
                <w:rFonts w:ascii="Arial" w:hAnsi="Arial" w:cs="Arial"/>
                <w:color w:val="000000"/>
                <w:szCs w:val="22"/>
              </w:rPr>
              <w:t xml:space="preserve">, </w:t>
            </w:r>
            <w:r w:rsidRPr="008D1F56">
              <w:rPr>
                <w:rFonts w:ascii="Arial" w:hAnsi="Arial" w:cs="Arial"/>
                <w:color w:val="000000"/>
                <w:szCs w:val="22"/>
              </w:rPr>
              <w:t>mail</w:t>
            </w:r>
            <w:r>
              <w:rPr>
                <w:rFonts w:ascii="Arial" w:hAnsi="Arial" w:cs="Arial"/>
                <w:color w:val="000000"/>
                <w:szCs w:val="22"/>
              </w:rPr>
              <w:t>, or email</w:t>
            </w:r>
            <w:r w:rsidRPr="008D1F56">
              <w:rPr>
                <w:rFonts w:ascii="Arial" w:hAnsi="Arial" w:cs="Arial"/>
                <w:color w:val="000000"/>
                <w:szCs w:val="22"/>
              </w:rPr>
              <w:t xml:space="preserve"> follow-up of key nonrespondents </w:t>
            </w:r>
          </w:p>
        </w:tc>
      </w:tr>
      <w:tr w14:paraId="6855CEA0" w14:textId="77777777" w:rsidTr="00F96F2C">
        <w:tblPrEx>
          <w:tblW w:w="0" w:type="auto"/>
          <w:tblInd w:w="-5" w:type="dxa"/>
          <w:tblLook w:val="04A0"/>
        </w:tblPrEx>
        <w:tc>
          <w:tcPr>
            <w:tcW w:w="2244" w:type="dxa"/>
            <w:vAlign w:val="center"/>
          </w:tcPr>
          <w:p w:rsidR="00D17977" w:rsidRPr="000D3EAF" w:rsidP="00F96F2C" w14:paraId="6B88E54C" w14:textId="77777777">
            <w:pPr>
              <w:tabs>
                <w:tab w:val="left" w:pos="1440"/>
              </w:tabs>
              <w:spacing w:line="240" w:lineRule="exact"/>
              <w:rPr>
                <w:rFonts w:ascii="Arial" w:hAnsi="Arial" w:cs="Arial"/>
              </w:rPr>
            </w:pPr>
            <w:r w:rsidRPr="008D1F56">
              <w:rPr>
                <w:rFonts w:ascii="Arial" w:hAnsi="Arial" w:cs="Arial"/>
                <w:color w:val="000000"/>
                <w:szCs w:val="22"/>
              </w:rPr>
              <w:t>July</w:t>
            </w:r>
          </w:p>
        </w:tc>
        <w:tc>
          <w:tcPr>
            <w:tcW w:w="7111" w:type="dxa"/>
            <w:vAlign w:val="bottom"/>
          </w:tcPr>
          <w:p w:rsidR="00D17977" w:rsidRPr="000D3EAF" w:rsidP="00F96F2C" w14:paraId="7DD17A82" w14:textId="77777777">
            <w:pPr>
              <w:tabs>
                <w:tab w:val="left" w:pos="1440"/>
              </w:tabs>
              <w:spacing w:line="240" w:lineRule="exact"/>
              <w:rPr>
                <w:rFonts w:ascii="Arial" w:hAnsi="Arial" w:cs="Arial"/>
              </w:rPr>
            </w:pPr>
            <w:r w:rsidRPr="008D1F56">
              <w:rPr>
                <w:rFonts w:ascii="Arial" w:hAnsi="Arial" w:cs="Arial"/>
                <w:color w:val="000000"/>
                <w:szCs w:val="22"/>
              </w:rPr>
              <w:t>Active collection of data closed</w:t>
            </w:r>
          </w:p>
        </w:tc>
      </w:tr>
      <w:tr w14:paraId="050D9BE3" w14:textId="77777777" w:rsidTr="00F96F2C">
        <w:tblPrEx>
          <w:tblW w:w="0" w:type="auto"/>
          <w:tblInd w:w="-5" w:type="dxa"/>
          <w:tblLook w:val="04A0"/>
        </w:tblPrEx>
        <w:tc>
          <w:tcPr>
            <w:tcW w:w="2244" w:type="dxa"/>
            <w:vAlign w:val="center"/>
          </w:tcPr>
          <w:p w:rsidR="00D17977" w:rsidRPr="000D3EAF" w:rsidP="00F96F2C" w14:paraId="3EE4C4A4" w14:textId="77777777">
            <w:pPr>
              <w:tabs>
                <w:tab w:val="left" w:pos="1440"/>
              </w:tabs>
              <w:spacing w:line="240" w:lineRule="exact"/>
              <w:rPr>
                <w:rFonts w:ascii="Arial" w:hAnsi="Arial" w:cs="Arial"/>
              </w:rPr>
            </w:pPr>
            <w:r w:rsidRPr="008D1F56">
              <w:rPr>
                <w:rFonts w:ascii="Arial" w:hAnsi="Arial" w:cs="Arial"/>
                <w:color w:val="000000"/>
                <w:szCs w:val="22"/>
              </w:rPr>
              <w:t>November</w:t>
            </w:r>
          </w:p>
        </w:tc>
        <w:tc>
          <w:tcPr>
            <w:tcW w:w="7111" w:type="dxa"/>
            <w:vAlign w:val="bottom"/>
          </w:tcPr>
          <w:p w:rsidR="00D17977" w:rsidRPr="000D3EAF" w:rsidP="000D34E7" w14:paraId="69588C5C" w14:textId="4BDA9B35">
            <w:pPr>
              <w:tabs>
                <w:tab w:val="left" w:pos="1440"/>
              </w:tabs>
              <w:spacing w:line="240" w:lineRule="exact"/>
              <w:rPr>
                <w:rFonts w:ascii="Arial" w:hAnsi="Arial" w:cs="Arial"/>
              </w:rPr>
            </w:pPr>
            <w:r>
              <w:rPr>
                <w:rFonts w:ascii="Arial" w:hAnsi="Arial" w:cs="Arial"/>
                <w:color w:val="000000"/>
                <w:szCs w:val="22"/>
              </w:rPr>
              <w:t>SOII news release highlighting industry rates and counts</w:t>
            </w:r>
            <w:r w:rsidR="00813AB3">
              <w:rPr>
                <w:rFonts w:ascii="Arial" w:hAnsi="Arial" w:cs="Arial"/>
                <w:color w:val="000000"/>
                <w:szCs w:val="22"/>
              </w:rPr>
              <w:t xml:space="preserve"> (c</w:t>
            </w:r>
            <w:r w:rsidRPr="00665B64">
              <w:rPr>
                <w:rFonts w:ascii="Arial" w:hAnsi="Arial" w:cs="Arial"/>
                <w:color w:val="000000"/>
                <w:szCs w:val="22"/>
              </w:rPr>
              <w:t xml:space="preserve">haracteristics and circumstances of </w:t>
            </w:r>
            <w:r w:rsidRPr="00665B64" w:rsidR="00E940EE">
              <w:rPr>
                <w:rFonts w:ascii="Arial" w:hAnsi="Arial" w:cs="Arial"/>
                <w:color w:val="000000"/>
                <w:szCs w:val="22"/>
              </w:rPr>
              <w:t>workplace</w:t>
            </w:r>
            <w:r w:rsidRPr="00665B64">
              <w:rPr>
                <w:rFonts w:ascii="Arial" w:hAnsi="Arial" w:cs="Arial"/>
                <w:color w:val="000000"/>
                <w:szCs w:val="22"/>
              </w:rPr>
              <w:t xml:space="preserve"> injuries and illnesses</w:t>
            </w:r>
            <w:r w:rsidRPr="008D1F56">
              <w:rPr>
                <w:rFonts w:ascii="Arial" w:hAnsi="Arial" w:cs="Arial"/>
                <w:color w:val="000000"/>
                <w:szCs w:val="22"/>
              </w:rPr>
              <w:t xml:space="preserve"> </w:t>
            </w:r>
            <w:r w:rsidR="00813AB3">
              <w:rPr>
                <w:rFonts w:ascii="Arial" w:hAnsi="Arial" w:cs="Arial"/>
                <w:color w:val="000000"/>
                <w:szCs w:val="22"/>
              </w:rPr>
              <w:t xml:space="preserve">will be a </w:t>
            </w:r>
            <w:r w:rsidR="000D34E7">
              <w:rPr>
                <w:rFonts w:ascii="Arial" w:hAnsi="Arial" w:cs="Arial"/>
                <w:color w:val="000000"/>
                <w:szCs w:val="22"/>
              </w:rPr>
              <w:t>biennial</w:t>
            </w:r>
            <w:r w:rsidR="00813AB3">
              <w:rPr>
                <w:rFonts w:ascii="Arial" w:hAnsi="Arial" w:cs="Arial"/>
                <w:color w:val="000000"/>
                <w:szCs w:val="22"/>
              </w:rPr>
              <w:t xml:space="preserve"> release).</w:t>
            </w:r>
          </w:p>
        </w:tc>
      </w:tr>
    </w:tbl>
    <w:p w:rsidR="00690F56" w:rsidRPr="00871CA6" w:rsidP="00B65823" w14:paraId="41B59CA5"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266997" w:rsidRPr="008D1F56" w:rsidP="00D17977" w14:paraId="0F702904" w14:textId="77777777">
      <w:pPr>
        <w:spacing w:line="240" w:lineRule="exact"/>
        <w:rPr>
          <w:rFonts w:ascii="Arial" w:hAnsi="Arial" w:cs="Arial"/>
        </w:rPr>
      </w:pPr>
    </w:p>
    <w:p w:rsidR="00D17977" w:rsidRPr="00D17977" w:rsidP="00D17977" w14:paraId="6DB83A55" w14:textId="5CFD4D3B">
      <w:pPr>
        <w:spacing w:line="240" w:lineRule="exact"/>
        <w:rPr>
          <w:rFonts w:ascii="Arial" w:hAnsi="Arial" w:cs="Arial"/>
        </w:rPr>
      </w:pPr>
      <w:r w:rsidRPr="008D1F56">
        <w:rPr>
          <w:rFonts w:ascii="Arial" w:hAnsi="Arial" w:cs="Arial"/>
        </w:rPr>
        <w:t xml:space="preserve">The BLS requests an exemption from the display of the expiration date on the </w:t>
      </w:r>
      <w:r>
        <w:rPr>
          <w:rFonts w:ascii="Arial" w:hAnsi="Arial" w:cs="Arial"/>
        </w:rPr>
        <w:t xml:space="preserve">BLS 9300 </w:t>
      </w:r>
      <w:r w:rsidRPr="008D1F56">
        <w:rPr>
          <w:rFonts w:ascii="Arial" w:hAnsi="Arial" w:cs="Arial"/>
        </w:rPr>
        <w:t>survey form. This allows for savings in printing costs by providing the printer with final forms at an earlier date.</w:t>
      </w:r>
    </w:p>
    <w:p w:rsidR="000C3A92" w:rsidRPr="00A973AA" w:rsidP="00B65823" w14:paraId="3D60B41E"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332F98" w:rsidP="00B65823" w14:paraId="3E8CBCDA" w14:textId="125F9F76">
      <w:pPr>
        <w:widowControl/>
        <w:rPr>
          <w:rFonts w:ascii="Times New Roman" w:hAnsi="Times New Roman"/>
        </w:rPr>
      </w:pPr>
    </w:p>
    <w:p w:rsidR="00D17977" w:rsidRPr="00D17977" w:rsidP="00D17977" w14:paraId="7C0BE5E0" w14:textId="17CC7B67">
      <w:pPr>
        <w:spacing w:line="240" w:lineRule="exact"/>
        <w:rPr>
          <w:rFonts w:ascii="Arial" w:hAnsi="Arial" w:cs="Arial"/>
        </w:rPr>
      </w:pPr>
      <w:r w:rsidRPr="008D1F56">
        <w:rPr>
          <w:rFonts w:ascii="Arial" w:hAnsi="Arial" w:cs="Arial"/>
        </w:rPr>
        <w:t>No exceptions to the certification statement are requested.</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DCC"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E0DCC"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DCC"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451A4">
      <w:rPr>
        <w:rStyle w:val="PageNumber"/>
        <w:rFonts w:ascii="Times New Roman" w:hAnsi="Times New Roman"/>
        <w:noProof/>
      </w:rPr>
      <w:t>16</w:t>
    </w:r>
    <w:r w:rsidRPr="00B26E3E">
      <w:rPr>
        <w:rStyle w:val="PageNumber"/>
        <w:rFonts w:ascii="Times New Roman" w:hAnsi="Times New Roman"/>
      </w:rPr>
      <w:fldChar w:fldCharType="end"/>
    </w:r>
  </w:p>
  <w:p w:rsidR="00EE0DCC"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4FD1" w14:paraId="4E00B249" w14:textId="77777777">
      <w:r>
        <w:separator/>
      </w:r>
    </w:p>
  </w:footnote>
  <w:footnote w:type="continuationSeparator" w:id="1">
    <w:p w:rsidR="00914FD1" w14:paraId="0BD31209" w14:textId="77777777">
      <w:r>
        <w:continuationSeparator/>
      </w:r>
    </w:p>
  </w:footnote>
  <w:footnote w:type="continuationNotice" w:id="2">
    <w:p w:rsidR="00914FD1" w14:paraId="10DB05E1" w14:textId="77777777"/>
  </w:footnote>
  <w:footnote w:id="3">
    <w:p w:rsidR="00EE0DCC" w:rsidP="00167C88" w14:paraId="06522F4B" w14:textId="77777777">
      <w:pPr>
        <w:pStyle w:val="FootnoteText"/>
      </w:pPr>
      <w:r w:rsidRPr="003737A1">
        <w:rPr>
          <w:rStyle w:val="FootnoteReference"/>
        </w:rPr>
        <w:footnoteRef/>
      </w:r>
      <w:r w:rsidRPr="003737A1">
        <w:t xml:space="preserve"> See </w:t>
      </w:r>
      <w:hyperlink r:id="rId1" w:history="1">
        <w:r w:rsidRPr="003737A1">
          <w:rPr>
            <w:rStyle w:val="Hyperlink"/>
          </w:rPr>
          <w:t>https://www.nap.edu/catalog/24835/a-smarter-national-surveillance-system-for-occupational-safety-and-health-in-the-21st-century</w:t>
        </w:r>
      </w:hyperlink>
      <w:r w:rsidRPr="003737A1">
        <w:t>.</w:t>
      </w:r>
      <w:r>
        <w:t xml:space="preserve">  </w:t>
      </w:r>
    </w:p>
  </w:footnote>
  <w:footnote w:id="4">
    <w:p w:rsidR="00C442E2" w14:paraId="45EBDA97" w14:textId="1EED625C">
      <w:pPr>
        <w:pStyle w:val="FootnoteText"/>
      </w:pPr>
      <w:r>
        <w:rPr>
          <w:rStyle w:val="FootnoteReference"/>
        </w:rPr>
        <w:footnoteRef/>
      </w:r>
      <w:r>
        <w:t xml:space="preserve"> </w:t>
      </w:r>
      <w:r w:rsidRPr="00B816E4">
        <w:rPr>
          <w:rFonts w:ascii="Arial" w:hAnsi="Arial" w:cs="Arial"/>
        </w:rPr>
        <w:t>Establishments that previously “opted-in” to receive email notifications are already more likely to respond than other establishments.</w:t>
      </w:r>
    </w:p>
  </w:footnote>
  <w:footnote w:id="5">
    <w:p w:rsidR="00EE0DCC" w14:paraId="7DD69C0B" w14:textId="4E8A2B24">
      <w:pPr>
        <w:pStyle w:val="FootnoteText"/>
      </w:pPr>
      <w:r>
        <w:rPr>
          <w:rStyle w:val="FootnoteReference"/>
        </w:rPr>
        <w:footnoteRef/>
      </w:r>
      <w:r>
        <w:t xml:space="preserve"> See </w:t>
      </w:r>
      <w:hyperlink r:id="rId2" w:history="1">
        <w:r w:rsidRPr="006273CE">
          <w:rPr>
            <w:rStyle w:val="Hyperlink"/>
          </w:rPr>
          <w:t>https://www.osha.gov/recordkeeping/presentations/covered</w:t>
        </w:r>
      </w:hyperlink>
      <w:r>
        <w:t xml:space="preserve"> for list of </w:t>
      </w:r>
      <w:r>
        <w:t xml:space="preserve">OSHA covered industries. </w:t>
      </w:r>
      <w:r w:rsidRPr="00A9671E">
        <w:rPr>
          <w:lang w:val="en"/>
        </w:rPr>
        <w:t xml:space="preserve">Employers </w:t>
      </w:r>
      <w:r>
        <w:rPr>
          <w:lang w:val="en"/>
        </w:rPr>
        <w:t xml:space="preserve">in non-covered industries </w:t>
      </w:r>
      <w:r w:rsidRPr="00A9671E">
        <w:rPr>
          <w:lang w:val="en"/>
        </w:rPr>
        <w:t xml:space="preserve">are required to keep OSHA injury and illness records for any establishment </w:t>
      </w:r>
      <w:r>
        <w:rPr>
          <w:lang w:val="en"/>
        </w:rPr>
        <w:t xml:space="preserve">if </w:t>
      </w:r>
      <w:r w:rsidRPr="00A9671E">
        <w:rPr>
          <w:lang w:val="en"/>
        </w:rPr>
        <w:t>they are asked in writing to do so by OSHA, the Bureau of Labor Statistics (BLS), or a state agency operating under the authority of OSHA or the BLS.</w:t>
      </w:r>
    </w:p>
  </w:footnote>
  <w:footnote w:id="6">
    <w:p w:rsidR="006000BE" w14:paraId="5E22D193" w14:textId="3709AEA9">
      <w:pPr>
        <w:pStyle w:val="FootnoteText"/>
      </w:pPr>
      <w:r>
        <w:rPr>
          <w:rStyle w:val="FootnoteReference"/>
        </w:rPr>
        <w:footnoteRef/>
      </w:r>
      <w:r>
        <w:t xml:space="preserve"> See Table 2, FEA in </w:t>
      </w:r>
      <w:hyperlink r:id="rId3" w:history="1">
        <w:r w:rsidRPr="00DD0DA0">
          <w:rPr>
            <w:rStyle w:val="Hyperlink"/>
          </w:rPr>
          <w:t>https://www.govinfo.gov/content/pkg/FR-2023-07-21/pdf/2023-15091.pdf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DCC" w:rsidRPr="006626FF" w:rsidP="00F8164B" w14:paraId="33B57277" w14:textId="1FF6962F">
    <w:pPr>
      <w:pStyle w:val="Header"/>
      <w:rPr>
        <w:rFonts w:ascii="Times New Roman" w:hAnsi="Times New Roman"/>
        <w:bCs/>
        <w:sz w:val="20"/>
        <w:szCs w:val="20"/>
      </w:rPr>
    </w:pPr>
    <w:r>
      <w:rPr>
        <w:rFonts w:ascii="Times New Roman" w:hAnsi="Times New Roman"/>
        <w:bCs/>
        <w:sz w:val="20"/>
        <w:szCs w:val="20"/>
      </w:rPr>
      <w:t>Survey of Occupational Injuries and Illnesses</w:t>
    </w:r>
  </w:p>
  <w:p w:rsidR="00EE0DCC" w14:paraId="52F50703" w14:textId="37F380D3">
    <w:pPr>
      <w:pStyle w:val="Header"/>
      <w:rPr>
        <w:rFonts w:ascii="Times New Roman" w:hAnsi="Times New Roman"/>
        <w:sz w:val="20"/>
        <w:szCs w:val="20"/>
      </w:rPr>
    </w:pPr>
    <w:r>
      <w:rPr>
        <w:rFonts w:ascii="Times New Roman" w:hAnsi="Times New Roman"/>
        <w:sz w:val="20"/>
        <w:szCs w:val="20"/>
      </w:rPr>
      <w:t xml:space="preserve">OMB Control Number </w:t>
    </w:r>
    <w:r w:rsidR="00C10BB6">
      <w:rPr>
        <w:rFonts w:ascii="Times New Roman" w:hAnsi="Times New Roman"/>
        <w:sz w:val="20"/>
        <w:szCs w:val="20"/>
      </w:rPr>
      <w:t>1220-0045</w:t>
    </w:r>
  </w:p>
  <w:p w:rsidR="00EE0DCC" w:rsidRPr="00F8164B" w14:paraId="1D1AD862" w14:textId="1CBC2217">
    <w:pPr>
      <w:pStyle w:val="Header"/>
      <w:rPr>
        <w:rFonts w:ascii="Times New Roman" w:hAnsi="Times New Roman"/>
        <w:sz w:val="20"/>
        <w:szCs w:val="20"/>
      </w:rPr>
    </w:pPr>
    <w:r>
      <w:rPr>
        <w:rFonts w:ascii="Times New Roman" w:hAnsi="Times New Roman"/>
        <w:sz w:val="20"/>
        <w:szCs w:val="20"/>
      </w:rPr>
      <w:t xml:space="preserve">OMB Expiration Date: </w:t>
    </w:r>
    <w:r w:rsidR="00DA1B79">
      <w:rPr>
        <w:rFonts w:ascii="Times New Roman" w:hAnsi="Times New Roman"/>
        <w:sz w:val="20"/>
        <w:szCs w:val="20"/>
      </w:rPr>
      <w:t>1</w:t>
    </w:r>
    <w:r w:rsidR="007129F8">
      <w:rPr>
        <w:rFonts w:ascii="Times New Roman" w:hAnsi="Times New Roman"/>
        <w:sz w:val="20"/>
        <w:szCs w:val="20"/>
      </w:rPr>
      <w:t>0</w:t>
    </w:r>
    <w:r w:rsidR="00DA1B79">
      <w:rPr>
        <w:rFonts w:ascii="Times New Roman" w:hAnsi="Times New Roman"/>
        <w:sz w:val="20"/>
        <w:szCs w:val="20"/>
      </w:rPr>
      <w:t>/31/202</w:t>
    </w:r>
    <w:r w:rsidR="007129F8">
      <w:rPr>
        <w:rFonts w:ascii="Times New Roman" w:hAnsi="Times New Roman"/>
        <w:sz w:val="20"/>
        <w:szCs w:val="20"/>
      </w:rPr>
      <w:t>4</w:t>
    </w:r>
  </w:p>
  <w:p w:rsidR="00EE0DCC" w14:paraId="29EBD65C" w14:textId="77777777">
    <w:pPr>
      <w:pStyle w:val="Header"/>
      <w:rPr>
        <w:rFonts w:ascii="Times New Roman" w:hAnsi="Times New Roman"/>
        <w:sz w:val="20"/>
        <w:szCs w:val="20"/>
      </w:rPr>
    </w:pPr>
  </w:p>
  <w:p w:rsidR="00EE0DCC"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DCC" w14:paraId="0A20DB7F" w14:textId="77777777">
    <w:pPr>
      <w:pStyle w:val="Header"/>
    </w:pPr>
    <w:r>
      <w:t>[Type text]</w:t>
    </w:r>
  </w:p>
  <w:p w:rsidR="00EE0DCC"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C36F09"/>
    <w:multiLevelType w:val="hybridMultilevel"/>
    <w:tmpl w:val="F03A8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E37305"/>
    <w:multiLevelType w:val="hybridMultilevel"/>
    <w:tmpl w:val="C83ADFE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22B10ECF"/>
    <w:multiLevelType w:val="hybridMultilevel"/>
    <w:tmpl w:val="834C5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8963CD"/>
    <w:multiLevelType w:val="hybridMultilevel"/>
    <w:tmpl w:val="DD662C0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339E7535"/>
    <w:multiLevelType w:val="hybridMultilevel"/>
    <w:tmpl w:val="6A70E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6C3BC1"/>
    <w:multiLevelType w:val="hybridMultilevel"/>
    <w:tmpl w:val="2A4037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6">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334076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79872012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819882889">
    <w:abstractNumId w:val="4"/>
  </w:num>
  <w:num w:numId="4" w16cid:durableId="632904152">
    <w:abstractNumId w:val="13"/>
  </w:num>
  <w:num w:numId="5" w16cid:durableId="1010180479">
    <w:abstractNumId w:val="3"/>
  </w:num>
  <w:num w:numId="6" w16cid:durableId="1314485873">
    <w:abstractNumId w:val="5"/>
  </w:num>
  <w:num w:numId="7" w16cid:durableId="3786267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15106374">
    <w:abstractNumId w:val="16"/>
  </w:num>
  <w:num w:numId="9" w16cid:durableId="427653336">
    <w:abstractNumId w:val="1"/>
  </w:num>
  <w:num w:numId="10" w16cid:durableId="1268350661">
    <w:abstractNumId w:val="15"/>
  </w:num>
  <w:num w:numId="11" w16cid:durableId="1215653785">
    <w:abstractNumId w:val="10"/>
  </w:num>
  <w:num w:numId="12" w16cid:durableId="260531015">
    <w:abstractNumId w:val="12"/>
  </w:num>
  <w:num w:numId="13" w16cid:durableId="282806491">
    <w:abstractNumId w:val="9"/>
  </w:num>
  <w:num w:numId="14" w16cid:durableId="1756510908">
    <w:abstractNumId w:val="11"/>
  </w:num>
  <w:num w:numId="15" w16cid:durableId="978613856">
    <w:abstractNumId w:val="8"/>
  </w:num>
  <w:num w:numId="16" w16cid:durableId="1414937041">
    <w:abstractNumId w:val="14"/>
  </w:num>
  <w:num w:numId="17" w16cid:durableId="929971052">
    <w:abstractNumId w:val="6"/>
  </w:num>
  <w:num w:numId="18" w16cid:durableId="948899104">
    <w:abstractNumId w:val="2"/>
  </w:num>
  <w:num w:numId="19" w16cid:durableId="2054620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2D83"/>
    <w:rsid w:val="00003AA2"/>
    <w:rsid w:val="00006ED6"/>
    <w:rsid w:val="0001143F"/>
    <w:rsid w:val="00011B93"/>
    <w:rsid w:val="00013028"/>
    <w:rsid w:val="000133FD"/>
    <w:rsid w:val="00014158"/>
    <w:rsid w:val="000143F3"/>
    <w:rsid w:val="00020F69"/>
    <w:rsid w:val="00022303"/>
    <w:rsid w:val="00025AB3"/>
    <w:rsid w:val="00030894"/>
    <w:rsid w:val="00035400"/>
    <w:rsid w:val="0003575C"/>
    <w:rsid w:val="00040991"/>
    <w:rsid w:val="0004107F"/>
    <w:rsid w:val="00042660"/>
    <w:rsid w:val="00042CBD"/>
    <w:rsid w:val="00052174"/>
    <w:rsid w:val="00052706"/>
    <w:rsid w:val="00052EC9"/>
    <w:rsid w:val="00053EEC"/>
    <w:rsid w:val="00055CBB"/>
    <w:rsid w:val="00061F6C"/>
    <w:rsid w:val="00064E28"/>
    <w:rsid w:val="000652BA"/>
    <w:rsid w:val="000673FF"/>
    <w:rsid w:val="0007383F"/>
    <w:rsid w:val="00073C01"/>
    <w:rsid w:val="00076DD8"/>
    <w:rsid w:val="00083C1C"/>
    <w:rsid w:val="00083D1A"/>
    <w:rsid w:val="0008604C"/>
    <w:rsid w:val="000924B7"/>
    <w:rsid w:val="00093590"/>
    <w:rsid w:val="00093FA0"/>
    <w:rsid w:val="00094A54"/>
    <w:rsid w:val="00094A5E"/>
    <w:rsid w:val="00095C30"/>
    <w:rsid w:val="000A7853"/>
    <w:rsid w:val="000B0391"/>
    <w:rsid w:val="000B4875"/>
    <w:rsid w:val="000B5185"/>
    <w:rsid w:val="000B546F"/>
    <w:rsid w:val="000B6FB6"/>
    <w:rsid w:val="000B7003"/>
    <w:rsid w:val="000C1F32"/>
    <w:rsid w:val="000C257C"/>
    <w:rsid w:val="000C3A92"/>
    <w:rsid w:val="000C4DDB"/>
    <w:rsid w:val="000C74FB"/>
    <w:rsid w:val="000D34E7"/>
    <w:rsid w:val="000D3EAF"/>
    <w:rsid w:val="000D4ED2"/>
    <w:rsid w:val="000D7F95"/>
    <w:rsid w:val="000E1C64"/>
    <w:rsid w:val="000E26AB"/>
    <w:rsid w:val="000E2E39"/>
    <w:rsid w:val="000F4ABE"/>
    <w:rsid w:val="000F6836"/>
    <w:rsid w:val="001040D4"/>
    <w:rsid w:val="001078BB"/>
    <w:rsid w:val="00116146"/>
    <w:rsid w:val="00116609"/>
    <w:rsid w:val="00116CD5"/>
    <w:rsid w:val="00122CCC"/>
    <w:rsid w:val="001242B8"/>
    <w:rsid w:val="001252BC"/>
    <w:rsid w:val="001252DC"/>
    <w:rsid w:val="0012559C"/>
    <w:rsid w:val="00125FBB"/>
    <w:rsid w:val="00130285"/>
    <w:rsid w:val="001304BB"/>
    <w:rsid w:val="00133C47"/>
    <w:rsid w:val="001351AA"/>
    <w:rsid w:val="0013715B"/>
    <w:rsid w:val="00137EC6"/>
    <w:rsid w:val="0014135F"/>
    <w:rsid w:val="0014556E"/>
    <w:rsid w:val="00147713"/>
    <w:rsid w:val="0015322B"/>
    <w:rsid w:val="0015365E"/>
    <w:rsid w:val="001551F2"/>
    <w:rsid w:val="00157A90"/>
    <w:rsid w:val="00160C94"/>
    <w:rsid w:val="0016297E"/>
    <w:rsid w:val="00167C88"/>
    <w:rsid w:val="001706A3"/>
    <w:rsid w:val="00172FBF"/>
    <w:rsid w:val="00174128"/>
    <w:rsid w:val="001742AB"/>
    <w:rsid w:val="00174EC6"/>
    <w:rsid w:val="00177441"/>
    <w:rsid w:val="00180C47"/>
    <w:rsid w:val="00180E5A"/>
    <w:rsid w:val="00181A99"/>
    <w:rsid w:val="00196EF0"/>
    <w:rsid w:val="001A4540"/>
    <w:rsid w:val="001A47D9"/>
    <w:rsid w:val="001B0640"/>
    <w:rsid w:val="001B08A5"/>
    <w:rsid w:val="001B4A55"/>
    <w:rsid w:val="001B7E93"/>
    <w:rsid w:val="001C0DDC"/>
    <w:rsid w:val="001C4323"/>
    <w:rsid w:val="001C6E5A"/>
    <w:rsid w:val="001D10ED"/>
    <w:rsid w:val="001D2D09"/>
    <w:rsid w:val="001D3046"/>
    <w:rsid w:val="001D3BF5"/>
    <w:rsid w:val="001D4362"/>
    <w:rsid w:val="001D44CF"/>
    <w:rsid w:val="001D4926"/>
    <w:rsid w:val="001D67BB"/>
    <w:rsid w:val="001E0E7F"/>
    <w:rsid w:val="001E2932"/>
    <w:rsid w:val="001E3596"/>
    <w:rsid w:val="001E4705"/>
    <w:rsid w:val="001E5213"/>
    <w:rsid w:val="001E6404"/>
    <w:rsid w:val="001E7FEA"/>
    <w:rsid w:val="001F15CF"/>
    <w:rsid w:val="001F1935"/>
    <w:rsid w:val="001F2E8E"/>
    <w:rsid w:val="001F4078"/>
    <w:rsid w:val="001F49F7"/>
    <w:rsid w:val="002031A3"/>
    <w:rsid w:val="002036A1"/>
    <w:rsid w:val="00204634"/>
    <w:rsid w:val="0020567A"/>
    <w:rsid w:val="00206902"/>
    <w:rsid w:val="00210616"/>
    <w:rsid w:val="0021122C"/>
    <w:rsid w:val="002134B4"/>
    <w:rsid w:val="002146F7"/>
    <w:rsid w:val="00215C34"/>
    <w:rsid w:val="0021656F"/>
    <w:rsid w:val="002203C9"/>
    <w:rsid w:val="002223D8"/>
    <w:rsid w:val="00225CA1"/>
    <w:rsid w:val="0023446D"/>
    <w:rsid w:val="00237691"/>
    <w:rsid w:val="00237CCD"/>
    <w:rsid w:val="00242CA0"/>
    <w:rsid w:val="00243432"/>
    <w:rsid w:val="002446A5"/>
    <w:rsid w:val="00245436"/>
    <w:rsid w:val="00247146"/>
    <w:rsid w:val="002473EB"/>
    <w:rsid w:val="002513BE"/>
    <w:rsid w:val="00257931"/>
    <w:rsid w:val="002603F5"/>
    <w:rsid w:val="00266997"/>
    <w:rsid w:val="00270B66"/>
    <w:rsid w:val="00272095"/>
    <w:rsid w:val="00273D58"/>
    <w:rsid w:val="00274763"/>
    <w:rsid w:val="00277C1F"/>
    <w:rsid w:val="00286609"/>
    <w:rsid w:val="002866AD"/>
    <w:rsid w:val="00286705"/>
    <w:rsid w:val="00286BE3"/>
    <w:rsid w:val="0029135D"/>
    <w:rsid w:val="002924FE"/>
    <w:rsid w:val="00292951"/>
    <w:rsid w:val="002933DF"/>
    <w:rsid w:val="00293CD1"/>
    <w:rsid w:val="002956E8"/>
    <w:rsid w:val="00297064"/>
    <w:rsid w:val="002A05EB"/>
    <w:rsid w:val="002A3962"/>
    <w:rsid w:val="002A50F7"/>
    <w:rsid w:val="002A5972"/>
    <w:rsid w:val="002A6340"/>
    <w:rsid w:val="002A6B04"/>
    <w:rsid w:val="002B0217"/>
    <w:rsid w:val="002B2ABB"/>
    <w:rsid w:val="002B4331"/>
    <w:rsid w:val="002B454A"/>
    <w:rsid w:val="002C20A5"/>
    <w:rsid w:val="002C48A0"/>
    <w:rsid w:val="002C7B94"/>
    <w:rsid w:val="002D2DF9"/>
    <w:rsid w:val="002E1E83"/>
    <w:rsid w:val="002E238B"/>
    <w:rsid w:val="002E4200"/>
    <w:rsid w:val="002E5A14"/>
    <w:rsid w:val="002F36AC"/>
    <w:rsid w:val="002F3A24"/>
    <w:rsid w:val="002F5010"/>
    <w:rsid w:val="002F602D"/>
    <w:rsid w:val="002F722A"/>
    <w:rsid w:val="003019EF"/>
    <w:rsid w:val="00301D3B"/>
    <w:rsid w:val="00304132"/>
    <w:rsid w:val="0031072E"/>
    <w:rsid w:val="003119DF"/>
    <w:rsid w:val="00312124"/>
    <w:rsid w:val="00313820"/>
    <w:rsid w:val="00313AC1"/>
    <w:rsid w:val="00314DE9"/>
    <w:rsid w:val="0031527D"/>
    <w:rsid w:val="00317FAA"/>
    <w:rsid w:val="0032649A"/>
    <w:rsid w:val="00332EF9"/>
    <w:rsid w:val="00332F98"/>
    <w:rsid w:val="00333D7A"/>
    <w:rsid w:val="0034000E"/>
    <w:rsid w:val="00341C18"/>
    <w:rsid w:val="003430A6"/>
    <w:rsid w:val="003448FC"/>
    <w:rsid w:val="00344B33"/>
    <w:rsid w:val="003451A4"/>
    <w:rsid w:val="00347211"/>
    <w:rsid w:val="0034752E"/>
    <w:rsid w:val="003526A5"/>
    <w:rsid w:val="003548D8"/>
    <w:rsid w:val="0036085A"/>
    <w:rsid w:val="00362304"/>
    <w:rsid w:val="00362FC0"/>
    <w:rsid w:val="00363CC2"/>
    <w:rsid w:val="00364441"/>
    <w:rsid w:val="00364B4F"/>
    <w:rsid w:val="003709DF"/>
    <w:rsid w:val="00371235"/>
    <w:rsid w:val="00371EEC"/>
    <w:rsid w:val="003737A1"/>
    <w:rsid w:val="00374D40"/>
    <w:rsid w:val="00374F8B"/>
    <w:rsid w:val="003823B2"/>
    <w:rsid w:val="003824B2"/>
    <w:rsid w:val="003876F3"/>
    <w:rsid w:val="00390426"/>
    <w:rsid w:val="00394AEB"/>
    <w:rsid w:val="003957E7"/>
    <w:rsid w:val="003A0CA0"/>
    <w:rsid w:val="003A1C90"/>
    <w:rsid w:val="003A5F9D"/>
    <w:rsid w:val="003A6353"/>
    <w:rsid w:val="003B13A8"/>
    <w:rsid w:val="003B1BF1"/>
    <w:rsid w:val="003B2C3E"/>
    <w:rsid w:val="003C0C98"/>
    <w:rsid w:val="003C13C6"/>
    <w:rsid w:val="003C324D"/>
    <w:rsid w:val="003C61F8"/>
    <w:rsid w:val="003D06C2"/>
    <w:rsid w:val="003D4198"/>
    <w:rsid w:val="003D5958"/>
    <w:rsid w:val="003D6A9B"/>
    <w:rsid w:val="003D6AC7"/>
    <w:rsid w:val="003D7A49"/>
    <w:rsid w:val="003E1039"/>
    <w:rsid w:val="003E49A6"/>
    <w:rsid w:val="003E5E34"/>
    <w:rsid w:val="003E7EC4"/>
    <w:rsid w:val="003F53FB"/>
    <w:rsid w:val="00400B4D"/>
    <w:rsid w:val="00401F18"/>
    <w:rsid w:val="004023D6"/>
    <w:rsid w:val="004056B7"/>
    <w:rsid w:val="00406C9A"/>
    <w:rsid w:val="00410AC8"/>
    <w:rsid w:val="00414664"/>
    <w:rsid w:val="0041468B"/>
    <w:rsid w:val="0041593A"/>
    <w:rsid w:val="004171D4"/>
    <w:rsid w:val="004209FB"/>
    <w:rsid w:val="004236BC"/>
    <w:rsid w:val="0042511D"/>
    <w:rsid w:val="004317BF"/>
    <w:rsid w:val="00434981"/>
    <w:rsid w:val="00436554"/>
    <w:rsid w:val="00440AE2"/>
    <w:rsid w:val="00443460"/>
    <w:rsid w:val="00446D48"/>
    <w:rsid w:val="00446D53"/>
    <w:rsid w:val="0044773C"/>
    <w:rsid w:val="00451A7E"/>
    <w:rsid w:val="00453035"/>
    <w:rsid w:val="00454E96"/>
    <w:rsid w:val="00466254"/>
    <w:rsid w:val="004672B5"/>
    <w:rsid w:val="00470C72"/>
    <w:rsid w:val="00471293"/>
    <w:rsid w:val="00472B76"/>
    <w:rsid w:val="00473AD1"/>
    <w:rsid w:val="00473C00"/>
    <w:rsid w:val="00477943"/>
    <w:rsid w:val="0048087A"/>
    <w:rsid w:val="004825D1"/>
    <w:rsid w:val="00484281"/>
    <w:rsid w:val="004844D1"/>
    <w:rsid w:val="0048473E"/>
    <w:rsid w:val="00485418"/>
    <w:rsid w:val="0048559D"/>
    <w:rsid w:val="00486020"/>
    <w:rsid w:val="004867B8"/>
    <w:rsid w:val="00491BA5"/>
    <w:rsid w:val="00494A93"/>
    <w:rsid w:val="00494D75"/>
    <w:rsid w:val="00495821"/>
    <w:rsid w:val="004A0597"/>
    <w:rsid w:val="004A1763"/>
    <w:rsid w:val="004A4797"/>
    <w:rsid w:val="004A601C"/>
    <w:rsid w:val="004B1E83"/>
    <w:rsid w:val="004B28BB"/>
    <w:rsid w:val="004B54EE"/>
    <w:rsid w:val="004C3C53"/>
    <w:rsid w:val="004C4217"/>
    <w:rsid w:val="004D0369"/>
    <w:rsid w:val="004D1C78"/>
    <w:rsid w:val="004D1E9B"/>
    <w:rsid w:val="004D20E0"/>
    <w:rsid w:val="004D441E"/>
    <w:rsid w:val="004D46D1"/>
    <w:rsid w:val="004D4829"/>
    <w:rsid w:val="004D6F6A"/>
    <w:rsid w:val="004E0745"/>
    <w:rsid w:val="004E1D9E"/>
    <w:rsid w:val="004E248F"/>
    <w:rsid w:val="004E6F77"/>
    <w:rsid w:val="004E729C"/>
    <w:rsid w:val="005015F1"/>
    <w:rsid w:val="005032C3"/>
    <w:rsid w:val="0050704A"/>
    <w:rsid w:val="0051218C"/>
    <w:rsid w:val="005164DC"/>
    <w:rsid w:val="0052513D"/>
    <w:rsid w:val="00526941"/>
    <w:rsid w:val="00530EBD"/>
    <w:rsid w:val="00532EDE"/>
    <w:rsid w:val="00533505"/>
    <w:rsid w:val="0053358D"/>
    <w:rsid w:val="00536C1E"/>
    <w:rsid w:val="00541ED5"/>
    <w:rsid w:val="005435A7"/>
    <w:rsid w:val="00547265"/>
    <w:rsid w:val="00555B41"/>
    <w:rsid w:val="0055674A"/>
    <w:rsid w:val="00557970"/>
    <w:rsid w:val="00557A37"/>
    <w:rsid w:val="005677A8"/>
    <w:rsid w:val="00567912"/>
    <w:rsid w:val="00570098"/>
    <w:rsid w:val="00571AAC"/>
    <w:rsid w:val="005805E7"/>
    <w:rsid w:val="00581049"/>
    <w:rsid w:val="00582476"/>
    <w:rsid w:val="00583F5D"/>
    <w:rsid w:val="0058424C"/>
    <w:rsid w:val="005845A8"/>
    <w:rsid w:val="00584D33"/>
    <w:rsid w:val="00584F8D"/>
    <w:rsid w:val="00585485"/>
    <w:rsid w:val="005861B9"/>
    <w:rsid w:val="0058702C"/>
    <w:rsid w:val="005A0350"/>
    <w:rsid w:val="005A11A0"/>
    <w:rsid w:val="005A6B9B"/>
    <w:rsid w:val="005B4EC3"/>
    <w:rsid w:val="005B5990"/>
    <w:rsid w:val="005C1035"/>
    <w:rsid w:val="005C6147"/>
    <w:rsid w:val="005C61AD"/>
    <w:rsid w:val="005C6B7B"/>
    <w:rsid w:val="005D2B8A"/>
    <w:rsid w:val="005D4697"/>
    <w:rsid w:val="005D5F8C"/>
    <w:rsid w:val="005D7779"/>
    <w:rsid w:val="005E4435"/>
    <w:rsid w:val="005E5026"/>
    <w:rsid w:val="005E5148"/>
    <w:rsid w:val="005F4E87"/>
    <w:rsid w:val="006000BE"/>
    <w:rsid w:val="0060114B"/>
    <w:rsid w:val="00601432"/>
    <w:rsid w:val="00604E45"/>
    <w:rsid w:val="00606457"/>
    <w:rsid w:val="006073D2"/>
    <w:rsid w:val="00611DE2"/>
    <w:rsid w:val="006144F3"/>
    <w:rsid w:val="00617F52"/>
    <w:rsid w:val="006227B3"/>
    <w:rsid w:val="006240EE"/>
    <w:rsid w:val="006270BF"/>
    <w:rsid w:val="006273CE"/>
    <w:rsid w:val="0063172B"/>
    <w:rsid w:val="0063338B"/>
    <w:rsid w:val="00640975"/>
    <w:rsid w:val="00642220"/>
    <w:rsid w:val="0064327E"/>
    <w:rsid w:val="00647D4D"/>
    <w:rsid w:val="0065091A"/>
    <w:rsid w:val="00652ED1"/>
    <w:rsid w:val="0065661E"/>
    <w:rsid w:val="006626FF"/>
    <w:rsid w:val="006650A8"/>
    <w:rsid w:val="00665902"/>
    <w:rsid w:val="00665B64"/>
    <w:rsid w:val="00667A65"/>
    <w:rsid w:val="00670EA5"/>
    <w:rsid w:val="00672243"/>
    <w:rsid w:val="00674408"/>
    <w:rsid w:val="00675DAB"/>
    <w:rsid w:val="0067772C"/>
    <w:rsid w:val="00680045"/>
    <w:rsid w:val="00681953"/>
    <w:rsid w:val="00684DEE"/>
    <w:rsid w:val="00685435"/>
    <w:rsid w:val="00685BAC"/>
    <w:rsid w:val="00686140"/>
    <w:rsid w:val="00687657"/>
    <w:rsid w:val="00690F56"/>
    <w:rsid w:val="00691FFA"/>
    <w:rsid w:val="00693CE8"/>
    <w:rsid w:val="00693ED8"/>
    <w:rsid w:val="006A4637"/>
    <w:rsid w:val="006A59A0"/>
    <w:rsid w:val="006A7451"/>
    <w:rsid w:val="006A771B"/>
    <w:rsid w:val="006B59A4"/>
    <w:rsid w:val="006B60F1"/>
    <w:rsid w:val="006C2656"/>
    <w:rsid w:val="006C39F8"/>
    <w:rsid w:val="006C7019"/>
    <w:rsid w:val="006D0166"/>
    <w:rsid w:val="006D04BF"/>
    <w:rsid w:val="006D1536"/>
    <w:rsid w:val="006D5134"/>
    <w:rsid w:val="006D7C1D"/>
    <w:rsid w:val="006E1A08"/>
    <w:rsid w:val="006E3277"/>
    <w:rsid w:val="006E4111"/>
    <w:rsid w:val="006E4952"/>
    <w:rsid w:val="006E49FE"/>
    <w:rsid w:val="006F10B2"/>
    <w:rsid w:val="006F53D0"/>
    <w:rsid w:val="006F66F9"/>
    <w:rsid w:val="006F6CD2"/>
    <w:rsid w:val="006F6E13"/>
    <w:rsid w:val="006F754F"/>
    <w:rsid w:val="006F7DC5"/>
    <w:rsid w:val="007010C5"/>
    <w:rsid w:val="007011F1"/>
    <w:rsid w:val="00703C8E"/>
    <w:rsid w:val="00703FB0"/>
    <w:rsid w:val="00705187"/>
    <w:rsid w:val="007053D9"/>
    <w:rsid w:val="007122FB"/>
    <w:rsid w:val="007127A1"/>
    <w:rsid w:val="007129F8"/>
    <w:rsid w:val="00712A6F"/>
    <w:rsid w:val="00713ACE"/>
    <w:rsid w:val="00715F82"/>
    <w:rsid w:val="0071749C"/>
    <w:rsid w:val="00717B45"/>
    <w:rsid w:val="00722416"/>
    <w:rsid w:val="00723D61"/>
    <w:rsid w:val="0072412A"/>
    <w:rsid w:val="00725EE1"/>
    <w:rsid w:val="007275A7"/>
    <w:rsid w:val="00734821"/>
    <w:rsid w:val="00735220"/>
    <w:rsid w:val="00736999"/>
    <w:rsid w:val="00737031"/>
    <w:rsid w:val="007377FD"/>
    <w:rsid w:val="007412B6"/>
    <w:rsid w:val="00750944"/>
    <w:rsid w:val="007518C8"/>
    <w:rsid w:val="00756343"/>
    <w:rsid w:val="007636EC"/>
    <w:rsid w:val="00766EBF"/>
    <w:rsid w:val="00767D37"/>
    <w:rsid w:val="007740FE"/>
    <w:rsid w:val="00774503"/>
    <w:rsid w:val="00776723"/>
    <w:rsid w:val="007773D7"/>
    <w:rsid w:val="00777CD2"/>
    <w:rsid w:val="0078038F"/>
    <w:rsid w:val="00783FF9"/>
    <w:rsid w:val="00785FE9"/>
    <w:rsid w:val="0078645A"/>
    <w:rsid w:val="00786E04"/>
    <w:rsid w:val="00792BA6"/>
    <w:rsid w:val="007963AF"/>
    <w:rsid w:val="007A4292"/>
    <w:rsid w:val="007A6606"/>
    <w:rsid w:val="007A7934"/>
    <w:rsid w:val="007A7F79"/>
    <w:rsid w:val="007B487B"/>
    <w:rsid w:val="007B61C6"/>
    <w:rsid w:val="007C39FA"/>
    <w:rsid w:val="007D46C2"/>
    <w:rsid w:val="007E0F49"/>
    <w:rsid w:val="007E11C1"/>
    <w:rsid w:val="00800D1C"/>
    <w:rsid w:val="00801458"/>
    <w:rsid w:val="0080156D"/>
    <w:rsid w:val="008022C0"/>
    <w:rsid w:val="008043E5"/>
    <w:rsid w:val="00804A1A"/>
    <w:rsid w:val="0080590A"/>
    <w:rsid w:val="008060D4"/>
    <w:rsid w:val="00807A09"/>
    <w:rsid w:val="0081073D"/>
    <w:rsid w:val="00813AB3"/>
    <w:rsid w:val="008202FA"/>
    <w:rsid w:val="008215CC"/>
    <w:rsid w:val="00822287"/>
    <w:rsid w:val="00827C65"/>
    <w:rsid w:val="00830ECC"/>
    <w:rsid w:val="008323ED"/>
    <w:rsid w:val="00835955"/>
    <w:rsid w:val="00840FC2"/>
    <w:rsid w:val="00842CCF"/>
    <w:rsid w:val="00844B1B"/>
    <w:rsid w:val="00846701"/>
    <w:rsid w:val="00847B32"/>
    <w:rsid w:val="0085203B"/>
    <w:rsid w:val="0086196E"/>
    <w:rsid w:val="008624D5"/>
    <w:rsid w:val="0086348D"/>
    <w:rsid w:val="0086554A"/>
    <w:rsid w:val="0086742B"/>
    <w:rsid w:val="00871CA6"/>
    <w:rsid w:val="0087219C"/>
    <w:rsid w:val="00876070"/>
    <w:rsid w:val="0088007D"/>
    <w:rsid w:val="00882AB5"/>
    <w:rsid w:val="00882B1D"/>
    <w:rsid w:val="00883847"/>
    <w:rsid w:val="008846C1"/>
    <w:rsid w:val="00885C29"/>
    <w:rsid w:val="0088672C"/>
    <w:rsid w:val="00895F0B"/>
    <w:rsid w:val="0089616C"/>
    <w:rsid w:val="008A1F0C"/>
    <w:rsid w:val="008A40D1"/>
    <w:rsid w:val="008A5E39"/>
    <w:rsid w:val="008B1E1D"/>
    <w:rsid w:val="008B2784"/>
    <w:rsid w:val="008B541B"/>
    <w:rsid w:val="008B56D1"/>
    <w:rsid w:val="008C2D24"/>
    <w:rsid w:val="008C395F"/>
    <w:rsid w:val="008C61DE"/>
    <w:rsid w:val="008D0C58"/>
    <w:rsid w:val="008D1F56"/>
    <w:rsid w:val="008D2744"/>
    <w:rsid w:val="008D4807"/>
    <w:rsid w:val="008F7383"/>
    <w:rsid w:val="00901003"/>
    <w:rsid w:val="009011F2"/>
    <w:rsid w:val="009012C7"/>
    <w:rsid w:val="0090158E"/>
    <w:rsid w:val="00901EF6"/>
    <w:rsid w:val="00902D24"/>
    <w:rsid w:val="0090413E"/>
    <w:rsid w:val="009067A2"/>
    <w:rsid w:val="00914FD1"/>
    <w:rsid w:val="00921FAC"/>
    <w:rsid w:val="009235E0"/>
    <w:rsid w:val="00926B00"/>
    <w:rsid w:val="009271B1"/>
    <w:rsid w:val="00930BBA"/>
    <w:rsid w:val="00931160"/>
    <w:rsid w:val="00932F39"/>
    <w:rsid w:val="00935D0B"/>
    <w:rsid w:val="009441E2"/>
    <w:rsid w:val="00946530"/>
    <w:rsid w:val="00946E1F"/>
    <w:rsid w:val="00953F49"/>
    <w:rsid w:val="00960957"/>
    <w:rsid w:val="00961DDA"/>
    <w:rsid w:val="00963680"/>
    <w:rsid w:val="00964D3F"/>
    <w:rsid w:val="009700D9"/>
    <w:rsid w:val="0097425E"/>
    <w:rsid w:val="00985C15"/>
    <w:rsid w:val="009862B0"/>
    <w:rsid w:val="0099617F"/>
    <w:rsid w:val="0099721F"/>
    <w:rsid w:val="009A0AAC"/>
    <w:rsid w:val="009A6019"/>
    <w:rsid w:val="009A6DCA"/>
    <w:rsid w:val="009B00FD"/>
    <w:rsid w:val="009B0555"/>
    <w:rsid w:val="009B38D1"/>
    <w:rsid w:val="009B4116"/>
    <w:rsid w:val="009B5915"/>
    <w:rsid w:val="009C2731"/>
    <w:rsid w:val="009C2A10"/>
    <w:rsid w:val="009C7AD1"/>
    <w:rsid w:val="009D09C2"/>
    <w:rsid w:val="009D1EA2"/>
    <w:rsid w:val="009D35FE"/>
    <w:rsid w:val="009E0141"/>
    <w:rsid w:val="009E1CD8"/>
    <w:rsid w:val="009E1D93"/>
    <w:rsid w:val="009E234B"/>
    <w:rsid w:val="009E2B33"/>
    <w:rsid w:val="009E2B96"/>
    <w:rsid w:val="009F071F"/>
    <w:rsid w:val="009F0CE5"/>
    <w:rsid w:val="009F3A37"/>
    <w:rsid w:val="009F3EDC"/>
    <w:rsid w:val="009F52F3"/>
    <w:rsid w:val="00A0240A"/>
    <w:rsid w:val="00A05948"/>
    <w:rsid w:val="00A10441"/>
    <w:rsid w:val="00A15094"/>
    <w:rsid w:val="00A1613F"/>
    <w:rsid w:val="00A16477"/>
    <w:rsid w:val="00A20C35"/>
    <w:rsid w:val="00A21F98"/>
    <w:rsid w:val="00A2342B"/>
    <w:rsid w:val="00A239EF"/>
    <w:rsid w:val="00A23C78"/>
    <w:rsid w:val="00A23DE3"/>
    <w:rsid w:val="00A23EC4"/>
    <w:rsid w:val="00A3207A"/>
    <w:rsid w:val="00A33381"/>
    <w:rsid w:val="00A3408F"/>
    <w:rsid w:val="00A3444F"/>
    <w:rsid w:val="00A347E9"/>
    <w:rsid w:val="00A4176D"/>
    <w:rsid w:val="00A41C21"/>
    <w:rsid w:val="00A444AB"/>
    <w:rsid w:val="00A47DA7"/>
    <w:rsid w:val="00A503C1"/>
    <w:rsid w:val="00A50CE0"/>
    <w:rsid w:val="00A52DE7"/>
    <w:rsid w:val="00A5378B"/>
    <w:rsid w:val="00A53B23"/>
    <w:rsid w:val="00A55023"/>
    <w:rsid w:val="00A56B86"/>
    <w:rsid w:val="00A620D3"/>
    <w:rsid w:val="00A632EF"/>
    <w:rsid w:val="00A647CD"/>
    <w:rsid w:val="00A677E9"/>
    <w:rsid w:val="00A71608"/>
    <w:rsid w:val="00A740AB"/>
    <w:rsid w:val="00A74A04"/>
    <w:rsid w:val="00A76108"/>
    <w:rsid w:val="00A81113"/>
    <w:rsid w:val="00A834BF"/>
    <w:rsid w:val="00A84852"/>
    <w:rsid w:val="00A90769"/>
    <w:rsid w:val="00A90E93"/>
    <w:rsid w:val="00A93399"/>
    <w:rsid w:val="00A9671E"/>
    <w:rsid w:val="00A973AA"/>
    <w:rsid w:val="00AA177A"/>
    <w:rsid w:val="00AA19CF"/>
    <w:rsid w:val="00AA387E"/>
    <w:rsid w:val="00AA3CAC"/>
    <w:rsid w:val="00AA5D07"/>
    <w:rsid w:val="00AA7409"/>
    <w:rsid w:val="00AA7BD9"/>
    <w:rsid w:val="00AB42A0"/>
    <w:rsid w:val="00AB4DC3"/>
    <w:rsid w:val="00AC33FB"/>
    <w:rsid w:val="00AC3841"/>
    <w:rsid w:val="00AC4571"/>
    <w:rsid w:val="00AC5872"/>
    <w:rsid w:val="00AC6D19"/>
    <w:rsid w:val="00AC775D"/>
    <w:rsid w:val="00AD022F"/>
    <w:rsid w:val="00AD113F"/>
    <w:rsid w:val="00AD1765"/>
    <w:rsid w:val="00AD1F1C"/>
    <w:rsid w:val="00AD2ABE"/>
    <w:rsid w:val="00AD75AC"/>
    <w:rsid w:val="00AE1BE9"/>
    <w:rsid w:val="00AE2E95"/>
    <w:rsid w:val="00AE35C6"/>
    <w:rsid w:val="00AE369A"/>
    <w:rsid w:val="00AE6CEE"/>
    <w:rsid w:val="00AF1D5D"/>
    <w:rsid w:val="00AF2C11"/>
    <w:rsid w:val="00AF3788"/>
    <w:rsid w:val="00AF4561"/>
    <w:rsid w:val="00AF5262"/>
    <w:rsid w:val="00AF606E"/>
    <w:rsid w:val="00AF6433"/>
    <w:rsid w:val="00AF7928"/>
    <w:rsid w:val="00B046FE"/>
    <w:rsid w:val="00B04C3C"/>
    <w:rsid w:val="00B10262"/>
    <w:rsid w:val="00B10F4D"/>
    <w:rsid w:val="00B1402F"/>
    <w:rsid w:val="00B20570"/>
    <w:rsid w:val="00B20DD1"/>
    <w:rsid w:val="00B22CE3"/>
    <w:rsid w:val="00B2318D"/>
    <w:rsid w:val="00B25B7C"/>
    <w:rsid w:val="00B26E3E"/>
    <w:rsid w:val="00B3525A"/>
    <w:rsid w:val="00B35DAD"/>
    <w:rsid w:val="00B40541"/>
    <w:rsid w:val="00B44B60"/>
    <w:rsid w:val="00B45EA2"/>
    <w:rsid w:val="00B46377"/>
    <w:rsid w:val="00B47443"/>
    <w:rsid w:val="00B524AD"/>
    <w:rsid w:val="00B52744"/>
    <w:rsid w:val="00B5377A"/>
    <w:rsid w:val="00B5529E"/>
    <w:rsid w:val="00B5608A"/>
    <w:rsid w:val="00B6181C"/>
    <w:rsid w:val="00B618BA"/>
    <w:rsid w:val="00B63D28"/>
    <w:rsid w:val="00B65823"/>
    <w:rsid w:val="00B66231"/>
    <w:rsid w:val="00B66FD4"/>
    <w:rsid w:val="00B71919"/>
    <w:rsid w:val="00B73F0C"/>
    <w:rsid w:val="00B816E4"/>
    <w:rsid w:val="00B84863"/>
    <w:rsid w:val="00B862A6"/>
    <w:rsid w:val="00B91FC4"/>
    <w:rsid w:val="00B92913"/>
    <w:rsid w:val="00B92C4A"/>
    <w:rsid w:val="00B930C3"/>
    <w:rsid w:val="00B94AE5"/>
    <w:rsid w:val="00BA06EE"/>
    <w:rsid w:val="00BA1CFC"/>
    <w:rsid w:val="00BA2E14"/>
    <w:rsid w:val="00BA31F4"/>
    <w:rsid w:val="00BA67C4"/>
    <w:rsid w:val="00BA6C9C"/>
    <w:rsid w:val="00BB3BEF"/>
    <w:rsid w:val="00BC7963"/>
    <w:rsid w:val="00BD00E1"/>
    <w:rsid w:val="00BD0644"/>
    <w:rsid w:val="00BD34F2"/>
    <w:rsid w:val="00BD4737"/>
    <w:rsid w:val="00BD5906"/>
    <w:rsid w:val="00BE1586"/>
    <w:rsid w:val="00BF34C3"/>
    <w:rsid w:val="00C0204D"/>
    <w:rsid w:val="00C02E4A"/>
    <w:rsid w:val="00C04E0A"/>
    <w:rsid w:val="00C05B88"/>
    <w:rsid w:val="00C076A7"/>
    <w:rsid w:val="00C07F7F"/>
    <w:rsid w:val="00C10BB6"/>
    <w:rsid w:val="00C10C27"/>
    <w:rsid w:val="00C12530"/>
    <w:rsid w:val="00C14429"/>
    <w:rsid w:val="00C15D4F"/>
    <w:rsid w:val="00C247D8"/>
    <w:rsid w:val="00C30116"/>
    <w:rsid w:val="00C34009"/>
    <w:rsid w:val="00C3573D"/>
    <w:rsid w:val="00C434B6"/>
    <w:rsid w:val="00C442E2"/>
    <w:rsid w:val="00C453C9"/>
    <w:rsid w:val="00C454F4"/>
    <w:rsid w:val="00C4587D"/>
    <w:rsid w:val="00C4763A"/>
    <w:rsid w:val="00C60CB0"/>
    <w:rsid w:val="00C6398B"/>
    <w:rsid w:val="00C63D1E"/>
    <w:rsid w:val="00C64839"/>
    <w:rsid w:val="00C667F3"/>
    <w:rsid w:val="00C712D2"/>
    <w:rsid w:val="00C73F82"/>
    <w:rsid w:val="00C74762"/>
    <w:rsid w:val="00C768B3"/>
    <w:rsid w:val="00C77B5C"/>
    <w:rsid w:val="00C77BF2"/>
    <w:rsid w:val="00C80D2E"/>
    <w:rsid w:val="00C811E7"/>
    <w:rsid w:val="00C824C6"/>
    <w:rsid w:val="00C8275F"/>
    <w:rsid w:val="00C867B9"/>
    <w:rsid w:val="00C87068"/>
    <w:rsid w:val="00C9162F"/>
    <w:rsid w:val="00C969F6"/>
    <w:rsid w:val="00CA21AC"/>
    <w:rsid w:val="00CA2F0A"/>
    <w:rsid w:val="00CA7DF4"/>
    <w:rsid w:val="00CB13AA"/>
    <w:rsid w:val="00CB3579"/>
    <w:rsid w:val="00CB6406"/>
    <w:rsid w:val="00CC0731"/>
    <w:rsid w:val="00CC5477"/>
    <w:rsid w:val="00CC770C"/>
    <w:rsid w:val="00CD215D"/>
    <w:rsid w:val="00CD31CD"/>
    <w:rsid w:val="00CD3CBF"/>
    <w:rsid w:val="00CD3FC8"/>
    <w:rsid w:val="00CD5E79"/>
    <w:rsid w:val="00CD6628"/>
    <w:rsid w:val="00CD6BFE"/>
    <w:rsid w:val="00CD6FBB"/>
    <w:rsid w:val="00CD73E0"/>
    <w:rsid w:val="00CE23E0"/>
    <w:rsid w:val="00CE2671"/>
    <w:rsid w:val="00CE6390"/>
    <w:rsid w:val="00CE6ABC"/>
    <w:rsid w:val="00CF458C"/>
    <w:rsid w:val="00D0054D"/>
    <w:rsid w:val="00D0491A"/>
    <w:rsid w:val="00D050D2"/>
    <w:rsid w:val="00D07BBE"/>
    <w:rsid w:val="00D10EB7"/>
    <w:rsid w:val="00D17977"/>
    <w:rsid w:val="00D2331B"/>
    <w:rsid w:val="00D2768F"/>
    <w:rsid w:val="00D30906"/>
    <w:rsid w:val="00D35642"/>
    <w:rsid w:val="00D360A7"/>
    <w:rsid w:val="00D36BB6"/>
    <w:rsid w:val="00D36E68"/>
    <w:rsid w:val="00D4719C"/>
    <w:rsid w:val="00D52788"/>
    <w:rsid w:val="00D53DEB"/>
    <w:rsid w:val="00D554B8"/>
    <w:rsid w:val="00D57DE8"/>
    <w:rsid w:val="00D615EF"/>
    <w:rsid w:val="00D6165B"/>
    <w:rsid w:val="00D622AE"/>
    <w:rsid w:val="00D6242C"/>
    <w:rsid w:val="00D67103"/>
    <w:rsid w:val="00D70888"/>
    <w:rsid w:val="00D72712"/>
    <w:rsid w:val="00D72888"/>
    <w:rsid w:val="00D73AAD"/>
    <w:rsid w:val="00D74B71"/>
    <w:rsid w:val="00D75321"/>
    <w:rsid w:val="00D75842"/>
    <w:rsid w:val="00D76AE8"/>
    <w:rsid w:val="00D83386"/>
    <w:rsid w:val="00D86FF7"/>
    <w:rsid w:val="00D87ED3"/>
    <w:rsid w:val="00D906CF"/>
    <w:rsid w:val="00D968C3"/>
    <w:rsid w:val="00D96ED4"/>
    <w:rsid w:val="00DA0FE1"/>
    <w:rsid w:val="00DA15EA"/>
    <w:rsid w:val="00DA1B79"/>
    <w:rsid w:val="00DA65D3"/>
    <w:rsid w:val="00DA7E64"/>
    <w:rsid w:val="00DA7E6F"/>
    <w:rsid w:val="00DB21F6"/>
    <w:rsid w:val="00DB2E06"/>
    <w:rsid w:val="00DB7B7C"/>
    <w:rsid w:val="00DC2DEA"/>
    <w:rsid w:val="00DD0C8F"/>
    <w:rsid w:val="00DD0DA0"/>
    <w:rsid w:val="00DD2F2A"/>
    <w:rsid w:val="00DD4135"/>
    <w:rsid w:val="00DD6DF0"/>
    <w:rsid w:val="00DF1742"/>
    <w:rsid w:val="00DF2861"/>
    <w:rsid w:val="00DF7BDF"/>
    <w:rsid w:val="00E0031C"/>
    <w:rsid w:val="00E0138A"/>
    <w:rsid w:val="00E0258B"/>
    <w:rsid w:val="00E046C9"/>
    <w:rsid w:val="00E04CE0"/>
    <w:rsid w:val="00E06430"/>
    <w:rsid w:val="00E21734"/>
    <w:rsid w:val="00E22463"/>
    <w:rsid w:val="00E23871"/>
    <w:rsid w:val="00E301B7"/>
    <w:rsid w:val="00E322E9"/>
    <w:rsid w:val="00E33A7D"/>
    <w:rsid w:val="00E400EA"/>
    <w:rsid w:val="00E46EE5"/>
    <w:rsid w:val="00E55799"/>
    <w:rsid w:val="00E56E60"/>
    <w:rsid w:val="00E57F5E"/>
    <w:rsid w:val="00E60FB0"/>
    <w:rsid w:val="00E614A1"/>
    <w:rsid w:val="00E619AC"/>
    <w:rsid w:val="00E6329E"/>
    <w:rsid w:val="00E65E35"/>
    <w:rsid w:val="00E66C82"/>
    <w:rsid w:val="00E700AD"/>
    <w:rsid w:val="00E70D29"/>
    <w:rsid w:val="00E730B4"/>
    <w:rsid w:val="00E74ABD"/>
    <w:rsid w:val="00E74FA6"/>
    <w:rsid w:val="00E769AB"/>
    <w:rsid w:val="00E80016"/>
    <w:rsid w:val="00E83023"/>
    <w:rsid w:val="00E833E4"/>
    <w:rsid w:val="00E86E86"/>
    <w:rsid w:val="00E901C3"/>
    <w:rsid w:val="00E92EED"/>
    <w:rsid w:val="00E937F6"/>
    <w:rsid w:val="00E93A0F"/>
    <w:rsid w:val="00E940EE"/>
    <w:rsid w:val="00EA3E66"/>
    <w:rsid w:val="00EA6227"/>
    <w:rsid w:val="00EB271E"/>
    <w:rsid w:val="00EC0B43"/>
    <w:rsid w:val="00ED0E15"/>
    <w:rsid w:val="00ED5E8C"/>
    <w:rsid w:val="00ED61CE"/>
    <w:rsid w:val="00EE0DCC"/>
    <w:rsid w:val="00EE22B1"/>
    <w:rsid w:val="00EE7170"/>
    <w:rsid w:val="00EF6D20"/>
    <w:rsid w:val="00EF7A41"/>
    <w:rsid w:val="00F00A98"/>
    <w:rsid w:val="00F0254E"/>
    <w:rsid w:val="00F051C9"/>
    <w:rsid w:val="00F11AA8"/>
    <w:rsid w:val="00F20E36"/>
    <w:rsid w:val="00F22481"/>
    <w:rsid w:val="00F24470"/>
    <w:rsid w:val="00F24787"/>
    <w:rsid w:val="00F27223"/>
    <w:rsid w:val="00F31C9B"/>
    <w:rsid w:val="00F3623C"/>
    <w:rsid w:val="00F37EE6"/>
    <w:rsid w:val="00F40015"/>
    <w:rsid w:val="00F41116"/>
    <w:rsid w:val="00F41E26"/>
    <w:rsid w:val="00F44D20"/>
    <w:rsid w:val="00F4518C"/>
    <w:rsid w:val="00F4529D"/>
    <w:rsid w:val="00F4744E"/>
    <w:rsid w:val="00F5195A"/>
    <w:rsid w:val="00F53F09"/>
    <w:rsid w:val="00F55431"/>
    <w:rsid w:val="00F55E6A"/>
    <w:rsid w:val="00F56B20"/>
    <w:rsid w:val="00F605D0"/>
    <w:rsid w:val="00F61EB2"/>
    <w:rsid w:val="00F6219B"/>
    <w:rsid w:val="00F6260C"/>
    <w:rsid w:val="00F6297F"/>
    <w:rsid w:val="00F6304F"/>
    <w:rsid w:val="00F64E0B"/>
    <w:rsid w:val="00F707AC"/>
    <w:rsid w:val="00F721CF"/>
    <w:rsid w:val="00F72D66"/>
    <w:rsid w:val="00F77F74"/>
    <w:rsid w:val="00F8164B"/>
    <w:rsid w:val="00F832CA"/>
    <w:rsid w:val="00F8538F"/>
    <w:rsid w:val="00F85BE8"/>
    <w:rsid w:val="00F91BA7"/>
    <w:rsid w:val="00F935EE"/>
    <w:rsid w:val="00F9697E"/>
    <w:rsid w:val="00F96F2C"/>
    <w:rsid w:val="00F9755C"/>
    <w:rsid w:val="00FA3A73"/>
    <w:rsid w:val="00FA3D8C"/>
    <w:rsid w:val="00FB0444"/>
    <w:rsid w:val="00FB06D5"/>
    <w:rsid w:val="00FB1DFC"/>
    <w:rsid w:val="00FB587F"/>
    <w:rsid w:val="00FB7DD2"/>
    <w:rsid w:val="00FC1433"/>
    <w:rsid w:val="00FC17BF"/>
    <w:rsid w:val="00FC3DD6"/>
    <w:rsid w:val="00FC5606"/>
    <w:rsid w:val="00FC62F9"/>
    <w:rsid w:val="00FD02CF"/>
    <w:rsid w:val="00FD35DD"/>
    <w:rsid w:val="00FD4F78"/>
    <w:rsid w:val="00FD5BE0"/>
    <w:rsid w:val="00FD7B18"/>
    <w:rsid w:val="00FE2809"/>
    <w:rsid w:val="00FE28BB"/>
    <w:rsid w:val="00FE3519"/>
    <w:rsid w:val="00FE6D3A"/>
    <w:rsid w:val="00FF2791"/>
    <w:rsid w:val="00FF42E2"/>
    <w:rsid w:val="00FF4502"/>
    <w:rsid w:val="00FF4C58"/>
    <w:rsid w:val="00FF61D3"/>
    <w:rsid w:val="00FF6C7B"/>
    <w:rsid w:val="00FF79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43247"/>
  <w15:docId w15:val="{7427BD07-46CA-4ADE-AE65-941A0D22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11A0"/>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rsid w:val="00B91FC4"/>
    <w:rPr>
      <w:color w:val="0563C1" w:themeColor="hyperlink"/>
      <w:u w:val="single"/>
    </w:rPr>
  </w:style>
  <w:style w:type="table" w:customStyle="1" w:styleId="TableGrid1">
    <w:name w:val="Table Grid1"/>
    <w:basedOn w:val="TableNormal"/>
    <w:next w:val="TableGrid"/>
    <w:rsid w:val="00D17977"/>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7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05948"/>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05948"/>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F41E26"/>
    <w:rPr>
      <w:color w:val="605E5C"/>
      <w:shd w:val="clear" w:color="auto" w:fill="E1DFDD"/>
    </w:rPr>
  </w:style>
  <w:style w:type="character" w:styleId="Emphasis">
    <w:name w:val="Emphasis"/>
    <w:basedOn w:val="DefaultParagraphFont"/>
    <w:qFormat/>
    <w:rsid w:val="00CC5477"/>
    <w:rPr>
      <w:i/>
      <w:iCs/>
    </w:rPr>
  </w:style>
  <w:style w:type="paragraph" w:styleId="EndnoteText">
    <w:name w:val="endnote text"/>
    <w:basedOn w:val="Normal"/>
    <w:link w:val="EndnoteTextChar"/>
    <w:rsid w:val="00C442E2"/>
    <w:rPr>
      <w:sz w:val="20"/>
      <w:szCs w:val="20"/>
    </w:rPr>
  </w:style>
  <w:style w:type="character" w:customStyle="1" w:styleId="EndnoteTextChar">
    <w:name w:val="Endnote Text Char"/>
    <w:basedOn w:val="DefaultParagraphFont"/>
    <w:link w:val="EndnoteText"/>
    <w:rsid w:val="00C442E2"/>
    <w:rPr>
      <w:rFonts w:ascii="Courier 12cpi" w:hAnsi="Courier 12cpi"/>
    </w:rPr>
  </w:style>
  <w:style w:type="character" w:styleId="EndnoteReference">
    <w:name w:val="endnote reference"/>
    <w:basedOn w:val="DefaultParagraphFont"/>
    <w:rsid w:val="00C442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iif/nonfatal-injuries-and-illnesses-tables/soii-case-and-demographic-characteristics-historical-data/days-of-job-transfer-or-restriction.htm" TargetMode="External" /><Relationship Id="rId7" Type="http://schemas.openxmlformats.org/officeDocument/2006/relationships/hyperlink" Target="https://www.bls.gov/news.release/archives/ecec_12152023.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nap.edu/catalog/24835/a-smarter-national-surveillance-system-for-occupational-safety-and-health-in-the-21st-century" TargetMode="External" /><Relationship Id="rId2" Type="http://schemas.openxmlformats.org/officeDocument/2006/relationships/hyperlink" Target="https://www.osha.gov/recordkeeping/presentations/covered" TargetMode="External" /><Relationship Id="rId3" Type="http://schemas.openxmlformats.org/officeDocument/2006/relationships/hyperlink" Target="https://www.govinfo.gov/content/pkg/FR-2023-07-21/pdf/2023-1509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35703-FF03-450B-8E36-AD40E6F4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9240</Words>
  <Characters>52670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61787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Kincaid, Nora</cp:lastModifiedBy>
  <cp:revision>2</cp:revision>
  <cp:lastPrinted>2020-02-19T15:46:00Z</cp:lastPrinted>
  <dcterms:created xsi:type="dcterms:W3CDTF">2024-10-09T11:00:00Z</dcterms:created>
  <dcterms:modified xsi:type="dcterms:W3CDTF">2024-10-09T11:00:00Z</dcterms:modified>
</cp:coreProperties>
</file>