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0A62" w:rsidRPr="0067662C" w:rsidP="00180A62" w14:paraId="39759548" w14:textId="579345E4">
      <w:r>
        <w:t>February 3, 2025</w:t>
      </w:r>
    </w:p>
    <w:p w:rsidR="00180A62" w:rsidRPr="0067662C" w:rsidP="00180A62" w14:paraId="6EECBE2D" w14:textId="77777777"/>
    <w:p w:rsidR="00180A62" w:rsidRPr="0067662C" w:rsidP="00180A62" w14:paraId="0B48A815" w14:textId="77777777">
      <w:pPr>
        <w:tabs>
          <w:tab w:val="left" w:pos="3600"/>
        </w:tabs>
      </w:pPr>
      <w:r w:rsidRPr="0067662C">
        <w:t>MEMORANDUM FOR:</w:t>
      </w:r>
      <w:r w:rsidRPr="0067662C">
        <w:tab/>
        <w:t>Reviewer of 1220-0050</w:t>
      </w:r>
    </w:p>
    <w:p w:rsidR="00180A62" w:rsidRPr="0067662C" w:rsidP="00180A62" w14:paraId="7D64D81C" w14:textId="77777777">
      <w:pPr>
        <w:tabs>
          <w:tab w:val="left" w:pos="3600"/>
        </w:tabs>
      </w:pPr>
    </w:p>
    <w:p w:rsidR="00180A62" w:rsidRPr="0067662C" w:rsidP="00180A62" w14:paraId="20C3AA00" w14:textId="77777777">
      <w:pPr>
        <w:tabs>
          <w:tab w:val="left" w:pos="3600"/>
        </w:tabs>
        <w:outlineLvl w:val="0"/>
      </w:pPr>
      <w:r w:rsidRPr="0067662C">
        <w:t>FROM:</w:t>
      </w:r>
      <w:r w:rsidRPr="0067662C">
        <w:tab/>
      </w:r>
      <w:r>
        <w:t>ADAM SAFIR</w:t>
      </w:r>
      <w:r w:rsidRPr="0067662C">
        <w:t>, Chief</w:t>
      </w:r>
    </w:p>
    <w:p w:rsidR="00180A62" w:rsidRPr="0067662C" w:rsidP="00180A62" w14:paraId="0D5D9759" w14:textId="77777777">
      <w:pPr>
        <w:tabs>
          <w:tab w:val="left" w:pos="3600"/>
        </w:tabs>
        <w:ind w:firstLine="720"/>
        <w:outlineLvl w:val="0"/>
      </w:pPr>
      <w:r w:rsidRPr="0067662C">
        <w:tab/>
        <w:t>Division of Consumer Expenditure (CE) Surveys</w:t>
      </w:r>
    </w:p>
    <w:p w:rsidR="00180A62" w:rsidRPr="0067662C" w:rsidP="00180A62" w14:paraId="5A83E089" w14:textId="77777777">
      <w:pPr>
        <w:tabs>
          <w:tab w:val="left" w:pos="3600"/>
        </w:tabs>
        <w:ind w:firstLine="720"/>
        <w:outlineLvl w:val="0"/>
      </w:pPr>
      <w:r w:rsidRPr="0067662C">
        <w:tab/>
        <w:t>Bureau of Labor Statistics</w:t>
      </w:r>
    </w:p>
    <w:p w:rsidR="00180A62" w:rsidRPr="0067662C" w:rsidP="00180A62" w14:paraId="1049D23F" w14:textId="77777777">
      <w:pPr>
        <w:ind w:left="3600" w:hanging="3600"/>
        <w:rPr>
          <w:szCs w:val="22"/>
        </w:rPr>
      </w:pPr>
      <w:r w:rsidRPr="0067662C">
        <w:rPr>
          <w:szCs w:val="22"/>
        </w:rPr>
        <w:tab/>
      </w:r>
    </w:p>
    <w:p w:rsidR="00180A62" w:rsidRPr="0067662C" w:rsidP="00180A62" w14:paraId="7B1372A1" w14:textId="77777777">
      <w:pPr>
        <w:ind w:left="3600" w:hanging="3600"/>
      </w:pPr>
      <w:r w:rsidRPr="0067662C">
        <w:rPr>
          <w:szCs w:val="22"/>
        </w:rPr>
        <w:t>SUBJECT:</w:t>
      </w:r>
      <w:r w:rsidRPr="0067662C">
        <w:rPr>
          <w:szCs w:val="22"/>
        </w:rPr>
        <w:tab/>
      </w:r>
      <w:r w:rsidRPr="0067662C">
        <w:t xml:space="preserve">Non-substantive Change Request for the </w:t>
      </w:r>
    </w:p>
    <w:p w:rsidR="00180A62" w:rsidRPr="0067662C" w:rsidP="00180A62" w14:paraId="34219016" w14:textId="2A6BF62F">
      <w:pPr>
        <w:ind w:left="3600"/>
      </w:pPr>
      <w:r>
        <w:t>Consumer Expenditure</w:t>
      </w:r>
      <w:r w:rsidRPr="0067662C">
        <w:t xml:space="preserve"> Survey</w:t>
      </w:r>
      <w:r>
        <w:t>s</w:t>
      </w:r>
      <w:r w:rsidRPr="0067662C">
        <w:t xml:space="preserve"> (CE</w:t>
      </w:r>
      <w:r>
        <w:t>X</w:t>
      </w:r>
      <w:r w:rsidRPr="0067662C">
        <w:t xml:space="preserve">) </w:t>
      </w:r>
      <w:r>
        <w:t xml:space="preserve">  </w:t>
      </w:r>
    </w:p>
    <w:p w:rsidR="00180A62" w:rsidRPr="0067662C" w:rsidP="00180A62" w14:paraId="06A170BD" w14:textId="77777777"/>
    <w:p w:rsidR="00180A62" w:rsidP="00180A62" w14:paraId="7FC21E92" w14:textId="17408639">
      <w:pPr>
        <w:pStyle w:val="NormalWeb"/>
        <w:shd w:val="clear" w:color="auto" w:fill="FFFFFF"/>
      </w:pPr>
      <w:r>
        <w:t xml:space="preserve">To conform to OMB policies and the January 20, </w:t>
      </w:r>
      <w:r w:rsidR="00024E85">
        <w:t>2025,</w:t>
      </w:r>
      <w:r>
        <w:t xml:space="preserve"> executive order</w:t>
      </w:r>
      <w:r w:rsidR="00E02E95">
        <w:t xml:space="preserve"> 14168</w:t>
      </w:r>
      <w:r>
        <w:t xml:space="preserve"> </w:t>
      </w:r>
      <w:r w:rsidR="002E55F7">
        <w:t>“</w:t>
      </w:r>
      <w:r>
        <w:t>Defending Women from Gender Ideology Extremism and Restoring Biological Truth to the Federal Government</w:t>
      </w:r>
      <w:r w:rsidR="00024E85">
        <w:t>,”</w:t>
      </w:r>
      <w:r>
        <w:t xml:space="preserve"> CE will </w:t>
      </w:r>
      <w:r w:rsidR="00E929A0">
        <w:t xml:space="preserve">replace the word </w:t>
      </w:r>
      <w:r w:rsidR="002E55F7">
        <w:t xml:space="preserve">“gender” </w:t>
      </w:r>
      <w:r w:rsidR="00E929A0">
        <w:t xml:space="preserve">with the word </w:t>
      </w:r>
      <w:r w:rsidR="002E55F7">
        <w:t>“</w:t>
      </w:r>
      <w:r w:rsidR="00024E85">
        <w:t xml:space="preserve">sex” </w:t>
      </w:r>
      <w:r w:rsidR="00E929A0">
        <w:t>in the following survey material</w:t>
      </w:r>
      <w:r w:rsidR="00024E85">
        <w:t>s</w:t>
      </w:r>
      <w:r w:rsidR="00E70E9A">
        <w:t xml:space="preserve"> (See Attachment A for specific questions)</w:t>
      </w:r>
      <w:r w:rsidR="00E929A0">
        <w:t>:</w:t>
      </w:r>
    </w:p>
    <w:p w:rsidR="00E70E9A" w:rsidP="00180A62" w14:paraId="4873D06B" w14:textId="77777777">
      <w:pPr>
        <w:pStyle w:val="NormalWeb"/>
        <w:shd w:val="clear" w:color="auto" w:fill="FFFFFF"/>
      </w:pPr>
    </w:p>
    <w:p w:rsidR="00307AA1" w:rsidRPr="00307AA1" w:rsidP="00FE275F" w14:paraId="73409C29" w14:textId="231C8AA7">
      <w:pPr>
        <w:pStyle w:val="NormalWeb"/>
        <w:numPr>
          <w:ilvl w:val="0"/>
          <w:numId w:val="1"/>
        </w:numPr>
        <w:spacing w:after="240"/>
      </w:pPr>
      <w:r>
        <w:t xml:space="preserve">In </w:t>
      </w:r>
      <w:r w:rsidR="00E929A0">
        <w:t xml:space="preserve">the </w:t>
      </w:r>
      <w:r w:rsidRPr="00307AA1">
        <w:t>CEQ CAPI</w:t>
      </w:r>
      <w:r w:rsidR="00E929A0">
        <w:t xml:space="preserve">, </w:t>
      </w:r>
      <w:r w:rsidR="002E55F7">
        <w:t>“</w:t>
      </w:r>
      <w:r w:rsidRPr="00307AA1">
        <w:t>Gender needed for ^</w:t>
      </w:r>
      <w:r w:rsidRPr="00307AA1">
        <w:t>N</w:t>
      </w:r>
      <w:r>
        <w:t xml:space="preserve">ame” </w:t>
      </w:r>
      <w:r w:rsidR="00E929A0">
        <w:t xml:space="preserve">will be replaced </w:t>
      </w:r>
      <w:r w:rsidR="00E929A0">
        <w:t xml:space="preserve">with </w:t>
      </w:r>
      <w:r>
        <w:t>”</w:t>
      </w:r>
      <w:r w:rsidR="00E929A0">
        <w:t>Sex</w:t>
      </w:r>
      <w:r w:rsidR="00E929A0">
        <w:t xml:space="preserve"> needed for ^</w:t>
      </w:r>
      <w:r>
        <w:t>Name”</w:t>
      </w:r>
      <w:r w:rsidR="002E55F7">
        <w:t xml:space="preserve"> on April 1, 2026.</w:t>
      </w:r>
    </w:p>
    <w:p w:rsidR="00307AA1" w:rsidRPr="00307AA1" w:rsidP="00FE275F" w14:paraId="5A55E143" w14:textId="1FD10280">
      <w:pPr>
        <w:pStyle w:val="NormalWeb"/>
        <w:numPr>
          <w:ilvl w:val="0"/>
          <w:numId w:val="1"/>
        </w:numPr>
        <w:spacing w:after="240"/>
      </w:pPr>
      <w:r>
        <w:t xml:space="preserve">In </w:t>
      </w:r>
      <w:r w:rsidR="00E929A0">
        <w:t xml:space="preserve">the </w:t>
      </w:r>
      <w:r w:rsidRPr="00307AA1">
        <w:t>CED CAPI</w:t>
      </w:r>
      <w:r w:rsidR="00E929A0">
        <w:t xml:space="preserve">, </w:t>
      </w:r>
      <w:r w:rsidR="002E55F7">
        <w:t>“</w:t>
      </w:r>
      <w:r w:rsidRPr="00307AA1">
        <w:t>What is the gender and age range for whom this was purchased?</w:t>
      </w:r>
      <w:r w:rsidR="002E55F7">
        <w:t>”</w:t>
      </w:r>
      <w:r>
        <w:t xml:space="preserve"> </w:t>
      </w:r>
      <w:r w:rsidR="00DC4EE1">
        <w:t xml:space="preserve">will be replaced with </w:t>
      </w:r>
      <w:r w:rsidR="002E55F7">
        <w:t>“</w:t>
      </w:r>
      <w:r w:rsidRPr="00307AA1" w:rsidR="00DC4EE1">
        <w:t xml:space="preserve">What is the </w:t>
      </w:r>
      <w:r w:rsidR="00DC4EE1">
        <w:t>sex</w:t>
      </w:r>
      <w:r w:rsidRPr="00307AA1" w:rsidR="00DC4EE1">
        <w:t xml:space="preserve"> and age range for whom this was purchased?</w:t>
      </w:r>
      <w:r>
        <w:t>”</w:t>
      </w:r>
      <w:r w:rsidR="002E55F7">
        <w:t xml:space="preserve"> on April 1, 2026.</w:t>
      </w:r>
    </w:p>
    <w:p w:rsidR="00307AA1" w:rsidP="00FE275F" w14:paraId="0F3F6B6D" w14:textId="38C278B3">
      <w:pPr>
        <w:pStyle w:val="NormalWeb"/>
        <w:numPr>
          <w:ilvl w:val="0"/>
          <w:numId w:val="1"/>
        </w:numPr>
        <w:spacing w:after="240"/>
      </w:pPr>
      <w:r>
        <w:t xml:space="preserve">In </w:t>
      </w:r>
      <w:r w:rsidR="00DC4EE1">
        <w:t xml:space="preserve">the </w:t>
      </w:r>
      <w:r w:rsidRPr="00307AA1">
        <w:t>CED Online Diary User Guide</w:t>
      </w:r>
      <w:r w:rsidR="00DC4EE1">
        <w:t>,</w:t>
      </w:r>
      <w:r w:rsidRPr="00307AA1">
        <w:t> </w:t>
      </w:r>
      <w:r w:rsidR="002E55F7">
        <w:t>“</w:t>
      </w:r>
      <w:r w:rsidRPr="00307AA1">
        <w:t>Select the gender and age</w:t>
      </w:r>
      <w:r w:rsidR="002E55F7">
        <w:t>”</w:t>
      </w:r>
      <w:r w:rsidRPr="00307AA1" w:rsidR="002E55F7">
        <w:t xml:space="preserve"> </w:t>
      </w:r>
      <w:r w:rsidR="00DC4EE1">
        <w:t xml:space="preserve">will be </w:t>
      </w:r>
      <w:r w:rsidRPr="00307AA1">
        <w:t>replace</w:t>
      </w:r>
      <w:r w:rsidR="00DC4EE1">
        <w:t xml:space="preserve">d with </w:t>
      </w:r>
      <w:r w:rsidR="002E55F7">
        <w:t>“</w:t>
      </w:r>
      <w:r w:rsidR="00DC4EE1">
        <w:t>Select the sex and age.</w:t>
      </w:r>
      <w:r>
        <w:t>”</w:t>
      </w:r>
      <w:r w:rsidR="002E55F7">
        <w:t xml:space="preserve"> New guides will be printed and available for use by June 2026.</w:t>
      </w:r>
    </w:p>
    <w:p w:rsidR="00024E85" w:rsidP="00FE275F" w14:paraId="3BA025A4" w14:textId="7B2F4F5C">
      <w:pPr>
        <w:pStyle w:val="NormalWeb"/>
        <w:numPr>
          <w:ilvl w:val="0"/>
          <w:numId w:val="1"/>
        </w:numPr>
        <w:spacing w:after="240"/>
      </w:pPr>
      <w:r>
        <w:t xml:space="preserve">In the CED Online Diary, </w:t>
      </w:r>
      <w:r w:rsidR="002E55F7">
        <w:t>“Select the age range and gender” has been replaced with “Select the age range and sex” as of January 31, 2026.</w:t>
      </w:r>
    </w:p>
    <w:p w:rsidR="002E55F7" w:rsidRPr="00307AA1" w:rsidP="00FE275F" w14:paraId="2AB81796" w14:textId="52BEAF89">
      <w:pPr>
        <w:pStyle w:val="NormalWeb"/>
        <w:numPr>
          <w:ilvl w:val="0"/>
          <w:numId w:val="1"/>
        </w:numPr>
        <w:spacing w:after="240"/>
      </w:pPr>
      <w:r>
        <w:t>In the YouTube tutorial entitled, “What to Enter in the CE Diary,” “Gender and age of the person the item was bought for” will be replaced</w:t>
      </w:r>
      <w:r w:rsidR="005F1A84">
        <w:t xml:space="preserve"> with “Sex and age of the person the item was bought for.” The video has been taken down temporarily until an update is available.</w:t>
      </w:r>
    </w:p>
    <w:p w:rsidR="00180A62" w:rsidP="00180A62" w14:paraId="46C6DFBF" w14:textId="6458879F">
      <w:r>
        <w:t>T</w:t>
      </w:r>
      <w:r w:rsidR="002A22CC">
        <w:t>hese changes</w:t>
      </w:r>
      <w:r>
        <w:t xml:space="preserve"> will not result in any </w:t>
      </w:r>
      <w:r>
        <w:t>increase</w:t>
      </w:r>
      <w:r>
        <w:t xml:space="preserve"> to respondent burden.</w:t>
      </w:r>
    </w:p>
    <w:p w:rsidR="00180A62" w:rsidRPr="00673A2C" w:rsidP="00180A62" w14:paraId="56827BA0" w14:textId="77777777">
      <w:pPr>
        <w:tabs>
          <w:tab w:val="left" w:pos="1530"/>
        </w:tabs>
        <w:autoSpaceDE w:val="0"/>
        <w:autoSpaceDN w:val="0"/>
        <w:adjustRightInd w:val="0"/>
      </w:pPr>
    </w:p>
    <w:p w:rsidR="00180A62" w:rsidP="00180A62" w14:paraId="66CD8FC6" w14:textId="6D28AB8B">
      <w:r>
        <w:t xml:space="preserve">Current OMB approval of the CE surveys is scheduled to expire </w:t>
      </w:r>
      <w:r w:rsidR="00E20676">
        <w:t>November 30, 2027.</w:t>
      </w:r>
    </w:p>
    <w:p w:rsidR="00180A62" w:rsidP="00180A62" w14:paraId="77119949" w14:textId="77777777"/>
    <w:p w:rsidR="00180A62" w:rsidP="00180A62" w14:paraId="7932771C" w14:textId="34311AEC">
      <w:pPr>
        <w:autoSpaceDE w:val="0"/>
        <w:autoSpaceDN w:val="0"/>
        <w:adjustRightInd w:val="0"/>
      </w:pPr>
      <w:r>
        <w:t>If you have any questions about this request, please contact Adam Safir</w:t>
      </w:r>
      <w:r w:rsidRPr="00C12B76">
        <w:t xml:space="preserve"> at 202-691-</w:t>
      </w:r>
      <w:r>
        <w:t>5175</w:t>
      </w:r>
      <w:r w:rsidRPr="00C12B76">
        <w:t xml:space="preserve"> or e-mail at </w:t>
      </w:r>
      <w:hyperlink r:id="rId4" w:history="1">
        <w:r w:rsidRPr="00BA6F1A">
          <w:rPr>
            <w:rStyle w:val="Hyperlink"/>
            <w:rFonts w:eastAsiaTheme="majorEastAsia"/>
          </w:rPr>
          <w:t>Safir.Adam@bls.gov</w:t>
        </w:r>
      </w:hyperlink>
      <w:r>
        <w:t xml:space="preserve"> or Peggy M</w:t>
      </w:r>
      <w:r w:rsidR="002A22CC">
        <w:t>urphy</w:t>
      </w:r>
      <w:r>
        <w:t xml:space="preserve"> at 202-691-6186 or e-mail at </w:t>
      </w:r>
      <w:hyperlink r:id="rId5" w:history="1">
        <w:r>
          <w:rPr>
            <w:rStyle w:val="Hyperlink"/>
            <w:rFonts w:eastAsiaTheme="majorEastAsia"/>
          </w:rPr>
          <w:t>Murphy</w:t>
        </w:r>
        <w:r w:rsidRPr="00D4710A">
          <w:rPr>
            <w:rStyle w:val="Hyperlink"/>
            <w:rFonts w:eastAsiaTheme="majorEastAsia"/>
          </w:rPr>
          <w:t>.Peggy@bls.gov</w:t>
        </w:r>
      </w:hyperlink>
      <w:r>
        <w:t>.</w:t>
      </w:r>
    </w:p>
    <w:p w:rsidR="00C84047" w:rsidP="00180A62" w14:paraId="7B57696A" w14:textId="77777777">
      <w:pPr>
        <w:autoSpaceDE w:val="0"/>
        <w:autoSpaceDN w:val="0"/>
        <w:adjustRightInd w:val="0"/>
      </w:pPr>
    </w:p>
    <w:p w:rsidR="00C84047" w14:paraId="2E75C33A" w14:textId="5C3663BA"/>
    <w:p w:rsidR="00C84047" w14:paraId="5C7EBBB2" w14:textId="469CD1C7">
      <w:r>
        <w:t>Attachment A – Changes to Survey Materials</w:t>
      </w:r>
    </w:p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0"/>
        <w:gridCol w:w="1710"/>
        <w:gridCol w:w="2250"/>
        <w:gridCol w:w="3600"/>
        <w:gridCol w:w="3600"/>
      </w:tblGrid>
      <w:tr w14:paraId="291F08B7" w14:textId="77777777" w:rsidTr="003119F2">
        <w:tblPrEx>
          <w:tblW w:w="1296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blHeader/>
        </w:trPr>
        <w:tc>
          <w:tcPr>
            <w:tcW w:w="1800" w:type="dxa"/>
          </w:tcPr>
          <w:p w:rsidR="00C84047" w:rsidRPr="00DA0897" w:rsidP="00C84047" w14:paraId="506B6784" w14:textId="77777777">
            <w:pPr>
              <w:rPr>
                <w:b/>
                <w:bCs/>
                <w:i/>
                <w:iCs/>
              </w:rPr>
            </w:pPr>
            <w:r w:rsidRPr="00DA0897">
              <w:rPr>
                <w:b/>
                <w:bCs/>
                <w:i/>
                <w:iCs/>
              </w:rPr>
              <w:t>CE Material</w:t>
            </w:r>
          </w:p>
        </w:tc>
        <w:tc>
          <w:tcPr>
            <w:tcW w:w="1710" w:type="dxa"/>
          </w:tcPr>
          <w:p w:rsidR="00C84047" w:rsidRPr="00DA0897" w:rsidP="00C84047" w14:paraId="436F1D80" w14:textId="77777777">
            <w:pPr>
              <w:rPr>
                <w:b/>
                <w:bCs/>
                <w:i/>
                <w:iCs/>
              </w:rPr>
            </w:pPr>
            <w:r w:rsidRPr="00DA0897">
              <w:rPr>
                <w:b/>
                <w:bCs/>
                <w:i/>
                <w:iCs/>
              </w:rPr>
              <w:t>Variable/ Location</w:t>
            </w:r>
          </w:p>
        </w:tc>
        <w:tc>
          <w:tcPr>
            <w:tcW w:w="2250" w:type="dxa"/>
            <w:noWrap/>
            <w:hideMark/>
          </w:tcPr>
          <w:p w:rsidR="00C84047" w:rsidRPr="00DA0897" w:rsidP="00C84047" w14:paraId="18CB9C95" w14:textId="77777777">
            <w:pPr>
              <w:rPr>
                <w:b/>
                <w:bCs/>
                <w:i/>
                <w:iCs/>
              </w:rPr>
            </w:pPr>
            <w:r w:rsidRPr="00DA0897">
              <w:rPr>
                <w:b/>
                <w:bCs/>
                <w:i/>
                <w:iCs/>
              </w:rPr>
              <w:t>Change Detail</w:t>
            </w:r>
          </w:p>
        </w:tc>
        <w:tc>
          <w:tcPr>
            <w:tcW w:w="3600" w:type="dxa"/>
          </w:tcPr>
          <w:p w:rsidR="00C84047" w:rsidRPr="00DA0897" w:rsidP="00C84047" w14:paraId="5642B4E1" w14:textId="77777777">
            <w:pPr>
              <w:rPr>
                <w:b/>
                <w:bCs/>
                <w:i/>
                <w:iCs/>
              </w:rPr>
            </w:pPr>
            <w:r w:rsidRPr="00DA0897">
              <w:rPr>
                <w:b/>
                <w:bCs/>
                <w:i/>
                <w:iCs/>
              </w:rPr>
              <w:t>Current Wording/Specification (items to be changed noted in red)</w:t>
            </w:r>
          </w:p>
        </w:tc>
        <w:tc>
          <w:tcPr>
            <w:tcW w:w="3600" w:type="dxa"/>
            <w:noWrap/>
            <w:hideMark/>
          </w:tcPr>
          <w:p w:rsidR="00C84047" w:rsidRPr="00DA0897" w:rsidP="00C84047" w14:paraId="5821F0C8" w14:textId="77777777">
            <w:pPr>
              <w:rPr>
                <w:b/>
                <w:bCs/>
                <w:i/>
                <w:iCs/>
              </w:rPr>
            </w:pPr>
            <w:r w:rsidRPr="00DA0897">
              <w:rPr>
                <w:b/>
                <w:bCs/>
                <w:i/>
                <w:iCs/>
              </w:rPr>
              <w:t>Replacement Wording/Specification (changes marked in red)</w:t>
            </w:r>
          </w:p>
        </w:tc>
      </w:tr>
      <w:tr w14:paraId="499C8335" w14:textId="77777777" w:rsidTr="003119F2">
        <w:tblPrEx>
          <w:tblW w:w="12960" w:type="dxa"/>
          <w:tblInd w:w="-5" w:type="dxa"/>
          <w:tblLayout w:type="fixed"/>
          <w:tblLook w:val="04A0"/>
        </w:tblPrEx>
        <w:trPr>
          <w:tblHeader/>
        </w:trPr>
        <w:tc>
          <w:tcPr>
            <w:tcW w:w="1800" w:type="dxa"/>
          </w:tcPr>
          <w:p w:rsidR="00C84047" w:rsidRPr="00C84047" w:rsidP="00C84047" w14:paraId="269E2914" w14:textId="77777777">
            <w:r w:rsidRPr="00C84047">
              <w:t>CEQ CAPI</w:t>
            </w:r>
          </w:p>
        </w:tc>
        <w:tc>
          <w:tcPr>
            <w:tcW w:w="1710" w:type="dxa"/>
          </w:tcPr>
          <w:p w:rsidR="00C84047" w:rsidRPr="00C84047" w:rsidP="00C84047" w14:paraId="1C9A9A84" w14:textId="77777777">
            <w:r w:rsidRPr="00C84047">
              <w:t>CK_SEX</w:t>
            </w:r>
          </w:p>
        </w:tc>
        <w:tc>
          <w:tcPr>
            <w:tcW w:w="2250" w:type="dxa"/>
            <w:noWrap/>
          </w:tcPr>
          <w:p w:rsidR="00C84047" w:rsidRPr="00C84047" w:rsidP="00C84047" w14:paraId="722680E8" w14:textId="77777777">
            <w:r w:rsidRPr="00C84047">
              <w:t xml:space="preserve">Replace the word “gender” with “sex” </w:t>
            </w:r>
          </w:p>
        </w:tc>
        <w:tc>
          <w:tcPr>
            <w:tcW w:w="3600" w:type="dxa"/>
          </w:tcPr>
          <w:p w:rsidR="00C84047" w:rsidRPr="00C84047" w:rsidP="00C84047" w14:paraId="4A2C4502" w14:textId="77777777">
            <w:r w:rsidRPr="00C84047">
              <w:rPr>
                <w:b/>
                <w:bCs/>
              </w:rPr>
              <w:t>Gender</w:t>
            </w:r>
            <w:r w:rsidRPr="00C84047">
              <w:t xml:space="preserve"> needed for ^Name</w:t>
            </w:r>
          </w:p>
        </w:tc>
        <w:tc>
          <w:tcPr>
            <w:tcW w:w="3600" w:type="dxa"/>
            <w:noWrap/>
          </w:tcPr>
          <w:p w:rsidR="00C84047" w:rsidRPr="00C84047" w:rsidP="00C84047" w14:paraId="1F6039F7" w14:textId="77777777">
            <w:pPr>
              <w:rPr>
                <w:iCs/>
              </w:rPr>
            </w:pPr>
            <w:r w:rsidRPr="00C84047">
              <w:rPr>
                <w:b/>
                <w:bCs/>
                <w:iCs/>
              </w:rPr>
              <w:t>Sex</w:t>
            </w:r>
            <w:r w:rsidRPr="00C84047">
              <w:rPr>
                <w:iCs/>
              </w:rPr>
              <w:t xml:space="preserve"> needed for ^Name</w:t>
            </w:r>
          </w:p>
        </w:tc>
      </w:tr>
      <w:tr w14:paraId="017018D8" w14:textId="77777777" w:rsidTr="003119F2">
        <w:tblPrEx>
          <w:tblW w:w="12960" w:type="dxa"/>
          <w:tblInd w:w="-5" w:type="dxa"/>
          <w:tblLayout w:type="fixed"/>
          <w:tblLook w:val="04A0"/>
        </w:tblPrEx>
        <w:trPr>
          <w:tblHeader/>
        </w:trPr>
        <w:tc>
          <w:tcPr>
            <w:tcW w:w="1800" w:type="dxa"/>
          </w:tcPr>
          <w:p w:rsidR="00C84047" w:rsidRPr="00C84047" w:rsidP="00C84047" w14:paraId="1462773A" w14:textId="77777777">
            <w:r w:rsidRPr="00C84047">
              <w:t>CED CAPI</w:t>
            </w:r>
          </w:p>
        </w:tc>
        <w:tc>
          <w:tcPr>
            <w:tcW w:w="1710" w:type="dxa"/>
          </w:tcPr>
          <w:p w:rsidR="00C84047" w:rsidRPr="00C84047" w:rsidP="00C84047" w14:paraId="20849FEC" w14:textId="77777777">
            <w:r w:rsidRPr="00C84047">
              <w:t>AGE_SEX</w:t>
            </w:r>
          </w:p>
        </w:tc>
        <w:tc>
          <w:tcPr>
            <w:tcW w:w="2250" w:type="dxa"/>
            <w:noWrap/>
          </w:tcPr>
          <w:p w:rsidR="00C84047" w:rsidRPr="00C84047" w:rsidP="00C84047" w14:paraId="1AF7EEE3" w14:textId="77777777">
            <w:r w:rsidRPr="00C84047">
              <w:t>Replace the word “gender” with “sex”</w:t>
            </w:r>
          </w:p>
        </w:tc>
        <w:tc>
          <w:tcPr>
            <w:tcW w:w="3600" w:type="dxa"/>
          </w:tcPr>
          <w:p w:rsidR="00C84047" w:rsidRPr="00C84047" w:rsidP="00C84047" w14:paraId="34943F40" w14:textId="77777777">
            <w:r w:rsidRPr="00C84047">
              <w:t xml:space="preserve">What is the </w:t>
            </w:r>
            <w:r w:rsidRPr="00C84047">
              <w:rPr>
                <w:b/>
                <w:bCs/>
              </w:rPr>
              <w:t>gender</w:t>
            </w:r>
            <w:r w:rsidRPr="00C84047">
              <w:t xml:space="preserve"> and age range for whom this was purchased?</w:t>
            </w:r>
          </w:p>
        </w:tc>
        <w:tc>
          <w:tcPr>
            <w:tcW w:w="3600" w:type="dxa"/>
            <w:noWrap/>
          </w:tcPr>
          <w:p w:rsidR="00C84047" w:rsidRPr="00C84047" w:rsidP="00C84047" w14:paraId="364B4A59" w14:textId="77777777">
            <w:pPr>
              <w:rPr>
                <w:iCs/>
              </w:rPr>
            </w:pPr>
            <w:r w:rsidRPr="00C84047">
              <w:rPr>
                <w:iCs/>
              </w:rPr>
              <w:t xml:space="preserve">What is the </w:t>
            </w:r>
            <w:r w:rsidRPr="00C84047">
              <w:rPr>
                <w:b/>
                <w:bCs/>
                <w:iCs/>
              </w:rPr>
              <w:t>sex</w:t>
            </w:r>
            <w:r w:rsidRPr="00C84047">
              <w:rPr>
                <w:iCs/>
              </w:rPr>
              <w:t xml:space="preserve"> and age range for whom this was purchased?</w:t>
            </w:r>
          </w:p>
        </w:tc>
      </w:tr>
      <w:tr w14:paraId="7EC41F17" w14:textId="77777777" w:rsidTr="003119F2">
        <w:tblPrEx>
          <w:tblW w:w="12960" w:type="dxa"/>
          <w:tblInd w:w="-5" w:type="dxa"/>
          <w:tblLayout w:type="fixed"/>
          <w:tblLook w:val="04A0"/>
        </w:tblPrEx>
        <w:trPr>
          <w:tblHeader/>
        </w:trPr>
        <w:tc>
          <w:tcPr>
            <w:tcW w:w="1800" w:type="dxa"/>
          </w:tcPr>
          <w:p w:rsidR="00C84047" w:rsidRPr="00C84047" w:rsidP="00C84047" w14:paraId="4475C825" w14:textId="77777777">
            <w:r w:rsidRPr="00C84047">
              <w:t>CED Online Diary</w:t>
            </w:r>
          </w:p>
        </w:tc>
        <w:tc>
          <w:tcPr>
            <w:tcW w:w="1710" w:type="dxa"/>
          </w:tcPr>
          <w:p w:rsidR="00C84047" w:rsidRPr="00C84047" w:rsidP="00C84047" w14:paraId="758C1DB0" w14:textId="77777777">
            <w:r w:rsidRPr="00C84047">
              <w:t>Definitions screen in Help Menu</w:t>
            </w:r>
          </w:p>
        </w:tc>
        <w:tc>
          <w:tcPr>
            <w:tcW w:w="2250" w:type="dxa"/>
            <w:noWrap/>
          </w:tcPr>
          <w:p w:rsidR="00C84047" w:rsidRPr="00C84047" w:rsidP="00C84047" w14:paraId="1B5BE3F9" w14:textId="77777777">
            <w:r w:rsidRPr="00C84047">
              <w:t>Replace the word “gender” with “sex”</w:t>
            </w:r>
          </w:p>
        </w:tc>
        <w:tc>
          <w:tcPr>
            <w:tcW w:w="3600" w:type="dxa"/>
          </w:tcPr>
          <w:p w:rsidR="00C84047" w:rsidRPr="00C84047" w:rsidP="00C84047" w14:paraId="2F4584D3" w14:textId="77777777">
            <w:pPr>
              <w:rPr>
                <w:bCs/>
              </w:rPr>
            </w:pPr>
            <w:r w:rsidRPr="00C84047">
              <w:rPr>
                <w:b/>
                <w:bCs/>
              </w:rPr>
              <w:t>Was the item for:</w:t>
            </w:r>
            <w:r w:rsidRPr="00C84047">
              <w:rPr>
                <w:bCs/>
              </w:rPr>
              <w:t xml:space="preserve"> (Clothing, Shoes, Jewelry, and Accessories) – Select the age range and </w:t>
            </w:r>
            <w:r w:rsidRPr="00C84047">
              <w:rPr>
                <w:b/>
              </w:rPr>
              <w:t>gender</w:t>
            </w:r>
            <w:r w:rsidRPr="00C84047">
              <w:rPr>
                <w:bCs/>
              </w:rPr>
              <w:t xml:space="preserve"> of the person for which clothing, shoes, jewelry, or accessories was purchased. For example: Under 2 years old, Boy 2 to 15 years old, Girl 2 to 15 years old, Man 16 year and over, or Woman 16 year and over.</w:t>
            </w:r>
          </w:p>
        </w:tc>
        <w:tc>
          <w:tcPr>
            <w:tcW w:w="3600" w:type="dxa"/>
            <w:noWrap/>
          </w:tcPr>
          <w:p w:rsidR="00C84047" w:rsidRPr="00C84047" w:rsidP="00C84047" w14:paraId="1905636E" w14:textId="77777777">
            <w:pPr>
              <w:rPr>
                <w:iCs/>
              </w:rPr>
            </w:pPr>
            <w:r w:rsidRPr="00C84047">
              <w:rPr>
                <w:b/>
                <w:bCs/>
              </w:rPr>
              <w:t>Was the item for:</w:t>
            </w:r>
            <w:r w:rsidRPr="00C84047">
              <w:rPr>
                <w:bCs/>
              </w:rPr>
              <w:t xml:space="preserve"> (Clothing, Shoes, Jewelry, and Accessories) – Select the age range and </w:t>
            </w:r>
            <w:r w:rsidRPr="00C84047">
              <w:rPr>
                <w:b/>
              </w:rPr>
              <w:t>sex</w:t>
            </w:r>
            <w:r w:rsidRPr="00C84047">
              <w:rPr>
                <w:bCs/>
              </w:rPr>
              <w:t xml:space="preserve"> of the person for which clothing, shoes, jewelry, or accessories was purchased. For example: Under 2 years old, Boy 2 to 15 years old, Girl 2 to 15 years old, Man 16 year and over, or Woman 16 year and over.</w:t>
            </w:r>
          </w:p>
        </w:tc>
      </w:tr>
      <w:tr w14:paraId="06743A0D" w14:textId="77777777" w:rsidTr="003119F2">
        <w:tblPrEx>
          <w:tblW w:w="12960" w:type="dxa"/>
          <w:tblInd w:w="-5" w:type="dxa"/>
          <w:tblLayout w:type="fixed"/>
          <w:tblLook w:val="04A0"/>
        </w:tblPrEx>
        <w:trPr>
          <w:tblHeader/>
        </w:trPr>
        <w:tc>
          <w:tcPr>
            <w:tcW w:w="1800" w:type="dxa"/>
          </w:tcPr>
          <w:p w:rsidR="00C84047" w:rsidRPr="00C84047" w:rsidP="00C84047" w14:paraId="44E9B509" w14:textId="77777777">
            <w:r w:rsidRPr="00C84047">
              <w:t>CED Online Diary User Guide</w:t>
            </w:r>
          </w:p>
        </w:tc>
        <w:tc>
          <w:tcPr>
            <w:tcW w:w="1710" w:type="dxa"/>
          </w:tcPr>
          <w:p w:rsidR="00C84047" w:rsidRPr="00C84047" w:rsidP="00C84047" w14:paraId="54D2E187" w14:textId="77777777">
            <w:r w:rsidRPr="00C84047">
              <w:t>Page 4, bottom left corner</w:t>
            </w:r>
          </w:p>
        </w:tc>
        <w:tc>
          <w:tcPr>
            <w:tcW w:w="2250" w:type="dxa"/>
            <w:noWrap/>
          </w:tcPr>
          <w:p w:rsidR="00C84047" w:rsidRPr="00C84047" w:rsidP="00C84047" w14:paraId="3922C7EB" w14:textId="77777777">
            <w:r w:rsidRPr="00C84047">
              <w:t>Replace the word “gender” with “sex”</w:t>
            </w:r>
          </w:p>
        </w:tc>
        <w:tc>
          <w:tcPr>
            <w:tcW w:w="3600" w:type="dxa"/>
          </w:tcPr>
          <w:p w:rsidR="00C84047" w:rsidRPr="00C84047" w:rsidP="00C84047" w14:paraId="065C4DFA" w14:textId="77777777">
            <w:r w:rsidRPr="00C84047">
              <w:t xml:space="preserve">Select the </w:t>
            </w:r>
            <w:r w:rsidRPr="00C84047">
              <w:rPr>
                <w:b/>
                <w:bCs/>
              </w:rPr>
              <w:t>gender</w:t>
            </w:r>
            <w:r w:rsidRPr="00C84047">
              <w:t xml:space="preserve"> and age</w:t>
            </w:r>
          </w:p>
        </w:tc>
        <w:tc>
          <w:tcPr>
            <w:tcW w:w="3600" w:type="dxa"/>
            <w:noWrap/>
          </w:tcPr>
          <w:p w:rsidR="00C84047" w:rsidRPr="00C84047" w:rsidP="00C84047" w14:paraId="1E282DDD" w14:textId="77777777">
            <w:pPr>
              <w:rPr>
                <w:iCs/>
              </w:rPr>
            </w:pPr>
            <w:r w:rsidRPr="00C84047">
              <w:t xml:space="preserve">Select the </w:t>
            </w:r>
            <w:r w:rsidRPr="00C84047">
              <w:rPr>
                <w:b/>
                <w:bCs/>
              </w:rPr>
              <w:t>sex</w:t>
            </w:r>
            <w:r w:rsidRPr="00C84047">
              <w:t xml:space="preserve"> and age</w:t>
            </w:r>
          </w:p>
        </w:tc>
      </w:tr>
      <w:tr w14:paraId="469E1254" w14:textId="77777777" w:rsidTr="003119F2">
        <w:tblPrEx>
          <w:tblW w:w="12960" w:type="dxa"/>
          <w:tblInd w:w="-5" w:type="dxa"/>
          <w:tblLayout w:type="fixed"/>
          <w:tblLook w:val="04A0"/>
        </w:tblPrEx>
        <w:trPr>
          <w:tblHeader/>
        </w:trPr>
        <w:tc>
          <w:tcPr>
            <w:tcW w:w="1800" w:type="dxa"/>
          </w:tcPr>
          <w:p w:rsidR="00C84047" w:rsidRPr="00C84047" w:rsidP="00C84047" w14:paraId="33E3B221" w14:textId="77777777">
            <w:r w:rsidRPr="00C84047">
              <w:t>What to Enter in the CE Diary YouTube video</w:t>
            </w:r>
          </w:p>
        </w:tc>
        <w:tc>
          <w:tcPr>
            <w:tcW w:w="1710" w:type="dxa"/>
          </w:tcPr>
          <w:p w:rsidR="00C84047" w:rsidRPr="00C84047" w:rsidP="00C84047" w14:paraId="413578AD" w14:textId="77777777">
            <w:r w:rsidRPr="00C84047">
              <w:t>Timestamp 4:17</w:t>
            </w:r>
          </w:p>
        </w:tc>
        <w:tc>
          <w:tcPr>
            <w:tcW w:w="2250" w:type="dxa"/>
            <w:noWrap/>
          </w:tcPr>
          <w:p w:rsidR="00C84047" w:rsidRPr="00C84047" w:rsidP="00C84047" w14:paraId="3B6352C6" w14:textId="77777777">
            <w:r w:rsidRPr="00C84047">
              <w:t>Replace the word “gender” with “sex”</w:t>
            </w:r>
          </w:p>
        </w:tc>
        <w:tc>
          <w:tcPr>
            <w:tcW w:w="3600" w:type="dxa"/>
          </w:tcPr>
          <w:p w:rsidR="00C84047" w:rsidRPr="00C84047" w:rsidP="00C84047" w14:paraId="6C6B4C2B" w14:textId="77777777">
            <w:r w:rsidRPr="00C84047">
              <w:t>Clothing, Shoes, Jewelry, and Accessories</w:t>
            </w:r>
          </w:p>
          <w:p w:rsidR="00C84047" w:rsidRPr="00C84047" w:rsidP="00C84047" w14:paraId="6B561072" w14:textId="77777777">
            <w:r w:rsidRPr="00C84047">
              <w:t>Each item is entered separately</w:t>
            </w:r>
          </w:p>
          <w:p w:rsidR="00C84047" w:rsidRPr="00C84047" w:rsidP="00C84047" w14:paraId="5FC1C4F2" w14:textId="77777777">
            <w:r w:rsidRPr="00C84047">
              <w:t>Information to enter:</w:t>
            </w:r>
          </w:p>
          <w:p w:rsidR="00C84047" w:rsidRPr="00C84047" w:rsidP="00C84047" w14:paraId="27AD6888" w14:textId="77777777">
            <w:pPr>
              <w:numPr>
                <w:ilvl w:val="0"/>
                <w:numId w:val="2"/>
              </w:numPr>
            </w:pPr>
            <w:r w:rsidRPr="00C84047">
              <w:t>Description of each item</w:t>
            </w:r>
          </w:p>
          <w:p w:rsidR="00C84047" w:rsidRPr="00C84047" w:rsidP="00C84047" w14:paraId="42900378" w14:textId="77777777">
            <w:pPr>
              <w:numPr>
                <w:ilvl w:val="0"/>
                <w:numId w:val="2"/>
              </w:numPr>
            </w:pPr>
            <w:r w:rsidRPr="00C84047">
              <w:t>Cost of the item without tax</w:t>
            </w:r>
          </w:p>
          <w:p w:rsidR="00C84047" w:rsidRPr="00C84047" w:rsidP="00C84047" w14:paraId="29E1F92C" w14:textId="77777777">
            <w:pPr>
              <w:numPr>
                <w:ilvl w:val="0"/>
                <w:numId w:val="2"/>
              </w:numPr>
            </w:pPr>
            <w:r w:rsidRPr="00C84047">
              <w:rPr>
                <w:b/>
                <w:bCs/>
              </w:rPr>
              <w:t>Gender</w:t>
            </w:r>
            <w:r w:rsidRPr="00C84047">
              <w:t xml:space="preserve"> &amp; Age of the person the item was bought for</w:t>
            </w:r>
          </w:p>
        </w:tc>
        <w:tc>
          <w:tcPr>
            <w:tcW w:w="3600" w:type="dxa"/>
            <w:noWrap/>
          </w:tcPr>
          <w:p w:rsidR="00C84047" w:rsidRPr="00C84047" w:rsidP="00C84047" w14:paraId="5D20DA02" w14:textId="77777777">
            <w:r w:rsidRPr="00C84047">
              <w:t>Clothing, Shoes, Jewelry, and Accessories</w:t>
            </w:r>
          </w:p>
          <w:p w:rsidR="00C84047" w:rsidRPr="00C84047" w:rsidP="00C84047" w14:paraId="50587470" w14:textId="77777777">
            <w:r w:rsidRPr="00C84047">
              <w:t>Each item is entered separately</w:t>
            </w:r>
          </w:p>
          <w:p w:rsidR="00C84047" w:rsidRPr="00C84047" w:rsidP="00C84047" w14:paraId="6C77D43C" w14:textId="77777777">
            <w:r w:rsidRPr="00C84047">
              <w:t>Information to enter:</w:t>
            </w:r>
          </w:p>
          <w:p w:rsidR="00C84047" w:rsidRPr="00C84047" w:rsidP="00C84047" w14:paraId="4C16030C" w14:textId="77777777">
            <w:pPr>
              <w:numPr>
                <w:ilvl w:val="0"/>
                <w:numId w:val="2"/>
              </w:numPr>
            </w:pPr>
            <w:r w:rsidRPr="00C84047">
              <w:t>Description of each item</w:t>
            </w:r>
          </w:p>
          <w:p w:rsidR="00C84047" w:rsidRPr="00C84047" w:rsidP="00C84047" w14:paraId="037FC9F1" w14:textId="77777777">
            <w:pPr>
              <w:numPr>
                <w:ilvl w:val="0"/>
                <w:numId w:val="2"/>
              </w:numPr>
            </w:pPr>
            <w:r w:rsidRPr="00C84047">
              <w:t>Cost of the item without tax</w:t>
            </w:r>
          </w:p>
          <w:p w:rsidR="00C84047" w:rsidRPr="00C84047" w:rsidP="00C84047" w14:paraId="5872C936" w14:textId="77777777">
            <w:pPr>
              <w:numPr>
                <w:ilvl w:val="0"/>
                <w:numId w:val="2"/>
              </w:numPr>
            </w:pPr>
            <w:r w:rsidRPr="00C84047">
              <w:rPr>
                <w:b/>
                <w:bCs/>
              </w:rPr>
              <w:t>Sex</w:t>
            </w:r>
            <w:r w:rsidRPr="00C84047">
              <w:t xml:space="preserve"> &amp; Age of the person the item was bought for</w:t>
            </w:r>
          </w:p>
        </w:tc>
      </w:tr>
    </w:tbl>
    <w:p w:rsidR="00C84047" w14:paraId="30D4934E" w14:textId="702F863A"/>
    <w:sectPr w:rsidSect="00DA0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47" w14:paraId="4FEE26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47" w14:paraId="1F9552B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47" w14:paraId="27E94FB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47" w14:paraId="1EA6F7D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47" w:rsidRPr="00C84047" w:rsidP="00C84047" w14:paraId="5D99EA7B" w14:textId="0F0C1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4047" w14:paraId="3853D0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76DFD"/>
    <w:multiLevelType w:val="hybridMultilevel"/>
    <w:tmpl w:val="490CE0B6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A1871"/>
    <w:multiLevelType w:val="multilevel"/>
    <w:tmpl w:val="B1C0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9803425">
    <w:abstractNumId w:val="1"/>
  </w:num>
  <w:num w:numId="2" w16cid:durableId="17311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62"/>
    <w:rsid w:val="00024E85"/>
    <w:rsid w:val="0006065D"/>
    <w:rsid w:val="00180A62"/>
    <w:rsid w:val="00250812"/>
    <w:rsid w:val="002A22CC"/>
    <w:rsid w:val="002E55F7"/>
    <w:rsid w:val="00307AA1"/>
    <w:rsid w:val="00325A1B"/>
    <w:rsid w:val="003829EE"/>
    <w:rsid w:val="0049322E"/>
    <w:rsid w:val="004D13C2"/>
    <w:rsid w:val="005F1A84"/>
    <w:rsid w:val="00673A2C"/>
    <w:rsid w:val="0067662C"/>
    <w:rsid w:val="007E7EF8"/>
    <w:rsid w:val="00801B68"/>
    <w:rsid w:val="008E70E1"/>
    <w:rsid w:val="00AA6BAB"/>
    <w:rsid w:val="00B3507C"/>
    <w:rsid w:val="00BA6F1A"/>
    <w:rsid w:val="00C12B76"/>
    <w:rsid w:val="00C84047"/>
    <w:rsid w:val="00CA0058"/>
    <w:rsid w:val="00D4710A"/>
    <w:rsid w:val="00DA0897"/>
    <w:rsid w:val="00DC4EE1"/>
    <w:rsid w:val="00E02E95"/>
    <w:rsid w:val="00E20676"/>
    <w:rsid w:val="00E40AFE"/>
    <w:rsid w:val="00E70E9A"/>
    <w:rsid w:val="00E929A0"/>
    <w:rsid w:val="00EB34E5"/>
    <w:rsid w:val="00FE27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A6A8AF"/>
  <w15:chartTrackingRefBased/>
  <w15:docId w15:val="{3EAF0DF1-614D-4191-A0CD-9056E648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A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A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A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A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A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A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180A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0A62"/>
    <w:rPr>
      <w:rFonts w:eastAsiaTheme="minorHAnsi"/>
    </w:rPr>
  </w:style>
  <w:style w:type="paragraph" w:styleId="Revision">
    <w:name w:val="Revision"/>
    <w:hidden/>
    <w:uiPriority w:val="99"/>
    <w:semiHidden/>
    <w:rsid w:val="00E02E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4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0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4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0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afir.Adam@bls.gov" TargetMode="External" /><Relationship Id="rId5" Type="http://schemas.openxmlformats.org/officeDocument/2006/relationships/hyperlink" Target="mailto:Suarez.Peggy@bls.go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Peggy - BLS</dc:creator>
  <cp:lastModifiedBy>Kincaid, Nora</cp:lastModifiedBy>
  <cp:revision>3</cp:revision>
  <dcterms:created xsi:type="dcterms:W3CDTF">2025-02-03T15:46:00Z</dcterms:created>
  <dcterms:modified xsi:type="dcterms:W3CDTF">2025-02-03T15:56:00Z</dcterms:modified>
</cp:coreProperties>
</file>