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63F6" w:rsidP="000C63F6" w14:paraId="752593A0" w14:textId="77777777">
      <w:pPr>
        <w:pStyle w:val="Header"/>
      </w:pPr>
    </w:p>
    <w:p w:rsidR="008C5D1F" w:rsidRPr="00DD0C40" w:rsidP="008C5D1F" w14:paraId="42411558" w14:textId="32C7CBE7">
      <w:pPr>
        <w:pStyle w:val="Heading2"/>
        <w:spacing w:line="240" w:lineRule="auto"/>
        <w:rPr>
          <w:b/>
          <w:bCs/>
        </w:rPr>
      </w:pPr>
      <w:r w:rsidRPr="00DD0C40">
        <w:rPr>
          <w:b/>
          <w:bCs/>
        </w:rPr>
        <w:t>SUPPORTING STATEMENT</w:t>
      </w:r>
      <w:r w:rsidRPr="00DD0C40" w:rsidR="00FB4333">
        <w:rPr>
          <w:b/>
          <w:bCs/>
        </w:rPr>
        <w:t xml:space="preserve"> FOR</w:t>
      </w:r>
    </w:p>
    <w:p w:rsidR="00FB4333" w:rsidP="006C14B2" w14:paraId="0EE67445" w14:textId="77777777">
      <w:pPr>
        <w:tabs>
          <w:tab w:val="center" w:pos="4680"/>
          <w:tab w:val="left" w:pos="6960"/>
        </w:tabs>
        <w:rPr>
          <w:rFonts w:ascii="Times" w:hAnsi="Times"/>
          <w:b/>
          <w:bCs/>
          <w:caps/>
        </w:rPr>
      </w:pPr>
      <w:r w:rsidRPr="00DD0C40">
        <w:rPr>
          <w:rFonts w:ascii="Times" w:hAnsi="Times"/>
          <w:b/>
          <w:bCs/>
        </w:rPr>
        <w:tab/>
      </w:r>
      <w:r w:rsidRPr="00DD0C40" w:rsidR="008C5D1F">
        <w:rPr>
          <w:rFonts w:ascii="Times" w:hAnsi="Times"/>
          <w:b/>
          <w:bCs/>
          <w:caps/>
        </w:rPr>
        <w:t>Consumer Price Index Housing</w:t>
      </w:r>
      <w:r w:rsidRPr="00DD0C40">
        <w:rPr>
          <w:rFonts w:ascii="Times" w:hAnsi="Times"/>
          <w:b/>
          <w:bCs/>
          <w:caps/>
        </w:rPr>
        <w:t xml:space="preserve"> SURVEY</w:t>
      </w:r>
    </w:p>
    <w:p w:rsidR="00FB4333" w:rsidP="006C14B2" w14:paraId="43405D42" w14:textId="77777777">
      <w:pPr>
        <w:tabs>
          <w:tab w:val="center" w:pos="4680"/>
          <w:tab w:val="left" w:pos="6960"/>
        </w:tabs>
        <w:rPr>
          <w:rFonts w:ascii="Times" w:hAnsi="Times"/>
          <w:b/>
          <w:bCs/>
          <w:caps/>
        </w:rPr>
      </w:pPr>
    </w:p>
    <w:p w:rsidR="008C5D1F" w:rsidRPr="00DD0C40" w:rsidP="00DD0C40" w14:paraId="55DC97B3" w14:textId="620CA798">
      <w:pPr>
        <w:tabs>
          <w:tab w:val="center" w:pos="4680"/>
          <w:tab w:val="left" w:pos="6960"/>
        </w:tabs>
        <w:jc w:val="center"/>
        <w:rPr>
          <w:rFonts w:ascii="Times" w:hAnsi="Times"/>
          <w:caps/>
          <w:u w:val="single"/>
        </w:rPr>
      </w:pPr>
      <w:r>
        <w:rPr>
          <w:rFonts w:ascii="Times" w:hAnsi="Times"/>
          <w:b/>
          <w:bCs/>
          <w:caps/>
        </w:rPr>
        <w:t xml:space="preserve">OMB Control No. </w:t>
      </w:r>
      <w:r w:rsidR="00E00F5A">
        <w:rPr>
          <w:rFonts w:ascii="Times" w:hAnsi="Times"/>
          <w:b/>
          <w:bCs/>
          <w:caps/>
        </w:rPr>
        <w:t>1220-0163</w:t>
      </w:r>
    </w:p>
    <w:p w:rsidR="008C5D1F" w:rsidRPr="00D411EF" w:rsidP="008C5D1F" w14:paraId="0AB499DA" w14:textId="77777777">
      <w:pPr>
        <w:rPr>
          <w:rFonts w:ascii="Times" w:hAnsi="Times"/>
          <w:u w:val="single"/>
        </w:rPr>
      </w:pPr>
    </w:p>
    <w:p w:rsidR="00410CBC" w:rsidRPr="00890EED" w:rsidP="00504EE4" w14:paraId="0E40AEC7" w14:textId="2D34B849">
      <w:pPr>
        <w:ind w:left="360"/>
        <w:rPr>
          <w:sz w:val="22"/>
          <w:szCs w:val="22"/>
        </w:rPr>
      </w:pPr>
      <w:r w:rsidRPr="00E01C9C">
        <w:rPr>
          <w:sz w:val="22"/>
          <w:szCs w:val="22"/>
        </w:rPr>
        <w:t>Th</w:t>
      </w:r>
      <w:r>
        <w:rPr>
          <w:sz w:val="22"/>
          <w:szCs w:val="22"/>
        </w:rPr>
        <w:t xml:space="preserve">is information collection request seeks </w:t>
      </w:r>
      <w:r w:rsidRPr="00E01C9C">
        <w:rPr>
          <w:sz w:val="22"/>
          <w:szCs w:val="22"/>
        </w:rPr>
        <w:t xml:space="preserve">a </w:t>
      </w:r>
      <w:r w:rsidRPr="00E01C9C" w:rsidR="00EF2FEA">
        <w:rPr>
          <w:sz w:val="22"/>
          <w:szCs w:val="22"/>
        </w:rPr>
        <w:t>3-year</w:t>
      </w:r>
      <w:r w:rsidRPr="00E01C9C">
        <w:rPr>
          <w:sz w:val="22"/>
          <w:szCs w:val="22"/>
        </w:rPr>
        <w:t xml:space="preserve"> extension of the </w:t>
      </w:r>
      <w:r>
        <w:rPr>
          <w:sz w:val="22"/>
          <w:szCs w:val="22"/>
        </w:rPr>
        <w:t xml:space="preserve">Consumer Price Index Housing Survey. </w:t>
      </w:r>
      <w:r>
        <w:t xml:space="preserve">The CPI is moving the survey to a web collection platform that will simplify the maintenance and development costs. This project is expected to be deployed in 2025. </w:t>
      </w:r>
    </w:p>
    <w:p w:rsidR="00410CBC" w:rsidRPr="00E01C9C" w:rsidP="00FB4333" w14:paraId="02D13219" w14:textId="77777777">
      <w:pPr>
        <w:ind w:left="360"/>
        <w:rPr>
          <w:sz w:val="22"/>
          <w:szCs w:val="22"/>
        </w:rPr>
      </w:pPr>
    </w:p>
    <w:p w:rsidR="008C5D1F" w:rsidRPr="00D411EF" w:rsidP="008C5D1F" w14:paraId="4D7F0248" w14:textId="77777777"/>
    <w:p w:rsidR="008C5D1F" w:rsidRPr="00DD0C40" w:rsidP="008C5D1F" w14:paraId="1C8765F1" w14:textId="77777777">
      <w:pPr>
        <w:rPr>
          <w:b/>
          <w:bCs/>
        </w:rPr>
      </w:pPr>
      <w:r w:rsidRPr="00DD0C40">
        <w:rPr>
          <w:b/>
          <w:bCs/>
        </w:rPr>
        <w:t>A.  JUSTIFICATION</w:t>
      </w:r>
    </w:p>
    <w:p w:rsidR="008C5D1F" w:rsidRPr="00D411EF" w:rsidP="008C5D1F" w14:paraId="115E839A" w14:textId="77777777"/>
    <w:p w:rsidR="00FB4333" w:rsidRPr="00D53DEB" w:rsidP="00FB4333" w14:paraId="272DC328" w14:textId="61C1C56C">
      <w:r w:rsidRPr="00D53DEB">
        <w:rPr>
          <w:b/>
          <w:bCs/>
        </w:rPr>
        <w:t>1</w:t>
      </w:r>
      <w:r w:rsidRPr="00D53DEB">
        <w:rPr>
          <w:b/>
          <w:bCs/>
        </w:rPr>
        <w:t>.  Explain</w:t>
      </w:r>
      <w:r w:rsidRPr="00D53DEB">
        <w:rPr>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C5D1F" w:rsidRPr="00D411EF" w:rsidP="00DD0C40" w14:paraId="71077F12" w14:textId="77777777"/>
    <w:p w:rsidR="00924217" w:rsidRPr="001A625A" w:rsidP="00924217" w14:paraId="03BBF628" w14:textId="77777777">
      <w:pPr>
        <w:spacing w:line="240" w:lineRule="exact"/>
        <w:rPr>
          <w:szCs w:val="24"/>
        </w:rPr>
      </w:pPr>
      <w:r w:rsidRPr="001A625A">
        <w:rPr>
          <w:szCs w:val="24"/>
        </w:rPr>
        <w:t>Section 2 of Title 29, Chapter 1, Subchapter 1, United States Code annotated directs “</w:t>
      </w:r>
      <w:r w:rsidRPr="001A625A">
        <w:rPr>
          <w:szCs w:val="24"/>
          <w:lang w:val="en"/>
        </w:rPr>
        <w:t>The Bureau of Labor Statistics, under the direction of the Secretary of Labor, shall collect, collate, and report at least once each year, or oftener if necessary, full and complete statistics of the conditions of labor and the products and distribution of the products of the same, and to this end said Secretary shall have power to employ any or either of the bureaus provided for his department and to rearrange such statistical work, and to distribute or consolidate the same as may be deemed desirable in the public interests; and said Secretary shall also have authority to call upon other departments of the Government for statistical data and results obtained by them; and said Secretary of Labor may collate, arrange, and publish such statistical information so obtained in such manner as to him may seem wise.”</w:t>
      </w:r>
      <w:r>
        <w:rPr>
          <w:szCs w:val="24"/>
        </w:rPr>
        <w:t xml:space="preserve"> </w:t>
      </w:r>
      <w:r w:rsidRPr="001A625A">
        <w:rPr>
          <w:szCs w:val="24"/>
        </w:rPr>
        <w:t xml:space="preserve"> The United States Code can be viewed on the U.S. Government Publishing Office (GPO) public website at </w:t>
      </w:r>
      <w:hyperlink r:id="rId5" w:history="1">
        <w:r w:rsidRPr="001A625A">
          <w:rPr>
            <w:rStyle w:val="Hyperlink"/>
          </w:rPr>
          <w:t>https://www.govinfo.gov/content/pkg/USCODE-2020-title29/pdf/USCODE-2020-title29-chap1-subchapI-sec2.pdf</w:t>
        </w:r>
      </w:hyperlink>
    </w:p>
    <w:p w:rsidR="00924217" w:rsidRPr="001A625A" w:rsidP="00924217" w14:paraId="5CDF0ECF" w14:textId="77777777">
      <w:pPr>
        <w:spacing w:line="240" w:lineRule="exact"/>
        <w:rPr>
          <w:szCs w:val="24"/>
        </w:rPr>
      </w:pPr>
    </w:p>
    <w:p w:rsidR="00924217" w:rsidRPr="001A625A" w:rsidP="00924217" w14:paraId="7447F077" w14:textId="580E814F">
      <w:pPr>
        <w:spacing w:line="240" w:lineRule="exact"/>
        <w:rPr>
          <w:szCs w:val="24"/>
        </w:rPr>
      </w:pPr>
      <w:r w:rsidRPr="001A625A">
        <w:rPr>
          <w:szCs w:val="24"/>
        </w:rPr>
        <w:t>The Consumer Price Index (CPI) is the only index compiled by the U.S. Government that is designed to measure changes in the purchasing power of the consumer's dollar.</w:t>
      </w:r>
      <w:r>
        <w:rPr>
          <w:szCs w:val="24"/>
        </w:rPr>
        <w:t xml:space="preserve"> </w:t>
      </w:r>
      <w:r w:rsidRPr="001A625A">
        <w:rPr>
          <w:szCs w:val="24"/>
        </w:rPr>
        <w:t>The CPI is a measure of the average change in prices over time in a market basket of goods and services.</w:t>
      </w:r>
      <w:r>
        <w:rPr>
          <w:szCs w:val="24"/>
        </w:rPr>
        <w:t xml:space="preserve"> </w:t>
      </w:r>
      <w:r w:rsidRPr="001A625A">
        <w:rPr>
          <w:szCs w:val="24"/>
        </w:rPr>
        <w:t xml:space="preserve">It is calculated monthly for two population groups, one consisting of all urban </w:t>
      </w:r>
      <w:r w:rsidR="00E00F5A">
        <w:rPr>
          <w:szCs w:val="24"/>
        </w:rPr>
        <w:t>consumers</w:t>
      </w:r>
      <w:r w:rsidRPr="001A625A" w:rsidR="00E00F5A">
        <w:rPr>
          <w:szCs w:val="24"/>
        </w:rPr>
        <w:t xml:space="preserve"> </w:t>
      </w:r>
      <w:r w:rsidRPr="001A625A">
        <w:rPr>
          <w:szCs w:val="24"/>
        </w:rPr>
        <w:t>(CPI-U), and the other consisting of urban wage earners and clerical workers (CPI-W).</w:t>
      </w:r>
      <w:r>
        <w:rPr>
          <w:szCs w:val="24"/>
        </w:rPr>
        <w:t xml:space="preserve"> </w:t>
      </w:r>
      <w:r w:rsidRPr="001A625A">
        <w:rPr>
          <w:szCs w:val="24"/>
        </w:rPr>
        <w:t>The CPI-U represents the buying habits of over 90</w:t>
      </w:r>
      <w:r>
        <w:rPr>
          <w:szCs w:val="24"/>
        </w:rPr>
        <w:t xml:space="preserve"> percent</w:t>
      </w:r>
      <w:r w:rsidRPr="001A625A">
        <w:rPr>
          <w:szCs w:val="24"/>
        </w:rPr>
        <w:t xml:space="preserve"> of the population of the United States, while the CPI-W represents approximately 30</w:t>
      </w:r>
      <w:r>
        <w:rPr>
          <w:szCs w:val="24"/>
        </w:rPr>
        <w:t xml:space="preserve"> percent</w:t>
      </w:r>
      <w:r w:rsidRPr="001A625A">
        <w:rPr>
          <w:szCs w:val="24"/>
        </w:rPr>
        <w:t xml:space="preserve"> of </w:t>
      </w:r>
      <w:r>
        <w:rPr>
          <w:szCs w:val="24"/>
        </w:rPr>
        <w:t>the population of the United States</w:t>
      </w:r>
      <w:r w:rsidRPr="001A625A">
        <w:rPr>
          <w:szCs w:val="24"/>
        </w:rPr>
        <w:t xml:space="preserve">. </w:t>
      </w:r>
    </w:p>
    <w:p w:rsidR="00924217" w:rsidRPr="00AD7D03" w:rsidP="00924217" w14:paraId="7916984B" w14:textId="77777777">
      <w:pPr>
        <w:spacing w:line="240" w:lineRule="exact"/>
        <w:rPr>
          <w:szCs w:val="24"/>
        </w:rPr>
      </w:pPr>
    </w:p>
    <w:p w:rsidR="00924217" w:rsidRPr="00AD7D03" w:rsidP="00924217" w14:paraId="72DD7A3E" w14:textId="77777777">
      <w:pPr>
        <w:spacing w:line="240" w:lineRule="exact"/>
        <w:rPr>
          <w:szCs w:val="24"/>
        </w:rPr>
      </w:pPr>
      <w:r w:rsidRPr="00AD7D03">
        <w:rPr>
          <w:szCs w:val="24"/>
        </w:rPr>
        <w:t xml:space="preserve">In addition to the </w:t>
      </w:r>
      <w:r>
        <w:rPr>
          <w:szCs w:val="24"/>
        </w:rPr>
        <w:t>CPI-U and CPI-W</w:t>
      </w:r>
      <w:r w:rsidRPr="00AD7D03">
        <w:rPr>
          <w:szCs w:val="24"/>
        </w:rPr>
        <w:t xml:space="preserve">, the BLS also produces the Chained Consumer Price Index for all urban consumers (C-CPI-U). The C-CPI-U is a “superlative” type index that is designed to be a closer approximation to a “cost-of-living” index than the CPI-U and CPI-W. The C-CPI-U is distinguished from the CPI-U and CPI-W by the expenditure weights and formula used to produce aggregate measures of price change. Expenditure data required for the calculation of the </w:t>
      </w:r>
      <w:r w:rsidRPr="00AD7D03">
        <w:rPr>
          <w:bCs/>
          <w:szCs w:val="24"/>
        </w:rPr>
        <w:t>C-CPI-U</w:t>
      </w:r>
      <w:r w:rsidRPr="00AD7D03">
        <w:rPr>
          <w:szCs w:val="24"/>
        </w:rPr>
        <w:t xml:space="preserve"> are available only with a time lag. Thus, the </w:t>
      </w:r>
      <w:r w:rsidRPr="00AD7D03">
        <w:rPr>
          <w:bCs/>
          <w:szCs w:val="24"/>
        </w:rPr>
        <w:t>C-CPI-U</w:t>
      </w:r>
      <w:r w:rsidRPr="00AD7D03">
        <w:rPr>
          <w:szCs w:val="24"/>
        </w:rPr>
        <w:t xml:space="preserve"> is being issued first in preliminary form using the latest available expenditure data at that time and is subject to </w:t>
      </w:r>
      <w:r w:rsidRPr="00AD7D03">
        <w:rPr>
          <w:szCs w:val="24"/>
        </w:rPr>
        <w:t xml:space="preserve">subsequent revisions. The </w:t>
      </w:r>
      <w:r w:rsidRPr="00AD7D03">
        <w:rPr>
          <w:bCs/>
          <w:szCs w:val="24"/>
        </w:rPr>
        <w:t>C-CPI-U</w:t>
      </w:r>
      <w:r w:rsidRPr="00AD7D03">
        <w:rPr>
          <w:szCs w:val="24"/>
        </w:rPr>
        <w:t xml:space="preserve"> is issued for national averages only and is not seasonally adjusted. </w:t>
      </w:r>
    </w:p>
    <w:p w:rsidR="00924217" w:rsidRPr="00AD7D03" w:rsidP="00924217" w14:paraId="35A78640" w14:textId="77777777">
      <w:pPr>
        <w:spacing w:line="240" w:lineRule="exact"/>
        <w:rPr>
          <w:szCs w:val="24"/>
        </w:rPr>
      </w:pPr>
    </w:p>
    <w:p w:rsidR="00924217" w:rsidRPr="00AD7D03" w:rsidP="00924217" w14:paraId="76D6041D" w14:textId="5D107CAC">
      <w:pPr>
        <w:spacing w:line="240" w:lineRule="exact"/>
        <w:rPr>
          <w:szCs w:val="24"/>
        </w:rPr>
      </w:pPr>
      <w:r>
        <w:rPr>
          <w:szCs w:val="24"/>
        </w:rPr>
        <w:t xml:space="preserve">The </w:t>
      </w:r>
      <w:r w:rsidRPr="00AD7D03">
        <w:rPr>
          <w:szCs w:val="24"/>
        </w:rPr>
        <w:t xml:space="preserve">BLS issues a </w:t>
      </w:r>
      <w:r>
        <w:rPr>
          <w:szCs w:val="24"/>
        </w:rPr>
        <w:t>research</w:t>
      </w:r>
      <w:r w:rsidRPr="00AD7D03">
        <w:rPr>
          <w:szCs w:val="24"/>
        </w:rPr>
        <w:t xml:space="preserve"> CPI for </w:t>
      </w:r>
      <w:r w:rsidR="00E00F5A">
        <w:rPr>
          <w:szCs w:val="24"/>
        </w:rPr>
        <w:t>Americans age 62 or older</w:t>
      </w:r>
      <w:r w:rsidRPr="00AD7D03">
        <w:rPr>
          <w:szCs w:val="24"/>
        </w:rPr>
        <w:t xml:space="preserve"> or </w:t>
      </w:r>
      <w:hyperlink r:id="rId6" w:history="1">
        <w:r w:rsidRPr="00924217">
          <w:rPr>
            <w:rStyle w:val="Hyperlink"/>
            <w:szCs w:val="24"/>
          </w:rPr>
          <w:t>R-CPI-E</w:t>
        </w:r>
      </w:hyperlink>
      <w:r w:rsidRPr="00AD7D03">
        <w:rPr>
          <w:szCs w:val="24"/>
        </w:rPr>
        <w:t>, which is calculated monthly and is available on the CPI website</w:t>
      </w:r>
      <w:r>
        <w:rPr>
          <w:szCs w:val="24"/>
        </w:rPr>
        <w:t>, along with other CPI research series</w:t>
      </w:r>
      <w:r w:rsidRPr="00AD7D03">
        <w:rPr>
          <w:szCs w:val="24"/>
        </w:rPr>
        <w:t xml:space="preserve">. The </w:t>
      </w:r>
      <w:r>
        <w:rPr>
          <w:szCs w:val="24"/>
        </w:rPr>
        <w:t>R-</w:t>
      </w:r>
      <w:r w:rsidRPr="00AD7D03">
        <w:rPr>
          <w:szCs w:val="24"/>
        </w:rPr>
        <w:t>CPI-E is a reweighting of the CPI basic indexes using expenditure weights from households headed by someone 62 years of age or older.</w:t>
      </w:r>
    </w:p>
    <w:p w:rsidR="00E02DF8" w:rsidRPr="00D411EF" w:rsidP="008C5D1F" w14:paraId="209C834C" w14:textId="76CFAC25"/>
    <w:p w:rsidR="00640A9A" w:rsidP="008C5D1F" w14:paraId="1FD289C6" w14:textId="77777777">
      <w:pPr>
        <w:pStyle w:val="Header"/>
        <w:tabs>
          <w:tab w:val="clear" w:pos="4320"/>
          <w:tab w:val="clear" w:pos="8640"/>
        </w:tabs>
      </w:pPr>
    </w:p>
    <w:p w:rsidR="00640A9A" w:rsidRPr="00D411EF" w:rsidP="008C5D1F" w14:paraId="6AFC382F" w14:textId="77777777">
      <w:pPr>
        <w:pStyle w:val="Header"/>
        <w:tabs>
          <w:tab w:val="clear" w:pos="4320"/>
          <w:tab w:val="clear" w:pos="8640"/>
        </w:tabs>
      </w:pPr>
    </w:p>
    <w:p w:rsidR="00FB4333" w:rsidRPr="00D53DEB" w:rsidP="00FB4333" w14:paraId="09DA2CB6" w14:textId="0F4FD386">
      <w:r w:rsidRPr="001B54C6">
        <w:rPr>
          <w:b/>
        </w:rPr>
        <w:t>2</w:t>
      </w:r>
      <w:r w:rsidRPr="001B54C6">
        <w:rPr>
          <w:b/>
        </w:rPr>
        <w:t>.</w:t>
      </w:r>
      <w:r>
        <w:rPr>
          <w:b/>
        </w:rPr>
        <w:t xml:space="preserve">  </w:t>
      </w:r>
      <w:r w:rsidRPr="00D53DEB">
        <w:rPr>
          <w:b/>
          <w:bCs/>
        </w:rPr>
        <w:t>Indicate</w:t>
      </w:r>
      <w:r w:rsidRPr="00D53DEB">
        <w:rPr>
          <w:b/>
          <w:bCs/>
        </w:rPr>
        <w:t xml:space="preserve"> how, by whom, and for what purpose the information is to be used.  Except for a new collection, indicate the actual use the agency has made of the information received from the current collection.</w:t>
      </w:r>
    </w:p>
    <w:p w:rsidR="008C5D1F" w:rsidRPr="00D411EF" w:rsidP="008C5D1F" w14:paraId="025A116E" w14:textId="77777777">
      <w:pPr>
        <w:pStyle w:val="Header"/>
        <w:tabs>
          <w:tab w:val="clear" w:pos="4320"/>
          <w:tab w:val="clear" w:pos="8640"/>
        </w:tabs>
      </w:pPr>
    </w:p>
    <w:p w:rsidR="00024D0F" w:rsidRPr="00AD7D03" w:rsidP="00024D0F" w14:paraId="31C2A940" w14:textId="77777777">
      <w:pPr>
        <w:spacing w:line="240" w:lineRule="exact"/>
        <w:rPr>
          <w:szCs w:val="24"/>
        </w:rPr>
      </w:pPr>
      <w:r w:rsidRPr="00AD7D03">
        <w:rPr>
          <w:szCs w:val="24"/>
        </w:rPr>
        <w:t xml:space="preserve">First, the CPI is used most widely as a measure of inflation and serves as an indicator of the effectiveness of government economic policy. Second, it is also used as a deflator of other economic series, that is, to adjust other series for price changes and to translate these series into inflation-free dollars. Examples include retail sales, hourly and weekly earnings, and components of the Gross Domestic Product. </w:t>
      </w:r>
    </w:p>
    <w:p w:rsidR="00024D0F" w:rsidRPr="00D411EF" w:rsidP="008C5D1F" w14:paraId="635CE58C" w14:textId="40DE39DB"/>
    <w:p w:rsidR="00EC796E" w:rsidP="008C5D1F" w14:paraId="79832432" w14:textId="6B35931B">
      <w:pPr>
        <w:rPr>
          <w:szCs w:val="24"/>
        </w:rPr>
      </w:pPr>
      <w:r w:rsidRPr="00AD7D03">
        <w:rPr>
          <w:szCs w:val="24"/>
        </w:rPr>
        <w:t xml:space="preserve">A third major use of the CPI is to adjust </w:t>
      </w:r>
      <w:r>
        <w:rPr>
          <w:szCs w:val="24"/>
        </w:rPr>
        <w:t>dollar values</w:t>
      </w:r>
      <w:r w:rsidRPr="00AD7D03">
        <w:rPr>
          <w:szCs w:val="24"/>
        </w:rPr>
        <w:t xml:space="preserve">. Over 2 million workers are covered by collective bargaining contracts, which provide for increases in wage rates based on increases in the CPI. At least </w:t>
      </w:r>
      <w:r w:rsidR="007F1AA1">
        <w:rPr>
          <w:szCs w:val="24"/>
        </w:rPr>
        <w:t>nineteen</w:t>
      </w:r>
      <w:r w:rsidRPr="00AD7D03" w:rsidR="007F1AA1">
        <w:rPr>
          <w:szCs w:val="24"/>
        </w:rPr>
        <w:t xml:space="preserve"> </w:t>
      </w:r>
      <w:r w:rsidRPr="00AD7D03">
        <w:rPr>
          <w:szCs w:val="24"/>
        </w:rPr>
        <w:t xml:space="preserve">states </w:t>
      </w:r>
      <w:r w:rsidR="007F1AA1">
        <w:rPr>
          <w:szCs w:val="24"/>
        </w:rPr>
        <w:t xml:space="preserve">and the District of Columbia </w:t>
      </w:r>
      <w:r w:rsidRPr="00AD7D03">
        <w:rPr>
          <w:szCs w:val="24"/>
        </w:rPr>
        <w:t xml:space="preserve">have laws that link the adjustment in state minimum wage to the changes in the CPI. </w:t>
      </w:r>
      <w:r w:rsidRPr="00076D02">
        <w:rPr>
          <w:szCs w:val="24"/>
        </w:rPr>
        <w:t xml:space="preserve">The index affects the income of more than </w:t>
      </w:r>
      <w:r w:rsidR="00207B5F">
        <w:rPr>
          <w:szCs w:val="24"/>
        </w:rPr>
        <w:t>108</w:t>
      </w:r>
      <w:r w:rsidRPr="00076D02" w:rsidR="00207B5F">
        <w:rPr>
          <w:szCs w:val="24"/>
        </w:rPr>
        <w:t xml:space="preserve"> </w:t>
      </w:r>
      <w:r w:rsidRPr="00076D02">
        <w:rPr>
          <w:szCs w:val="24"/>
        </w:rPr>
        <w:t xml:space="preserve">million people </w:t>
      </w:r>
      <w:r w:rsidRPr="00076D02">
        <w:rPr>
          <w:szCs w:val="24"/>
        </w:rPr>
        <w:t>as a result of</w:t>
      </w:r>
      <w:r w:rsidRPr="00076D02">
        <w:rPr>
          <w:szCs w:val="24"/>
        </w:rPr>
        <w:t xml:space="preserve"> statutory action: over </w:t>
      </w:r>
      <w:r w:rsidRPr="00076D02" w:rsidR="00207B5F">
        <w:rPr>
          <w:szCs w:val="24"/>
        </w:rPr>
        <w:t>6</w:t>
      </w:r>
      <w:r w:rsidR="00207B5F">
        <w:rPr>
          <w:szCs w:val="24"/>
        </w:rPr>
        <w:t>7</w:t>
      </w:r>
      <w:r w:rsidRPr="00076D02" w:rsidR="00207B5F">
        <w:rPr>
          <w:szCs w:val="24"/>
        </w:rPr>
        <w:t xml:space="preserve"> </w:t>
      </w:r>
      <w:r w:rsidRPr="00076D02">
        <w:rPr>
          <w:szCs w:val="24"/>
        </w:rPr>
        <w:t xml:space="preserve">million Social Security beneficiaries and over </w:t>
      </w:r>
      <w:r>
        <w:rPr>
          <w:szCs w:val="24"/>
        </w:rPr>
        <w:t>41</w:t>
      </w:r>
      <w:r w:rsidRPr="00076D02">
        <w:rPr>
          <w:szCs w:val="24"/>
        </w:rPr>
        <w:t xml:space="preserve"> million Supplemental Nutrition Assistance Program (SNAP) recipients, among other programs. Changes in the CPI also affect the cost of lunches for over 30 million children who eat lunch at school as part of the National School Lunch Program (NSLP). </w:t>
      </w:r>
      <w:r w:rsidRPr="00AD7D03">
        <w:rPr>
          <w:szCs w:val="24"/>
        </w:rPr>
        <w:t xml:space="preserve">Under the National School Lunch Act and Child Nutrition Act, national average payments for those lunches and breakfasts are adjusted annually by the Secretary of Agriculture </w:t>
      </w:r>
      <w:r w:rsidRPr="00AD7D03">
        <w:rPr>
          <w:szCs w:val="24"/>
        </w:rPr>
        <w:t>on the basis of</w:t>
      </w:r>
      <w:r w:rsidRPr="00AD7D03">
        <w:rPr>
          <w:szCs w:val="24"/>
        </w:rPr>
        <w:t xml:space="preserve"> the change in the CPI series, "Food away from Home." </w:t>
      </w:r>
      <w:r w:rsidRPr="00076D02">
        <w:rPr>
          <w:szCs w:val="24"/>
        </w:rPr>
        <w:t>Many private firms and individuals use the CPI to keep rents, royalties, alimony payments and child support payments in line with changing prices.</w:t>
      </w:r>
      <w:r w:rsidRPr="00076D02">
        <w:rPr>
          <w:rFonts w:ascii="Garamond" w:hAnsi="Garamond"/>
          <w:szCs w:val="24"/>
        </w:rPr>
        <w:t xml:space="preserve"> </w:t>
      </w:r>
      <w:r w:rsidRPr="00AD7D03">
        <w:rPr>
          <w:szCs w:val="24"/>
        </w:rPr>
        <w:t>Since 1985, the CPI has been used to adjust the Federal income tax structure to prevent inflation-induced tax rate increases.</w:t>
      </w:r>
    </w:p>
    <w:p w:rsidR="004215A9" w:rsidP="008C5D1F" w14:paraId="5B56DD2F" w14:textId="77777777">
      <w:pPr>
        <w:rPr>
          <w:szCs w:val="24"/>
        </w:rPr>
      </w:pPr>
    </w:p>
    <w:p w:rsidR="00EC796E" w:rsidP="008C5D1F" w14:paraId="37108BA0" w14:textId="30EA0BEB">
      <w:pPr>
        <w:rPr>
          <w:szCs w:val="24"/>
        </w:rPr>
      </w:pPr>
      <w:r>
        <w:rPr>
          <w:szCs w:val="24"/>
        </w:rPr>
        <w:t xml:space="preserve">Shelter accounts for </w:t>
      </w:r>
      <w:r w:rsidR="00B65ADD">
        <w:rPr>
          <w:szCs w:val="24"/>
        </w:rPr>
        <w:t>35.5</w:t>
      </w:r>
      <w:r>
        <w:rPr>
          <w:szCs w:val="24"/>
        </w:rPr>
        <w:t>% of the CPI</w:t>
      </w:r>
      <w:r w:rsidR="005759CC">
        <w:rPr>
          <w:szCs w:val="24"/>
        </w:rPr>
        <w:t>-U</w:t>
      </w:r>
      <w:r>
        <w:rPr>
          <w:szCs w:val="24"/>
        </w:rPr>
        <w:t xml:space="preserve">’s </w:t>
      </w:r>
      <w:r w:rsidR="005E68E6">
        <w:rPr>
          <w:szCs w:val="24"/>
        </w:rPr>
        <w:t>r</w:t>
      </w:r>
      <w:r>
        <w:rPr>
          <w:szCs w:val="24"/>
        </w:rPr>
        <w:t xml:space="preserve">elative </w:t>
      </w:r>
      <w:r w:rsidR="005E68E6">
        <w:rPr>
          <w:szCs w:val="24"/>
        </w:rPr>
        <w:t>i</w:t>
      </w:r>
      <w:r>
        <w:rPr>
          <w:szCs w:val="24"/>
        </w:rPr>
        <w:t>mportance.</w:t>
      </w:r>
      <w:r w:rsidR="00C01143">
        <w:rPr>
          <w:szCs w:val="24"/>
        </w:rPr>
        <w:t xml:space="preserve"> Included in Shelter is Rent of primary residence (</w:t>
      </w:r>
      <w:r w:rsidR="000B2967">
        <w:rPr>
          <w:szCs w:val="24"/>
        </w:rPr>
        <w:t>7.</w:t>
      </w:r>
      <w:r w:rsidR="00B65ADD">
        <w:rPr>
          <w:szCs w:val="24"/>
        </w:rPr>
        <w:t>5</w:t>
      </w:r>
      <w:r w:rsidR="00C01143">
        <w:rPr>
          <w:szCs w:val="24"/>
        </w:rPr>
        <w:t>% relative importance) and Owners’ equivalent rent of residences (</w:t>
      </w:r>
      <w:r w:rsidR="005759CC">
        <w:rPr>
          <w:szCs w:val="24"/>
        </w:rPr>
        <w:t>26</w:t>
      </w:r>
      <w:r w:rsidR="000B2967">
        <w:rPr>
          <w:szCs w:val="24"/>
        </w:rPr>
        <w:t>.</w:t>
      </w:r>
      <w:r w:rsidR="00B65ADD">
        <w:rPr>
          <w:szCs w:val="24"/>
        </w:rPr>
        <w:t>3</w:t>
      </w:r>
      <w:r w:rsidR="00C01143">
        <w:rPr>
          <w:szCs w:val="24"/>
        </w:rPr>
        <w:t>% relative importance).</w:t>
      </w:r>
    </w:p>
    <w:p w:rsidR="00D9734D" w:rsidP="008C5D1F" w14:paraId="2C785B89" w14:textId="77777777"/>
    <w:p w:rsidR="00FB4333" w:rsidRPr="00D53DEB" w:rsidP="00FB4333" w14:paraId="0EE0B4CD" w14:textId="6899A109">
      <w:pPr>
        <w:rPr>
          <w:b/>
          <w:bCs/>
        </w:rPr>
      </w:pPr>
      <w:r>
        <w:rPr>
          <w:b/>
        </w:rPr>
        <w:t>3</w:t>
      </w:r>
      <w:r>
        <w:rPr>
          <w:b/>
        </w:rPr>
        <w:t>.</w:t>
      </w:r>
      <w:r>
        <w:rPr>
          <w:b/>
        </w:rPr>
        <w:t xml:space="preserve">  </w:t>
      </w:r>
      <w:r w:rsidRPr="00D53DEB">
        <w:rPr>
          <w:b/>
          <w:bCs/>
        </w:rPr>
        <w:t>Describe</w:t>
      </w:r>
      <w:r w:rsidRPr="00D53DEB">
        <w:rPr>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C5D1F" w:rsidP="008C5D1F" w14:paraId="512710A6" w14:textId="77777777"/>
    <w:p w:rsidR="008C5D1F" w:rsidP="008C5D1F" w14:paraId="62B6954E" w14:textId="2736CC1B">
      <w:r>
        <w:t xml:space="preserve">Utilizing </w:t>
      </w:r>
      <w:r w:rsidR="00EF2FEA">
        <w:t>C</w:t>
      </w:r>
      <w:r>
        <w:t>omputer-</w:t>
      </w:r>
      <w:r w:rsidR="00EF2FEA">
        <w:t>A</w:t>
      </w:r>
      <w:r>
        <w:t xml:space="preserve">ssisted </w:t>
      </w:r>
      <w:r w:rsidR="00EF2FEA">
        <w:t>D</w:t>
      </w:r>
      <w:r>
        <w:t xml:space="preserve">ata </w:t>
      </w:r>
      <w:r w:rsidR="00EF2FEA">
        <w:t>C</w:t>
      </w:r>
      <w:r>
        <w:t xml:space="preserve">ollection (CADC), </w:t>
      </w:r>
      <w:r w:rsidR="00A622C5">
        <w:t>trained BLS Economic Assistants (</w:t>
      </w:r>
      <w:r>
        <w:t>E</w:t>
      </w:r>
      <w:r w:rsidR="00A622C5">
        <w:t>A</w:t>
      </w:r>
      <w:r>
        <w:t>s</w:t>
      </w:r>
      <w:r w:rsidR="00A622C5">
        <w:t>)</w:t>
      </w:r>
      <w:r>
        <w:t xml:space="preserve"> determine if selected addresses are eligible for the Housing Survey</w:t>
      </w:r>
      <w:r w:rsidRPr="00796F12">
        <w:t xml:space="preserve"> </w:t>
      </w:r>
      <w:r>
        <w:t xml:space="preserve">(screening) by </w:t>
      </w:r>
      <w:r w:rsidR="005859AA">
        <w:t>mailing contact materials</w:t>
      </w:r>
      <w:r w:rsidR="00ED26A1">
        <w:t xml:space="preserve"> (Attachments</w:t>
      </w:r>
      <w:r w:rsidR="0021132C">
        <w:t xml:space="preserve"> </w:t>
      </w:r>
      <w:r w:rsidR="00890EED">
        <w:t>VII and VIII</w:t>
      </w:r>
      <w:r w:rsidR="00ED26A1">
        <w:t>)</w:t>
      </w:r>
      <w:r w:rsidR="005859AA">
        <w:t xml:space="preserve">, </w:t>
      </w:r>
      <w:r>
        <w:t>making personal visits</w:t>
      </w:r>
      <w:r w:rsidR="005859AA">
        <w:t>,</w:t>
      </w:r>
      <w:r>
        <w:t xml:space="preserve"> or </w:t>
      </w:r>
      <w:r w:rsidR="005859AA">
        <w:t xml:space="preserve">conducting </w:t>
      </w:r>
      <w:r>
        <w:t xml:space="preserve">telephone </w:t>
      </w:r>
      <w:r w:rsidR="00A622C5">
        <w:t>interviews</w:t>
      </w:r>
      <w:r w:rsidR="003763C4">
        <w:t xml:space="preserve">. </w:t>
      </w:r>
      <w:r w:rsidR="00A622C5">
        <w:t xml:space="preserve">Eligible </w:t>
      </w:r>
      <w:r w:rsidR="003F2C71">
        <w:t>rental</w:t>
      </w:r>
      <w:r w:rsidR="00A622C5">
        <w:t xml:space="preserve"> units </w:t>
      </w:r>
      <w:r>
        <w:t xml:space="preserve">are initiated into the sample by collecting </w:t>
      </w:r>
      <w:r w:rsidR="00CC2716">
        <w:t xml:space="preserve">information on </w:t>
      </w:r>
      <w:r>
        <w:t>the rent that is paid and specific housing services that are associated with the unit</w:t>
      </w:r>
      <w:r w:rsidR="003763C4">
        <w:t xml:space="preserve">. </w:t>
      </w:r>
      <w:r>
        <w:t>Once initiated, EAs collect all data utilizing CADC by</w:t>
      </w:r>
      <w:r w:rsidR="00544117">
        <w:t xml:space="preserve"> </w:t>
      </w:r>
      <w:r w:rsidR="005859AA">
        <w:t xml:space="preserve">contacting respondents </w:t>
      </w:r>
      <w:r w:rsidR="00544117">
        <w:t>primarily by</w:t>
      </w:r>
      <w:r>
        <w:t xml:space="preserve"> telephone</w:t>
      </w:r>
      <w:r w:rsidR="00024D0F">
        <w:t>,</w:t>
      </w:r>
      <w:r>
        <w:t xml:space="preserve"> or by personal visit</w:t>
      </w:r>
      <w:r w:rsidR="003763C4">
        <w:t xml:space="preserve">. </w:t>
      </w:r>
      <w:r w:rsidR="00544117">
        <w:t xml:space="preserve">There are special circumstances when data can be collected by email or fax using a form </w:t>
      </w:r>
      <w:r w:rsidR="007D2D96">
        <w:t>(Attachments</w:t>
      </w:r>
      <w:r w:rsidR="00EA2E21">
        <w:t xml:space="preserve"> </w:t>
      </w:r>
      <w:r w:rsidR="00890EED">
        <w:t>XI, XII, and XIII</w:t>
      </w:r>
      <w:r w:rsidR="007D2D96">
        <w:t xml:space="preserve">) </w:t>
      </w:r>
      <w:r w:rsidR="00544117">
        <w:t xml:space="preserve">that the respondent can complete and return. </w:t>
      </w:r>
      <w:r w:rsidRPr="00375C20" w:rsidR="00375C20">
        <w:t xml:space="preserve">Previously there were short and long pricing shuttle forms, these forms have been consolidated into a single form that the data collector modifies based on the type of interview being conducted. This reduces maintenance and translation expenses. </w:t>
      </w:r>
      <w:r>
        <w:t>Respondents may be the renters, managers, or landlords of the selected dwellings</w:t>
      </w:r>
      <w:r w:rsidR="003763C4">
        <w:t xml:space="preserve">. </w:t>
      </w:r>
      <w:r>
        <w:t xml:space="preserve">This process greatly reduces the amount of time EAs spend collecting and transmitting data to </w:t>
      </w:r>
      <w:smartTag w:uri="urn:schemas-microsoft-com:office:smarttags" w:element="place">
        <w:smartTag w:uri="urn:schemas-microsoft-com:office:smarttags" w:element="State">
          <w:r>
            <w:t>Washington</w:t>
          </w:r>
        </w:smartTag>
      </w:smartTag>
      <w:r>
        <w:t>.</w:t>
      </w:r>
    </w:p>
    <w:p w:rsidR="008C5D1F" w:rsidP="008C5D1F" w14:paraId="118ACBD9" w14:textId="77777777"/>
    <w:p w:rsidR="008C5D1F" w:rsidP="008C5D1F" w14:paraId="14BAF6A3" w14:textId="4C1464CE">
      <w:r>
        <w:t>The Housing Data Collection Manual (HDCM) gives detailed directions for conducting and completing the interview</w:t>
      </w:r>
      <w:r w:rsidR="003763C4">
        <w:t xml:space="preserve">. </w:t>
      </w:r>
      <w:r>
        <w:t xml:space="preserve">The HDCM is approximately </w:t>
      </w:r>
      <w:r w:rsidR="00A8106A">
        <w:t xml:space="preserve">300 </w:t>
      </w:r>
      <w:r>
        <w:t xml:space="preserve">pages and is revised </w:t>
      </w:r>
      <w:r w:rsidR="00F9119E">
        <w:t>when</w:t>
      </w:r>
      <w:r>
        <w:t xml:space="preserve"> there are changes to software or administrative procedures related to data collection</w:t>
      </w:r>
      <w:r w:rsidR="003763C4">
        <w:t xml:space="preserve">. </w:t>
      </w:r>
      <w:r>
        <w:t>The HDCM</w:t>
      </w:r>
      <w:r>
        <w:t xml:space="preserve"> is available on the computers used by EAs for quick reference while in the field.  </w:t>
      </w:r>
    </w:p>
    <w:p w:rsidR="00397467" w:rsidP="008C5D1F" w14:paraId="5EC4FC75" w14:textId="77777777"/>
    <w:p w:rsidR="00F43B74" w:rsidP="008C5D1F" w14:paraId="193091B2" w14:textId="29293DDB">
      <w:r w:rsidRPr="00401F3F">
        <w:t xml:space="preserve">The BLS is also testing the feasibility of using alternative transaction data in lieu of in-person, telephone, and email data collected by the CPI survey program. </w:t>
      </w:r>
      <w:r w:rsidRPr="00401F3F">
        <w:t>Housing alternative</w:t>
      </w:r>
      <w:r w:rsidRPr="00401F3F">
        <w:t xml:space="preserve"> data sources are sent by Secure File Transfer Protocol (SFTP). In the future, data transfer will be carried out by a BLS Internet Data Collection Facility (IDCF). </w:t>
      </w:r>
      <w:r w:rsidRPr="00401F3F">
        <w:t>The majority of</w:t>
      </w:r>
      <w:r w:rsidRPr="00401F3F">
        <w:t xml:space="preserve"> the data are for a significant portion of the CPI housing rental sample. Housing alternative data sources </w:t>
      </w:r>
      <w:r w:rsidRPr="00401F3F">
        <w:t>reduce</w:t>
      </w:r>
      <w:r w:rsidRPr="00401F3F">
        <w:t xml:space="preserve"> the amount of time spent by EAs to collect unit level rent transactions from respondents.</w:t>
      </w:r>
      <w:r>
        <w:t xml:space="preserve"> </w:t>
      </w:r>
      <w:r>
        <w:t xml:space="preserve">Further information about the use of alternative data is attached, focusing upon API usage, web-scraping, and corporate data (Attachments </w:t>
      </w:r>
      <w:r w:rsidR="00890EED">
        <w:t>XIV and XV</w:t>
      </w:r>
      <w:r>
        <w:t>).</w:t>
      </w:r>
    </w:p>
    <w:p w:rsidR="001E2965" w:rsidP="008C5D1F" w14:paraId="29B57CFB" w14:textId="77777777"/>
    <w:p w:rsidR="001E2965" w:rsidRPr="001E2965" w:rsidP="008C5D1F" w14:paraId="7959BE35" w14:textId="7CBD929D">
      <w:pPr>
        <w:rPr>
          <w:szCs w:val="24"/>
        </w:rPr>
      </w:pPr>
      <w:r>
        <w:rPr>
          <w:szCs w:val="24"/>
        </w:rPr>
        <w:t>T</w:t>
      </w:r>
      <w:r w:rsidRPr="00322403">
        <w:rPr>
          <w:szCs w:val="24"/>
        </w:rPr>
        <w:t xml:space="preserve">he </w:t>
      </w:r>
      <w:r w:rsidRPr="00322403" w:rsidR="00397467">
        <w:rPr>
          <w:szCs w:val="24"/>
        </w:rPr>
        <w:t xml:space="preserve">top priority of the CPI program is the health, safety, and well-being of all staff.  </w:t>
      </w:r>
      <w:r w:rsidRPr="00322403" w:rsidR="00397467">
        <w:rPr>
          <w:szCs w:val="24"/>
        </w:rPr>
        <w:t>In an effort to</w:t>
      </w:r>
      <w:r w:rsidRPr="00322403" w:rsidR="00397467">
        <w:rPr>
          <w:szCs w:val="24"/>
        </w:rPr>
        <w:t xml:space="preserve"> ensure the safety of data collection staff, personal visit data collection for the </w:t>
      </w:r>
      <w:r w:rsidR="00404B75">
        <w:rPr>
          <w:szCs w:val="24"/>
        </w:rPr>
        <w:t>Housing</w:t>
      </w:r>
      <w:r w:rsidRPr="00322403" w:rsidR="00397467">
        <w:rPr>
          <w:szCs w:val="24"/>
        </w:rPr>
        <w:t xml:space="preserve"> survey </w:t>
      </w:r>
      <w:r w:rsidR="00B91F27">
        <w:rPr>
          <w:szCs w:val="24"/>
        </w:rPr>
        <w:t>was</w:t>
      </w:r>
      <w:r w:rsidRPr="00322403" w:rsidR="00397467">
        <w:rPr>
          <w:szCs w:val="24"/>
        </w:rPr>
        <w:t xml:space="preserve"> suspended and personal visit collection burden </w:t>
      </w:r>
      <w:r w:rsidR="00E609CF">
        <w:rPr>
          <w:szCs w:val="24"/>
        </w:rPr>
        <w:t>was</w:t>
      </w:r>
      <w:r w:rsidRPr="00322403" w:rsidR="00397467">
        <w:rPr>
          <w:szCs w:val="24"/>
        </w:rPr>
        <w:t xml:space="preserve"> reduced to zero</w:t>
      </w:r>
      <w:r w:rsidR="00B91F27">
        <w:rPr>
          <w:szCs w:val="24"/>
        </w:rPr>
        <w:t xml:space="preserve"> from mid-March 2020 to </w:t>
      </w:r>
      <w:r w:rsidRPr="00B62605" w:rsidR="00B91F27">
        <w:rPr>
          <w:szCs w:val="24"/>
        </w:rPr>
        <w:t>February 2022</w:t>
      </w:r>
      <w:r w:rsidRPr="00322403" w:rsidR="00397467">
        <w:rPr>
          <w:szCs w:val="24"/>
        </w:rPr>
        <w:t>. </w:t>
      </w:r>
      <w:r w:rsidR="00272FA3">
        <w:rPr>
          <w:szCs w:val="24"/>
        </w:rPr>
        <w:t xml:space="preserve">During this </w:t>
      </w:r>
      <w:r w:rsidR="00272FA3">
        <w:rPr>
          <w:szCs w:val="24"/>
        </w:rPr>
        <w:t>time period</w:t>
      </w:r>
      <w:r w:rsidR="00272FA3">
        <w:rPr>
          <w:szCs w:val="24"/>
        </w:rPr>
        <w:t>, d</w:t>
      </w:r>
      <w:r w:rsidRPr="00322403" w:rsidR="00272FA3">
        <w:rPr>
          <w:szCs w:val="24"/>
        </w:rPr>
        <w:t xml:space="preserve">ata </w:t>
      </w:r>
      <w:r w:rsidR="00272FA3">
        <w:rPr>
          <w:szCs w:val="24"/>
        </w:rPr>
        <w:t>were</w:t>
      </w:r>
      <w:r w:rsidRPr="00322403" w:rsidR="00272FA3">
        <w:rPr>
          <w:szCs w:val="24"/>
        </w:rPr>
        <w:t xml:space="preserve"> </w:t>
      </w:r>
      <w:r w:rsidR="00272FA3">
        <w:rPr>
          <w:szCs w:val="24"/>
        </w:rPr>
        <w:t>collected</w:t>
      </w:r>
      <w:r w:rsidRPr="00322403" w:rsidR="00272FA3">
        <w:rPr>
          <w:szCs w:val="24"/>
        </w:rPr>
        <w:t xml:space="preserve"> via telephone, email, internet</w:t>
      </w:r>
      <w:r w:rsidR="00272FA3">
        <w:rPr>
          <w:szCs w:val="24"/>
        </w:rPr>
        <w:t xml:space="preserve">, and </w:t>
      </w:r>
      <w:r w:rsidR="00E609CF">
        <w:rPr>
          <w:szCs w:val="24"/>
        </w:rPr>
        <w:t>shuttle forms</w:t>
      </w:r>
      <w:r w:rsidRPr="00322403" w:rsidR="00272FA3">
        <w:rPr>
          <w:szCs w:val="24"/>
        </w:rPr>
        <w:t>.</w:t>
      </w:r>
      <w:r w:rsidR="00272FA3">
        <w:rPr>
          <w:szCs w:val="24"/>
        </w:rPr>
        <w:t xml:space="preserve"> Beginning in March 2022, and following guidance from the federal, state, and local governments, data collection started resuming the use of personal visits.</w:t>
      </w:r>
    </w:p>
    <w:p w:rsidR="00D9734D" w:rsidP="008C5D1F" w14:paraId="205C7123" w14:textId="77777777"/>
    <w:p w:rsidR="00FB4333" w:rsidRPr="00D53DEB" w:rsidP="00FB4333" w14:paraId="330EBB25" w14:textId="3C440EEA">
      <w:r>
        <w:rPr>
          <w:b/>
        </w:rPr>
        <w:t>4</w:t>
      </w:r>
      <w:r>
        <w:rPr>
          <w:b/>
        </w:rPr>
        <w:t>.</w:t>
      </w:r>
      <w:r>
        <w:rPr>
          <w:b/>
        </w:rPr>
        <w:t xml:space="preserve">  </w:t>
      </w:r>
      <w:r w:rsidRPr="00D53DEB">
        <w:rPr>
          <w:b/>
          <w:bCs/>
        </w:rPr>
        <w:t>Describe</w:t>
      </w:r>
      <w:r w:rsidRPr="00D53DEB">
        <w:rPr>
          <w:b/>
          <w:bCs/>
        </w:rPr>
        <w:t xml:space="preserve"> efforts to identify duplication.  Show specifically why any similar information already available cannot be used or modified for use for the purposes described in Item A.2 above.</w:t>
      </w:r>
    </w:p>
    <w:p w:rsidR="008C5D1F" w:rsidP="008C5D1F" w14:paraId="3B77F652" w14:textId="77777777"/>
    <w:p w:rsidR="008C5D1F" w:rsidP="008C5D1F" w14:paraId="04316CE0" w14:textId="5D883682">
      <w:r>
        <w:t>The CPI is the nation's chief source of information on retail price changes</w:t>
      </w:r>
      <w:r w:rsidR="003763C4">
        <w:t xml:space="preserve">. </w:t>
      </w:r>
      <w:r>
        <w:t>The BLS has made extensive efforts to identify, from other government agencies and the scientific literature, other sources of data</w:t>
      </w:r>
      <w:r w:rsidR="003763C4">
        <w:t xml:space="preserve">. </w:t>
      </w:r>
      <w:r>
        <w:t xml:space="preserve">To the BLS's knowledge, there is no duplication of indexes and </w:t>
      </w:r>
      <w:r w:rsidR="00E2531D">
        <w:t xml:space="preserve">there is </w:t>
      </w:r>
      <w:r>
        <w:t>no other series available which performs the function of the CPI.</w:t>
      </w:r>
    </w:p>
    <w:p w:rsidR="008C5D1F" w:rsidP="008C5D1F" w14:paraId="772A92FB" w14:textId="77777777"/>
    <w:p w:rsidR="008C5D1F" w:rsidP="008C5D1F" w14:paraId="37559D92" w14:textId="40F9E2F2">
      <w:r>
        <w:t>The CPI Housing Survey is the nation's primary source of information on residential rent change</w:t>
      </w:r>
      <w:r w:rsidR="003763C4">
        <w:t xml:space="preserve">. </w:t>
      </w:r>
      <w:r>
        <w:t xml:space="preserve">In addition, </w:t>
      </w:r>
      <w:r w:rsidR="00E2531D">
        <w:t xml:space="preserve">the </w:t>
      </w:r>
      <w:r>
        <w:t>CPI Housing data must be timely and available monthly</w:t>
      </w:r>
      <w:r w:rsidR="003763C4">
        <w:t xml:space="preserve">. </w:t>
      </w:r>
      <w:r>
        <w:t>No other survey is both as timely and geographically comprehensive</w:t>
      </w:r>
      <w:r w:rsidR="003763C4">
        <w:t xml:space="preserve">. </w:t>
      </w:r>
      <w:r>
        <w:t>The information provided by the American Housing Survey</w:t>
      </w:r>
      <w:r w:rsidR="00474303">
        <w:t xml:space="preserve"> (AHS)</w:t>
      </w:r>
      <w:r>
        <w:t xml:space="preserve">, Current Population Survey </w:t>
      </w:r>
      <w:r w:rsidR="00474303">
        <w:t xml:space="preserve">(CPS) </w:t>
      </w:r>
      <w:r>
        <w:t xml:space="preserve">or American Community Survey </w:t>
      </w:r>
      <w:r w:rsidR="00474303">
        <w:t xml:space="preserve">(ACS) </w:t>
      </w:r>
      <w:r>
        <w:t>do</w:t>
      </w:r>
      <w:r w:rsidR="00E2531D">
        <w:t>es</w:t>
      </w:r>
      <w:r>
        <w:t xml:space="preserve"> not meet the CPI’s timeliness or geographic requirements.</w:t>
      </w:r>
    </w:p>
    <w:p w:rsidR="00023235" w:rsidP="008C5D1F" w14:paraId="5F6C961D" w14:textId="77777777">
      <w:pPr>
        <w:rPr>
          <w:b/>
        </w:rPr>
      </w:pPr>
    </w:p>
    <w:p w:rsidR="00FB4333" w:rsidRPr="00D53DEB" w:rsidP="00FB4333" w14:paraId="77C94C81" w14:textId="188C8839">
      <w:pPr>
        <w:rPr>
          <w:b/>
          <w:bCs/>
        </w:rPr>
      </w:pPr>
      <w:r>
        <w:rPr>
          <w:b/>
        </w:rPr>
        <w:t>5</w:t>
      </w:r>
      <w:r>
        <w:rPr>
          <w:b/>
        </w:rPr>
        <w:t>.</w:t>
      </w:r>
      <w:r>
        <w:rPr>
          <w:b/>
        </w:rPr>
        <w:t xml:space="preserve">  </w:t>
      </w:r>
      <w:r w:rsidRPr="00D53DEB">
        <w:rPr>
          <w:b/>
          <w:bCs/>
        </w:rPr>
        <w:t>If</w:t>
      </w:r>
      <w:r w:rsidRPr="00D53DEB">
        <w:rPr>
          <w:b/>
          <w:bCs/>
        </w:rPr>
        <w:t xml:space="preserve"> the collection of information impacts small businesses or other small entities, describe any methods used to minimize burden.</w:t>
      </w:r>
    </w:p>
    <w:p w:rsidR="008C5D1F" w:rsidP="008C5D1F" w14:paraId="402ACDF9" w14:textId="77777777"/>
    <w:p w:rsidR="008C5D1F" w:rsidP="008C5D1F" w14:paraId="452C962F" w14:textId="171119EE">
      <w:r>
        <w:t>The Housing Survey is aimed at rental housing</w:t>
      </w:r>
      <w:r w:rsidR="003763C4">
        <w:t xml:space="preserve">. </w:t>
      </w:r>
      <w:r>
        <w:t>Some respondents are the owners</w:t>
      </w:r>
      <w:r w:rsidR="00C454A5">
        <w:t xml:space="preserve">, </w:t>
      </w:r>
      <w:r>
        <w:t>managers</w:t>
      </w:r>
      <w:r w:rsidR="00C454A5">
        <w:t>, or authorized representatives</w:t>
      </w:r>
      <w:r>
        <w:t xml:space="preserve"> of housing complexes, some of which are small businesses</w:t>
      </w:r>
      <w:r w:rsidR="003763C4">
        <w:t xml:space="preserve">. </w:t>
      </w:r>
      <w:r w:rsidR="00C454A5">
        <w:t>T</w:t>
      </w:r>
      <w:r>
        <w:t xml:space="preserve">heir designation as a small business is not collected.  </w:t>
      </w:r>
    </w:p>
    <w:p w:rsidR="008C5D1F" w:rsidP="008C5D1F" w14:paraId="5A8A62E9" w14:textId="77777777"/>
    <w:p w:rsidR="008C5D1F" w:rsidP="008C5D1F" w14:paraId="0A017CAF" w14:textId="5969C25B">
      <w:r>
        <w:t>Through software developed for the use of CADC, a pricing module for multiple-unit addresses enables data to be collected from a single respondent for several units</w:t>
      </w:r>
      <w:r w:rsidR="003763C4">
        <w:t xml:space="preserve">. </w:t>
      </w:r>
      <w:r>
        <w:t>This pricing pod is called the Interview Group (IG)</w:t>
      </w:r>
      <w:r w:rsidR="003763C4">
        <w:t xml:space="preserve">. </w:t>
      </w:r>
      <w:r>
        <w:t>IG collection from one respondent is more efficient in that respondent burden is reduced</w:t>
      </w:r>
      <w:r w:rsidR="003763C4">
        <w:t xml:space="preserve">. </w:t>
      </w:r>
      <w:r>
        <w:t>IGs are formed over time as EAs become more familiar with their address collection assignments</w:t>
      </w:r>
      <w:r w:rsidR="003763C4">
        <w:t xml:space="preserve">. </w:t>
      </w:r>
      <w:r>
        <w:t xml:space="preserve">This function in the collection instrument has reduced </w:t>
      </w:r>
      <w:r>
        <w:t>burden</w:t>
      </w:r>
      <w:r>
        <w:t xml:space="preserve"> for respondents.  </w:t>
      </w:r>
    </w:p>
    <w:p w:rsidR="008C5D1F" w:rsidP="008C5D1F" w14:paraId="75295FA2" w14:textId="77777777"/>
    <w:p w:rsidR="00023235" w:rsidRPr="00D411EF" w:rsidP="008C5D1F" w14:paraId="6C7F466E" w14:textId="77777777"/>
    <w:p w:rsidR="00FB4333" w:rsidRPr="00D53DEB" w:rsidP="00FB4333" w14:paraId="4D754254" w14:textId="1BCBDC10">
      <w:pPr>
        <w:rPr>
          <w:b/>
          <w:bCs/>
        </w:rPr>
      </w:pPr>
      <w:r w:rsidRPr="00100EFA">
        <w:rPr>
          <w:b/>
        </w:rPr>
        <w:t>6</w:t>
      </w:r>
      <w:r w:rsidRPr="00100EFA">
        <w:rPr>
          <w:b/>
        </w:rPr>
        <w:t>.</w:t>
      </w:r>
      <w:r>
        <w:rPr>
          <w:b/>
          <w:bCs/>
        </w:rPr>
        <w:t xml:space="preserve">  </w:t>
      </w:r>
      <w:r w:rsidRPr="00D53DEB">
        <w:rPr>
          <w:b/>
          <w:bCs/>
        </w:rPr>
        <w:t>Describe</w:t>
      </w:r>
      <w:r w:rsidRPr="00D53DEB">
        <w:rPr>
          <w:b/>
          <w:bCs/>
        </w:rPr>
        <w:t xml:space="preserve"> the consequence to federal program or policy activities if the collection is not conducted or is conducted less frequently, as well as any technical or legal obstacles to reducing burden.</w:t>
      </w:r>
    </w:p>
    <w:p w:rsidR="00FB4333" w:rsidP="008C5D1F" w14:paraId="056A5FE1" w14:textId="77777777"/>
    <w:p w:rsidR="008C5D1F" w:rsidRPr="00D411EF" w:rsidP="008C5D1F" w14:paraId="38721D3E" w14:textId="484475DC">
      <w:r w:rsidRPr="00D411EF">
        <w:t xml:space="preserve">If the information on prices of </w:t>
      </w:r>
      <w:r>
        <w:t>rental units</w:t>
      </w:r>
      <w:r w:rsidRPr="00D411EF">
        <w:t xml:space="preserve"> were not collected, all the programs discussed in items (1) and (2) above could not function properly</w:t>
      </w:r>
      <w:r w:rsidR="003763C4">
        <w:t xml:space="preserve">. </w:t>
      </w:r>
      <w:r w:rsidRPr="00D411EF">
        <w:t xml:space="preserve">Federal fiscal and monetary policies would be hampered due to the lack of information on price changes in a major sector of the </w:t>
      </w:r>
      <w:smartTag w:uri="urn:schemas-microsoft-com:office:smarttags" w:element="place">
        <w:smartTag w:uri="urn:schemas-microsoft-com:office:smarttags" w:element="country-region">
          <w:r w:rsidRPr="00D411EF">
            <w:t>U.S.</w:t>
          </w:r>
        </w:smartTag>
      </w:smartTag>
      <w:r w:rsidRPr="00D411EF">
        <w:t xml:space="preserve"> economy and estimates of the real value of G</w:t>
      </w:r>
      <w:r>
        <w:t>DP</w:t>
      </w:r>
      <w:r w:rsidRPr="00D411EF">
        <w:t xml:space="preserve"> could not be made</w:t>
      </w:r>
      <w:r w:rsidR="003763C4">
        <w:t xml:space="preserve">. </w:t>
      </w:r>
      <w:r w:rsidRPr="00D411EF">
        <w:t xml:space="preserve">The consequences </w:t>
      </w:r>
      <w:r w:rsidRPr="00D411EF">
        <w:t>to</w:t>
      </w:r>
      <w:r w:rsidRPr="00D411EF">
        <w:t xml:space="preserve"> both the Federal and private sectors would be far-reaching and would have serious repercussions on Federal government policy and institutions.</w:t>
      </w:r>
    </w:p>
    <w:p w:rsidR="008C5D1F" w:rsidRPr="00D411EF" w:rsidP="008C5D1F" w14:paraId="0CD89B62" w14:textId="77777777"/>
    <w:p w:rsidR="008C5D1F" w:rsidRPr="00D411EF" w:rsidP="008C5D1F" w14:paraId="6CCDB97E" w14:textId="77777777">
      <w:r w:rsidRPr="00D411EF">
        <w:t>If collection were conducted less frequently, the timeliness and accuracy of the CPI would be significantly decreased.</w:t>
      </w:r>
    </w:p>
    <w:p w:rsidR="002204F1" w:rsidRPr="00D411EF" w:rsidP="008C5D1F" w14:paraId="76A884B2" w14:textId="77777777"/>
    <w:p w:rsidR="00FB4333" w:rsidRPr="00D53DEB" w:rsidP="00FB4333" w14:paraId="725F4331" w14:textId="44DA985A">
      <w:r w:rsidRPr="007F3740">
        <w:rPr>
          <w:b/>
        </w:rPr>
        <w:t>7</w:t>
      </w:r>
      <w:r w:rsidRPr="007F3740">
        <w:rPr>
          <w:b/>
        </w:rPr>
        <w:t>.</w:t>
      </w:r>
      <w:r>
        <w:rPr>
          <w:b/>
        </w:rPr>
        <w:t xml:space="preserve">  </w:t>
      </w:r>
      <w:r w:rsidRPr="00D53DEB">
        <w:rPr>
          <w:b/>
          <w:bCs/>
        </w:rPr>
        <w:t>Explain</w:t>
      </w:r>
      <w:r w:rsidRPr="00D53DEB">
        <w:rPr>
          <w:b/>
          <w:bCs/>
        </w:rPr>
        <w:t xml:space="preserve"> any special circumstances that would cause an information collection to be conducted in a manner:</w:t>
      </w:r>
    </w:p>
    <w:p w:rsidR="00FB4333" w:rsidRPr="00B65823" w:rsidP="00FB4333" w14:paraId="4BA1A2A4" w14:textId="77777777">
      <w:pPr>
        <w:rPr>
          <w:b/>
        </w:rPr>
      </w:pPr>
    </w:p>
    <w:p w:rsidR="00FB4333" w:rsidRPr="003E1039" w:rsidP="00FB4333" w14:paraId="12E94087"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report information to the agency more often than </w:t>
      </w:r>
      <w:r w:rsidRPr="003E1039">
        <w:rPr>
          <w:b/>
          <w:bCs/>
        </w:rPr>
        <w:t>quarterly;</w:t>
      </w:r>
    </w:p>
    <w:p w:rsidR="00FB4333" w:rsidRPr="003E1039" w:rsidP="00FB4333" w14:paraId="195D3172"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prepare a written response to a collection of information in fewer than 30 days after receipt of </w:t>
      </w:r>
      <w:r w:rsidRPr="003E1039">
        <w:rPr>
          <w:b/>
          <w:bCs/>
        </w:rPr>
        <w:t>it;</w:t>
      </w:r>
    </w:p>
    <w:p w:rsidR="00FB4333" w:rsidRPr="003E1039" w:rsidP="00FB4333" w14:paraId="273E90F2"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submit more than an original and two copies of any </w:t>
      </w:r>
      <w:r w:rsidRPr="003E1039">
        <w:rPr>
          <w:b/>
          <w:bCs/>
        </w:rPr>
        <w:t>document;</w:t>
      </w:r>
    </w:p>
    <w:p w:rsidR="00FB4333" w:rsidRPr="003E1039" w:rsidP="00FB4333" w14:paraId="264B660A" w14:textId="77777777">
      <w:pPr>
        <w:numPr>
          <w:ilvl w:val="0"/>
          <w:numId w:val="6"/>
        </w:numPr>
        <w:tabs>
          <w:tab w:val="clear" w:pos="1080"/>
        </w:tabs>
        <w:autoSpaceDE w:val="0"/>
        <w:autoSpaceDN w:val="0"/>
        <w:adjustRightInd w:val="0"/>
        <w:spacing w:after="120"/>
        <w:rPr>
          <w:b/>
          <w:bCs/>
        </w:rPr>
      </w:pPr>
      <w:r w:rsidRPr="003E1039">
        <w:rPr>
          <w:b/>
          <w:bCs/>
        </w:rPr>
        <w:t xml:space="preserve">requiring respondents to retain records, other than health, medical, government contract, grant-in-aid, or tax records for more than three </w:t>
      </w:r>
      <w:r w:rsidRPr="003E1039">
        <w:rPr>
          <w:b/>
          <w:bCs/>
        </w:rPr>
        <w:t>years;</w:t>
      </w:r>
    </w:p>
    <w:p w:rsidR="00FB4333" w:rsidRPr="003E1039" w:rsidP="00FB4333" w14:paraId="3596441B" w14:textId="77777777">
      <w:pPr>
        <w:numPr>
          <w:ilvl w:val="0"/>
          <w:numId w:val="6"/>
        </w:numPr>
        <w:tabs>
          <w:tab w:val="clear" w:pos="1080"/>
        </w:tabs>
        <w:autoSpaceDE w:val="0"/>
        <w:autoSpaceDN w:val="0"/>
        <w:adjustRightInd w:val="0"/>
        <w:spacing w:after="120"/>
        <w:rPr>
          <w:b/>
          <w:bCs/>
        </w:rPr>
      </w:pPr>
      <w:r w:rsidRPr="003E1039">
        <w:rPr>
          <w:b/>
          <w:bCs/>
        </w:rPr>
        <w:t xml:space="preserve">in connection with a statistical survey, </w:t>
      </w:r>
      <w:r w:rsidRPr="003E1039">
        <w:rPr>
          <w:b/>
          <w:bCs/>
        </w:rPr>
        <w:t>that</w:t>
      </w:r>
      <w:r w:rsidRPr="003E1039">
        <w:rPr>
          <w:b/>
          <w:bCs/>
        </w:rPr>
        <w:t xml:space="preserve"> is not designed to produce valid and reliable results that can be generalized to the universe of study;</w:t>
      </w:r>
    </w:p>
    <w:p w:rsidR="00FB4333" w:rsidRPr="003E1039" w:rsidP="00FB4333" w14:paraId="60BF9BAB" w14:textId="77777777">
      <w:pPr>
        <w:numPr>
          <w:ilvl w:val="0"/>
          <w:numId w:val="6"/>
        </w:numPr>
        <w:tabs>
          <w:tab w:val="clear" w:pos="1080"/>
        </w:tabs>
        <w:autoSpaceDE w:val="0"/>
        <w:autoSpaceDN w:val="0"/>
        <w:adjustRightInd w:val="0"/>
        <w:spacing w:after="120"/>
        <w:rPr>
          <w:b/>
          <w:bCs/>
        </w:rPr>
      </w:pPr>
      <w:r w:rsidRPr="003E1039">
        <w:rPr>
          <w:b/>
          <w:bCs/>
        </w:rPr>
        <w:t xml:space="preserve">requiring the use of statistical data classification that has not been reviewed and approved by </w:t>
      </w:r>
      <w:r w:rsidRPr="003E1039">
        <w:rPr>
          <w:b/>
          <w:bCs/>
        </w:rPr>
        <w:t>OMB;</w:t>
      </w:r>
    </w:p>
    <w:p w:rsidR="00FB4333" w:rsidRPr="003E1039" w:rsidP="00FB4333" w14:paraId="31C3E37C" w14:textId="77777777">
      <w:pPr>
        <w:numPr>
          <w:ilvl w:val="0"/>
          <w:numId w:val="6"/>
        </w:numPr>
        <w:tabs>
          <w:tab w:val="clear" w:pos="1080"/>
        </w:tabs>
        <w:autoSpaceDE w:val="0"/>
        <w:autoSpaceDN w:val="0"/>
        <w:adjustRightInd w:val="0"/>
        <w:spacing w:after="120"/>
        <w:rPr>
          <w:b/>
          <w:bCs/>
        </w:rPr>
      </w:pPr>
      <w:r w:rsidRPr="003E1039">
        <w:rPr>
          <w:b/>
          <w:bCs/>
        </w:rPr>
        <w:t xml:space="preserve">that includes a pledge of </w:t>
      </w:r>
      <w:r w:rsidRPr="003E1039">
        <w:rPr>
          <w:b/>
          <w:bCs/>
        </w:rPr>
        <w:t>confidentially</w:t>
      </w:r>
      <w:r w:rsidRPr="003E1039">
        <w:rPr>
          <w:b/>
          <w:bCs/>
        </w:rPr>
        <w:t xml:space="preserve"> that is not supported by authority established in statute or regulation, </w:t>
      </w:r>
      <w:r w:rsidRPr="003E1039">
        <w:rPr>
          <w:b/>
          <w:bCs/>
        </w:rPr>
        <w:t>that</w:t>
      </w:r>
      <w:r w:rsidRPr="003E1039">
        <w:rPr>
          <w:b/>
          <w:bCs/>
        </w:rPr>
        <w:t xml:space="preserve"> is not supported by disclosure and data security policies that are consistent with the pledge, or which unnecessarily impedes sharing of data with other agencies for compatible confidential use; or</w:t>
      </w:r>
    </w:p>
    <w:p w:rsidR="00FB4333" w:rsidRPr="00B65823" w:rsidP="00FB4333" w14:paraId="42FAE942" w14:textId="77777777">
      <w:pPr>
        <w:numPr>
          <w:ilvl w:val="0"/>
          <w:numId w:val="6"/>
        </w:numPr>
        <w:tabs>
          <w:tab w:val="clear" w:pos="1080"/>
        </w:tabs>
        <w:autoSpaceDE w:val="0"/>
        <w:autoSpaceDN w:val="0"/>
        <w:adjustRightInd w:val="0"/>
        <w:rPr>
          <w:b/>
          <w:bCs/>
        </w:rPr>
      </w:pPr>
      <w:r w:rsidRPr="003E1039">
        <w:rPr>
          <w:b/>
          <w:bCs/>
        </w:rPr>
        <w:t>requiring</w:t>
      </w:r>
      <w:r w:rsidRPr="003E1039">
        <w:rPr>
          <w:b/>
          <w:bCs/>
        </w:rPr>
        <w:t xml:space="preserve"> respondents to submit proprietary trade secret, or other confidential information unless the agency can demonstrate that it has instituted procedures to protect the information's confidentially to the extent permitted by law.</w:t>
      </w:r>
    </w:p>
    <w:p w:rsidR="008C5D1F" w:rsidRPr="00D411EF" w:rsidP="008C5D1F" w14:paraId="265339F0" w14:textId="77777777">
      <w:pPr>
        <w:pStyle w:val="Header"/>
        <w:tabs>
          <w:tab w:val="clear" w:pos="4320"/>
          <w:tab w:val="clear" w:pos="8640"/>
        </w:tabs>
      </w:pPr>
    </w:p>
    <w:p w:rsidR="00E11EA0" w:rsidP="00E11EA0" w14:paraId="22F580F7" w14:textId="5416BE87">
      <w:pPr>
        <w:spacing w:line="240" w:lineRule="exact"/>
        <w:rPr>
          <w:szCs w:val="24"/>
        </w:rPr>
      </w:pPr>
      <w:r>
        <w:rPr>
          <w:szCs w:val="24"/>
        </w:rPr>
        <w:t>Most</w:t>
      </w:r>
      <w:r w:rsidRPr="00B62605">
        <w:rPr>
          <w:szCs w:val="24"/>
        </w:rPr>
        <w:t xml:space="preserve"> </w:t>
      </w:r>
      <w:r>
        <w:rPr>
          <w:szCs w:val="24"/>
        </w:rPr>
        <w:t>housing data</w:t>
      </w:r>
      <w:r w:rsidRPr="00B62605">
        <w:rPr>
          <w:szCs w:val="24"/>
        </w:rPr>
        <w:t xml:space="preserve"> are collected on a </w:t>
      </w:r>
      <w:r w:rsidR="0015798D">
        <w:rPr>
          <w:szCs w:val="24"/>
        </w:rPr>
        <w:t>semi-annual</w:t>
      </w:r>
      <w:r w:rsidRPr="00B62605">
        <w:rPr>
          <w:szCs w:val="24"/>
        </w:rPr>
        <w:t xml:space="preserve"> basis. This </w:t>
      </w:r>
      <w:r w:rsidR="0015798D">
        <w:rPr>
          <w:szCs w:val="24"/>
        </w:rPr>
        <w:t>semi-</w:t>
      </w:r>
      <w:r w:rsidR="0015798D">
        <w:rPr>
          <w:szCs w:val="24"/>
        </w:rPr>
        <w:t xml:space="preserve">annual </w:t>
      </w:r>
      <w:r w:rsidRPr="00B62605">
        <w:rPr>
          <w:szCs w:val="24"/>
        </w:rPr>
        <w:t xml:space="preserve"> collection</w:t>
      </w:r>
      <w:r w:rsidRPr="00B62605">
        <w:rPr>
          <w:szCs w:val="24"/>
        </w:rPr>
        <w:t xml:space="preserve"> of price data enables the </w:t>
      </w:r>
      <w:r>
        <w:rPr>
          <w:szCs w:val="24"/>
        </w:rPr>
        <w:t>BLS</w:t>
      </w:r>
      <w:r w:rsidRPr="00B62605">
        <w:rPr>
          <w:szCs w:val="24"/>
        </w:rPr>
        <w:t xml:space="preserve"> to produce monthly </w:t>
      </w:r>
      <w:r>
        <w:rPr>
          <w:szCs w:val="24"/>
        </w:rPr>
        <w:t>CPI data</w:t>
      </w:r>
      <w:r w:rsidRPr="00B62605">
        <w:rPr>
          <w:szCs w:val="24"/>
        </w:rPr>
        <w:t>.</w:t>
      </w:r>
      <w:r>
        <w:rPr>
          <w:szCs w:val="24"/>
        </w:rPr>
        <w:t xml:space="preserve"> </w:t>
      </w:r>
      <w:r w:rsidRPr="0077673C">
        <w:rPr>
          <w:szCs w:val="24"/>
        </w:rPr>
        <w:t xml:space="preserve">Currently, the </w:t>
      </w:r>
      <w:r>
        <w:rPr>
          <w:szCs w:val="24"/>
        </w:rPr>
        <w:t>CPI</w:t>
      </w:r>
      <w:r w:rsidRPr="0077673C">
        <w:rPr>
          <w:szCs w:val="24"/>
        </w:rPr>
        <w:t xml:space="preserve"> Press Release is published during the second or third week of the month following the reference period.</w:t>
      </w:r>
    </w:p>
    <w:p w:rsidR="008C5D1F" w:rsidRPr="00D411EF" w:rsidP="008C5D1F" w14:paraId="61E27072" w14:textId="77777777">
      <w:r w:rsidRPr="00D411EF">
        <w:t>All data are collected in a manner consistent with the guidelines in 5 CFR 1320.5.(d)(2).</w:t>
      </w:r>
    </w:p>
    <w:p w:rsidR="008C5D1F" w:rsidP="008C5D1F" w14:paraId="4700B176" w14:textId="77777777"/>
    <w:p w:rsidR="00023235" w:rsidRPr="00D411EF" w:rsidP="008C5D1F" w14:paraId="69BDD87B" w14:textId="77777777"/>
    <w:p w:rsidR="00FB4333" w:rsidRPr="00D53DEB" w:rsidP="00FB4333" w14:paraId="04FD1B84" w14:textId="66E779B4">
      <w:r w:rsidRPr="00141CC0">
        <w:rPr>
          <w:b/>
          <w:szCs w:val="24"/>
        </w:rPr>
        <w:t>8</w:t>
      </w:r>
      <w:r w:rsidRPr="00141CC0">
        <w:rPr>
          <w:b/>
          <w:szCs w:val="24"/>
        </w:rPr>
        <w:t>.</w:t>
      </w:r>
      <w:r>
        <w:rPr>
          <w:b/>
          <w:szCs w:val="24"/>
        </w:rPr>
        <w:t xml:space="preserve">  </w:t>
      </w:r>
      <w:r w:rsidRPr="00D53DEB">
        <w:rPr>
          <w:b/>
          <w:bCs/>
        </w:rPr>
        <w:t>If</w:t>
      </w:r>
      <w:r w:rsidRPr="00D53DEB">
        <w:rPr>
          <w:b/>
          <w:bCs/>
        </w:rPr>
        <w:t xml:space="preserve"> applicable, provide a copy and identify the date and page number of </w:t>
      </w:r>
      <w:r w:rsidRPr="00D53DEB">
        <w:rPr>
          <w:b/>
          <w:bCs/>
        </w:rPr>
        <w:t>publication</w:t>
      </w:r>
      <w:r w:rsidRPr="00D53DEB">
        <w:rPr>
          <w:b/>
          <w:bCs/>
        </w:rPr>
        <w:t xml:space="preserve"> in the </w:t>
      </w:r>
      <w:r w:rsidRPr="00DD0C40">
        <w:rPr>
          <w:rStyle w:val="Heading2Char"/>
          <w:b/>
          <w:bCs/>
          <w:i/>
          <w:iCs/>
          <w:szCs w:val="24"/>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B4333" w:rsidRPr="00B65823" w:rsidP="00FB4333" w14:paraId="7D15421C" w14:textId="77777777">
      <w:pPr>
        <w:rPr>
          <w:b/>
        </w:rPr>
      </w:pPr>
    </w:p>
    <w:p w:rsidR="00FB4333" w:rsidRPr="00D53DEB" w:rsidP="00FB4333" w14:paraId="3396297C" w14:textId="77777777">
      <w:pPr>
        <w:rPr>
          <w:b/>
          <w:bCs/>
        </w:rPr>
      </w:pPr>
      <w:r w:rsidRPr="00D53DEB">
        <w:rPr>
          <w:b/>
          <w:bCs/>
        </w:rPr>
        <w:t xml:space="preserve">Describe efforts to consult with </w:t>
      </w:r>
      <w:r w:rsidRPr="00D53DEB">
        <w:rPr>
          <w:b/>
          <w:bCs/>
        </w:rPr>
        <w:t>persons</w:t>
      </w:r>
      <w:r w:rsidRPr="00D53DEB">
        <w:rPr>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B4333" w:rsidRPr="00D53DEB" w:rsidP="00FB4333" w14:paraId="22C257A2" w14:textId="77777777">
      <w:pPr>
        <w:rPr>
          <w:b/>
          <w:bCs/>
        </w:rPr>
      </w:pPr>
    </w:p>
    <w:p w:rsidR="00FB4333" w:rsidP="00FB4333" w14:paraId="14A8B6AC" w14:textId="77777777">
      <w:pPr>
        <w:rPr>
          <w:b/>
          <w:bCs/>
        </w:rPr>
      </w:pPr>
      <w:r w:rsidRPr="00D53DEB">
        <w:rPr>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0159FC" w:rsidRPr="00D53DEB" w:rsidP="00FB4333" w14:paraId="5A8BF353" w14:textId="77777777"/>
    <w:p w:rsidR="00027A04" w:rsidP="00027A04" w14:paraId="29ED192A" w14:textId="77777777">
      <w:pPr>
        <w:ind w:left="720" w:hanging="720"/>
        <w:rPr>
          <w:u w:val="single"/>
        </w:rPr>
      </w:pPr>
      <w:r>
        <w:rPr>
          <w:u w:val="single"/>
        </w:rPr>
        <w:t>Federal Register Notice</w:t>
      </w:r>
    </w:p>
    <w:p w:rsidR="00AD6C24" w:rsidP="00027A04" w14:paraId="73321DF5" w14:textId="77777777">
      <w:pPr>
        <w:ind w:left="720" w:hanging="720"/>
        <w:rPr>
          <w:u w:val="single"/>
        </w:rPr>
      </w:pPr>
    </w:p>
    <w:p w:rsidR="00D9734D" w:rsidP="00027A04" w14:paraId="7EA705C3" w14:textId="5A0907E8">
      <w:pPr>
        <w:tabs>
          <w:tab w:val="left" w:pos="480"/>
          <w:tab w:val="left" w:pos="1170"/>
          <w:tab w:val="left" w:pos="1800"/>
          <w:tab w:val="left" w:pos="2760"/>
        </w:tabs>
        <w:spacing w:after="120"/>
      </w:pPr>
      <w:r>
        <w:t xml:space="preserve">One comment has been received </w:t>
      </w:r>
      <w:r>
        <w:t>as a result of</w:t>
      </w:r>
      <w:r>
        <w:t xml:space="preserve"> the notice published in the Federal Register, 89 FR </w:t>
      </w:r>
      <w:r>
        <w:t>86373</w:t>
      </w:r>
      <w:r>
        <w:t xml:space="preserve"> on October 30, 2024.</w:t>
      </w:r>
    </w:p>
    <w:p w:rsidR="00AD6C24" w:rsidRPr="00027A04" w:rsidP="00027A04" w14:paraId="555ABAC2" w14:textId="1609EF0D">
      <w:pPr>
        <w:tabs>
          <w:tab w:val="left" w:pos="480"/>
          <w:tab w:val="left" w:pos="1170"/>
          <w:tab w:val="left" w:pos="1800"/>
          <w:tab w:val="left" w:pos="2760"/>
        </w:tabs>
        <w:spacing w:after="120"/>
        <w:rPr>
          <w:szCs w:val="24"/>
        </w:rPr>
      </w:pPr>
      <w:r>
        <w:t xml:space="preserve">The comment addressed the use by the Bureau of Economic Analysis of the data produced by the CPI Housing Survey in estimating gross domestic product (GDP) in the national income and product accounts as well as </w:t>
      </w:r>
      <w:r>
        <w:t>to prepare</w:t>
      </w:r>
      <w:r>
        <w:t xml:space="preserve"> real (inflation-adjusted estimates of the housing services component of personal consumption expenditures (PCE) in GDP, among other uses. The comment requests that the proposed extension of the CPI Housing Survey be approved.</w:t>
      </w:r>
    </w:p>
    <w:p w:rsidR="00CB1049" w:rsidP="008C5D1F" w14:paraId="4CF5360E" w14:textId="77777777">
      <w:pPr>
        <w:ind w:left="720" w:hanging="720"/>
        <w:rPr>
          <w:u w:val="single"/>
        </w:rPr>
      </w:pPr>
    </w:p>
    <w:p w:rsidR="008C5D1F" w:rsidP="008C5D1F" w14:paraId="6EB59CA1" w14:textId="77777777">
      <w:pPr>
        <w:pStyle w:val="BodyText"/>
        <w:rPr>
          <w:u w:val="single"/>
        </w:rPr>
      </w:pPr>
      <w:r>
        <w:rPr>
          <w:u w:val="single"/>
        </w:rPr>
        <w:t>Consultation with Outside Sources</w:t>
      </w:r>
    </w:p>
    <w:p w:rsidR="008C5D1F" w:rsidP="008C5D1F" w14:paraId="4846C3A0" w14:textId="77777777">
      <w:pPr>
        <w:pStyle w:val="BodyText"/>
        <w:rPr>
          <w:u w:val="single"/>
        </w:rPr>
      </w:pPr>
    </w:p>
    <w:p w:rsidR="008C5D1F" w:rsidP="008C5D1F" w14:paraId="5DCBA3C5" w14:textId="1EF073BB">
      <w:pPr>
        <w:pStyle w:val="BodyText"/>
      </w:pPr>
      <w:r>
        <w:t>Due to the CPI's high visibility, data collection, data review and index methodologies used for its construction are under constant scrutiny by individuals and organizations within and outside the U.S. Government</w:t>
      </w:r>
      <w:r w:rsidR="003763C4">
        <w:t xml:space="preserve">. </w:t>
      </w:r>
      <w:r>
        <w:t xml:space="preserve">Agencies with which the BLS has had recent contact for the </w:t>
      </w:r>
      <w:r>
        <w:t>purposes</w:t>
      </w:r>
      <w:r>
        <w:t xml:space="preserve"> of eliciting comments regarding methodology and procedures include:</w:t>
      </w:r>
    </w:p>
    <w:p w:rsidR="00E2531D" w:rsidP="008C5D1F" w14:paraId="0D1484F6" w14:textId="3510E768">
      <w:pPr>
        <w:pStyle w:val="BodyText"/>
        <w:numPr>
          <w:ilvl w:val="0"/>
          <w:numId w:val="1"/>
        </w:numPr>
      </w:pPr>
      <w:r>
        <w:t>the Bureau of Economic Analysis (BEA),</w:t>
      </w:r>
    </w:p>
    <w:p w:rsidR="00E2531D" w:rsidP="00E2531D" w14:paraId="2BD58B9B" w14:textId="155A5F9F">
      <w:pPr>
        <w:pStyle w:val="BodyText"/>
        <w:numPr>
          <w:ilvl w:val="0"/>
          <w:numId w:val="1"/>
        </w:numPr>
      </w:pPr>
      <w:r>
        <w:t>the BLS Technical Advisory Committee (BLSTAC),</w:t>
      </w:r>
    </w:p>
    <w:p w:rsidR="00352E95" w:rsidP="00E2531D" w14:paraId="6B59EA60" w14:textId="35370D9B">
      <w:pPr>
        <w:pStyle w:val="BodyText"/>
        <w:numPr>
          <w:ilvl w:val="0"/>
          <w:numId w:val="1"/>
        </w:numPr>
      </w:pPr>
      <w:r>
        <w:t>the Congressional Budget Office (CBO),</w:t>
      </w:r>
    </w:p>
    <w:p w:rsidR="008C5D1F" w:rsidP="00E2531D" w14:paraId="5ED76E4D" w14:textId="02E8A03D">
      <w:pPr>
        <w:pStyle w:val="BodyText"/>
        <w:numPr>
          <w:ilvl w:val="0"/>
          <w:numId w:val="1"/>
        </w:numPr>
      </w:pPr>
      <w:r>
        <w:t xml:space="preserve">the Council of Economic Advisers (CEA), </w:t>
      </w:r>
    </w:p>
    <w:p w:rsidR="00E2531D" w:rsidP="00352E95" w14:paraId="648A597F" w14:textId="795ACF74">
      <w:pPr>
        <w:pStyle w:val="BodyText"/>
        <w:numPr>
          <w:ilvl w:val="0"/>
          <w:numId w:val="1"/>
        </w:numPr>
      </w:pPr>
      <w:r>
        <w:t>the BLS Data Users Advisory Committee (DUAC),</w:t>
      </w:r>
    </w:p>
    <w:p w:rsidR="00352E95" w:rsidP="00352E95" w14:paraId="1D3D3FFD" w14:textId="49842362">
      <w:pPr>
        <w:pStyle w:val="BodyText"/>
        <w:numPr>
          <w:ilvl w:val="0"/>
          <w:numId w:val="1"/>
        </w:numPr>
      </w:pPr>
      <w:r>
        <w:t>the Federal Economic Statistics Advisory Committee (FESAC),</w:t>
      </w:r>
    </w:p>
    <w:p w:rsidR="008C5D1F" w:rsidP="00352E95" w14:paraId="0683C9A5" w14:textId="424C1515">
      <w:pPr>
        <w:pStyle w:val="BodyText"/>
        <w:numPr>
          <w:ilvl w:val="0"/>
          <w:numId w:val="1"/>
        </w:numPr>
      </w:pPr>
      <w:r>
        <w:t xml:space="preserve">the Federal Reserve Board (FRB), </w:t>
      </w:r>
    </w:p>
    <w:p w:rsidR="00E2531D" w:rsidP="008C5D1F" w14:paraId="2D8BB8ED" w14:textId="77777777">
      <w:pPr>
        <w:pStyle w:val="BodyText"/>
        <w:numPr>
          <w:ilvl w:val="0"/>
          <w:numId w:val="1"/>
        </w:numPr>
      </w:pPr>
      <w:r>
        <w:t>the Government Accountability Office (GAO)</w:t>
      </w:r>
    </w:p>
    <w:p w:rsidR="00E2531D" w:rsidP="008C5D1F" w14:paraId="287DA9D4" w14:textId="6D4E5019">
      <w:pPr>
        <w:pStyle w:val="BodyText"/>
        <w:numPr>
          <w:ilvl w:val="0"/>
          <w:numId w:val="1"/>
        </w:numPr>
      </w:pPr>
      <w:r>
        <w:t>the Congressional Joint Economic Committee (JEC),</w:t>
      </w:r>
      <w:r w:rsidR="00352E95">
        <w:t xml:space="preserve"> and</w:t>
      </w:r>
    </w:p>
    <w:p w:rsidR="008C5D1F" w:rsidP="008C5D1F" w14:paraId="08DB7EB6" w14:textId="0044CD4C">
      <w:pPr>
        <w:pStyle w:val="BodyText"/>
        <w:numPr>
          <w:ilvl w:val="0"/>
          <w:numId w:val="1"/>
        </w:numPr>
      </w:pPr>
      <w:r>
        <w:t>the Office of Management and Budget (OMB)</w:t>
      </w:r>
      <w:r>
        <w:t xml:space="preserve">. </w:t>
      </w:r>
    </w:p>
    <w:p w:rsidR="008C5D1F" w:rsidP="008C5D1F" w14:paraId="6798AF55" w14:textId="77777777">
      <w:pPr>
        <w:pStyle w:val="BodyText"/>
      </w:pPr>
    </w:p>
    <w:p w:rsidR="00EC752B" w:rsidRPr="00F40799" w:rsidP="00EC752B" w14:paraId="5E63BFC7" w14:textId="77777777">
      <w:pPr>
        <w:spacing w:line="240" w:lineRule="exact"/>
        <w:rPr>
          <w:szCs w:val="24"/>
        </w:rPr>
      </w:pPr>
      <w:r w:rsidRPr="008C770A">
        <w:rPr>
          <w:szCs w:val="24"/>
        </w:rPr>
        <w:t xml:space="preserve">The BLS is a full partner with the U.S. Census Bureau (Census) and the Bureau of Economic Analysis (BEA) in the </w:t>
      </w:r>
      <w:r w:rsidRPr="00F40799">
        <w:rPr>
          <w:szCs w:val="24"/>
        </w:rPr>
        <w:t>Federal Economic Statistics Advisory Committee (FESAC). The committee advises the Directors of</w:t>
      </w:r>
      <w:r>
        <w:rPr>
          <w:szCs w:val="24"/>
        </w:rPr>
        <w:t xml:space="preserve"> </w:t>
      </w:r>
      <w:r w:rsidRPr="00F40799">
        <w:rPr>
          <w:szCs w:val="24"/>
        </w:rPr>
        <w:t>BEA and Census, and the Commissioner of the BLS on statistical methodology and other technical matters related to the collection, tabulation, and analysis of federal economic statistics. A second advisory committee, the BLS Data Users Advisory Committee (DUAC), provides BLS programs with input from a wide variety of data users representing labor, business, government, research, academic organizations, and other groups. A third advisory committee, the BLS Technical Advisory Committee (TAC), focuses on measurement issues that are specific to BLS programs.</w:t>
      </w:r>
    </w:p>
    <w:p w:rsidR="00EC752B" w:rsidRPr="001A625A" w:rsidP="00EC752B" w14:paraId="33C11308" w14:textId="77777777">
      <w:pPr>
        <w:spacing w:line="240" w:lineRule="exact"/>
        <w:rPr>
          <w:szCs w:val="24"/>
        </w:rPr>
      </w:pPr>
    </w:p>
    <w:p w:rsidR="00EC752B" w:rsidRPr="00BF4AB7" w:rsidP="00EC752B" w14:paraId="1103D64D" w14:textId="77777777">
      <w:pPr>
        <w:spacing w:line="240" w:lineRule="exact"/>
        <w:rPr>
          <w:szCs w:val="24"/>
        </w:rPr>
      </w:pPr>
      <w:r w:rsidRPr="00BF4AB7">
        <w:rPr>
          <w:szCs w:val="24"/>
        </w:rPr>
        <w:t xml:space="preserve">In </w:t>
      </w:r>
      <w:r>
        <w:rPr>
          <w:szCs w:val="24"/>
        </w:rPr>
        <w:t xml:space="preserve">the </w:t>
      </w:r>
      <w:r w:rsidRPr="00BF4AB7">
        <w:rPr>
          <w:szCs w:val="24"/>
        </w:rPr>
        <w:t xml:space="preserve">past </w:t>
      </w:r>
      <w:r>
        <w:rPr>
          <w:szCs w:val="24"/>
        </w:rPr>
        <w:t xml:space="preserve">two </w:t>
      </w:r>
      <w:r w:rsidRPr="00BF4AB7">
        <w:rPr>
          <w:szCs w:val="24"/>
        </w:rPr>
        <w:t xml:space="preserve">years, members of the CPI staff in Washington have participated in meetings sponsored by the United Nations Economic Commission for Europe (UNECE), National Association for Business Economics (NABE), </w:t>
      </w:r>
      <w:r>
        <w:rPr>
          <w:szCs w:val="24"/>
        </w:rPr>
        <w:t>Eurostat</w:t>
      </w:r>
      <w:r w:rsidRPr="00BF4AB7">
        <w:rPr>
          <w:szCs w:val="24"/>
        </w:rPr>
        <w:t xml:space="preserve">, </w:t>
      </w:r>
      <w:r>
        <w:rPr>
          <w:szCs w:val="24"/>
        </w:rPr>
        <w:t>Committee of National Statistics (CNSTAT)</w:t>
      </w:r>
      <w:r w:rsidRPr="00BF4AB7">
        <w:rPr>
          <w:szCs w:val="24"/>
        </w:rPr>
        <w:t>,</w:t>
      </w:r>
      <w:r>
        <w:rPr>
          <w:szCs w:val="24"/>
        </w:rPr>
        <w:t xml:space="preserve"> American Statistical Association (ASA), Society of Government Economists (SGE), Barclays </w:t>
      </w:r>
      <w:r w:rsidRPr="00BF4AB7">
        <w:rPr>
          <w:szCs w:val="24"/>
        </w:rPr>
        <w:t>and Federal Reserve Board. In addition, they gave multiple presentations at the Joint Statistical Meetings (JSM)</w:t>
      </w:r>
      <w:r>
        <w:rPr>
          <w:szCs w:val="24"/>
        </w:rPr>
        <w:t xml:space="preserve">, </w:t>
      </w:r>
      <w:r w:rsidRPr="00366251">
        <w:rPr>
          <w:szCs w:val="24"/>
        </w:rPr>
        <w:t>Federal Committee on Statistical Methodology (FCSM) Research and Policy Conference</w:t>
      </w:r>
      <w:r>
        <w:rPr>
          <w:szCs w:val="24"/>
        </w:rPr>
        <w:t>,</w:t>
      </w:r>
      <w:r w:rsidRPr="00BF4AB7">
        <w:rPr>
          <w:szCs w:val="24"/>
        </w:rPr>
        <w:t xml:space="preserve"> and to a variety schools and colleges to discuss various aspects of the CPI survey, including methodological and procedural aspects of the data collection process. </w:t>
      </w:r>
    </w:p>
    <w:p w:rsidR="00EC752B" w:rsidRPr="001A625A" w:rsidP="00EC752B" w14:paraId="5B410AE2" w14:textId="77777777">
      <w:pPr>
        <w:spacing w:line="240" w:lineRule="exact"/>
        <w:rPr>
          <w:szCs w:val="24"/>
        </w:rPr>
      </w:pPr>
    </w:p>
    <w:p w:rsidR="008C5D1F" w:rsidP="00EC752B" w14:paraId="5CDB0C57" w14:textId="39EB7820">
      <w:r w:rsidRPr="001A625A">
        <w:rPr>
          <w:szCs w:val="24"/>
        </w:rPr>
        <w:t xml:space="preserve">The BLS Commissioner and Associate Commissioners </w:t>
      </w:r>
      <w:r>
        <w:rPr>
          <w:szCs w:val="24"/>
        </w:rPr>
        <w:t>meet</w:t>
      </w:r>
      <w:r w:rsidRPr="001A625A">
        <w:rPr>
          <w:szCs w:val="24"/>
        </w:rPr>
        <w:t xml:space="preserve"> </w:t>
      </w:r>
      <w:r w:rsidRPr="001A625A">
        <w:rPr>
          <w:szCs w:val="24"/>
        </w:rPr>
        <w:t>on a monthly basis</w:t>
      </w:r>
      <w:r w:rsidRPr="001A625A">
        <w:rPr>
          <w:szCs w:val="24"/>
        </w:rPr>
        <w:t xml:space="preserve"> </w:t>
      </w:r>
      <w:r>
        <w:rPr>
          <w:szCs w:val="24"/>
        </w:rPr>
        <w:t>with</w:t>
      </w:r>
      <w:r w:rsidRPr="001A625A">
        <w:rPr>
          <w:szCs w:val="24"/>
        </w:rPr>
        <w:t xml:space="preserve"> the Council of Economic Advisors, and they meet as needed with the Congressional Joint Economic </w:t>
      </w:r>
      <w:r w:rsidRPr="001A625A">
        <w:rPr>
          <w:szCs w:val="24"/>
        </w:rPr>
        <w:t>Committee</w:t>
      </w:r>
      <w:r w:rsidRPr="001A625A">
        <w:rPr>
          <w:szCs w:val="24"/>
        </w:rPr>
        <w:t xml:space="preserve"> </w:t>
      </w:r>
      <w:r w:rsidRPr="001A625A">
        <w:rPr>
          <w:szCs w:val="24"/>
        </w:rPr>
        <w:t>and the Government Accountability Office to discuss BLS issues, and especially the CPI program.</w:t>
      </w:r>
      <w:r w:rsidR="00FC561D">
        <w:t xml:space="preserve"> </w:t>
      </w:r>
    </w:p>
    <w:p w:rsidR="002249E2" w:rsidP="008C5D1F" w14:paraId="60AE4DC8" w14:textId="77777777"/>
    <w:p w:rsidR="00FB4333" w:rsidRPr="00D53DEB" w:rsidP="00FB4333" w14:paraId="23EEF8A2" w14:textId="32731F08">
      <w:pPr>
        <w:rPr>
          <w:b/>
          <w:bCs/>
        </w:rPr>
      </w:pPr>
      <w:r w:rsidRPr="008C283C">
        <w:rPr>
          <w:b/>
        </w:rPr>
        <w:t>9</w:t>
      </w:r>
      <w:r w:rsidRPr="008C283C">
        <w:rPr>
          <w:b/>
        </w:rPr>
        <w:t>.</w:t>
      </w:r>
      <w:r>
        <w:rPr>
          <w:b/>
        </w:rPr>
        <w:t xml:space="preserve">  </w:t>
      </w:r>
      <w:r w:rsidRPr="00D53DEB">
        <w:rPr>
          <w:b/>
          <w:bCs/>
        </w:rPr>
        <w:t>Explain</w:t>
      </w:r>
      <w:r w:rsidRPr="00D53DEB">
        <w:rPr>
          <w:b/>
          <w:bCs/>
        </w:rPr>
        <w:t xml:space="preserve"> any decision to provide any payments or gift</w:t>
      </w:r>
      <w:r>
        <w:rPr>
          <w:b/>
          <w:bCs/>
        </w:rPr>
        <w:t>s</w:t>
      </w:r>
      <w:r w:rsidRPr="00D53DEB">
        <w:rPr>
          <w:b/>
          <w:bCs/>
        </w:rPr>
        <w:t xml:space="preserve"> to respondents, other than remuneration of contractors or grantees.</w:t>
      </w:r>
    </w:p>
    <w:p w:rsidR="008C5D1F" w:rsidRPr="00D411EF" w:rsidP="00DD0C40" w14:paraId="18AD3BAA" w14:textId="77777777"/>
    <w:p w:rsidR="008C5D1F" w:rsidRPr="00D411EF" w:rsidP="008C5D1F" w14:paraId="48D69EC8" w14:textId="27573AD4">
      <w:r w:rsidRPr="00D411EF">
        <w:t>Cooperation by the respondents to supply data for the CPI is voluntary and no remuneration, payment</w:t>
      </w:r>
      <w:r w:rsidR="00934B1C">
        <w:t>,</w:t>
      </w:r>
      <w:r w:rsidRPr="00D411EF">
        <w:t xml:space="preserve"> or gift is provided.</w:t>
      </w:r>
    </w:p>
    <w:p w:rsidR="002249E2" w:rsidRPr="00D411EF" w:rsidP="008C5D1F" w14:paraId="19EAE4C0" w14:textId="77777777"/>
    <w:p w:rsidR="008C5D1F" w:rsidRPr="008C283C" w:rsidP="008C5D1F" w14:paraId="59CB9444" w14:textId="67E9EDA6">
      <w:pPr>
        <w:rPr>
          <w:b/>
        </w:rPr>
      </w:pPr>
      <w:r>
        <w:rPr>
          <w:b/>
        </w:rPr>
        <w:t>10</w:t>
      </w:r>
      <w:r>
        <w:rPr>
          <w:b/>
        </w:rPr>
        <w:t>.</w:t>
      </w:r>
      <w:r w:rsidR="00FB4333">
        <w:rPr>
          <w:b/>
        </w:rPr>
        <w:t xml:space="preserve">  </w:t>
      </w:r>
      <w:r w:rsidRPr="00D53DEB" w:rsidR="00FB4333">
        <w:rPr>
          <w:b/>
          <w:bCs/>
        </w:rPr>
        <w:t>Describe</w:t>
      </w:r>
      <w:r w:rsidRPr="00D53DEB" w:rsidR="00FB4333">
        <w:rPr>
          <w:b/>
          <w:bCs/>
        </w:rPr>
        <w:t xml:space="preserve"> any assurance of confidentiality provided to respondents and the basis for the assurance in statute, regulation, or agency policy.</w:t>
      </w:r>
    </w:p>
    <w:p w:rsidR="008C5D1F" w:rsidRPr="00D411EF" w:rsidP="008C5D1F" w14:paraId="7203CFBD" w14:textId="77777777">
      <w:pPr>
        <w:pStyle w:val="Header"/>
        <w:tabs>
          <w:tab w:val="clear" w:pos="4320"/>
          <w:tab w:val="clear" w:pos="8640"/>
        </w:tabs>
      </w:pPr>
    </w:p>
    <w:p w:rsidR="008C5D1F" w:rsidRPr="00734827" w:rsidP="008C5D1F" w14:paraId="17457A1A" w14:textId="4319FFC1">
      <w:pPr>
        <w:rPr>
          <w:szCs w:val="24"/>
        </w:rPr>
      </w:pPr>
      <w:r w:rsidRPr="00DF59B6">
        <w:rPr>
          <w:szCs w:val="24"/>
        </w:rPr>
        <w:t>The Confidential Information Protection and Statistical Efficiency Act</w:t>
      </w:r>
      <w:r w:rsidR="00F4394C">
        <w:rPr>
          <w:szCs w:val="24"/>
        </w:rPr>
        <w:t xml:space="preserve"> </w:t>
      </w:r>
      <w:r w:rsidRPr="00DF59B6">
        <w:rPr>
          <w:szCs w:val="24"/>
        </w:rPr>
        <w:t>(CIPSEA) safeguards the confidentiality of individually identifiable information acquired under a pledge of confidentiality for exclusively statistical purposes by controlling access to, and uses made of, such information</w:t>
      </w:r>
      <w:r w:rsidR="003763C4">
        <w:rPr>
          <w:szCs w:val="24"/>
        </w:rPr>
        <w:t xml:space="preserve">. </w:t>
      </w:r>
      <w:r w:rsidRPr="00DF59B6">
        <w:rPr>
          <w:szCs w:val="24"/>
        </w:rPr>
        <w:t>CIPSEA includes fines and penalties for any knowing and willful disclosure of individually identifiable information by an officer, employee, or agent of the BLS.</w:t>
      </w:r>
    </w:p>
    <w:p w:rsidR="008C5D1F" w:rsidRPr="00734827" w:rsidP="008C5D1F" w14:paraId="5F69F569" w14:textId="77777777">
      <w:pPr>
        <w:rPr>
          <w:szCs w:val="24"/>
        </w:rPr>
      </w:pPr>
      <w:r w:rsidRPr="00DF59B6">
        <w:rPr>
          <w:szCs w:val="24"/>
        </w:rPr>
        <w:t> </w:t>
      </w:r>
    </w:p>
    <w:p w:rsidR="008C5D1F" w:rsidRPr="00734827" w:rsidP="008C5D1F" w14:paraId="7EF89F4C" w14:textId="77777777">
      <w:pPr>
        <w:rPr>
          <w:szCs w:val="24"/>
        </w:rPr>
      </w:pPr>
      <w:r w:rsidRPr="00DF59B6">
        <w:rPr>
          <w:szCs w:val="24"/>
        </w:rPr>
        <w:t>Based on this law, the BLS provides respondents with the following confidentiality pledge/informed consent statement:</w:t>
      </w:r>
    </w:p>
    <w:p w:rsidR="008C5D1F" w:rsidRPr="00734827" w:rsidP="008C5D1F" w14:paraId="230424DE" w14:textId="77777777">
      <w:pPr>
        <w:rPr>
          <w:szCs w:val="24"/>
        </w:rPr>
      </w:pPr>
      <w:r w:rsidRPr="00DF59B6">
        <w:rPr>
          <w:szCs w:val="24"/>
        </w:rPr>
        <w:t> </w:t>
      </w:r>
    </w:p>
    <w:p w:rsidR="001F22D9" w:rsidRPr="00E2531D" w:rsidP="00E2531D" w14:paraId="00D437DC" w14:textId="648C9A3D">
      <w:pPr>
        <w:pStyle w:val="NoSpacing"/>
        <w:rPr>
          <w:bCs/>
          <w:i/>
          <w:color w:val="000000"/>
          <w:sz w:val="22"/>
        </w:rPr>
      </w:pPr>
      <w:r w:rsidRPr="00E2531D">
        <w:rPr>
          <w: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065AA8">
        <w:rPr>
          <w:i/>
        </w:rPr>
        <w:t>44 U.S.C. 3572)</w:t>
      </w:r>
      <w:r w:rsidRPr="00E2531D">
        <w:rPr>
          <w:i/>
        </w:rPr>
        <w:t xml:space="preserve"> and other applicable Federal laws, your responses will not be disclosed in identifiable form without your informed consent</w:t>
      </w:r>
      <w:r w:rsidR="003763C4">
        <w:rPr>
          <w:i/>
        </w:rPr>
        <w:t xml:space="preserve">. </w:t>
      </w:r>
      <w:r w:rsidRPr="00E2531D">
        <w:rPr>
          <w:bCs/>
          <w:i/>
          <w:color w:val="000000"/>
        </w:rPr>
        <w:t>Per the Cybersecurity Enhancement Act of 2015, Federal information systems are protected from malicious activities through cybersecurity screening of transmitted data.</w:t>
      </w:r>
    </w:p>
    <w:p w:rsidR="008C5D1F" w:rsidRPr="00734827" w:rsidP="008C5D1F" w14:paraId="36CAB4E7" w14:textId="77777777">
      <w:pPr>
        <w:rPr>
          <w:szCs w:val="24"/>
        </w:rPr>
      </w:pPr>
      <w:r w:rsidRPr="00DF59B6">
        <w:rPr>
          <w:szCs w:val="24"/>
        </w:rPr>
        <w:t> </w:t>
      </w:r>
    </w:p>
    <w:p w:rsidR="008C5D1F" w:rsidRPr="00734827" w:rsidP="008C5D1F" w14:paraId="198AC249" w14:textId="0C306B0C">
      <w:pPr>
        <w:rPr>
          <w:szCs w:val="24"/>
        </w:rPr>
      </w:pPr>
      <w:r w:rsidRPr="00DF59B6">
        <w:rPr>
          <w:szCs w:val="24"/>
        </w:rPr>
        <w:t xml:space="preserve">BLS policy on the confidential nature of </w:t>
      </w:r>
      <w:r w:rsidR="009F6E10">
        <w:rPr>
          <w:szCs w:val="24"/>
        </w:rPr>
        <w:t>R</w:t>
      </w:r>
      <w:r w:rsidRPr="00DF59B6" w:rsidR="009F6E10">
        <w:rPr>
          <w:szCs w:val="24"/>
        </w:rPr>
        <w:t xml:space="preserve">espondent </w:t>
      </w:r>
      <w:r w:rsidR="009F6E10">
        <w:rPr>
          <w:szCs w:val="24"/>
        </w:rPr>
        <w:t>I</w:t>
      </w:r>
      <w:r w:rsidRPr="00DF59B6">
        <w:rPr>
          <w:szCs w:val="24"/>
        </w:rPr>
        <w:t xml:space="preserve">dentifiable </w:t>
      </w:r>
      <w:r w:rsidR="009F6E10">
        <w:rPr>
          <w:szCs w:val="24"/>
        </w:rPr>
        <w:t>I</w:t>
      </w:r>
      <w:r w:rsidRPr="00DF59B6">
        <w:rPr>
          <w:szCs w:val="24"/>
        </w:rPr>
        <w:t>nformation (RII) states that “RII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p>
    <w:p w:rsidR="008C5D1F" w:rsidRPr="00D411EF" w:rsidP="008C5D1F" w14:paraId="7B4C1F1E" w14:textId="77777777"/>
    <w:p w:rsidR="008C5D1F" w:rsidRPr="00D411EF" w:rsidP="008C5D1F" w14:paraId="3252AF5F" w14:textId="1033293A">
      <w:r w:rsidRPr="00D411EF">
        <w:t xml:space="preserve">Special care is </w:t>
      </w:r>
      <w:r w:rsidRPr="00D411EF">
        <w:t>taken</w:t>
      </w:r>
      <w:r w:rsidRPr="00D411EF">
        <w:t xml:space="preserve"> to ensure data security</w:t>
      </w:r>
      <w:r w:rsidR="003763C4">
        <w:t xml:space="preserve">. </w:t>
      </w:r>
      <w:r w:rsidRPr="00D411EF" w:rsidR="005F2A6C">
        <w:t xml:space="preserve">Data collected by Economic Assistants using CADC is encrypted and transmitted </w:t>
      </w:r>
      <w:r w:rsidR="005F2A6C">
        <w:t>by a Virtual Private Network (VPN)</w:t>
      </w:r>
      <w:r w:rsidR="003763C4">
        <w:t xml:space="preserve">. </w:t>
      </w:r>
      <w:r w:rsidR="005F2A6C">
        <w:t>A VPN is a secure, private communication tunnel between two or more devices across a public network (like the Internet)</w:t>
      </w:r>
      <w:r w:rsidR="003763C4">
        <w:t xml:space="preserve">. </w:t>
      </w:r>
      <w:r w:rsidR="005F2A6C">
        <w:t>Even though data can travel across the Internet, it is secure because of the strong encryption algorithm used</w:t>
      </w:r>
      <w:r w:rsidR="003763C4">
        <w:t xml:space="preserve">. </w:t>
      </w:r>
      <w:r w:rsidR="005F2A6C">
        <w:t>If an unauthorized user attempts to intercept data across the VPN tunnel, the intruder will not be able to decipher the transmitted data because the data will be encrypted</w:t>
      </w:r>
      <w:r w:rsidR="003763C4">
        <w:t xml:space="preserve">. </w:t>
      </w:r>
      <w:r w:rsidR="005F2A6C">
        <w:t>In addition, VPN software monitors connections such that transmissions are ensured to be unaltered while traveling across the public network</w:t>
      </w:r>
      <w:r w:rsidR="003763C4">
        <w:t xml:space="preserve">. </w:t>
      </w:r>
      <w:r w:rsidRPr="00D411EF">
        <w:t xml:space="preserve"> </w:t>
      </w:r>
    </w:p>
    <w:p w:rsidR="008C5D1F" w:rsidRPr="00D411EF" w:rsidP="008C5D1F" w14:paraId="291E9186" w14:textId="77777777"/>
    <w:p w:rsidR="008C5D1F" w:rsidP="008C5D1F" w14:paraId="14C19C7F" w14:textId="36684C6A">
      <w:r w:rsidRPr="00D411EF">
        <w:t>The data are stored in computer files wh</w:t>
      </w:r>
      <w:r>
        <w:t xml:space="preserve">ich have </w:t>
      </w:r>
      <w:r w:rsidRPr="00D411EF">
        <w:t xml:space="preserve">provisions for data security and extensive rules for data access </w:t>
      </w:r>
      <w:r>
        <w:t xml:space="preserve">to protect </w:t>
      </w:r>
      <w:r w:rsidRPr="00D411EF">
        <w:t xml:space="preserve">the data </w:t>
      </w:r>
      <w:r>
        <w:t>from</w:t>
      </w:r>
      <w:r w:rsidRPr="00D411EF">
        <w:t xml:space="preserve"> unauthorized use</w:t>
      </w:r>
      <w:r w:rsidR="003763C4">
        <w:t xml:space="preserve">. </w:t>
      </w:r>
      <w:r w:rsidRPr="00D411EF">
        <w:t xml:space="preserve">Collected </w:t>
      </w:r>
      <w:r w:rsidR="00B5784F">
        <w:t xml:space="preserve">data </w:t>
      </w:r>
      <w:r w:rsidRPr="00D411EF">
        <w:t>are</w:t>
      </w:r>
      <w:r w:rsidRPr="00D411EF">
        <w:t xml:space="preserve"> maintained in the </w:t>
      </w:r>
      <w:r>
        <w:t>Housing</w:t>
      </w:r>
      <w:r w:rsidRPr="00D411EF">
        <w:t xml:space="preserve"> server database for a period of </w:t>
      </w:r>
      <w:r>
        <w:t xml:space="preserve">60 </w:t>
      </w:r>
      <w:r w:rsidRPr="00D411EF">
        <w:t>months</w:t>
      </w:r>
      <w:r w:rsidR="003763C4">
        <w:t xml:space="preserve">. </w:t>
      </w:r>
      <w:r w:rsidRPr="00D411EF">
        <w:t>After that timeframe the data are moved to an archive</w:t>
      </w:r>
      <w:r>
        <w:t xml:space="preserve"> </w:t>
      </w:r>
      <w:r w:rsidRPr="00D411EF">
        <w:t>d</w:t>
      </w:r>
      <w:r>
        <w:t>atabase</w:t>
      </w:r>
      <w:r w:rsidRPr="00D411EF">
        <w:t>.</w:t>
      </w:r>
    </w:p>
    <w:p w:rsidR="008C5D1F" w:rsidRPr="00D411EF" w:rsidP="008C5D1F" w14:paraId="629D6D4E" w14:textId="77777777"/>
    <w:p w:rsidR="008C5D1F" w:rsidP="008C5D1F" w14:paraId="4C7739E1" w14:textId="21706E1A">
      <w:r w:rsidRPr="00D411EF">
        <w:t>Although the CADC data</w:t>
      </w:r>
      <w:r w:rsidR="00D632E7">
        <w:t>-</w:t>
      </w:r>
      <w:r w:rsidRPr="00D411EF">
        <w:t>capture</w:t>
      </w:r>
      <w:r w:rsidR="00D632E7">
        <w:t>-</w:t>
      </w:r>
      <w:r w:rsidRPr="00D411EF">
        <w:t xml:space="preserve">screens do not include </w:t>
      </w:r>
      <w:r>
        <w:t xml:space="preserve">a statement regarding confidentiality or burden, </w:t>
      </w:r>
      <w:r w:rsidRPr="00D411EF">
        <w:t xml:space="preserve">the data collection staff </w:t>
      </w:r>
      <w:r>
        <w:t xml:space="preserve">do provide respondents a </w:t>
      </w:r>
      <w:r w:rsidR="004A420F">
        <w:t>pamphlet (Attachment III</w:t>
      </w:r>
      <w:r w:rsidR="0021132C">
        <w:t xml:space="preserve"> (English version), IV (Spanish version)</w:t>
      </w:r>
      <w:r w:rsidR="00D66843">
        <w:t>, and V (Chinese version)</w:t>
      </w:r>
      <w:r w:rsidR="004A420F">
        <w:t xml:space="preserve">) </w:t>
      </w:r>
      <w:r>
        <w:t xml:space="preserve">that </w:t>
      </w:r>
      <w:r w:rsidRPr="00D411EF">
        <w:t xml:space="preserve">contains </w:t>
      </w:r>
      <w:r>
        <w:t>confidentiality and burden statements.</w:t>
      </w:r>
    </w:p>
    <w:p w:rsidR="005F2A6C" w:rsidP="00610269" w14:paraId="14F43FD6" w14:textId="1A34CF9F"/>
    <w:p w:rsidR="005F2A6C" w:rsidRPr="00D411EF" w:rsidP="006E44EA" w14:paraId="7941B913" w14:textId="6A5BB6FE">
      <w:r w:rsidRPr="005F2A6C">
        <w:t xml:space="preserve">A letter from the Regional </w:t>
      </w:r>
      <w:r w:rsidR="00CB67A9">
        <w:t xml:space="preserve">or Assistant Regional </w:t>
      </w:r>
      <w:r w:rsidRPr="005F2A6C">
        <w:t>Commissioner of Labor Statistics is sent to potential respondents</w:t>
      </w:r>
      <w:r w:rsidR="00114753">
        <w:t xml:space="preserve"> (Attachment </w:t>
      </w:r>
      <w:r w:rsidR="0021132C">
        <w:t>V</w:t>
      </w:r>
      <w:r w:rsidR="00D66843">
        <w:t>I</w:t>
      </w:r>
      <w:r w:rsidR="00114753">
        <w:t>)</w:t>
      </w:r>
      <w:r w:rsidR="003763C4">
        <w:t xml:space="preserve">. </w:t>
      </w:r>
      <w:r w:rsidRPr="005F2A6C">
        <w:t>The letter introduces the CPI and explains our mission</w:t>
      </w:r>
      <w:r w:rsidR="003763C4">
        <w:t xml:space="preserve">. </w:t>
      </w:r>
      <w:r w:rsidRPr="005F2A6C">
        <w:t xml:space="preserve">The letter assures that </w:t>
      </w:r>
      <w:r w:rsidRPr="005F2A6C">
        <w:t>information</w:t>
      </w:r>
      <w:r w:rsidRPr="005F2A6C">
        <w:t xml:space="preserve"> collected will be used for statistical purposes only and contains a confidentiality assurance.</w:t>
      </w:r>
      <w:r w:rsidR="005F10FC">
        <w:t xml:space="preserve"> </w:t>
      </w:r>
    </w:p>
    <w:p w:rsidR="008C5D1F" w:rsidP="008C5D1F" w14:paraId="093E0A52" w14:textId="77777777">
      <w:pPr>
        <w:pStyle w:val="BodyTextIndent"/>
        <w:spacing w:after="0"/>
        <w:ind w:left="540"/>
        <w:rPr>
          <w:rFonts w:cs="Arial"/>
          <w:szCs w:val="24"/>
        </w:rPr>
      </w:pPr>
    </w:p>
    <w:p w:rsidR="002204F1" w:rsidP="008C5D1F" w14:paraId="693CD4EA" w14:textId="77777777">
      <w:pPr>
        <w:pStyle w:val="BodyTextIndent"/>
        <w:spacing w:after="0"/>
        <w:ind w:left="540"/>
        <w:rPr>
          <w:rFonts w:cs="Arial"/>
          <w:szCs w:val="24"/>
        </w:rPr>
      </w:pPr>
    </w:p>
    <w:p w:rsidR="00FB4333" w:rsidRPr="00D53DEB" w:rsidP="00FB4333" w14:paraId="067C6D07" w14:textId="144EDA91">
      <w:pPr>
        <w:rPr>
          <w:b/>
          <w:bCs/>
        </w:rPr>
      </w:pPr>
      <w:r>
        <w:rPr>
          <w:b/>
        </w:rPr>
        <w:t>11</w:t>
      </w:r>
      <w:r>
        <w:rPr>
          <w:b/>
        </w:rPr>
        <w:t>.</w:t>
      </w:r>
      <w:r>
        <w:rPr>
          <w:b/>
        </w:rPr>
        <w:t xml:space="preserve">  </w:t>
      </w:r>
      <w:r w:rsidRPr="00D53DEB">
        <w:rPr>
          <w:b/>
          <w:bCs/>
        </w:rPr>
        <w:t>Provide</w:t>
      </w:r>
      <w:r w:rsidRPr="00D53DEB">
        <w:rPr>
          <w:b/>
          <w:bCs/>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D53DEB">
        <w:rPr>
          <w:b/>
          <w:bCs/>
        </w:rPr>
        <w:t>persons</w:t>
      </w:r>
      <w:r w:rsidRPr="00D53DEB">
        <w:rPr>
          <w:b/>
          <w:bCs/>
        </w:rPr>
        <w:t xml:space="preserve"> from whom the information is requested, and any steps to be taken to obtain their consent.</w:t>
      </w:r>
    </w:p>
    <w:p w:rsidR="008041D8" w:rsidP="008C5D1F" w14:paraId="08DEAF6E" w14:textId="77777777"/>
    <w:p w:rsidR="008C5D1F" w:rsidP="008C5D1F" w14:paraId="09EAEF01" w14:textId="3E6020FF">
      <w:r>
        <w:t>There are no sensitive questions in this survey.</w:t>
      </w:r>
    </w:p>
    <w:p w:rsidR="008C5D1F" w:rsidP="008C5D1F" w14:paraId="14DFAFD7" w14:textId="77777777">
      <w:pPr>
        <w:rPr>
          <w:b/>
        </w:rPr>
      </w:pPr>
    </w:p>
    <w:p w:rsidR="008041D8" w:rsidRPr="00D53DEB" w:rsidP="008041D8" w14:paraId="485B9B7B" w14:textId="63E31165">
      <w:pPr>
        <w:rPr>
          <w:b/>
          <w:bCs/>
        </w:rPr>
      </w:pPr>
      <w:r>
        <w:rPr>
          <w:b/>
        </w:rPr>
        <w:t>12</w:t>
      </w:r>
      <w:r>
        <w:rPr>
          <w:b/>
        </w:rPr>
        <w:t>.</w:t>
      </w:r>
      <w:r>
        <w:rPr>
          <w:b/>
        </w:rPr>
        <w:t xml:space="preserve">  </w:t>
      </w:r>
      <w:r w:rsidRPr="00D53DEB">
        <w:rPr>
          <w:b/>
          <w:bCs/>
        </w:rPr>
        <w:t>Provide</w:t>
      </w:r>
      <w:r w:rsidRPr="00D53DEB">
        <w:rPr>
          <w:b/>
          <w:bCs/>
        </w:rPr>
        <w:t xml:space="preserve"> estimates of the hour burden of the collection of information.  The statement should:</w:t>
      </w:r>
    </w:p>
    <w:p w:rsidR="008041D8" w:rsidRPr="00D53DEB" w:rsidP="008041D8" w14:paraId="7D68A801" w14:textId="77777777">
      <w:pPr>
        <w:rPr>
          <w:b/>
          <w:bCs/>
        </w:rPr>
      </w:pPr>
    </w:p>
    <w:p w:rsidR="008041D8" w:rsidRPr="003A5F9D" w:rsidP="008041D8" w14:paraId="330224E7" w14:textId="77777777">
      <w:pPr>
        <w:numPr>
          <w:ilvl w:val="0"/>
          <w:numId w:val="6"/>
        </w:numPr>
        <w:tabs>
          <w:tab w:val="clear" w:pos="1080"/>
        </w:tabs>
        <w:autoSpaceDE w:val="0"/>
        <w:autoSpaceDN w:val="0"/>
        <w:adjustRightInd w:val="0"/>
        <w:spacing w:after="120"/>
        <w:rPr>
          <w:b/>
          <w:bCs/>
        </w:rPr>
      </w:pPr>
      <w:r w:rsidRPr="00B65823">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B65823">
        <w:rPr>
          <w:b/>
          <w:bCs/>
        </w:rPr>
        <w:t>General</w:t>
      </w:r>
      <w:r w:rsidRPr="00B65823">
        <w:rPr>
          <w:b/>
          <w:bCs/>
        </w:rPr>
        <w:t>, estimates should not include burden hours for customary and usual business practices.</w:t>
      </w:r>
    </w:p>
    <w:p w:rsidR="008041D8" w:rsidRPr="00B65823" w:rsidP="008041D8" w14:paraId="744E732D" w14:textId="77777777">
      <w:pPr>
        <w:numPr>
          <w:ilvl w:val="0"/>
          <w:numId w:val="6"/>
        </w:numPr>
        <w:tabs>
          <w:tab w:val="clear" w:pos="1080"/>
        </w:tabs>
        <w:autoSpaceDE w:val="0"/>
        <w:autoSpaceDN w:val="0"/>
        <w:adjustRightInd w:val="0"/>
        <w:spacing w:after="120"/>
      </w:pPr>
      <w:r w:rsidRPr="00B65823">
        <w:rPr>
          <w:b/>
          <w:bCs/>
        </w:rPr>
        <w:t>If this request for approval covers more than one form, provide separate hour burden estimates for each form</w:t>
      </w:r>
    </w:p>
    <w:p w:rsidR="008041D8" w:rsidRPr="00B65823" w:rsidP="008041D8" w14:paraId="00A58D92" w14:textId="77777777">
      <w:pPr>
        <w:numPr>
          <w:ilvl w:val="0"/>
          <w:numId w:val="6"/>
        </w:numPr>
        <w:tabs>
          <w:tab w:val="clear" w:pos="1080"/>
        </w:tabs>
        <w:autoSpaceDE w:val="0"/>
        <w:autoSpaceDN w:val="0"/>
        <w:adjustRightInd w:val="0"/>
        <w:rPr>
          <w:b/>
          <w:bCs/>
        </w:rPr>
      </w:pPr>
      <w:r w:rsidRPr="00B65823">
        <w:rPr>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B65823">
        <w:rPr>
          <w:b/>
          <w:bCs/>
        </w:rPr>
        <w:t>collection activities should not be included here.  Instead, this cost should be included in Item 14.</w:t>
      </w:r>
    </w:p>
    <w:p w:rsidR="008041D8" w:rsidRPr="00D87ED3" w:rsidP="008041D8" w14:paraId="6A34D634" w14:textId="77777777">
      <w:pPr>
        <w:rPr>
          <w:bCs/>
        </w:rPr>
      </w:pPr>
    </w:p>
    <w:p w:rsidR="008041D8" w:rsidRPr="00D87ED3" w:rsidP="008041D8" w14:paraId="080A83A1" w14:textId="77777777">
      <w:pPr>
        <w:rPr>
          <w:bCs/>
        </w:rPr>
      </w:pPr>
    </w:p>
    <w:p w:rsidR="008C5D1F" w:rsidP="008C5D1F" w14:paraId="3E77884F" w14:textId="77777777">
      <w:pPr>
        <w:rPr>
          <w:b/>
        </w:rPr>
      </w:pPr>
    </w:p>
    <w:p w:rsidR="008C5D1F" w:rsidP="008C5D1F" w14:paraId="0AB51BEA" w14:textId="7D322D4B">
      <w:r>
        <w:t xml:space="preserve">The following paragraphs and tables give the derivation of the respondent burden for each activity for </w:t>
      </w:r>
      <w:r w:rsidRPr="008B0771">
        <w:t xml:space="preserve">Fiscal Years </w:t>
      </w:r>
      <w:r w:rsidR="002901D4">
        <w:t>2025</w:t>
      </w:r>
      <w:r w:rsidRPr="008B0771" w:rsidR="002901D4">
        <w:t xml:space="preserve"> </w:t>
      </w:r>
      <w:r w:rsidRPr="008B0771">
        <w:t xml:space="preserve">through </w:t>
      </w:r>
      <w:r w:rsidR="002901D4">
        <w:t>2027</w:t>
      </w:r>
      <w:r w:rsidR="003763C4">
        <w:t xml:space="preserve">. </w:t>
      </w:r>
      <w:r>
        <w:t xml:space="preserve">There are </w:t>
      </w:r>
      <w:r w:rsidR="009F6E10">
        <w:t xml:space="preserve">three </w:t>
      </w:r>
      <w:r>
        <w:t>activities that might be associated with any one project listed below</w:t>
      </w:r>
      <w:r w:rsidR="003763C4">
        <w:t xml:space="preserve">. </w:t>
      </w:r>
      <w:r>
        <w:t>They are screening, initiating</w:t>
      </w:r>
      <w:r w:rsidR="008C15E5">
        <w:t>,</w:t>
      </w:r>
      <w:r>
        <w:t xml:space="preserve"> and pricing</w:t>
      </w:r>
      <w:r w:rsidR="003763C4">
        <w:t xml:space="preserve">. </w:t>
      </w:r>
      <w:r>
        <w:t xml:space="preserve">Successful completion of this </w:t>
      </w:r>
      <w:r w:rsidR="009C7D5A">
        <w:t>three</w:t>
      </w:r>
      <w:r>
        <w:t xml:space="preserve">-stage process provides the information required to revise and update the Housing samples (See </w:t>
      </w:r>
      <w:r w:rsidR="00E01C9C">
        <w:t>Part</w:t>
      </w:r>
      <w:r>
        <w:t xml:space="preserve"> B) and continue accurate and timely collection of rent information for monthly calculation and publication of the CPI.</w:t>
      </w:r>
    </w:p>
    <w:p w:rsidR="008C5D1F" w:rsidP="008C5D1F" w14:paraId="60FC91FC" w14:textId="77777777"/>
    <w:p w:rsidR="008C5D1F" w:rsidP="008C5D1F" w14:paraId="5479504E" w14:textId="5F2D2EDB">
      <w:r>
        <w:t xml:space="preserve">Updating the Housing sample begins with CPI economists and statisticians using </w:t>
      </w:r>
      <w:r w:rsidR="000156C2">
        <w:t xml:space="preserve">American Community Survey (ACS) data to sample block groups within CPI </w:t>
      </w:r>
      <w:r w:rsidR="00CC2716">
        <w:t>Primary Sampling Units (</w:t>
      </w:r>
      <w:r w:rsidR="000156C2">
        <w:t>PSUs</w:t>
      </w:r>
      <w:r w:rsidR="00CC2716">
        <w:t>)</w:t>
      </w:r>
      <w:r w:rsidR="007217F3">
        <w:t>.</w:t>
      </w:r>
      <w:r w:rsidR="0088005D">
        <w:t xml:space="preserve"> Address lists are then purchased for the selected block groups</w:t>
      </w:r>
      <w:r w:rsidR="003763C4">
        <w:t xml:space="preserve">. </w:t>
      </w:r>
      <w:r w:rsidR="0088005D">
        <w:t>The address lists also contain tenure codes</w:t>
      </w:r>
      <w:r w:rsidR="003763C4">
        <w:t xml:space="preserve">. </w:t>
      </w:r>
      <w:r w:rsidR="0088005D">
        <w:t>The codes represent the likely tenure—owner/renter—of the addresses within the designated block groups</w:t>
      </w:r>
      <w:r w:rsidR="003763C4">
        <w:t xml:space="preserve">. </w:t>
      </w:r>
      <w:r w:rsidR="0088005D">
        <w:t xml:space="preserve">Addresses with a high probability of being owner </w:t>
      </w:r>
      <w:r w:rsidR="00CC2716">
        <w:t xml:space="preserve">occupied </w:t>
      </w:r>
      <w:r w:rsidR="0088005D">
        <w:t xml:space="preserve">or that can be identified as </w:t>
      </w:r>
      <w:r w:rsidR="0088005D">
        <w:t>commercial</w:t>
      </w:r>
      <w:r w:rsidR="0088005D">
        <w:t xml:space="preserve"> or post office boxes</w:t>
      </w:r>
      <w:r w:rsidRPr="00C824B0" w:rsidR="0088005D">
        <w:t xml:space="preserve"> </w:t>
      </w:r>
      <w:r w:rsidR="0088005D">
        <w:t>are eliminated. The remaining addresses are transmitted to the field for the EAs to begin the screening and initiation process.</w:t>
      </w:r>
    </w:p>
    <w:p w:rsidR="008C5D1F" w:rsidP="008C5D1F" w14:paraId="4D0A9F6B" w14:textId="77777777"/>
    <w:p w:rsidR="008C5D1F" w:rsidP="008C5D1F" w14:paraId="2B92B8F8" w14:textId="61D361C2">
      <w:r>
        <w:t>Upon the successful completion of the screening questions, initiation commences smoothly and without interruption</w:t>
      </w:r>
      <w:r w:rsidR="003763C4">
        <w:t xml:space="preserve">. </w:t>
      </w:r>
      <w:r>
        <w:t>During this phase, questions about the unit, the rent, and what is included in the rent are asked of respondents</w:t>
      </w:r>
      <w:r w:rsidR="003763C4">
        <w:t xml:space="preserve">. </w:t>
      </w:r>
      <w:r>
        <w:t>The initiation of rental units is a one-time activity, and subsequent visits to these addresses are termed as pricings</w:t>
      </w:r>
      <w:r w:rsidR="003763C4">
        <w:t xml:space="preserve">. </w:t>
      </w:r>
      <w:r>
        <w:t>Once a unit is initiated, it is in the sample</w:t>
      </w:r>
      <w:r w:rsidR="003763C4">
        <w:t xml:space="preserve">. </w:t>
      </w:r>
      <w:r>
        <w:t>Subsequently, an attempt to contact a respondent at</w:t>
      </w:r>
      <w:r w:rsidR="00114753">
        <w:t xml:space="preserve"> or associated with</w:t>
      </w:r>
      <w:r>
        <w:t xml:space="preserve"> that address</w:t>
      </w:r>
      <w:r w:rsidR="00114753">
        <w:t xml:space="preserve"> (in the case of landlords or managers)</w:t>
      </w:r>
      <w:r>
        <w:t xml:space="preserve"> will be made every six months.  </w:t>
      </w:r>
    </w:p>
    <w:p w:rsidR="008C5D1F" w:rsidP="008C5D1F" w14:paraId="36CEC78E" w14:textId="77777777"/>
    <w:p w:rsidR="007546CB" w:rsidP="00251D30" w14:paraId="764A7805" w14:textId="77777777">
      <w:r>
        <w:t>There are two types of pricing—short and long</w:t>
      </w:r>
      <w:r w:rsidR="003763C4">
        <w:t xml:space="preserve">. </w:t>
      </w:r>
      <w:r>
        <w:t>With short pricing, fewer questions are asked of the respondent</w:t>
      </w:r>
      <w:r w:rsidR="003763C4">
        <w:t xml:space="preserve">. </w:t>
      </w:r>
      <w:r w:rsidR="0052331E">
        <w:t>The short pricing interview is the most frequently conducted interview type</w:t>
      </w:r>
      <w:r w:rsidR="003763C4">
        <w:t xml:space="preserve">. </w:t>
      </w:r>
      <w:r w:rsidR="0052331E">
        <w:t>Short pricing is an abbreviated interview that confirms the unit’s eligibility for the survey, verifies respondent information, and collects rent data</w:t>
      </w:r>
      <w:r w:rsidR="003763C4">
        <w:t xml:space="preserve">. </w:t>
      </w:r>
      <w:r>
        <w:t>If the unit has the same occupant as was recorded during the last pricing and there have been no changes in the unit, questions for the short pricing interview are asked</w:t>
      </w:r>
      <w:r w:rsidR="003763C4">
        <w:t xml:space="preserve">. </w:t>
      </w:r>
      <w:r>
        <w:t>Short pricing questions save time for both our respondent and the EA</w:t>
      </w:r>
      <w:r w:rsidR="003763C4">
        <w:t xml:space="preserve">. </w:t>
      </w:r>
      <w:r w:rsidR="008F1583">
        <w:t>A short pricing interview reverts to a long pricing interview if there is a change in occupancy</w:t>
      </w:r>
      <w:r w:rsidR="003763C4">
        <w:t xml:space="preserve">. </w:t>
      </w:r>
      <w:r w:rsidR="00CA6181">
        <w:t>A long pricing interview occurs if there is a new occupant, certain modifications have been made to the unit, or i</w:t>
      </w:r>
      <w:r w:rsidR="00E3503F">
        <w:t>t</w:t>
      </w:r>
      <w:r w:rsidR="00CA6181">
        <w:t xml:space="preserve"> has been two or more years since a long interview has been completed.  </w:t>
      </w:r>
    </w:p>
    <w:p w:rsidR="007546CB" w:rsidP="00251D30" w14:paraId="59B40AFB" w14:textId="77777777"/>
    <w:p w:rsidR="00251D30" w:rsidP="00251D30" w14:paraId="51D01C2A" w14:textId="458FEED7">
      <w:r w:rsidRPr="00251D30">
        <w:t>As part of quality assurance activities, each data collector has eight (8) units randomly selected during the fiscal year for reinterview activities. This reflects less than 2% of the total sample. Each reinterview lasts</w:t>
      </w:r>
      <w:r w:rsidR="00D244BD">
        <w:t xml:space="preserve"> approximately four (4) minutes.</w:t>
      </w:r>
    </w:p>
    <w:p w:rsidR="00914E40" w:rsidP="008C5D1F" w14:paraId="4291BEEA" w14:textId="77777777"/>
    <w:p w:rsidR="008C5D1F" w:rsidP="008C5D1F" w14:paraId="09DA6886" w14:textId="77777777"/>
    <w:p w:rsidR="008C5D1F" w:rsidP="008C5D1F" w14:paraId="1AE887B1" w14:textId="017E07AC">
      <w:pPr>
        <w:rPr>
          <w:b/>
        </w:rPr>
      </w:pPr>
      <w:r>
        <w:rPr>
          <w:b/>
        </w:rPr>
        <w:t>Public burden statement</w:t>
      </w:r>
      <w:r>
        <w:rPr>
          <w:b/>
        </w:rPr>
        <w:t xml:space="preserve">:  </w:t>
      </w:r>
      <w:r w:rsidRPr="00C262E0">
        <w:t>The</w:t>
      </w:r>
      <w:r w:rsidRPr="00C262E0">
        <w:t xml:space="preserve"> survey interview can be completed in an estimated </w:t>
      </w:r>
      <w:r w:rsidR="003D0613">
        <w:t>5</w:t>
      </w:r>
      <w:r w:rsidRPr="00C262E0">
        <w:t>-</w:t>
      </w:r>
      <w:r w:rsidRPr="00C262E0" w:rsidR="009C7D5A">
        <w:t>1</w:t>
      </w:r>
      <w:r w:rsidR="000C63F6">
        <w:t>5</w:t>
      </w:r>
      <w:r w:rsidRPr="00C262E0" w:rsidR="009C7D5A">
        <w:t xml:space="preserve"> </w:t>
      </w:r>
      <w:r w:rsidRPr="00C262E0">
        <w:t>minutes</w:t>
      </w:r>
      <w:r>
        <w:rPr>
          <w:b/>
        </w:rPr>
        <w:t>.</w:t>
      </w:r>
    </w:p>
    <w:p w:rsidR="008C5D1F" w:rsidP="008C5D1F" w14:paraId="65AA4ED1" w14:textId="77777777">
      <w:pPr>
        <w:rPr>
          <w:b/>
        </w:rPr>
      </w:pPr>
    </w:p>
    <w:p w:rsidR="008C5D1F" w:rsidP="008C5D1F" w14:paraId="519E86A2" w14:textId="401847E5">
      <w:r>
        <w:rPr>
          <w:b/>
        </w:rPr>
        <w:t>*</w:t>
      </w:r>
      <w:r>
        <w:rPr>
          <w:b/>
        </w:rPr>
        <w:tab/>
      </w:r>
      <w:r w:rsidRPr="00766A5A">
        <w:t xml:space="preserve">To determine </w:t>
      </w:r>
      <w:r>
        <w:t xml:space="preserve">your </w:t>
      </w:r>
      <w:r w:rsidRPr="00766A5A">
        <w:t>eligibility</w:t>
      </w:r>
      <w:r w:rsidR="008F1583">
        <w:t xml:space="preserve"> (Screening)</w:t>
      </w:r>
      <w:r w:rsidRPr="00766A5A">
        <w:t xml:space="preserve"> – </w:t>
      </w:r>
      <w:r w:rsidR="00950937">
        <w:t>6</w:t>
      </w:r>
      <w:r w:rsidRPr="00766A5A">
        <w:t xml:space="preserve"> minutes</w:t>
      </w:r>
      <w:r w:rsidR="00644270">
        <w:t xml:space="preserve"> </w:t>
      </w:r>
    </w:p>
    <w:p w:rsidR="008C5D1F" w:rsidP="008C5D1F" w14:paraId="499FE578" w14:textId="735FD933">
      <w:r>
        <w:t>*</w:t>
      </w:r>
      <w:r>
        <w:tab/>
        <w:t xml:space="preserve">If eligible, to complete </w:t>
      </w:r>
      <w:r w:rsidR="00C262E0">
        <w:t>the interview</w:t>
      </w:r>
      <w:r w:rsidR="008F1583">
        <w:t xml:space="preserve"> (Initiation)</w:t>
      </w:r>
      <w:r>
        <w:t xml:space="preserve"> – </w:t>
      </w:r>
      <w:r w:rsidR="00950937">
        <w:t>9</w:t>
      </w:r>
      <w:r>
        <w:t xml:space="preserve"> minutes</w:t>
      </w:r>
    </w:p>
    <w:p w:rsidR="008C5D1F" w:rsidP="008C5D1F" w14:paraId="163306A9" w14:textId="33D8C35D">
      <w:r>
        <w:t>*</w:t>
      </w:r>
      <w:r>
        <w:tab/>
      </w:r>
      <w:r w:rsidR="00644270">
        <w:t>Long pricing</w:t>
      </w:r>
      <w:r>
        <w:t xml:space="preserve"> – </w:t>
      </w:r>
      <w:r w:rsidR="00644270">
        <w:t>7</w:t>
      </w:r>
      <w:r>
        <w:t xml:space="preserve"> minutes</w:t>
      </w:r>
      <w:r w:rsidR="00ED3CDD">
        <w:t xml:space="preserve"> </w:t>
      </w:r>
    </w:p>
    <w:p w:rsidR="00251D30" w:rsidP="008C5D1F" w14:paraId="22FEBA45" w14:textId="528F14C8">
      <w:r>
        <w:t>*</w:t>
      </w:r>
      <w:r w:rsidR="00644270">
        <w:tab/>
        <w:t>Short pricing – 5 minutes</w:t>
      </w:r>
    </w:p>
    <w:p w:rsidR="002F2593" w:rsidP="008C5D1F" w14:paraId="1ABDA743" w14:textId="77777777"/>
    <w:p w:rsidR="002F2593" w:rsidRPr="002F2593" w:rsidP="002F2593" w14:paraId="4FC6BF6C" w14:textId="77777777">
      <w:pPr>
        <w:rPr>
          <w:i/>
        </w:rPr>
      </w:pPr>
      <w:r w:rsidRPr="002F2593">
        <w:rPr>
          <w:b/>
        </w:rPr>
        <w:t>Estimated Annualized Respondent Cost and Hour Burden</w:t>
      </w:r>
    </w:p>
    <w:tbl>
      <w:tblPr>
        <w:tblW w:w="10530" w:type="dxa"/>
        <w:tblInd w:w="-550" w:type="dxa"/>
        <w:tblLayout w:type="fixed"/>
        <w:tblLook w:val="04A0"/>
      </w:tblPr>
      <w:tblGrid>
        <w:gridCol w:w="1530"/>
        <w:gridCol w:w="1440"/>
        <w:gridCol w:w="1440"/>
        <w:gridCol w:w="1260"/>
        <w:gridCol w:w="1080"/>
        <w:gridCol w:w="1080"/>
        <w:gridCol w:w="1170"/>
        <w:gridCol w:w="1530"/>
      </w:tblGrid>
      <w:tr w14:paraId="0E5D09A3" w14:textId="77777777" w:rsidTr="00FF649A">
        <w:tblPrEx>
          <w:tblW w:w="10530" w:type="dxa"/>
          <w:tblInd w:w="-550" w:type="dxa"/>
          <w:tblLayout w:type="fixed"/>
          <w:tblLook w:val="04A0"/>
        </w:tblPrEx>
        <w:trPr>
          <w:trHeight w:val="1200"/>
        </w:trPr>
        <w:tc>
          <w:tcPr>
            <w:tcW w:w="153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686C95" w:rsidRPr="00686C95" w:rsidP="00686C95" w14:paraId="42796EF5" w14:textId="77777777">
            <w:pPr>
              <w:rPr>
                <w:color w:val="000000"/>
                <w:sz w:val="23"/>
                <w:szCs w:val="23"/>
              </w:rPr>
            </w:pPr>
            <w:r w:rsidRPr="00686C95">
              <w:rPr>
                <w:color w:val="000000"/>
                <w:sz w:val="23"/>
                <w:szCs w:val="23"/>
              </w:rPr>
              <w:t>Activity</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686C95" w:rsidRPr="00686C95" w:rsidP="00686C95" w14:paraId="47A27FB9" w14:textId="77777777">
            <w:pPr>
              <w:jc w:val="center"/>
              <w:rPr>
                <w:color w:val="000000"/>
                <w:sz w:val="23"/>
                <w:szCs w:val="23"/>
              </w:rPr>
            </w:pPr>
            <w:r w:rsidRPr="00686C95">
              <w:rPr>
                <w:color w:val="000000"/>
                <w:sz w:val="23"/>
                <w:szCs w:val="23"/>
              </w:rPr>
              <w:t>No. of Respondents</w:t>
            </w:r>
          </w:p>
        </w:tc>
        <w:tc>
          <w:tcPr>
            <w:tcW w:w="1440" w:type="dxa"/>
            <w:tcBorders>
              <w:top w:val="single" w:sz="8" w:space="0" w:color="auto"/>
              <w:left w:val="nil"/>
              <w:bottom w:val="single" w:sz="8" w:space="0" w:color="auto"/>
              <w:right w:val="single" w:sz="8" w:space="0" w:color="auto"/>
            </w:tcBorders>
            <w:shd w:val="clear" w:color="000000" w:fill="BDD7EE"/>
            <w:vAlign w:val="center"/>
            <w:hideMark/>
          </w:tcPr>
          <w:p w:rsidR="00686C95" w:rsidRPr="00686C95" w:rsidP="00686C95" w14:paraId="400ACA6D" w14:textId="77777777">
            <w:pPr>
              <w:jc w:val="center"/>
              <w:rPr>
                <w:color w:val="000000"/>
                <w:sz w:val="23"/>
                <w:szCs w:val="23"/>
              </w:rPr>
            </w:pPr>
            <w:r w:rsidRPr="00686C95">
              <w:rPr>
                <w:color w:val="000000"/>
                <w:sz w:val="23"/>
                <w:szCs w:val="23"/>
              </w:rPr>
              <w:t>No. of Responses per Respondent</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686C95" w:rsidRPr="00686C95" w:rsidP="00686C95" w14:paraId="790498DA" w14:textId="77777777">
            <w:pPr>
              <w:jc w:val="center"/>
              <w:rPr>
                <w:color w:val="000000"/>
                <w:sz w:val="23"/>
                <w:szCs w:val="23"/>
              </w:rPr>
            </w:pPr>
            <w:r w:rsidRPr="00686C95">
              <w:rPr>
                <w:color w:val="000000"/>
                <w:sz w:val="23"/>
                <w:szCs w:val="23"/>
              </w:rPr>
              <w:t>Total Responses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686C95" w:rsidRPr="00686C95" w:rsidP="00686C95" w14:paraId="4068DA8E" w14:textId="77777777">
            <w:pPr>
              <w:jc w:val="center"/>
              <w:rPr>
                <w:color w:val="000000"/>
                <w:sz w:val="23"/>
                <w:szCs w:val="23"/>
              </w:rPr>
            </w:pPr>
            <w:r w:rsidRPr="00686C95">
              <w:rPr>
                <w:color w:val="000000"/>
                <w:sz w:val="23"/>
                <w:szCs w:val="23"/>
              </w:rPr>
              <w:t>Average Burden (Hours)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686C95" w:rsidRPr="00686C95" w:rsidP="00686C95" w14:paraId="11956111" w14:textId="77777777">
            <w:pPr>
              <w:jc w:val="center"/>
              <w:rPr>
                <w:color w:val="000000"/>
                <w:sz w:val="23"/>
                <w:szCs w:val="23"/>
              </w:rPr>
            </w:pPr>
            <w:r w:rsidRPr="00686C95">
              <w:rPr>
                <w:color w:val="000000"/>
                <w:sz w:val="23"/>
                <w:szCs w:val="23"/>
              </w:rPr>
              <w:t>Total Burden (Hours)</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686C95" w:rsidRPr="00686C95" w:rsidP="00686C95" w14:paraId="2AB976BC" w14:textId="77777777">
            <w:pPr>
              <w:jc w:val="center"/>
              <w:rPr>
                <w:color w:val="000000"/>
                <w:sz w:val="23"/>
                <w:szCs w:val="23"/>
              </w:rPr>
            </w:pPr>
            <w:r w:rsidRPr="00686C95">
              <w:rPr>
                <w:color w:val="000000"/>
                <w:sz w:val="23"/>
                <w:szCs w:val="23"/>
              </w:rPr>
              <w:t>Hourly Wage Rate</w:t>
            </w:r>
            <w:r w:rsidRPr="00686C95">
              <w:rPr>
                <w:color w:val="000000"/>
                <w:sz w:val="23"/>
                <w:szCs w:val="23"/>
              </w:rPr>
              <w:br/>
              <w:t>($)</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686C95" w:rsidRPr="00686C95" w:rsidP="00686C95" w14:paraId="280CCE8F" w14:textId="77777777">
            <w:pPr>
              <w:jc w:val="center"/>
              <w:rPr>
                <w:color w:val="000000"/>
                <w:sz w:val="23"/>
                <w:szCs w:val="23"/>
              </w:rPr>
            </w:pPr>
            <w:r w:rsidRPr="00686C95">
              <w:rPr>
                <w:color w:val="000000"/>
                <w:sz w:val="23"/>
                <w:szCs w:val="23"/>
              </w:rPr>
              <w:t xml:space="preserve">Total Burden Cost </w:t>
            </w:r>
            <w:r w:rsidRPr="00686C95">
              <w:rPr>
                <w:color w:val="000000"/>
                <w:sz w:val="23"/>
                <w:szCs w:val="23"/>
              </w:rPr>
              <w:br/>
              <w:t>($)</w:t>
            </w:r>
          </w:p>
        </w:tc>
      </w:tr>
      <w:tr w14:paraId="75776F72" w14:textId="77777777" w:rsidTr="00FF649A">
        <w:tblPrEx>
          <w:tblW w:w="10530" w:type="dxa"/>
          <w:tblInd w:w="-550" w:type="dxa"/>
          <w:tblLayout w:type="fixed"/>
          <w:tblLook w:val="04A0"/>
        </w:tblPrEx>
        <w:trPr>
          <w:trHeight w:val="339"/>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686C95" w:rsidRPr="00686C95" w:rsidP="00686C95" w14:paraId="224762D8" w14:textId="77777777">
            <w:pPr>
              <w:rPr>
                <w:color w:val="000000"/>
                <w:sz w:val="23"/>
                <w:szCs w:val="23"/>
              </w:rPr>
            </w:pPr>
            <w:r w:rsidRPr="00686C95">
              <w:rPr>
                <w:color w:val="000000"/>
                <w:sz w:val="23"/>
                <w:szCs w:val="23"/>
              </w:rPr>
              <w:t xml:space="preserve"> Screening</w:t>
            </w:r>
          </w:p>
        </w:tc>
        <w:tc>
          <w:tcPr>
            <w:tcW w:w="1440" w:type="dxa"/>
            <w:tcBorders>
              <w:top w:val="nil"/>
              <w:left w:val="nil"/>
              <w:bottom w:val="single" w:sz="8" w:space="0" w:color="auto"/>
              <w:right w:val="single" w:sz="8" w:space="0" w:color="auto"/>
            </w:tcBorders>
            <w:shd w:val="clear" w:color="auto" w:fill="auto"/>
            <w:vAlign w:val="center"/>
            <w:hideMark/>
          </w:tcPr>
          <w:p w:rsidR="00680C27" w:rsidP="00C611C8" w14:paraId="3C961DD3" w14:textId="7AD231A9">
            <w:pPr>
              <w:jc w:val="right"/>
              <w:rPr>
                <w:color w:val="000000"/>
                <w:sz w:val="23"/>
                <w:szCs w:val="23"/>
              </w:rPr>
            </w:pPr>
          </w:p>
          <w:p w:rsidR="00680C27" w:rsidRPr="00686C95" w:rsidP="00C611C8" w14:paraId="27A7CDE4" w14:textId="439F399D">
            <w:pPr>
              <w:jc w:val="right"/>
              <w:rPr>
                <w:color w:val="000000"/>
                <w:sz w:val="23"/>
                <w:szCs w:val="23"/>
              </w:rPr>
            </w:pPr>
            <w:r>
              <w:rPr>
                <w:color w:val="000000"/>
                <w:sz w:val="23"/>
                <w:szCs w:val="23"/>
              </w:rPr>
              <w:t>26,286</w:t>
            </w:r>
          </w:p>
        </w:tc>
        <w:tc>
          <w:tcPr>
            <w:tcW w:w="1440" w:type="dxa"/>
            <w:tcBorders>
              <w:top w:val="nil"/>
              <w:left w:val="nil"/>
              <w:bottom w:val="single" w:sz="8" w:space="0" w:color="auto"/>
              <w:right w:val="single" w:sz="8" w:space="0" w:color="auto"/>
            </w:tcBorders>
            <w:shd w:val="clear" w:color="auto" w:fill="auto"/>
            <w:vAlign w:val="center"/>
            <w:hideMark/>
          </w:tcPr>
          <w:p w:rsidR="00686C95" w:rsidRPr="00686C95" w:rsidP="00686C95" w14:paraId="6B925A00" w14:textId="77777777">
            <w:pPr>
              <w:jc w:val="center"/>
              <w:rPr>
                <w:color w:val="000000"/>
                <w:sz w:val="23"/>
                <w:szCs w:val="23"/>
              </w:rPr>
            </w:pPr>
            <w:r w:rsidRPr="00686C95">
              <w:rPr>
                <w:color w:val="000000"/>
                <w:sz w:val="23"/>
                <w:szCs w:val="23"/>
              </w:rPr>
              <w:t>1</w:t>
            </w:r>
          </w:p>
        </w:tc>
        <w:tc>
          <w:tcPr>
            <w:tcW w:w="1260" w:type="dxa"/>
            <w:tcBorders>
              <w:top w:val="nil"/>
              <w:left w:val="nil"/>
              <w:bottom w:val="single" w:sz="8" w:space="0" w:color="auto"/>
              <w:right w:val="single" w:sz="8" w:space="0" w:color="auto"/>
            </w:tcBorders>
            <w:shd w:val="clear" w:color="auto" w:fill="auto"/>
            <w:vAlign w:val="center"/>
            <w:hideMark/>
          </w:tcPr>
          <w:p w:rsidR="00686C95" w:rsidP="00686C95" w14:paraId="6CC5C92F" w14:textId="7AC83B18">
            <w:pPr>
              <w:jc w:val="right"/>
              <w:rPr>
                <w:color w:val="000000"/>
                <w:sz w:val="23"/>
                <w:szCs w:val="23"/>
              </w:rPr>
            </w:pPr>
          </w:p>
          <w:p w:rsidR="00680C27" w:rsidRPr="00686C95" w:rsidP="00686C95" w14:paraId="6893985A" w14:textId="52B0DBB2">
            <w:pPr>
              <w:jc w:val="right"/>
              <w:rPr>
                <w:color w:val="000000"/>
                <w:sz w:val="23"/>
                <w:szCs w:val="23"/>
              </w:rPr>
            </w:pPr>
            <w:r>
              <w:rPr>
                <w:color w:val="000000"/>
                <w:sz w:val="23"/>
                <w:szCs w:val="23"/>
              </w:rPr>
              <w:t>26,286</w:t>
            </w:r>
          </w:p>
        </w:tc>
        <w:tc>
          <w:tcPr>
            <w:tcW w:w="1080" w:type="dxa"/>
            <w:tcBorders>
              <w:top w:val="nil"/>
              <w:left w:val="nil"/>
              <w:bottom w:val="single" w:sz="8" w:space="0" w:color="auto"/>
              <w:right w:val="single" w:sz="8" w:space="0" w:color="auto"/>
            </w:tcBorders>
            <w:shd w:val="clear" w:color="auto" w:fill="auto"/>
            <w:vAlign w:val="center"/>
            <w:hideMark/>
          </w:tcPr>
          <w:p w:rsidR="00686C95" w:rsidRPr="00686C95" w:rsidP="00686C95" w14:paraId="01489355" w14:textId="77777777">
            <w:pPr>
              <w:jc w:val="center"/>
              <w:rPr>
                <w:color w:val="000000"/>
                <w:sz w:val="23"/>
                <w:szCs w:val="23"/>
              </w:rPr>
            </w:pPr>
            <w:r w:rsidRPr="00686C95">
              <w:rPr>
                <w:color w:val="000000"/>
                <w:sz w:val="23"/>
                <w:szCs w:val="23"/>
              </w:rPr>
              <w:t>6/60</w:t>
            </w:r>
          </w:p>
        </w:tc>
        <w:tc>
          <w:tcPr>
            <w:tcW w:w="1080" w:type="dxa"/>
            <w:tcBorders>
              <w:top w:val="nil"/>
              <w:left w:val="nil"/>
              <w:bottom w:val="single" w:sz="8" w:space="0" w:color="auto"/>
              <w:right w:val="single" w:sz="8" w:space="0" w:color="auto"/>
            </w:tcBorders>
            <w:shd w:val="clear" w:color="auto" w:fill="auto"/>
            <w:vAlign w:val="center"/>
            <w:hideMark/>
          </w:tcPr>
          <w:p w:rsidR="00686C95" w:rsidRPr="00686C95" w:rsidP="00686C95" w14:paraId="5848E72A" w14:textId="267248CD">
            <w:pPr>
              <w:jc w:val="right"/>
              <w:rPr>
                <w:color w:val="000000"/>
                <w:sz w:val="23"/>
                <w:szCs w:val="23"/>
              </w:rPr>
            </w:pPr>
            <w:r w:rsidRPr="00686C95">
              <w:rPr>
                <w:color w:val="000000"/>
                <w:sz w:val="23"/>
                <w:szCs w:val="23"/>
              </w:rPr>
              <w:t>2,</w:t>
            </w:r>
            <w:r w:rsidR="00D71C85">
              <w:rPr>
                <w:color w:val="000000"/>
                <w:sz w:val="23"/>
                <w:szCs w:val="23"/>
              </w:rPr>
              <w:t>629</w:t>
            </w:r>
          </w:p>
        </w:tc>
        <w:tc>
          <w:tcPr>
            <w:tcW w:w="1170" w:type="dxa"/>
            <w:tcBorders>
              <w:top w:val="nil"/>
              <w:left w:val="nil"/>
              <w:bottom w:val="single" w:sz="8" w:space="0" w:color="auto"/>
              <w:right w:val="single" w:sz="8" w:space="0" w:color="auto"/>
            </w:tcBorders>
            <w:shd w:val="clear" w:color="auto" w:fill="auto"/>
            <w:vAlign w:val="center"/>
            <w:hideMark/>
          </w:tcPr>
          <w:p w:rsidR="00686C95" w:rsidRPr="00686C95" w:rsidP="00686C95" w14:paraId="7FD91471" w14:textId="72B6557B">
            <w:pPr>
              <w:jc w:val="center"/>
              <w:rPr>
                <w:color w:val="000000"/>
                <w:sz w:val="23"/>
                <w:szCs w:val="23"/>
              </w:rPr>
            </w:pPr>
            <w:r>
              <w:rPr>
                <w:color w:val="000000"/>
                <w:sz w:val="23"/>
                <w:szCs w:val="23"/>
              </w:rPr>
              <w:t xml:space="preserve">32.25 </w:t>
            </w:r>
          </w:p>
        </w:tc>
        <w:tc>
          <w:tcPr>
            <w:tcW w:w="1530" w:type="dxa"/>
            <w:tcBorders>
              <w:top w:val="nil"/>
              <w:left w:val="nil"/>
              <w:bottom w:val="single" w:sz="8" w:space="0" w:color="auto"/>
              <w:right w:val="single" w:sz="8" w:space="0" w:color="auto"/>
            </w:tcBorders>
            <w:shd w:val="clear" w:color="auto" w:fill="auto"/>
            <w:noWrap/>
            <w:vAlign w:val="bottom"/>
            <w:hideMark/>
          </w:tcPr>
          <w:p w:rsidR="00686C95" w:rsidRPr="00686C95" w:rsidP="004D7604" w14:paraId="45F224B8" w14:textId="6167113D">
            <w:pPr>
              <w:jc w:val="right"/>
              <w:rPr>
                <w:color w:val="000000"/>
                <w:sz w:val="23"/>
                <w:szCs w:val="23"/>
              </w:rPr>
            </w:pPr>
            <w:r>
              <w:rPr>
                <w:color w:val="000000"/>
                <w:sz w:val="23"/>
                <w:szCs w:val="23"/>
              </w:rPr>
              <w:t xml:space="preserve">84,785.25 </w:t>
            </w:r>
          </w:p>
        </w:tc>
      </w:tr>
      <w:tr w14:paraId="1E19E943" w14:textId="77777777" w:rsidTr="00610269">
        <w:tblPrEx>
          <w:tblW w:w="10530" w:type="dxa"/>
          <w:tblInd w:w="-550" w:type="dxa"/>
          <w:tblLayout w:type="fixed"/>
          <w:tblLook w:val="04A0"/>
        </w:tblPrEx>
        <w:trPr>
          <w:trHeight w:val="339"/>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834EE8" w:rsidRPr="00686C95" w:rsidP="00834EE8" w14:paraId="01FB68FF" w14:textId="77777777">
            <w:pPr>
              <w:rPr>
                <w:color w:val="000000"/>
                <w:sz w:val="23"/>
                <w:szCs w:val="23"/>
              </w:rPr>
            </w:pPr>
            <w:r w:rsidRPr="00686C95">
              <w:rPr>
                <w:color w:val="000000"/>
                <w:sz w:val="23"/>
                <w:szCs w:val="23"/>
              </w:rPr>
              <w:t xml:space="preserve"> Initiation</w:t>
            </w:r>
          </w:p>
        </w:tc>
        <w:tc>
          <w:tcPr>
            <w:tcW w:w="1440" w:type="dxa"/>
            <w:tcBorders>
              <w:top w:val="nil"/>
              <w:left w:val="nil"/>
              <w:bottom w:val="single" w:sz="8" w:space="0" w:color="auto"/>
              <w:right w:val="single" w:sz="8" w:space="0" w:color="auto"/>
            </w:tcBorders>
            <w:shd w:val="clear" w:color="auto" w:fill="auto"/>
            <w:vAlign w:val="center"/>
            <w:hideMark/>
          </w:tcPr>
          <w:p w:rsidR="00834EE8" w:rsidP="004D7604" w14:paraId="54240CE5" w14:textId="1D3C0BDF">
            <w:pPr>
              <w:rPr>
                <w:color w:val="000000"/>
                <w:sz w:val="23"/>
                <w:szCs w:val="23"/>
              </w:rPr>
            </w:pPr>
            <w:r>
              <w:rPr>
                <w:color w:val="000000"/>
                <w:sz w:val="23"/>
                <w:szCs w:val="23"/>
              </w:rPr>
              <w:t xml:space="preserve">      </w:t>
            </w:r>
          </w:p>
          <w:p w:rsidR="00680C27" w:rsidRPr="00686C95" w:rsidP="00834EE8" w14:paraId="24F7A66D" w14:textId="4E59D926">
            <w:pPr>
              <w:jc w:val="right"/>
              <w:rPr>
                <w:color w:val="000000"/>
                <w:sz w:val="23"/>
                <w:szCs w:val="23"/>
              </w:rPr>
            </w:pPr>
            <w:r>
              <w:rPr>
                <w:color w:val="000000"/>
                <w:sz w:val="23"/>
                <w:szCs w:val="23"/>
              </w:rPr>
              <w:t>6,103</w:t>
            </w:r>
            <w:r w:rsidR="00D71C85">
              <w:rPr>
                <w:color w:val="000000"/>
                <w:sz w:val="23"/>
                <w:szCs w:val="23"/>
              </w:rPr>
              <w:t>*</w:t>
            </w:r>
          </w:p>
        </w:tc>
        <w:tc>
          <w:tcPr>
            <w:tcW w:w="1440" w:type="dxa"/>
            <w:tcBorders>
              <w:top w:val="nil"/>
              <w:left w:val="nil"/>
              <w:bottom w:val="single" w:sz="8" w:space="0" w:color="auto"/>
              <w:right w:val="single" w:sz="8" w:space="0" w:color="auto"/>
            </w:tcBorders>
            <w:shd w:val="clear" w:color="auto" w:fill="auto"/>
            <w:vAlign w:val="center"/>
            <w:hideMark/>
          </w:tcPr>
          <w:p w:rsidR="00834EE8" w:rsidRPr="00686C95" w:rsidP="00834EE8" w14:paraId="4BB86862" w14:textId="77777777">
            <w:pPr>
              <w:jc w:val="center"/>
              <w:rPr>
                <w:color w:val="000000"/>
                <w:sz w:val="23"/>
                <w:szCs w:val="23"/>
              </w:rPr>
            </w:pPr>
            <w:r w:rsidRPr="00686C95">
              <w:rPr>
                <w:color w:val="000000"/>
                <w:sz w:val="23"/>
                <w:szCs w:val="23"/>
              </w:rPr>
              <w:t>1</w:t>
            </w:r>
          </w:p>
        </w:tc>
        <w:tc>
          <w:tcPr>
            <w:tcW w:w="1260" w:type="dxa"/>
            <w:tcBorders>
              <w:top w:val="nil"/>
              <w:left w:val="nil"/>
              <w:bottom w:val="single" w:sz="8" w:space="0" w:color="auto"/>
              <w:right w:val="single" w:sz="8" w:space="0" w:color="auto"/>
            </w:tcBorders>
            <w:shd w:val="clear" w:color="auto" w:fill="auto"/>
            <w:vAlign w:val="center"/>
            <w:hideMark/>
          </w:tcPr>
          <w:p w:rsidR="00834EE8" w:rsidP="00834EE8" w14:paraId="259628BB" w14:textId="1DA6AFC4">
            <w:pPr>
              <w:jc w:val="right"/>
              <w:rPr>
                <w:color w:val="000000"/>
                <w:sz w:val="23"/>
                <w:szCs w:val="23"/>
              </w:rPr>
            </w:pPr>
          </w:p>
          <w:p w:rsidR="00680C27" w:rsidRPr="00686C95" w:rsidP="00834EE8" w14:paraId="7C895EB3" w14:textId="7F6E2C6C">
            <w:pPr>
              <w:jc w:val="right"/>
              <w:rPr>
                <w:color w:val="000000"/>
                <w:sz w:val="23"/>
                <w:szCs w:val="23"/>
              </w:rPr>
            </w:pPr>
            <w:r>
              <w:rPr>
                <w:color w:val="000000"/>
                <w:sz w:val="23"/>
                <w:szCs w:val="23"/>
              </w:rPr>
              <w:t>6,103</w:t>
            </w:r>
          </w:p>
        </w:tc>
        <w:tc>
          <w:tcPr>
            <w:tcW w:w="1080" w:type="dxa"/>
            <w:tcBorders>
              <w:top w:val="nil"/>
              <w:left w:val="nil"/>
              <w:bottom w:val="single" w:sz="8" w:space="0" w:color="auto"/>
              <w:right w:val="single" w:sz="8" w:space="0" w:color="auto"/>
            </w:tcBorders>
            <w:shd w:val="clear" w:color="auto" w:fill="auto"/>
            <w:vAlign w:val="center"/>
            <w:hideMark/>
          </w:tcPr>
          <w:p w:rsidR="00834EE8" w:rsidRPr="00686C95" w:rsidP="00834EE8" w14:paraId="3D02F6D5" w14:textId="77777777">
            <w:pPr>
              <w:jc w:val="center"/>
              <w:rPr>
                <w:color w:val="000000"/>
                <w:sz w:val="23"/>
                <w:szCs w:val="23"/>
              </w:rPr>
            </w:pPr>
            <w:r w:rsidRPr="00686C95">
              <w:rPr>
                <w:color w:val="000000"/>
                <w:sz w:val="23"/>
                <w:szCs w:val="23"/>
              </w:rPr>
              <w:t>9/60</w:t>
            </w:r>
          </w:p>
        </w:tc>
        <w:tc>
          <w:tcPr>
            <w:tcW w:w="1080" w:type="dxa"/>
            <w:tcBorders>
              <w:top w:val="nil"/>
              <w:left w:val="nil"/>
              <w:bottom w:val="single" w:sz="8" w:space="0" w:color="auto"/>
              <w:right w:val="single" w:sz="8" w:space="0" w:color="auto"/>
            </w:tcBorders>
            <w:shd w:val="clear" w:color="auto" w:fill="auto"/>
            <w:vAlign w:val="center"/>
            <w:hideMark/>
          </w:tcPr>
          <w:p w:rsidR="00834EE8" w:rsidRPr="00686C95" w:rsidP="00834EE8" w14:paraId="35C42252" w14:textId="6F3A644C">
            <w:pPr>
              <w:jc w:val="right"/>
              <w:rPr>
                <w:color w:val="000000"/>
                <w:sz w:val="23"/>
                <w:szCs w:val="23"/>
              </w:rPr>
            </w:pPr>
            <w:r>
              <w:rPr>
                <w:color w:val="000000"/>
                <w:sz w:val="23"/>
                <w:szCs w:val="23"/>
              </w:rPr>
              <w:t>915</w:t>
            </w:r>
          </w:p>
        </w:tc>
        <w:tc>
          <w:tcPr>
            <w:tcW w:w="1170" w:type="dxa"/>
            <w:tcBorders>
              <w:top w:val="nil"/>
              <w:left w:val="nil"/>
              <w:bottom w:val="single" w:sz="8" w:space="0" w:color="auto"/>
              <w:right w:val="single" w:sz="8" w:space="0" w:color="auto"/>
            </w:tcBorders>
            <w:shd w:val="clear" w:color="auto" w:fill="auto"/>
            <w:hideMark/>
          </w:tcPr>
          <w:p w:rsidR="00834EE8" w:rsidRPr="00686C95" w:rsidP="00504EE4" w14:paraId="40656E91" w14:textId="7E396EFD">
            <w:pPr>
              <w:jc w:val="center"/>
              <w:rPr>
                <w:color w:val="000000"/>
                <w:sz w:val="23"/>
                <w:szCs w:val="23"/>
              </w:rPr>
            </w:pPr>
            <w:r>
              <w:rPr>
                <w:color w:val="000000"/>
                <w:sz w:val="23"/>
                <w:szCs w:val="23"/>
              </w:rPr>
              <w:t xml:space="preserve">32.25 </w:t>
            </w:r>
          </w:p>
        </w:tc>
        <w:tc>
          <w:tcPr>
            <w:tcW w:w="1530" w:type="dxa"/>
            <w:tcBorders>
              <w:top w:val="nil"/>
              <w:left w:val="nil"/>
              <w:bottom w:val="single" w:sz="8" w:space="0" w:color="auto"/>
              <w:right w:val="single" w:sz="8" w:space="0" w:color="auto"/>
            </w:tcBorders>
            <w:shd w:val="clear" w:color="auto" w:fill="auto"/>
            <w:noWrap/>
            <w:vAlign w:val="bottom"/>
            <w:hideMark/>
          </w:tcPr>
          <w:p w:rsidR="00834EE8" w:rsidRPr="00686C95" w:rsidP="00504EE4" w14:paraId="0E4F9528" w14:textId="59D804E6">
            <w:pPr>
              <w:jc w:val="right"/>
              <w:rPr>
                <w:color w:val="000000"/>
                <w:sz w:val="23"/>
                <w:szCs w:val="23"/>
              </w:rPr>
            </w:pPr>
            <w:r>
              <w:rPr>
                <w:color w:val="000000"/>
                <w:sz w:val="23"/>
                <w:szCs w:val="23"/>
              </w:rPr>
              <w:t>29,508.75</w:t>
            </w:r>
            <w:r w:rsidR="006267CB">
              <w:rPr>
                <w:color w:val="000000"/>
                <w:sz w:val="23"/>
                <w:szCs w:val="23"/>
              </w:rPr>
              <w:t xml:space="preserve"> </w:t>
            </w:r>
          </w:p>
        </w:tc>
      </w:tr>
      <w:tr w14:paraId="63A0E01F" w14:textId="77777777" w:rsidTr="00610269">
        <w:tblPrEx>
          <w:tblW w:w="10530" w:type="dxa"/>
          <w:tblInd w:w="-550" w:type="dxa"/>
          <w:tblLayout w:type="fixed"/>
          <w:tblLook w:val="04A0"/>
        </w:tblPrEx>
        <w:trPr>
          <w:trHeight w:val="312"/>
        </w:trPr>
        <w:tc>
          <w:tcPr>
            <w:tcW w:w="1530" w:type="dxa"/>
            <w:tcBorders>
              <w:top w:val="nil"/>
              <w:left w:val="single" w:sz="8" w:space="0" w:color="auto"/>
              <w:bottom w:val="single" w:sz="8" w:space="0" w:color="auto"/>
              <w:right w:val="single" w:sz="8" w:space="0" w:color="auto"/>
            </w:tcBorders>
            <w:shd w:val="clear" w:color="auto" w:fill="auto"/>
            <w:vAlign w:val="center"/>
            <w:hideMark/>
          </w:tcPr>
          <w:p w:rsidR="00834EE8" w:rsidRPr="00686C95" w:rsidP="00834EE8" w14:paraId="63167EFD" w14:textId="77777777">
            <w:pPr>
              <w:rPr>
                <w:color w:val="000000"/>
                <w:sz w:val="23"/>
                <w:szCs w:val="23"/>
              </w:rPr>
            </w:pPr>
            <w:r w:rsidRPr="00686C95">
              <w:rPr>
                <w:color w:val="000000"/>
                <w:sz w:val="23"/>
                <w:szCs w:val="23"/>
              </w:rPr>
              <w:t xml:space="preserve"> Long Pricing</w:t>
            </w:r>
          </w:p>
        </w:tc>
        <w:tc>
          <w:tcPr>
            <w:tcW w:w="1440" w:type="dxa"/>
            <w:tcBorders>
              <w:top w:val="nil"/>
              <w:left w:val="nil"/>
              <w:bottom w:val="single" w:sz="8" w:space="0" w:color="auto"/>
              <w:right w:val="single" w:sz="8" w:space="0" w:color="auto"/>
            </w:tcBorders>
            <w:shd w:val="clear" w:color="auto" w:fill="auto"/>
            <w:vAlign w:val="center"/>
            <w:hideMark/>
          </w:tcPr>
          <w:p w:rsidR="00CE0188" w:rsidP="00834EE8" w14:paraId="5A975F0B" w14:textId="4D0001FA">
            <w:pPr>
              <w:jc w:val="right"/>
              <w:rPr>
                <w:color w:val="000000"/>
                <w:sz w:val="23"/>
                <w:szCs w:val="23"/>
              </w:rPr>
            </w:pPr>
          </w:p>
          <w:p w:rsidR="00834EE8" w:rsidRPr="00686C95" w:rsidP="00834EE8" w14:paraId="71128CF8" w14:textId="79EF4B7B">
            <w:pPr>
              <w:jc w:val="right"/>
              <w:rPr>
                <w:color w:val="000000"/>
                <w:sz w:val="23"/>
                <w:szCs w:val="23"/>
              </w:rPr>
            </w:pPr>
            <w:r>
              <w:rPr>
                <w:color w:val="000000"/>
                <w:sz w:val="23"/>
                <w:szCs w:val="23"/>
              </w:rPr>
              <w:t>6,924</w:t>
            </w:r>
          </w:p>
        </w:tc>
        <w:tc>
          <w:tcPr>
            <w:tcW w:w="1440" w:type="dxa"/>
            <w:tcBorders>
              <w:top w:val="nil"/>
              <w:left w:val="nil"/>
              <w:bottom w:val="single" w:sz="8" w:space="0" w:color="auto"/>
              <w:right w:val="single" w:sz="8" w:space="0" w:color="auto"/>
            </w:tcBorders>
            <w:shd w:val="clear" w:color="auto" w:fill="auto"/>
            <w:vAlign w:val="center"/>
            <w:hideMark/>
          </w:tcPr>
          <w:p w:rsidR="00834EE8" w:rsidRPr="00686C95" w:rsidP="00834EE8" w14:paraId="6FB6F6DC" w14:textId="24385C6F">
            <w:pPr>
              <w:jc w:val="center"/>
              <w:rPr>
                <w:color w:val="000000"/>
                <w:sz w:val="23"/>
                <w:szCs w:val="23"/>
              </w:rPr>
            </w:pPr>
            <w:r>
              <w:rPr>
                <w:color w:val="000000"/>
                <w:sz w:val="23"/>
                <w:szCs w:val="23"/>
              </w:rPr>
              <w:t>1</w:t>
            </w:r>
          </w:p>
        </w:tc>
        <w:tc>
          <w:tcPr>
            <w:tcW w:w="1260" w:type="dxa"/>
            <w:tcBorders>
              <w:top w:val="nil"/>
              <w:left w:val="nil"/>
              <w:bottom w:val="single" w:sz="8" w:space="0" w:color="auto"/>
              <w:right w:val="single" w:sz="8" w:space="0" w:color="auto"/>
            </w:tcBorders>
            <w:shd w:val="clear" w:color="auto" w:fill="auto"/>
            <w:vAlign w:val="center"/>
            <w:hideMark/>
          </w:tcPr>
          <w:p w:rsidR="00834EE8" w:rsidP="00834EE8" w14:paraId="17DD49EA" w14:textId="5E13FE99">
            <w:pPr>
              <w:jc w:val="right"/>
              <w:rPr>
                <w:color w:val="000000"/>
                <w:sz w:val="23"/>
                <w:szCs w:val="23"/>
              </w:rPr>
            </w:pPr>
          </w:p>
          <w:p w:rsidR="00CE0188" w:rsidRPr="00686C95" w:rsidP="00834EE8" w14:paraId="59293DFF" w14:textId="6DA775A5">
            <w:pPr>
              <w:jc w:val="right"/>
              <w:rPr>
                <w:color w:val="000000"/>
                <w:sz w:val="23"/>
                <w:szCs w:val="23"/>
              </w:rPr>
            </w:pPr>
            <w:r>
              <w:rPr>
                <w:color w:val="000000"/>
                <w:sz w:val="23"/>
                <w:szCs w:val="23"/>
              </w:rPr>
              <w:t>6,924</w:t>
            </w:r>
          </w:p>
        </w:tc>
        <w:tc>
          <w:tcPr>
            <w:tcW w:w="1080" w:type="dxa"/>
            <w:tcBorders>
              <w:top w:val="nil"/>
              <w:left w:val="nil"/>
              <w:bottom w:val="single" w:sz="8" w:space="0" w:color="auto"/>
              <w:right w:val="single" w:sz="8" w:space="0" w:color="auto"/>
            </w:tcBorders>
            <w:shd w:val="clear" w:color="auto" w:fill="auto"/>
            <w:vAlign w:val="center"/>
            <w:hideMark/>
          </w:tcPr>
          <w:p w:rsidR="00834EE8" w:rsidRPr="00686C95" w:rsidP="00834EE8" w14:paraId="1E3C4504" w14:textId="77777777">
            <w:pPr>
              <w:jc w:val="center"/>
              <w:rPr>
                <w:color w:val="000000"/>
                <w:sz w:val="23"/>
                <w:szCs w:val="23"/>
              </w:rPr>
            </w:pPr>
            <w:r w:rsidRPr="00686C95">
              <w:rPr>
                <w:color w:val="000000"/>
                <w:sz w:val="23"/>
                <w:szCs w:val="23"/>
              </w:rPr>
              <w:t>7/60</w:t>
            </w:r>
          </w:p>
        </w:tc>
        <w:tc>
          <w:tcPr>
            <w:tcW w:w="1080" w:type="dxa"/>
            <w:tcBorders>
              <w:top w:val="nil"/>
              <w:left w:val="nil"/>
              <w:bottom w:val="single" w:sz="8" w:space="0" w:color="auto"/>
              <w:right w:val="single" w:sz="8" w:space="0" w:color="auto"/>
            </w:tcBorders>
            <w:shd w:val="clear" w:color="auto" w:fill="auto"/>
            <w:vAlign w:val="center"/>
            <w:hideMark/>
          </w:tcPr>
          <w:p w:rsidR="00834EE8" w:rsidRPr="00686C95" w:rsidP="00834EE8" w14:paraId="09307B14" w14:textId="738AF3A8">
            <w:pPr>
              <w:jc w:val="right"/>
              <w:rPr>
                <w:color w:val="000000"/>
                <w:sz w:val="23"/>
                <w:szCs w:val="23"/>
              </w:rPr>
            </w:pPr>
            <w:r>
              <w:rPr>
                <w:color w:val="000000"/>
                <w:sz w:val="23"/>
                <w:szCs w:val="23"/>
              </w:rPr>
              <w:t>808</w:t>
            </w:r>
          </w:p>
        </w:tc>
        <w:tc>
          <w:tcPr>
            <w:tcW w:w="1170" w:type="dxa"/>
            <w:tcBorders>
              <w:top w:val="nil"/>
              <w:left w:val="nil"/>
              <w:bottom w:val="single" w:sz="8" w:space="0" w:color="auto"/>
              <w:right w:val="single" w:sz="8" w:space="0" w:color="auto"/>
            </w:tcBorders>
            <w:shd w:val="clear" w:color="auto" w:fill="auto"/>
            <w:hideMark/>
          </w:tcPr>
          <w:p w:rsidR="00834EE8" w:rsidRPr="00686C95" w:rsidP="00834EE8" w14:paraId="23EE72D4" w14:textId="290A21DB">
            <w:pPr>
              <w:jc w:val="center"/>
              <w:rPr>
                <w:color w:val="000000"/>
                <w:sz w:val="23"/>
                <w:szCs w:val="23"/>
              </w:rPr>
            </w:pPr>
            <w:r>
              <w:rPr>
                <w:color w:val="000000"/>
                <w:sz w:val="23"/>
                <w:szCs w:val="23"/>
              </w:rPr>
              <w:t xml:space="preserve">32.25 </w:t>
            </w:r>
          </w:p>
        </w:tc>
        <w:tc>
          <w:tcPr>
            <w:tcW w:w="1530" w:type="dxa"/>
            <w:tcBorders>
              <w:top w:val="nil"/>
              <w:left w:val="nil"/>
              <w:bottom w:val="single" w:sz="8" w:space="0" w:color="auto"/>
              <w:right w:val="single" w:sz="8" w:space="0" w:color="auto"/>
            </w:tcBorders>
            <w:shd w:val="clear" w:color="auto" w:fill="auto"/>
            <w:noWrap/>
            <w:vAlign w:val="bottom"/>
            <w:hideMark/>
          </w:tcPr>
          <w:p w:rsidR="00834EE8" w:rsidRPr="00686C95" w:rsidP="004D7604" w14:paraId="0DB7EA36" w14:textId="04206015">
            <w:pPr>
              <w:jc w:val="right"/>
              <w:rPr>
                <w:color w:val="000000"/>
                <w:sz w:val="23"/>
                <w:szCs w:val="23"/>
              </w:rPr>
            </w:pPr>
            <w:r>
              <w:rPr>
                <w:color w:val="000000"/>
                <w:sz w:val="23"/>
                <w:szCs w:val="23"/>
              </w:rPr>
              <w:t xml:space="preserve">26,058.00 </w:t>
            </w:r>
          </w:p>
        </w:tc>
      </w:tr>
      <w:tr w14:paraId="5B859A26" w14:textId="77777777" w:rsidTr="00610269">
        <w:tblPrEx>
          <w:tblW w:w="10530" w:type="dxa"/>
          <w:tblInd w:w="-550" w:type="dxa"/>
          <w:tblLayout w:type="fixed"/>
          <w:tblLook w:val="04A0"/>
        </w:tblPrEx>
        <w:trPr>
          <w:trHeight w:val="612"/>
        </w:trPr>
        <w:tc>
          <w:tcPr>
            <w:tcW w:w="1530" w:type="dxa"/>
            <w:tcBorders>
              <w:top w:val="nil"/>
              <w:left w:val="single" w:sz="8" w:space="0" w:color="auto"/>
              <w:bottom w:val="nil"/>
              <w:right w:val="single" w:sz="8" w:space="0" w:color="auto"/>
            </w:tcBorders>
            <w:shd w:val="clear" w:color="auto" w:fill="auto"/>
            <w:vAlign w:val="center"/>
            <w:hideMark/>
          </w:tcPr>
          <w:p w:rsidR="00834EE8" w:rsidRPr="00686C95" w:rsidP="00834EE8" w14:paraId="2DC3028B" w14:textId="77777777">
            <w:pPr>
              <w:rPr>
                <w:color w:val="000000"/>
                <w:sz w:val="23"/>
                <w:szCs w:val="23"/>
              </w:rPr>
            </w:pPr>
            <w:r w:rsidRPr="00686C95">
              <w:rPr>
                <w:color w:val="000000"/>
                <w:sz w:val="23"/>
                <w:szCs w:val="23"/>
              </w:rPr>
              <w:t xml:space="preserve"> Short </w:t>
            </w:r>
            <w:r w:rsidRPr="00686C95">
              <w:rPr>
                <w:color w:val="000000"/>
                <w:sz w:val="23"/>
                <w:szCs w:val="23"/>
              </w:rPr>
              <w:br/>
              <w:t xml:space="preserve"> Pricing</w:t>
            </w:r>
          </w:p>
        </w:tc>
        <w:tc>
          <w:tcPr>
            <w:tcW w:w="1440" w:type="dxa"/>
            <w:tcBorders>
              <w:top w:val="nil"/>
              <w:left w:val="nil"/>
              <w:bottom w:val="single" w:sz="8" w:space="0" w:color="auto"/>
              <w:right w:val="single" w:sz="8" w:space="0" w:color="auto"/>
            </w:tcBorders>
            <w:shd w:val="clear" w:color="auto" w:fill="auto"/>
            <w:vAlign w:val="center"/>
            <w:hideMark/>
          </w:tcPr>
          <w:p w:rsidR="00CE0188" w:rsidP="00834EE8" w14:paraId="4D3D50C4" w14:textId="48CB8638">
            <w:pPr>
              <w:jc w:val="right"/>
              <w:rPr>
                <w:color w:val="000000"/>
                <w:sz w:val="23"/>
                <w:szCs w:val="23"/>
              </w:rPr>
            </w:pPr>
          </w:p>
          <w:p w:rsidR="00834EE8" w:rsidRPr="00686C95" w:rsidP="00834EE8" w14:paraId="2D455CF3" w14:textId="647C4ED7">
            <w:pPr>
              <w:jc w:val="right"/>
              <w:rPr>
                <w:color w:val="000000"/>
                <w:sz w:val="23"/>
                <w:szCs w:val="23"/>
              </w:rPr>
            </w:pPr>
            <w:r>
              <w:rPr>
                <w:color w:val="000000"/>
                <w:sz w:val="23"/>
                <w:szCs w:val="23"/>
              </w:rPr>
              <w:t>32,681</w:t>
            </w:r>
          </w:p>
        </w:tc>
        <w:tc>
          <w:tcPr>
            <w:tcW w:w="1440" w:type="dxa"/>
            <w:tcBorders>
              <w:top w:val="nil"/>
              <w:left w:val="nil"/>
              <w:bottom w:val="single" w:sz="8" w:space="0" w:color="auto"/>
              <w:right w:val="single" w:sz="8" w:space="0" w:color="auto"/>
            </w:tcBorders>
            <w:shd w:val="clear" w:color="auto" w:fill="auto"/>
            <w:vAlign w:val="center"/>
            <w:hideMark/>
          </w:tcPr>
          <w:p w:rsidR="00834EE8" w:rsidRPr="00686C95" w:rsidP="00834EE8" w14:paraId="590B9092" w14:textId="77777777">
            <w:pPr>
              <w:jc w:val="center"/>
              <w:rPr>
                <w:color w:val="000000"/>
                <w:sz w:val="23"/>
                <w:szCs w:val="23"/>
              </w:rPr>
            </w:pPr>
            <w:r w:rsidRPr="00686C95">
              <w:rPr>
                <w:color w:val="000000"/>
                <w:sz w:val="23"/>
                <w:szCs w:val="23"/>
              </w:rPr>
              <w:t>2</w:t>
            </w:r>
          </w:p>
        </w:tc>
        <w:tc>
          <w:tcPr>
            <w:tcW w:w="1260" w:type="dxa"/>
            <w:tcBorders>
              <w:top w:val="nil"/>
              <w:left w:val="nil"/>
              <w:bottom w:val="single" w:sz="8" w:space="0" w:color="auto"/>
              <w:right w:val="single" w:sz="8" w:space="0" w:color="auto"/>
            </w:tcBorders>
            <w:shd w:val="clear" w:color="auto" w:fill="auto"/>
            <w:vAlign w:val="center"/>
            <w:hideMark/>
          </w:tcPr>
          <w:p w:rsidR="00CE0188" w:rsidP="00834EE8" w14:paraId="240F3AC0" w14:textId="075B4393">
            <w:pPr>
              <w:jc w:val="right"/>
              <w:rPr>
                <w:color w:val="000000"/>
                <w:sz w:val="23"/>
                <w:szCs w:val="23"/>
              </w:rPr>
            </w:pPr>
          </w:p>
          <w:p w:rsidR="00834EE8" w:rsidRPr="00686C95" w:rsidP="00834EE8" w14:paraId="2BB61705" w14:textId="62B0E5C9">
            <w:pPr>
              <w:jc w:val="right"/>
              <w:rPr>
                <w:color w:val="000000"/>
                <w:sz w:val="23"/>
                <w:szCs w:val="23"/>
              </w:rPr>
            </w:pPr>
            <w:r>
              <w:rPr>
                <w:color w:val="000000"/>
                <w:sz w:val="23"/>
                <w:szCs w:val="23"/>
              </w:rPr>
              <w:t>65,362</w:t>
            </w:r>
          </w:p>
        </w:tc>
        <w:tc>
          <w:tcPr>
            <w:tcW w:w="1080" w:type="dxa"/>
            <w:tcBorders>
              <w:top w:val="nil"/>
              <w:left w:val="nil"/>
              <w:bottom w:val="single" w:sz="8" w:space="0" w:color="auto"/>
              <w:right w:val="single" w:sz="8" w:space="0" w:color="auto"/>
            </w:tcBorders>
            <w:shd w:val="clear" w:color="auto" w:fill="auto"/>
            <w:vAlign w:val="center"/>
            <w:hideMark/>
          </w:tcPr>
          <w:p w:rsidR="00834EE8" w:rsidRPr="00686C95" w:rsidP="00834EE8" w14:paraId="039DD677" w14:textId="77777777">
            <w:pPr>
              <w:jc w:val="center"/>
              <w:rPr>
                <w:color w:val="000000"/>
                <w:sz w:val="23"/>
                <w:szCs w:val="23"/>
              </w:rPr>
            </w:pPr>
            <w:r w:rsidRPr="00686C95">
              <w:rPr>
                <w:color w:val="000000"/>
                <w:sz w:val="23"/>
                <w:szCs w:val="23"/>
              </w:rPr>
              <w:t>5/60</w:t>
            </w:r>
          </w:p>
        </w:tc>
        <w:tc>
          <w:tcPr>
            <w:tcW w:w="1080" w:type="dxa"/>
            <w:tcBorders>
              <w:top w:val="nil"/>
              <w:left w:val="nil"/>
              <w:bottom w:val="single" w:sz="8" w:space="0" w:color="auto"/>
              <w:right w:val="single" w:sz="8" w:space="0" w:color="auto"/>
            </w:tcBorders>
            <w:shd w:val="clear" w:color="auto" w:fill="auto"/>
            <w:vAlign w:val="center"/>
            <w:hideMark/>
          </w:tcPr>
          <w:p w:rsidR="00834EE8" w:rsidRPr="00686C95" w:rsidP="00834EE8" w14:paraId="593936D2" w14:textId="20440A73">
            <w:pPr>
              <w:jc w:val="right"/>
              <w:rPr>
                <w:color w:val="000000"/>
                <w:sz w:val="23"/>
                <w:szCs w:val="23"/>
              </w:rPr>
            </w:pPr>
            <w:r>
              <w:rPr>
                <w:color w:val="000000"/>
                <w:sz w:val="23"/>
                <w:szCs w:val="23"/>
              </w:rPr>
              <w:t>5,447</w:t>
            </w:r>
          </w:p>
        </w:tc>
        <w:tc>
          <w:tcPr>
            <w:tcW w:w="1170" w:type="dxa"/>
            <w:tcBorders>
              <w:top w:val="nil"/>
              <w:left w:val="nil"/>
              <w:bottom w:val="single" w:sz="8" w:space="0" w:color="auto"/>
              <w:right w:val="single" w:sz="8" w:space="0" w:color="auto"/>
            </w:tcBorders>
            <w:shd w:val="clear" w:color="auto" w:fill="auto"/>
            <w:hideMark/>
          </w:tcPr>
          <w:p w:rsidR="00834EE8" w:rsidRPr="00686C95" w:rsidP="00834EE8" w14:paraId="02F8FAD9" w14:textId="52DA43FF">
            <w:pPr>
              <w:jc w:val="center"/>
              <w:rPr>
                <w:color w:val="000000"/>
                <w:sz w:val="23"/>
                <w:szCs w:val="23"/>
              </w:rPr>
            </w:pPr>
            <w:r>
              <w:rPr>
                <w:color w:val="000000"/>
                <w:sz w:val="23"/>
                <w:szCs w:val="23"/>
              </w:rPr>
              <w:t xml:space="preserve">32.25 </w:t>
            </w:r>
          </w:p>
        </w:tc>
        <w:tc>
          <w:tcPr>
            <w:tcW w:w="1530" w:type="dxa"/>
            <w:tcBorders>
              <w:top w:val="nil"/>
              <w:left w:val="nil"/>
              <w:bottom w:val="single" w:sz="8" w:space="0" w:color="auto"/>
              <w:right w:val="single" w:sz="8" w:space="0" w:color="auto"/>
            </w:tcBorders>
            <w:shd w:val="clear" w:color="auto" w:fill="auto"/>
            <w:noWrap/>
            <w:vAlign w:val="center"/>
            <w:hideMark/>
          </w:tcPr>
          <w:p w:rsidR="00834EE8" w:rsidRPr="00686C95" w:rsidP="004D7604" w14:paraId="24BC012B" w14:textId="25AEFC1D">
            <w:pPr>
              <w:jc w:val="right"/>
              <w:rPr>
                <w:color w:val="000000"/>
                <w:sz w:val="23"/>
                <w:szCs w:val="23"/>
              </w:rPr>
            </w:pPr>
            <w:r>
              <w:rPr>
                <w:color w:val="000000"/>
                <w:sz w:val="23"/>
                <w:szCs w:val="23"/>
              </w:rPr>
              <w:t xml:space="preserve">175,665.75 </w:t>
            </w:r>
          </w:p>
        </w:tc>
      </w:tr>
      <w:tr w14:paraId="12FC4BD5" w14:textId="77777777" w:rsidTr="00610269">
        <w:tblPrEx>
          <w:tblW w:w="10530" w:type="dxa"/>
          <w:tblInd w:w="-550" w:type="dxa"/>
          <w:tblLayout w:type="fixed"/>
          <w:tblLook w:val="04A0"/>
        </w:tblPrEx>
        <w:trPr>
          <w:trHeight w:val="612"/>
        </w:trPr>
        <w:tc>
          <w:tcPr>
            <w:tcW w:w="1530" w:type="dxa"/>
            <w:tcBorders>
              <w:top w:val="single" w:sz="8" w:space="0" w:color="auto"/>
              <w:left w:val="single" w:sz="8" w:space="0" w:color="auto"/>
              <w:bottom w:val="nil"/>
              <w:right w:val="single" w:sz="8" w:space="0" w:color="auto"/>
            </w:tcBorders>
            <w:shd w:val="clear" w:color="auto" w:fill="auto"/>
            <w:vAlign w:val="center"/>
            <w:hideMark/>
          </w:tcPr>
          <w:p w:rsidR="00834EE8" w:rsidRPr="00686C95" w:rsidP="00834EE8" w14:paraId="2F77983F" w14:textId="77777777">
            <w:pPr>
              <w:rPr>
                <w:color w:val="000000"/>
                <w:sz w:val="23"/>
                <w:szCs w:val="23"/>
              </w:rPr>
            </w:pPr>
            <w:r w:rsidRPr="00686C95">
              <w:rPr>
                <w:color w:val="000000"/>
                <w:sz w:val="23"/>
                <w:szCs w:val="23"/>
              </w:rPr>
              <w:t xml:space="preserve"> Quality Reinterviews</w:t>
            </w:r>
          </w:p>
        </w:tc>
        <w:tc>
          <w:tcPr>
            <w:tcW w:w="1440" w:type="dxa"/>
            <w:tcBorders>
              <w:top w:val="nil"/>
              <w:left w:val="nil"/>
              <w:bottom w:val="nil"/>
              <w:right w:val="single" w:sz="8" w:space="0" w:color="auto"/>
            </w:tcBorders>
            <w:shd w:val="clear" w:color="auto" w:fill="auto"/>
            <w:noWrap/>
            <w:vAlign w:val="center"/>
            <w:hideMark/>
          </w:tcPr>
          <w:p w:rsidR="00834EE8" w:rsidRPr="00686C95" w:rsidP="00834EE8" w14:paraId="1A1866B5" w14:textId="3FD896DE">
            <w:pPr>
              <w:jc w:val="right"/>
              <w:rPr>
                <w:color w:val="000000"/>
                <w:sz w:val="23"/>
                <w:szCs w:val="23"/>
              </w:rPr>
            </w:pPr>
            <w:r>
              <w:rPr>
                <w:color w:val="000000"/>
                <w:sz w:val="23"/>
                <w:szCs w:val="23"/>
              </w:rPr>
              <w:t xml:space="preserve">      2,648**</w:t>
            </w:r>
          </w:p>
        </w:tc>
        <w:tc>
          <w:tcPr>
            <w:tcW w:w="1440" w:type="dxa"/>
            <w:tcBorders>
              <w:top w:val="nil"/>
              <w:left w:val="nil"/>
              <w:bottom w:val="nil"/>
              <w:right w:val="single" w:sz="8" w:space="0" w:color="auto"/>
            </w:tcBorders>
            <w:shd w:val="clear" w:color="auto" w:fill="auto"/>
            <w:vAlign w:val="center"/>
            <w:hideMark/>
          </w:tcPr>
          <w:p w:rsidR="00834EE8" w:rsidRPr="00686C95" w:rsidP="00834EE8" w14:paraId="3528DB9C" w14:textId="5346E673">
            <w:pPr>
              <w:jc w:val="center"/>
              <w:rPr>
                <w:color w:val="000000"/>
                <w:sz w:val="23"/>
                <w:szCs w:val="23"/>
              </w:rPr>
            </w:pPr>
            <w:r>
              <w:rPr>
                <w:color w:val="000000"/>
                <w:sz w:val="23"/>
                <w:szCs w:val="23"/>
              </w:rPr>
              <w:t>1</w:t>
            </w:r>
          </w:p>
        </w:tc>
        <w:tc>
          <w:tcPr>
            <w:tcW w:w="1260" w:type="dxa"/>
            <w:tcBorders>
              <w:top w:val="nil"/>
              <w:left w:val="nil"/>
              <w:bottom w:val="nil"/>
              <w:right w:val="single" w:sz="8" w:space="0" w:color="auto"/>
            </w:tcBorders>
            <w:shd w:val="clear" w:color="auto" w:fill="auto"/>
            <w:vAlign w:val="center"/>
            <w:hideMark/>
          </w:tcPr>
          <w:p w:rsidR="00834EE8" w:rsidRPr="00686C95" w:rsidP="00834EE8" w14:paraId="7B7DCFCD" w14:textId="6203A929">
            <w:pPr>
              <w:jc w:val="right"/>
              <w:rPr>
                <w:color w:val="000000"/>
                <w:sz w:val="23"/>
                <w:szCs w:val="23"/>
              </w:rPr>
            </w:pPr>
            <w:r>
              <w:rPr>
                <w:color w:val="000000"/>
                <w:sz w:val="23"/>
                <w:szCs w:val="23"/>
              </w:rPr>
              <w:t>2,648</w:t>
            </w:r>
          </w:p>
        </w:tc>
        <w:tc>
          <w:tcPr>
            <w:tcW w:w="1080" w:type="dxa"/>
            <w:tcBorders>
              <w:top w:val="nil"/>
              <w:left w:val="nil"/>
              <w:bottom w:val="nil"/>
              <w:right w:val="single" w:sz="8" w:space="0" w:color="auto"/>
            </w:tcBorders>
            <w:shd w:val="clear" w:color="auto" w:fill="auto"/>
            <w:vAlign w:val="center"/>
            <w:hideMark/>
          </w:tcPr>
          <w:p w:rsidR="00834EE8" w:rsidRPr="00686C95" w:rsidP="00834EE8" w14:paraId="2499ED66" w14:textId="417D6C80">
            <w:pPr>
              <w:jc w:val="center"/>
              <w:rPr>
                <w:color w:val="000000"/>
                <w:sz w:val="23"/>
                <w:szCs w:val="23"/>
              </w:rPr>
            </w:pPr>
            <w:r>
              <w:rPr>
                <w:color w:val="000000"/>
                <w:sz w:val="23"/>
                <w:szCs w:val="23"/>
              </w:rPr>
              <w:t>4/60</w:t>
            </w:r>
          </w:p>
        </w:tc>
        <w:tc>
          <w:tcPr>
            <w:tcW w:w="1080" w:type="dxa"/>
            <w:tcBorders>
              <w:top w:val="nil"/>
              <w:left w:val="nil"/>
              <w:bottom w:val="nil"/>
              <w:right w:val="single" w:sz="8" w:space="0" w:color="auto"/>
            </w:tcBorders>
            <w:shd w:val="clear" w:color="auto" w:fill="auto"/>
            <w:noWrap/>
            <w:vAlign w:val="center"/>
            <w:hideMark/>
          </w:tcPr>
          <w:p w:rsidR="00834EE8" w:rsidRPr="00686C95" w:rsidP="00834EE8" w14:paraId="40353AB2" w14:textId="03B845D7">
            <w:pPr>
              <w:jc w:val="right"/>
              <w:rPr>
                <w:color w:val="000000"/>
                <w:sz w:val="23"/>
                <w:szCs w:val="23"/>
              </w:rPr>
            </w:pPr>
            <w:r>
              <w:rPr>
                <w:color w:val="000000"/>
                <w:sz w:val="23"/>
                <w:szCs w:val="23"/>
              </w:rPr>
              <w:t>177</w:t>
            </w:r>
          </w:p>
        </w:tc>
        <w:tc>
          <w:tcPr>
            <w:tcW w:w="1170" w:type="dxa"/>
            <w:tcBorders>
              <w:top w:val="nil"/>
              <w:left w:val="nil"/>
              <w:bottom w:val="nil"/>
              <w:right w:val="single" w:sz="8" w:space="0" w:color="auto"/>
            </w:tcBorders>
            <w:shd w:val="clear" w:color="auto" w:fill="auto"/>
            <w:hideMark/>
          </w:tcPr>
          <w:p w:rsidR="00834EE8" w:rsidRPr="00686C95" w:rsidP="00834EE8" w14:paraId="551993EE" w14:textId="24A0EEC7">
            <w:pPr>
              <w:jc w:val="center"/>
              <w:rPr>
                <w:color w:val="000000"/>
                <w:sz w:val="23"/>
                <w:szCs w:val="23"/>
              </w:rPr>
            </w:pPr>
            <w:r>
              <w:rPr>
                <w:color w:val="000000"/>
                <w:sz w:val="23"/>
                <w:szCs w:val="23"/>
              </w:rPr>
              <w:t xml:space="preserve">32.25 </w:t>
            </w:r>
          </w:p>
        </w:tc>
        <w:tc>
          <w:tcPr>
            <w:tcW w:w="1530" w:type="dxa"/>
            <w:tcBorders>
              <w:top w:val="nil"/>
              <w:left w:val="nil"/>
              <w:bottom w:val="nil"/>
              <w:right w:val="single" w:sz="8" w:space="0" w:color="auto"/>
            </w:tcBorders>
            <w:shd w:val="clear" w:color="auto" w:fill="auto"/>
            <w:noWrap/>
            <w:vAlign w:val="center"/>
            <w:hideMark/>
          </w:tcPr>
          <w:p w:rsidR="00834EE8" w:rsidRPr="00686C95" w:rsidP="004D7604" w14:paraId="514D066C" w14:textId="215C3B24">
            <w:pPr>
              <w:jc w:val="right"/>
              <w:rPr>
                <w:color w:val="000000"/>
                <w:sz w:val="23"/>
                <w:szCs w:val="23"/>
              </w:rPr>
            </w:pPr>
            <w:r>
              <w:rPr>
                <w:color w:val="000000"/>
                <w:sz w:val="23"/>
                <w:szCs w:val="23"/>
              </w:rPr>
              <w:t xml:space="preserve">5,708.25 </w:t>
            </w:r>
          </w:p>
        </w:tc>
      </w:tr>
      <w:tr w14:paraId="61539127" w14:textId="77777777" w:rsidTr="00FF649A">
        <w:tblPrEx>
          <w:tblW w:w="10530" w:type="dxa"/>
          <w:tblInd w:w="-550" w:type="dxa"/>
          <w:tblLayout w:type="fixed"/>
          <w:tblLook w:val="04A0"/>
        </w:tblPrEx>
        <w:trPr>
          <w:trHeight w:val="324"/>
        </w:trPr>
        <w:tc>
          <w:tcPr>
            <w:tcW w:w="1530" w:type="dxa"/>
            <w:tcBorders>
              <w:top w:val="single" w:sz="12" w:space="0" w:color="auto"/>
              <w:left w:val="single" w:sz="8" w:space="0" w:color="auto"/>
              <w:bottom w:val="single" w:sz="8" w:space="0" w:color="auto"/>
              <w:right w:val="single" w:sz="8" w:space="0" w:color="auto"/>
            </w:tcBorders>
            <w:shd w:val="clear" w:color="auto" w:fill="auto"/>
            <w:vAlign w:val="center"/>
            <w:hideMark/>
          </w:tcPr>
          <w:p w:rsidR="00B413B7" w:rsidRPr="004E7133" w:rsidP="00B413B7" w14:paraId="73F5E1C0" w14:textId="1667F534">
            <w:pPr>
              <w:rPr>
                <w:color w:val="000000"/>
                <w:sz w:val="23"/>
                <w:szCs w:val="23"/>
              </w:rPr>
            </w:pPr>
            <w:r w:rsidRPr="004E7133">
              <w:rPr>
                <w:color w:val="000000"/>
                <w:sz w:val="23"/>
                <w:szCs w:val="23"/>
              </w:rPr>
              <w:t xml:space="preserve"> </w:t>
            </w:r>
            <w:r w:rsidRPr="004E7133" w:rsidR="00365C74">
              <w:rPr>
                <w:color w:val="000000"/>
                <w:sz w:val="23"/>
                <w:szCs w:val="23"/>
              </w:rPr>
              <w:t>Unduplicated Total</w:t>
            </w:r>
          </w:p>
        </w:tc>
        <w:tc>
          <w:tcPr>
            <w:tcW w:w="1440" w:type="dxa"/>
            <w:tcBorders>
              <w:top w:val="single" w:sz="12" w:space="0" w:color="auto"/>
              <w:left w:val="nil"/>
              <w:bottom w:val="single" w:sz="8" w:space="0" w:color="auto"/>
              <w:right w:val="single" w:sz="8" w:space="0" w:color="auto"/>
            </w:tcBorders>
            <w:shd w:val="clear" w:color="auto" w:fill="auto"/>
            <w:noWrap/>
            <w:vAlign w:val="bottom"/>
            <w:hideMark/>
          </w:tcPr>
          <w:p w:rsidR="00B413B7" w:rsidRPr="004E7133" w:rsidP="00C611C8" w14:paraId="6AE3A59D" w14:textId="07407CA6">
            <w:pPr>
              <w:jc w:val="right"/>
              <w:rPr>
                <w:color w:val="000000"/>
                <w:sz w:val="23"/>
                <w:szCs w:val="23"/>
              </w:rPr>
            </w:pPr>
          </w:p>
          <w:p w:rsidR="00BF640D" w:rsidRPr="004E7133" w:rsidP="00C611C8" w14:paraId="3AE26582" w14:textId="56D58C33">
            <w:pPr>
              <w:jc w:val="right"/>
              <w:rPr>
                <w:color w:val="000000"/>
                <w:sz w:val="23"/>
                <w:szCs w:val="23"/>
              </w:rPr>
            </w:pPr>
            <w:r w:rsidRPr="004E7133">
              <w:rPr>
                <w:color w:val="000000"/>
                <w:sz w:val="23"/>
                <w:szCs w:val="23"/>
              </w:rPr>
              <w:t>74,642</w:t>
            </w:r>
          </w:p>
        </w:tc>
        <w:tc>
          <w:tcPr>
            <w:tcW w:w="1440" w:type="dxa"/>
            <w:tcBorders>
              <w:top w:val="single" w:sz="12" w:space="0" w:color="auto"/>
              <w:left w:val="nil"/>
              <w:bottom w:val="single" w:sz="8" w:space="0" w:color="auto"/>
              <w:right w:val="single" w:sz="8" w:space="0" w:color="auto"/>
            </w:tcBorders>
            <w:shd w:val="clear" w:color="auto" w:fill="auto"/>
            <w:noWrap/>
            <w:vAlign w:val="bottom"/>
            <w:hideMark/>
          </w:tcPr>
          <w:p w:rsidR="00B413B7" w:rsidRPr="004E7133" w:rsidP="00B413B7" w14:paraId="1A5CEF4A" w14:textId="3033EE1B">
            <w:pPr>
              <w:rPr>
                <w:color w:val="000000"/>
                <w:sz w:val="23"/>
                <w:szCs w:val="23"/>
              </w:rPr>
            </w:pPr>
            <w:r w:rsidRPr="004E7133">
              <w:rPr>
                <w:color w:val="000000"/>
                <w:sz w:val="23"/>
                <w:szCs w:val="23"/>
              </w:rPr>
              <w:t> </w:t>
            </w:r>
          </w:p>
        </w:tc>
        <w:tc>
          <w:tcPr>
            <w:tcW w:w="1260" w:type="dxa"/>
            <w:tcBorders>
              <w:top w:val="single" w:sz="12" w:space="0" w:color="auto"/>
              <w:left w:val="nil"/>
              <w:bottom w:val="single" w:sz="8" w:space="0" w:color="auto"/>
              <w:right w:val="single" w:sz="8" w:space="0" w:color="auto"/>
            </w:tcBorders>
            <w:shd w:val="clear" w:color="auto" w:fill="auto"/>
            <w:noWrap/>
            <w:vAlign w:val="bottom"/>
            <w:hideMark/>
          </w:tcPr>
          <w:p w:rsidR="00B413B7" w:rsidRPr="004E7133" w:rsidP="00B413B7" w14:paraId="64A0B594" w14:textId="51513DB5">
            <w:pPr>
              <w:jc w:val="right"/>
              <w:rPr>
                <w:color w:val="000000"/>
                <w:sz w:val="23"/>
                <w:szCs w:val="23"/>
              </w:rPr>
            </w:pPr>
          </w:p>
          <w:p w:rsidR="00BF640D" w:rsidRPr="004E7133" w:rsidP="00B413B7" w14:paraId="7A54B329" w14:textId="32C6D05E">
            <w:pPr>
              <w:jc w:val="right"/>
              <w:rPr>
                <w:color w:val="000000"/>
                <w:sz w:val="23"/>
                <w:szCs w:val="23"/>
              </w:rPr>
            </w:pPr>
            <w:r w:rsidRPr="00A446BF">
              <w:rPr>
                <w:color w:val="000000"/>
                <w:sz w:val="23"/>
                <w:szCs w:val="23"/>
              </w:rPr>
              <w:t>107,323</w:t>
            </w:r>
          </w:p>
        </w:tc>
        <w:tc>
          <w:tcPr>
            <w:tcW w:w="1080" w:type="dxa"/>
            <w:tcBorders>
              <w:top w:val="single" w:sz="12" w:space="0" w:color="auto"/>
              <w:left w:val="nil"/>
              <w:bottom w:val="single" w:sz="8" w:space="0" w:color="auto"/>
              <w:right w:val="single" w:sz="8" w:space="0" w:color="auto"/>
            </w:tcBorders>
            <w:shd w:val="clear" w:color="auto" w:fill="auto"/>
            <w:vAlign w:val="center"/>
            <w:hideMark/>
          </w:tcPr>
          <w:p w:rsidR="00B413B7" w:rsidRPr="004E7133" w:rsidP="00B413B7" w14:paraId="1E6A1E76" w14:textId="332A67D5">
            <w:pPr>
              <w:jc w:val="center"/>
              <w:rPr>
                <w:color w:val="000000"/>
                <w:sz w:val="23"/>
                <w:szCs w:val="23"/>
              </w:rPr>
            </w:pPr>
            <w:r w:rsidRPr="004E7133">
              <w:rPr>
                <w:color w:val="000000"/>
                <w:sz w:val="23"/>
                <w:szCs w:val="23"/>
              </w:rPr>
              <w:t> </w:t>
            </w:r>
          </w:p>
        </w:tc>
        <w:tc>
          <w:tcPr>
            <w:tcW w:w="1080" w:type="dxa"/>
            <w:tcBorders>
              <w:top w:val="single" w:sz="12" w:space="0" w:color="auto"/>
              <w:left w:val="nil"/>
              <w:bottom w:val="single" w:sz="8" w:space="0" w:color="auto"/>
              <w:right w:val="single" w:sz="8" w:space="0" w:color="auto"/>
            </w:tcBorders>
            <w:shd w:val="clear" w:color="auto" w:fill="auto"/>
            <w:noWrap/>
            <w:vAlign w:val="bottom"/>
            <w:hideMark/>
          </w:tcPr>
          <w:p w:rsidR="00B413B7" w:rsidRPr="004E7133" w:rsidP="00B413B7" w14:paraId="681F645D" w14:textId="46BDE83E">
            <w:pPr>
              <w:jc w:val="right"/>
              <w:rPr>
                <w:color w:val="000000"/>
                <w:sz w:val="23"/>
                <w:szCs w:val="23"/>
              </w:rPr>
            </w:pPr>
            <w:r>
              <w:rPr>
                <w:color w:val="000000"/>
                <w:sz w:val="23"/>
                <w:szCs w:val="23"/>
              </w:rPr>
              <w:t>9,976</w:t>
            </w:r>
          </w:p>
        </w:tc>
        <w:tc>
          <w:tcPr>
            <w:tcW w:w="1170" w:type="dxa"/>
            <w:tcBorders>
              <w:top w:val="single" w:sz="12" w:space="0" w:color="auto"/>
              <w:left w:val="nil"/>
              <w:bottom w:val="single" w:sz="8" w:space="0" w:color="auto"/>
              <w:right w:val="single" w:sz="8" w:space="0" w:color="auto"/>
            </w:tcBorders>
            <w:shd w:val="clear" w:color="auto" w:fill="auto"/>
            <w:noWrap/>
            <w:vAlign w:val="bottom"/>
            <w:hideMark/>
          </w:tcPr>
          <w:p w:rsidR="00B413B7" w:rsidRPr="004E7133" w:rsidP="00B413B7" w14:paraId="175A3947" w14:textId="71181B18">
            <w:pPr>
              <w:rPr>
                <w:color w:val="000000"/>
                <w:sz w:val="23"/>
                <w:szCs w:val="23"/>
              </w:rPr>
            </w:pPr>
            <w:r w:rsidRPr="004E7133">
              <w:rPr>
                <w:color w:val="000000"/>
                <w:sz w:val="23"/>
                <w:szCs w:val="23"/>
              </w:rPr>
              <w:t> </w:t>
            </w:r>
          </w:p>
        </w:tc>
        <w:tc>
          <w:tcPr>
            <w:tcW w:w="1530" w:type="dxa"/>
            <w:tcBorders>
              <w:top w:val="single" w:sz="12" w:space="0" w:color="auto"/>
              <w:left w:val="nil"/>
              <w:bottom w:val="single" w:sz="8" w:space="0" w:color="auto"/>
              <w:right w:val="single" w:sz="8" w:space="0" w:color="auto"/>
            </w:tcBorders>
            <w:shd w:val="clear" w:color="auto" w:fill="auto"/>
            <w:noWrap/>
            <w:vAlign w:val="bottom"/>
            <w:hideMark/>
          </w:tcPr>
          <w:p w:rsidR="00B413B7" w:rsidRPr="004E7133" w:rsidP="004D7604" w14:paraId="7B540513" w14:textId="475BED4A">
            <w:pPr>
              <w:jc w:val="right"/>
              <w:rPr>
                <w:color w:val="000000"/>
                <w:sz w:val="23"/>
                <w:szCs w:val="23"/>
              </w:rPr>
            </w:pPr>
            <w:r>
              <w:rPr>
                <w:color w:val="000000"/>
                <w:sz w:val="23"/>
                <w:szCs w:val="23"/>
              </w:rPr>
              <w:t xml:space="preserve">321,726.00 </w:t>
            </w:r>
          </w:p>
        </w:tc>
      </w:tr>
    </w:tbl>
    <w:p w:rsidR="002F2593" w:rsidP="00DD0C40" w14:paraId="13919626" w14:textId="77777777">
      <w:pPr>
        <w:jc w:val="center"/>
      </w:pPr>
    </w:p>
    <w:p w:rsidR="002F2593" w:rsidP="002F2593" w14:paraId="4546D9C2" w14:textId="05D42BFD">
      <w:r>
        <w:t xml:space="preserve">The projected cost to respondents assumes a </w:t>
      </w:r>
      <w:r w:rsidRPr="008C5A5F">
        <w:t>$</w:t>
      </w:r>
      <w:r w:rsidR="00B65ADD">
        <w:t>3</w:t>
      </w:r>
      <w:r w:rsidR="006267CB">
        <w:t>2</w:t>
      </w:r>
      <w:r w:rsidR="00B65ADD">
        <w:t>.25</w:t>
      </w:r>
      <w:r w:rsidRPr="008C5A5F">
        <w:t xml:space="preserve"> hourly </w:t>
      </w:r>
      <w:r w:rsidRPr="008C5A5F">
        <w:t>wage.</w:t>
      </w:r>
      <w:r w:rsidR="003F5D83">
        <w:t>*</w:t>
      </w:r>
      <w:r w:rsidR="003F5D83">
        <w:t>*</w:t>
      </w:r>
      <w:r>
        <w:t xml:space="preserve">* The only cost to the respondent is the time it takes to complete the interview. </w:t>
      </w:r>
    </w:p>
    <w:p w:rsidR="002F2593" w:rsidP="002F2593" w14:paraId="4A1CB075" w14:textId="77777777"/>
    <w:p w:rsidR="00AD53F2" w:rsidP="00AD53F2" w14:paraId="17E87E9F" w14:textId="35855355">
      <w:pPr>
        <w:rPr>
          <w:sz w:val="16"/>
          <w:szCs w:val="16"/>
        </w:rPr>
      </w:pPr>
      <w:r>
        <w:rPr>
          <w:sz w:val="16"/>
          <w:szCs w:val="16"/>
        </w:rPr>
        <w:t xml:space="preserve">* Initiation activity of </w:t>
      </w:r>
      <w:r w:rsidR="00BF640D">
        <w:rPr>
          <w:sz w:val="16"/>
          <w:szCs w:val="16"/>
        </w:rPr>
        <w:t>6</w:t>
      </w:r>
      <w:r w:rsidR="00784C78">
        <w:rPr>
          <w:sz w:val="16"/>
          <w:szCs w:val="16"/>
        </w:rPr>
        <w:t>,</w:t>
      </w:r>
      <w:r w:rsidR="00BF640D">
        <w:rPr>
          <w:sz w:val="16"/>
          <w:szCs w:val="16"/>
        </w:rPr>
        <w:t>103</w:t>
      </w:r>
      <w:r>
        <w:rPr>
          <w:sz w:val="16"/>
          <w:szCs w:val="16"/>
        </w:rPr>
        <w:t xml:space="preserve"> is included in the Screening number.</w:t>
      </w:r>
    </w:p>
    <w:p w:rsidR="00AD53F2" w:rsidP="00AD53F2" w14:paraId="6C3E75CC" w14:textId="11FD9181">
      <w:pPr>
        <w:rPr>
          <w:sz w:val="16"/>
          <w:szCs w:val="16"/>
        </w:rPr>
      </w:pPr>
      <w:r>
        <w:rPr>
          <w:sz w:val="16"/>
          <w:szCs w:val="16"/>
        </w:rPr>
        <w:t>** Reinterview activity of 2</w:t>
      </w:r>
      <w:r w:rsidR="00147EB2">
        <w:rPr>
          <w:sz w:val="16"/>
          <w:szCs w:val="16"/>
        </w:rPr>
        <w:t>,</w:t>
      </w:r>
      <w:r>
        <w:rPr>
          <w:sz w:val="16"/>
          <w:szCs w:val="16"/>
        </w:rPr>
        <w:t>648 is included in the Pricing numbers.</w:t>
      </w:r>
    </w:p>
    <w:p w:rsidR="003F5D83" w:rsidP="003F5D83" w14:paraId="7C0BD1DC" w14:textId="368FD7D4">
      <w:pPr>
        <w:rPr>
          <w:sz w:val="16"/>
          <w:szCs w:val="16"/>
        </w:rPr>
      </w:pPr>
      <w:r>
        <w:rPr>
          <w:sz w:val="16"/>
          <w:szCs w:val="16"/>
        </w:rPr>
        <w:t>**</w:t>
      </w:r>
      <w:r w:rsidRPr="000374B4">
        <w:rPr>
          <w:sz w:val="16"/>
          <w:szCs w:val="16"/>
        </w:rPr>
        <w:t>*</w:t>
      </w:r>
      <w:r w:rsidRPr="00834EE8" w:rsidR="00834EE8">
        <w:rPr>
          <w:sz w:val="18"/>
          <w:szCs w:val="18"/>
        </w:rPr>
        <w:t xml:space="preserve"> </w:t>
      </w:r>
      <w:r w:rsidRPr="001A625A" w:rsidR="00834EE8">
        <w:rPr>
          <w:sz w:val="18"/>
          <w:szCs w:val="18"/>
        </w:rPr>
        <w:t xml:space="preserve">Costs calculated using </w:t>
      </w:r>
      <w:r w:rsidR="00B65ADD">
        <w:rPr>
          <w:sz w:val="18"/>
          <w:szCs w:val="18"/>
        </w:rPr>
        <w:t xml:space="preserve">September </w:t>
      </w:r>
      <w:r w:rsidR="00834EE8">
        <w:rPr>
          <w:sz w:val="18"/>
          <w:szCs w:val="18"/>
        </w:rPr>
        <w:t>2024</w:t>
      </w:r>
      <w:r w:rsidRPr="001A625A" w:rsidR="00834EE8">
        <w:rPr>
          <w:sz w:val="18"/>
          <w:szCs w:val="18"/>
        </w:rPr>
        <w:t xml:space="preserve"> mean hourly </w:t>
      </w:r>
      <w:r w:rsidR="00834EE8">
        <w:rPr>
          <w:sz w:val="18"/>
          <w:szCs w:val="18"/>
        </w:rPr>
        <w:t>compensation</w:t>
      </w:r>
      <w:r w:rsidRPr="001A625A" w:rsidR="00834EE8">
        <w:rPr>
          <w:sz w:val="18"/>
          <w:szCs w:val="18"/>
        </w:rPr>
        <w:t xml:space="preserve"> ($</w:t>
      </w:r>
      <w:r w:rsidR="00B65ADD">
        <w:rPr>
          <w:sz w:val="18"/>
          <w:szCs w:val="18"/>
        </w:rPr>
        <w:t>3</w:t>
      </w:r>
      <w:r w:rsidR="006267CB">
        <w:rPr>
          <w:sz w:val="18"/>
          <w:szCs w:val="18"/>
        </w:rPr>
        <w:t>2</w:t>
      </w:r>
      <w:r w:rsidR="00B65ADD">
        <w:rPr>
          <w:sz w:val="18"/>
          <w:szCs w:val="18"/>
        </w:rPr>
        <w:t>.25</w:t>
      </w:r>
      <w:r w:rsidRPr="001A625A" w:rsidR="00834EE8">
        <w:rPr>
          <w:sz w:val="18"/>
          <w:szCs w:val="18"/>
        </w:rPr>
        <w:t>) from the National Compensation Survey</w:t>
      </w:r>
      <w:r w:rsidR="00834EE8">
        <w:rPr>
          <w:sz w:val="18"/>
          <w:szCs w:val="18"/>
        </w:rPr>
        <w:t xml:space="preserve"> </w:t>
      </w:r>
      <w:r w:rsidRPr="00B62605" w:rsidR="00834EE8">
        <w:rPr>
          <w:sz w:val="18"/>
          <w:szCs w:val="18"/>
        </w:rPr>
        <w:t>Employer Costs for Employee Compensation</w:t>
      </w:r>
      <w:r w:rsidR="00834EE8">
        <w:rPr>
          <w:b/>
          <w:bCs/>
          <w:sz w:val="18"/>
          <w:szCs w:val="18"/>
        </w:rPr>
        <w:t xml:space="preserve"> </w:t>
      </w:r>
      <w:r w:rsidR="00834EE8">
        <w:rPr>
          <w:sz w:val="18"/>
          <w:szCs w:val="18"/>
        </w:rPr>
        <w:t xml:space="preserve">(series ID </w:t>
      </w:r>
      <w:hyperlink r:id="rId7" w:history="1">
        <w:r w:rsidRPr="000F2080" w:rsidR="00834EE8">
          <w:rPr>
            <w:rStyle w:val="Hyperlink"/>
            <w:sz w:val="18"/>
            <w:szCs w:val="18"/>
          </w:rPr>
          <w:t>CMU1020000000000D</w:t>
        </w:r>
      </w:hyperlink>
      <w:r w:rsidR="00834EE8">
        <w:rPr>
          <w:sz w:val="18"/>
          <w:szCs w:val="18"/>
        </w:rPr>
        <w:t>)</w:t>
      </w:r>
      <w:r w:rsidRPr="001A625A" w:rsidR="00834EE8">
        <w:rPr>
          <w:sz w:val="18"/>
          <w:szCs w:val="18"/>
        </w:rPr>
        <w:t>.</w:t>
      </w:r>
    </w:p>
    <w:p w:rsidR="00AD53F2" w:rsidP="00AD53F2" w14:paraId="68D08D07" w14:textId="77777777">
      <w:pPr>
        <w:rPr>
          <w:sz w:val="16"/>
          <w:szCs w:val="16"/>
        </w:rPr>
      </w:pPr>
    </w:p>
    <w:p w:rsidR="002F2593" w:rsidP="002F2593" w14:paraId="7B74CC8E" w14:textId="720D0D39">
      <w:pPr>
        <w:rPr>
          <w:sz w:val="16"/>
          <w:szCs w:val="16"/>
        </w:rPr>
      </w:pPr>
    </w:p>
    <w:p w:rsidR="007A4BF7" w:rsidP="007023D4" w14:paraId="499A5D28" w14:textId="77777777">
      <w:pPr>
        <w:tabs>
          <w:tab w:val="left" w:pos="450"/>
        </w:tabs>
        <w:rPr>
          <w:b/>
        </w:rPr>
      </w:pPr>
    </w:p>
    <w:p w:rsidR="008041D8" w:rsidRPr="00D53DEB" w:rsidP="008041D8" w14:paraId="34BC50F1" w14:textId="2D6AE9A4">
      <w:pPr>
        <w:rPr>
          <w:b/>
        </w:rPr>
      </w:pPr>
      <w:r>
        <w:rPr>
          <w:b/>
        </w:rPr>
        <w:t>13</w:t>
      </w:r>
      <w:r>
        <w:rPr>
          <w:b/>
        </w:rPr>
        <w:t>.</w:t>
      </w:r>
      <w:r>
        <w:rPr>
          <w:b/>
        </w:rPr>
        <w:t xml:space="preserve">  </w:t>
      </w:r>
      <w:r w:rsidRPr="00D53DEB">
        <w:rPr>
          <w:b/>
        </w:rPr>
        <w:t>Provide</w:t>
      </w:r>
      <w:r w:rsidRPr="00D53DEB">
        <w:rPr>
          <w:b/>
        </w:rPr>
        <w:t xml:space="preserve"> an estimate of the total annual cost burden to respondents or recordkeepers resulting from the collection of information.  (Do not include the cost of any hour burden shown in Items 12 and 14).</w:t>
      </w:r>
    </w:p>
    <w:p w:rsidR="008041D8" w:rsidRPr="00D53DEB" w:rsidP="008041D8" w14:paraId="377A00A6" w14:textId="77777777">
      <w:pPr>
        <w:rPr>
          <w:b/>
        </w:rPr>
      </w:pPr>
    </w:p>
    <w:p w:rsidR="008041D8" w:rsidRPr="00B65823" w:rsidP="008041D8" w14:paraId="5E77A4A3" w14:textId="77777777">
      <w:pPr>
        <w:numPr>
          <w:ilvl w:val="0"/>
          <w:numId w:val="6"/>
        </w:numPr>
        <w:tabs>
          <w:tab w:val="clear" w:pos="1080"/>
        </w:tabs>
        <w:autoSpaceDE w:val="0"/>
        <w:autoSpaceDN w:val="0"/>
        <w:adjustRightInd w:val="0"/>
        <w:spacing w:after="120"/>
        <w:rPr>
          <w:b/>
        </w:rPr>
      </w:pPr>
      <w:r w:rsidRPr="00CA21AC">
        <w:rPr>
          <w:b/>
          <w:bCs/>
        </w:rPr>
        <w:t>The cost estimate should be split into two components</w:t>
      </w:r>
      <w:r w:rsidRPr="00CA21AC">
        <w:rPr>
          <w:b/>
          <w:bCs/>
        </w:rPr>
        <w:t>:  (</w:t>
      </w:r>
      <w:r w:rsidRPr="00CA21AC">
        <w:rPr>
          <w:b/>
          <w:bCs/>
        </w:rPr>
        <w:t xml:space="preserve">a) a total capital and </w:t>
      </w:r>
      <w:r w:rsidRPr="0052513D">
        <w:rPr>
          <w:b/>
          <w:bCs/>
        </w:rPr>
        <w:t>start up</w:t>
      </w:r>
      <w:r w:rsidRPr="0052513D">
        <w:rPr>
          <w:b/>
          <w:bCs/>
        </w:rPr>
        <w:t xml:space="preserve"> cost component (</w:t>
      </w:r>
      <w:r w:rsidRPr="00073C01">
        <w:rPr>
          <w:b/>
          <w:bCs/>
        </w:rPr>
        <w:t xml:space="preserve">annualized over its expected useful life); and (b) a </w:t>
      </w:r>
      <w:r w:rsidRPr="006A7451">
        <w:rPr>
          <w:b/>
          <w:bCs/>
        </w:rPr>
        <w:t xml:space="preserve">total operation and maintenance and purchase of service component.  </w:t>
      </w:r>
      <w:r w:rsidRPr="003A0CA0">
        <w:rPr>
          <w:b/>
          <w:bCs/>
        </w:rPr>
        <w:t>The estimates</w:t>
      </w:r>
      <w:r w:rsidRPr="00B524AD">
        <w:rPr>
          <w:b/>
          <w:bCs/>
        </w:rPr>
        <w:t xml:space="preserve"> should </w:t>
      </w:r>
      <w:r w:rsidRPr="00B524AD">
        <w:rPr>
          <w:b/>
          <w:bCs/>
        </w:rPr>
        <w:t>take into account</w:t>
      </w:r>
      <w:r w:rsidRPr="00B524AD">
        <w:rPr>
          <w:b/>
          <w:bCs/>
        </w:rPr>
        <w:t xml:space="preserve"> costs associated with generating,</w:t>
      </w:r>
      <w:r>
        <w:rPr>
          <w:b/>
          <w:bCs/>
        </w:rPr>
        <w:t xml:space="preserve"> </w:t>
      </w:r>
      <w:r w:rsidRPr="00073C01">
        <w:rPr>
          <w:b/>
          <w:bCs/>
        </w:rPr>
        <w:t xml:space="preserve">maintaining, and disclosing or providing the information.  Include descriptions of </w:t>
      </w:r>
      <w:r w:rsidRPr="006A7451">
        <w:rPr>
          <w:b/>
          <w:bCs/>
        </w:rPr>
        <w:t xml:space="preserve">methods used to </w:t>
      </w:r>
      <w:r w:rsidRPr="006A7451">
        <w:rPr>
          <w:b/>
          <w:bCs/>
        </w:rPr>
        <w:t xml:space="preserve">estimate major cost factors including system and technology acquisition, expected useful life of capital equipment, the discount rate(s), and the </w:t>
      </w:r>
      <w:r w:rsidRPr="006A7451">
        <w:rPr>
          <w:b/>
          <w:bCs/>
        </w:rPr>
        <w:t>time period</w:t>
      </w:r>
      <w:r w:rsidRPr="006A7451">
        <w:rPr>
          <w:b/>
          <w:bCs/>
        </w:rPr>
        <w:t xml:space="preserve"> over which costs will be incurred.  Capital and start-up costs include, among other items, preparations for collecting information such as purchasing computers and software; monitoring, sampling, drilling and testing equipment; and record storage facili</w:t>
      </w:r>
      <w:r w:rsidRPr="003A0CA0">
        <w:rPr>
          <w:b/>
          <w:bCs/>
        </w:rPr>
        <w:t>ties.</w:t>
      </w:r>
    </w:p>
    <w:p w:rsidR="008041D8" w:rsidRPr="00B65823" w:rsidP="008041D8" w14:paraId="2EF3F43B" w14:textId="77777777">
      <w:pPr>
        <w:numPr>
          <w:ilvl w:val="0"/>
          <w:numId w:val="6"/>
        </w:numPr>
        <w:tabs>
          <w:tab w:val="clear" w:pos="1080"/>
        </w:tabs>
        <w:autoSpaceDE w:val="0"/>
        <w:autoSpaceDN w:val="0"/>
        <w:adjustRightInd w:val="0"/>
        <w:spacing w:after="120"/>
      </w:pPr>
      <w:r w:rsidRPr="00CA21AC">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b/>
          <w:bCs/>
        </w:rPr>
        <w:t>onomic or regulatory impact analysis associated with the rulemaking containing the information collection, as appropriate.</w:t>
      </w:r>
    </w:p>
    <w:p w:rsidR="008041D8" w:rsidRPr="0052513D" w:rsidP="008041D8" w14:paraId="5FED4E4D" w14:textId="77777777">
      <w:pPr>
        <w:numPr>
          <w:ilvl w:val="0"/>
          <w:numId w:val="6"/>
        </w:numPr>
        <w:tabs>
          <w:tab w:val="clear" w:pos="1080"/>
        </w:tabs>
        <w:autoSpaceDE w:val="0"/>
        <w:autoSpaceDN w:val="0"/>
        <w:adjustRightInd w:val="0"/>
        <w:rPr>
          <w:b/>
          <w:bCs/>
        </w:rPr>
      </w:pPr>
      <w:r w:rsidRPr="00CA21AC">
        <w:rPr>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b/>
          <w:bCs/>
        </w:rPr>
        <w:t>s.</w:t>
      </w:r>
    </w:p>
    <w:p w:rsidR="007023D4" w:rsidP="007023D4" w14:paraId="3ABFBD49" w14:textId="77777777"/>
    <w:p w:rsidR="00DD138E" w:rsidP="00DD138E" w14:paraId="16735DE9" w14:textId="36531CA2">
      <w:r>
        <w:t>Not applicable</w:t>
      </w:r>
      <w:r w:rsidR="003763C4">
        <w:t xml:space="preserve">. </w:t>
      </w:r>
      <w:r>
        <w:t xml:space="preserve">There are no start-up or </w:t>
      </w:r>
      <w:r>
        <w:t>operations</w:t>
      </w:r>
      <w:r>
        <w:t xml:space="preserve"> and maintenance costs associated with the collection for the respondent.</w:t>
      </w:r>
      <w:r w:rsidR="003C6073">
        <w:t xml:space="preserve">  </w:t>
      </w:r>
    </w:p>
    <w:p w:rsidR="002249E2" w:rsidP="00DD138E" w14:paraId="4BE1016A" w14:textId="77777777"/>
    <w:p w:rsidR="008041D8" w:rsidRPr="00D53DEB" w:rsidP="008041D8" w14:paraId="658DF271" w14:textId="71CE3C14">
      <w:r>
        <w:rPr>
          <w:b/>
        </w:rPr>
        <w:t>14</w:t>
      </w:r>
      <w:r>
        <w:rPr>
          <w:b/>
        </w:rPr>
        <w:t>.</w:t>
      </w:r>
      <w:r>
        <w:rPr>
          <w:b/>
        </w:rPr>
        <w:t xml:space="preserve">  </w:t>
      </w:r>
      <w:r w:rsidRPr="00D53DEB">
        <w:rPr>
          <w:b/>
          <w:bCs/>
        </w:rPr>
        <w:t>Provide</w:t>
      </w:r>
      <w:r w:rsidRPr="00D53DEB">
        <w:rPr>
          <w:b/>
          <w:bCs/>
        </w:rPr>
        <w:t xml:space="preserve"> estimates of the annualized cost to the Federal Government.  Also, provide a description of the method used to estimate </w:t>
      </w:r>
      <w:r w:rsidRPr="00D53DEB">
        <w:rPr>
          <w:b/>
          <w:bCs/>
        </w:rPr>
        <w:t>cost</w:t>
      </w:r>
      <w:r w:rsidRPr="00D53DEB">
        <w:rPr>
          <w:b/>
          <w:bCs/>
        </w:rPr>
        <w: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7023D4" w:rsidP="007023D4" w14:paraId="16336648" w14:textId="68997C6A">
      <w:pPr>
        <w:rPr>
          <w:b/>
        </w:rPr>
      </w:pPr>
    </w:p>
    <w:p w:rsidR="007023D4" w:rsidP="007023D4" w14:paraId="4CE78470" w14:textId="77777777">
      <w:pPr>
        <w:rPr>
          <w:b/>
        </w:rPr>
      </w:pPr>
    </w:p>
    <w:p w:rsidR="007023D4" w:rsidP="007023D4" w14:paraId="272E1391" w14:textId="4EEC76C2">
      <w:r w:rsidRPr="00CA4E0B">
        <w:rPr>
          <w:szCs w:val="24"/>
        </w:rPr>
        <w:t xml:space="preserve">CPI total cost for </w:t>
      </w:r>
      <w:r w:rsidRPr="00EB4377">
        <w:rPr>
          <w:szCs w:val="24"/>
        </w:rPr>
        <w:t xml:space="preserve">FY </w:t>
      </w:r>
      <w:r w:rsidRPr="00EB4377" w:rsidR="00610269">
        <w:rPr>
          <w:szCs w:val="24"/>
        </w:rPr>
        <w:t>20</w:t>
      </w:r>
      <w:r w:rsidR="00610269">
        <w:rPr>
          <w:szCs w:val="24"/>
        </w:rPr>
        <w:t>24</w:t>
      </w:r>
      <w:r w:rsidRPr="00BA71AE" w:rsidR="00610269">
        <w:rPr>
          <w:szCs w:val="24"/>
        </w:rPr>
        <w:t xml:space="preserve"> </w:t>
      </w:r>
      <w:r w:rsidRPr="00BA71AE">
        <w:rPr>
          <w:szCs w:val="24"/>
        </w:rPr>
        <w:t>is approximately $</w:t>
      </w:r>
      <w:r w:rsidR="00D052D6">
        <w:rPr>
          <w:szCs w:val="24"/>
        </w:rPr>
        <w:t xml:space="preserve">95 </w:t>
      </w:r>
      <w:r w:rsidRPr="00BA71AE">
        <w:rPr>
          <w:szCs w:val="24"/>
        </w:rPr>
        <w:t>million</w:t>
      </w:r>
      <w:r w:rsidR="003763C4">
        <w:rPr>
          <w:szCs w:val="24"/>
        </w:rPr>
        <w:t xml:space="preserve">. </w:t>
      </w:r>
      <w:r>
        <w:rPr>
          <w:szCs w:val="24"/>
        </w:rPr>
        <w:t>The Housing Survey cost is estimated at</w:t>
      </w:r>
      <w:r w:rsidRPr="00851122">
        <w:rPr>
          <w:szCs w:val="24"/>
        </w:rPr>
        <w:t xml:space="preserve"> about</w:t>
      </w:r>
      <w:r>
        <w:rPr>
          <w:szCs w:val="24"/>
        </w:rPr>
        <w:t xml:space="preserve"> $</w:t>
      </w:r>
      <w:r w:rsidR="00D052D6">
        <w:rPr>
          <w:szCs w:val="24"/>
        </w:rPr>
        <w:t>24</w:t>
      </w:r>
      <w:r w:rsidR="00610269">
        <w:rPr>
          <w:szCs w:val="24"/>
        </w:rPr>
        <w:t xml:space="preserve"> </w:t>
      </w:r>
      <w:r w:rsidR="00CC2716">
        <w:rPr>
          <w:szCs w:val="24"/>
        </w:rPr>
        <w:t>million</w:t>
      </w:r>
      <w:r>
        <w:rPr>
          <w:szCs w:val="24"/>
        </w:rPr>
        <w:t xml:space="preserve"> or </w:t>
      </w:r>
      <w:r w:rsidR="00D052D6">
        <w:rPr>
          <w:szCs w:val="24"/>
        </w:rPr>
        <w:t>25</w:t>
      </w:r>
      <w:r w:rsidR="00610269">
        <w:rPr>
          <w:szCs w:val="24"/>
        </w:rPr>
        <w:t xml:space="preserve"> </w:t>
      </w:r>
      <w:r w:rsidR="004F01DE">
        <w:rPr>
          <w:szCs w:val="24"/>
        </w:rPr>
        <w:t>percent</w:t>
      </w:r>
      <w:r>
        <w:rPr>
          <w:szCs w:val="24"/>
        </w:rPr>
        <w:t xml:space="preserve"> of the total cost for the CPI</w:t>
      </w:r>
      <w:r w:rsidR="003763C4">
        <w:rPr>
          <w:szCs w:val="24"/>
        </w:rPr>
        <w:t xml:space="preserve">. </w:t>
      </w:r>
      <w:r>
        <w:t>This figure reflects the full cost of conducting the Housing part of the CPI, including space rent and telecommunications.</w:t>
      </w:r>
    </w:p>
    <w:p w:rsidR="002249E2" w:rsidP="007023D4" w14:paraId="12000DBD" w14:textId="77777777">
      <w:pPr>
        <w:rPr>
          <w:b/>
        </w:rPr>
      </w:pPr>
    </w:p>
    <w:p w:rsidR="007023D4" w:rsidP="007023D4" w14:paraId="2DB1724D" w14:textId="33578CC1">
      <w:pPr>
        <w:rPr>
          <w:b/>
        </w:rPr>
      </w:pPr>
      <w:r>
        <w:rPr>
          <w:b/>
        </w:rPr>
        <w:t>15</w:t>
      </w:r>
      <w:r>
        <w:rPr>
          <w:b/>
        </w:rPr>
        <w:t>.</w:t>
      </w:r>
      <w:r w:rsidR="008041D8">
        <w:rPr>
          <w:b/>
        </w:rPr>
        <w:t xml:space="preserve">  </w:t>
      </w:r>
      <w:r w:rsidRPr="00D53DEB" w:rsidR="008041D8">
        <w:rPr>
          <w:b/>
          <w:bCs/>
        </w:rPr>
        <w:t>Explain</w:t>
      </w:r>
      <w:r w:rsidRPr="00D53DEB" w:rsidR="008041D8">
        <w:rPr>
          <w:b/>
          <w:bCs/>
        </w:rPr>
        <w:t xml:space="preserve"> the reasons for any program changes or adjustments</w:t>
      </w:r>
      <w:r w:rsidRPr="00A47DA7" w:rsidR="008041D8">
        <w:rPr>
          <w:b/>
          <w:bCs/>
        </w:rPr>
        <w:t>.</w:t>
      </w:r>
      <w:r w:rsidR="00CB67A9">
        <w:rPr>
          <w:b/>
        </w:rPr>
        <w:t xml:space="preserve"> </w:t>
      </w:r>
    </w:p>
    <w:p w:rsidR="007023D4" w:rsidP="007023D4" w14:paraId="0B7AB889" w14:textId="77777777"/>
    <w:p w:rsidR="00DC29F5" w:rsidP="00DC29F5" w14:paraId="7A00F73A" w14:textId="5D7CD4AF">
      <w:r w:rsidRPr="00577DE1">
        <w:rPr>
          <w:szCs w:val="24"/>
        </w:rPr>
        <w:t xml:space="preserve">The </w:t>
      </w:r>
      <w:r>
        <w:rPr>
          <w:szCs w:val="24"/>
        </w:rPr>
        <w:t>previous</w:t>
      </w:r>
      <w:r w:rsidRPr="00577DE1">
        <w:rPr>
          <w:szCs w:val="24"/>
        </w:rPr>
        <w:t xml:space="preserve"> Information Collection </w:t>
      </w:r>
      <w:r w:rsidR="00735ED6">
        <w:rPr>
          <w:szCs w:val="24"/>
        </w:rPr>
        <w:t>Reques</w:t>
      </w:r>
      <w:r w:rsidRPr="00577DE1" w:rsidR="00735ED6">
        <w:rPr>
          <w:szCs w:val="24"/>
        </w:rPr>
        <w:t xml:space="preserve">t </w:t>
      </w:r>
      <w:r w:rsidRPr="00577DE1">
        <w:rPr>
          <w:szCs w:val="24"/>
        </w:rPr>
        <w:t>(</w:t>
      </w:r>
      <w:r w:rsidRPr="00577DE1" w:rsidR="00735ED6">
        <w:rPr>
          <w:szCs w:val="24"/>
        </w:rPr>
        <w:t>IC</w:t>
      </w:r>
      <w:r w:rsidR="00735ED6">
        <w:rPr>
          <w:szCs w:val="24"/>
        </w:rPr>
        <w:t>R</w:t>
      </w:r>
      <w:r w:rsidRPr="00577DE1">
        <w:rPr>
          <w:szCs w:val="24"/>
        </w:rPr>
        <w:t xml:space="preserve">) </w:t>
      </w:r>
      <w:r>
        <w:rPr>
          <w:szCs w:val="24"/>
        </w:rPr>
        <w:t xml:space="preserve">is </w:t>
      </w:r>
      <w:r w:rsidRPr="00577DE1">
        <w:rPr>
          <w:szCs w:val="24"/>
        </w:rPr>
        <w:t>based on the average</w:t>
      </w:r>
      <w:r w:rsidR="000368C0">
        <w:rPr>
          <w:szCs w:val="24"/>
        </w:rPr>
        <w:t xml:space="preserve"> estimated burden for years</w:t>
      </w:r>
      <w:r w:rsidRPr="00577DE1">
        <w:rPr>
          <w:szCs w:val="24"/>
        </w:rPr>
        <w:t xml:space="preserve"> of </w:t>
      </w:r>
      <w:r w:rsidRPr="00577DE1" w:rsidR="000368C0">
        <w:rPr>
          <w:szCs w:val="24"/>
        </w:rPr>
        <w:t>FY20</w:t>
      </w:r>
      <w:r w:rsidR="000368C0">
        <w:rPr>
          <w:szCs w:val="24"/>
        </w:rPr>
        <w:t>22</w:t>
      </w:r>
      <w:r w:rsidRPr="00577DE1">
        <w:rPr>
          <w:szCs w:val="24"/>
        </w:rPr>
        <w:t xml:space="preserve">, </w:t>
      </w:r>
      <w:r w:rsidRPr="00577DE1" w:rsidR="000368C0">
        <w:rPr>
          <w:szCs w:val="24"/>
        </w:rPr>
        <w:t>FY20</w:t>
      </w:r>
      <w:r w:rsidR="000368C0">
        <w:rPr>
          <w:szCs w:val="24"/>
        </w:rPr>
        <w:t>23</w:t>
      </w:r>
      <w:r w:rsidRPr="00577DE1" w:rsidR="000368C0">
        <w:rPr>
          <w:szCs w:val="24"/>
        </w:rPr>
        <w:t xml:space="preserve"> </w:t>
      </w:r>
      <w:r w:rsidRPr="00577DE1">
        <w:rPr>
          <w:szCs w:val="24"/>
        </w:rPr>
        <w:t xml:space="preserve">and </w:t>
      </w:r>
      <w:r w:rsidRPr="00577DE1" w:rsidR="000368C0">
        <w:rPr>
          <w:szCs w:val="24"/>
        </w:rPr>
        <w:t>FY20</w:t>
      </w:r>
      <w:r w:rsidR="000368C0">
        <w:rPr>
          <w:szCs w:val="24"/>
        </w:rPr>
        <w:t xml:space="preserve">24 </w:t>
      </w:r>
      <w:r>
        <w:rPr>
          <w:szCs w:val="24"/>
        </w:rPr>
        <w:t xml:space="preserve">and </w:t>
      </w:r>
      <w:r w:rsidRPr="00577DE1">
        <w:rPr>
          <w:szCs w:val="24"/>
        </w:rPr>
        <w:t>reflect</w:t>
      </w:r>
      <w:r>
        <w:rPr>
          <w:szCs w:val="24"/>
        </w:rPr>
        <w:t>ed</w:t>
      </w:r>
      <w:r w:rsidRPr="00577DE1">
        <w:rPr>
          <w:szCs w:val="24"/>
        </w:rPr>
        <w:t xml:space="preserve"> </w:t>
      </w:r>
      <w:r w:rsidR="003B6358">
        <w:rPr>
          <w:szCs w:val="24"/>
        </w:rPr>
        <w:t>12,</w:t>
      </w:r>
      <w:r w:rsidR="00D71C85">
        <w:rPr>
          <w:szCs w:val="24"/>
        </w:rPr>
        <w:t>037</w:t>
      </w:r>
      <w:r w:rsidRPr="00577DE1" w:rsidR="00D71C85">
        <w:rPr>
          <w:szCs w:val="24"/>
        </w:rPr>
        <w:t xml:space="preserve"> </w:t>
      </w:r>
      <w:r w:rsidRPr="00577DE1">
        <w:rPr>
          <w:szCs w:val="24"/>
        </w:rPr>
        <w:t>burden hours</w:t>
      </w:r>
      <w:r w:rsidR="003763C4">
        <w:rPr>
          <w:szCs w:val="24"/>
        </w:rPr>
        <w:t xml:space="preserve">. </w:t>
      </w:r>
      <w:r w:rsidRPr="00577DE1">
        <w:rPr>
          <w:szCs w:val="24"/>
        </w:rPr>
        <w:t xml:space="preserve">The burden included in this request </w:t>
      </w:r>
      <w:r>
        <w:rPr>
          <w:szCs w:val="24"/>
        </w:rPr>
        <w:t xml:space="preserve">is </w:t>
      </w:r>
      <w:r w:rsidRPr="00577DE1">
        <w:rPr>
          <w:szCs w:val="24"/>
        </w:rPr>
        <w:t xml:space="preserve">based on the average </w:t>
      </w:r>
      <w:r w:rsidR="000368C0">
        <w:rPr>
          <w:szCs w:val="24"/>
        </w:rPr>
        <w:t xml:space="preserve">estimated burden </w:t>
      </w:r>
      <w:r w:rsidRPr="00577DE1">
        <w:rPr>
          <w:szCs w:val="24"/>
        </w:rPr>
        <w:t xml:space="preserve">of </w:t>
      </w:r>
      <w:r w:rsidRPr="00577DE1" w:rsidR="000368C0">
        <w:rPr>
          <w:szCs w:val="24"/>
        </w:rPr>
        <w:t>FY20</w:t>
      </w:r>
      <w:r w:rsidR="000368C0">
        <w:rPr>
          <w:szCs w:val="24"/>
        </w:rPr>
        <w:t>25</w:t>
      </w:r>
      <w:r w:rsidRPr="00577DE1">
        <w:rPr>
          <w:szCs w:val="24"/>
        </w:rPr>
        <w:t xml:space="preserve">, </w:t>
      </w:r>
      <w:r w:rsidRPr="00577DE1" w:rsidR="000368C0">
        <w:rPr>
          <w:szCs w:val="24"/>
        </w:rPr>
        <w:t>FY</w:t>
      </w:r>
      <w:r w:rsidR="000368C0">
        <w:rPr>
          <w:szCs w:val="24"/>
        </w:rPr>
        <w:t>2026</w:t>
      </w:r>
      <w:r w:rsidRPr="00577DE1" w:rsidR="000368C0">
        <w:rPr>
          <w:szCs w:val="24"/>
        </w:rPr>
        <w:t xml:space="preserve"> </w:t>
      </w:r>
      <w:r w:rsidRPr="00577DE1">
        <w:rPr>
          <w:szCs w:val="24"/>
        </w:rPr>
        <w:t xml:space="preserve">and </w:t>
      </w:r>
      <w:r w:rsidRPr="00577DE1" w:rsidR="000368C0">
        <w:rPr>
          <w:szCs w:val="24"/>
        </w:rPr>
        <w:t>FY</w:t>
      </w:r>
      <w:r w:rsidR="000368C0">
        <w:rPr>
          <w:szCs w:val="24"/>
        </w:rPr>
        <w:t xml:space="preserve">2027 </w:t>
      </w:r>
      <w:r>
        <w:rPr>
          <w:szCs w:val="24"/>
        </w:rPr>
        <w:t xml:space="preserve">and </w:t>
      </w:r>
      <w:r w:rsidRPr="00577DE1">
        <w:rPr>
          <w:szCs w:val="24"/>
        </w:rPr>
        <w:t>reflects</w:t>
      </w:r>
      <w:r w:rsidRPr="00577DE1">
        <w:rPr>
          <w:szCs w:val="24"/>
        </w:rPr>
        <w:t xml:space="preserve"> </w:t>
      </w:r>
      <w:r w:rsidR="003F25DF">
        <w:rPr>
          <w:szCs w:val="24"/>
        </w:rPr>
        <w:t>9,976</w:t>
      </w:r>
      <w:r w:rsidR="00504EE4">
        <w:rPr>
          <w:szCs w:val="24"/>
        </w:rPr>
        <w:t xml:space="preserve"> </w:t>
      </w:r>
      <w:r w:rsidRPr="00577DE1">
        <w:rPr>
          <w:szCs w:val="24"/>
        </w:rPr>
        <w:t>hours</w:t>
      </w:r>
      <w:r>
        <w:rPr>
          <w:szCs w:val="24"/>
        </w:rPr>
        <w:t xml:space="preserve"> as shown in the table above</w:t>
      </w:r>
      <w:r w:rsidR="003763C4">
        <w:rPr>
          <w:szCs w:val="24"/>
        </w:rPr>
        <w:t xml:space="preserve">. </w:t>
      </w:r>
    </w:p>
    <w:p w:rsidR="00DC29F5" w:rsidP="00DC29F5" w14:paraId="121961DC" w14:textId="77777777">
      <w:pPr>
        <w:rPr>
          <w:b/>
        </w:rPr>
      </w:pPr>
    </w:p>
    <w:p w:rsidR="00DC29F5" w:rsidP="00DC29F5" w14:paraId="16B8BF09" w14:textId="3DB5ACC4">
      <w:pPr>
        <w:rPr>
          <w:szCs w:val="24"/>
        </w:rPr>
      </w:pPr>
      <w:r>
        <w:rPr>
          <w:szCs w:val="24"/>
        </w:rPr>
        <w:t>The decrease in the burden for FY2025 to FY 2027 is</w:t>
      </w:r>
      <w:r w:rsidR="00D4216E">
        <w:rPr>
          <w:szCs w:val="24"/>
        </w:rPr>
        <w:t xml:space="preserve"> mostly</w:t>
      </w:r>
      <w:r>
        <w:rPr>
          <w:szCs w:val="24"/>
        </w:rPr>
        <w:t xml:space="preserve"> due to </w:t>
      </w:r>
      <w:r w:rsidR="0087380B">
        <w:rPr>
          <w:szCs w:val="24"/>
        </w:rPr>
        <w:t xml:space="preserve">a reduction in long pricing. </w:t>
      </w:r>
      <w:r w:rsidR="003E0DB9">
        <w:rPr>
          <w:szCs w:val="24"/>
        </w:rPr>
        <w:t>There are fewer long pricings being conducted and they are</w:t>
      </w:r>
      <w:r w:rsidR="0087380B">
        <w:rPr>
          <w:szCs w:val="24"/>
        </w:rPr>
        <w:t xml:space="preserve"> generally</w:t>
      </w:r>
      <w:r w:rsidR="00D4216E">
        <w:rPr>
          <w:szCs w:val="24"/>
        </w:rPr>
        <w:t xml:space="preserve"> being</w:t>
      </w:r>
      <w:r w:rsidR="0087380B">
        <w:rPr>
          <w:szCs w:val="24"/>
        </w:rPr>
        <w:t xml:space="preserve"> conducted in one </w:t>
      </w:r>
      <w:r w:rsidR="0087380B">
        <w:rPr>
          <w:szCs w:val="24"/>
        </w:rPr>
        <w:t>contact</w:t>
      </w:r>
      <w:r w:rsidR="0087380B">
        <w:rPr>
          <w:szCs w:val="24"/>
        </w:rPr>
        <w:t>, rather than two.</w:t>
      </w:r>
    </w:p>
    <w:p w:rsidR="00DC29F5" w:rsidP="007023D4" w14:paraId="54AB19C4" w14:textId="0E3F909B">
      <w:pPr>
        <w:rPr>
          <w:szCs w:val="24"/>
        </w:rPr>
      </w:pPr>
    </w:p>
    <w:p w:rsidR="008041D8" w:rsidRPr="00D53DEB" w:rsidP="00DD0C40" w14:paraId="02186DE6" w14:textId="77777777">
      <w:r w:rsidRPr="00DD0C40">
        <w:rPr>
          <w:b/>
          <w:bCs/>
        </w:rPr>
        <w:t>16</w:t>
      </w:r>
      <w:r w:rsidRPr="00DD0C40">
        <w:rPr>
          <w:b/>
          <w:bCs/>
        </w:rPr>
        <w:t>.  For</w:t>
      </w:r>
      <w:r w:rsidRPr="00DD0C40">
        <w:rPr>
          <w:b/>
          <w:bCs/>
        </w:rPr>
        <w:t xml:space="preserve">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7023D4" w:rsidRPr="00F700E8" w:rsidP="007023D4" w14:paraId="775AECCF" w14:textId="77777777">
      <w:pPr>
        <w:rPr>
          <w:b/>
        </w:rPr>
      </w:pPr>
    </w:p>
    <w:p w:rsidR="007023D4" w:rsidRPr="00FC31B6" w:rsidP="007023D4" w14:paraId="763BBD81" w14:textId="2368D7CE">
      <w:r w:rsidRPr="008E6BBB">
        <w:t xml:space="preserve">Data </w:t>
      </w:r>
      <w:r w:rsidRPr="008E6BBB">
        <w:t>are</w:t>
      </w:r>
      <w:r w:rsidRPr="008E6BBB">
        <w:t xml:space="preserve"> collected fr</w:t>
      </w:r>
      <w:r w:rsidRPr="008407BC">
        <w:t>om</w:t>
      </w:r>
      <w:r>
        <w:t xml:space="preserve"> the first day to the last day of the reference month</w:t>
      </w:r>
      <w:r w:rsidR="003763C4">
        <w:t xml:space="preserve">. </w:t>
      </w:r>
      <w:r>
        <w:t>(For example, data for the January index are collected during January</w:t>
      </w:r>
      <w:r w:rsidR="00A67864">
        <w:t xml:space="preserve"> 1-31</w:t>
      </w:r>
      <w:r>
        <w:t xml:space="preserve">.)  The monthly CPI is first published in a news release between the </w:t>
      </w:r>
      <w:r w:rsidR="00AD208A">
        <w:t xml:space="preserve">10th </w:t>
      </w:r>
      <w:r>
        <w:t xml:space="preserve">and </w:t>
      </w:r>
      <w:r w:rsidR="00AD208A">
        <w:t>14</w:t>
      </w:r>
      <w:r w:rsidRPr="000771EC" w:rsidR="00AD208A">
        <w:t>th</w:t>
      </w:r>
      <w:r w:rsidR="00AD208A">
        <w:t xml:space="preserve"> </w:t>
      </w:r>
      <w:r>
        <w:t>of the month following the month in which the data are collected (</w:t>
      </w:r>
      <w:r w:rsidR="00D632E7">
        <w:t>for example, t</w:t>
      </w:r>
      <w:r>
        <w:t>he index for January is published in mid-February)</w:t>
      </w:r>
      <w:r w:rsidR="003763C4">
        <w:t xml:space="preserve">. </w:t>
      </w:r>
      <w:r>
        <w:t>The release includes a summary and analysis of major price changes, short tables showing seasonally adjusted and unadjusted percentage changes in major expenditure categories, and detailed tables</w:t>
      </w:r>
      <w:r w:rsidR="003763C4">
        <w:t xml:space="preserve">. </w:t>
      </w:r>
      <w:r>
        <w:t xml:space="preserve">The information also is found on the CPI public website at: </w:t>
      </w:r>
      <w:hyperlink r:id="rId8" w:history="1">
        <w:r w:rsidRPr="00EC7E33" w:rsidR="00EC752B">
          <w:rPr>
            <w:rStyle w:val="Hyperlink"/>
          </w:rPr>
          <w:t>https://www.bls.gov/cpi/tables/supplemental-files/home.htm</w:t>
        </w:r>
      </w:hyperlink>
    </w:p>
    <w:p w:rsidR="002249E2" w:rsidP="007023D4" w14:paraId="6E1BD7E9" w14:textId="77777777"/>
    <w:p w:rsidR="008041D8" w:rsidRPr="00D53DEB" w:rsidP="008041D8" w14:paraId="38ED7260" w14:textId="64E83941">
      <w:pPr>
        <w:rPr>
          <w:b/>
          <w:bCs/>
        </w:rPr>
      </w:pPr>
      <w:r>
        <w:rPr>
          <w:b/>
        </w:rPr>
        <w:t>17</w:t>
      </w:r>
      <w:r>
        <w:rPr>
          <w:b/>
        </w:rPr>
        <w:t>.</w:t>
      </w:r>
      <w:r>
        <w:rPr>
          <w:b/>
        </w:rPr>
        <w:t xml:space="preserve">  </w:t>
      </w:r>
      <w:r w:rsidRPr="00D53DEB">
        <w:rPr>
          <w:b/>
          <w:bCs/>
        </w:rPr>
        <w:t>If</w:t>
      </w:r>
      <w:r w:rsidRPr="00D53DEB">
        <w:rPr>
          <w:b/>
          <w:bCs/>
        </w:rPr>
        <w:t xml:space="preserve"> seeking approval to not display the expiration date for OMB approval of the information collection, explain the reasons that display would be inappropriate.</w:t>
      </w:r>
    </w:p>
    <w:p w:rsidR="007023D4" w:rsidP="007023D4" w14:paraId="531E79E7" w14:textId="77777777"/>
    <w:p w:rsidR="00CF3867" w:rsidRPr="00A50959" w:rsidP="00E73FF6" w14:paraId="53377F90" w14:textId="77777777">
      <w:pPr>
        <w:rPr>
          <w:szCs w:val="24"/>
        </w:rPr>
      </w:pPr>
      <w:r w:rsidRPr="007F541C">
        <w:rPr>
          <w:szCs w:val="24"/>
        </w:rPr>
        <w:t>The Consumer Price Index Housing Program requests authorization to not display the expiration date for OMB approval on the survey materials, to save pri</w:t>
      </w:r>
      <w:r>
        <w:rPr>
          <w:szCs w:val="24"/>
        </w:rPr>
        <w:t>n</w:t>
      </w:r>
      <w:r w:rsidRPr="007F541C">
        <w:rPr>
          <w:szCs w:val="24"/>
        </w:rPr>
        <w:t>ting costs and personnel time.</w:t>
      </w:r>
    </w:p>
    <w:p w:rsidR="002249E2" w:rsidP="007023D4" w14:paraId="3D36FC2E" w14:textId="77777777"/>
    <w:p w:rsidR="008041D8" w:rsidRPr="00D53DEB" w:rsidP="008041D8" w14:paraId="3371C73B" w14:textId="013DA346">
      <w:pPr>
        <w:rPr>
          <w:b/>
        </w:rPr>
      </w:pPr>
      <w:r>
        <w:rPr>
          <w:b/>
        </w:rPr>
        <w:t>18</w:t>
      </w:r>
      <w:r>
        <w:rPr>
          <w:b/>
        </w:rPr>
        <w:t>.</w:t>
      </w:r>
      <w:r>
        <w:rPr>
          <w:b/>
        </w:rPr>
        <w:t xml:space="preserve">  </w:t>
      </w:r>
      <w:r w:rsidRPr="00D53DEB">
        <w:rPr>
          <w:b/>
        </w:rPr>
        <w:t>Explain</w:t>
      </w:r>
      <w:r w:rsidRPr="00D53DEB">
        <w:rPr>
          <w:b/>
        </w:rPr>
        <w:t xml:space="preserve"> each exception to the certification statement.</w:t>
      </w:r>
    </w:p>
    <w:p w:rsidR="007023D4" w:rsidP="007023D4" w14:paraId="3AF28E49" w14:textId="77777777"/>
    <w:p w:rsidR="003A07A2" w:rsidP="008C5D1F" w14:paraId="383129B0" w14:textId="01ECE231">
      <w:r>
        <w:t xml:space="preserve">There are no exceptions to the certification statement, “Certification for </w:t>
      </w:r>
      <w:r w:rsidR="00EB2EE9">
        <w:t>Paperwork</w:t>
      </w:r>
      <w:r>
        <w:t xml:space="preserve"> Reduction Act Submissions.”</w:t>
      </w:r>
    </w:p>
    <w:sectPr w:rsidSect="00E9595A">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2433169"/>
      <w:docPartObj>
        <w:docPartGallery w:val="Page Numbers (Bottom of Page)"/>
        <w:docPartUnique/>
      </w:docPartObj>
    </w:sdtPr>
    <w:sdtEndPr>
      <w:rPr>
        <w:noProof/>
      </w:rPr>
    </w:sdtEndPr>
    <w:sdtContent>
      <w:p w:rsidR="00DD5A61" w14:paraId="4FB73A26" w14:textId="569C98CF">
        <w:pPr>
          <w:pStyle w:val="Footer"/>
          <w:jc w:val="center"/>
        </w:pPr>
        <w:r>
          <w:fldChar w:fldCharType="begin"/>
        </w:r>
        <w:r>
          <w:instrText xml:space="preserve"> PAGE   \* MERGEFORMAT </w:instrText>
        </w:r>
        <w:r>
          <w:fldChar w:fldCharType="separate"/>
        </w:r>
        <w:r w:rsidR="008A723F">
          <w:rPr>
            <w:noProof/>
          </w:rPr>
          <w:t>10</w:t>
        </w:r>
        <w:r>
          <w:rPr>
            <w:noProof/>
          </w:rPr>
          <w:fldChar w:fldCharType="end"/>
        </w:r>
      </w:p>
    </w:sdtContent>
  </w:sdt>
  <w:p w:rsidR="00DD5A61" w14:paraId="5D602E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1C9C" w14:paraId="4F4EBE80" w14:textId="7C52C231">
    <w:pPr>
      <w:pStyle w:val="Header"/>
    </w:pPr>
    <w:r>
      <w:t>Consumer Price Index Housing Survey</w:t>
    </w:r>
  </w:p>
  <w:p w:rsidR="00E01C9C" w14:paraId="5058DE3E" w14:textId="0D1E2416">
    <w:pPr>
      <w:pStyle w:val="Header"/>
    </w:pPr>
    <w:r>
      <w:t xml:space="preserve">OMB </w:t>
    </w:r>
    <w:r w:rsidR="00FB4333">
      <w:t xml:space="preserve">Control </w:t>
    </w:r>
    <w:r>
      <w:t xml:space="preserve">Number </w:t>
    </w:r>
    <w:r w:rsidR="00E00F5A">
      <w:t>1220-0163</w:t>
    </w:r>
  </w:p>
  <w:p w:rsidR="00E01C9C" w14:paraId="0DF0D18F" w14:textId="5A8D4F58">
    <w:pPr>
      <w:pStyle w:val="Header"/>
    </w:pPr>
    <w:r>
      <w:t xml:space="preserve">OMB Expiration Date:  </w:t>
    </w:r>
    <w:r w:rsidR="00C9463F">
      <w:t>June 30, 2025</w:t>
    </w:r>
  </w:p>
  <w:p w:rsidR="00E01C9C" w14:paraId="3D41A64B" w14:textId="77777777">
    <w:pPr>
      <w:pStyle w:val="Header"/>
    </w:pPr>
  </w:p>
  <w:p w:rsidR="00E01C9C" w:rsidP="00182401" w14:paraId="1A956C81" w14:textId="26901D42">
    <w:pPr>
      <w:ind w:lef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7D5091"/>
    <w:multiLevelType w:val="hybridMultilevel"/>
    <w:tmpl w:val="4BD6D896"/>
    <w:lvl w:ilvl="0">
      <w:start w:val="1"/>
      <w:numFmt w:val="lowerLetter"/>
      <w:lvlText w:val="(%1)"/>
      <w:lvlJc w:val="left"/>
      <w:pPr>
        <w:tabs>
          <w:tab w:val="num" w:pos="1080"/>
        </w:tabs>
        <w:ind w:left="1080" w:hanging="360"/>
      </w:pPr>
      <w:rPr>
        <w:rFonts w:hint="default"/>
      </w:rPr>
    </w:lvl>
    <w:lvl w:ilvl="1">
      <w:start w:val="1"/>
      <w:numFmt w:val="upp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246C70A8"/>
    <w:multiLevelType w:val="hybridMultilevel"/>
    <w:tmpl w:val="49B8A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60092C"/>
    <w:multiLevelType w:val="singleLevel"/>
    <w:tmpl w:val="FFB097BE"/>
    <w:lvl w:ilvl="0">
      <w:start w:val="16"/>
      <w:numFmt w:val="decimal"/>
      <w:lvlText w:val="%1."/>
      <w:lvlJc w:val="left"/>
      <w:pPr>
        <w:tabs>
          <w:tab w:val="num" w:pos="720"/>
        </w:tabs>
        <w:ind w:left="720" w:hanging="720"/>
      </w:pPr>
      <w:rPr>
        <w:rFonts w:hint="default"/>
      </w:rPr>
    </w:lvl>
  </w:abstractNum>
  <w:abstractNum w:abstractNumId="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5">
    <w:nsid w:val="6BB268D9"/>
    <w:multiLevelType w:val="hybridMultilevel"/>
    <w:tmpl w:val="2FFC3A84"/>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1080"/>
        </w:tabs>
        <w:ind w:left="1080" w:hanging="360"/>
      </w:pPr>
      <w:rPr>
        <w:rFonts w:ascii="Wingdings" w:hAnsi="Wingdings" w:hint="default"/>
      </w:rPr>
    </w:lvl>
    <w:lvl w:ilvl="3" w:tentative="1">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2520"/>
        </w:tabs>
        <w:ind w:left="2520" w:hanging="360"/>
      </w:pPr>
      <w:rPr>
        <w:rFonts w:ascii="Courier New" w:hAnsi="Courier New" w:cs="Courier New" w:hint="default"/>
      </w:rPr>
    </w:lvl>
    <w:lvl w:ilvl="5" w:tentative="1">
      <w:start w:val="1"/>
      <w:numFmt w:val="bullet"/>
      <w:lvlText w:val=""/>
      <w:lvlJc w:val="left"/>
      <w:pPr>
        <w:tabs>
          <w:tab w:val="num" w:pos="3240"/>
        </w:tabs>
        <w:ind w:left="3240" w:hanging="360"/>
      </w:pPr>
      <w:rPr>
        <w:rFonts w:ascii="Wingdings" w:hAnsi="Wingdings" w:hint="default"/>
      </w:rPr>
    </w:lvl>
    <w:lvl w:ilvl="6" w:tentative="1">
      <w:start w:val="1"/>
      <w:numFmt w:val="bullet"/>
      <w:lvlText w:val=""/>
      <w:lvlJc w:val="left"/>
      <w:pPr>
        <w:tabs>
          <w:tab w:val="num" w:pos="3960"/>
        </w:tabs>
        <w:ind w:left="3960" w:hanging="360"/>
      </w:pPr>
      <w:rPr>
        <w:rFonts w:ascii="Symbol" w:hAnsi="Symbol" w:hint="default"/>
      </w:rPr>
    </w:lvl>
    <w:lvl w:ilvl="7" w:tentative="1">
      <w:start w:val="1"/>
      <w:numFmt w:val="bullet"/>
      <w:lvlText w:val="o"/>
      <w:lvlJc w:val="left"/>
      <w:pPr>
        <w:tabs>
          <w:tab w:val="num" w:pos="4680"/>
        </w:tabs>
        <w:ind w:left="4680" w:hanging="360"/>
      </w:pPr>
      <w:rPr>
        <w:rFonts w:ascii="Courier New" w:hAnsi="Courier New" w:cs="Courier New" w:hint="default"/>
      </w:rPr>
    </w:lvl>
    <w:lvl w:ilvl="8" w:tentative="1">
      <w:start w:val="1"/>
      <w:numFmt w:val="bullet"/>
      <w:lvlText w:val=""/>
      <w:lvlJc w:val="left"/>
      <w:pPr>
        <w:tabs>
          <w:tab w:val="num" w:pos="5400"/>
        </w:tabs>
        <w:ind w:left="5400" w:hanging="360"/>
      </w:pPr>
      <w:rPr>
        <w:rFonts w:ascii="Wingdings" w:hAnsi="Wingdings" w:hint="default"/>
      </w:rPr>
    </w:lvl>
  </w:abstractNum>
  <w:num w:numId="1" w16cid:durableId="1680430109">
    <w:abstractNumId w:val="5"/>
  </w:num>
  <w:num w:numId="2" w16cid:durableId="931745313">
    <w:abstractNumId w:val="0"/>
  </w:num>
  <w:num w:numId="3" w16cid:durableId="132675128">
    <w:abstractNumId w:val="2"/>
  </w:num>
  <w:num w:numId="4" w16cid:durableId="670909417">
    <w:abstractNumId w:val="4"/>
  </w:num>
  <w:num w:numId="5" w16cid:durableId="2099132634">
    <w:abstractNumId w:val="1"/>
  </w:num>
  <w:num w:numId="6" w16cid:durableId="7025551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1F"/>
    <w:rsid w:val="000156C2"/>
    <w:rsid w:val="000159AB"/>
    <w:rsid w:val="000159FC"/>
    <w:rsid w:val="00020DAF"/>
    <w:rsid w:val="00023235"/>
    <w:rsid w:val="00024AB1"/>
    <w:rsid w:val="00024D0F"/>
    <w:rsid w:val="000262B9"/>
    <w:rsid w:val="00027A04"/>
    <w:rsid w:val="00030B9A"/>
    <w:rsid w:val="000368C0"/>
    <w:rsid w:val="000374B4"/>
    <w:rsid w:val="00053434"/>
    <w:rsid w:val="00065AA8"/>
    <w:rsid w:val="00073C01"/>
    <w:rsid w:val="00076D02"/>
    <w:rsid w:val="000771EC"/>
    <w:rsid w:val="0007729A"/>
    <w:rsid w:val="000822AF"/>
    <w:rsid w:val="000845CF"/>
    <w:rsid w:val="00091BE2"/>
    <w:rsid w:val="0009590A"/>
    <w:rsid w:val="00097655"/>
    <w:rsid w:val="000A4BB8"/>
    <w:rsid w:val="000B2967"/>
    <w:rsid w:val="000B7D52"/>
    <w:rsid w:val="000C1A2C"/>
    <w:rsid w:val="000C1CB8"/>
    <w:rsid w:val="000C63F6"/>
    <w:rsid w:val="000D315A"/>
    <w:rsid w:val="000D723D"/>
    <w:rsid w:val="000E1F47"/>
    <w:rsid w:val="000F1A4C"/>
    <w:rsid w:val="000F2080"/>
    <w:rsid w:val="00100EFA"/>
    <w:rsid w:val="001028C7"/>
    <w:rsid w:val="00114753"/>
    <w:rsid w:val="001279F8"/>
    <w:rsid w:val="00130115"/>
    <w:rsid w:val="00133B2E"/>
    <w:rsid w:val="00141CC0"/>
    <w:rsid w:val="00147EB2"/>
    <w:rsid w:val="001538AF"/>
    <w:rsid w:val="0015798D"/>
    <w:rsid w:val="0016083A"/>
    <w:rsid w:val="00162D7E"/>
    <w:rsid w:val="00163A89"/>
    <w:rsid w:val="0017420F"/>
    <w:rsid w:val="0017444D"/>
    <w:rsid w:val="00177295"/>
    <w:rsid w:val="00182401"/>
    <w:rsid w:val="00184CD4"/>
    <w:rsid w:val="0018733E"/>
    <w:rsid w:val="00187E4D"/>
    <w:rsid w:val="00193607"/>
    <w:rsid w:val="00194AAB"/>
    <w:rsid w:val="001A4E04"/>
    <w:rsid w:val="001A513E"/>
    <w:rsid w:val="001A625A"/>
    <w:rsid w:val="001B5391"/>
    <w:rsid w:val="001B54C6"/>
    <w:rsid w:val="001C3AB8"/>
    <w:rsid w:val="001C451C"/>
    <w:rsid w:val="001C69AC"/>
    <w:rsid w:val="001D5D2F"/>
    <w:rsid w:val="001D7FC4"/>
    <w:rsid w:val="001E2965"/>
    <w:rsid w:val="001E2C98"/>
    <w:rsid w:val="001E45F4"/>
    <w:rsid w:val="001F04D7"/>
    <w:rsid w:val="001F22D9"/>
    <w:rsid w:val="002069DC"/>
    <w:rsid w:val="00207B5F"/>
    <w:rsid w:val="0021132C"/>
    <w:rsid w:val="002118F9"/>
    <w:rsid w:val="002143A9"/>
    <w:rsid w:val="002204F1"/>
    <w:rsid w:val="002249E2"/>
    <w:rsid w:val="00227182"/>
    <w:rsid w:val="00251D30"/>
    <w:rsid w:val="00272FA3"/>
    <w:rsid w:val="002768B1"/>
    <w:rsid w:val="00280A27"/>
    <w:rsid w:val="00286BBD"/>
    <w:rsid w:val="00286FD5"/>
    <w:rsid w:val="002901D4"/>
    <w:rsid w:val="002935A5"/>
    <w:rsid w:val="00293C53"/>
    <w:rsid w:val="0029452D"/>
    <w:rsid w:val="00295D53"/>
    <w:rsid w:val="002A2387"/>
    <w:rsid w:val="002A36B3"/>
    <w:rsid w:val="002B5F9A"/>
    <w:rsid w:val="002C0E68"/>
    <w:rsid w:val="002C144E"/>
    <w:rsid w:val="002D0E12"/>
    <w:rsid w:val="002E35DF"/>
    <w:rsid w:val="002F2593"/>
    <w:rsid w:val="002F2BB9"/>
    <w:rsid w:val="002F4F20"/>
    <w:rsid w:val="00306B8D"/>
    <w:rsid w:val="00322403"/>
    <w:rsid w:val="00323F2D"/>
    <w:rsid w:val="00325BE8"/>
    <w:rsid w:val="00325DAC"/>
    <w:rsid w:val="00325EC7"/>
    <w:rsid w:val="00326BBD"/>
    <w:rsid w:val="00333143"/>
    <w:rsid w:val="0034128D"/>
    <w:rsid w:val="00343189"/>
    <w:rsid w:val="00344BA4"/>
    <w:rsid w:val="00344F7F"/>
    <w:rsid w:val="00350F13"/>
    <w:rsid w:val="00352E95"/>
    <w:rsid w:val="003538C0"/>
    <w:rsid w:val="00362F1B"/>
    <w:rsid w:val="00365C74"/>
    <w:rsid w:val="00366251"/>
    <w:rsid w:val="00375C20"/>
    <w:rsid w:val="003763C4"/>
    <w:rsid w:val="00395074"/>
    <w:rsid w:val="00397467"/>
    <w:rsid w:val="00397AC8"/>
    <w:rsid w:val="003A07A2"/>
    <w:rsid w:val="003A0CA0"/>
    <w:rsid w:val="003A4BE7"/>
    <w:rsid w:val="003A5F9D"/>
    <w:rsid w:val="003B0F7A"/>
    <w:rsid w:val="003B6358"/>
    <w:rsid w:val="003C6073"/>
    <w:rsid w:val="003C6D90"/>
    <w:rsid w:val="003D0613"/>
    <w:rsid w:val="003E0DB9"/>
    <w:rsid w:val="003E1039"/>
    <w:rsid w:val="003E740D"/>
    <w:rsid w:val="003F13E1"/>
    <w:rsid w:val="003F1E19"/>
    <w:rsid w:val="003F25DF"/>
    <w:rsid w:val="003F2C71"/>
    <w:rsid w:val="003F51F5"/>
    <w:rsid w:val="003F5525"/>
    <w:rsid w:val="003F5D83"/>
    <w:rsid w:val="003F6149"/>
    <w:rsid w:val="00401F3F"/>
    <w:rsid w:val="00404B75"/>
    <w:rsid w:val="00410CBC"/>
    <w:rsid w:val="00412FDA"/>
    <w:rsid w:val="004215A9"/>
    <w:rsid w:val="00432DEC"/>
    <w:rsid w:val="00461F0E"/>
    <w:rsid w:val="004632FC"/>
    <w:rsid w:val="00464D92"/>
    <w:rsid w:val="00473E48"/>
    <w:rsid w:val="00474303"/>
    <w:rsid w:val="00474576"/>
    <w:rsid w:val="00476E32"/>
    <w:rsid w:val="0049107C"/>
    <w:rsid w:val="00491ECF"/>
    <w:rsid w:val="004925DE"/>
    <w:rsid w:val="004A420F"/>
    <w:rsid w:val="004A4DB0"/>
    <w:rsid w:val="004B1425"/>
    <w:rsid w:val="004C0EE6"/>
    <w:rsid w:val="004C1C32"/>
    <w:rsid w:val="004D1462"/>
    <w:rsid w:val="004D182D"/>
    <w:rsid w:val="004D25E4"/>
    <w:rsid w:val="004D7604"/>
    <w:rsid w:val="004E6D81"/>
    <w:rsid w:val="004E7133"/>
    <w:rsid w:val="004F01DE"/>
    <w:rsid w:val="00500AE0"/>
    <w:rsid w:val="0050317B"/>
    <w:rsid w:val="00503B90"/>
    <w:rsid w:val="00504EE4"/>
    <w:rsid w:val="00507D75"/>
    <w:rsid w:val="005115A8"/>
    <w:rsid w:val="00517AED"/>
    <w:rsid w:val="0052020A"/>
    <w:rsid w:val="0052331E"/>
    <w:rsid w:val="0052513D"/>
    <w:rsid w:val="00532C09"/>
    <w:rsid w:val="00544117"/>
    <w:rsid w:val="00562645"/>
    <w:rsid w:val="0056328B"/>
    <w:rsid w:val="005759CC"/>
    <w:rsid w:val="005766F6"/>
    <w:rsid w:val="00577DE1"/>
    <w:rsid w:val="00582E30"/>
    <w:rsid w:val="005859AA"/>
    <w:rsid w:val="0059058C"/>
    <w:rsid w:val="005926EF"/>
    <w:rsid w:val="00592837"/>
    <w:rsid w:val="00593D79"/>
    <w:rsid w:val="00596F57"/>
    <w:rsid w:val="005A47C4"/>
    <w:rsid w:val="005A5B9E"/>
    <w:rsid w:val="005A684C"/>
    <w:rsid w:val="005B37B7"/>
    <w:rsid w:val="005C3410"/>
    <w:rsid w:val="005E68E6"/>
    <w:rsid w:val="005F0742"/>
    <w:rsid w:val="005F07E8"/>
    <w:rsid w:val="005F10FC"/>
    <w:rsid w:val="005F2A19"/>
    <w:rsid w:val="005F2A6C"/>
    <w:rsid w:val="005F6E04"/>
    <w:rsid w:val="005F7220"/>
    <w:rsid w:val="00600A76"/>
    <w:rsid w:val="00606DA9"/>
    <w:rsid w:val="00610269"/>
    <w:rsid w:val="00624CE3"/>
    <w:rsid w:val="006267CB"/>
    <w:rsid w:val="00630B35"/>
    <w:rsid w:val="00640A9A"/>
    <w:rsid w:val="00644270"/>
    <w:rsid w:val="00653A9E"/>
    <w:rsid w:val="00653B6F"/>
    <w:rsid w:val="006638BB"/>
    <w:rsid w:val="00670C85"/>
    <w:rsid w:val="00671783"/>
    <w:rsid w:val="00680C27"/>
    <w:rsid w:val="00686C95"/>
    <w:rsid w:val="006903C3"/>
    <w:rsid w:val="006976FB"/>
    <w:rsid w:val="006A7240"/>
    <w:rsid w:val="006A7451"/>
    <w:rsid w:val="006B7889"/>
    <w:rsid w:val="006C14B2"/>
    <w:rsid w:val="006C38EA"/>
    <w:rsid w:val="006D753E"/>
    <w:rsid w:val="006E44EA"/>
    <w:rsid w:val="006F361F"/>
    <w:rsid w:val="006F47CC"/>
    <w:rsid w:val="006F6178"/>
    <w:rsid w:val="007023D4"/>
    <w:rsid w:val="00711DD9"/>
    <w:rsid w:val="00712306"/>
    <w:rsid w:val="007217F3"/>
    <w:rsid w:val="007251A9"/>
    <w:rsid w:val="00734827"/>
    <w:rsid w:val="00735ED6"/>
    <w:rsid w:val="007415AD"/>
    <w:rsid w:val="007444A3"/>
    <w:rsid w:val="007533F3"/>
    <w:rsid w:val="007546CB"/>
    <w:rsid w:val="00766A5A"/>
    <w:rsid w:val="0077673C"/>
    <w:rsid w:val="00784C78"/>
    <w:rsid w:val="0079090C"/>
    <w:rsid w:val="00796F12"/>
    <w:rsid w:val="00796FB5"/>
    <w:rsid w:val="007A4BF7"/>
    <w:rsid w:val="007A7FF5"/>
    <w:rsid w:val="007B448B"/>
    <w:rsid w:val="007C2409"/>
    <w:rsid w:val="007C2C08"/>
    <w:rsid w:val="007C3964"/>
    <w:rsid w:val="007D1DF0"/>
    <w:rsid w:val="007D2D96"/>
    <w:rsid w:val="007D4AA7"/>
    <w:rsid w:val="007E1CC9"/>
    <w:rsid w:val="007F1AA1"/>
    <w:rsid w:val="007F3740"/>
    <w:rsid w:val="007F541C"/>
    <w:rsid w:val="0080020C"/>
    <w:rsid w:val="00803F13"/>
    <w:rsid w:val="008041D8"/>
    <w:rsid w:val="00810EBF"/>
    <w:rsid w:val="00813C3D"/>
    <w:rsid w:val="00816F7A"/>
    <w:rsid w:val="00824F04"/>
    <w:rsid w:val="00831394"/>
    <w:rsid w:val="00832D00"/>
    <w:rsid w:val="00834EE8"/>
    <w:rsid w:val="00835AF8"/>
    <w:rsid w:val="008407BC"/>
    <w:rsid w:val="00851122"/>
    <w:rsid w:val="00872395"/>
    <w:rsid w:val="00872E78"/>
    <w:rsid w:val="0087380B"/>
    <w:rsid w:val="0088005D"/>
    <w:rsid w:val="00890EED"/>
    <w:rsid w:val="008A723F"/>
    <w:rsid w:val="008B0711"/>
    <w:rsid w:val="008B0771"/>
    <w:rsid w:val="008B4D5B"/>
    <w:rsid w:val="008C15E5"/>
    <w:rsid w:val="008C283C"/>
    <w:rsid w:val="008C5A5F"/>
    <w:rsid w:val="008C5D1F"/>
    <w:rsid w:val="008C770A"/>
    <w:rsid w:val="008C7CDB"/>
    <w:rsid w:val="008D6891"/>
    <w:rsid w:val="008D758D"/>
    <w:rsid w:val="008E0D72"/>
    <w:rsid w:val="008E21F0"/>
    <w:rsid w:val="008E39E1"/>
    <w:rsid w:val="008E6BBB"/>
    <w:rsid w:val="008E7027"/>
    <w:rsid w:val="008F04E3"/>
    <w:rsid w:val="008F1583"/>
    <w:rsid w:val="009003E3"/>
    <w:rsid w:val="00900E58"/>
    <w:rsid w:val="00904DBA"/>
    <w:rsid w:val="00914E40"/>
    <w:rsid w:val="00914E44"/>
    <w:rsid w:val="009164E0"/>
    <w:rsid w:val="00924217"/>
    <w:rsid w:val="00934B1C"/>
    <w:rsid w:val="0094249E"/>
    <w:rsid w:val="009471CF"/>
    <w:rsid w:val="00950937"/>
    <w:rsid w:val="00962915"/>
    <w:rsid w:val="009645AC"/>
    <w:rsid w:val="00970FB4"/>
    <w:rsid w:val="0097768E"/>
    <w:rsid w:val="00996A56"/>
    <w:rsid w:val="009973C8"/>
    <w:rsid w:val="009A3DFD"/>
    <w:rsid w:val="009B40EA"/>
    <w:rsid w:val="009C1B8B"/>
    <w:rsid w:val="009C7D5A"/>
    <w:rsid w:val="009E1D50"/>
    <w:rsid w:val="009F69FF"/>
    <w:rsid w:val="009F6E10"/>
    <w:rsid w:val="009F7A1E"/>
    <w:rsid w:val="00A011D8"/>
    <w:rsid w:val="00A133EA"/>
    <w:rsid w:val="00A13A75"/>
    <w:rsid w:val="00A22BBC"/>
    <w:rsid w:val="00A253C1"/>
    <w:rsid w:val="00A25F8F"/>
    <w:rsid w:val="00A446BF"/>
    <w:rsid w:val="00A44DE0"/>
    <w:rsid w:val="00A476BE"/>
    <w:rsid w:val="00A47DA7"/>
    <w:rsid w:val="00A50959"/>
    <w:rsid w:val="00A52189"/>
    <w:rsid w:val="00A52A10"/>
    <w:rsid w:val="00A54A0D"/>
    <w:rsid w:val="00A57631"/>
    <w:rsid w:val="00A61AAB"/>
    <w:rsid w:val="00A622C5"/>
    <w:rsid w:val="00A67864"/>
    <w:rsid w:val="00A70E00"/>
    <w:rsid w:val="00A8106A"/>
    <w:rsid w:val="00A84D8C"/>
    <w:rsid w:val="00A902BB"/>
    <w:rsid w:val="00A96423"/>
    <w:rsid w:val="00AA687B"/>
    <w:rsid w:val="00AC6CA7"/>
    <w:rsid w:val="00AD208A"/>
    <w:rsid w:val="00AD53F2"/>
    <w:rsid w:val="00AD569E"/>
    <w:rsid w:val="00AD6C24"/>
    <w:rsid w:val="00AD7D03"/>
    <w:rsid w:val="00B03B00"/>
    <w:rsid w:val="00B10E29"/>
    <w:rsid w:val="00B2677C"/>
    <w:rsid w:val="00B300FB"/>
    <w:rsid w:val="00B31E80"/>
    <w:rsid w:val="00B3482E"/>
    <w:rsid w:val="00B413B7"/>
    <w:rsid w:val="00B4686F"/>
    <w:rsid w:val="00B510A2"/>
    <w:rsid w:val="00B524AD"/>
    <w:rsid w:val="00B53BEA"/>
    <w:rsid w:val="00B56462"/>
    <w:rsid w:val="00B5784F"/>
    <w:rsid w:val="00B614B8"/>
    <w:rsid w:val="00B62605"/>
    <w:rsid w:val="00B65823"/>
    <w:rsid w:val="00B65ADD"/>
    <w:rsid w:val="00B65CE2"/>
    <w:rsid w:val="00B673D3"/>
    <w:rsid w:val="00B707BF"/>
    <w:rsid w:val="00B70FC9"/>
    <w:rsid w:val="00B80319"/>
    <w:rsid w:val="00B82DD1"/>
    <w:rsid w:val="00B90B7D"/>
    <w:rsid w:val="00B91F27"/>
    <w:rsid w:val="00BA5C71"/>
    <w:rsid w:val="00BA71AE"/>
    <w:rsid w:val="00BB0E0C"/>
    <w:rsid w:val="00BB4907"/>
    <w:rsid w:val="00BC0F8D"/>
    <w:rsid w:val="00BC770D"/>
    <w:rsid w:val="00BD1FA2"/>
    <w:rsid w:val="00BE3A2B"/>
    <w:rsid w:val="00BF40C5"/>
    <w:rsid w:val="00BF4AB7"/>
    <w:rsid w:val="00BF640D"/>
    <w:rsid w:val="00C008B5"/>
    <w:rsid w:val="00C01143"/>
    <w:rsid w:val="00C02584"/>
    <w:rsid w:val="00C25022"/>
    <w:rsid w:val="00C262E0"/>
    <w:rsid w:val="00C44388"/>
    <w:rsid w:val="00C454A5"/>
    <w:rsid w:val="00C609E7"/>
    <w:rsid w:val="00C60E7B"/>
    <w:rsid w:val="00C611C8"/>
    <w:rsid w:val="00C723EA"/>
    <w:rsid w:val="00C73A9B"/>
    <w:rsid w:val="00C73D74"/>
    <w:rsid w:val="00C741A7"/>
    <w:rsid w:val="00C824B0"/>
    <w:rsid w:val="00C83EC8"/>
    <w:rsid w:val="00C9463F"/>
    <w:rsid w:val="00C95505"/>
    <w:rsid w:val="00C977DB"/>
    <w:rsid w:val="00CA21AC"/>
    <w:rsid w:val="00CA476E"/>
    <w:rsid w:val="00CA4E0B"/>
    <w:rsid w:val="00CA6181"/>
    <w:rsid w:val="00CA7496"/>
    <w:rsid w:val="00CB1049"/>
    <w:rsid w:val="00CB67A9"/>
    <w:rsid w:val="00CC1203"/>
    <w:rsid w:val="00CC2716"/>
    <w:rsid w:val="00CC7453"/>
    <w:rsid w:val="00CD0433"/>
    <w:rsid w:val="00CD1A04"/>
    <w:rsid w:val="00CE0188"/>
    <w:rsid w:val="00CE1556"/>
    <w:rsid w:val="00CE66FF"/>
    <w:rsid w:val="00CF1871"/>
    <w:rsid w:val="00CF3867"/>
    <w:rsid w:val="00CF3E63"/>
    <w:rsid w:val="00CF4FAE"/>
    <w:rsid w:val="00D04FC4"/>
    <w:rsid w:val="00D052D6"/>
    <w:rsid w:val="00D11D3C"/>
    <w:rsid w:val="00D236CF"/>
    <w:rsid w:val="00D244BD"/>
    <w:rsid w:val="00D35C2A"/>
    <w:rsid w:val="00D411EF"/>
    <w:rsid w:val="00D4216E"/>
    <w:rsid w:val="00D42CA1"/>
    <w:rsid w:val="00D44B98"/>
    <w:rsid w:val="00D458E2"/>
    <w:rsid w:val="00D53DEB"/>
    <w:rsid w:val="00D55598"/>
    <w:rsid w:val="00D632E7"/>
    <w:rsid w:val="00D63EE2"/>
    <w:rsid w:val="00D66843"/>
    <w:rsid w:val="00D71C85"/>
    <w:rsid w:val="00D753DD"/>
    <w:rsid w:val="00D87ED3"/>
    <w:rsid w:val="00D90B80"/>
    <w:rsid w:val="00D9734D"/>
    <w:rsid w:val="00DA0C09"/>
    <w:rsid w:val="00DA2563"/>
    <w:rsid w:val="00DA4C94"/>
    <w:rsid w:val="00DB4126"/>
    <w:rsid w:val="00DC1CE2"/>
    <w:rsid w:val="00DC29F5"/>
    <w:rsid w:val="00DD0C40"/>
    <w:rsid w:val="00DD138E"/>
    <w:rsid w:val="00DD5A61"/>
    <w:rsid w:val="00DE4513"/>
    <w:rsid w:val="00DE5E66"/>
    <w:rsid w:val="00DE6F90"/>
    <w:rsid w:val="00DF044A"/>
    <w:rsid w:val="00DF2C0C"/>
    <w:rsid w:val="00DF59B6"/>
    <w:rsid w:val="00E00F5A"/>
    <w:rsid w:val="00E01341"/>
    <w:rsid w:val="00E01C9C"/>
    <w:rsid w:val="00E02DF8"/>
    <w:rsid w:val="00E11EA0"/>
    <w:rsid w:val="00E20DAB"/>
    <w:rsid w:val="00E24DB8"/>
    <w:rsid w:val="00E2531D"/>
    <w:rsid w:val="00E31315"/>
    <w:rsid w:val="00E34CC1"/>
    <w:rsid w:val="00E3503F"/>
    <w:rsid w:val="00E3577E"/>
    <w:rsid w:val="00E36A2E"/>
    <w:rsid w:val="00E40759"/>
    <w:rsid w:val="00E411E2"/>
    <w:rsid w:val="00E4330C"/>
    <w:rsid w:val="00E4358B"/>
    <w:rsid w:val="00E4411C"/>
    <w:rsid w:val="00E513F6"/>
    <w:rsid w:val="00E609CF"/>
    <w:rsid w:val="00E6523A"/>
    <w:rsid w:val="00E70997"/>
    <w:rsid w:val="00E73FF6"/>
    <w:rsid w:val="00E77C88"/>
    <w:rsid w:val="00E84DD6"/>
    <w:rsid w:val="00E9595A"/>
    <w:rsid w:val="00E95E41"/>
    <w:rsid w:val="00E97110"/>
    <w:rsid w:val="00EA0264"/>
    <w:rsid w:val="00EA2E21"/>
    <w:rsid w:val="00EA5B8D"/>
    <w:rsid w:val="00EB2154"/>
    <w:rsid w:val="00EB2EE9"/>
    <w:rsid w:val="00EB4377"/>
    <w:rsid w:val="00EB4E79"/>
    <w:rsid w:val="00EC4224"/>
    <w:rsid w:val="00EC497F"/>
    <w:rsid w:val="00EC752B"/>
    <w:rsid w:val="00EC796E"/>
    <w:rsid w:val="00EC7E33"/>
    <w:rsid w:val="00ED26A1"/>
    <w:rsid w:val="00ED33FE"/>
    <w:rsid w:val="00ED3CDD"/>
    <w:rsid w:val="00ED7A0E"/>
    <w:rsid w:val="00EE0BB4"/>
    <w:rsid w:val="00EE198E"/>
    <w:rsid w:val="00EF2FEA"/>
    <w:rsid w:val="00F0035E"/>
    <w:rsid w:val="00F02DE6"/>
    <w:rsid w:val="00F131C4"/>
    <w:rsid w:val="00F32333"/>
    <w:rsid w:val="00F40799"/>
    <w:rsid w:val="00F4394C"/>
    <w:rsid w:val="00F43B74"/>
    <w:rsid w:val="00F67EAC"/>
    <w:rsid w:val="00F700E8"/>
    <w:rsid w:val="00F71C7D"/>
    <w:rsid w:val="00F77FFD"/>
    <w:rsid w:val="00F84149"/>
    <w:rsid w:val="00F87D99"/>
    <w:rsid w:val="00F9119E"/>
    <w:rsid w:val="00F91332"/>
    <w:rsid w:val="00FA5988"/>
    <w:rsid w:val="00FA6C8D"/>
    <w:rsid w:val="00FB4333"/>
    <w:rsid w:val="00FC31B6"/>
    <w:rsid w:val="00FC379D"/>
    <w:rsid w:val="00FC561D"/>
    <w:rsid w:val="00FD524C"/>
    <w:rsid w:val="00FD70A5"/>
    <w:rsid w:val="00FE0FEC"/>
    <w:rsid w:val="00FE2028"/>
    <w:rsid w:val="00FE6403"/>
    <w:rsid w:val="00FE69A1"/>
    <w:rsid w:val="00FE6F90"/>
    <w:rsid w:val="00FF64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FF6EF6E"/>
  <w15:docId w15:val="{8251F747-8E3D-4CDD-B417-23D02055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5D1F"/>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8C5D1F"/>
    <w:pPr>
      <w:keepNext/>
      <w:spacing w:line="240" w:lineRule="exact"/>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C5D1F"/>
    <w:rPr>
      <w:rFonts w:ascii="Times New Roman" w:eastAsia="Times New Roman" w:hAnsi="Times New Roman" w:cs="Times New Roman"/>
      <w:sz w:val="24"/>
      <w:szCs w:val="20"/>
    </w:rPr>
  </w:style>
  <w:style w:type="paragraph" w:styleId="Header">
    <w:name w:val="header"/>
    <w:basedOn w:val="Normal"/>
    <w:link w:val="HeaderChar"/>
    <w:rsid w:val="008C5D1F"/>
    <w:pPr>
      <w:tabs>
        <w:tab w:val="center" w:pos="4320"/>
        <w:tab w:val="right" w:pos="8640"/>
      </w:tabs>
    </w:pPr>
  </w:style>
  <w:style w:type="character" w:customStyle="1" w:styleId="HeaderChar">
    <w:name w:val="Header Char"/>
    <w:basedOn w:val="DefaultParagraphFont"/>
    <w:link w:val="Header"/>
    <w:rsid w:val="008C5D1F"/>
    <w:rPr>
      <w:rFonts w:ascii="Times New Roman" w:eastAsia="Times New Roman" w:hAnsi="Times New Roman" w:cs="Times New Roman"/>
      <w:sz w:val="24"/>
      <w:szCs w:val="20"/>
    </w:rPr>
  </w:style>
  <w:style w:type="paragraph" w:styleId="BodyText">
    <w:name w:val="Body Text"/>
    <w:basedOn w:val="Normal"/>
    <w:link w:val="BodyTextChar"/>
    <w:rsid w:val="008C5D1F"/>
  </w:style>
  <w:style w:type="character" w:customStyle="1" w:styleId="BodyTextChar">
    <w:name w:val="Body Text Char"/>
    <w:basedOn w:val="DefaultParagraphFont"/>
    <w:link w:val="BodyText"/>
    <w:rsid w:val="008C5D1F"/>
    <w:rPr>
      <w:rFonts w:ascii="Times New Roman" w:eastAsia="Times New Roman" w:hAnsi="Times New Roman" w:cs="Times New Roman"/>
      <w:sz w:val="24"/>
      <w:szCs w:val="20"/>
    </w:rPr>
  </w:style>
  <w:style w:type="paragraph" w:styleId="BodyTextIndent">
    <w:name w:val="Body Text Indent"/>
    <w:basedOn w:val="Normal"/>
    <w:link w:val="BodyTextIndentChar"/>
    <w:rsid w:val="008C5D1F"/>
    <w:pPr>
      <w:spacing w:after="120"/>
      <w:ind w:left="360"/>
    </w:pPr>
  </w:style>
  <w:style w:type="character" w:customStyle="1" w:styleId="BodyTextIndentChar">
    <w:name w:val="Body Text Indent Char"/>
    <w:basedOn w:val="DefaultParagraphFont"/>
    <w:link w:val="BodyTextIndent"/>
    <w:rsid w:val="008C5D1F"/>
    <w:rPr>
      <w:rFonts w:ascii="Times New Roman" w:eastAsia="Times New Roman" w:hAnsi="Times New Roman" w:cs="Times New Roman"/>
      <w:sz w:val="24"/>
      <w:szCs w:val="20"/>
    </w:rPr>
  </w:style>
  <w:style w:type="character" w:styleId="Hyperlink">
    <w:name w:val="Hyperlink"/>
    <w:basedOn w:val="DefaultParagraphFont"/>
    <w:uiPriority w:val="99"/>
    <w:rsid w:val="007023D4"/>
    <w:rPr>
      <w:color w:val="0000FF"/>
      <w:u w:val="single"/>
    </w:rPr>
  </w:style>
  <w:style w:type="paragraph" w:styleId="BalloonText">
    <w:name w:val="Balloon Text"/>
    <w:basedOn w:val="Normal"/>
    <w:link w:val="BalloonTextChar"/>
    <w:uiPriority w:val="99"/>
    <w:semiHidden/>
    <w:unhideWhenUsed/>
    <w:rsid w:val="00ED33FE"/>
    <w:rPr>
      <w:rFonts w:ascii="Tahoma" w:hAnsi="Tahoma" w:cs="Tahoma"/>
      <w:sz w:val="16"/>
      <w:szCs w:val="16"/>
    </w:rPr>
  </w:style>
  <w:style w:type="character" w:customStyle="1" w:styleId="BalloonTextChar">
    <w:name w:val="Balloon Text Char"/>
    <w:basedOn w:val="DefaultParagraphFont"/>
    <w:link w:val="BalloonText"/>
    <w:uiPriority w:val="99"/>
    <w:semiHidden/>
    <w:rsid w:val="00ED33F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F3867"/>
    <w:rPr>
      <w:sz w:val="16"/>
      <w:szCs w:val="16"/>
    </w:rPr>
  </w:style>
  <w:style w:type="paragraph" w:styleId="CommentText">
    <w:name w:val="annotation text"/>
    <w:basedOn w:val="Normal"/>
    <w:link w:val="CommentTextChar"/>
    <w:uiPriority w:val="99"/>
    <w:unhideWhenUsed/>
    <w:rsid w:val="00CF3867"/>
    <w:rPr>
      <w:sz w:val="20"/>
    </w:rPr>
  </w:style>
  <w:style w:type="character" w:customStyle="1" w:styleId="CommentTextChar">
    <w:name w:val="Comment Text Char"/>
    <w:basedOn w:val="DefaultParagraphFont"/>
    <w:link w:val="CommentText"/>
    <w:uiPriority w:val="99"/>
    <w:rsid w:val="00CF38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867"/>
    <w:rPr>
      <w:b/>
      <w:bCs/>
    </w:rPr>
  </w:style>
  <w:style w:type="character" w:customStyle="1" w:styleId="CommentSubjectChar">
    <w:name w:val="Comment Subject Char"/>
    <w:basedOn w:val="CommentTextChar"/>
    <w:link w:val="CommentSubject"/>
    <w:uiPriority w:val="99"/>
    <w:semiHidden/>
    <w:rsid w:val="00CF386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F04D7"/>
    <w:rPr>
      <w:color w:val="800080" w:themeColor="followedHyperlink"/>
      <w:u w:val="single"/>
    </w:rPr>
  </w:style>
  <w:style w:type="paragraph" w:styleId="ListParagraph">
    <w:name w:val="List Paragraph"/>
    <w:basedOn w:val="Normal"/>
    <w:uiPriority w:val="34"/>
    <w:qFormat/>
    <w:rsid w:val="00532C09"/>
    <w:pPr>
      <w:ind w:left="720"/>
      <w:contextualSpacing/>
    </w:pPr>
  </w:style>
  <w:style w:type="paragraph" w:styleId="FootnoteText">
    <w:name w:val="footnote text"/>
    <w:basedOn w:val="Normal"/>
    <w:link w:val="FootnoteTextChar"/>
    <w:uiPriority w:val="99"/>
    <w:semiHidden/>
    <w:unhideWhenUsed/>
    <w:rsid w:val="00996A56"/>
    <w:rPr>
      <w:sz w:val="20"/>
    </w:rPr>
  </w:style>
  <w:style w:type="character" w:customStyle="1" w:styleId="FootnoteTextChar">
    <w:name w:val="Footnote Text Char"/>
    <w:basedOn w:val="DefaultParagraphFont"/>
    <w:link w:val="FootnoteText"/>
    <w:uiPriority w:val="99"/>
    <w:semiHidden/>
    <w:rsid w:val="00996A5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A56"/>
    <w:rPr>
      <w:vertAlign w:val="superscript"/>
    </w:rPr>
  </w:style>
  <w:style w:type="paragraph" w:styleId="Footer">
    <w:name w:val="footer"/>
    <w:basedOn w:val="Normal"/>
    <w:link w:val="FooterChar"/>
    <w:uiPriority w:val="99"/>
    <w:unhideWhenUsed/>
    <w:rsid w:val="00DD5A61"/>
    <w:pPr>
      <w:tabs>
        <w:tab w:val="center" w:pos="4680"/>
        <w:tab w:val="right" w:pos="9360"/>
      </w:tabs>
    </w:pPr>
  </w:style>
  <w:style w:type="character" w:customStyle="1" w:styleId="FooterChar">
    <w:name w:val="Footer Char"/>
    <w:basedOn w:val="DefaultParagraphFont"/>
    <w:link w:val="Footer"/>
    <w:uiPriority w:val="99"/>
    <w:rsid w:val="00DD5A61"/>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8F1583"/>
    <w:rPr>
      <w:rFonts w:ascii="Calibri" w:hAnsi="Calibri" w:eastAsiaTheme="minorHAnsi" w:cs="Consolas"/>
      <w:sz w:val="22"/>
      <w:szCs w:val="21"/>
    </w:rPr>
  </w:style>
  <w:style w:type="character" w:customStyle="1" w:styleId="PlainTextChar">
    <w:name w:val="Plain Text Char"/>
    <w:basedOn w:val="DefaultParagraphFont"/>
    <w:link w:val="PlainText"/>
    <w:uiPriority w:val="99"/>
    <w:semiHidden/>
    <w:rsid w:val="008F1583"/>
    <w:rPr>
      <w:rFonts w:ascii="Calibri" w:hAnsi="Calibri" w:cs="Consolas"/>
      <w:szCs w:val="21"/>
    </w:rPr>
  </w:style>
  <w:style w:type="paragraph" w:styleId="NoSpacing">
    <w:name w:val="No Spacing"/>
    <w:uiPriority w:val="1"/>
    <w:qFormat/>
    <w:rsid w:val="00C01143"/>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712306"/>
    <w:rPr>
      <w:color w:val="605E5C"/>
      <w:shd w:val="clear" w:color="auto" w:fill="E1DFDD"/>
    </w:rPr>
  </w:style>
  <w:style w:type="paragraph" w:styleId="Revision">
    <w:name w:val="Revision"/>
    <w:hidden/>
    <w:uiPriority w:val="99"/>
    <w:semiHidden/>
    <w:rsid w:val="000262B9"/>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924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USCODE-2020-title29/pdf/USCODE-2020-title29-chap1-subchapI-sec2.pdf" TargetMode="External" /><Relationship Id="rId6" Type="http://schemas.openxmlformats.org/officeDocument/2006/relationships/hyperlink" Target="https://www.bls.gov/cpi/research-series/r-cpi-e-home.htm" TargetMode="External" /><Relationship Id="rId7" Type="http://schemas.openxmlformats.org/officeDocument/2006/relationships/hyperlink" Target="https://data.bls.gov/timeseries/CMU1020000000000D" TargetMode="External" /><Relationship Id="rId8" Type="http://schemas.openxmlformats.org/officeDocument/2006/relationships/hyperlink" Target="https://www.bls.gov/cpi/tables/supplemental-files/home.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ADF6-3F7B-48D6-9C14-5BD65F81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CAMPBELL_L</dc:creator>
  <cp:lastModifiedBy>Sirois, Tod - BLS</cp:lastModifiedBy>
  <cp:revision>4</cp:revision>
  <cp:lastPrinted>2015-08-27T18:54:00Z</cp:lastPrinted>
  <dcterms:created xsi:type="dcterms:W3CDTF">2025-02-14T21:27:00Z</dcterms:created>
  <dcterms:modified xsi:type="dcterms:W3CDTF">2025-02-25T13:21:00Z</dcterms:modified>
</cp:coreProperties>
</file>