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2C4F75" w14:paraId="301B8F78" w14:textId="77777777">
      <w:pPr>
        <w:jc w:val="center"/>
        <w:rPr>
          <w:rFonts w:ascii="Arial" w:hAnsi="Arial" w:cs="Arial"/>
          <w:b/>
        </w:rPr>
      </w:pPr>
    </w:p>
    <w:p w:rsidR="002C4F75" w:rsidRPr="002C4F75" w:rsidP="002C4F75" w14:paraId="2C5BABF6" w14:textId="77777777">
      <w:pPr>
        <w:pStyle w:val="ReportCover-Title"/>
        <w:rPr>
          <w:rFonts w:ascii="Arial" w:hAnsi="Arial" w:cs="Arial"/>
          <w:color w:val="auto"/>
        </w:rPr>
      </w:pPr>
    </w:p>
    <w:p w:rsidR="00103319" w:rsidP="00103319" w14:paraId="7641A40B" w14:textId="77777777">
      <w:pPr>
        <w:pStyle w:val="ReportCover-Title"/>
        <w:jc w:val="center"/>
        <w:rPr>
          <w:rFonts w:ascii="Arial" w:eastAsia="Arial Unicode MS" w:hAnsi="Arial" w:cs="Arial"/>
          <w:noProof/>
          <w:color w:val="auto"/>
        </w:rPr>
      </w:pPr>
      <w:bookmarkStart w:id="0" w:name="_Hlk145930776"/>
      <w:r>
        <w:rPr>
          <w:rFonts w:ascii="Arial" w:eastAsia="Arial Unicode MS" w:hAnsi="Arial" w:cs="Arial"/>
          <w:noProof/>
          <w:color w:val="auto"/>
        </w:rPr>
        <w:t xml:space="preserve">This is a generic Information Collection to add to the umbrella Information Collection Request (ICR) for OMB Control Number 1290 – 0043. </w:t>
      </w:r>
      <w:bookmarkEnd w:id="0"/>
    </w:p>
    <w:p w:rsidR="00103319" w:rsidP="002C4F75" w14:paraId="568A3982" w14:textId="77777777">
      <w:pPr>
        <w:pStyle w:val="ReportCover-Title"/>
        <w:jc w:val="center"/>
        <w:rPr>
          <w:rFonts w:ascii="Arial" w:eastAsia="Arial Unicode MS" w:hAnsi="Arial" w:cs="Arial"/>
          <w:noProof/>
          <w:color w:val="auto"/>
        </w:rPr>
      </w:pPr>
    </w:p>
    <w:p w:rsidR="002C4F75" w:rsidRPr="00100621" w:rsidP="002C4F75" w14:paraId="53E0CD24" w14:textId="524FB2C6">
      <w:pPr>
        <w:pStyle w:val="ReportCover-Title"/>
        <w:jc w:val="center"/>
        <w:rPr>
          <w:rFonts w:ascii="Arial" w:hAnsi="Arial" w:cs="Arial"/>
          <w:color w:val="auto"/>
          <w:sz w:val="32"/>
          <w:szCs w:val="32"/>
        </w:rPr>
      </w:pPr>
      <w:r w:rsidRPr="00100621">
        <w:rPr>
          <w:rFonts w:ascii="Arial" w:eastAsia="Arial Unicode MS" w:hAnsi="Arial" w:cs="Arial"/>
          <w:noProof/>
          <w:color w:val="auto"/>
          <w:sz w:val="32"/>
          <w:szCs w:val="32"/>
        </w:rPr>
        <w:t>National Worker Survey</w:t>
      </w:r>
    </w:p>
    <w:p w:rsidR="002C4F75" w:rsidRPr="002C4F75" w:rsidP="002C4F75" w14:paraId="722AB092" w14:textId="77777777">
      <w:pPr>
        <w:pStyle w:val="ReportCover-Title"/>
        <w:rPr>
          <w:rFonts w:ascii="Arial" w:hAnsi="Arial" w:cs="Arial"/>
          <w:color w:val="auto"/>
        </w:rPr>
      </w:pPr>
    </w:p>
    <w:p w:rsidR="002C4F75" w:rsidRPr="002C4F75" w:rsidP="002C4F75" w14:paraId="6AC4D0B7" w14:textId="77777777">
      <w:pPr>
        <w:pStyle w:val="ReportCover-Title"/>
        <w:rPr>
          <w:rFonts w:ascii="Arial" w:hAnsi="Arial" w:cs="Arial"/>
          <w:color w:val="auto"/>
        </w:rPr>
      </w:pPr>
    </w:p>
    <w:p w:rsidR="002C4F75" w:rsidRPr="008167FD" w:rsidP="002C4F75" w14:paraId="1B87EA1A" w14:textId="61D2B671">
      <w:pPr>
        <w:pStyle w:val="ReportCover-Title"/>
        <w:jc w:val="center"/>
        <w:rPr>
          <w:rFonts w:ascii="Arial" w:hAnsi="Arial" w:cs="Arial"/>
          <w:color w:val="auto"/>
          <w:sz w:val="32"/>
          <w:szCs w:val="32"/>
        </w:rPr>
      </w:pPr>
      <w:r>
        <w:rPr>
          <w:rFonts w:ascii="Arial" w:hAnsi="Arial" w:cs="Arial"/>
          <w:color w:val="auto"/>
          <w:sz w:val="32"/>
          <w:szCs w:val="32"/>
        </w:rPr>
        <w:t>Cognitive Interview</w:t>
      </w:r>
      <w:r w:rsidRPr="008167FD" w:rsidR="00237BAA">
        <w:rPr>
          <w:rFonts w:ascii="Arial" w:hAnsi="Arial" w:cs="Arial"/>
          <w:color w:val="auto"/>
          <w:sz w:val="32"/>
          <w:szCs w:val="32"/>
        </w:rPr>
        <w:t xml:space="preserve"> Data Collections for </w:t>
      </w:r>
      <w:r w:rsidRPr="008167FD" w:rsidR="008C6472">
        <w:rPr>
          <w:rFonts w:ascii="Arial" w:hAnsi="Arial" w:cs="Arial"/>
          <w:color w:val="auto"/>
          <w:sz w:val="32"/>
          <w:szCs w:val="32"/>
        </w:rPr>
        <w:t>DOL</w:t>
      </w:r>
      <w:r w:rsidRPr="008167FD" w:rsidR="00237BAA">
        <w:rPr>
          <w:rFonts w:ascii="Arial" w:hAnsi="Arial" w:cs="Arial"/>
          <w:color w:val="auto"/>
          <w:sz w:val="32"/>
          <w:szCs w:val="32"/>
        </w:rPr>
        <w:t xml:space="preserve"> Research</w:t>
      </w:r>
    </w:p>
    <w:p w:rsidR="006D2637" w:rsidRPr="002C4F75" w:rsidP="002C4F75" w14:paraId="482CB765" w14:textId="77777777">
      <w:pPr>
        <w:pStyle w:val="ReportCover-Title"/>
        <w:jc w:val="center"/>
        <w:rPr>
          <w:rFonts w:ascii="Arial" w:hAnsi="Arial" w:cs="Arial"/>
          <w:color w:val="auto"/>
          <w:sz w:val="32"/>
          <w:szCs w:val="32"/>
        </w:rPr>
      </w:pPr>
    </w:p>
    <w:p w:rsidR="002C4F75" w:rsidRPr="002C4F75" w:rsidP="002C4F75" w14:paraId="76847042" w14:textId="03550D47">
      <w:pPr>
        <w:pStyle w:val="ReportCover-Title"/>
        <w:jc w:val="center"/>
        <w:rPr>
          <w:rFonts w:ascii="Arial" w:hAnsi="Arial" w:cs="Arial"/>
          <w:color w:val="auto"/>
          <w:sz w:val="32"/>
          <w:szCs w:val="32"/>
        </w:rPr>
      </w:pPr>
      <w:r w:rsidRPr="00100621">
        <w:rPr>
          <w:rFonts w:ascii="Arial" w:hAnsi="Arial" w:cs="Arial"/>
          <w:color w:val="auto"/>
          <w:sz w:val="32"/>
          <w:szCs w:val="32"/>
        </w:rPr>
        <w:t xml:space="preserve">1290 - </w:t>
      </w:r>
      <w:r w:rsidRPr="00100621" w:rsidR="00A36901">
        <w:rPr>
          <w:rFonts w:ascii="Arial" w:hAnsi="Arial" w:cs="Arial"/>
          <w:color w:val="auto"/>
          <w:sz w:val="32"/>
          <w:szCs w:val="32"/>
        </w:rPr>
        <w:t>0043</w:t>
      </w:r>
    </w:p>
    <w:p w:rsidR="002C4F75" w:rsidRPr="002C4F75" w:rsidP="002C4F75" w14:paraId="51D39A9F" w14:textId="77777777">
      <w:pPr>
        <w:rPr>
          <w:rFonts w:ascii="Arial" w:hAnsi="Arial" w:cs="Arial"/>
          <w:szCs w:val="22"/>
        </w:rPr>
      </w:pPr>
    </w:p>
    <w:p w:rsidR="002C4F75" w:rsidRPr="002C4F75" w:rsidP="002C4F75" w14:paraId="3DDFAF56" w14:textId="77777777">
      <w:pPr>
        <w:pStyle w:val="ReportCover-Date"/>
        <w:jc w:val="center"/>
        <w:rPr>
          <w:rFonts w:ascii="Arial" w:hAnsi="Arial" w:cs="Arial"/>
          <w:color w:val="auto"/>
        </w:rPr>
      </w:pPr>
    </w:p>
    <w:p w:rsidR="002C4F75" w:rsidRPr="002C4F75" w:rsidP="002C4F75" w14:paraId="49564D75"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2C4F75" w14:paraId="0EE66BD5"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p>
    <w:p w:rsidR="00104C75" w:rsidP="00104C75" w14:paraId="38C37431" w14:textId="32646ECB">
      <w:pPr>
        <w:pStyle w:val="ReportCover-Date"/>
        <w:jc w:val="center"/>
        <w:rPr>
          <w:rFonts w:ascii="Arial" w:hAnsi="Arial" w:cs="Arial"/>
          <w:color w:val="auto"/>
        </w:rPr>
      </w:pPr>
      <w:r>
        <w:rPr>
          <w:rFonts w:ascii="Arial" w:hAnsi="Arial" w:cs="Arial"/>
          <w:color w:val="auto"/>
        </w:rPr>
        <w:t xml:space="preserve">March </w:t>
      </w:r>
      <w:r w:rsidR="003255AE">
        <w:rPr>
          <w:rFonts w:ascii="Arial" w:hAnsi="Arial" w:cs="Arial"/>
          <w:color w:val="auto"/>
        </w:rPr>
        <w:t>2024</w:t>
      </w:r>
    </w:p>
    <w:p w:rsidR="00524B6D" w:rsidRPr="006B2E56" w:rsidP="00524B6D" w14:paraId="534AB1A5" w14:textId="77777777">
      <w:pPr>
        <w:jc w:val="center"/>
        <w:rPr>
          <w:rFonts w:ascii="Arial" w:hAnsi="Arial" w:cs="Arial"/>
          <w:b/>
        </w:rPr>
      </w:pPr>
      <w:r w:rsidRPr="006B2E56">
        <w:rPr>
          <w:rFonts w:ascii="Arial" w:hAnsi="Arial" w:cs="Arial"/>
          <w:b/>
        </w:rPr>
        <w:t>Submitted By:</w:t>
      </w:r>
    </w:p>
    <w:p w:rsidR="00524B6D" w:rsidRPr="008813EA" w:rsidP="00524B6D" w14:paraId="738DDADC" w14:textId="77777777">
      <w:pPr>
        <w:jc w:val="center"/>
        <w:rPr>
          <w:rFonts w:ascii="Arial" w:hAnsi="Arial" w:cs="Arial"/>
        </w:rPr>
      </w:pPr>
      <w:r>
        <w:rPr>
          <w:rFonts w:ascii="Arial" w:hAnsi="Arial" w:cs="Arial"/>
        </w:rPr>
        <w:t>Chief Evaluation Office</w:t>
      </w:r>
      <w:r>
        <w:rPr>
          <w:rFonts w:ascii="Arial" w:hAnsi="Arial" w:cs="Arial"/>
        </w:rPr>
        <w:br/>
        <w:t>U.S. Department of Labor</w:t>
      </w:r>
      <w:r>
        <w:rPr>
          <w:rFonts w:ascii="Arial" w:hAnsi="Arial" w:cs="Arial"/>
        </w:rPr>
        <w:br/>
        <w:t>200 Constitution Ave NW</w:t>
      </w:r>
      <w:r>
        <w:rPr>
          <w:rFonts w:ascii="Arial" w:hAnsi="Arial" w:cs="Arial"/>
        </w:rPr>
        <w:br/>
        <w:t>Room S-4307</w:t>
      </w:r>
      <w:r>
        <w:rPr>
          <w:rFonts w:ascii="Arial" w:hAnsi="Arial" w:cs="Arial"/>
        </w:rPr>
        <w:br/>
        <w:t>Washington, DC 20210</w:t>
      </w:r>
    </w:p>
    <w:p w:rsidR="00524B6D" w:rsidRPr="00470FD6" w:rsidP="00524B6D" w14:paraId="2412148C" w14:textId="77777777">
      <w:pPr>
        <w:jc w:val="center"/>
        <w:rPr>
          <w:rFonts w:ascii="Arial" w:hAnsi="Arial" w:cs="Arial"/>
          <w:b/>
          <w:bCs/>
        </w:rPr>
      </w:pPr>
      <w:r w:rsidRPr="00470FD6">
        <w:rPr>
          <w:rFonts w:ascii="Arial" w:hAnsi="Arial" w:cs="Arial"/>
          <w:b/>
          <w:bCs/>
        </w:rPr>
        <w:t>Project Officer:</w:t>
      </w:r>
    </w:p>
    <w:p w:rsidR="00524B6D" w:rsidP="00524B6D" w14:paraId="64AB049E" w14:textId="2CD0ADA0">
      <w:pPr>
        <w:jc w:val="center"/>
        <w:rPr>
          <w:rFonts w:ascii="Arial" w:hAnsi="Arial" w:cs="Arial"/>
        </w:rPr>
      </w:pPr>
      <w:bookmarkStart w:id="1" w:name="_Hlk105773286"/>
      <w:r>
        <w:rPr>
          <w:rFonts w:ascii="Arial" w:hAnsi="Arial" w:cs="Arial"/>
        </w:rPr>
        <w:t>Kacie Chang</w:t>
      </w:r>
    </w:p>
    <w:bookmarkEnd w:id="1"/>
    <w:p w:rsidR="00524B6D" w:rsidP="00104C75" w14:paraId="3186A2AC" w14:textId="77777777">
      <w:pPr>
        <w:pStyle w:val="ReportCover-Date"/>
        <w:jc w:val="center"/>
        <w:rPr>
          <w:rFonts w:ascii="Arial" w:hAnsi="Arial" w:cs="Arial"/>
          <w:color w:val="auto"/>
        </w:rPr>
      </w:pPr>
    </w:p>
    <w:p w:rsidR="00945CD6" w:rsidRPr="000D53DF" w:rsidP="00436F5E" w14:paraId="06DC6A97" w14:textId="2EEB2E2C">
      <w:pPr>
        <w:spacing w:after="120"/>
        <w:rPr>
          <w:b/>
        </w:rPr>
      </w:pPr>
      <w:r>
        <w:rPr>
          <w:rFonts w:ascii="Arial" w:hAnsi="Arial" w:cs="Arial"/>
        </w:rPr>
        <w:br w:type="page"/>
      </w:r>
      <w:r w:rsidRPr="000D53DF" w:rsidR="00237BAA">
        <w:rPr>
          <w:b/>
        </w:rPr>
        <w:t>A1. Necessity for the Data Collection</w:t>
      </w:r>
    </w:p>
    <w:p w:rsidR="001E1C6D" w:rsidP="00436F5E" w14:paraId="6E7E0E2C" w14:textId="63491C67">
      <w:pPr>
        <w:shd w:val="clear" w:color="auto" w:fill="D9D9D9"/>
      </w:pPr>
      <w:r>
        <w:t xml:space="preserve">The Chief Evaluation Office (CEO) at the U.S. Department of Labor (DOL) seeks approval for </w:t>
      </w:r>
      <w:r w:rsidRPr="060E1DFF">
        <w:t xml:space="preserve">conducting </w:t>
      </w:r>
      <w:r>
        <w:t>cognitive interviews</w:t>
      </w:r>
      <w:r w:rsidR="003E3841">
        <w:t xml:space="preserve"> (also known as cognitive tests)</w:t>
      </w:r>
      <w:r>
        <w:t xml:space="preserve"> to make sure the questions in the Worker Survey are easy to understand and answer and understood consistently across participants.</w:t>
      </w:r>
      <w:r w:rsidR="003E3841">
        <w:t xml:space="preserve"> </w:t>
      </w:r>
      <w:r w:rsidR="001B5C18">
        <w:t xml:space="preserve">Cognitive interviews with a large sample (i.e., more than nine individuals) of demographically diverse respondents will help </w:t>
      </w:r>
      <w:r>
        <w:t>CEO</w:t>
      </w:r>
      <w:r w:rsidR="001B5C18">
        <w:t xml:space="preserve"> ensure that the wording and concepts presented in </w:t>
      </w:r>
      <w:r w:rsidR="00E23706">
        <w:t xml:space="preserve">the </w:t>
      </w:r>
      <w:r w:rsidR="001B5C18">
        <w:t>questionnaire are unambiguous, comprehensible, and understood by a variety of individuals from different backgrounds and subgroups of interest (e.g., of different industries</w:t>
      </w:r>
      <w:r>
        <w:t>/occupations</w:t>
      </w:r>
      <w:r w:rsidR="001B5C18">
        <w:t xml:space="preserve"> and pay types such as hourly</w:t>
      </w:r>
      <w:r w:rsidR="00E23706">
        <w:t xml:space="preserve"> workers</w:t>
      </w:r>
      <w:r w:rsidR="001B5C18">
        <w:t>, salar</w:t>
      </w:r>
      <w:r w:rsidR="00E23706">
        <w:t>ied workers</w:t>
      </w:r>
      <w:r w:rsidR="001B5C18">
        <w:t>, and</w:t>
      </w:r>
      <w:r w:rsidR="00E23706">
        <w:t xml:space="preserve"> workers</w:t>
      </w:r>
      <w:r w:rsidR="001B5C18">
        <w:t xml:space="preserve"> </w:t>
      </w:r>
      <w:r>
        <w:t xml:space="preserve">paid </w:t>
      </w:r>
      <w:r w:rsidR="001B5C18">
        <w:t xml:space="preserve">by the piece or job). </w:t>
      </w:r>
      <w:r w:rsidR="003E3841">
        <w:t>This is an essential step in the development of the instrumen</w:t>
      </w:r>
      <w:r w:rsidR="00EB4378">
        <w:t>t</w:t>
      </w:r>
      <w:r w:rsidR="003E3841">
        <w:t>.</w:t>
      </w:r>
    </w:p>
    <w:p w:rsidR="007E7817" w:rsidP="00436F5E" w14:paraId="45508F6F" w14:textId="77777777">
      <w:pPr>
        <w:shd w:val="clear" w:color="auto" w:fill="D9D9D9"/>
      </w:pPr>
    </w:p>
    <w:p w:rsidR="006D2637" w:rsidRPr="00134CA9" w:rsidP="00436F5E" w14:paraId="501037C2" w14:textId="2171A9FA">
      <w:pPr>
        <w:pStyle w:val="Heading4"/>
        <w:numPr>
          <w:ilvl w:val="3"/>
          <w:numId w:val="0"/>
        </w:numPr>
        <w:tabs>
          <w:tab w:val="num" w:pos="180"/>
        </w:tabs>
        <w:spacing w:before="60" w:line="264" w:lineRule="auto"/>
        <w:rPr>
          <w:rFonts w:ascii="Times New Roman" w:hAnsi="Times New Roman"/>
          <w:b w:val="0"/>
          <w:sz w:val="24"/>
          <w:szCs w:val="24"/>
        </w:rPr>
      </w:pPr>
      <w:r w:rsidRPr="00134CA9">
        <w:rPr>
          <w:rFonts w:ascii="Times New Roman" w:hAnsi="Times New Roman"/>
          <w:b w:val="0"/>
          <w:sz w:val="24"/>
          <w:szCs w:val="24"/>
        </w:rPr>
        <w:t xml:space="preserve">This proposed information collection </w:t>
      </w:r>
      <w:r w:rsidRPr="00134CA9" w:rsidR="008C6472">
        <w:rPr>
          <w:rFonts w:ascii="Times New Roman" w:hAnsi="Times New Roman"/>
          <w:b w:val="0"/>
          <w:sz w:val="24"/>
          <w:szCs w:val="24"/>
        </w:rPr>
        <w:t>meets the following goals of DOL</w:t>
      </w:r>
      <w:r w:rsidRPr="00134CA9">
        <w:rPr>
          <w:rFonts w:ascii="Times New Roman" w:hAnsi="Times New Roman"/>
          <w:b w:val="0"/>
          <w:sz w:val="24"/>
          <w:szCs w:val="24"/>
        </w:rPr>
        <w:t xml:space="preserve">’s generic clearance </w:t>
      </w:r>
      <w:r w:rsidRPr="001E1C6D">
        <w:rPr>
          <w:rFonts w:ascii="Times New Roman" w:hAnsi="Times New Roman"/>
          <w:b w:val="0"/>
          <w:sz w:val="24"/>
          <w:szCs w:val="24"/>
        </w:rPr>
        <w:t>f</w:t>
      </w:r>
      <w:r w:rsidRPr="00DA6141">
        <w:rPr>
          <w:rFonts w:ascii="Times New Roman" w:hAnsi="Times New Roman"/>
          <w:b w:val="0"/>
          <w:sz w:val="24"/>
          <w:szCs w:val="24"/>
        </w:rPr>
        <w:t xml:space="preserve">or </w:t>
      </w:r>
      <w:r w:rsidRPr="00DA6141" w:rsidR="008C6472">
        <w:rPr>
          <w:rFonts w:ascii="Times New Roman" w:hAnsi="Times New Roman"/>
          <w:b w:val="0"/>
          <w:sz w:val="24"/>
          <w:szCs w:val="24"/>
        </w:rPr>
        <w:t>formative data collections (1290-</w:t>
      </w:r>
      <w:r w:rsidRPr="00DA6141" w:rsidR="00685ECE">
        <w:rPr>
          <w:rFonts w:ascii="Times New Roman" w:hAnsi="Times New Roman"/>
          <w:b w:val="0"/>
          <w:sz w:val="24"/>
          <w:szCs w:val="24"/>
        </w:rPr>
        <w:t>0043</w:t>
      </w:r>
      <w:r w:rsidRPr="00DA6141">
        <w:rPr>
          <w:rFonts w:ascii="Times New Roman" w:hAnsi="Times New Roman"/>
          <w:b w:val="0"/>
          <w:sz w:val="24"/>
          <w:szCs w:val="24"/>
        </w:rPr>
        <w:t>):</w:t>
      </w:r>
    </w:p>
    <w:p w:rsidR="00D44EA5" w:rsidRPr="003E3841" w:rsidP="00D44EA5" w14:paraId="1937EB84" w14:textId="6879F8F2">
      <w:pPr>
        <w:numPr>
          <w:ilvl w:val="0"/>
          <w:numId w:val="16"/>
        </w:numPr>
      </w:pPr>
      <w:r w:rsidRPr="00134CA9">
        <w:t>i</w:t>
      </w:r>
      <w:r w:rsidRPr="00134CA9" w:rsidR="008C6472">
        <w:t>nform the development of DOL</w:t>
      </w:r>
      <w:r w:rsidRPr="00134CA9">
        <w:t xml:space="preserve"> research</w:t>
      </w:r>
      <w:r w:rsidR="00E23706">
        <w:t>;</w:t>
      </w:r>
    </w:p>
    <w:p w:rsidR="00D44EA5" w:rsidRPr="003E3841" w:rsidP="00D44EA5" w14:paraId="1152D8DC" w14:textId="2FD9C7A6">
      <w:pPr>
        <w:numPr>
          <w:ilvl w:val="0"/>
          <w:numId w:val="16"/>
        </w:numPr>
      </w:pPr>
      <w:r w:rsidRPr="00134CA9">
        <w:t>maintain a research agenda that is rigorous and relevant</w:t>
      </w:r>
      <w:r w:rsidR="00E23706">
        <w:t>; and</w:t>
      </w:r>
    </w:p>
    <w:p w:rsidR="00D44EA5" w:rsidRPr="003E3841" w:rsidP="00D44EA5" w14:paraId="3256225A" w14:textId="1FC5919B">
      <w:pPr>
        <w:numPr>
          <w:ilvl w:val="0"/>
          <w:numId w:val="16"/>
        </w:numPr>
      </w:pPr>
      <w:r w:rsidRPr="00134CA9">
        <w:t>ensure that research products are as current as possible</w:t>
      </w:r>
      <w:r w:rsidRPr="00134CA9" w:rsidR="0097697F">
        <w:t>.</w:t>
      </w:r>
    </w:p>
    <w:p w:rsidR="006D2637" w:rsidRPr="006D2637" w:rsidP="006D2637" w14:paraId="52D8DB7D" w14:textId="77777777"/>
    <w:p w:rsidR="00984CA2" w:rsidRPr="00177982" w:rsidP="00436F5E" w14:paraId="646939C0" w14:textId="77777777">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Study Background </w:t>
      </w:r>
    </w:p>
    <w:p w:rsidR="00EB4378" w:rsidP="060E1DFF" w14:paraId="4DCE37D7" w14:textId="226AEA91">
      <w:pPr>
        <w:shd w:val="clear" w:color="auto" w:fill="D9D9D9" w:themeFill="background1" w:themeFillShade="D9"/>
      </w:pPr>
      <w:r w:rsidRPr="00C87E29">
        <w:t>The Fair Labor Standards Act (FLSA) establishes national standards on minimum wage</w:t>
      </w:r>
      <w:r>
        <w:t>s</w:t>
      </w:r>
      <w:r w:rsidRPr="00C87E29">
        <w:t xml:space="preserve">, the payment rate of overtime work, employer recordkeeping, and limitations on youth employment. Although certain workers are exempt from these provisions, the standards set by the FLSA apply to </w:t>
      </w:r>
      <w:r>
        <w:t>more than</w:t>
      </w:r>
      <w:r w:rsidRPr="00C87E29">
        <w:t xml:space="preserve"> 143 million workers and 9.8 million workplaces in the United States.</w:t>
      </w:r>
      <w:r>
        <w:rPr>
          <w:rStyle w:val="FootnoteReference"/>
        </w:rPr>
        <w:footnoteReference w:id="2"/>
      </w:r>
    </w:p>
    <w:p w:rsidR="00EB4378" w:rsidP="060E1DFF" w14:paraId="6AB3FAA1" w14:textId="77777777">
      <w:pPr>
        <w:shd w:val="clear" w:color="auto" w:fill="D9D9D9" w:themeFill="background1" w:themeFillShade="D9"/>
      </w:pPr>
    </w:p>
    <w:p w:rsidR="00984CA2" w:rsidP="060E1DFF" w14:paraId="33D977CE" w14:textId="21CF6979">
      <w:pPr>
        <w:shd w:val="clear" w:color="auto" w:fill="D9D9D9" w:themeFill="background1" w:themeFillShade="D9"/>
      </w:pPr>
      <w:r>
        <w:t>The Wage and Hour Division (WHD) in the U.S. Department of Labor (DOL) promotes compliance with the FLSA through a balance of strategies, including by investigating allegations of violations and by undertaking industry-based high-impact investigations that employ large numbers of low-wage workers who are members of vulnerable demographic groups.</w:t>
      </w:r>
      <w:r>
        <w:rPr>
          <w:rStyle w:val="FootnoteReference"/>
        </w:rPr>
        <w:footnoteReference w:id="3"/>
      </w:r>
      <w:r>
        <w:t xml:space="preserve"> </w:t>
      </w:r>
      <w:r w:rsidRPr="00100621" w:rsidR="002E46B1">
        <w:t>There is no agreed upon definition of low-wage workers, and different definitions based on hourly wage cutoffs result in populations with different demographic, social, and economic characteristics.</w:t>
      </w:r>
      <w:r>
        <w:rPr>
          <w:rStyle w:val="FootnoteReference"/>
        </w:rPr>
        <w:footnoteReference w:id="4"/>
      </w:r>
      <w:r w:rsidR="002E46B1">
        <w:rPr>
          <w:sz w:val="20"/>
          <w:szCs w:val="20"/>
        </w:rPr>
        <w:t xml:space="preserve"> </w:t>
      </w:r>
      <w:r>
        <w:t xml:space="preserve">Sector-based investigations in high-priority industries have typically been based on the analyses </w:t>
      </w:r>
      <w:r>
        <w:t>of industries with a history of FLSA violations that employ workers who are less likely to file complaints.</w:t>
      </w:r>
      <w:r>
        <w:rPr>
          <w:rStyle w:val="FootnoteReference"/>
        </w:rPr>
        <w:footnoteReference w:id="5"/>
      </w:r>
      <w:r>
        <w:t xml:space="preserve"> </w:t>
      </w:r>
    </w:p>
    <w:p w:rsidR="00BF3D6B" w:rsidP="060E1DFF" w14:paraId="4E093D4E" w14:textId="77777777">
      <w:pPr>
        <w:shd w:val="clear" w:color="auto" w:fill="D9D9D9" w:themeFill="background1" w:themeFillShade="D9"/>
      </w:pPr>
    </w:p>
    <w:p w:rsidR="005C183A" w:rsidP="060E1DFF" w14:paraId="0A505EE9" w14:textId="3B9ED9F4">
      <w:pPr>
        <w:shd w:val="clear" w:color="auto" w:fill="D9D9D9" w:themeFill="background1" w:themeFillShade="D9"/>
      </w:pPr>
      <w:r>
        <w:t>Ideally, agency-</w:t>
      </w:r>
      <w:r w:rsidR="00E23706">
        <w:t xml:space="preserve">initiated </w:t>
      </w:r>
      <w:r>
        <w:t>investigations would complement compla</w:t>
      </w:r>
      <w:r w:rsidR="2146B4F3">
        <w:t>i</w:t>
      </w:r>
      <w:r>
        <w:t>nt-driven investigations by uncovering the most severe of the unreported FLSA violations. However, the data and resources available to identify industry sectors that have a high likelihood of wage and hour violations are limited.</w:t>
      </w:r>
    </w:p>
    <w:p w:rsidR="00BF3D6B" w:rsidP="060E1DFF" w14:paraId="232CEFE4" w14:textId="77777777">
      <w:pPr>
        <w:shd w:val="clear" w:color="auto" w:fill="D9D9D9" w:themeFill="background1" w:themeFillShade="D9"/>
      </w:pPr>
    </w:p>
    <w:p w:rsidR="00BC1BF3" w:rsidP="060E1DFF" w14:paraId="083E9DDA" w14:textId="708BBCBB">
      <w:pPr>
        <w:shd w:val="clear" w:color="auto" w:fill="D9D9D9" w:themeFill="background1" w:themeFillShade="D9"/>
      </w:pPr>
      <w:r w:rsidRPr="00A00D43">
        <w:t>CEO, in collaboration with WHD</w:t>
      </w:r>
      <w:r>
        <w:t xml:space="preserve">, </w:t>
      </w:r>
      <w:r w:rsidRPr="00A00D43">
        <w:t xml:space="preserve">contracted with Westat to conduct a nationally representative worker survey to understand the prevalence and </w:t>
      </w:r>
      <w:r w:rsidR="003E3841">
        <w:t>severity</w:t>
      </w:r>
      <w:r w:rsidRPr="00A00D43" w:rsidR="003E3841">
        <w:t xml:space="preserve"> </w:t>
      </w:r>
      <w:r w:rsidRPr="00A00D43">
        <w:t xml:space="preserve">of violations of workers’ rights under the FLSA. The </w:t>
      </w:r>
      <w:r>
        <w:t>s</w:t>
      </w:r>
      <w:r w:rsidRPr="00A00D43">
        <w:t>tudy will design a nationally representative survey of workers with oversamples of workers in low-wage industries where violations are most likely to occur.</w:t>
      </w:r>
    </w:p>
    <w:p w:rsidR="00BF3D6B" w:rsidP="060E1DFF" w14:paraId="6E387830" w14:textId="77777777">
      <w:pPr>
        <w:shd w:val="clear" w:color="auto" w:fill="D9D9D9" w:themeFill="background1" w:themeFillShade="D9"/>
      </w:pPr>
    </w:p>
    <w:p w:rsidR="00EE60F8" w:rsidP="007E7817" w14:paraId="12E95D7F" w14:textId="3DEF338B">
      <w:pPr>
        <w:pStyle w:val="L1-FlLSp12"/>
        <w:shd w:val="clear" w:color="auto" w:fill="D9D9D9" w:themeFill="background1" w:themeFillShade="D9"/>
      </w:pPr>
      <w:r w:rsidRPr="007E7817">
        <w:rPr>
          <w:rFonts w:ascii="Times New Roman" w:hAnsi="Times New Roman" w:cs="Times New Roman"/>
          <w:sz w:val="24"/>
          <w:szCs w:val="24"/>
        </w:rPr>
        <w:t>We</w:t>
      </w:r>
      <w:r w:rsidRPr="007E7817" w:rsidR="00BC1BF3">
        <w:rPr>
          <w:rFonts w:ascii="Times New Roman" w:hAnsi="Times New Roman" w:cs="Times New Roman"/>
          <w:sz w:val="24"/>
          <w:szCs w:val="24"/>
        </w:rPr>
        <w:t>stat</w:t>
      </w:r>
      <w:r w:rsidRPr="007E7817">
        <w:rPr>
          <w:rFonts w:ascii="Times New Roman" w:hAnsi="Times New Roman" w:cs="Times New Roman"/>
          <w:sz w:val="24"/>
          <w:szCs w:val="24"/>
        </w:rPr>
        <w:t xml:space="preserve"> will conduct </w:t>
      </w:r>
      <w:r w:rsidRPr="007E7817" w:rsidR="003255AE">
        <w:rPr>
          <w:rFonts w:ascii="Times New Roman" w:hAnsi="Times New Roman" w:cs="Times New Roman"/>
          <w:sz w:val="24"/>
          <w:szCs w:val="24"/>
        </w:rPr>
        <w:t>cognitive interviews to gain feedback to improve the questionnaire.</w:t>
      </w:r>
      <w:r w:rsidRPr="007E7817" w:rsidR="003E3841">
        <w:rPr>
          <w:rFonts w:ascii="Times New Roman" w:hAnsi="Times New Roman" w:cs="Times New Roman"/>
          <w:sz w:val="24"/>
          <w:szCs w:val="24"/>
        </w:rPr>
        <w:t xml:space="preserve"> Cognitive interviewing uses in-depth interviewing that assesses how people interpret, process, retrieve, and respond to words, phrases, questions, </w:t>
      </w:r>
      <w:r w:rsidRPr="007E7817" w:rsidR="00EF1A24">
        <w:rPr>
          <w:rFonts w:ascii="Times New Roman" w:hAnsi="Times New Roman" w:cs="Times New Roman"/>
          <w:sz w:val="24"/>
          <w:szCs w:val="24"/>
        </w:rPr>
        <w:t xml:space="preserve">and </w:t>
      </w:r>
      <w:r w:rsidRPr="007E7817" w:rsidR="003E3841">
        <w:rPr>
          <w:rFonts w:ascii="Times New Roman" w:hAnsi="Times New Roman" w:cs="Times New Roman"/>
          <w:sz w:val="24"/>
          <w:szCs w:val="24"/>
        </w:rPr>
        <w:t>response options.</w:t>
      </w:r>
      <w:r>
        <w:rPr>
          <w:rStyle w:val="FootnoteReference"/>
          <w:rFonts w:ascii="Times New Roman" w:hAnsi="Times New Roman" w:cs="Times New Roman"/>
          <w:sz w:val="24"/>
          <w:szCs w:val="24"/>
        </w:rPr>
        <w:footnoteReference w:id="6"/>
      </w:r>
      <w:r w:rsidRPr="007E7817" w:rsidR="007E7817">
        <w:rPr>
          <w:rFonts w:ascii="Times New Roman" w:hAnsi="Times New Roman" w:cs="Times New Roman"/>
          <w:sz w:val="24"/>
          <w:szCs w:val="24"/>
        </w:rPr>
        <w:t xml:space="preserve"> We will conduct three rounds of cognitive interviews. Each round will consist of </w:t>
      </w:r>
      <w:r w:rsidR="00E23706">
        <w:rPr>
          <w:rFonts w:ascii="Times New Roman" w:hAnsi="Times New Roman" w:cs="Times New Roman"/>
          <w:sz w:val="24"/>
          <w:szCs w:val="24"/>
        </w:rPr>
        <w:t>15</w:t>
      </w:r>
      <w:r w:rsidRPr="007E7817" w:rsidR="007E7817">
        <w:rPr>
          <w:rFonts w:ascii="Times New Roman" w:hAnsi="Times New Roman" w:cs="Times New Roman"/>
          <w:sz w:val="24"/>
          <w:szCs w:val="24"/>
        </w:rPr>
        <w:t xml:space="preserve"> interviews. Round 2 will test revisions to the instrument based on Round 1. Round 3 will be optional if any problems with questions persist after Round 2. This methodology reflects current best practices.</w:t>
      </w:r>
      <w:r>
        <w:rPr>
          <w:rStyle w:val="FootnoteReference"/>
          <w:rFonts w:ascii="Times New Roman" w:hAnsi="Times New Roman" w:cs="Times New Roman"/>
          <w:sz w:val="24"/>
          <w:szCs w:val="24"/>
        </w:rPr>
        <w:footnoteReference w:id="7"/>
      </w:r>
      <w:r w:rsidRPr="007E7817" w:rsidR="007E7817">
        <w:rPr>
          <w:rFonts w:ascii="Times New Roman" w:hAnsi="Times New Roman" w:cs="Times New Roman"/>
          <w:sz w:val="24"/>
          <w:szCs w:val="24"/>
        </w:rPr>
        <w:t xml:space="preserve"> Cognitive interviews will be conducted virtually and respondents will be paid a $50 incentive for their participation</w:t>
      </w:r>
      <w:r w:rsidR="00862540">
        <w:rPr>
          <w:rFonts w:ascii="Times New Roman" w:hAnsi="Times New Roman" w:cs="Times New Roman"/>
          <w:sz w:val="24"/>
          <w:szCs w:val="24"/>
        </w:rPr>
        <w:t xml:space="preserve"> in the form of an Amazon e-gift card</w:t>
      </w:r>
      <w:r w:rsidRPr="007E7817" w:rsidR="007E7817">
        <w:rPr>
          <w:rFonts w:ascii="Times New Roman" w:hAnsi="Times New Roman" w:cs="Times New Roman"/>
          <w:sz w:val="24"/>
          <w:szCs w:val="24"/>
        </w:rPr>
        <w:t>.</w:t>
      </w:r>
    </w:p>
    <w:p w:rsidR="00EE60F8" w:rsidP="00EE60F8" w14:paraId="664F33D5" w14:textId="4D516999">
      <w:pPr>
        <w:shd w:val="clear" w:color="auto" w:fill="D9D9D9"/>
      </w:pPr>
      <w:r>
        <w:t xml:space="preserve">Because of the complex nature of </w:t>
      </w:r>
      <w:r w:rsidR="00E23706">
        <w:t>FLSA violations</w:t>
      </w:r>
      <w:r>
        <w:t>, it is important to test questions</w:t>
      </w:r>
      <w:r w:rsidR="00E23706">
        <w:t xml:space="preserve"> and concepts</w:t>
      </w:r>
      <w:r>
        <w:t xml:space="preserve"> on workers with a wide variety of </w:t>
      </w:r>
      <w:r w:rsidR="00E23706">
        <w:t>job characteristics, including hourly workers, salaried workers, and workers who are paid by the job or piece</w:t>
      </w:r>
      <w:r>
        <w:t xml:space="preserve">. </w:t>
      </w:r>
      <w:r w:rsidR="00E23706">
        <w:t xml:space="preserve">Workers in low-wage industries may also speak languages other than English, and it will be important to have accurate translations of the instrument. </w:t>
      </w:r>
      <w:r>
        <w:t xml:space="preserve">In order to </w:t>
      </w:r>
      <w:r w:rsidR="00E23706">
        <w:t xml:space="preserve">interview individuals with a </w:t>
      </w:r>
      <w:r>
        <w:t>variety</w:t>
      </w:r>
      <w:r w:rsidR="00E23706">
        <w:t xml:space="preserve"> of job characteristics</w:t>
      </w:r>
      <w:r>
        <w:t>, and test in different languages, it is necessary to interview more than nine participants.</w:t>
      </w:r>
      <w:r w:rsidR="00D14A14">
        <w:t xml:space="preserve"> The need for cognitive testing with more than nine participants is further underscored by the fact that many of the questions in the survey are new or have not been widely used in national labor market surveys.</w:t>
      </w:r>
    </w:p>
    <w:p w:rsidR="00EE60F8" w:rsidP="060E1DFF" w14:paraId="220A047A" w14:textId="77777777">
      <w:pPr>
        <w:shd w:val="clear" w:color="auto" w:fill="D9D9D9" w:themeFill="background1" w:themeFillShade="D9"/>
      </w:pPr>
    </w:p>
    <w:p w:rsidR="006974A4" w:rsidP="006974A4" w14:paraId="221895F9" w14:textId="3D9D78C1">
      <w:pPr>
        <w:pStyle w:val="L1-FlLSp12"/>
      </w:pPr>
    </w:p>
    <w:p w:rsidR="00984CA2" w:rsidRPr="00177982" w:rsidP="00436F5E" w14:paraId="03DADB0C" w14:textId="77777777">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EA12DE" w:rsidRPr="00E23706" w:rsidP="00436F5E" w14:paraId="7E1219D9" w14:textId="77777777">
      <w:pPr>
        <w:shd w:val="clear" w:color="auto" w:fill="D9D9D9"/>
      </w:pPr>
      <w:r w:rsidRPr="007375DE">
        <w:t xml:space="preserve">There are no legal or administrative requirements that necessitate the collection. </w:t>
      </w:r>
      <w:r w:rsidRPr="007375DE" w:rsidR="008C6472">
        <w:t>CEO</w:t>
      </w:r>
      <w:r w:rsidRPr="007375DE">
        <w:t xml:space="preserve"> is undertaking the collection at the discretion of the agency.</w:t>
      </w:r>
    </w:p>
    <w:p w:rsidR="00D90EF6" w:rsidP="00436F5E" w14:paraId="390EFEE7" w14:textId="77777777">
      <w:pPr>
        <w:shd w:val="clear" w:color="auto" w:fill="D9D9D9"/>
      </w:pPr>
    </w:p>
    <w:p w:rsidR="00BE7952" w:rsidP="00292B70" w14:paraId="0F55A376" w14:textId="77777777">
      <w:pPr>
        <w:rPr>
          <w:b/>
        </w:rPr>
      </w:pPr>
    </w:p>
    <w:p w:rsidR="00945CD6" w:rsidRPr="0072204D" w:rsidP="00436F5E" w14:paraId="636C9A8A" w14:textId="77777777">
      <w:pPr>
        <w:spacing w:after="120"/>
        <w:rPr>
          <w:b/>
        </w:rPr>
      </w:pPr>
      <w:r>
        <w:rPr>
          <w:b/>
        </w:rPr>
        <w:t xml:space="preserve">A2. </w:t>
      </w:r>
      <w:r w:rsidRPr="0072204D">
        <w:rPr>
          <w:b/>
        </w:rPr>
        <w:t>Purpose of Survey and Data Collection Procedures</w:t>
      </w:r>
    </w:p>
    <w:p w:rsidR="00984CA2" w:rsidRPr="00177982" w:rsidP="00436F5E" w14:paraId="58719492" w14:textId="77777777">
      <w:pPr>
        <w:spacing w:after="60"/>
        <w:rPr>
          <w:b/>
          <w:i/>
        </w:rPr>
      </w:pPr>
      <w:r w:rsidRPr="00177982">
        <w:rPr>
          <w:b/>
          <w:i/>
        </w:rPr>
        <w:t>Overview of Purpose and Approach</w:t>
      </w:r>
    </w:p>
    <w:p w:rsidR="006937D3" w:rsidRPr="00A00D43" w:rsidP="060E1DFF" w14:paraId="680F46D9" w14:textId="097314BD">
      <w:pPr>
        <w:rPr>
          <w:rFonts w:eastAsia="Arial" w:cstheme="minorBidi"/>
        </w:rPr>
      </w:pPr>
    </w:p>
    <w:p w:rsidR="00D90EF6" w:rsidP="003255AE" w14:paraId="5765FD90" w14:textId="5983463E">
      <w:pPr>
        <w:shd w:val="clear" w:color="auto" w:fill="D9D9D9"/>
      </w:pPr>
      <w:bookmarkStart w:id="2" w:name="_Hlk153956899"/>
      <w:r w:rsidRPr="00C87E29">
        <w:t xml:space="preserve">The FLSA protects </w:t>
      </w:r>
      <w:r>
        <w:t>covered “employees” as defined by the Act and the relevant court interpretations</w:t>
      </w:r>
      <w:r w:rsidRPr="00C87E29">
        <w:t xml:space="preserve">. </w:t>
      </w:r>
      <w:r>
        <w:t xml:space="preserve">Independent contractors who are not economically dependent on the contracting party under the “economic realities test” are not covered. In addition, the FLSA exempts certain executive, administrative, and professional employees, as well as outside salespeople and some computer-related employees who are paid on a salaried basis because they are not viewed as economically vulnerable. Currently, these employees must be paid a salary of at least </w:t>
      </w:r>
      <w:r w:rsidRPr="00C87E29">
        <w:t xml:space="preserve">$684 per week and </w:t>
      </w:r>
      <w:r>
        <w:t xml:space="preserve">meet specified tests as to the nature of their duties to be eligible for these exemptions. </w:t>
      </w:r>
      <w:r w:rsidR="00707EF5">
        <w:t xml:space="preserve">The goal of the worker survey is to produce reliable estimates for all covered, nonexempt workers and especially for workers in low-wage industries. </w:t>
      </w:r>
    </w:p>
    <w:p w:rsidR="00EB4378" w:rsidP="003255AE" w14:paraId="0C332042" w14:textId="77777777">
      <w:pPr>
        <w:shd w:val="clear" w:color="auto" w:fill="D9D9D9"/>
      </w:pPr>
    </w:p>
    <w:p w:rsidR="003255AE" w:rsidP="003255AE" w14:paraId="126B3D17" w14:textId="0F378783">
      <w:pPr>
        <w:shd w:val="clear" w:color="auto" w:fill="D9D9D9"/>
      </w:pPr>
      <w:r>
        <w:t>In order to produce these estimates, the questions and response options on the survey need to be clear, easy to answer, and understood consistently across respondents. We will conduct cognitive interviews to gain feedback on the questionnaire, including how participants interpret key questions and terms, how easy or difficult it is to provide answers, and whether response options are appropriate for participants.</w:t>
      </w:r>
    </w:p>
    <w:p w:rsidR="003255AE" w:rsidP="003255AE" w14:paraId="37136922" w14:textId="77777777">
      <w:pPr>
        <w:shd w:val="clear" w:color="auto" w:fill="D9D9D9"/>
      </w:pPr>
    </w:p>
    <w:p w:rsidR="003255AE" w:rsidP="003255AE" w14:paraId="7EB505A7" w14:textId="1C5C2A45">
      <w:pPr>
        <w:shd w:val="clear" w:color="auto" w:fill="D9D9D9"/>
      </w:pPr>
      <w:r>
        <w:t>The interviews will occur in three rounds</w:t>
      </w:r>
      <w:r w:rsidR="00C01EC2">
        <w:t xml:space="preserve"> with 15 respondents in each round</w:t>
      </w:r>
      <w:r>
        <w:t>. The first round will focus on the understanding of survey questions and response options</w:t>
      </w:r>
      <w:r w:rsidR="00C01EC2">
        <w:t xml:space="preserve"> using probing approach</w:t>
      </w:r>
      <w:r w:rsidR="00105F29">
        <w:t>es</w:t>
      </w:r>
      <w:r>
        <w:t xml:space="preserve">. </w:t>
      </w:r>
      <w:r w:rsidR="00C01EC2">
        <w:t>P</w:t>
      </w:r>
      <w:r>
        <w:t>articipant</w:t>
      </w:r>
      <w:r w:rsidR="00D14A14">
        <w:t>s</w:t>
      </w:r>
      <w:r w:rsidR="00C01EC2">
        <w:t xml:space="preserve"> will</w:t>
      </w:r>
      <w:r>
        <w:t xml:space="preserve"> answer </w:t>
      </w:r>
      <w:r w:rsidR="00C01EC2">
        <w:t xml:space="preserve">the </w:t>
      </w:r>
      <w:r>
        <w:t xml:space="preserve">survey questions, and then the interviewer will ask probing questions to gather insight on their interpretation of </w:t>
      </w:r>
      <w:r w:rsidR="00C01EC2">
        <w:t>each</w:t>
      </w:r>
      <w:r>
        <w:t xml:space="preserve"> question, understanding of certain terms, and how they arrived at their answers. </w:t>
      </w:r>
      <w:r w:rsidR="00C01EC2">
        <w:t xml:space="preserve">The </w:t>
      </w:r>
      <w:r w:rsidR="00D14A14">
        <w:t xml:space="preserve">cognitive interviews </w:t>
      </w:r>
      <w:r w:rsidR="00C01EC2">
        <w:t xml:space="preserve">will </w:t>
      </w:r>
      <w:r w:rsidR="00D14A14">
        <w:t xml:space="preserve">mostly </w:t>
      </w:r>
      <w:r w:rsidR="00C01EC2">
        <w:t xml:space="preserve">focus on new questions not used in existing national surveys. </w:t>
      </w:r>
      <w:r>
        <w:t>This round will occur in English</w:t>
      </w:r>
      <w:r w:rsidR="00075ED6">
        <w:t xml:space="preserve"> only</w:t>
      </w:r>
      <w:r>
        <w:t>.</w:t>
      </w:r>
    </w:p>
    <w:p w:rsidR="00EB4378" w:rsidP="003255AE" w14:paraId="65D98738" w14:textId="77777777">
      <w:pPr>
        <w:shd w:val="clear" w:color="auto" w:fill="D9D9D9"/>
      </w:pPr>
    </w:p>
    <w:p w:rsidR="00FA1ED9" w:rsidP="003255AE" w14:paraId="2192C7E0" w14:textId="45F2E99D">
      <w:pPr>
        <w:shd w:val="clear" w:color="auto" w:fill="D9D9D9"/>
      </w:pPr>
      <w:r>
        <w:t>The second round will include probing on any questions revised after the first round. During this round, we will also time participants to gain a better understanding of the length of the survey. This round will include English, Spanish, Chinese</w:t>
      </w:r>
      <w:r w:rsidR="00865A95">
        <w:t>, Vietnamese, and Haitian versions of the instrument</w:t>
      </w:r>
      <w:r>
        <w:t>.</w:t>
      </w:r>
      <w:r w:rsidR="00865A95">
        <w:t xml:space="preserve"> Only the English version of the instrument is included with the current </w:t>
      </w:r>
      <w:r w:rsidR="001B5C18">
        <w:t>request</w:t>
      </w:r>
      <w:r w:rsidR="00865A95">
        <w:t xml:space="preserve">. </w:t>
      </w:r>
      <w:r w:rsidR="001B5C18">
        <w:t>After the first round, DOL</w:t>
      </w:r>
      <w:r w:rsidR="00865A95">
        <w:t xml:space="preserve"> will submit a change request with </w:t>
      </w:r>
      <w:r w:rsidR="001B5C18">
        <w:t>the revised instrument in English and translated into additional languages.</w:t>
      </w:r>
      <w:r w:rsidR="00D14A14">
        <w:t xml:space="preserve"> Submitting a change request for testing in additional languages will increase efficiencies by reducing the need to translate questions that may be revised as a result of the first round of cognitive interviews.</w:t>
      </w:r>
    </w:p>
    <w:p w:rsidR="00FA1ED9" w:rsidP="003255AE" w14:paraId="06EA2A30" w14:textId="77777777">
      <w:pPr>
        <w:shd w:val="clear" w:color="auto" w:fill="D9D9D9"/>
      </w:pPr>
    </w:p>
    <w:p w:rsidR="003255AE" w:rsidP="003255AE" w14:paraId="7A5524EE" w14:textId="1C992C1F">
      <w:pPr>
        <w:shd w:val="clear" w:color="auto" w:fill="D9D9D9"/>
      </w:pPr>
      <w:r>
        <w:t>The third round</w:t>
      </w:r>
      <w:r w:rsidR="00FA1ED9">
        <w:t>, if necessary,</w:t>
      </w:r>
      <w:r>
        <w:t xml:space="preserve"> will be used to further </w:t>
      </w:r>
      <w:r w:rsidR="00FA1ED9">
        <w:t>explore questions revised after the second round</w:t>
      </w:r>
      <w:r w:rsidR="00865A95">
        <w:t xml:space="preserve"> in each language</w:t>
      </w:r>
      <w:r>
        <w:t>.</w:t>
      </w:r>
    </w:p>
    <w:bookmarkEnd w:id="2"/>
    <w:p w:rsidR="003255AE" w:rsidP="003255AE" w14:paraId="11D24F8F" w14:textId="77777777">
      <w:pPr>
        <w:shd w:val="clear" w:color="auto" w:fill="D9D9D9"/>
      </w:pPr>
    </w:p>
    <w:p w:rsidR="002338AC" w:rsidP="002338AC" w14:paraId="7EBD5D71" w14:textId="77777777">
      <w:pPr>
        <w:ind w:left="180"/>
        <w:rPr>
          <w:b/>
          <w:i/>
        </w:rPr>
      </w:pPr>
    </w:p>
    <w:p w:rsidR="00A44209" w:rsidP="00436F5E" w14:paraId="41B6B9FA" w14:textId="77777777">
      <w:pPr>
        <w:spacing w:after="60"/>
        <w:rPr>
          <w:b/>
          <w:i/>
        </w:rPr>
      </w:pPr>
      <w:r>
        <w:rPr>
          <w:b/>
          <w:i/>
        </w:rPr>
        <w:t>Research Questions</w:t>
      </w:r>
    </w:p>
    <w:p w:rsidR="003255AE" w:rsidP="003255AE" w14:paraId="7D6EA2A7" w14:textId="77777777">
      <w:pPr>
        <w:shd w:val="clear" w:color="auto" w:fill="D9D9D9"/>
      </w:pPr>
      <w:r>
        <w:t>Are the survey questions straightforward and easy to understand and answer?</w:t>
      </w:r>
    </w:p>
    <w:p w:rsidR="003255AE" w:rsidP="003255AE" w14:paraId="1862D2B6" w14:textId="77777777">
      <w:pPr>
        <w:shd w:val="clear" w:color="auto" w:fill="D9D9D9"/>
      </w:pPr>
    </w:p>
    <w:p w:rsidR="003255AE" w:rsidP="003255AE" w14:paraId="223A5547" w14:textId="77777777">
      <w:pPr>
        <w:shd w:val="clear" w:color="auto" w:fill="D9D9D9"/>
      </w:pPr>
      <w:r>
        <w:t>Are the response options appropriate?</w:t>
      </w:r>
    </w:p>
    <w:p w:rsidR="003255AE" w:rsidP="003255AE" w14:paraId="32E6515F" w14:textId="77777777">
      <w:pPr>
        <w:shd w:val="clear" w:color="auto" w:fill="D9D9D9"/>
      </w:pPr>
    </w:p>
    <w:p w:rsidR="003255AE" w:rsidP="003255AE" w14:paraId="48CC756A" w14:textId="77777777">
      <w:pPr>
        <w:shd w:val="clear" w:color="auto" w:fill="D9D9D9"/>
      </w:pPr>
      <w:r>
        <w:t>Are all questions and response options understood the same way by all participants?</w:t>
      </w:r>
    </w:p>
    <w:p w:rsidR="00984CA2" w:rsidP="00436F5E" w14:paraId="7A2B7822" w14:textId="77777777">
      <w:pPr>
        <w:shd w:val="clear" w:color="auto" w:fill="D9D9D9"/>
      </w:pPr>
    </w:p>
    <w:p w:rsidR="002338AC" w:rsidP="002338AC" w14:paraId="70ACA550" w14:textId="77777777">
      <w:pPr>
        <w:ind w:left="180"/>
        <w:rPr>
          <w:b/>
          <w:i/>
        </w:rPr>
      </w:pPr>
    </w:p>
    <w:p w:rsidR="00A44209" w:rsidP="00436F5E" w14:paraId="2A4EDCBC" w14:textId="77777777">
      <w:pPr>
        <w:spacing w:after="60"/>
        <w:rPr>
          <w:b/>
          <w:i/>
        </w:rPr>
      </w:pPr>
      <w:r>
        <w:rPr>
          <w:b/>
          <w:i/>
        </w:rPr>
        <w:t>Study Design</w:t>
      </w:r>
    </w:p>
    <w:p w:rsidR="005C0B1C" w:rsidRPr="005C0B1C" w:rsidP="005C0B1C" w14:paraId="5F697BE5" w14:textId="7DFDA060">
      <w:pPr>
        <w:pStyle w:val="L1-FlLSp12"/>
        <w:shd w:val="clear" w:color="auto" w:fill="D9D9D9" w:themeFill="background1" w:themeFillShade="D9"/>
        <w:rPr>
          <w:rFonts w:ascii="Times New Roman" w:hAnsi="Times New Roman"/>
          <w:sz w:val="24"/>
          <w:szCs w:val="24"/>
        </w:rPr>
      </w:pPr>
      <w:bookmarkStart w:id="3" w:name="_Hlk140046248"/>
      <w:r w:rsidRPr="005C0B1C">
        <w:rPr>
          <w:rFonts w:ascii="Times New Roman" w:hAnsi="Times New Roman"/>
          <w:sz w:val="24"/>
          <w:szCs w:val="24"/>
        </w:rPr>
        <w:t>Cognitive interviewing is an evidence-based, qualitative method specifically designed to investigate whether a survey question—whether attitudinal, behavioral, or factual in nature—fulfills its intended purpose. The method relies on interviews with individuals who are purposively recruited. These individuals are presented with survey questions in much the same way as survey respondents will be administered the final draft of the questionnaire. The cognitive interviews seek to understand if respondents understand the questions as intended and are able to recall the information about which we ask.</w:t>
      </w:r>
    </w:p>
    <w:p w:rsidR="005C0B1C" w:rsidRPr="005C0B1C" w:rsidP="005C0B1C" w14:paraId="0DF62B42" w14:textId="47DF0432">
      <w:pPr>
        <w:pStyle w:val="L1-FlLSp12"/>
        <w:shd w:val="clear" w:color="auto" w:fill="D9D9D9" w:themeFill="background1" w:themeFillShade="D9"/>
        <w:rPr>
          <w:rFonts w:ascii="Times New Roman" w:hAnsi="Times New Roman"/>
          <w:sz w:val="24"/>
          <w:szCs w:val="24"/>
        </w:rPr>
      </w:pPr>
      <w:r w:rsidRPr="005C0B1C">
        <w:rPr>
          <w:rFonts w:ascii="Times New Roman" w:hAnsi="Times New Roman"/>
          <w:sz w:val="24"/>
          <w:szCs w:val="24"/>
        </w:rPr>
        <w:t>For the respondent universe, DOL estimates that about 143 million workers are covered by the FLSA. Respondents for the cognitive interviews will be recruited via Westat’s intranet (WesInfo) (only family or friends of Westat employees will be eligible), Craigslist, social media, and requests to workers’ rights organizations for up to 45 individuals who work in low-wage industries for up to 90-minute cognitive interviews. Research has shown that Craigslist and social media are effective, cost-efficient methods for recruiting participants for studies.</w:t>
      </w:r>
      <w:r>
        <w:rPr>
          <w:rStyle w:val="FootnoteReference"/>
          <w:rFonts w:ascii="Times New Roman" w:hAnsi="Times New Roman"/>
          <w:sz w:val="24"/>
          <w:szCs w:val="24"/>
        </w:rPr>
        <w:footnoteReference w:id="8"/>
      </w:r>
      <w:r w:rsidRPr="005C0B1C">
        <w:rPr>
          <w:rFonts w:ascii="Times New Roman" w:hAnsi="Times New Roman"/>
          <w:sz w:val="24"/>
          <w:szCs w:val="24"/>
        </w:rPr>
        <w:t xml:space="preserve"> The WesInfo advertisement (Appendix A) and the social media advertisement (Appendix B) will direct individuals to complete a brief web screener to determine if they are eligible. We will enclose the social media advertisement in an email message (Appendix C) to workers’ rights organizations asking that they share it with their members.  </w:t>
      </w:r>
    </w:p>
    <w:p w:rsidR="005C0B1C" w:rsidRPr="005C0B1C" w:rsidP="005C0B1C" w14:paraId="15C9918F" w14:textId="0FD8BE91">
      <w:pPr>
        <w:pStyle w:val="L1-FlLSp12"/>
        <w:shd w:val="clear" w:color="auto" w:fill="D9D9D9" w:themeFill="background1" w:themeFillShade="D9"/>
        <w:rPr>
          <w:rFonts w:ascii="Times New Roman" w:hAnsi="Times New Roman"/>
          <w:sz w:val="24"/>
          <w:szCs w:val="24"/>
        </w:rPr>
      </w:pPr>
      <w:r w:rsidRPr="005C0B1C">
        <w:rPr>
          <w:rFonts w:ascii="Times New Roman" w:hAnsi="Times New Roman"/>
          <w:sz w:val="24"/>
          <w:szCs w:val="24"/>
        </w:rPr>
        <w:t>Interested persons will complete a brief web screener (Appendix D). A Westat recruiter will review screener responses to determine if the individual is eligible. If eligible, a Westat recruiter will contact the individual by phone call to schedule the virtual interview. For those who are ineligible, or no longer interested when contacted by the Westat recruiter, no identifying information will be retained. Recruitment data will be maintained in separate, encrypted files, with password protection and access limited to authorized personnel.</w:t>
      </w:r>
    </w:p>
    <w:p w:rsidR="005C0B1C" w:rsidRPr="005C0B1C" w:rsidP="005C0B1C" w14:paraId="206B8C46" w14:textId="38776E2B">
      <w:pPr>
        <w:pStyle w:val="L1-FlLSp12"/>
        <w:shd w:val="clear" w:color="auto" w:fill="D9D9D9" w:themeFill="background1" w:themeFillShade="D9"/>
        <w:rPr>
          <w:rFonts w:ascii="Times New Roman" w:hAnsi="Times New Roman"/>
          <w:sz w:val="24"/>
          <w:szCs w:val="24"/>
        </w:rPr>
      </w:pPr>
      <w:r w:rsidRPr="005C0B1C">
        <w:rPr>
          <w:rFonts w:ascii="Times New Roman" w:hAnsi="Times New Roman"/>
          <w:sz w:val="24"/>
          <w:szCs w:val="24"/>
        </w:rPr>
        <w:t>We will use Zoom to conduct the interviews. To reduce the number of "no shows" for cognitive interviews, the recruiter will send an email reminder one day prior to the scheduled virtual interview (Appendix E).</w:t>
      </w:r>
    </w:p>
    <w:p w:rsidR="005C0B1C" w:rsidRPr="005C0B1C" w:rsidP="005C0B1C" w14:paraId="3523D3F3" w14:textId="1A76B40E">
      <w:pPr>
        <w:pStyle w:val="L1-FlLSp12"/>
        <w:shd w:val="clear" w:color="auto" w:fill="D9D9D9" w:themeFill="background1" w:themeFillShade="D9"/>
        <w:rPr>
          <w:rFonts w:ascii="Times New Roman" w:hAnsi="Times New Roman"/>
          <w:sz w:val="24"/>
          <w:szCs w:val="24"/>
        </w:rPr>
      </w:pPr>
      <w:r w:rsidRPr="005C0B1C">
        <w:rPr>
          <w:rFonts w:ascii="Times New Roman" w:hAnsi="Times New Roman"/>
          <w:sz w:val="24"/>
          <w:szCs w:val="24"/>
        </w:rPr>
        <w:t>Each interview will begin with the interviewer reading the informed consent. Participants will have an opportunity to ask any questions they may have at this time. Next, the interviewer will ask the participant’s permission to audio- and video-record the interview and explain why the recording is important. If the participant consents to recording, the recording will begin and the participant will again be asked to state, for the record, that he or she gives permission to be recorded.</w:t>
      </w:r>
    </w:p>
    <w:p w:rsidR="005C0B1C" w:rsidRPr="005C0B1C" w:rsidP="005C0B1C" w14:paraId="65586B2C" w14:textId="55365376">
      <w:pPr>
        <w:pStyle w:val="L1-FlLSp12"/>
        <w:shd w:val="clear" w:color="auto" w:fill="D9D9D9" w:themeFill="background1" w:themeFillShade="D9"/>
        <w:rPr>
          <w:rFonts w:ascii="Times New Roman" w:hAnsi="Times New Roman"/>
          <w:sz w:val="24"/>
          <w:szCs w:val="24"/>
        </w:rPr>
      </w:pPr>
      <w:r w:rsidRPr="005C0B1C">
        <w:rPr>
          <w:rFonts w:ascii="Times New Roman" w:hAnsi="Times New Roman"/>
          <w:sz w:val="24"/>
          <w:szCs w:val="24"/>
        </w:rPr>
        <w:t xml:space="preserve">The protocol </w:t>
      </w:r>
      <w:r w:rsidRPr="00100621">
        <w:rPr>
          <w:rFonts w:ascii="Times New Roman" w:hAnsi="Times New Roman"/>
          <w:sz w:val="24"/>
          <w:szCs w:val="24"/>
        </w:rPr>
        <w:t>(Appendix F)</w:t>
      </w:r>
      <w:r w:rsidRPr="005C0B1C">
        <w:rPr>
          <w:rFonts w:ascii="Times New Roman" w:hAnsi="Times New Roman"/>
          <w:sz w:val="24"/>
          <w:szCs w:val="24"/>
        </w:rPr>
        <w:t xml:space="preserve"> will focus on identifying question wordings that are either misunderstood or understood differently by different respondents; vague definitions or ambiguous instructions that may be interpreted differently; items that ask for information that the respondent does not have access to; and confusing response options or response formats. The cognitive interviews will at a minimum explore: adaptation of several items from the interviewer-administered Unregulated Work Survey to a self-administered web survey; recall of hours worked; appropriateness of recall periods for different types of violations; descriptions of industries and occupations; and instructions for recruiting eligible peers using e-coupons in respondent-driven sampling (RDS).</w:t>
      </w:r>
      <w:r w:rsidR="00100621">
        <w:rPr>
          <w:rFonts w:ascii="Times New Roman" w:hAnsi="Times New Roman"/>
          <w:sz w:val="24"/>
          <w:szCs w:val="24"/>
        </w:rPr>
        <w:t xml:space="preserve"> The informed consent form is in Appendix G.</w:t>
      </w:r>
    </w:p>
    <w:p w:rsidR="005C0B1C" w:rsidRPr="005C0B1C" w:rsidP="005C0B1C" w14:paraId="045BEA16" w14:textId="6D2737D0">
      <w:pPr>
        <w:pStyle w:val="L1-FlLSp12"/>
        <w:shd w:val="clear" w:color="auto" w:fill="D9D9D9" w:themeFill="background1" w:themeFillShade="D9"/>
        <w:rPr>
          <w:rFonts w:ascii="Times New Roman" w:hAnsi="Times New Roman"/>
          <w:sz w:val="24"/>
          <w:szCs w:val="24"/>
        </w:rPr>
      </w:pPr>
      <w:r w:rsidRPr="005C0B1C">
        <w:rPr>
          <w:rFonts w:ascii="Times New Roman" w:hAnsi="Times New Roman"/>
          <w:sz w:val="24"/>
          <w:szCs w:val="24"/>
        </w:rPr>
        <w:t>We will use a semi-structured probing approach that includes scripted probes tailored to the testing goals, while still allowing for open-ended probing on unanticipated problems that may arise. We will use a combination of concurrent probing techniques (immediately asking respondents about their answer to a question) and retrospective techniques (asking respondents to reflect back on how they interpreted the question at the end of each section of the instrument). Occasionally, we may employ a think-aloud approach, which asks respondents to verbalize their thought processes as they answer questions, with little probing by the interviewer. This approach can work well for certain questions, particularly those that require estimating an answer. However, not all respondents feel comfortable ‘“thinking ’aloud” and data can vary in quality between individuals, so this approach should be used selectively.</w:t>
      </w:r>
      <w:r>
        <w:rPr>
          <w:rStyle w:val="FootnoteReference"/>
          <w:rFonts w:ascii="Times New Roman" w:hAnsi="Times New Roman"/>
          <w:sz w:val="24"/>
          <w:szCs w:val="24"/>
        </w:rPr>
        <w:footnoteReference w:id="9"/>
      </w:r>
      <w:r w:rsidRPr="005C0B1C">
        <w:rPr>
          <w:rFonts w:ascii="Times New Roman" w:hAnsi="Times New Roman"/>
          <w:sz w:val="24"/>
          <w:szCs w:val="24"/>
        </w:rPr>
        <w:t xml:space="preserve"> All probes will be scripted to be neutral so as not to bias respondents or introduce reactivity in their responses.</w:t>
      </w:r>
      <w:r>
        <w:rPr>
          <w:rStyle w:val="FootnoteReference"/>
          <w:rFonts w:ascii="Times New Roman" w:hAnsi="Times New Roman"/>
          <w:sz w:val="24"/>
          <w:szCs w:val="24"/>
        </w:rPr>
        <w:footnoteReference w:id="10"/>
      </w:r>
      <w:r w:rsidRPr="005C0B1C">
        <w:rPr>
          <w:rFonts w:ascii="Times New Roman" w:hAnsi="Times New Roman"/>
          <w:sz w:val="24"/>
          <w:szCs w:val="24"/>
        </w:rPr>
        <w:t xml:space="preserve"> </w:t>
      </w:r>
    </w:p>
    <w:p w:rsidR="005C0B1C" w:rsidRPr="005C0B1C" w:rsidP="005C0B1C" w14:paraId="2AE68A99" w14:textId="149524E5">
      <w:pPr>
        <w:pStyle w:val="L1-FlLSp12"/>
        <w:shd w:val="clear" w:color="auto" w:fill="D9D9D9" w:themeFill="background1" w:themeFillShade="D9"/>
        <w:rPr>
          <w:rFonts w:ascii="Times New Roman" w:hAnsi="Times New Roman"/>
          <w:sz w:val="24"/>
          <w:szCs w:val="24"/>
        </w:rPr>
      </w:pPr>
      <w:r w:rsidRPr="005C0B1C">
        <w:rPr>
          <w:rFonts w:ascii="Times New Roman" w:hAnsi="Times New Roman"/>
          <w:sz w:val="24"/>
          <w:szCs w:val="24"/>
        </w:rPr>
        <w:t>The interviewer will then ask the participant both the scripted probes and unscripted probes for any anomalies that may have been observed as the participant was completing the questionnaire (e.g., when trying to answer a question, the respondent may have paused for an extended period of time and look confused). At the end of the interview debriefing, the interviewer will thank each participant for their time and email a link with the $50 Amazon e-gift card.</w:t>
      </w:r>
    </w:p>
    <w:p w:rsidR="005C0B1C" w:rsidRPr="005C0B1C" w:rsidP="005C0B1C" w14:paraId="1EA4B041" w14:textId="19CD3F6E">
      <w:pPr>
        <w:pStyle w:val="L1-FlLSp12"/>
        <w:shd w:val="clear" w:color="auto" w:fill="D9D9D9" w:themeFill="background1" w:themeFillShade="D9"/>
        <w:rPr>
          <w:rFonts w:ascii="Times New Roman" w:hAnsi="Times New Roman"/>
          <w:sz w:val="24"/>
          <w:szCs w:val="24"/>
        </w:rPr>
      </w:pPr>
      <w:r w:rsidRPr="005C0B1C">
        <w:rPr>
          <w:rFonts w:ascii="Times New Roman" w:hAnsi="Times New Roman"/>
          <w:sz w:val="24"/>
          <w:szCs w:val="24"/>
        </w:rPr>
        <w:t>For the first round, the interviewer will display one question on the screen at a time. Each question or section will be probed on individually as they proceed through the questionnaire.</w:t>
      </w:r>
    </w:p>
    <w:p w:rsidR="005C0B1C" w:rsidRPr="005C0B1C" w:rsidP="005C0B1C" w14:paraId="3F941A7D" w14:textId="6F4D8BCF">
      <w:pPr>
        <w:pStyle w:val="L1-FlLSp12"/>
        <w:shd w:val="clear" w:color="auto" w:fill="D9D9D9" w:themeFill="background1" w:themeFillShade="D9"/>
        <w:rPr>
          <w:rFonts w:ascii="Times New Roman" w:hAnsi="Times New Roman"/>
          <w:sz w:val="24"/>
          <w:szCs w:val="24"/>
        </w:rPr>
      </w:pPr>
      <w:r w:rsidRPr="005C0B1C">
        <w:rPr>
          <w:rFonts w:ascii="Times New Roman" w:hAnsi="Times New Roman"/>
          <w:sz w:val="24"/>
          <w:szCs w:val="24"/>
        </w:rPr>
        <w:t xml:space="preserve">For the second round, in order to gauge timing, the interviewer will display the whole survey, showing one full page at a time. Respondents will be asked to answer each question, one after the other, and the interviewer will scroll through the word document as the respondent proceeds. When there is skip logic, the interviewer will instruct the respondent on which questions to answer next. The second round will also include cognitive testing using scripted and unscripted probes in Spanish, Chinese, Vietnamese, and Haitian. </w:t>
      </w:r>
    </w:p>
    <w:p w:rsidR="005C0B1C" w:rsidRPr="005C0B1C" w:rsidP="005C0B1C" w14:paraId="4B096AD3" w14:textId="01F728AB">
      <w:pPr>
        <w:pStyle w:val="L1-FlLSp12"/>
        <w:shd w:val="clear" w:color="auto" w:fill="D9D9D9" w:themeFill="background1" w:themeFillShade="D9"/>
        <w:rPr>
          <w:rFonts w:ascii="Times New Roman" w:hAnsi="Times New Roman"/>
          <w:sz w:val="24"/>
          <w:szCs w:val="24"/>
        </w:rPr>
      </w:pPr>
      <w:r w:rsidRPr="005C0B1C">
        <w:rPr>
          <w:rFonts w:ascii="Times New Roman" w:hAnsi="Times New Roman"/>
          <w:sz w:val="24"/>
          <w:szCs w:val="24"/>
        </w:rPr>
        <w:t>A third round, if needed, will test changes to questions made in the second round.</w:t>
      </w:r>
    </w:p>
    <w:bookmarkEnd w:id="3"/>
    <w:p w:rsidR="00984CA2" w:rsidP="00436F5E" w14:paraId="2017E9B9" w14:textId="51C919CF">
      <w:pPr>
        <w:shd w:val="clear" w:color="auto" w:fill="D9D9D9"/>
      </w:pPr>
      <w:r>
        <w:t xml:space="preserve">Following the </w:t>
      </w:r>
      <w:r w:rsidR="003255AE">
        <w:t>cognitive interviews</w:t>
      </w:r>
      <w:r>
        <w:t xml:space="preserve">, interviewers will review their notes and prepare a summary report of the findings </w:t>
      </w:r>
      <w:r w:rsidR="0003739E">
        <w:t>with suggested revisions to the</w:t>
      </w:r>
      <w:r>
        <w:t xml:space="preserve"> </w:t>
      </w:r>
      <w:r w:rsidR="0087300C">
        <w:t>instrument</w:t>
      </w:r>
      <w:r w:rsidR="0003739E">
        <w:t>.</w:t>
      </w:r>
    </w:p>
    <w:p w:rsidR="00984CA2" w:rsidP="00984CA2" w14:paraId="506E1D5F" w14:textId="77777777">
      <w:pPr>
        <w:rPr>
          <w:b/>
          <w:i/>
        </w:rPr>
      </w:pPr>
    </w:p>
    <w:p w:rsidR="00984CA2" w:rsidRPr="00177982" w:rsidP="00436F5E" w14:paraId="2B69A413" w14:textId="77777777">
      <w:pPr>
        <w:spacing w:after="60"/>
        <w:rPr>
          <w:b/>
          <w:i/>
        </w:rPr>
      </w:pPr>
      <w:r>
        <w:rPr>
          <w:b/>
          <w:i/>
        </w:rPr>
        <w:t>Universe of Data Collection Efforts</w:t>
      </w:r>
    </w:p>
    <w:p w:rsidR="00360929" w:rsidP="060E1DFF" w14:paraId="77F30EDF" w14:textId="2AF000A1">
      <w:pPr>
        <w:shd w:val="clear" w:color="auto" w:fill="D9D9D9" w:themeFill="background1" w:themeFillShade="D9"/>
        <w:rPr>
          <w:rFonts w:cs="Arial"/>
        </w:rPr>
      </w:pPr>
      <w:r>
        <w:t xml:space="preserve">The universe includes workers </w:t>
      </w:r>
      <w:r w:rsidR="02485993">
        <w:t xml:space="preserve">who are nonexempt from the FLSA including those </w:t>
      </w:r>
      <w:r>
        <w:t xml:space="preserve">from </w:t>
      </w:r>
      <w:r w:rsidR="33C6EFF5">
        <w:t>selected</w:t>
      </w:r>
      <w:r>
        <w:t xml:space="preserve"> industries </w:t>
      </w:r>
      <w:r w:rsidR="00BF3D6B">
        <w:t>of interest to DOL</w:t>
      </w:r>
      <w:r>
        <w:t xml:space="preserve">. </w:t>
      </w:r>
    </w:p>
    <w:p w:rsidR="004554B1" w:rsidP="00D90EF6" w14:paraId="12B16523" w14:textId="77777777"/>
    <w:p w:rsidR="00945CD6" w:rsidRPr="0072204D" w:rsidP="00436F5E" w14:paraId="3A819D6C" w14:textId="77777777">
      <w:pPr>
        <w:spacing w:after="120"/>
        <w:rPr>
          <w:b/>
        </w:rPr>
      </w:pPr>
      <w:r>
        <w:rPr>
          <w:b/>
        </w:rPr>
        <w:t xml:space="preserve">A3. </w:t>
      </w:r>
      <w:r w:rsidRPr="0072204D">
        <w:rPr>
          <w:b/>
        </w:rPr>
        <w:t>Improved Information Technology to Reduce Burden</w:t>
      </w:r>
    </w:p>
    <w:p w:rsidR="00D90EF6" w:rsidP="00436F5E" w14:paraId="067A01C5" w14:textId="1C27CD22">
      <w:pPr>
        <w:shd w:val="clear" w:color="auto" w:fill="D9D9D9"/>
      </w:pPr>
      <w:r>
        <w:t xml:space="preserve">We will use electronic Zoom to conduct </w:t>
      </w:r>
      <w:r w:rsidR="003255AE">
        <w:t>cognitive interviews</w:t>
      </w:r>
      <w:r>
        <w:t>. This will allow us to obtain participants from across the country and reduce the burden on the participants by eliminating the need to travel.</w:t>
      </w:r>
      <w:r w:rsidR="00637CDD">
        <w:t xml:space="preserve"> </w:t>
      </w:r>
    </w:p>
    <w:p w:rsidR="00990D87" w:rsidP="00436F5E" w14:paraId="176C8DF8" w14:textId="77777777">
      <w:pPr>
        <w:spacing w:after="120"/>
        <w:rPr>
          <w:b/>
        </w:rPr>
      </w:pPr>
    </w:p>
    <w:p w:rsidR="00945CD6" w:rsidRPr="0072204D" w:rsidP="00436F5E" w14:paraId="2512794B" w14:textId="0890006A">
      <w:pPr>
        <w:spacing w:after="120"/>
        <w:rPr>
          <w:b/>
        </w:rPr>
      </w:pPr>
      <w:r>
        <w:rPr>
          <w:b/>
        </w:rPr>
        <w:t xml:space="preserve">A4. </w:t>
      </w:r>
      <w:r w:rsidRPr="0072204D">
        <w:rPr>
          <w:b/>
        </w:rPr>
        <w:t>Efforts to Identify Duplication</w:t>
      </w:r>
    </w:p>
    <w:p w:rsidR="003255AE" w:rsidRPr="004967CA" w:rsidP="003255AE" w14:paraId="1E5AC736" w14:textId="0A7B77E8">
      <w:pPr>
        <w:shd w:val="clear" w:color="auto" w:fill="D9D9D9"/>
      </w:pPr>
      <w:r>
        <w:t xml:space="preserve">Cognitive interviews conducted under this Generic Clearance will not duplicate instrument development activities by any other studies. </w:t>
      </w:r>
      <w:r w:rsidRPr="004967CA">
        <w:t xml:space="preserve">Many questions in the survey are new or have not been used in a self-administered survey previously. Because of this, the cognitive testing is necessary to </w:t>
      </w:r>
      <w:r>
        <w:t xml:space="preserve">ensure the accuracy of the survey. </w:t>
      </w:r>
      <w:r w:rsidRPr="004967CA">
        <w:t>The information is not available elsewhere.</w:t>
      </w:r>
      <w:r>
        <w:t xml:space="preserve"> </w:t>
      </w:r>
    </w:p>
    <w:p w:rsidR="00D90EF6" w:rsidP="00436F5E" w14:paraId="064AFC24" w14:textId="77777777">
      <w:pPr>
        <w:shd w:val="clear" w:color="auto" w:fill="D9D9D9"/>
      </w:pPr>
    </w:p>
    <w:p w:rsidR="00436F5E" w:rsidP="00436F5E" w14:paraId="725B9FCE" w14:textId="77777777">
      <w:pPr>
        <w:spacing w:after="120"/>
        <w:rPr>
          <w:b/>
        </w:rPr>
      </w:pPr>
    </w:p>
    <w:p w:rsidR="00945CD6" w:rsidRPr="0072204D" w:rsidP="00436F5E" w14:paraId="400E9AFF" w14:textId="77777777">
      <w:pPr>
        <w:spacing w:after="120"/>
        <w:rPr>
          <w:b/>
        </w:rPr>
      </w:pPr>
      <w:r>
        <w:rPr>
          <w:b/>
        </w:rPr>
        <w:t xml:space="preserve">A5. </w:t>
      </w:r>
      <w:r w:rsidRPr="0072204D">
        <w:rPr>
          <w:b/>
        </w:rPr>
        <w:t>Involvement of Small Organizations</w:t>
      </w:r>
    </w:p>
    <w:p w:rsidR="00D90EF6" w:rsidP="00436F5E" w14:paraId="0B5CF78A" w14:textId="1CF89329">
      <w:pPr>
        <w:shd w:val="clear" w:color="auto" w:fill="D9D9D9"/>
      </w:pPr>
      <w:r>
        <w:t xml:space="preserve">The </w:t>
      </w:r>
      <w:r w:rsidR="003255AE">
        <w:t>cognitive interviews</w:t>
      </w:r>
      <w:r>
        <w:t xml:space="preserve"> will impose a minimal burden on this sector of the economy. </w:t>
      </w:r>
      <w:r w:rsidR="00D6431C">
        <w:t xml:space="preserve">For recruitment of workers for the </w:t>
      </w:r>
      <w:r w:rsidR="00D14A14">
        <w:t>cognitive interviews</w:t>
      </w:r>
      <w:r w:rsidR="00D6431C">
        <w:t xml:space="preserve">, we will ask </w:t>
      </w:r>
      <w:r w:rsidR="00D14A14">
        <w:t xml:space="preserve">several </w:t>
      </w:r>
      <w:r w:rsidR="00D6431C">
        <w:t>workers’ right</w:t>
      </w:r>
      <w:r w:rsidR="00A57D52">
        <w:t>s</w:t>
      </w:r>
      <w:r w:rsidR="00D6431C">
        <w:t xml:space="preserve"> organizations to </w:t>
      </w:r>
      <w:r w:rsidR="00105AE9">
        <w:t>distribute</w:t>
      </w:r>
      <w:r w:rsidR="00D6431C">
        <w:t xml:space="preserve"> </w:t>
      </w:r>
      <w:r w:rsidR="00E54908">
        <w:t>our</w:t>
      </w:r>
      <w:r w:rsidR="00D6431C">
        <w:t xml:space="preserve"> advertisement</w:t>
      </w:r>
      <w:r w:rsidR="001E1C6D">
        <w:t xml:space="preserve"> </w:t>
      </w:r>
      <w:r w:rsidR="00105AE9">
        <w:t>to their members</w:t>
      </w:r>
      <w:r w:rsidR="00D6431C">
        <w:t>.</w:t>
      </w:r>
    </w:p>
    <w:p w:rsidR="00D90EF6" w:rsidP="00436F5E" w14:paraId="089126E1" w14:textId="77777777">
      <w:pPr>
        <w:shd w:val="clear" w:color="auto" w:fill="D9D9D9"/>
      </w:pPr>
    </w:p>
    <w:p w:rsidR="008C78B4" w:rsidP="00292B70" w14:paraId="438D2CA0" w14:textId="77777777">
      <w:pPr>
        <w:rPr>
          <w:b/>
        </w:rPr>
      </w:pPr>
    </w:p>
    <w:p w:rsidR="00945CD6" w:rsidRPr="0072204D" w:rsidP="00436F5E" w14:paraId="19F5DA62" w14:textId="77777777">
      <w:pPr>
        <w:spacing w:after="120"/>
        <w:rPr>
          <w:b/>
        </w:rPr>
      </w:pPr>
      <w:r>
        <w:rPr>
          <w:b/>
        </w:rPr>
        <w:t xml:space="preserve">A6. </w:t>
      </w:r>
      <w:r w:rsidRPr="0072204D">
        <w:rPr>
          <w:b/>
        </w:rPr>
        <w:t>Consequences of Less Frequent Data Collection</w:t>
      </w:r>
    </w:p>
    <w:p w:rsidR="00D90EF6" w:rsidP="060E1DFF" w14:paraId="07C7966E" w14:textId="492429A8">
      <w:pPr>
        <w:shd w:val="clear" w:color="auto" w:fill="D9D9D9" w:themeFill="background1" w:themeFillShade="D9"/>
      </w:pPr>
      <w:r>
        <w:t>This is a one-time data collection to inform survey design</w:t>
      </w:r>
      <w:r w:rsidR="003255AE">
        <w:t>, conducted in three rounds</w:t>
      </w:r>
      <w:r>
        <w:t>.</w:t>
      </w:r>
    </w:p>
    <w:p w:rsidR="00D90EF6" w:rsidP="00436F5E" w14:paraId="0EE2AF9D" w14:textId="77777777">
      <w:pPr>
        <w:shd w:val="clear" w:color="auto" w:fill="D9D9D9"/>
      </w:pPr>
    </w:p>
    <w:p w:rsidR="005046F0" w:rsidP="005046F0" w14:paraId="2977CF9C" w14:textId="77777777">
      <w:pPr>
        <w:ind w:left="360"/>
      </w:pPr>
    </w:p>
    <w:p w:rsidR="00945CD6" w:rsidRPr="0072204D" w:rsidP="00436F5E" w14:paraId="746468A3" w14:textId="77777777">
      <w:pPr>
        <w:spacing w:after="120"/>
        <w:rPr>
          <w:b/>
        </w:rPr>
      </w:pPr>
      <w:r>
        <w:rPr>
          <w:b/>
        </w:rPr>
        <w:t xml:space="preserve">A7. </w:t>
      </w:r>
      <w:r w:rsidRPr="0072204D">
        <w:rPr>
          <w:b/>
        </w:rPr>
        <w:t>Special Circumstances</w:t>
      </w:r>
    </w:p>
    <w:p w:rsidR="00285023" w:rsidRPr="007375DE" w:rsidP="00436F5E" w14:paraId="184001D4" w14:textId="77777777">
      <w:pPr>
        <w:shd w:val="clear" w:color="auto" w:fill="D9D9D9"/>
      </w:pPr>
    </w:p>
    <w:p w:rsidR="00BE7952" w:rsidP="00436F5E" w14:paraId="21645CEA" w14:textId="640BB04C">
      <w:pPr>
        <w:shd w:val="clear" w:color="auto" w:fill="D9D9D9"/>
      </w:pPr>
      <w:r>
        <w:t>We will use the r</w:t>
      </w:r>
      <w:r w:rsidRPr="00285023">
        <w:t xml:space="preserve">ace and </w:t>
      </w:r>
      <w:r>
        <w:t>e</w:t>
      </w:r>
      <w:r w:rsidRPr="00285023">
        <w:t xml:space="preserve">thnicity </w:t>
      </w:r>
      <w:r>
        <w:t>q</w:t>
      </w:r>
      <w:r w:rsidRPr="00285023">
        <w:t>uestion</w:t>
      </w:r>
      <w:r>
        <w:t>s</w:t>
      </w:r>
      <w:r w:rsidRPr="00285023">
        <w:t xml:space="preserve"> with </w:t>
      </w:r>
      <w:r>
        <w:t>m</w:t>
      </w:r>
      <w:r w:rsidRPr="00285023">
        <w:t xml:space="preserve">inimum </w:t>
      </w:r>
      <w:r>
        <w:t>c</w:t>
      </w:r>
      <w:r w:rsidRPr="00285023">
        <w:t xml:space="preserve">ategories </w:t>
      </w:r>
      <w:r>
        <w:t>only</w:t>
      </w:r>
      <w:r w:rsidRPr="00285023">
        <w:t xml:space="preserve"> and </w:t>
      </w:r>
      <w:r>
        <w:t>e</w:t>
      </w:r>
      <w:r w:rsidRPr="00285023">
        <w:t>xamples</w:t>
      </w:r>
      <w:r>
        <w:t xml:space="preserve"> as opposed to the version including m</w:t>
      </w:r>
      <w:r w:rsidRPr="00285023">
        <w:t xml:space="preserve">ultiple </w:t>
      </w:r>
      <w:r>
        <w:t>d</w:t>
      </w:r>
      <w:r w:rsidRPr="00285023">
        <w:t xml:space="preserve">etailed </w:t>
      </w:r>
      <w:r>
        <w:t>c</w:t>
      </w:r>
      <w:r w:rsidRPr="00285023">
        <w:t xml:space="preserve">heckboxes and </w:t>
      </w:r>
      <w:r>
        <w:t>w</w:t>
      </w:r>
      <w:r w:rsidRPr="00285023">
        <w:t>rite-</w:t>
      </w:r>
      <w:r>
        <w:t>i</w:t>
      </w:r>
      <w:r w:rsidRPr="00285023">
        <w:t xml:space="preserve">n </w:t>
      </w:r>
      <w:r>
        <w:t>r</w:t>
      </w:r>
      <w:r w:rsidRPr="00285023">
        <w:t xml:space="preserve">esponse </w:t>
      </w:r>
      <w:r>
        <w:t>a</w:t>
      </w:r>
      <w:r w:rsidRPr="00285023">
        <w:t>reas</w:t>
      </w:r>
      <w:r>
        <w:t xml:space="preserve">. The screener is a web screener for qualitative research. </w:t>
      </w:r>
      <w:r w:rsidRPr="00285023">
        <w:t xml:space="preserve">The small, purposive sample is not intended to be representative or used for statistical comparisons. The purpose of asking the race/ethnicity question is only to gauge whether of mix of participants by </w:t>
      </w:r>
      <w:r w:rsidR="00B764EE">
        <w:t xml:space="preserve">broad </w:t>
      </w:r>
      <w:r w:rsidRPr="00285023">
        <w:t>race/ethnicity</w:t>
      </w:r>
      <w:r w:rsidR="00B764EE">
        <w:t xml:space="preserve"> categories</w:t>
      </w:r>
      <w:r w:rsidRPr="00285023">
        <w:t xml:space="preserve"> is achieved. The additional detail will not be used and we do not believe justifies the additional burden to respondents.</w:t>
      </w:r>
      <w:r w:rsidR="003D373A">
        <w:t xml:space="preserve"> The race and ethnicity question in the main survey will not be asked in the cognitive interviews.</w:t>
      </w:r>
    </w:p>
    <w:p w:rsidR="00285023" w:rsidP="00436F5E" w14:paraId="5BE8DD2F" w14:textId="77777777">
      <w:pPr>
        <w:shd w:val="clear" w:color="auto" w:fill="D9D9D9"/>
      </w:pPr>
    </w:p>
    <w:p w:rsidR="00D90EF6" w:rsidP="00D90EF6" w14:paraId="224D39DA" w14:textId="77777777">
      <w:pPr>
        <w:rPr>
          <w:b/>
        </w:rPr>
      </w:pPr>
    </w:p>
    <w:p w:rsidR="00D90EF6" w:rsidP="00436F5E" w14:paraId="07B1268F" w14:textId="77777777">
      <w:pPr>
        <w:spacing w:after="120"/>
        <w:rPr>
          <w:b/>
        </w:rPr>
      </w:pPr>
      <w:r w:rsidRPr="000D53DF">
        <w:rPr>
          <w:b/>
        </w:rPr>
        <w:t xml:space="preserve">A8. </w:t>
      </w:r>
      <w:r w:rsidRPr="000D53DF" w:rsidR="00945CD6">
        <w:rPr>
          <w:b/>
        </w:rPr>
        <w:t>Federal Register Notice and Consultation</w:t>
      </w:r>
    </w:p>
    <w:p w:rsidR="004104C0" w:rsidP="004104C0" w14:paraId="01F31836" w14:textId="5A9320A0">
      <w:pPr>
        <w:shd w:val="clear" w:color="auto" w:fill="D9D9D9"/>
      </w:pPr>
      <w:r w:rsidRPr="008167FD">
        <w:t>No public comments are requested for this information collection.</w:t>
      </w:r>
    </w:p>
    <w:p w:rsidR="00134CA9" w:rsidRPr="00BE7952" w:rsidP="004104C0" w14:paraId="5A5B7B58" w14:textId="77777777">
      <w:pPr>
        <w:shd w:val="clear" w:color="auto" w:fill="D9D9D9"/>
        <w:rPr>
          <w:b/>
        </w:rPr>
      </w:pPr>
    </w:p>
    <w:p w:rsidR="008F10A2" w:rsidP="00436F5E" w14:paraId="59E3F10E" w14:textId="77777777"/>
    <w:p w:rsidR="00B91D97" w:rsidRPr="00B91D97" w:rsidP="00436F5E" w14:paraId="18A3931C" w14:textId="77777777">
      <w:pPr>
        <w:pStyle w:val="Heading4"/>
        <w:rPr>
          <w:rFonts w:ascii="Times New Roman" w:hAnsi="Times New Roman"/>
          <w:i/>
          <w:sz w:val="24"/>
          <w:szCs w:val="24"/>
        </w:rPr>
      </w:pPr>
      <w:r w:rsidRPr="004B63ED">
        <w:rPr>
          <w:rFonts w:ascii="Times New Roman" w:hAnsi="Times New Roman"/>
          <w:i/>
          <w:sz w:val="24"/>
          <w:szCs w:val="24"/>
        </w:rPr>
        <w:t>Consultation with Experts Outside of the Study</w:t>
      </w:r>
    </w:p>
    <w:p w:rsidR="008F10A2" w:rsidRPr="00355385" w:rsidP="00436F5E" w14:paraId="564F57A9" w14:textId="4D37C34F">
      <w:pPr>
        <w:shd w:val="clear" w:color="auto" w:fill="D9D9D9"/>
      </w:pPr>
      <w:r w:rsidRPr="00134CA9">
        <w:t xml:space="preserve">The project has a Technical Working Group (TWG) consisting of five experts. The TWG </w:t>
      </w:r>
      <w:r w:rsidRPr="00134CA9" w:rsidR="00DA0373">
        <w:t xml:space="preserve">met to </w:t>
      </w:r>
      <w:r w:rsidRPr="00134CA9">
        <w:t xml:space="preserve">review and </w:t>
      </w:r>
      <w:r w:rsidRPr="00134CA9" w:rsidR="00DA0373">
        <w:t xml:space="preserve">provide </w:t>
      </w:r>
      <w:r w:rsidRPr="00134CA9">
        <w:t xml:space="preserve">comments on the </w:t>
      </w:r>
      <w:r w:rsidRPr="00134CA9" w:rsidR="00107EAE">
        <w:t>survey instrument</w:t>
      </w:r>
      <w:r w:rsidR="00134CA9">
        <w:t xml:space="preserve"> </w:t>
      </w:r>
      <w:r w:rsidRPr="00226788" w:rsidR="00134CA9">
        <w:t>on October 10, 2023</w:t>
      </w:r>
      <w:r w:rsidRPr="00134CA9" w:rsidR="00107EAE">
        <w:t xml:space="preserve">. TWG members </w:t>
      </w:r>
      <w:r w:rsidR="00134CA9">
        <w:t xml:space="preserve">also </w:t>
      </w:r>
      <w:r w:rsidR="00BF3D6B">
        <w:t>provided suggestions for areas to be explored in</w:t>
      </w:r>
      <w:r w:rsidRPr="00134CA9" w:rsidR="00107EAE">
        <w:t xml:space="preserve"> cognitive interviews.</w:t>
      </w:r>
    </w:p>
    <w:p w:rsidR="00436F5E" w:rsidRPr="00E72E9A" w:rsidP="00436F5E" w14:paraId="3CE2DAF7" w14:textId="77777777">
      <w:pPr>
        <w:shd w:val="clear" w:color="auto" w:fill="D9D9D9"/>
        <w:rPr>
          <w:highlight w:val="yellow"/>
        </w:rPr>
      </w:pPr>
    </w:p>
    <w:p w:rsidR="00D90EF6" w:rsidP="00292B70" w14:paraId="65F71723" w14:textId="77777777">
      <w:pPr>
        <w:rPr>
          <w:b/>
        </w:rPr>
      </w:pPr>
    </w:p>
    <w:p w:rsidR="00945CD6" w:rsidRPr="0072204D" w:rsidP="00436F5E" w14:paraId="533F78A6" w14:textId="77777777">
      <w:pPr>
        <w:spacing w:after="120"/>
        <w:rPr>
          <w:b/>
        </w:rPr>
      </w:pPr>
      <w:r>
        <w:rPr>
          <w:b/>
        </w:rPr>
        <w:t xml:space="preserve">A9. </w:t>
      </w:r>
      <w:r w:rsidR="00B66874">
        <w:rPr>
          <w:b/>
        </w:rPr>
        <w:t>Incentives for</w:t>
      </w:r>
      <w:r w:rsidRPr="0072204D">
        <w:rPr>
          <w:b/>
        </w:rPr>
        <w:t xml:space="preserve"> Respondents</w:t>
      </w:r>
    </w:p>
    <w:p w:rsidR="00D90EF6" w:rsidRPr="00BE7952" w:rsidP="00436F5E" w14:paraId="45045777" w14:textId="57D26C99">
      <w:pPr>
        <w:shd w:val="clear" w:color="auto" w:fill="D9D9D9"/>
        <w:rPr>
          <w:b/>
        </w:rPr>
      </w:pPr>
      <w:r w:rsidRPr="008167FD">
        <w:t xml:space="preserve">We propose a $50 gift card </w:t>
      </w:r>
      <w:r w:rsidRPr="008167FD" w:rsidR="00237BAA">
        <w:t>incentive for</w:t>
      </w:r>
      <w:r w:rsidRPr="008167FD" w:rsidR="00BE7952">
        <w:t xml:space="preserve"> respondents for this information collection.</w:t>
      </w:r>
    </w:p>
    <w:p w:rsidR="00D90EF6" w:rsidP="00436F5E" w14:paraId="4F00BB29" w14:textId="77777777">
      <w:pPr>
        <w:shd w:val="clear" w:color="auto" w:fill="D9D9D9"/>
      </w:pPr>
    </w:p>
    <w:p w:rsidR="004222F8" w:rsidP="004222F8" w14:paraId="6A18FCB8" w14:textId="77777777">
      <w:pPr>
        <w:spacing w:after="120"/>
        <w:rPr>
          <w:b/>
        </w:rPr>
      </w:pPr>
    </w:p>
    <w:p w:rsidR="004222F8" w:rsidRPr="0072204D" w:rsidP="004222F8" w14:paraId="5BA3FD1A" w14:textId="77777777">
      <w:pPr>
        <w:spacing w:after="120"/>
        <w:rPr>
          <w:b/>
        </w:rPr>
      </w:pPr>
      <w:r>
        <w:rPr>
          <w:b/>
        </w:rPr>
        <w:t>A10. Privacy</w:t>
      </w:r>
      <w:r w:rsidRPr="0072204D">
        <w:rPr>
          <w:b/>
        </w:rPr>
        <w:t xml:space="preserve"> of Respondents</w:t>
      </w:r>
    </w:p>
    <w:p w:rsidR="004222F8" w:rsidRPr="00436F5E" w:rsidP="00436F5E" w14:paraId="3D31BB9E" w14:textId="77777777">
      <w:pPr>
        <w:widowControl w:val="0"/>
        <w:autoSpaceDE w:val="0"/>
        <w:autoSpaceDN w:val="0"/>
        <w:adjustRightInd w:val="0"/>
      </w:pPr>
      <w:r w:rsidRPr="00436F5E">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4222F8" w:rsidRPr="00436F5E" w:rsidP="008C78B4" w14:paraId="37F768D3" w14:textId="77777777">
      <w:pPr>
        <w:widowControl w:val="0"/>
        <w:autoSpaceDE w:val="0"/>
        <w:autoSpaceDN w:val="0"/>
        <w:adjustRightInd w:val="0"/>
        <w:ind w:left="360"/>
      </w:pPr>
    </w:p>
    <w:p w:rsidR="004222F8" w:rsidP="00436F5E" w14:paraId="297D4AFC" w14:textId="705D0D3B">
      <w:pPr>
        <w:widowControl w:val="0"/>
        <w:autoSpaceDE w:val="0"/>
        <w:autoSpaceDN w:val="0"/>
        <w:adjustRightInd w:val="0"/>
      </w:pPr>
      <w:r>
        <w:t xml:space="preserve">As specified in the contract, the Contractor shall protect respondent privacy to the extent permitted by law and will comply with all Federal and Departmental regulations for private information. </w:t>
      </w:r>
      <w:r w:rsidRPr="00A97502">
        <w:t>The Contractor has developed a Data Safety and Monitoring Plan that assesses all protections of respondents’ personally identifiable information.</w:t>
      </w:r>
      <w:r>
        <w:t xml:space="preserve"> The Contractor shall ensure that all of its employees, subcontractors (at all tiers), and employees of each subcontractor, who perform work under this contract/subcontract, are trained on data privacy issues and comply with the above requirements. </w:t>
      </w:r>
      <w:r w:rsidR="4B6424D8">
        <w:t>All project staff are required to sign the Contractor’s own Pledge of Confidentiality.</w:t>
      </w:r>
    </w:p>
    <w:p w:rsidR="00134CA9" w:rsidRPr="00436F5E" w:rsidP="00436F5E" w14:paraId="076CA44D" w14:textId="77777777">
      <w:pPr>
        <w:widowControl w:val="0"/>
        <w:autoSpaceDE w:val="0"/>
        <w:autoSpaceDN w:val="0"/>
        <w:adjustRightInd w:val="0"/>
      </w:pPr>
    </w:p>
    <w:p w:rsidR="00436F5E" w:rsidRPr="00436F5E" w:rsidP="00436F5E" w14:paraId="444D1E7F" w14:textId="20586BD5">
      <w:pPr>
        <w:widowControl w:val="0"/>
        <w:autoSpaceDE w:val="0"/>
        <w:autoSpaceDN w:val="0"/>
        <w:adjustRightInd w:val="0"/>
      </w:pPr>
      <w:r w:rsidRPr="00436F5E">
        <w:t xml:space="preserve">As specified in the contract, the Contractor shall use Federal Information Processing Standard </w:t>
      </w:r>
      <w:r w:rsidRPr="00436F5E">
        <w:t xml:space="preserve">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w:t>
      </w:r>
      <w:r w:rsidR="009E54F7">
        <w:t>shall</w:t>
      </w:r>
      <w:r w:rsidRPr="00436F5E">
        <w:t xml:space="preserve"> submit a plan for minimizing to the extent possible the inclusion of sensitive information on paper records and for the protection of any paper records, field notes, or other documents that contain sensitive or personally identifiable information that ensures secure storage and limits on access.  </w:t>
      </w:r>
    </w:p>
    <w:p w:rsidR="00436F5E" w:rsidRPr="00436F5E" w:rsidP="00436F5E" w14:paraId="2D3DC88E" w14:textId="77777777">
      <w:pPr>
        <w:widowControl w:val="0"/>
        <w:autoSpaceDE w:val="0"/>
        <w:autoSpaceDN w:val="0"/>
        <w:adjustRightInd w:val="0"/>
      </w:pPr>
    </w:p>
    <w:p w:rsidR="00945CD6" w:rsidRPr="0072204D" w:rsidP="00436F5E" w14:paraId="61AFEAF9" w14:textId="77777777">
      <w:pPr>
        <w:spacing w:after="120"/>
        <w:rPr>
          <w:b/>
        </w:rPr>
      </w:pPr>
      <w:r>
        <w:rPr>
          <w:b/>
        </w:rPr>
        <w:t xml:space="preserve">A11. </w:t>
      </w:r>
      <w:r w:rsidRPr="0072204D">
        <w:rPr>
          <w:b/>
        </w:rPr>
        <w:t>Sensitive Questions</w:t>
      </w:r>
    </w:p>
    <w:p w:rsidR="00D90EF6" w:rsidP="00436F5E" w14:paraId="34D64F5D" w14:textId="77777777">
      <w:pPr>
        <w:shd w:val="clear" w:color="auto" w:fill="D9D9D9"/>
      </w:pPr>
      <w:r w:rsidRPr="00990572">
        <w:t>There are no sensitive questions in this data collection.</w:t>
      </w:r>
    </w:p>
    <w:p w:rsidR="00D90EF6" w:rsidP="00436F5E" w14:paraId="1CAF74C2" w14:textId="77777777">
      <w:pPr>
        <w:shd w:val="clear" w:color="auto" w:fill="D9D9D9"/>
      </w:pPr>
    </w:p>
    <w:p w:rsidR="005046F0" w:rsidP="005046F0" w14:paraId="121F0561" w14:textId="77777777">
      <w:pPr>
        <w:ind w:left="360"/>
      </w:pPr>
    </w:p>
    <w:p w:rsidR="00945CD6" w:rsidRPr="0072204D" w:rsidP="00436F5E" w14:paraId="4B1E17FB" w14:textId="77777777">
      <w:pPr>
        <w:spacing w:after="120"/>
        <w:rPr>
          <w:b/>
        </w:rPr>
      </w:pPr>
      <w:r>
        <w:rPr>
          <w:b/>
        </w:rPr>
        <w:t xml:space="preserve">A12. </w:t>
      </w:r>
      <w:r w:rsidRPr="0072204D">
        <w:rPr>
          <w:b/>
        </w:rPr>
        <w:t>Estimation of Information Collection Burden</w:t>
      </w:r>
    </w:p>
    <w:p w:rsidR="00A35B0D" w:rsidP="00A35B0D" w14:paraId="5C8AC56F" w14:textId="77777777">
      <w:r w:rsidRPr="00A35B0D">
        <w:rPr>
          <w:b/>
        </w:rPr>
        <w:t>Total Burden Requested Under this Information Collection</w:t>
      </w:r>
    </w:p>
    <w:p w:rsidR="00436F5E" w:rsidP="00A35B0D" w14:paraId="52C51794" w14:textId="3919A736">
      <w:pPr>
        <w:rPr>
          <w:szCs w:val="18"/>
        </w:rPr>
      </w:pPr>
      <w:r>
        <w:rPr>
          <w:szCs w:val="18"/>
        </w:rPr>
        <w:t xml:space="preserve">The </w:t>
      </w:r>
      <w:r w:rsidR="00EE6397">
        <w:rPr>
          <w:szCs w:val="18"/>
        </w:rPr>
        <w:t xml:space="preserve">table below summaries the burden </w:t>
      </w:r>
      <w:r w:rsidR="00CA08EE">
        <w:rPr>
          <w:szCs w:val="18"/>
        </w:rPr>
        <w:t xml:space="preserve">by instrument. The </w:t>
      </w:r>
      <w:r w:rsidR="006C5B3D">
        <w:rPr>
          <w:szCs w:val="18"/>
        </w:rPr>
        <w:t>average hourly wage for respondents to the screene</w:t>
      </w:r>
      <w:r w:rsidR="00ED6458">
        <w:rPr>
          <w:szCs w:val="18"/>
        </w:rPr>
        <w:t>r</w:t>
      </w:r>
      <w:r w:rsidR="006C5B3D">
        <w:rPr>
          <w:szCs w:val="18"/>
        </w:rPr>
        <w:t xml:space="preserve"> and interview guide is </w:t>
      </w:r>
      <w:r w:rsidR="00ED6458">
        <w:rPr>
          <w:szCs w:val="18"/>
        </w:rPr>
        <w:t>based on estimates from the Economic Policy Institute.</w:t>
      </w:r>
      <w:r>
        <w:rPr>
          <w:rStyle w:val="FootnoteReference"/>
          <w:szCs w:val="18"/>
        </w:rPr>
        <w:footnoteReference w:id="11"/>
      </w:r>
      <w:r w:rsidR="00ED6458">
        <w:rPr>
          <w:szCs w:val="18"/>
        </w:rPr>
        <w:t xml:space="preserve"> </w:t>
      </w:r>
    </w:p>
    <w:p w:rsidR="001636C4" w:rsidRPr="00A35B0D" w:rsidP="00A35B0D" w14:paraId="4A3B1876" w14:textId="77777777">
      <w:bookmarkStart w:id="4" w:name="_Hlk141273733"/>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26"/>
        <w:gridCol w:w="7"/>
        <w:gridCol w:w="1239"/>
        <w:gridCol w:w="1369"/>
        <w:gridCol w:w="1161"/>
        <w:gridCol w:w="983"/>
        <w:gridCol w:w="805"/>
        <w:gridCol w:w="894"/>
        <w:gridCol w:w="866"/>
      </w:tblGrid>
      <w:tr w14:paraId="4F56A641" w14:textId="77777777" w:rsidTr="00370860">
        <w:tblPrEx>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157" w:type="dxa"/>
            <w:gridSpan w:val="2"/>
            <w:shd w:val="clear" w:color="auto" w:fill="BFBFBF" w:themeFill="background1" w:themeFillShade="BF"/>
            <w:vAlign w:val="center"/>
          </w:tcPr>
          <w:p w:rsidR="00C1674B" w:rsidRPr="00BD4CFB" w:rsidP="00124EBF" w14:paraId="6E2663F3" w14:textId="77777777">
            <w:pPr>
              <w:jc w:val="center"/>
              <w:rPr>
                <w:sz w:val="20"/>
                <w:szCs w:val="20"/>
              </w:rPr>
            </w:pPr>
            <w:r w:rsidRPr="00BD4CFB">
              <w:rPr>
                <w:sz w:val="20"/>
                <w:szCs w:val="20"/>
              </w:rPr>
              <w:t>Instrument</w:t>
            </w:r>
          </w:p>
        </w:tc>
        <w:tc>
          <w:tcPr>
            <w:tcW w:w="1168" w:type="dxa"/>
            <w:shd w:val="clear" w:color="auto" w:fill="BFBFBF" w:themeFill="background1" w:themeFillShade="BF"/>
            <w:vAlign w:val="center"/>
          </w:tcPr>
          <w:p w:rsidR="00C1674B" w:rsidRPr="00BD4CFB" w:rsidP="00124EBF" w14:paraId="51D563A7" w14:textId="77777777">
            <w:pPr>
              <w:jc w:val="center"/>
              <w:rPr>
                <w:sz w:val="20"/>
                <w:szCs w:val="20"/>
              </w:rPr>
            </w:pPr>
            <w:r>
              <w:rPr>
                <w:sz w:val="20"/>
                <w:szCs w:val="20"/>
              </w:rPr>
              <w:t xml:space="preserve">Total </w:t>
            </w:r>
            <w:r w:rsidRPr="00BD4CFB">
              <w:rPr>
                <w:sz w:val="20"/>
                <w:szCs w:val="20"/>
              </w:rPr>
              <w:t>Number of Respondents</w:t>
            </w:r>
          </w:p>
        </w:tc>
        <w:tc>
          <w:tcPr>
            <w:tcW w:w="1354" w:type="dxa"/>
            <w:shd w:val="clear" w:color="auto" w:fill="BFBFBF" w:themeFill="background1" w:themeFillShade="BF"/>
            <w:vAlign w:val="center"/>
          </w:tcPr>
          <w:p w:rsidR="00C1674B" w:rsidRPr="00BD4CFB" w:rsidP="00C1674B" w14:paraId="025CD99C" w14:textId="77777777">
            <w:pPr>
              <w:jc w:val="center"/>
              <w:rPr>
                <w:sz w:val="20"/>
                <w:szCs w:val="20"/>
              </w:rPr>
            </w:pPr>
            <w:r>
              <w:rPr>
                <w:sz w:val="20"/>
                <w:szCs w:val="20"/>
              </w:rPr>
              <w:t xml:space="preserve">Annual </w:t>
            </w:r>
            <w:r w:rsidRPr="00BD4CFB">
              <w:rPr>
                <w:sz w:val="20"/>
                <w:szCs w:val="20"/>
              </w:rPr>
              <w:t>Number of Respondents</w:t>
            </w:r>
            <w:r>
              <w:rPr>
                <w:rStyle w:val="FootnoteReference"/>
                <w:sz w:val="20"/>
                <w:szCs w:val="20"/>
              </w:rPr>
              <w:footnoteReference w:id="12"/>
            </w:r>
          </w:p>
        </w:tc>
        <w:tc>
          <w:tcPr>
            <w:tcW w:w="1151" w:type="dxa"/>
            <w:shd w:val="clear" w:color="auto" w:fill="BFBFBF" w:themeFill="background1" w:themeFillShade="BF"/>
            <w:vAlign w:val="center"/>
          </w:tcPr>
          <w:p w:rsidR="00C1674B" w:rsidRPr="00BD4CFB" w:rsidP="00124EBF" w14:paraId="3F14E447" w14:textId="77777777">
            <w:pPr>
              <w:jc w:val="center"/>
              <w:rPr>
                <w:sz w:val="20"/>
                <w:szCs w:val="20"/>
              </w:rPr>
            </w:pPr>
            <w:r w:rsidRPr="00BD4CFB">
              <w:rPr>
                <w:sz w:val="20"/>
                <w:szCs w:val="20"/>
              </w:rPr>
              <w:t>Number of Responses Per Respondent</w:t>
            </w:r>
          </w:p>
        </w:tc>
        <w:tc>
          <w:tcPr>
            <w:tcW w:w="975" w:type="dxa"/>
            <w:shd w:val="clear" w:color="auto" w:fill="BFBFBF" w:themeFill="background1" w:themeFillShade="BF"/>
            <w:vAlign w:val="center"/>
          </w:tcPr>
          <w:p w:rsidR="00C1674B" w:rsidRPr="00BD4CFB" w:rsidP="00124EBF" w14:paraId="1F8650E3" w14:textId="77777777">
            <w:pPr>
              <w:jc w:val="center"/>
              <w:rPr>
                <w:sz w:val="20"/>
                <w:szCs w:val="20"/>
              </w:rPr>
            </w:pPr>
            <w:r w:rsidRPr="00BD4CFB">
              <w:rPr>
                <w:sz w:val="20"/>
                <w:szCs w:val="20"/>
              </w:rPr>
              <w:t>Average Burden Hours Per Response</w:t>
            </w:r>
          </w:p>
        </w:tc>
        <w:tc>
          <w:tcPr>
            <w:tcW w:w="799" w:type="dxa"/>
            <w:shd w:val="clear" w:color="auto" w:fill="BFBFBF" w:themeFill="background1" w:themeFillShade="BF"/>
            <w:vAlign w:val="center"/>
          </w:tcPr>
          <w:p w:rsidR="00C1674B" w:rsidRPr="00BD4CFB" w:rsidP="00124EBF" w14:paraId="7ED9DDD1" w14:textId="77777777">
            <w:pPr>
              <w:jc w:val="center"/>
              <w:rPr>
                <w:bCs/>
                <w:sz w:val="20"/>
                <w:szCs w:val="20"/>
              </w:rPr>
            </w:pPr>
            <w:r>
              <w:rPr>
                <w:bCs/>
                <w:sz w:val="20"/>
                <w:szCs w:val="20"/>
              </w:rPr>
              <w:t>Annual Burden Hours</w:t>
            </w:r>
          </w:p>
        </w:tc>
        <w:tc>
          <w:tcPr>
            <w:tcW w:w="887" w:type="dxa"/>
            <w:shd w:val="clear" w:color="auto" w:fill="BFBFBF" w:themeFill="background1" w:themeFillShade="BF"/>
            <w:vAlign w:val="center"/>
          </w:tcPr>
          <w:p w:rsidR="00C1674B" w:rsidRPr="00BD4CFB" w:rsidP="00124EBF" w14:paraId="071F9477" w14:textId="77777777">
            <w:pPr>
              <w:jc w:val="center"/>
              <w:rPr>
                <w:sz w:val="20"/>
                <w:szCs w:val="20"/>
              </w:rPr>
            </w:pPr>
            <w:r w:rsidRPr="00BD4CFB">
              <w:rPr>
                <w:bCs/>
                <w:sz w:val="20"/>
                <w:szCs w:val="20"/>
              </w:rPr>
              <w:t>Average Hourly Wage</w:t>
            </w:r>
          </w:p>
        </w:tc>
        <w:tc>
          <w:tcPr>
            <w:tcW w:w="859" w:type="dxa"/>
            <w:shd w:val="clear" w:color="auto" w:fill="BFBFBF" w:themeFill="background1" w:themeFillShade="BF"/>
            <w:vAlign w:val="center"/>
          </w:tcPr>
          <w:p w:rsidR="00C1674B" w:rsidRPr="00BD4CFB" w:rsidP="00124EBF" w14:paraId="618F3E51" w14:textId="77777777">
            <w:pPr>
              <w:jc w:val="center"/>
              <w:rPr>
                <w:sz w:val="20"/>
                <w:szCs w:val="20"/>
              </w:rPr>
            </w:pPr>
            <w:r w:rsidRPr="00BD4CFB">
              <w:rPr>
                <w:bCs/>
                <w:sz w:val="20"/>
                <w:szCs w:val="20"/>
              </w:rPr>
              <w:t>Total Annual Cost</w:t>
            </w:r>
          </w:p>
        </w:tc>
      </w:tr>
      <w:tr w14:paraId="369511CE" w14:textId="77777777" w:rsidTr="00100621">
        <w:tblPrEx>
          <w:tblW w:w="9350" w:type="dxa"/>
          <w:jc w:val="center"/>
          <w:tblLook w:val="00A0"/>
        </w:tblPrEx>
        <w:trPr>
          <w:trHeight w:val="432"/>
          <w:jc w:val="center"/>
        </w:trPr>
        <w:tc>
          <w:tcPr>
            <w:tcW w:w="2157" w:type="dxa"/>
            <w:gridSpan w:val="2"/>
            <w:vAlign w:val="center"/>
          </w:tcPr>
          <w:p w:rsidR="00B14BBE" w:rsidRPr="00BD4CFB" w:rsidP="00B14BBE" w14:paraId="4A34FCFB" w14:textId="5DBF2FF7">
            <w:pPr>
              <w:tabs>
                <w:tab w:val="center" w:pos="4320"/>
                <w:tab w:val="right" w:pos="8640"/>
              </w:tabs>
              <w:rPr>
                <w:sz w:val="20"/>
                <w:szCs w:val="20"/>
              </w:rPr>
            </w:pPr>
            <w:r>
              <w:rPr>
                <w:sz w:val="20"/>
                <w:szCs w:val="20"/>
              </w:rPr>
              <w:t>Respondent Screener</w:t>
            </w:r>
          </w:p>
        </w:tc>
        <w:tc>
          <w:tcPr>
            <w:tcW w:w="1168" w:type="dxa"/>
            <w:vAlign w:val="center"/>
          </w:tcPr>
          <w:p w:rsidR="00B14BBE" w:rsidRPr="00990572" w:rsidP="001A304E" w14:paraId="6DD9FC34" w14:textId="30372654">
            <w:pPr>
              <w:tabs>
                <w:tab w:val="center" w:pos="4320"/>
                <w:tab w:val="right" w:pos="8640"/>
              </w:tabs>
              <w:jc w:val="center"/>
              <w:rPr>
                <w:sz w:val="20"/>
                <w:szCs w:val="20"/>
              </w:rPr>
            </w:pPr>
            <w:r>
              <w:rPr>
                <w:sz w:val="20"/>
                <w:szCs w:val="20"/>
              </w:rPr>
              <w:t>60</w:t>
            </w:r>
          </w:p>
        </w:tc>
        <w:tc>
          <w:tcPr>
            <w:tcW w:w="1354" w:type="dxa"/>
            <w:vAlign w:val="center"/>
          </w:tcPr>
          <w:p w:rsidR="00B14BBE" w:rsidRPr="00134CA9" w:rsidP="001A304E" w14:paraId="5EAD3A9E" w14:textId="6F4C7CBF">
            <w:pPr>
              <w:tabs>
                <w:tab w:val="center" w:pos="4320"/>
                <w:tab w:val="right" w:pos="8640"/>
              </w:tabs>
              <w:jc w:val="center"/>
              <w:rPr>
                <w:sz w:val="20"/>
                <w:szCs w:val="20"/>
              </w:rPr>
            </w:pPr>
            <w:r w:rsidRPr="00134CA9">
              <w:rPr>
                <w:sz w:val="20"/>
                <w:szCs w:val="20"/>
              </w:rPr>
              <w:t>20</w:t>
            </w:r>
          </w:p>
        </w:tc>
        <w:tc>
          <w:tcPr>
            <w:tcW w:w="1151" w:type="dxa"/>
            <w:vAlign w:val="center"/>
          </w:tcPr>
          <w:p w:rsidR="00B14BBE" w:rsidRPr="00BD4CFB" w:rsidP="001A304E" w14:paraId="36AEB69C" w14:textId="755605CE">
            <w:pPr>
              <w:tabs>
                <w:tab w:val="center" w:pos="4320"/>
                <w:tab w:val="right" w:pos="8640"/>
              </w:tabs>
              <w:jc w:val="center"/>
              <w:rPr>
                <w:sz w:val="20"/>
                <w:szCs w:val="20"/>
              </w:rPr>
            </w:pPr>
            <w:r>
              <w:rPr>
                <w:sz w:val="20"/>
                <w:szCs w:val="20"/>
              </w:rPr>
              <w:t>1</w:t>
            </w:r>
          </w:p>
        </w:tc>
        <w:tc>
          <w:tcPr>
            <w:tcW w:w="975" w:type="dxa"/>
            <w:vAlign w:val="center"/>
          </w:tcPr>
          <w:p w:rsidR="00B14BBE" w:rsidRPr="00BD4CFB" w:rsidP="001A304E" w14:paraId="67A05822" w14:textId="645A9D6D">
            <w:pPr>
              <w:tabs>
                <w:tab w:val="center" w:pos="4320"/>
                <w:tab w:val="right" w:pos="8640"/>
              </w:tabs>
              <w:jc w:val="center"/>
              <w:rPr>
                <w:sz w:val="20"/>
                <w:szCs w:val="20"/>
              </w:rPr>
            </w:pPr>
            <w:r>
              <w:rPr>
                <w:sz w:val="20"/>
                <w:szCs w:val="20"/>
              </w:rPr>
              <w:t>.0835</w:t>
            </w:r>
          </w:p>
        </w:tc>
        <w:tc>
          <w:tcPr>
            <w:tcW w:w="799" w:type="dxa"/>
            <w:vAlign w:val="center"/>
          </w:tcPr>
          <w:p w:rsidR="00B14BBE" w:rsidRPr="003255AE" w:rsidP="001A304E" w14:paraId="0D620BE9" w14:textId="0732569A">
            <w:pPr>
              <w:tabs>
                <w:tab w:val="center" w:pos="4320"/>
                <w:tab w:val="right" w:pos="8640"/>
              </w:tabs>
              <w:jc w:val="center"/>
              <w:rPr>
                <w:sz w:val="20"/>
                <w:szCs w:val="20"/>
                <w:highlight w:val="yellow"/>
              </w:rPr>
            </w:pPr>
            <w:r>
              <w:rPr>
                <w:sz w:val="20"/>
                <w:szCs w:val="20"/>
              </w:rPr>
              <w:t>1.67</w:t>
            </w:r>
          </w:p>
        </w:tc>
        <w:tc>
          <w:tcPr>
            <w:tcW w:w="887" w:type="dxa"/>
            <w:vAlign w:val="center"/>
          </w:tcPr>
          <w:p w:rsidR="00B14BBE" w:rsidRPr="00BD4CFB" w:rsidP="001A304E" w14:paraId="056FB148" w14:textId="206653D7">
            <w:pPr>
              <w:tabs>
                <w:tab w:val="center" w:pos="4320"/>
                <w:tab w:val="right" w:pos="8640"/>
              </w:tabs>
              <w:jc w:val="center"/>
              <w:rPr>
                <w:sz w:val="20"/>
                <w:szCs w:val="20"/>
              </w:rPr>
            </w:pPr>
            <w:r>
              <w:rPr>
                <w:sz w:val="20"/>
                <w:szCs w:val="20"/>
              </w:rPr>
              <w:t>$13.60</w:t>
            </w:r>
          </w:p>
        </w:tc>
        <w:tc>
          <w:tcPr>
            <w:tcW w:w="859" w:type="dxa"/>
            <w:vAlign w:val="center"/>
          </w:tcPr>
          <w:p w:rsidR="00B14BBE" w:rsidRPr="00B14BBE" w:rsidP="001A304E" w14:paraId="28F0BD26" w14:textId="31310918">
            <w:pPr>
              <w:tabs>
                <w:tab w:val="center" w:pos="4320"/>
                <w:tab w:val="right" w:pos="8640"/>
              </w:tabs>
              <w:jc w:val="center"/>
              <w:rPr>
                <w:sz w:val="20"/>
                <w:szCs w:val="20"/>
                <w:highlight w:val="yellow"/>
              </w:rPr>
            </w:pPr>
            <w:r w:rsidRPr="00134CA9">
              <w:rPr>
                <w:color w:val="000000"/>
                <w:sz w:val="20"/>
                <w:szCs w:val="20"/>
              </w:rPr>
              <w:t>$</w:t>
            </w:r>
            <w:r w:rsidR="00B41C99">
              <w:rPr>
                <w:color w:val="000000"/>
                <w:sz w:val="20"/>
                <w:szCs w:val="20"/>
              </w:rPr>
              <w:t>22.71</w:t>
            </w:r>
          </w:p>
        </w:tc>
      </w:tr>
      <w:tr w14:paraId="45D3A690" w14:textId="77777777" w:rsidTr="00100621">
        <w:tblPrEx>
          <w:tblW w:w="9350" w:type="dxa"/>
          <w:jc w:val="center"/>
          <w:tblLook w:val="00A0"/>
        </w:tblPrEx>
        <w:trPr>
          <w:trHeight w:val="432"/>
          <w:jc w:val="center"/>
        </w:trPr>
        <w:tc>
          <w:tcPr>
            <w:tcW w:w="2157" w:type="dxa"/>
            <w:gridSpan w:val="2"/>
            <w:vAlign w:val="center"/>
          </w:tcPr>
          <w:p w:rsidR="00B14BBE" w:rsidRPr="00BD4CFB" w:rsidP="00B14BBE" w14:paraId="0FD8CBC1" w14:textId="723444A8">
            <w:pPr>
              <w:tabs>
                <w:tab w:val="center" w:pos="4320"/>
                <w:tab w:val="right" w:pos="8640"/>
              </w:tabs>
              <w:rPr>
                <w:sz w:val="20"/>
                <w:szCs w:val="20"/>
              </w:rPr>
            </w:pPr>
            <w:r>
              <w:rPr>
                <w:sz w:val="20"/>
                <w:szCs w:val="20"/>
              </w:rPr>
              <w:t>Interview Guide</w:t>
            </w:r>
          </w:p>
        </w:tc>
        <w:tc>
          <w:tcPr>
            <w:tcW w:w="1168" w:type="dxa"/>
            <w:vAlign w:val="center"/>
          </w:tcPr>
          <w:p w:rsidR="00B14BBE" w:rsidRPr="00990572" w:rsidP="001A304E" w14:paraId="0B0D5C45" w14:textId="737565A8">
            <w:pPr>
              <w:tabs>
                <w:tab w:val="center" w:pos="4320"/>
                <w:tab w:val="right" w:pos="8640"/>
              </w:tabs>
              <w:jc w:val="center"/>
              <w:rPr>
                <w:sz w:val="20"/>
                <w:szCs w:val="20"/>
              </w:rPr>
            </w:pPr>
            <w:r>
              <w:rPr>
                <w:sz w:val="20"/>
                <w:szCs w:val="20"/>
              </w:rPr>
              <w:t>45</w:t>
            </w:r>
          </w:p>
        </w:tc>
        <w:tc>
          <w:tcPr>
            <w:tcW w:w="1354" w:type="dxa"/>
            <w:vAlign w:val="center"/>
          </w:tcPr>
          <w:p w:rsidR="00B14BBE" w:rsidRPr="00134CA9" w:rsidP="001A304E" w14:paraId="1A997C8A" w14:textId="119DC5A5">
            <w:pPr>
              <w:tabs>
                <w:tab w:val="center" w:pos="4320"/>
                <w:tab w:val="right" w:pos="8640"/>
              </w:tabs>
              <w:jc w:val="center"/>
              <w:rPr>
                <w:sz w:val="20"/>
                <w:szCs w:val="20"/>
              </w:rPr>
            </w:pPr>
            <w:r w:rsidRPr="00134CA9">
              <w:rPr>
                <w:sz w:val="20"/>
                <w:szCs w:val="20"/>
              </w:rPr>
              <w:t>15</w:t>
            </w:r>
          </w:p>
        </w:tc>
        <w:tc>
          <w:tcPr>
            <w:tcW w:w="1151" w:type="dxa"/>
            <w:vAlign w:val="center"/>
          </w:tcPr>
          <w:p w:rsidR="00B14BBE" w:rsidRPr="00BD4CFB" w:rsidP="001A304E" w14:paraId="0D4B79D3" w14:textId="00299B10">
            <w:pPr>
              <w:tabs>
                <w:tab w:val="center" w:pos="4320"/>
                <w:tab w:val="right" w:pos="8640"/>
              </w:tabs>
              <w:jc w:val="center"/>
              <w:rPr>
                <w:sz w:val="20"/>
                <w:szCs w:val="20"/>
              </w:rPr>
            </w:pPr>
            <w:r>
              <w:rPr>
                <w:sz w:val="20"/>
                <w:szCs w:val="20"/>
              </w:rPr>
              <w:t>1</w:t>
            </w:r>
          </w:p>
        </w:tc>
        <w:tc>
          <w:tcPr>
            <w:tcW w:w="975" w:type="dxa"/>
            <w:vAlign w:val="center"/>
          </w:tcPr>
          <w:p w:rsidR="00B14BBE" w:rsidRPr="00BD4CFB" w:rsidP="001A304E" w14:paraId="238D5644" w14:textId="44E2B181">
            <w:pPr>
              <w:tabs>
                <w:tab w:val="center" w:pos="4320"/>
                <w:tab w:val="right" w:pos="8640"/>
              </w:tabs>
              <w:jc w:val="center"/>
              <w:rPr>
                <w:sz w:val="20"/>
                <w:szCs w:val="20"/>
              </w:rPr>
            </w:pPr>
            <w:r>
              <w:rPr>
                <w:sz w:val="20"/>
                <w:szCs w:val="20"/>
              </w:rPr>
              <w:t>1.5</w:t>
            </w:r>
          </w:p>
        </w:tc>
        <w:tc>
          <w:tcPr>
            <w:tcW w:w="799" w:type="dxa"/>
            <w:vAlign w:val="center"/>
          </w:tcPr>
          <w:p w:rsidR="00B14BBE" w:rsidRPr="003255AE" w:rsidP="001A304E" w14:paraId="0033348A" w14:textId="4136AB92">
            <w:pPr>
              <w:tabs>
                <w:tab w:val="center" w:pos="4320"/>
                <w:tab w:val="right" w:pos="8640"/>
              </w:tabs>
              <w:jc w:val="center"/>
              <w:rPr>
                <w:sz w:val="20"/>
                <w:szCs w:val="20"/>
                <w:highlight w:val="yellow"/>
              </w:rPr>
            </w:pPr>
            <w:r>
              <w:rPr>
                <w:sz w:val="20"/>
                <w:szCs w:val="20"/>
              </w:rPr>
              <w:t>22.5</w:t>
            </w:r>
          </w:p>
        </w:tc>
        <w:tc>
          <w:tcPr>
            <w:tcW w:w="887" w:type="dxa"/>
            <w:vAlign w:val="center"/>
          </w:tcPr>
          <w:p w:rsidR="00B14BBE" w:rsidRPr="00BD4CFB" w:rsidP="001A304E" w14:paraId="477350B3" w14:textId="086D4731">
            <w:pPr>
              <w:tabs>
                <w:tab w:val="center" w:pos="4320"/>
                <w:tab w:val="right" w:pos="8640"/>
              </w:tabs>
              <w:jc w:val="center"/>
              <w:rPr>
                <w:sz w:val="20"/>
                <w:szCs w:val="20"/>
              </w:rPr>
            </w:pPr>
            <w:r w:rsidRPr="127113EB">
              <w:rPr>
                <w:sz w:val="20"/>
                <w:szCs w:val="20"/>
              </w:rPr>
              <w:t>$</w:t>
            </w:r>
            <w:r>
              <w:rPr>
                <w:sz w:val="20"/>
                <w:szCs w:val="20"/>
              </w:rPr>
              <w:t>13.60</w:t>
            </w:r>
          </w:p>
        </w:tc>
        <w:tc>
          <w:tcPr>
            <w:tcW w:w="859" w:type="dxa"/>
            <w:vAlign w:val="center"/>
          </w:tcPr>
          <w:p w:rsidR="00B14BBE" w:rsidRPr="00B14BBE" w:rsidP="001A304E" w14:paraId="2DEBB035" w14:textId="6960CF50">
            <w:pPr>
              <w:tabs>
                <w:tab w:val="center" w:pos="4320"/>
                <w:tab w:val="right" w:pos="8640"/>
              </w:tabs>
              <w:jc w:val="center"/>
              <w:rPr>
                <w:sz w:val="20"/>
                <w:szCs w:val="20"/>
                <w:highlight w:val="yellow"/>
              </w:rPr>
            </w:pPr>
            <w:r w:rsidRPr="00134CA9">
              <w:rPr>
                <w:color w:val="000000"/>
                <w:sz w:val="20"/>
                <w:szCs w:val="20"/>
              </w:rPr>
              <w:t>$</w:t>
            </w:r>
            <w:r w:rsidR="00B41C99">
              <w:rPr>
                <w:color w:val="000000"/>
                <w:sz w:val="20"/>
                <w:szCs w:val="20"/>
              </w:rPr>
              <w:t>306</w:t>
            </w:r>
          </w:p>
        </w:tc>
      </w:tr>
      <w:tr w14:paraId="7086B79F" w14:textId="77777777" w:rsidTr="00100621">
        <w:tblPrEx>
          <w:tblW w:w="9350" w:type="dxa"/>
          <w:jc w:val="center"/>
          <w:tblLook w:val="00A0"/>
        </w:tblPrEx>
        <w:trPr>
          <w:jc w:val="center"/>
        </w:trPr>
        <w:tc>
          <w:tcPr>
            <w:tcW w:w="2150" w:type="dxa"/>
            <w:vAlign w:val="center"/>
          </w:tcPr>
          <w:p w:rsidR="00370860" w:rsidRPr="00BD4CFB" w:rsidP="00C1674B" w14:paraId="61294E75" w14:textId="50ECB04D">
            <w:pPr>
              <w:tabs>
                <w:tab w:val="center" w:pos="4320"/>
                <w:tab w:val="right" w:pos="8640"/>
              </w:tabs>
              <w:jc w:val="right"/>
              <w:rPr>
                <w:b/>
                <w:sz w:val="20"/>
                <w:szCs w:val="20"/>
              </w:rPr>
            </w:pPr>
            <w:r>
              <w:rPr>
                <w:b/>
                <w:sz w:val="20"/>
                <w:szCs w:val="20"/>
              </w:rPr>
              <w:t>Total Number of Respondents</w:t>
            </w:r>
          </w:p>
        </w:tc>
        <w:tc>
          <w:tcPr>
            <w:tcW w:w="1175" w:type="dxa"/>
            <w:gridSpan w:val="2"/>
            <w:vAlign w:val="center"/>
          </w:tcPr>
          <w:p w:rsidR="00370860" w:rsidRPr="00370860" w:rsidP="00100621" w14:paraId="076954F0" w14:textId="2A0F2C06">
            <w:pPr>
              <w:tabs>
                <w:tab w:val="center" w:pos="4320"/>
                <w:tab w:val="right" w:pos="8640"/>
              </w:tabs>
              <w:jc w:val="center"/>
              <w:rPr>
                <w:bCs/>
                <w:sz w:val="20"/>
                <w:szCs w:val="20"/>
              </w:rPr>
            </w:pPr>
            <w:r>
              <w:rPr>
                <w:bCs/>
                <w:sz w:val="20"/>
                <w:szCs w:val="20"/>
              </w:rPr>
              <w:t>105</w:t>
            </w:r>
          </w:p>
        </w:tc>
        <w:tc>
          <w:tcPr>
            <w:tcW w:w="1354" w:type="dxa"/>
            <w:vAlign w:val="center"/>
          </w:tcPr>
          <w:p w:rsidR="00370860" w:rsidRPr="00100621" w:rsidP="00100621" w14:paraId="1C54F067" w14:textId="71AE26CF">
            <w:pPr>
              <w:tabs>
                <w:tab w:val="center" w:pos="4320"/>
                <w:tab w:val="right" w:pos="8640"/>
              </w:tabs>
              <w:jc w:val="center"/>
              <w:rPr>
                <w:bCs/>
                <w:sz w:val="20"/>
                <w:szCs w:val="20"/>
              </w:rPr>
            </w:pPr>
            <w:r>
              <w:rPr>
                <w:bCs/>
                <w:sz w:val="20"/>
                <w:szCs w:val="20"/>
              </w:rPr>
              <w:t>35</w:t>
            </w:r>
          </w:p>
        </w:tc>
        <w:tc>
          <w:tcPr>
            <w:tcW w:w="2126" w:type="dxa"/>
            <w:gridSpan w:val="2"/>
            <w:vAlign w:val="center"/>
          </w:tcPr>
          <w:p w:rsidR="00370860" w:rsidRPr="00BD4CFB" w:rsidP="00C1674B" w14:paraId="1C20B7A5" w14:textId="66957D97">
            <w:pPr>
              <w:tabs>
                <w:tab w:val="center" w:pos="4320"/>
                <w:tab w:val="right" w:pos="8640"/>
              </w:tabs>
              <w:jc w:val="right"/>
              <w:rPr>
                <w:b/>
                <w:sz w:val="20"/>
                <w:szCs w:val="20"/>
              </w:rPr>
            </w:pPr>
            <w:r w:rsidRPr="00BD4CFB">
              <w:rPr>
                <w:b/>
                <w:sz w:val="20"/>
                <w:szCs w:val="20"/>
              </w:rPr>
              <w:t xml:space="preserve">Estimated Annual Burden </w:t>
            </w:r>
            <w:r>
              <w:rPr>
                <w:b/>
                <w:sz w:val="20"/>
                <w:szCs w:val="20"/>
              </w:rPr>
              <w:t>T</w:t>
            </w:r>
            <w:r w:rsidRPr="00BD4CFB">
              <w:rPr>
                <w:b/>
                <w:sz w:val="20"/>
                <w:szCs w:val="20"/>
              </w:rPr>
              <w:t xml:space="preserve">otal </w:t>
            </w:r>
          </w:p>
        </w:tc>
        <w:tc>
          <w:tcPr>
            <w:tcW w:w="799" w:type="dxa"/>
            <w:vAlign w:val="center"/>
          </w:tcPr>
          <w:p w:rsidR="00370860" w:rsidRPr="00BD4CFB" w:rsidP="001A304E" w14:paraId="2E31EC17" w14:textId="4AD168F3">
            <w:pPr>
              <w:tabs>
                <w:tab w:val="center" w:pos="4320"/>
                <w:tab w:val="right" w:pos="8640"/>
              </w:tabs>
              <w:jc w:val="center"/>
              <w:rPr>
                <w:b/>
                <w:bCs/>
                <w:sz w:val="20"/>
                <w:szCs w:val="20"/>
              </w:rPr>
            </w:pPr>
            <w:r>
              <w:rPr>
                <w:b/>
                <w:bCs/>
                <w:sz w:val="20"/>
                <w:szCs w:val="20"/>
              </w:rPr>
              <w:t>24.17</w:t>
            </w:r>
          </w:p>
        </w:tc>
        <w:tc>
          <w:tcPr>
            <w:tcW w:w="887" w:type="dxa"/>
            <w:vAlign w:val="center"/>
          </w:tcPr>
          <w:p w:rsidR="00370860" w:rsidRPr="00BD4CFB" w:rsidP="001A304E" w14:paraId="4C3AFC35" w14:textId="77777777">
            <w:pPr>
              <w:tabs>
                <w:tab w:val="center" w:pos="4320"/>
                <w:tab w:val="right" w:pos="8640"/>
              </w:tabs>
              <w:jc w:val="center"/>
              <w:rPr>
                <w:b/>
                <w:sz w:val="20"/>
                <w:szCs w:val="20"/>
              </w:rPr>
            </w:pPr>
          </w:p>
        </w:tc>
        <w:tc>
          <w:tcPr>
            <w:tcW w:w="859" w:type="dxa"/>
            <w:vAlign w:val="center"/>
          </w:tcPr>
          <w:p w:rsidR="00370860" w:rsidRPr="00B14BBE" w:rsidP="007375DE" w14:paraId="0DEA4C88" w14:textId="3E19175C">
            <w:pPr>
              <w:jc w:val="center"/>
              <w:rPr>
                <w:b/>
                <w:bCs/>
                <w:sz w:val="20"/>
                <w:szCs w:val="20"/>
                <w:highlight w:val="yellow"/>
              </w:rPr>
            </w:pPr>
            <w:r w:rsidRPr="00134CA9">
              <w:rPr>
                <w:color w:val="000000"/>
                <w:sz w:val="20"/>
                <w:szCs w:val="20"/>
              </w:rPr>
              <w:t>$</w:t>
            </w:r>
            <w:r>
              <w:rPr>
                <w:color w:val="000000"/>
                <w:sz w:val="20"/>
                <w:szCs w:val="20"/>
              </w:rPr>
              <w:t>328.71</w:t>
            </w:r>
          </w:p>
        </w:tc>
      </w:tr>
    </w:tbl>
    <w:p w:rsidR="00436F5E" w:rsidP="00436F5E" w14:paraId="7B3F5421" w14:textId="77777777"/>
    <w:bookmarkEnd w:id="4"/>
    <w:p w:rsidR="00E16F68" w:rsidP="00436F5E" w14:paraId="7BD81607" w14:textId="77777777">
      <w:pPr>
        <w:spacing w:after="60"/>
        <w:rPr>
          <w:b/>
          <w:i/>
        </w:rPr>
      </w:pPr>
    </w:p>
    <w:p w:rsidR="002338AC" w:rsidRPr="002F3EDE" w:rsidP="00436F5E" w14:paraId="478B827B" w14:textId="70294F67">
      <w:pPr>
        <w:spacing w:after="60"/>
        <w:rPr>
          <w:b/>
          <w:i/>
        </w:rPr>
      </w:pPr>
      <w:r w:rsidRPr="002F3EDE">
        <w:rPr>
          <w:b/>
          <w:i/>
        </w:rPr>
        <w:t>Total Annual Cost</w:t>
      </w:r>
    </w:p>
    <w:p w:rsidR="002338AC" w:rsidP="45B9A33C" w14:paraId="71C99DB3" w14:textId="5C2ECF3C">
      <w:pPr>
        <w:shd w:val="clear" w:color="auto" w:fill="D9D9D9" w:themeFill="background1" w:themeFillShade="D9"/>
      </w:pPr>
      <w:r w:rsidRPr="00134CA9">
        <w:t>The total annual cost</w:t>
      </w:r>
      <w:r w:rsidRPr="00134CA9" w:rsidR="006D4405">
        <w:t xml:space="preserve"> is </w:t>
      </w:r>
      <w:r w:rsidRPr="00134CA9" w:rsidR="22BF4E0C">
        <w:t>$</w:t>
      </w:r>
      <w:r w:rsidRPr="00134CA9" w:rsidR="00DF48FF">
        <w:t>1</w:t>
      </w:r>
      <w:r w:rsidR="00B41C99">
        <w:t>8</w:t>
      </w:r>
      <w:r w:rsidRPr="00134CA9" w:rsidR="00DF48FF">
        <w:t>,</w:t>
      </w:r>
      <w:r w:rsidR="00B41C99">
        <w:t>109</w:t>
      </w:r>
      <w:r w:rsidRPr="00134CA9" w:rsidR="006D4405">
        <w:t>. This includes</w:t>
      </w:r>
      <w:r w:rsidRPr="00134CA9" w:rsidR="00BD39B0">
        <w:t xml:space="preserve"> the annual burden plus</w:t>
      </w:r>
      <w:r w:rsidRPr="00134CA9" w:rsidR="006D4405">
        <w:t xml:space="preserve"> </w:t>
      </w:r>
      <w:r w:rsidRPr="00134CA9" w:rsidR="00672EC5">
        <w:t xml:space="preserve">contractor </w:t>
      </w:r>
      <w:r w:rsidRPr="00134CA9" w:rsidR="006D4405">
        <w:t xml:space="preserve">labor hours, </w:t>
      </w:r>
      <w:r w:rsidRPr="00134CA9" w:rsidR="003255AE">
        <w:t xml:space="preserve">and </w:t>
      </w:r>
      <w:r w:rsidRPr="00134CA9" w:rsidR="006D4405">
        <w:t>incentive payments of $50 per completed interview</w:t>
      </w:r>
      <w:r w:rsidRPr="00134CA9" w:rsidR="003255AE">
        <w:t>.</w:t>
      </w:r>
    </w:p>
    <w:p w:rsidR="00134CA9" w:rsidP="45B9A33C" w14:paraId="004F7037" w14:textId="77777777">
      <w:pPr>
        <w:shd w:val="clear" w:color="auto" w:fill="D9D9D9" w:themeFill="background1" w:themeFillShade="D9"/>
      </w:pPr>
    </w:p>
    <w:p w:rsidR="002338AC" w:rsidP="005046F0" w14:paraId="5EB3CC6B" w14:textId="77777777">
      <w:pPr>
        <w:ind w:left="360"/>
      </w:pPr>
    </w:p>
    <w:p w:rsidR="002338AC" w:rsidP="005046F0" w14:paraId="32B61065" w14:textId="77777777">
      <w:pPr>
        <w:ind w:left="360"/>
      </w:pPr>
    </w:p>
    <w:p w:rsidR="00945CD6" w:rsidRPr="0072204D" w:rsidP="00292B70" w14:paraId="0D9FBF46" w14:textId="77777777">
      <w:pPr>
        <w:rPr>
          <w:b/>
        </w:rPr>
      </w:pPr>
      <w:r>
        <w:rPr>
          <w:b/>
        </w:rPr>
        <w:t xml:space="preserve">A13. </w:t>
      </w:r>
      <w:r w:rsidRPr="0072204D">
        <w:rPr>
          <w:b/>
        </w:rPr>
        <w:t>Cost Burden to Respondents or Record Keepers</w:t>
      </w:r>
    </w:p>
    <w:p w:rsidR="00D90EF6" w:rsidRPr="001E1C6D" w:rsidP="00436F5E" w14:paraId="447985F8" w14:textId="77777777">
      <w:pPr>
        <w:shd w:val="clear" w:color="auto" w:fill="D9D9D9"/>
      </w:pPr>
      <w:r w:rsidRPr="00DA6141">
        <w:t>There are no additional costs to respondents.</w:t>
      </w:r>
    </w:p>
    <w:p w:rsidR="00BE7952" w:rsidP="00436F5E" w14:paraId="1E6B065E" w14:textId="77777777">
      <w:pPr>
        <w:shd w:val="clear" w:color="auto" w:fill="D9D9D9"/>
      </w:pPr>
    </w:p>
    <w:p w:rsidR="002338AC" w:rsidP="00436F5E" w14:paraId="0AE0196C" w14:textId="77777777"/>
    <w:p w:rsidR="00945CD6" w:rsidRPr="0072204D" w:rsidP="00436F5E" w14:paraId="523BEC78" w14:textId="77777777">
      <w:pPr>
        <w:spacing w:after="60"/>
        <w:rPr>
          <w:b/>
        </w:rPr>
      </w:pPr>
      <w:r>
        <w:rPr>
          <w:b/>
        </w:rPr>
        <w:t xml:space="preserve">A14. </w:t>
      </w:r>
      <w:r w:rsidRPr="0072204D">
        <w:rPr>
          <w:b/>
        </w:rPr>
        <w:t>Estimate of Cost to the Federal Government</w:t>
      </w:r>
    </w:p>
    <w:p w:rsidR="002338AC" w:rsidP="00436F5E" w14:paraId="5FEBA630" w14:textId="0AD110EF">
      <w:r>
        <w:t xml:space="preserve">The total cost for the data collection activities under this current request will be </w:t>
      </w:r>
      <w:r w:rsidRPr="00134CA9">
        <w:t>$</w:t>
      </w:r>
      <w:r w:rsidR="00B41C99">
        <w:t>54,568</w:t>
      </w:r>
      <w:r w:rsidRPr="00134CA9">
        <w:t>.</w:t>
      </w:r>
      <w:r>
        <w:t xml:space="preserve"> </w:t>
      </w:r>
    </w:p>
    <w:p w:rsidR="00436F5E" w:rsidP="00436F5E" w14:paraId="6E535D2C" w14:textId="77777777"/>
    <w:p w:rsidR="00945CD6" w:rsidP="00436F5E" w14:paraId="0F2A43BE" w14:textId="77777777">
      <w:pPr>
        <w:spacing w:after="120"/>
        <w:rPr>
          <w:b/>
        </w:rPr>
      </w:pPr>
      <w:r>
        <w:rPr>
          <w:b/>
        </w:rPr>
        <w:t xml:space="preserve">A15. </w:t>
      </w:r>
      <w:r w:rsidRPr="0072204D">
        <w:rPr>
          <w:b/>
        </w:rPr>
        <w:t>Change in Burden</w:t>
      </w:r>
    </w:p>
    <w:p w:rsidR="00CB2ED6" w:rsidRPr="007375DE" w:rsidP="00CB2ED6" w14:paraId="63759315" w14:textId="3CD1712B">
      <w:r w:rsidRPr="007375DE">
        <w:t>This is for an individual information collection under the umbrella for</w:t>
      </w:r>
      <w:r w:rsidRPr="007375DE" w:rsidR="008C6472">
        <w:t>mative generic clearance for DOL research (1290-</w:t>
      </w:r>
      <w:r w:rsidRPr="007375DE" w:rsidR="00685ECE">
        <w:t>0043</w:t>
      </w:r>
      <w:r w:rsidRPr="007375DE">
        <w:t>)</w:t>
      </w:r>
      <w:r w:rsidRPr="007375DE" w:rsidR="008C6472">
        <w:t xml:space="preserve">. </w:t>
      </w:r>
    </w:p>
    <w:p w:rsidR="002338AC" w:rsidP="005046F0" w14:paraId="30987C46" w14:textId="77777777">
      <w:pPr>
        <w:ind w:left="360"/>
      </w:pPr>
    </w:p>
    <w:p w:rsidR="00945CD6" w:rsidRPr="005A64C5" w:rsidP="00436F5E" w14:paraId="64E455A1" w14:textId="77777777">
      <w:pPr>
        <w:spacing w:after="60"/>
        <w:rPr>
          <w:b/>
        </w:rPr>
      </w:pPr>
      <w:r w:rsidRPr="005A64C5">
        <w:rPr>
          <w:b/>
        </w:rPr>
        <w:t>A16. Plan and Time Schedule for Information Collection, Tabulation and Publication</w:t>
      </w:r>
    </w:p>
    <w:p w:rsidR="00D90EF6" w:rsidP="00436F5E" w14:paraId="26B5F747" w14:textId="11835607">
      <w:pPr>
        <w:shd w:val="clear" w:color="auto" w:fill="D9D9D9"/>
      </w:pPr>
      <w:r>
        <w:t xml:space="preserve">The data collection is scheduled to occur in </w:t>
      </w:r>
      <w:r w:rsidR="00986F24">
        <w:t xml:space="preserve">March </w:t>
      </w:r>
      <w:r w:rsidR="003255AE">
        <w:t>2024.</w:t>
      </w:r>
      <w:r>
        <w:t xml:space="preserve"> </w:t>
      </w:r>
    </w:p>
    <w:p w:rsidR="002338AC" w:rsidP="00436F5E" w14:paraId="71CF0F0B" w14:textId="77777777">
      <w:pPr>
        <w:shd w:val="clear" w:color="auto" w:fill="D9D9D9"/>
      </w:pPr>
    </w:p>
    <w:p w:rsidR="002338AC" w:rsidP="00292B70" w14:paraId="02E4F6FE" w14:textId="77777777">
      <w:pPr>
        <w:rPr>
          <w:b/>
        </w:rPr>
      </w:pPr>
    </w:p>
    <w:p w:rsidR="00945CD6" w:rsidRPr="0072204D" w:rsidP="00436F5E" w14:paraId="24E40DBF" w14:textId="77777777">
      <w:pPr>
        <w:spacing w:after="120"/>
        <w:rPr>
          <w:b/>
        </w:rPr>
      </w:pPr>
      <w:r>
        <w:rPr>
          <w:b/>
        </w:rPr>
        <w:t xml:space="preserve">A17. </w:t>
      </w:r>
      <w:r w:rsidRPr="0072204D">
        <w:rPr>
          <w:b/>
        </w:rPr>
        <w:t>Reasons Not to Display OMB Expiration Date</w:t>
      </w:r>
    </w:p>
    <w:p w:rsidR="00134CA9" w:rsidP="00436F5E" w14:paraId="0EE0A27E" w14:textId="47340D70">
      <w:pPr>
        <w:shd w:val="clear" w:color="auto" w:fill="D9D9D9"/>
      </w:pPr>
      <w:r w:rsidRPr="00990572">
        <w:t>All instruments will display the expiration date for OMB approval.</w:t>
      </w:r>
    </w:p>
    <w:p w:rsidR="00134CA9" w:rsidP="00436F5E" w14:paraId="74C39646" w14:textId="77777777">
      <w:pPr>
        <w:shd w:val="clear" w:color="auto" w:fill="D9D9D9"/>
      </w:pPr>
    </w:p>
    <w:p w:rsidR="002338AC" w:rsidP="005046F0" w14:paraId="2D1AB683" w14:textId="77777777">
      <w:pPr>
        <w:ind w:left="360"/>
      </w:pPr>
    </w:p>
    <w:p w:rsidR="00945CD6" w:rsidRPr="000B5EA8" w:rsidP="00436F5E" w14:paraId="74D8795B" w14:textId="77777777">
      <w:pPr>
        <w:spacing w:after="120"/>
        <w:rPr>
          <w:b/>
        </w:rPr>
      </w:pPr>
      <w:r w:rsidRPr="000B5EA8">
        <w:rPr>
          <w:b/>
        </w:rPr>
        <w:t>A18.</w:t>
      </w:r>
      <w:r w:rsidRPr="000B5EA8" w:rsidR="000B5EA8">
        <w:rPr>
          <w:b/>
        </w:rPr>
        <w:t xml:space="preserve"> Exceptions to Certification for Paperwork Reduction Act Submissions</w:t>
      </w:r>
    </w:p>
    <w:p w:rsidR="00D90EF6" w:rsidP="00436F5E" w14:paraId="2FB499FC" w14:textId="77777777">
      <w:pPr>
        <w:shd w:val="clear" w:color="auto" w:fill="D9D9D9"/>
      </w:pPr>
      <w:r w:rsidRPr="00990572">
        <w:rPr>
          <w:szCs w:val="22"/>
        </w:rPr>
        <w:t>No exceptions are necessary for this information collection.</w:t>
      </w:r>
      <w:r w:rsidR="000B5EA8">
        <w:tab/>
      </w:r>
    </w:p>
    <w:p w:rsidR="00D06D5F" w:rsidP="00990D87" w14:paraId="2749955B" w14:textId="77777777">
      <w:pPr>
        <w:tabs>
          <w:tab w:val="left" w:pos="360"/>
        </w:tabs>
      </w:pPr>
    </w:p>
    <w:p w:rsidR="00EB4378" w:rsidRPr="003255AE" w:rsidP="00A97502" w14:paraId="1BB4C7FF" w14:textId="77777777">
      <w:pPr>
        <w:pStyle w:val="N0-FlLftBullet"/>
        <w:ind w:left="0" w:firstLine="0"/>
        <w:rPr>
          <w:rFonts w:ascii="Times New Roman" w:hAnsi="Times New Roman" w:cs="Times New Roman"/>
          <w:sz w:val="24"/>
          <w:szCs w:val="24"/>
        </w:rPr>
      </w:pPr>
    </w:p>
    <w:sectPr w:rsidSect="00327B2E">
      <w:headerReference w:type="default" r:id="rId9"/>
      <w:footerReference w:type="default" r:id="rId10"/>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2F5D5FA9" w14:textId="370E022D">
    <w:pPr>
      <w:pStyle w:val="Footer"/>
      <w:jc w:val="center"/>
    </w:pPr>
    <w:r>
      <w:fldChar w:fldCharType="begin"/>
    </w:r>
    <w:r>
      <w:instrText xml:space="preserve"> PAGE   \* MERGEFORMAT </w:instrText>
    </w:r>
    <w:r>
      <w:fldChar w:fldCharType="separate"/>
    </w:r>
    <w:r w:rsidR="003255AE">
      <w:rPr>
        <w:noProof/>
      </w:rPr>
      <w:t>6</w:t>
    </w:r>
    <w:r>
      <w:fldChar w:fldCharType="end"/>
    </w:r>
  </w:p>
  <w:p w:rsidR="00A44209" w:rsidP="00292B70" w14:paraId="2C2BACB7"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331BA" w14:paraId="6401E9AB" w14:textId="77777777">
      <w:r>
        <w:separator/>
      </w:r>
    </w:p>
  </w:footnote>
  <w:footnote w:type="continuationSeparator" w:id="1">
    <w:p w:rsidR="004331BA" w14:paraId="76E54FA9" w14:textId="77777777">
      <w:r>
        <w:continuationSeparator/>
      </w:r>
    </w:p>
  </w:footnote>
  <w:footnote w:id="2">
    <w:p w:rsidR="005928FF" w:rsidRPr="00100621" w:rsidP="00100621" w14:paraId="1297EF44" w14:textId="02265F6D">
      <w:pPr>
        <w:pStyle w:val="N0-FlLftBullet"/>
        <w:ind w:left="360" w:hanging="360"/>
        <w:rPr>
          <w:rFonts w:ascii="Times New Roman" w:hAnsi="Times New Roman" w:cs="Times New Roman"/>
          <w:sz w:val="20"/>
          <w:szCs w:val="20"/>
        </w:rPr>
      </w:pPr>
      <w:r w:rsidRPr="00100621">
        <w:rPr>
          <w:rStyle w:val="FootnoteReference"/>
          <w:sz w:val="20"/>
          <w:szCs w:val="20"/>
        </w:rPr>
        <w:footnoteRef/>
      </w:r>
      <w:r w:rsidRPr="00100621">
        <w:rPr>
          <w:sz w:val="20"/>
          <w:szCs w:val="20"/>
        </w:rPr>
        <w:t xml:space="preserve"> </w:t>
      </w:r>
      <w:r w:rsidRPr="00100621">
        <w:rPr>
          <w:rFonts w:ascii="Times New Roman" w:eastAsia="Times New Roman" w:hAnsi="Times New Roman" w:cs="Times New Roman"/>
          <w:sz w:val="20"/>
          <w:szCs w:val="20"/>
          <w:lang w:eastAsia="en-GB"/>
        </w:rPr>
        <w:t xml:space="preserve">U.S. DOL (2009 July). </w:t>
      </w:r>
      <w:r w:rsidRPr="00100621">
        <w:rPr>
          <w:rFonts w:ascii="Times New Roman" w:eastAsia="Times New Roman" w:hAnsi="Times New Roman" w:cs="Times New Roman"/>
          <w:i/>
          <w:iCs/>
          <w:sz w:val="20"/>
          <w:szCs w:val="20"/>
          <w:lang w:eastAsia="en-GB"/>
        </w:rPr>
        <w:t>Fact Sheet #14: Coverage under the Fair Labor Standards Act (FLSA)</w:t>
      </w:r>
      <w:r w:rsidRPr="00100621">
        <w:rPr>
          <w:rFonts w:ascii="Times New Roman" w:eastAsia="Times New Roman" w:hAnsi="Times New Roman" w:cs="Times New Roman"/>
          <w:sz w:val="20"/>
          <w:szCs w:val="20"/>
          <w:lang w:eastAsia="en-GB"/>
        </w:rPr>
        <w:t xml:space="preserve">. Wage and Hour Division. </w:t>
      </w:r>
      <w:hyperlink r:id="rId1" w:history="1">
        <w:r w:rsidRPr="00100621">
          <w:rPr>
            <w:rStyle w:val="Hyperlink"/>
            <w:rFonts w:ascii="Times New Roman" w:hAnsi="Times New Roman" w:cs="Times New Roman"/>
            <w:sz w:val="20"/>
            <w:szCs w:val="20"/>
          </w:rPr>
          <w:t>https://www.dol.gov/agencies/whd/fact-sheets/14-flsa-coverage</w:t>
        </w:r>
      </w:hyperlink>
    </w:p>
  </w:footnote>
  <w:footnote w:id="3">
    <w:p w:rsidR="006974A4" w:rsidRPr="00100621" w:rsidP="00100621" w14:paraId="750119DC" w14:textId="7D670AD7">
      <w:pPr>
        <w:ind w:left="360" w:hanging="360"/>
        <w:rPr>
          <w:color w:val="0000FF"/>
          <w:sz w:val="20"/>
          <w:szCs w:val="20"/>
          <w:u w:val="single"/>
          <w:lang w:eastAsia="en-GB"/>
        </w:rPr>
      </w:pPr>
      <w:r w:rsidRPr="00100621">
        <w:rPr>
          <w:rStyle w:val="FootnoteReference"/>
          <w:sz w:val="20"/>
          <w:szCs w:val="20"/>
        </w:rPr>
        <w:footnoteRef/>
      </w:r>
      <w:r w:rsidRPr="00100621" w:rsidR="002E46B1">
        <w:rPr>
          <w:sz w:val="20"/>
          <w:szCs w:val="20"/>
          <w:lang w:eastAsia="en-GB"/>
        </w:rPr>
        <w:t xml:space="preserve"> </w:t>
      </w:r>
      <w:r w:rsidRPr="00100621" w:rsidR="005928FF">
        <w:rPr>
          <w:sz w:val="20"/>
          <w:szCs w:val="20"/>
          <w:lang w:eastAsia="en-GB"/>
        </w:rPr>
        <w:t xml:space="preserve">Dolfin, S., Maxwell, N., Gould-Werth, A., Yanez, A., Deutsch, J., and Hendrix, L. (2020). </w:t>
      </w:r>
      <w:r w:rsidRPr="00100621" w:rsidR="005928FF">
        <w:rPr>
          <w:i/>
          <w:iCs/>
          <w:sz w:val="20"/>
          <w:szCs w:val="20"/>
          <w:lang w:eastAsia="en-GB"/>
        </w:rPr>
        <w:t>Compliance Evaluation Strategies Literature and Database Review.</w:t>
      </w:r>
      <w:r w:rsidRPr="00100621" w:rsidR="005928FF">
        <w:rPr>
          <w:sz w:val="20"/>
          <w:szCs w:val="20"/>
          <w:lang w:eastAsia="en-GB"/>
        </w:rPr>
        <w:t xml:space="preserve"> Department of Labor. </w:t>
      </w:r>
      <w:hyperlink r:id="rId2" w:history="1">
        <w:r w:rsidRPr="00100621" w:rsidR="005928FF">
          <w:rPr>
            <w:rStyle w:val="Hyperlink"/>
            <w:sz w:val="20"/>
            <w:szCs w:val="20"/>
            <w:lang w:eastAsia="en-GB"/>
          </w:rPr>
          <w:t>https://www.dol.gov/sites/dolgov/files/OASP/evaluation/pdf/WHD_ComplianceStrategies_LiteratureReview_Oct2020.pdf</w:t>
        </w:r>
      </w:hyperlink>
      <w:r w:rsidRPr="002E46B1" w:rsidR="002E46B1">
        <w:rPr>
          <w:rStyle w:val="Hyperlink"/>
          <w:sz w:val="20"/>
          <w:szCs w:val="20"/>
          <w:lang w:eastAsia="en-GB"/>
        </w:rPr>
        <w:t xml:space="preserve">. </w:t>
      </w:r>
    </w:p>
  </w:footnote>
  <w:footnote w:id="4">
    <w:p w:rsidR="002E46B1" w:rsidRPr="00100621" w:rsidP="002E46B1" w14:paraId="6459DB67" w14:textId="77777777">
      <w:pPr>
        <w:ind w:left="360" w:hanging="360"/>
        <w:rPr>
          <w:rStyle w:val="Hyperlink"/>
          <w:sz w:val="20"/>
          <w:szCs w:val="20"/>
          <w:lang w:eastAsia="en-GB"/>
        </w:rPr>
      </w:pPr>
      <w:r w:rsidRPr="00100621">
        <w:rPr>
          <w:rStyle w:val="FootnoteReference"/>
          <w:sz w:val="20"/>
          <w:szCs w:val="20"/>
        </w:rPr>
        <w:footnoteRef/>
      </w:r>
      <w:r w:rsidRPr="00100621">
        <w:rPr>
          <w:sz w:val="20"/>
          <w:szCs w:val="20"/>
        </w:rPr>
        <w:t xml:space="preserve"> </w:t>
      </w:r>
      <w:r w:rsidRPr="00100621">
        <w:rPr>
          <w:color w:val="000000"/>
          <w:sz w:val="20"/>
          <w:szCs w:val="20"/>
        </w:rPr>
        <w:t xml:space="preserve">Fusaro, V. A., and Shaefer, H. L. (2016 October). </w:t>
      </w:r>
      <w:r w:rsidRPr="00100621">
        <w:rPr>
          <w:i/>
          <w:iCs/>
          <w:color w:val="000000"/>
          <w:sz w:val="20"/>
          <w:szCs w:val="20"/>
        </w:rPr>
        <w:t>How should we define “low-wage” work? An analysis using the Current Population Survey.</w:t>
      </w:r>
      <w:r w:rsidRPr="00100621">
        <w:rPr>
          <w:color w:val="000000"/>
          <w:sz w:val="20"/>
          <w:szCs w:val="20"/>
        </w:rPr>
        <w:t> </w:t>
      </w:r>
      <w:r w:rsidRPr="00100621">
        <w:rPr>
          <w:rStyle w:val="Emphasis"/>
          <w:i w:val="0"/>
          <w:color w:val="000000"/>
          <w:sz w:val="20"/>
          <w:szCs w:val="20"/>
        </w:rPr>
        <w:t>Monthly Labor Review,</w:t>
      </w:r>
      <w:r w:rsidRPr="00100621">
        <w:rPr>
          <w:color w:val="000000"/>
          <w:sz w:val="20"/>
          <w:szCs w:val="20"/>
        </w:rPr>
        <w:t xml:space="preserve"> U.S. Bureau of Labor Statistics. </w:t>
      </w:r>
      <w:hyperlink r:id="rId3" w:history="1">
        <w:r w:rsidRPr="00100621">
          <w:rPr>
            <w:rStyle w:val="Hyperlink"/>
            <w:sz w:val="20"/>
            <w:szCs w:val="20"/>
            <w:lang w:eastAsia="en-GB"/>
          </w:rPr>
          <w:t>https://doi.org/10.21916/mlr.2016.44</w:t>
        </w:r>
      </w:hyperlink>
    </w:p>
    <w:p w:rsidR="002E46B1" w14:paraId="77651FED" w14:textId="6642F866">
      <w:pPr>
        <w:pStyle w:val="FootnoteText"/>
      </w:pPr>
    </w:p>
  </w:footnote>
  <w:footnote w:id="5">
    <w:p w:rsidR="002A5C9A" w:rsidRPr="00100621" w:rsidP="00100621" w14:paraId="4BF6A292" w14:textId="68379032">
      <w:pPr>
        <w:ind w:left="360" w:hanging="360"/>
        <w:rPr>
          <w:color w:val="0000FF"/>
          <w:sz w:val="20"/>
          <w:szCs w:val="20"/>
          <w:u w:val="single"/>
          <w:lang w:eastAsia="en-GB"/>
        </w:rPr>
      </w:pPr>
      <w:r w:rsidRPr="00100621">
        <w:rPr>
          <w:rStyle w:val="FootnoteReference"/>
          <w:sz w:val="20"/>
          <w:szCs w:val="20"/>
        </w:rPr>
        <w:footnoteRef/>
      </w:r>
      <w:r w:rsidRPr="00100621">
        <w:rPr>
          <w:sz w:val="20"/>
          <w:szCs w:val="20"/>
        </w:rPr>
        <w:t xml:space="preserve"> </w:t>
      </w:r>
      <w:r w:rsidRPr="00100621">
        <w:rPr>
          <w:sz w:val="20"/>
          <w:szCs w:val="20"/>
          <w:lang w:eastAsia="en-GB"/>
        </w:rPr>
        <w:t xml:space="preserve">Bernhardt, A., Milkman, R., Heckathorn, R., Theodore, N., Auer, M., DeFilippis, J., Gonzalez, A. L., Narro, V., Perelshteyn, J., Polson, D., and Spiller, M. (2009). </w:t>
      </w:r>
      <w:r w:rsidRPr="00100621">
        <w:rPr>
          <w:i/>
          <w:iCs/>
          <w:sz w:val="20"/>
          <w:szCs w:val="20"/>
          <w:lang w:eastAsia="en-GB"/>
        </w:rPr>
        <w:t>Broken laws, unprotected workers: Violations of employment and labor laws in America’s cities.</w:t>
      </w:r>
      <w:r w:rsidRPr="00100621">
        <w:rPr>
          <w:sz w:val="20"/>
          <w:szCs w:val="20"/>
          <w:lang w:eastAsia="en-GB"/>
        </w:rPr>
        <w:t xml:space="preserve"> National Employment Law Project (NELP) Report.</w:t>
      </w:r>
      <w:r w:rsidRPr="00100621">
        <w:rPr>
          <w:sz w:val="20"/>
          <w:szCs w:val="20"/>
          <w:lang w:eastAsia="en-GB"/>
        </w:rPr>
        <w:br/>
      </w:r>
      <w:hyperlink r:id="rId4" w:history="1">
        <w:r w:rsidRPr="00100621">
          <w:rPr>
            <w:rStyle w:val="Hyperlink"/>
            <w:sz w:val="20"/>
            <w:szCs w:val="20"/>
            <w:lang w:eastAsia="en-GB"/>
          </w:rPr>
          <w:t>https://s27147.pcdn.co/wp-content/uploads/2015/03/BrokenLawsReport2009.pdf</w:t>
        </w:r>
      </w:hyperlink>
    </w:p>
  </w:footnote>
  <w:footnote w:id="6">
    <w:p w:rsidR="002A5C9A" w:rsidRPr="00100621" w:rsidP="00100621" w14:paraId="78A0AA12" w14:textId="4A855A7F">
      <w:pPr>
        <w:pStyle w:val="N0-FlLftBullet"/>
        <w:tabs>
          <w:tab w:val="clear" w:pos="576"/>
        </w:tabs>
        <w:ind w:left="360" w:hanging="360"/>
        <w:rPr>
          <w:rFonts w:ascii="Times New Roman" w:hAnsi="Times New Roman" w:cs="Times New Roman"/>
          <w:sz w:val="20"/>
          <w:szCs w:val="20"/>
        </w:rPr>
      </w:pPr>
      <w:r w:rsidRPr="00100621">
        <w:rPr>
          <w:rStyle w:val="FootnoteReference"/>
          <w:sz w:val="20"/>
          <w:szCs w:val="20"/>
        </w:rPr>
        <w:footnoteRef/>
      </w:r>
      <w:r w:rsidRPr="00100621">
        <w:rPr>
          <w:sz w:val="20"/>
          <w:szCs w:val="20"/>
        </w:rPr>
        <w:t xml:space="preserve"> </w:t>
      </w:r>
      <w:r w:rsidRPr="00100621">
        <w:rPr>
          <w:rFonts w:ascii="Times New Roman" w:hAnsi="Times New Roman" w:cs="Times New Roman"/>
          <w:sz w:val="20"/>
          <w:szCs w:val="20"/>
        </w:rPr>
        <w:t xml:space="preserve">Willis, G. B. (2015). </w:t>
      </w:r>
      <w:r w:rsidRPr="00100621">
        <w:rPr>
          <w:rFonts w:ascii="Times New Roman" w:hAnsi="Times New Roman" w:cs="Times New Roman"/>
          <w:i/>
          <w:sz w:val="20"/>
          <w:szCs w:val="20"/>
        </w:rPr>
        <w:t>Analysis of the cognitive interview in questionnaire design.</w:t>
      </w:r>
      <w:r w:rsidRPr="00100621">
        <w:rPr>
          <w:rFonts w:ascii="Times New Roman" w:hAnsi="Times New Roman" w:cs="Times New Roman"/>
          <w:sz w:val="20"/>
          <w:szCs w:val="20"/>
        </w:rPr>
        <w:t xml:space="preserve"> Oxford University Press.</w:t>
      </w:r>
    </w:p>
  </w:footnote>
  <w:footnote w:id="7">
    <w:p w:rsidR="002A5C9A" w14:paraId="21E451D6" w14:textId="422662F1">
      <w:pPr>
        <w:pStyle w:val="FootnoteText"/>
      </w:pPr>
      <w:r w:rsidRPr="002E46B1">
        <w:rPr>
          <w:rStyle w:val="FootnoteReference"/>
        </w:rPr>
        <w:footnoteRef/>
      </w:r>
      <w:r w:rsidRPr="002E46B1">
        <w:t xml:space="preserve"> ibid</w:t>
      </w:r>
    </w:p>
  </w:footnote>
  <w:footnote w:id="8">
    <w:p w:rsidR="002A5C9A" w:rsidRPr="00100621" w:rsidP="00100621" w14:paraId="0DD8633C" w14:textId="375F99A3">
      <w:pPr>
        <w:pStyle w:val="N0-FlLftBullet"/>
        <w:ind w:left="360" w:hanging="360"/>
        <w:rPr>
          <w:rFonts w:ascii="Times New Roman" w:hAnsi="Times New Roman" w:cs="Times New Roman"/>
          <w:sz w:val="20"/>
          <w:szCs w:val="20"/>
        </w:rPr>
      </w:pPr>
      <w:r>
        <w:rPr>
          <w:rStyle w:val="FootnoteReference"/>
        </w:rPr>
        <w:footnoteRef/>
      </w:r>
      <w:r>
        <w:t xml:space="preserve"> </w:t>
      </w:r>
      <w:r w:rsidRPr="00100621">
        <w:rPr>
          <w:rFonts w:ascii="Times New Roman" w:hAnsi="Times New Roman" w:cs="Times New Roman"/>
          <w:sz w:val="20"/>
          <w:szCs w:val="20"/>
        </w:rPr>
        <w:t xml:space="preserve">Gioia C.J., Sobell L.C., Sobell M.B., and Agrawal S. (2016) Craigslist versus print newspaper advertising for recruiting research participants for alcohol studies: cost and participant characteristics. </w:t>
      </w:r>
      <w:r w:rsidRPr="00100621">
        <w:rPr>
          <w:rFonts w:ascii="Times New Roman" w:hAnsi="Times New Roman" w:cs="Times New Roman"/>
          <w:i/>
          <w:iCs/>
          <w:sz w:val="20"/>
          <w:szCs w:val="20"/>
        </w:rPr>
        <w:t>Addictive Behavior, 54:</w:t>
      </w:r>
      <w:r w:rsidRPr="00100621">
        <w:rPr>
          <w:rFonts w:ascii="Times New Roman" w:hAnsi="Times New Roman" w:cs="Times New Roman"/>
          <w:sz w:val="20"/>
          <w:szCs w:val="20"/>
        </w:rPr>
        <w:t>24–32</w:t>
      </w:r>
      <w:r w:rsidRPr="00100621" w:rsidR="004E1DA3">
        <w:rPr>
          <w:rFonts w:ascii="Times New Roman" w:hAnsi="Times New Roman" w:cs="Times New Roman"/>
          <w:sz w:val="20"/>
          <w:szCs w:val="20"/>
        </w:rPr>
        <w:t xml:space="preserve">; </w:t>
      </w:r>
      <w:r w:rsidRPr="00100621">
        <w:rPr>
          <w:rFonts w:ascii="Times New Roman" w:hAnsi="Times New Roman" w:cs="Times New Roman"/>
          <w:color w:val="212121"/>
          <w:sz w:val="20"/>
          <w:szCs w:val="20"/>
          <w:shd w:val="clear" w:color="auto" w:fill="FFFFFF"/>
        </w:rPr>
        <w:t xml:space="preserve">Whitaker C., Stevelink S., and Fear N. (2017). The Use of Facebook in Recruiting Participants for Health Research Purposes: A Systematic Review. </w:t>
      </w:r>
      <w:r w:rsidRPr="00100621">
        <w:rPr>
          <w:rFonts w:ascii="Times New Roman" w:hAnsi="Times New Roman" w:cs="Times New Roman"/>
          <w:i/>
          <w:iCs/>
          <w:color w:val="212121"/>
          <w:sz w:val="20"/>
          <w:szCs w:val="20"/>
          <w:shd w:val="clear" w:color="auto" w:fill="FFFFFF"/>
        </w:rPr>
        <w:t>Journal of Medical Internet Research. 19(8):</w:t>
      </w:r>
      <w:r w:rsidRPr="00100621">
        <w:rPr>
          <w:rFonts w:ascii="Times New Roman" w:hAnsi="Times New Roman" w:cs="Times New Roman"/>
          <w:color w:val="212121"/>
          <w:sz w:val="20"/>
          <w:szCs w:val="20"/>
          <w:shd w:val="clear" w:color="auto" w:fill="FFFFFF"/>
        </w:rPr>
        <w:t>e290. doi: 10.2196/jmir.7071. PMID: 28851679; PMCID: PMC5594255</w:t>
      </w:r>
      <w:r w:rsidRPr="00100621" w:rsidR="004E1DA3">
        <w:rPr>
          <w:rFonts w:ascii="Times New Roman" w:hAnsi="Times New Roman" w:cs="Times New Roman"/>
          <w:color w:val="212121"/>
          <w:sz w:val="20"/>
          <w:szCs w:val="20"/>
          <w:shd w:val="clear" w:color="auto" w:fill="FFFFFF"/>
        </w:rPr>
        <w:t xml:space="preserve">; </w:t>
      </w:r>
      <w:r w:rsidRPr="00100621">
        <w:rPr>
          <w:rFonts w:ascii="Times New Roman" w:hAnsi="Times New Roman" w:cs="Times New Roman"/>
          <w:color w:val="212121"/>
          <w:sz w:val="20"/>
          <w:szCs w:val="20"/>
          <w:shd w:val="clear" w:color="auto" w:fill="FFFFFF"/>
        </w:rPr>
        <w:t xml:space="preserve">Darko, E.M., Kleib, M., and Olson, J. (2022). Social Media Use for Research Participant Recruitment: Integrative Literature Review. </w:t>
      </w:r>
      <w:r w:rsidRPr="00100621">
        <w:rPr>
          <w:rFonts w:ascii="Times New Roman" w:hAnsi="Times New Roman" w:cs="Times New Roman"/>
          <w:i/>
          <w:iCs/>
          <w:color w:val="212121"/>
          <w:sz w:val="20"/>
          <w:szCs w:val="20"/>
          <w:shd w:val="clear" w:color="auto" w:fill="FFFFFF"/>
        </w:rPr>
        <w:t>Journal of Medical Internet Research, 24(8):</w:t>
      </w:r>
      <w:r w:rsidRPr="00100621">
        <w:rPr>
          <w:rFonts w:ascii="Times New Roman" w:hAnsi="Times New Roman" w:cs="Times New Roman"/>
          <w:color w:val="212121"/>
          <w:sz w:val="20"/>
          <w:szCs w:val="20"/>
          <w:shd w:val="clear" w:color="auto" w:fill="FFFFFF"/>
        </w:rPr>
        <w:t>e38015. doi: 10.2196/38015. PMID: 35925655; PMCID: PMC9389385.</w:t>
      </w:r>
      <w:r w:rsidRPr="00100621">
        <w:rPr>
          <w:rFonts w:ascii="Times New Roman" w:hAnsi="Times New Roman" w:cs="Times New Roman"/>
          <w:color w:val="212121"/>
          <w:sz w:val="20"/>
          <w:szCs w:val="20"/>
          <w:shd w:val="clear" w:color="auto" w:fill="FFFFFF"/>
        </w:rPr>
        <w:t xml:space="preserve"> </w:t>
      </w:r>
    </w:p>
    <w:p w:rsidR="002A5C9A" w14:paraId="086FFA18" w14:textId="65D53863">
      <w:pPr>
        <w:pStyle w:val="FootnoteText"/>
      </w:pPr>
    </w:p>
  </w:footnote>
  <w:footnote w:id="9">
    <w:p w:rsidR="002A5C9A" w:rsidRPr="00100621" w:rsidP="00100621" w14:paraId="0A71B81F" w14:textId="43579D87">
      <w:pPr>
        <w:rPr>
          <w:sz w:val="20"/>
          <w:szCs w:val="20"/>
          <w:shd w:val="clear" w:color="auto" w:fill="FFFFFF"/>
        </w:rPr>
      </w:pPr>
      <w:r>
        <w:rPr>
          <w:rStyle w:val="FootnoteReference"/>
        </w:rPr>
        <w:footnoteRef/>
      </w:r>
      <w:r>
        <w:t xml:space="preserve"> </w:t>
      </w:r>
      <w:r w:rsidRPr="00100621">
        <w:rPr>
          <w:rStyle w:val="Emphasis"/>
          <w:i w:val="0"/>
          <w:iCs w:val="0"/>
          <w:sz w:val="20"/>
          <w:szCs w:val="20"/>
          <w:shd w:val="clear" w:color="auto" w:fill="FFFFFF"/>
        </w:rPr>
        <w:t>Collins</w:t>
      </w:r>
      <w:r w:rsidRPr="00100621">
        <w:rPr>
          <w:sz w:val="20"/>
          <w:szCs w:val="20"/>
          <w:shd w:val="clear" w:color="auto" w:fill="FFFFFF"/>
        </w:rPr>
        <w:t>, Debbie, ed. </w:t>
      </w:r>
      <w:r w:rsidRPr="00100621">
        <w:rPr>
          <w:rStyle w:val="Emphasis"/>
          <w:sz w:val="20"/>
          <w:szCs w:val="20"/>
          <w:shd w:val="clear" w:color="auto" w:fill="FFFFFF"/>
        </w:rPr>
        <w:t>Cognitive Interviewing</w:t>
      </w:r>
      <w:r w:rsidRPr="00100621">
        <w:rPr>
          <w:sz w:val="20"/>
          <w:szCs w:val="20"/>
          <w:shd w:val="clear" w:color="auto" w:fill="FFFFFF"/>
        </w:rPr>
        <w:t> Practice. London: SAGE Publications Ltd, 2015.</w:t>
      </w:r>
    </w:p>
  </w:footnote>
  <w:footnote w:id="10">
    <w:p w:rsidR="005928FF" w:rsidRPr="00100621" w:rsidP="005928FF" w14:paraId="5056BA8C" w14:textId="77777777">
      <w:pPr>
        <w:rPr>
          <w:sz w:val="20"/>
          <w:szCs w:val="20"/>
        </w:rPr>
      </w:pPr>
      <w:r>
        <w:rPr>
          <w:rStyle w:val="FootnoteReference"/>
        </w:rPr>
        <w:footnoteRef/>
      </w:r>
      <w:r>
        <w:t xml:space="preserve"> </w:t>
      </w:r>
      <w:r w:rsidRPr="00100621">
        <w:rPr>
          <w:sz w:val="20"/>
          <w:szCs w:val="20"/>
          <w:shd w:val="clear" w:color="auto" w:fill="FFFFFF"/>
        </w:rPr>
        <w:t>Ericsson, K. A., &amp; Simon, H. A. (1984). </w:t>
      </w:r>
      <w:r w:rsidRPr="00100621">
        <w:rPr>
          <w:rStyle w:val="Emphasis"/>
          <w:sz w:val="20"/>
          <w:szCs w:val="20"/>
          <w:shd w:val="clear" w:color="auto" w:fill="FFFFFF"/>
        </w:rPr>
        <w:t>Protocol analysis: Verbal reports as data.</w:t>
      </w:r>
      <w:r w:rsidRPr="00100621">
        <w:rPr>
          <w:sz w:val="20"/>
          <w:szCs w:val="20"/>
          <w:shd w:val="clear" w:color="auto" w:fill="FFFFFF"/>
        </w:rPr>
        <w:t> The MIT Press.</w:t>
      </w:r>
    </w:p>
    <w:p w:rsidR="005928FF" w14:paraId="603D5231" w14:textId="2A3F5A90">
      <w:pPr>
        <w:pStyle w:val="FootnoteText"/>
      </w:pPr>
    </w:p>
  </w:footnote>
  <w:footnote w:id="11">
    <w:p w:rsidR="00ED6458" w:rsidRPr="00100621" w:rsidP="00100621" w14:paraId="108648C2" w14:textId="0CD7F30E">
      <w:pPr>
        <w:pStyle w:val="N0-FlLftBullet"/>
        <w:ind w:left="360" w:hanging="360"/>
        <w:rPr>
          <w:rFonts w:ascii="Times New Roman" w:hAnsi="Times New Roman" w:cs="Times New Roman"/>
          <w:sz w:val="24"/>
          <w:szCs w:val="24"/>
        </w:rPr>
      </w:pPr>
      <w:r>
        <w:rPr>
          <w:rStyle w:val="FootnoteReference"/>
        </w:rPr>
        <w:footnoteRef/>
      </w:r>
      <w:r>
        <w:t xml:space="preserve"> </w:t>
      </w:r>
      <w:r w:rsidRPr="00100621" w:rsidR="00100621">
        <w:rPr>
          <w:rFonts w:ascii="Times New Roman" w:hAnsi="Times New Roman" w:cs="Times New Roman"/>
          <w:sz w:val="20"/>
          <w:szCs w:val="20"/>
        </w:rPr>
        <w:t xml:space="preserve">Gould, E. and K. DeCourcy. </w:t>
      </w:r>
      <w:r w:rsidRPr="00100621" w:rsidR="00100621">
        <w:rPr>
          <w:rFonts w:ascii="Times New Roman" w:hAnsi="Times New Roman" w:cs="Times New Roman"/>
          <w:i/>
          <w:iCs/>
          <w:sz w:val="20"/>
          <w:szCs w:val="20"/>
        </w:rPr>
        <w:t>State of Working America Wages 2022: Low-wage workers have seen historically fast real wage growth in the pandemic business cycle.</w:t>
      </w:r>
      <w:r w:rsidRPr="00100621" w:rsidR="00100621">
        <w:rPr>
          <w:rFonts w:ascii="Times New Roman" w:hAnsi="Times New Roman" w:cs="Times New Roman"/>
          <w:sz w:val="20"/>
          <w:szCs w:val="20"/>
        </w:rPr>
        <w:t xml:space="preserve"> Economic Policy Institute. March 2023. </w:t>
      </w:r>
      <w:r w:rsidRPr="00100621" w:rsidR="000075D3">
        <w:rPr>
          <w:rFonts w:ascii="Times New Roman" w:hAnsi="Times New Roman" w:cs="Times New Roman"/>
          <w:sz w:val="20"/>
          <w:szCs w:val="20"/>
        </w:rPr>
        <w:t>In 2022, the 10th-percentile wage was $12.57. In states that saw increases in the minimum wage between 2019 and 2022, the average 10th-percentile wage was $13.60 in 2022.</w:t>
      </w:r>
    </w:p>
  </w:footnote>
  <w:footnote w:id="12">
    <w:p w:rsidR="00CB2ED6" w14:paraId="4B27D33E" w14:textId="77777777">
      <w:pPr>
        <w:pStyle w:val="FootnoteText"/>
      </w:pPr>
      <w:r>
        <w:rPr>
          <w:rStyle w:val="FootnoteReference"/>
        </w:rPr>
        <w:footnoteRef/>
      </w:r>
      <w:r>
        <w:t xml:space="preserve"> Annualized over the three year period of the umbrella generic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3319" w:rsidP="00103319" w14:paraId="6C481261" w14:textId="77777777">
    <w:pPr>
      <w:pStyle w:val="Header"/>
    </w:pPr>
    <w:r>
      <w:t>OMB Control Number: 1290-0043</w:t>
    </w:r>
  </w:p>
  <w:p w:rsidR="00103319" w:rsidP="00103319" w14:paraId="23F61278" w14:textId="455D0DBA">
    <w:pPr>
      <w:pStyle w:val="Header"/>
    </w:pPr>
    <w:r>
      <w:t>National Worker Survey</w:t>
    </w:r>
  </w:p>
  <w:p w:rsidR="00103319" w:rsidP="00103319" w14:paraId="322F498E" w14:textId="77777777">
    <w:pPr>
      <w:pStyle w:val="Header"/>
    </w:pPr>
    <w:r>
      <w:t>OMB Expiration Date: 10/31/25</w:t>
    </w:r>
  </w:p>
  <w:p w:rsidR="00A35B0D" w:rsidP="00BE7952" w14:paraId="65669AE2"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00C5BAF"/>
    <w:multiLevelType w:val="multilevel"/>
    <w:tmpl w:val="3B02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47638866">
    <w:abstractNumId w:val="4"/>
  </w:num>
  <w:num w:numId="2" w16cid:durableId="1033580413">
    <w:abstractNumId w:val="1"/>
  </w:num>
  <w:num w:numId="3" w16cid:durableId="2021614594">
    <w:abstractNumId w:val="11"/>
  </w:num>
  <w:num w:numId="4" w16cid:durableId="659046123">
    <w:abstractNumId w:val="7"/>
  </w:num>
  <w:num w:numId="5" w16cid:durableId="1221091546">
    <w:abstractNumId w:val="8"/>
  </w:num>
  <w:num w:numId="6" w16cid:durableId="1228801896">
    <w:abstractNumId w:val="13"/>
  </w:num>
  <w:num w:numId="7" w16cid:durableId="2136944690">
    <w:abstractNumId w:val="12"/>
  </w:num>
  <w:num w:numId="8" w16cid:durableId="352151009">
    <w:abstractNumId w:val="9"/>
  </w:num>
  <w:num w:numId="9" w16cid:durableId="1724480328">
    <w:abstractNumId w:val="10"/>
  </w:num>
  <w:num w:numId="10" w16cid:durableId="2062240454">
    <w:abstractNumId w:val="2"/>
  </w:num>
  <w:num w:numId="11" w16cid:durableId="1708019009">
    <w:abstractNumId w:val="0"/>
  </w:num>
  <w:num w:numId="12" w16cid:durableId="1269196552">
    <w:abstractNumId w:val="3"/>
  </w:num>
  <w:num w:numId="13" w16cid:durableId="1916434523">
    <w:abstractNumId w:val="14"/>
  </w:num>
  <w:num w:numId="14" w16cid:durableId="1158303823">
    <w:abstractNumId w:val="5"/>
  </w:num>
  <w:num w:numId="15" w16cid:durableId="268777311">
    <w:abstractNumId w:val="6"/>
  </w:num>
  <w:num w:numId="16" w16cid:durableId="1077359068">
    <w:abstractNumId w:val="16"/>
  </w:num>
  <w:num w:numId="17" w16cid:durableId="1190951320">
    <w:abstractNumId w:val="17"/>
  </w:num>
  <w:num w:numId="18" w16cid:durableId="18873779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75D3"/>
    <w:rsid w:val="0003739E"/>
    <w:rsid w:val="000431B8"/>
    <w:rsid w:val="00046F71"/>
    <w:rsid w:val="000517EA"/>
    <w:rsid w:val="00051D89"/>
    <w:rsid w:val="00075ED6"/>
    <w:rsid w:val="0008643E"/>
    <w:rsid w:val="00091C59"/>
    <w:rsid w:val="000A7F94"/>
    <w:rsid w:val="000B5EA8"/>
    <w:rsid w:val="000D53DF"/>
    <w:rsid w:val="00100621"/>
    <w:rsid w:val="00103319"/>
    <w:rsid w:val="00104C75"/>
    <w:rsid w:val="00105AE9"/>
    <w:rsid w:val="00105F29"/>
    <w:rsid w:val="001061C5"/>
    <w:rsid w:val="00107EAE"/>
    <w:rsid w:val="00124EBF"/>
    <w:rsid w:val="00130457"/>
    <w:rsid w:val="00134CA9"/>
    <w:rsid w:val="0016012E"/>
    <w:rsid w:val="001636C4"/>
    <w:rsid w:val="00177982"/>
    <w:rsid w:val="00183C0F"/>
    <w:rsid w:val="00185769"/>
    <w:rsid w:val="001A304E"/>
    <w:rsid w:val="001A5AF9"/>
    <w:rsid w:val="001B5C18"/>
    <w:rsid w:val="001C4D60"/>
    <w:rsid w:val="001C5C7E"/>
    <w:rsid w:val="001C6E1D"/>
    <w:rsid w:val="001E1C6D"/>
    <w:rsid w:val="0020382F"/>
    <w:rsid w:val="00211D70"/>
    <w:rsid w:val="00222D81"/>
    <w:rsid w:val="002231FA"/>
    <w:rsid w:val="00226788"/>
    <w:rsid w:val="002338AC"/>
    <w:rsid w:val="00234E8D"/>
    <w:rsid w:val="00235A6D"/>
    <w:rsid w:val="00237BAA"/>
    <w:rsid w:val="002408DE"/>
    <w:rsid w:val="0025104D"/>
    <w:rsid w:val="0025173C"/>
    <w:rsid w:val="00253148"/>
    <w:rsid w:val="00263355"/>
    <w:rsid w:val="002815BB"/>
    <w:rsid w:val="00285023"/>
    <w:rsid w:val="00292B70"/>
    <w:rsid w:val="002A1F68"/>
    <w:rsid w:val="002A5C9A"/>
    <w:rsid w:val="002B0C42"/>
    <w:rsid w:val="002B4DBE"/>
    <w:rsid w:val="002C4F75"/>
    <w:rsid w:val="002D4B0A"/>
    <w:rsid w:val="002E46B1"/>
    <w:rsid w:val="002F3EDE"/>
    <w:rsid w:val="003255AE"/>
    <w:rsid w:val="00327B2E"/>
    <w:rsid w:val="00341420"/>
    <w:rsid w:val="00355385"/>
    <w:rsid w:val="00360929"/>
    <w:rsid w:val="00370860"/>
    <w:rsid w:val="00374DAB"/>
    <w:rsid w:val="0038291A"/>
    <w:rsid w:val="003D373A"/>
    <w:rsid w:val="003D4E87"/>
    <w:rsid w:val="003D5231"/>
    <w:rsid w:val="003E3841"/>
    <w:rsid w:val="004104C0"/>
    <w:rsid w:val="004222F8"/>
    <w:rsid w:val="00422C1B"/>
    <w:rsid w:val="004331BA"/>
    <w:rsid w:val="00436F5E"/>
    <w:rsid w:val="004522FF"/>
    <w:rsid w:val="004554B1"/>
    <w:rsid w:val="00456E2F"/>
    <w:rsid w:val="00470FD6"/>
    <w:rsid w:val="00482DDE"/>
    <w:rsid w:val="004967CA"/>
    <w:rsid w:val="0049769F"/>
    <w:rsid w:val="004A44DD"/>
    <w:rsid w:val="004B587E"/>
    <w:rsid w:val="004B63ED"/>
    <w:rsid w:val="004B6732"/>
    <w:rsid w:val="004B7995"/>
    <w:rsid w:val="004C2ADD"/>
    <w:rsid w:val="004D2CBC"/>
    <w:rsid w:val="004D6CA9"/>
    <w:rsid w:val="004E1DA3"/>
    <w:rsid w:val="004F4E1D"/>
    <w:rsid w:val="005046F0"/>
    <w:rsid w:val="00515E8C"/>
    <w:rsid w:val="00520737"/>
    <w:rsid w:val="00524B6D"/>
    <w:rsid w:val="005353B7"/>
    <w:rsid w:val="00541024"/>
    <w:rsid w:val="00572A32"/>
    <w:rsid w:val="005928FF"/>
    <w:rsid w:val="00594CAA"/>
    <w:rsid w:val="005A64C5"/>
    <w:rsid w:val="005B1575"/>
    <w:rsid w:val="005B4E89"/>
    <w:rsid w:val="005C0B1C"/>
    <w:rsid w:val="005C183A"/>
    <w:rsid w:val="005C20C0"/>
    <w:rsid w:val="005F2061"/>
    <w:rsid w:val="006010CA"/>
    <w:rsid w:val="00607351"/>
    <w:rsid w:val="006312D7"/>
    <w:rsid w:val="006347F1"/>
    <w:rsid w:val="00635DF0"/>
    <w:rsid w:val="00637CDD"/>
    <w:rsid w:val="00651DBA"/>
    <w:rsid w:val="00655BFD"/>
    <w:rsid w:val="00657424"/>
    <w:rsid w:val="00661810"/>
    <w:rsid w:val="00672EC5"/>
    <w:rsid w:val="00673227"/>
    <w:rsid w:val="00685ECE"/>
    <w:rsid w:val="006937D3"/>
    <w:rsid w:val="006974A4"/>
    <w:rsid w:val="006A2061"/>
    <w:rsid w:val="006A7EFA"/>
    <w:rsid w:val="006B2E56"/>
    <w:rsid w:val="006B6845"/>
    <w:rsid w:val="006C0DE9"/>
    <w:rsid w:val="006C23B8"/>
    <w:rsid w:val="006C5B3D"/>
    <w:rsid w:val="006D2637"/>
    <w:rsid w:val="006D4405"/>
    <w:rsid w:val="006F599B"/>
    <w:rsid w:val="00701045"/>
    <w:rsid w:val="00707EF5"/>
    <w:rsid w:val="00711BC5"/>
    <w:rsid w:val="0071272E"/>
    <w:rsid w:val="00712A3B"/>
    <w:rsid w:val="0072204D"/>
    <w:rsid w:val="007250A3"/>
    <w:rsid w:val="00736F1D"/>
    <w:rsid w:val="007375DE"/>
    <w:rsid w:val="00747FA3"/>
    <w:rsid w:val="00756E83"/>
    <w:rsid w:val="00761C54"/>
    <w:rsid w:val="00772457"/>
    <w:rsid w:val="00784137"/>
    <w:rsid w:val="00790A00"/>
    <w:rsid w:val="007962B2"/>
    <w:rsid w:val="007A5A8A"/>
    <w:rsid w:val="007B3297"/>
    <w:rsid w:val="007C17C6"/>
    <w:rsid w:val="007D295D"/>
    <w:rsid w:val="007E7817"/>
    <w:rsid w:val="007F1371"/>
    <w:rsid w:val="00806712"/>
    <w:rsid w:val="00807B30"/>
    <w:rsid w:val="008167FD"/>
    <w:rsid w:val="00862540"/>
    <w:rsid w:val="00863054"/>
    <w:rsid w:val="00865A95"/>
    <w:rsid w:val="0087234E"/>
    <w:rsid w:val="0087271A"/>
    <w:rsid w:val="0087300C"/>
    <w:rsid w:val="008813EA"/>
    <w:rsid w:val="0088729D"/>
    <w:rsid w:val="008B50AF"/>
    <w:rsid w:val="008B7F2C"/>
    <w:rsid w:val="008C6472"/>
    <w:rsid w:val="008C6A6B"/>
    <w:rsid w:val="008C78B4"/>
    <w:rsid w:val="008D08B7"/>
    <w:rsid w:val="008E4E1B"/>
    <w:rsid w:val="008F10A2"/>
    <w:rsid w:val="009271F6"/>
    <w:rsid w:val="009275D4"/>
    <w:rsid w:val="00932D71"/>
    <w:rsid w:val="00935CC3"/>
    <w:rsid w:val="00945CD6"/>
    <w:rsid w:val="00957AE3"/>
    <w:rsid w:val="009648CE"/>
    <w:rsid w:val="009702FA"/>
    <w:rsid w:val="0097697F"/>
    <w:rsid w:val="00977186"/>
    <w:rsid w:val="009830BB"/>
    <w:rsid w:val="00984CA2"/>
    <w:rsid w:val="00986F24"/>
    <w:rsid w:val="00990572"/>
    <w:rsid w:val="00990D87"/>
    <w:rsid w:val="009B1638"/>
    <w:rsid w:val="009B709A"/>
    <w:rsid w:val="009D47D2"/>
    <w:rsid w:val="009D7C5E"/>
    <w:rsid w:val="009E28C8"/>
    <w:rsid w:val="009E54F7"/>
    <w:rsid w:val="00A00D43"/>
    <w:rsid w:val="00A35B0D"/>
    <w:rsid w:val="00A35E23"/>
    <w:rsid w:val="00A36901"/>
    <w:rsid w:val="00A412C5"/>
    <w:rsid w:val="00A44209"/>
    <w:rsid w:val="00A45987"/>
    <w:rsid w:val="00A57D52"/>
    <w:rsid w:val="00A705DD"/>
    <w:rsid w:val="00A97502"/>
    <w:rsid w:val="00AA0771"/>
    <w:rsid w:val="00AA29C0"/>
    <w:rsid w:val="00AB019F"/>
    <w:rsid w:val="00B14396"/>
    <w:rsid w:val="00B14BBE"/>
    <w:rsid w:val="00B2207C"/>
    <w:rsid w:val="00B41C99"/>
    <w:rsid w:val="00B66874"/>
    <w:rsid w:val="00B70E95"/>
    <w:rsid w:val="00B72864"/>
    <w:rsid w:val="00B73ACF"/>
    <w:rsid w:val="00B764EE"/>
    <w:rsid w:val="00B84547"/>
    <w:rsid w:val="00B91D97"/>
    <w:rsid w:val="00B95CD1"/>
    <w:rsid w:val="00BA4E54"/>
    <w:rsid w:val="00BB0CE9"/>
    <w:rsid w:val="00BB13A6"/>
    <w:rsid w:val="00BB2157"/>
    <w:rsid w:val="00BC1BF3"/>
    <w:rsid w:val="00BC700E"/>
    <w:rsid w:val="00BD040F"/>
    <w:rsid w:val="00BD39B0"/>
    <w:rsid w:val="00BD4CFB"/>
    <w:rsid w:val="00BE7952"/>
    <w:rsid w:val="00BF3D6B"/>
    <w:rsid w:val="00C01EC2"/>
    <w:rsid w:val="00C12B95"/>
    <w:rsid w:val="00C1674B"/>
    <w:rsid w:val="00C33CFF"/>
    <w:rsid w:val="00C533FC"/>
    <w:rsid w:val="00C56EA9"/>
    <w:rsid w:val="00C87E29"/>
    <w:rsid w:val="00C91452"/>
    <w:rsid w:val="00CA08EE"/>
    <w:rsid w:val="00CB2ED6"/>
    <w:rsid w:val="00CC61DF"/>
    <w:rsid w:val="00CD3CEF"/>
    <w:rsid w:val="00CE013A"/>
    <w:rsid w:val="00CE3142"/>
    <w:rsid w:val="00CE6EFF"/>
    <w:rsid w:val="00D012A6"/>
    <w:rsid w:val="00D06D5F"/>
    <w:rsid w:val="00D14A14"/>
    <w:rsid w:val="00D174BA"/>
    <w:rsid w:val="00D3140D"/>
    <w:rsid w:val="00D44EA5"/>
    <w:rsid w:val="00D47412"/>
    <w:rsid w:val="00D519D9"/>
    <w:rsid w:val="00D526C7"/>
    <w:rsid w:val="00D529D8"/>
    <w:rsid w:val="00D6431C"/>
    <w:rsid w:val="00D73BD4"/>
    <w:rsid w:val="00D90EF6"/>
    <w:rsid w:val="00DA0373"/>
    <w:rsid w:val="00DA2831"/>
    <w:rsid w:val="00DA6021"/>
    <w:rsid w:val="00DA6141"/>
    <w:rsid w:val="00DC65A0"/>
    <w:rsid w:val="00DD7DAC"/>
    <w:rsid w:val="00DE7A23"/>
    <w:rsid w:val="00DF48FF"/>
    <w:rsid w:val="00E00860"/>
    <w:rsid w:val="00E05A0A"/>
    <w:rsid w:val="00E16F68"/>
    <w:rsid w:val="00E23706"/>
    <w:rsid w:val="00E41D46"/>
    <w:rsid w:val="00E54908"/>
    <w:rsid w:val="00E61B02"/>
    <w:rsid w:val="00E72E9A"/>
    <w:rsid w:val="00E74399"/>
    <w:rsid w:val="00E85578"/>
    <w:rsid w:val="00E86DB9"/>
    <w:rsid w:val="00EA12DE"/>
    <w:rsid w:val="00EA5814"/>
    <w:rsid w:val="00EB4378"/>
    <w:rsid w:val="00EB5B54"/>
    <w:rsid w:val="00EC329F"/>
    <w:rsid w:val="00EC50B8"/>
    <w:rsid w:val="00ED6458"/>
    <w:rsid w:val="00EE60F8"/>
    <w:rsid w:val="00EE6397"/>
    <w:rsid w:val="00EE7C51"/>
    <w:rsid w:val="00EF131E"/>
    <w:rsid w:val="00EF1A24"/>
    <w:rsid w:val="00F14D58"/>
    <w:rsid w:val="00F325EE"/>
    <w:rsid w:val="00F32CB0"/>
    <w:rsid w:val="00F403FF"/>
    <w:rsid w:val="00F73374"/>
    <w:rsid w:val="00FA05FE"/>
    <w:rsid w:val="00FA13B9"/>
    <w:rsid w:val="00FA1ED9"/>
    <w:rsid w:val="00FA456F"/>
    <w:rsid w:val="00FB7977"/>
    <w:rsid w:val="00FC04C5"/>
    <w:rsid w:val="00FD1B70"/>
    <w:rsid w:val="00FD7600"/>
    <w:rsid w:val="00FF0118"/>
    <w:rsid w:val="00FF3048"/>
    <w:rsid w:val="01D2813B"/>
    <w:rsid w:val="01E93728"/>
    <w:rsid w:val="02485993"/>
    <w:rsid w:val="027FB3FF"/>
    <w:rsid w:val="0317E75C"/>
    <w:rsid w:val="0325965E"/>
    <w:rsid w:val="035CDF44"/>
    <w:rsid w:val="03850789"/>
    <w:rsid w:val="041B8460"/>
    <w:rsid w:val="05D106B4"/>
    <w:rsid w:val="060E1DFF"/>
    <w:rsid w:val="0696695F"/>
    <w:rsid w:val="06A292B6"/>
    <w:rsid w:val="08E164DC"/>
    <w:rsid w:val="0A719D87"/>
    <w:rsid w:val="0B2FC213"/>
    <w:rsid w:val="0BDE0519"/>
    <w:rsid w:val="0DAA7A9C"/>
    <w:rsid w:val="0EA2E3B8"/>
    <w:rsid w:val="127113EB"/>
    <w:rsid w:val="13C4DDBD"/>
    <w:rsid w:val="14250D31"/>
    <w:rsid w:val="15475A3C"/>
    <w:rsid w:val="1789E4D7"/>
    <w:rsid w:val="1835337E"/>
    <w:rsid w:val="194801B6"/>
    <w:rsid w:val="1F5A80B2"/>
    <w:rsid w:val="2146B4F3"/>
    <w:rsid w:val="22BF4E0C"/>
    <w:rsid w:val="24412070"/>
    <w:rsid w:val="24478BEA"/>
    <w:rsid w:val="271A8FCF"/>
    <w:rsid w:val="28A1B24E"/>
    <w:rsid w:val="29FD89CA"/>
    <w:rsid w:val="2C7186F5"/>
    <w:rsid w:val="2D3D804F"/>
    <w:rsid w:val="2DCFA8FF"/>
    <w:rsid w:val="2E17F006"/>
    <w:rsid w:val="2E4898FC"/>
    <w:rsid w:val="2FB2ACF9"/>
    <w:rsid w:val="306FB49E"/>
    <w:rsid w:val="31B8734A"/>
    <w:rsid w:val="33C6EFF5"/>
    <w:rsid w:val="33E9790E"/>
    <w:rsid w:val="34BAEF82"/>
    <w:rsid w:val="369FAEAB"/>
    <w:rsid w:val="36C31FDE"/>
    <w:rsid w:val="375B533B"/>
    <w:rsid w:val="3C398B3B"/>
    <w:rsid w:val="3CDEBF52"/>
    <w:rsid w:val="426318A1"/>
    <w:rsid w:val="446A51F6"/>
    <w:rsid w:val="45B9A33C"/>
    <w:rsid w:val="46990A18"/>
    <w:rsid w:val="4734AE4A"/>
    <w:rsid w:val="473689C4"/>
    <w:rsid w:val="4A3D029F"/>
    <w:rsid w:val="4A8B7473"/>
    <w:rsid w:val="4B6424D8"/>
    <w:rsid w:val="4D76FF08"/>
    <w:rsid w:val="4EDC274A"/>
    <w:rsid w:val="51617B80"/>
    <w:rsid w:val="541CFA52"/>
    <w:rsid w:val="5587DF12"/>
    <w:rsid w:val="569FED72"/>
    <w:rsid w:val="57213B23"/>
    <w:rsid w:val="5830709E"/>
    <w:rsid w:val="5861C674"/>
    <w:rsid w:val="5A8C3BD6"/>
    <w:rsid w:val="5BBD23FE"/>
    <w:rsid w:val="5D096A94"/>
    <w:rsid w:val="61897533"/>
    <w:rsid w:val="61A84CFF"/>
    <w:rsid w:val="62D730B5"/>
    <w:rsid w:val="641A68DA"/>
    <w:rsid w:val="652E5F53"/>
    <w:rsid w:val="672992D0"/>
    <w:rsid w:val="677013E0"/>
    <w:rsid w:val="67E81358"/>
    <w:rsid w:val="6A01278F"/>
    <w:rsid w:val="70F6C146"/>
    <w:rsid w:val="751BF608"/>
    <w:rsid w:val="79DE2542"/>
    <w:rsid w:val="7D15C604"/>
    <w:rsid w:val="7D2B993E"/>
    <w:rsid w:val="7E00AE39"/>
    <w:rsid w:val="7F0100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1A4B6D8"/>
  <w15:chartTrackingRefBased/>
  <w15:docId w15:val="{3BC49697-D948-48E3-A978-E6A328C3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uiPriority w:val="20"/>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aliases w:val="*Footnote Text,F,F1,Footnote Text Char Char,Footnote Text ERA,Footnote Text ERA1,Footnote Text ERA11,Footnote Text ERA111,Footnote Text ERA12,Footnote Text ERA2,Footnote Text ERA21,Footnote Text ERA3,Footnote Text ERA4,Footnote Text2"/>
    <w:basedOn w:val="Normal"/>
    <w:link w:val="FootnoteTextChar"/>
    <w:rsid w:val="00CB2ED6"/>
    <w:rPr>
      <w:sz w:val="20"/>
      <w:szCs w:val="20"/>
    </w:rPr>
  </w:style>
  <w:style w:type="character" w:customStyle="1" w:styleId="FootnoteTextChar">
    <w:name w:val="Footnote Text Char"/>
    <w:aliases w:val="*Footnote Text Char,F Char,F1 Char,Footnote Text Char Char Char,Footnote Text ERA Char,Footnote Text ERA1 Char,Footnote Text ERA11 Char,Footnote Text ERA12 Char,Footnote Text ERA2 Char,Footnote Text ERA3 Char,Footnote Text2 Char"/>
    <w:basedOn w:val="DefaultParagraphFont"/>
    <w:link w:val="FootnoteText"/>
    <w:rsid w:val="00CB2ED6"/>
  </w:style>
  <w:style w:type="character" w:styleId="FootnoteReference">
    <w:name w:val="footnote reference"/>
    <w:aliases w:val="*Footnote Reference,*Footnote Reference ALT R,*Footnote Reference ALT-R"/>
    <w:uiPriority w:val="99"/>
    <w:rsid w:val="00CB2ED6"/>
    <w:rPr>
      <w:vertAlign w:val="superscript"/>
    </w:rPr>
  </w:style>
  <w:style w:type="paragraph" w:styleId="Revision">
    <w:name w:val="Revision"/>
    <w:hidden/>
    <w:uiPriority w:val="99"/>
    <w:semiHidden/>
    <w:rsid w:val="004104C0"/>
    <w:rPr>
      <w:sz w:val="24"/>
      <w:szCs w:val="24"/>
    </w:rPr>
  </w:style>
  <w:style w:type="paragraph" w:customStyle="1" w:styleId="L1-FlLSp12">
    <w:name w:val="L1-FlL Sp&amp;1/2"/>
    <w:basedOn w:val="Normal"/>
    <w:link w:val="L1-FlLSp12Char"/>
    <w:rsid w:val="006974A4"/>
    <w:pPr>
      <w:tabs>
        <w:tab w:val="left" w:pos="1152"/>
      </w:tabs>
      <w:spacing w:after="240"/>
    </w:pPr>
    <w:rPr>
      <w:rFonts w:asciiTheme="majorHAnsi" w:eastAsiaTheme="minorEastAsia" w:hAnsiTheme="majorHAnsi" w:cstheme="minorBidi"/>
      <w:sz w:val="22"/>
      <w:szCs w:val="20"/>
      <w:lang w:eastAsia="ja-JP"/>
    </w:rPr>
  </w:style>
  <w:style w:type="character" w:customStyle="1" w:styleId="L1-FlLSp12Char">
    <w:name w:val="L1-FlL Sp&amp;1/2 Char"/>
    <w:basedOn w:val="DefaultParagraphFont"/>
    <w:link w:val="L1-FlLSp12"/>
    <w:rsid w:val="006974A4"/>
    <w:rPr>
      <w:rFonts w:asciiTheme="majorHAnsi" w:eastAsiaTheme="minorEastAsia" w:hAnsiTheme="majorHAnsi" w:cstheme="minorBidi"/>
      <w:sz w:val="22"/>
      <w:lang w:eastAsia="ja-JP"/>
    </w:rPr>
  </w:style>
  <w:style w:type="paragraph" w:styleId="BodyText">
    <w:name w:val="Body Text"/>
    <w:basedOn w:val="Normal"/>
    <w:link w:val="BodyTextChar"/>
    <w:uiPriority w:val="99"/>
    <w:rsid w:val="00BC700E"/>
    <w:pPr>
      <w:spacing w:after="180" w:line="264" w:lineRule="auto"/>
    </w:pPr>
    <w:rPr>
      <w:sz w:val="22"/>
      <w:szCs w:val="20"/>
      <w:lang w:val="x-none" w:eastAsia="x-none"/>
    </w:rPr>
  </w:style>
  <w:style w:type="character" w:customStyle="1" w:styleId="BodyTextChar">
    <w:name w:val="Body Text Char"/>
    <w:basedOn w:val="DefaultParagraphFont"/>
    <w:link w:val="BodyText"/>
    <w:uiPriority w:val="99"/>
    <w:rsid w:val="00BC700E"/>
    <w:rPr>
      <w:sz w:val="22"/>
      <w:lang w:val="x-none" w:eastAsia="x-none"/>
    </w:rPr>
  </w:style>
  <w:style w:type="paragraph" w:styleId="ListParagraph">
    <w:name w:val="List Paragraph"/>
    <w:basedOn w:val="Normal"/>
    <w:uiPriority w:val="34"/>
    <w:qFormat/>
    <w:rsid w:val="00BC700E"/>
    <w:pPr>
      <w:spacing w:after="200" w:line="276" w:lineRule="auto"/>
      <w:ind w:left="720"/>
    </w:pPr>
    <w:rPr>
      <w:rFonts w:ascii="Calibri" w:eastAsia="Calibri" w:hAnsi="Calibri"/>
      <w:sz w:val="22"/>
      <w:szCs w:val="22"/>
    </w:rPr>
  </w:style>
  <w:style w:type="paragraph" w:customStyle="1" w:styleId="N0-FlLftBullet">
    <w:name w:val="N0-Fl Lft Bullet"/>
    <w:basedOn w:val="Normal"/>
    <w:rsid w:val="0049769F"/>
    <w:pPr>
      <w:tabs>
        <w:tab w:val="left" w:pos="576"/>
      </w:tabs>
      <w:spacing w:after="120"/>
      <w:ind w:left="576" w:hanging="576"/>
    </w:pPr>
    <w:rPr>
      <w:rFonts w:asciiTheme="majorHAnsi" w:eastAsiaTheme="minorEastAsia" w:hAnsiTheme="majorHAnsi" w:cstheme="minorHAnsi"/>
      <w:sz w:val="22"/>
      <w:szCs w:val="22"/>
      <w:lang w:eastAsia="ja-JP"/>
    </w:rPr>
  </w:style>
  <w:style w:type="character" w:styleId="FollowedHyperlink">
    <w:name w:val="FollowedHyperlink"/>
    <w:basedOn w:val="DefaultParagraphFont"/>
    <w:rsid w:val="008D08B7"/>
    <w:rPr>
      <w:color w:val="954F72" w:themeColor="followedHyperlink"/>
      <w:u w:val="single"/>
    </w:rPr>
  </w:style>
  <w:style w:type="paragraph" w:customStyle="1" w:styleId="nova-legacy-e-listitem">
    <w:name w:val="nova-legacy-e-list__item"/>
    <w:basedOn w:val="Normal"/>
    <w:rsid w:val="00B72864"/>
    <w:pPr>
      <w:spacing w:before="100" w:beforeAutospacing="1" w:after="100" w:afterAutospacing="1"/>
    </w:pPr>
  </w:style>
  <w:style w:type="character" w:styleId="UnresolvedMention">
    <w:name w:val="Unresolved Mention"/>
    <w:basedOn w:val="DefaultParagraphFont"/>
    <w:uiPriority w:val="99"/>
    <w:semiHidden/>
    <w:unhideWhenUsed/>
    <w:rsid w:val="00F325EE"/>
    <w:rPr>
      <w:color w:val="605E5C"/>
      <w:shd w:val="clear" w:color="auto" w:fill="E1DFDD"/>
    </w:rPr>
  </w:style>
  <w:style w:type="paragraph" w:styleId="EndnoteText">
    <w:name w:val="endnote text"/>
    <w:basedOn w:val="Normal"/>
    <w:link w:val="EndnoteTextChar"/>
    <w:rsid w:val="005928FF"/>
    <w:rPr>
      <w:sz w:val="20"/>
      <w:szCs w:val="20"/>
    </w:rPr>
  </w:style>
  <w:style w:type="character" w:customStyle="1" w:styleId="EndnoteTextChar">
    <w:name w:val="Endnote Text Char"/>
    <w:basedOn w:val="DefaultParagraphFont"/>
    <w:link w:val="EndnoteText"/>
    <w:rsid w:val="005928FF"/>
  </w:style>
  <w:style w:type="character" w:styleId="EndnoteReference">
    <w:name w:val="endnote reference"/>
    <w:basedOn w:val="DefaultParagraphFont"/>
    <w:rsid w:val="005928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dol.gov/agencies/whd/fact-sheets/14-flsa-coverage" TargetMode="External" /><Relationship Id="rId2" Type="http://schemas.openxmlformats.org/officeDocument/2006/relationships/hyperlink" Target="https://www.dol.gov/sites/dolgov/files/OASP/evaluation/pdf/WHD_ComplianceStrategies_LiteratureReview_Oct2020.pdf" TargetMode="External" /><Relationship Id="rId3" Type="http://schemas.openxmlformats.org/officeDocument/2006/relationships/hyperlink" Target="https://doi.org/10.21916/mlr.2016.44" TargetMode="External" /><Relationship Id="rId4" Type="http://schemas.openxmlformats.org/officeDocument/2006/relationships/hyperlink" Target="https://s27147.pcdn.co/wp-content/uploads/2015/03/BrokenLawsReport200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20BA7D40C49D4F9B2533F4BE4CDAFC" ma:contentTypeVersion="5" ma:contentTypeDescription="Create a new document." ma:contentTypeScope="" ma:versionID="475a8abda71546b418c3b82e08580835">
  <xsd:schema xmlns:xsd="http://www.w3.org/2001/XMLSchema" xmlns:xs="http://www.w3.org/2001/XMLSchema" xmlns:p="http://schemas.microsoft.com/office/2006/metadata/properties" xmlns:ns2="3cfe6b13-da67-49a0-907b-bf9652e62155" xmlns:ns3="7562d946-3ae1-4c46-b9f2-f313a671c5bd" targetNamespace="http://schemas.microsoft.com/office/2006/metadata/properties" ma:root="true" ma:fieldsID="d4da6d2bb45e7917633df2a94c10ff93" ns2:_="" ns3:_="">
    <xsd:import namespace="3cfe6b13-da67-49a0-907b-bf9652e62155"/>
    <xsd:import namespace="7562d946-3ae1-4c46-b9f2-f313a671c5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e6b13-da67-49a0-907b-bf9652e62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62d946-3ae1-4c46-b9f2-f313a671c5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359AB-F055-4084-A5B6-C4B25257C9E4}">
  <ds:schemaRefs>
    <ds:schemaRef ds:uri="http://schemas.microsoft.com/sharepoint/v3/contenttype/forms"/>
  </ds:schemaRefs>
</ds:datastoreItem>
</file>

<file path=customXml/itemProps2.xml><?xml version="1.0" encoding="utf-8"?>
<ds:datastoreItem xmlns:ds="http://schemas.openxmlformats.org/officeDocument/2006/customXml" ds:itemID="{A6F4B3B4-B402-44F4-B975-897732C80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e6b13-da67-49a0-907b-bf9652e62155"/>
    <ds:schemaRef ds:uri="7562d946-3ae1-4c46-b9f2-f313a671c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767BF-C757-408D-BBFA-688804CAC084}">
  <ds:schemaRefs>
    <ds:schemaRef ds:uri="http://schemas.openxmlformats.org/officeDocument/2006/bibliography"/>
  </ds:schemaRefs>
</ds:datastoreItem>
</file>

<file path=customXml/itemProps4.xml><?xml version="1.0" encoding="utf-8"?>
<ds:datastoreItem xmlns:ds="http://schemas.openxmlformats.org/officeDocument/2006/customXml" ds:itemID="{3D055698-60F9-47A5-A454-76D017574391}">
  <ds:schemaRefs>
    <ds:schemaRef ds:uri="http://purl.org/dc/terms/"/>
    <ds:schemaRef ds:uri="http://schemas.openxmlformats.org/package/2006/metadata/core-properties"/>
    <ds:schemaRef ds:uri="7562d946-3ae1-4c46-b9f2-f313a671c5bd"/>
    <ds:schemaRef ds:uri="http://schemas.microsoft.com/office/2006/documentManagement/types"/>
    <ds:schemaRef ds:uri="http://schemas.microsoft.com/office/infopath/2007/PartnerControls"/>
    <ds:schemaRef ds:uri="http://purl.org/dc/elements/1.1/"/>
    <ds:schemaRef ds:uri="http://schemas.microsoft.com/office/2006/metadata/properties"/>
    <ds:schemaRef ds:uri="3cfe6b13-da67-49a0-907b-bf9652e6215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3041</Words>
  <Characters>17445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Joseph Gasper</cp:lastModifiedBy>
  <cp:revision>11</cp:revision>
  <cp:lastPrinted>2023-08-09T19:25:00Z</cp:lastPrinted>
  <dcterms:created xsi:type="dcterms:W3CDTF">2024-03-20T15:15:00Z</dcterms:created>
  <dcterms:modified xsi:type="dcterms:W3CDTF">2024-04-03T21:23:00Z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0x0101003C20BA7D40C49D4F9B2533F4BE4CDAFC</vt:lpwstr>
  </property>
</Properties>
</file>