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3A4B" w:rsidP="00493A4B" w14:paraId="346841F5" w14:textId="0C3944D7">
      <w:pPr>
        <w:pStyle w:val="Appendix"/>
      </w:pPr>
      <w:r>
        <w:t xml:space="preserve">Appendix </w:t>
      </w:r>
      <w:r w:rsidR="00050426">
        <w:t>F</w:t>
      </w:r>
      <w:r>
        <w:br/>
      </w:r>
      <w:r>
        <w:br/>
      </w:r>
      <w:r w:rsidR="00C7205F">
        <w:t>Discussion</w:t>
      </w:r>
      <w:r w:rsidR="00050426">
        <w:t xml:space="preserve"> guide for non-participating states</w:t>
      </w:r>
    </w:p>
    <w:p w:rsidR="00493A4B" w:rsidP="00F15381" w14:paraId="1DE00394" w14:textId="1EB7357D">
      <w:pPr>
        <w:pStyle w:val="paragraph0"/>
        <w:spacing w:before="0" w:beforeAutospacing="0" w:after="0" w:afterAutospacing="0"/>
        <w:textAlignment w:val="baseline"/>
        <w:rPr>
          <w:rStyle w:val="normaltextrun"/>
          <w:rFonts w:ascii="Arial Black" w:hAnsi="Arial Black" w:cs="Segoe UI"/>
          <w:caps/>
          <w:sz w:val="22"/>
          <w:szCs w:val="22"/>
        </w:rPr>
        <w:sectPr w:rsidSect="000058AC">
          <w:headerReference w:type="first" r:id="rId8"/>
          <w:footerReference w:type="first" r:id="rId9"/>
          <w:pgSz w:w="12240" w:h="15840"/>
          <w:pgMar w:top="1440" w:right="1440" w:bottom="1440" w:left="1440" w:header="720" w:footer="720" w:gutter="0"/>
          <w:cols w:space="720"/>
          <w:docGrid w:linePitch="299"/>
        </w:sectPr>
      </w:pPr>
      <w:r w:rsidRPr="001531A8">
        <w:t> </w:t>
      </w:r>
    </w:p>
    <w:p w:rsidR="0062171E" w:rsidRPr="00AC47E9" w:rsidP="0062171E" w14:paraId="56B20751" w14:textId="402DB810">
      <w:pPr>
        <w:spacing w:after="0" w:line="240" w:lineRule="auto"/>
        <w:textAlignment w:val="baseline"/>
        <w:rPr>
          <w:rFonts w:ascii="Segoe UI" w:eastAsia="Times New Roman" w:hAnsi="Segoe UI" w:cs="Segoe UI"/>
          <w:caps/>
          <w:sz w:val="18"/>
          <w:szCs w:val="18"/>
        </w:rPr>
      </w:pPr>
      <w:r>
        <w:rPr>
          <w:rFonts w:ascii="Arial Black" w:eastAsia="Times New Roman" w:hAnsi="Arial Black" w:cs="Segoe UI"/>
          <w:caps/>
        </w:rPr>
        <w:t>discussion</w:t>
      </w:r>
      <w:r w:rsidR="005647AA">
        <w:rPr>
          <w:rFonts w:ascii="Arial Black" w:eastAsia="Times New Roman" w:hAnsi="Arial Black" w:cs="Segoe UI"/>
          <w:caps/>
        </w:rPr>
        <w:t xml:space="preserve"> GUIDE</w:t>
      </w:r>
      <w:r w:rsidR="00203F84">
        <w:rPr>
          <w:rFonts w:ascii="Arial Black" w:eastAsia="Times New Roman" w:hAnsi="Arial Black" w:cs="Segoe UI"/>
          <w:caps/>
        </w:rPr>
        <w:t xml:space="preserve"> FOR NON-PARTICIPATING STATES</w:t>
      </w:r>
    </w:p>
    <w:p w:rsidR="00E67B81" w:rsidP="00E67B81" w14:paraId="3313FDE6" w14:textId="34A4152D">
      <w:pPr>
        <w:pStyle w:val="paragraph0"/>
        <w:textAlignment w:val="baseline"/>
      </w:pPr>
      <w:r w:rsidRPr="0058332E">
        <w:t xml:space="preserve">In this appendix, we provide a checklist of topics we will cover during </w:t>
      </w:r>
      <w:r w:rsidR="00C7205F">
        <w:t>semi-structured conference calls</w:t>
      </w:r>
      <w:r w:rsidRPr="0058332E" w:rsidR="00C7205F">
        <w:t xml:space="preserve"> </w:t>
      </w:r>
      <w:r w:rsidRPr="0058332E">
        <w:t xml:space="preserve">with </w:t>
      </w:r>
      <w:r>
        <w:t>states without TAA Navigators</w:t>
      </w:r>
      <w:r w:rsidRPr="0058332E">
        <w:t xml:space="preserve">. </w:t>
      </w:r>
    </w:p>
    <w:p w:rsidR="00E67B81" w:rsidP="00E67B81" w14:paraId="210030E1" w14:textId="77777777">
      <w:pPr>
        <w:pStyle w:val="paragraph0"/>
        <w:textAlignment w:val="baseline"/>
      </w:pPr>
      <w:r>
        <w:t xml:space="preserve">Prior to the discussions, Mathematica will present the following language to each respondent:  Public reporting burden for this data collection instrument, is estimated to average 60 minutes per response. The burden estimate includes the time for reviewing instructions, searching existing data sources, gathering, and maintaining the data needed, and completing and submitting discussion. This collection of information is voluntary. You are not required to respond to this collection of information unless it displays a valid OMB control number.  Please send comments regarding the burden estimate or any other aspect of this collection of information to the Chief Evaluation Office, U.S. Department of Labor, 200 Constitution Ave NW, Room S-4307, Washington, DC </w:t>
      </w:r>
      <w:r>
        <w:t>20210  and</w:t>
      </w:r>
      <w:r>
        <w:t xml:space="preserve"> reference OMB control number 1290 – 0043.  </w:t>
      </w:r>
    </w:p>
    <w:p w:rsidR="0062171E" w:rsidRPr="00050426" w:rsidP="00050426" w14:paraId="4A28D795" w14:textId="4D89B7B7">
      <w:pPr>
        <w:pStyle w:val="ListNumber"/>
        <w:rPr>
          <w:rStyle w:val="normaltextrun"/>
          <w:b/>
          <w:bCs/>
        </w:rPr>
      </w:pPr>
      <w:r w:rsidRPr="00050426">
        <w:rPr>
          <w:rStyle w:val="normaltextrun"/>
          <w:b/>
          <w:bCs/>
        </w:rPr>
        <w:t>Respondent background</w:t>
      </w:r>
    </w:p>
    <w:p w:rsidR="0062171E" w:rsidRPr="00B45D29" w:rsidP="00050426" w14:paraId="1BE3502A" w14:textId="77777777">
      <w:pPr>
        <w:pStyle w:val="ListAlpha2"/>
        <w:spacing w:after="40"/>
        <w:rPr>
          <w:rStyle w:val="normaltextrun"/>
          <w:shd w:val="clear" w:color="auto" w:fill="FFFFFF"/>
        </w:rPr>
      </w:pPr>
      <w:r w:rsidRPr="00B45D29">
        <w:rPr>
          <w:rStyle w:val="normaltextrun"/>
          <w:shd w:val="clear" w:color="auto" w:fill="FFFFFF"/>
        </w:rPr>
        <w:t>Name, title, and organization/affiliation  </w:t>
      </w:r>
    </w:p>
    <w:p w:rsidR="0062171E" w:rsidRPr="00B45D29" w:rsidP="00050426" w14:paraId="7A871759" w14:textId="77777777">
      <w:pPr>
        <w:pStyle w:val="ListAlpha2"/>
        <w:spacing w:after="40"/>
        <w:rPr>
          <w:rStyle w:val="normaltextrun"/>
          <w:shd w:val="clear" w:color="auto" w:fill="FFFFFF"/>
        </w:rPr>
      </w:pPr>
      <w:r w:rsidRPr="00B45D29">
        <w:rPr>
          <w:rStyle w:val="normaltextrun"/>
          <w:shd w:val="clear" w:color="auto" w:fill="FFFFFF"/>
        </w:rPr>
        <w:t xml:space="preserve">Role in the </w:t>
      </w:r>
      <w:r>
        <w:rPr>
          <w:rStyle w:val="normaltextrun"/>
          <w:shd w:val="clear" w:color="auto" w:fill="FFFFFF"/>
        </w:rPr>
        <w:t>TAA</w:t>
      </w:r>
      <w:r w:rsidRPr="00B45D29">
        <w:rPr>
          <w:rStyle w:val="normaltextrun"/>
          <w:shd w:val="clear" w:color="auto" w:fill="FFFFFF"/>
        </w:rPr>
        <w:t xml:space="preserve"> program and other organization roles  </w:t>
      </w:r>
    </w:p>
    <w:p w:rsidR="0062171E" w:rsidP="00050426" w14:paraId="2B97A519" w14:textId="77777777">
      <w:pPr>
        <w:pStyle w:val="ListAlpha2"/>
        <w:spacing w:after="40"/>
        <w:rPr>
          <w:rStyle w:val="normaltextrun"/>
          <w:shd w:val="clear" w:color="auto" w:fill="FFFFFF"/>
        </w:rPr>
      </w:pPr>
      <w:r w:rsidRPr="00B45D29">
        <w:rPr>
          <w:rStyle w:val="normaltextrun"/>
          <w:shd w:val="clear" w:color="auto" w:fill="FFFFFF"/>
        </w:rPr>
        <w:t xml:space="preserve">Length of involvement with the organization and with </w:t>
      </w:r>
      <w:r>
        <w:rPr>
          <w:rStyle w:val="normaltextrun"/>
          <w:shd w:val="clear" w:color="auto" w:fill="FFFFFF"/>
        </w:rPr>
        <w:t>TAA</w:t>
      </w:r>
      <w:r w:rsidRPr="00B45D29">
        <w:rPr>
          <w:rStyle w:val="normaltextrun"/>
          <w:shd w:val="clear" w:color="auto" w:fill="FFFFFF"/>
        </w:rPr>
        <w:t>  </w:t>
      </w:r>
    </w:p>
    <w:p w:rsidR="0062171E" w:rsidP="00050426" w14:paraId="73A57BFB" w14:textId="77777777">
      <w:pPr>
        <w:pStyle w:val="ListAlpha2"/>
        <w:spacing w:after="40"/>
        <w:rPr>
          <w:rStyle w:val="normaltextrun"/>
          <w:shd w:val="clear" w:color="auto" w:fill="FFFFFF"/>
        </w:rPr>
      </w:pPr>
      <w:r>
        <w:rPr>
          <w:rStyle w:val="normaltextrun"/>
          <w:shd w:val="clear" w:color="auto" w:fill="FFFFFF"/>
        </w:rPr>
        <w:t xml:space="preserve">Basic structure of TAA program in state </w:t>
      </w:r>
    </w:p>
    <w:p w:rsidR="0062171E" w:rsidP="00050426" w14:paraId="2E924C76" w14:textId="77777777">
      <w:pPr>
        <w:pStyle w:val="ListNumber3"/>
        <w:spacing w:after="40"/>
        <w:rPr>
          <w:rStyle w:val="normaltextrun"/>
          <w:shd w:val="clear" w:color="auto" w:fill="FFFFFF"/>
        </w:rPr>
      </w:pPr>
      <w:r>
        <w:rPr>
          <w:rStyle w:val="normaltextrun"/>
          <w:shd w:val="clear" w:color="auto" w:fill="FFFFFF"/>
        </w:rPr>
        <w:t>Where other TAA staff are located</w:t>
      </w:r>
    </w:p>
    <w:p w:rsidR="0062171E" w:rsidP="00050426" w14:paraId="3D8C2382" w14:textId="77777777">
      <w:pPr>
        <w:pStyle w:val="ListNumber3"/>
        <w:spacing w:after="40"/>
        <w:rPr>
          <w:rStyle w:val="normaltextrun"/>
          <w:shd w:val="clear" w:color="auto" w:fill="FFFFFF"/>
        </w:rPr>
      </w:pPr>
      <w:r>
        <w:rPr>
          <w:rStyle w:val="normaltextrun"/>
          <w:shd w:val="clear" w:color="auto" w:fill="FFFFFF"/>
        </w:rPr>
        <w:t>Roles/activities of other TAA staff</w:t>
      </w:r>
    </w:p>
    <w:p w:rsidR="0062171E" w:rsidP="00050426" w14:paraId="443B077F" w14:textId="77777777">
      <w:pPr>
        <w:pStyle w:val="ListNumber3"/>
        <w:spacing w:after="120"/>
        <w:rPr>
          <w:rStyle w:val="normaltextrun"/>
          <w:shd w:val="clear" w:color="auto" w:fill="FFFFFF"/>
        </w:rPr>
      </w:pPr>
      <w:r>
        <w:rPr>
          <w:rStyle w:val="normaltextrun"/>
          <w:shd w:val="clear" w:color="auto" w:fill="FFFFFF"/>
        </w:rPr>
        <w:t xml:space="preserve">Recent changes in the structure of the state’s TAA program or staffing approach </w:t>
      </w:r>
    </w:p>
    <w:p w:rsidR="0062171E" w:rsidRPr="00050426" w:rsidP="00050426" w14:paraId="279B61BD" w14:textId="77777777">
      <w:pPr>
        <w:pStyle w:val="ListNumber"/>
        <w:rPr>
          <w:rStyle w:val="normaltextrun"/>
          <w:b/>
          <w:bCs/>
        </w:rPr>
      </w:pPr>
      <w:r w:rsidRPr="00050426">
        <w:rPr>
          <w:rStyle w:val="normaltextrun"/>
          <w:b/>
          <w:bCs/>
        </w:rPr>
        <w:t>TAA Navigator models</w:t>
      </w:r>
    </w:p>
    <w:p w:rsidR="0062171E" w:rsidRPr="00050426" w:rsidP="00876E3C" w14:paraId="0F0157E5" w14:textId="77777777">
      <w:pPr>
        <w:pStyle w:val="ListAlpha2"/>
        <w:numPr>
          <w:ilvl w:val="0"/>
          <w:numId w:val="29"/>
        </w:numPr>
        <w:spacing w:after="40"/>
        <w:rPr>
          <w:rStyle w:val="normaltextrun"/>
          <w:shd w:val="clear" w:color="auto" w:fill="FFFFFF"/>
        </w:rPr>
      </w:pPr>
      <w:r w:rsidRPr="00050426">
        <w:rPr>
          <w:rStyle w:val="normaltextrun"/>
          <w:shd w:val="clear" w:color="auto" w:fill="FFFFFF"/>
        </w:rPr>
        <w:t xml:space="preserve">Awareness/understanding of TAA Navigator </w:t>
      </w:r>
      <w:r w:rsidRPr="00050426">
        <w:rPr>
          <w:rStyle w:val="normaltextrun"/>
          <w:shd w:val="clear" w:color="auto" w:fill="FFFFFF"/>
        </w:rPr>
        <w:t>models</w:t>
      </w:r>
    </w:p>
    <w:p w:rsidR="0062171E" w:rsidRPr="00050426" w:rsidP="00050426" w14:paraId="4195A390" w14:textId="77777777">
      <w:pPr>
        <w:pStyle w:val="ListNumber3"/>
        <w:numPr>
          <w:ilvl w:val="0"/>
          <w:numId w:val="30"/>
        </w:numPr>
        <w:spacing w:after="120"/>
        <w:rPr>
          <w:rStyle w:val="normaltextrun"/>
          <w:shd w:val="clear" w:color="auto" w:fill="FFFFFF"/>
        </w:rPr>
      </w:pPr>
      <w:r w:rsidRPr="00050426">
        <w:rPr>
          <w:rStyle w:val="normaltextrun"/>
          <w:shd w:val="clear" w:color="auto" w:fill="FFFFFF"/>
        </w:rPr>
        <w:t xml:space="preserve">How developed this </w:t>
      </w:r>
      <w:r w:rsidRPr="00050426">
        <w:rPr>
          <w:rStyle w:val="normaltextrun"/>
          <w:shd w:val="clear" w:color="auto" w:fill="FFFFFF"/>
        </w:rPr>
        <w:t>knowledge</w:t>
      </w:r>
    </w:p>
    <w:p w:rsidR="0062171E" w:rsidP="00876E3C" w14:paraId="24B0AE12" w14:textId="77777777">
      <w:pPr>
        <w:pStyle w:val="ListAlpha2"/>
        <w:spacing w:after="40"/>
        <w:rPr>
          <w:rStyle w:val="normaltextrun"/>
          <w:shd w:val="clear" w:color="auto" w:fill="FFFFFF"/>
        </w:rPr>
      </w:pPr>
      <w:r>
        <w:rPr>
          <w:rStyle w:val="normaltextrun"/>
          <w:shd w:val="clear" w:color="auto" w:fill="FFFFFF"/>
        </w:rPr>
        <w:t>State consideration of Navigators</w:t>
      </w:r>
    </w:p>
    <w:p w:rsidR="0062171E" w:rsidRPr="00050426" w:rsidP="00050426" w14:paraId="2912AB74" w14:textId="77777777">
      <w:pPr>
        <w:pStyle w:val="ListNumber3"/>
        <w:numPr>
          <w:ilvl w:val="0"/>
          <w:numId w:val="31"/>
        </w:numPr>
        <w:spacing w:after="40"/>
        <w:rPr>
          <w:rStyle w:val="normaltextrun"/>
          <w:shd w:val="clear" w:color="auto" w:fill="FFFFFF"/>
        </w:rPr>
      </w:pPr>
      <w:r w:rsidRPr="00050426">
        <w:rPr>
          <w:rStyle w:val="normaltextrun"/>
          <w:shd w:val="clear" w:color="auto" w:fill="FFFFFF"/>
        </w:rPr>
        <w:t>Objectives</w:t>
      </w:r>
    </w:p>
    <w:p w:rsidR="0062171E" w:rsidP="00050426" w14:paraId="4C483C7C" w14:textId="77777777">
      <w:pPr>
        <w:pStyle w:val="ListNumber3"/>
        <w:spacing w:after="120"/>
        <w:rPr>
          <w:rStyle w:val="normaltextrun"/>
          <w:shd w:val="clear" w:color="auto" w:fill="FFFFFF"/>
        </w:rPr>
      </w:pPr>
      <w:r>
        <w:rPr>
          <w:rStyle w:val="normaltextrun"/>
          <w:shd w:val="clear" w:color="auto" w:fill="FFFFFF"/>
        </w:rPr>
        <w:t>Potential roles</w:t>
      </w:r>
    </w:p>
    <w:p w:rsidR="0062171E" w:rsidP="00876E3C" w14:paraId="0A45357F" w14:textId="77777777">
      <w:pPr>
        <w:pStyle w:val="ListAlpha2"/>
        <w:spacing w:after="40"/>
        <w:rPr>
          <w:rStyle w:val="normaltextrun"/>
          <w:shd w:val="clear" w:color="auto" w:fill="FFFFFF"/>
        </w:rPr>
      </w:pPr>
      <w:r>
        <w:rPr>
          <w:rStyle w:val="normaltextrun"/>
          <w:shd w:val="clear" w:color="auto" w:fill="FFFFFF"/>
        </w:rPr>
        <w:t>Prior experience with Navigators</w:t>
      </w:r>
    </w:p>
    <w:p w:rsidR="0062171E" w:rsidRPr="00050426" w:rsidP="00050426" w14:paraId="1C21F173" w14:textId="77777777">
      <w:pPr>
        <w:pStyle w:val="ListNumber3"/>
        <w:numPr>
          <w:ilvl w:val="0"/>
          <w:numId w:val="32"/>
        </w:numPr>
        <w:spacing w:after="40"/>
        <w:rPr>
          <w:rStyle w:val="normaltextrun"/>
          <w:shd w:val="clear" w:color="auto" w:fill="FFFFFF"/>
        </w:rPr>
      </w:pPr>
      <w:r w:rsidRPr="00050426">
        <w:rPr>
          <w:rStyle w:val="normaltextrun"/>
          <w:shd w:val="clear" w:color="auto" w:fill="FFFFFF"/>
        </w:rPr>
        <w:t xml:space="preserve">If previously had navigators, describe numbers, roles, </w:t>
      </w:r>
      <w:r w:rsidRPr="00050426">
        <w:rPr>
          <w:rStyle w:val="normaltextrun"/>
          <w:shd w:val="clear" w:color="auto" w:fill="FFFFFF"/>
        </w:rPr>
        <w:t>locations</w:t>
      </w:r>
    </w:p>
    <w:p w:rsidR="0062171E" w:rsidRPr="00AB1443" w:rsidP="00050426" w14:paraId="5D3897FA" w14:textId="77777777">
      <w:pPr>
        <w:pStyle w:val="ListNumber3"/>
        <w:spacing w:after="120"/>
        <w:rPr>
          <w:rStyle w:val="normaltextrun"/>
          <w:shd w:val="clear" w:color="auto" w:fill="FFFFFF"/>
        </w:rPr>
      </w:pPr>
      <w:r>
        <w:rPr>
          <w:rStyle w:val="normaltextrun"/>
          <w:shd w:val="clear" w:color="auto" w:fill="FFFFFF"/>
        </w:rPr>
        <w:t>When were navigators implemented/</w:t>
      </w:r>
      <w:r>
        <w:rPr>
          <w:rStyle w:val="normaltextrun"/>
          <w:shd w:val="clear" w:color="auto" w:fill="FFFFFF"/>
        </w:rPr>
        <w:t>discontinued</w:t>
      </w:r>
    </w:p>
    <w:p w:rsidR="0062171E" w:rsidP="00876E3C" w14:paraId="5F2B2B6F" w14:textId="77777777">
      <w:pPr>
        <w:pStyle w:val="ListAlpha2"/>
        <w:spacing w:after="40"/>
        <w:rPr>
          <w:rStyle w:val="normaltextrun"/>
          <w:shd w:val="clear" w:color="auto" w:fill="FFFFFF"/>
        </w:rPr>
      </w:pPr>
      <w:r>
        <w:rPr>
          <w:rStyle w:val="normaltextrun"/>
          <w:shd w:val="clear" w:color="auto" w:fill="FFFFFF"/>
        </w:rPr>
        <w:t xml:space="preserve">Barriers or challenges to adoption or maintaining </w:t>
      </w:r>
      <w:r>
        <w:rPr>
          <w:rStyle w:val="normaltextrun"/>
          <w:shd w:val="clear" w:color="auto" w:fill="FFFFFF"/>
        </w:rPr>
        <w:t>navigators</w:t>
      </w:r>
    </w:p>
    <w:p w:rsidR="0062171E" w:rsidRPr="00050426" w:rsidP="00050426" w14:paraId="162E2475" w14:textId="77777777">
      <w:pPr>
        <w:pStyle w:val="ListNumber3"/>
        <w:numPr>
          <w:ilvl w:val="0"/>
          <w:numId w:val="33"/>
        </w:numPr>
        <w:spacing w:after="40"/>
        <w:rPr>
          <w:rStyle w:val="normaltextrun"/>
          <w:shd w:val="clear" w:color="auto" w:fill="FFFFFF"/>
        </w:rPr>
      </w:pPr>
      <w:r w:rsidRPr="00050426">
        <w:rPr>
          <w:rStyle w:val="normaltextrun"/>
          <w:shd w:val="clear" w:color="auto" w:fill="FFFFFF"/>
        </w:rPr>
        <w:t>Lack of leadership support</w:t>
      </w:r>
    </w:p>
    <w:p w:rsidR="0062171E" w:rsidP="00050426" w14:paraId="03395BE6" w14:textId="77777777">
      <w:pPr>
        <w:pStyle w:val="ListNumber3"/>
        <w:spacing w:after="40"/>
        <w:rPr>
          <w:rStyle w:val="normaltextrun"/>
          <w:shd w:val="clear" w:color="auto" w:fill="FFFFFF"/>
        </w:rPr>
      </w:pPr>
      <w:r>
        <w:rPr>
          <w:rStyle w:val="normaltextrun"/>
          <w:shd w:val="clear" w:color="auto" w:fill="FFFFFF"/>
        </w:rPr>
        <w:t>Reversion/sunsetting</w:t>
      </w:r>
    </w:p>
    <w:p w:rsidR="0062171E" w:rsidP="00050426" w14:paraId="4A872D4B" w14:textId="77777777">
      <w:pPr>
        <w:pStyle w:val="ListNumber3"/>
        <w:spacing w:after="120"/>
        <w:rPr>
          <w:rStyle w:val="normaltextrun"/>
          <w:shd w:val="clear" w:color="auto" w:fill="FFFFFF"/>
        </w:rPr>
      </w:pPr>
      <w:r>
        <w:rPr>
          <w:rStyle w:val="normaltextrun"/>
          <w:shd w:val="clear" w:color="auto" w:fill="FFFFFF"/>
        </w:rPr>
        <w:t>Other</w:t>
      </w:r>
    </w:p>
    <w:p w:rsidR="0062171E" w:rsidP="00876E3C" w14:paraId="3EE16C91" w14:textId="77777777">
      <w:pPr>
        <w:pStyle w:val="ListAlpha2"/>
        <w:spacing w:after="40"/>
        <w:rPr>
          <w:rStyle w:val="normaltextrun"/>
          <w:shd w:val="clear" w:color="auto" w:fill="FFFFFF"/>
        </w:rPr>
      </w:pPr>
      <w:r>
        <w:rPr>
          <w:rStyle w:val="normaltextrun"/>
          <w:shd w:val="clear" w:color="auto" w:fill="FFFFFF"/>
        </w:rPr>
        <w:t>Alternative staffing structures to navigators</w:t>
      </w:r>
    </w:p>
    <w:p w:rsidR="0062171E" w:rsidRPr="00050426" w:rsidP="00050426" w14:paraId="690ECABE" w14:textId="77777777">
      <w:pPr>
        <w:pStyle w:val="ListNumber3"/>
        <w:numPr>
          <w:ilvl w:val="0"/>
          <w:numId w:val="34"/>
        </w:numPr>
        <w:spacing w:after="120"/>
        <w:rPr>
          <w:rStyle w:val="normaltextrun"/>
          <w:shd w:val="clear" w:color="auto" w:fill="FFFFFF"/>
        </w:rPr>
      </w:pPr>
      <w:r w:rsidRPr="00050426">
        <w:rPr>
          <w:rStyle w:val="normaltextrun"/>
          <w:shd w:val="clear" w:color="auto" w:fill="FFFFFF"/>
        </w:rPr>
        <w:t xml:space="preserve">Why are these structures considered better than </w:t>
      </w:r>
      <w:r w:rsidRPr="00050426">
        <w:rPr>
          <w:rStyle w:val="normaltextrun"/>
          <w:shd w:val="clear" w:color="auto" w:fill="FFFFFF"/>
        </w:rPr>
        <w:t>navigators</w:t>
      </w:r>
    </w:p>
    <w:p w:rsidR="0062171E" w:rsidP="00050426" w14:paraId="7784D394" w14:textId="77777777">
      <w:pPr>
        <w:pStyle w:val="ListAlpha2"/>
        <w:rPr>
          <w:rStyle w:val="normaltextrun"/>
          <w:shd w:val="clear" w:color="auto" w:fill="FFFFFF"/>
        </w:rPr>
      </w:pPr>
      <w:r>
        <w:rPr>
          <w:rStyle w:val="normaltextrun"/>
          <w:shd w:val="clear" w:color="auto" w:fill="FFFFFF"/>
        </w:rPr>
        <w:t xml:space="preserve">Potential for implementing Navigators after </w:t>
      </w:r>
      <w:r>
        <w:rPr>
          <w:rStyle w:val="normaltextrun"/>
          <w:shd w:val="clear" w:color="auto" w:fill="FFFFFF"/>
        </w:rPr>
        <w:t>reauthorization</w:t>
      </w:r>
    </w:p>
    <w:sectPr w:rsidSect="00050426">
      <w:footerReference w:type="defaul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1C526B65" w14:textId="537E5F8D">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426" w:rsidRPr="007C734C" w:rsidP="007C734C" w14:paraId="153EC7B6"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426" w:rsidP="00AA33D3" w14:paraId="4D329FC6"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B81" w:rsidP="00E67B81" w14:paraId="47E5C10A" w14:textId="77777777">
    <w:pPr>
      <w:pStyle w:val="Header"/>
    </w:pPr>
    <w:r>
      <w:t>Formative Study of Trade Adjustment Assistance (TAA) Navigators</w:t>
    </w:r>
  </w:p>
  <w:p w:rsidR="00E67B81" w:rsidP="00E67B81" w14:paraId="542B87DB" w14:textId="77777777">
    <w:pPr>
      <w:pStyle w:val="Header"/>
    </w:pPr>
    <w:r>
      <w:t>OMB #: 1290 – 0043</w:t>
    </w:r>
  </w:p>
  <w:p w:rsidR="00E67B81" w:rsidP="00E67B81" w14:paraId="2507B3A1" w14:textId="77777777">
    <w:pPr>
      <w:pStyle w:val="Header"/>
    </w:pPr>
    <w:r>
      <w:t>Expiration date: XX/XX/20XX</w:t>
    </w:r>
  </w:p>
  <w:p w:rsidR="00E67B81" w14:paraId="4668A7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2703455">
    <w:abstractNumId w:val="10"/>
  </w:num>
  <w:num w:numId="2" w16cid:durableId="1516581094">
    <w:abstractNumId w:val="27"/>
  </w:num>
  <w:num w:numId="3" w16cid:durableId="1936092568">
    <w:abstractNumId w:val="18"/>
  </w:num>
  <w:num w:numId="4" w16cid:durableId="243146185">
    <w:abstractNumId w:val="22"/>
  </w:num>
  <w:num w:numId="5" w16cid:durableId="1849638838">
    <w:abstractNumId w:val="9"/>
  </w:num>
  <w:num w:numId="6" w16cid:durableId="1939944952">
    <w:abstractNumId w:val="8"/>
  </w:num>
  <w:num w:numId="7" w16cid:durableId="396100342">
    <w:abstractNumId w:val="15"/>
  </w:num>
  <w:num w:numId="8" w16cid:durableId="58334204">
    <w:abstractNumId w:val="7"/>
  </w:num>
  <w:num w:numId="9" w16cid:durableId="657803237">
    <w:abstractNumId w:val="6"/>
  </w:num>
  <w:num w:numId="10" w16cid:durableId="950665354">
    <w:abstractNumId w:val="5"/>
  </w:num>
  <w:num w:numId="11" w16cid:durableId="1690911859">
    <w:abstractNumId w:val="4"/>
  </w:num>
  <w:num w:numId="12" w16cid:durableId="1648782750">
    <w:abstractNumId w:val="3"/>
  </w:num>
  <w:num w:numId="13" w16cid:durableId="566452736">
    <w:abstractNumId w:val="2"/>
  </w:num>
  <w:num w:numId="14" w16cid:durableId="2091659150">
    <w:abstractNumId w:val="1"/>
  </w:num>
  <w:num w:numId="15" w16cid:durableId="217279602">
    <w:abstractNumId w:val="0"/>
  </w:num>
  <w:num w:numId="16" w16cid:durableId="140730100">
    <w:abstractNumId w:val="14"/>
  </w:num>
  <w:num w:numId="17" w16cid:durableId="153962364">
    <w:abstractNumId w:val="24"/>
  </w:num>
  <w:num w:numId="18" w16cid:durableId="594480207">
    <w:abstractNumId w:val="13"/>
  </w:num>
  <w:num w:numId="19" w16cid:durableId="2134597359">
    <w:abstractNumId w:val="12"/>
  </w:num>
  <w:num w:numId="20" w16cid:durableId="655039504">
    <w:abstractNumId w:val="20"/>
  </w:num>
  <w:num w:numId="21" w16cid:durableId="1061514472">
    <w:abstractNumId w:val="23"/>
  </w:num>
  <w:num w:numId="22" w16cid:durableId="101533636">
    <w:abstractNumId w:val="16"/>
  </w:num>
  <w:num w:numId="23" w16cid:durableId="1117406730">
    <w:abstractNumId w:val="11"/>
  </w:num>
  <w:num w:numId="24" w16cid:durableId="535854574">
    <w:abstractNumId w:val="26"/>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5" w16cid:durableId="1819571797">
    <w:abstractNumId w:val="25"/>
  </w:num>
  <w:num w:numId="26" w16cid:durableId="665867292">
    <w:abstractNumId w:val="19"/>
  </w:num>
  <w:num w:numId="27" w16cid:durableId="81029836">
    <w:abstractNumId w:val="21"/>
  </w:num>
  <w:num w:numId="28" w16cid:durableId="115300793">
    <w:abstractNumId w:val="17"/>
  </w:num>
  <w:num w:numId="29" w16cid:durableId="207257027">
    <w:abstractNumId w:val="21"/>
    <w:lvlOverride w:ilvl="0">
      <w:startOverride w:val="1"/>
    </w:lvlOverride>
  </w:num>
  <w:num w:numId="30" w16cid:durableId="226305286">
    <w:abstractNumId w:val="2"/>
    <w:lvlOverride w:ilvl="0">
      <w:startOverride w:val="1"/>
    </w:lvlOverride>
  </w:num>
  <w:num w:numId="31" w16cid:durableId="893545016">
    <w:abstractNumId w:val="2"/>
    <w:lvlOverride w:ilvl="0">
      <w:startOverride w:val="1"/>
    </w:lvlOverride>
  </w:num>
  <w:num w:numId="32" w16cid:durableId="1462187441">
    <w:abstractNumId w:val="2"/>
    <w:lvlOverride w:ilvl="0">
      <w:startOverride w:val="1"/>
    </w:lvlOverride>
  </w:num>
  <w:num w:numId="33" w16cid:durableId="683746815">
    <w:abstractNumId w:val="2"/>
    <w:lvlOverride w:ilvl="0">
      <w:startOverride w:val="1"/>
    </w:lvlOverride>
  </w:num>
  <w:num w:numId="34" w16cid:durableId="614555725">
    <w:abstractNumId w:val="2"/>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81"/>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0426"/>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07E"/>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1A8"/>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7C7"/>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3F8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275EB"/>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1F61"/>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1AC7"/>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6629"/>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3A4B"/>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47AA"/>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2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171E"/>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6CAF"/>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535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6E3C"/>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3E1"/>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DDD"/>
    <w:rsid w:val="00960FA2"/>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6815"/>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4926"/>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443"/>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4616"/>
    <w:rsid w:val="00AC47E9"/>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0D7E"/>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5D29"/>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EA8"/>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05F"/>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AF5"/>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67B81"/>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381"/>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 w:val="21129417"/>
    <w:rsid w:val="29334189"/>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3B1163"/>
  <w15:chartTrackingRefBased/>
  <w15:docId w15:val="{628A6AA7-7116-444D-AFC4-9F8ACDA9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93A4B"/>
    <w:pPr>
      <w:spacing w:line="264" w:lineRule="auto"/>
    </w:pPr>
    <w:rPr>
      <w:sz w:val="24"/>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AC4616"/>
    <w:pPr>
      <w:numPr>
        <w:numId w:val="13"/>
      </w:numPr>
      <w:adjustRightInd w:val="0"/>
      <w:spacing w:after="0" w:line="240" w:lineRule="auto"/>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26"/>
      </w:numPr>
    </w:pPr>
  </w:style>
  <w:style w:type="paragraph" w:customStyle="1" w:styleId="ListAlpha2">
    <w:name w:val="List Alpha 2"/>
    <w:basedOn w:val="List2"/>
    <w:qFormat/>
    <w:rsid w:val="00493A4B"/>
    <w:pPr>
      <w:numPr>
        <w:ilvl w:val="0"/>
        <w:numId w:val="27"/>
      </w:numPr>
      <w:spacing w:after="80" w:line="240" w:lineRule="auto"/>
      <w:contextualSpacing w:val="0"/>
    </w:pPr>
  </w:style>
  <w:style w:type="paragraph" w:customStyle="1" w:styleId="ListAlpha3">
    <w:name w:val="List Alpha 3"/>
    <w:basedOn w:val="List3"/>
    <w:qFormat/>
    <w:rsid w:val="006764B4"/>
    <w:pPr>
      <w:numPr>
        <w:ilvl w:val="0"/>
        <w:numId w:val="28"/>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1"/>
      </w:numPr>
      <w:spacing w:after="0"/>
    </w:pPr>
  </w:style>
  <w:style w:type="paragraph" w:customStyle="1" w:styleId="Outline3">
    <w:name w:val="Outline 3"/>
    <w:basedOn w:val="List3"/>
    <w:semiHidden/>
    <w:rsid w:val="00B36B45"/>
    <w:pPr>
      <w:numPr>
        <w:numId w:val="21"/>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25"/>
      </w:numPr>
    </w:pPr>
  </w:style>
  <w:style w:type="paragraph" w:customStyle="1" w:styleId="SidebarListNumber">
    <w:name w:val="Sidebar List Number"/>
    <w:basedOn w:val="Sidebar"/>
    <w:semiHidden/>
    <w:rsid w:val="00F8237C"/>
    <w:pPr>
      <w:numPr>
        <w:numId w:val="24"/>
      </w:numPr>
      <w:adjustRightInd w:val="0"/>
      <w:spacing w:line="264" w:lineRule="auto"/>
    </w:pPr>
  </w:style>
  <w:style w:type="paragraph" w:customStyle="1" w:styleId="TableListBullet2">
    <w:name w:val="Table List Bullet 2"/>
    <w:basedOn w:val="TableListBullet"/>
    <w:semiHidden/>
    <w:rsid w:val="00B36B45"/>
    <w:pPr>
      <w:numPr>
        <w:numId w:val="22"/>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4"/>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4"/>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4"/>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4"/>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semiHidden/>
    <w:rsid w:val="00F1538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semiHidden/>
    <w:rsid w:val="00F15381"/>
  </w:style>
  <w:style w:type="character" w:customStyle="1" w:styleId="eop">
    <w:name w:val="eop"/>
    <w:basedOn w:val="DefaultParagraphFont"/>
    <w:semiHidden/>
    <w:rsid w:val="00F15381"/>
  </w:style>
  <w:style w:type="paragraph" w:customStyle="1" w:styleId="Appendix">
    <w:name w:val="Appendix"/>
    <w:basedOn w:val="Normal"/>
    <w:semiHidden/>
    <w:rsid w:val="00493A4B"/>
    <w:pPr>
      <w:spacing w:before="120" w:after="240" w:line="240" w:lineRule="auto"/>
      <w:jc w:val="center"/>
    </w:pPr>
    <w:rPr>
      <w:rFonts w:ascii="Arial Black" w:eastAsia="Times New Roman" w:hAnsi="Arial Black" w:cs="Segoe UI"/>
      <w: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35E279AE81240A342823FBBBADF3C" ma:contentTypeVersion="11" ma:contentTypeDescription="Create a new document." ma:contentTypeScope="" ma:versionID="fc36416fdf73843f9acad6c6ec82394f">
  <xsd:schema xmlns:xsd="http://www.w3.org/2001/XMLSchema" xmlns:xs="http://www.w3.org/2001/XMLSchema" xmlns:p="http://schemas.microsoft.com/office/2006/metadata/properties" xmlns:ns2="c045ccf1-4519-4575-981a-0cc2d415d288" xmlns:ns3="c2fe5003-766d-4956-bf47-b38daa0a0c7f" targetNamespace="http://schemas.microsoft.com/office/2006/metadata/properties" ma:root="true" ma:fieldsID="a7c5a3fce3400b7bf5748362e34075de" ns2:_="" ns3:_="">
    <xsd:import namespace="c045ccf1-4519-4575-981a-0cc2d415d288"/>
    <xsd:import namespace="c2fe5003-766d-4956-bf47-b38daa0a0c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cf1-4519-4575-981a-0cc2d415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e5003-766d-4956-bf47-b38daa0a0c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6a883d-2337-4e60-83f1-f6c3bbd27b57}" ma:internalName="TaxCatchAll" ma:showField="CatchAllData" ma:web="c2fe5003-766d-4956-bf47-b38daa0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fe5003-766d-4956-bf47-b38daa0a0c7f" xsi:nil="true"/>
    <lcf76f155ced4ddcb4097134ff3c332f xmlns="c045ccf1-4519-4575-981a-0cc2d415d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ED718-B4A7-4C3D-A101-CAA9BC0E7BE4}">
  <ds:schemaRefs>
    <ds:schemaRef ds:uri="http://schemas.microsoft.com/sharepoint/v3/contenttype/forms"/>
  </ds:schemaRefs>
</ds:datastoreItem>
</file>

<file path=customXml/itemProps3.xml><?xml version="1.0" encoding="utf-8"?>
<ds:datastoreItem xmlns:ds="http://schemas.openxmlformats.org/officeDocument/2006/customXml" ds:itemID="{B3333050-AE97-4A59-B516-062B29A5A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5ccf1-4519-4575-981a-0cc2d415d288"/>
    <ds:schemaRef ds:uri="c2fe5003-766d-4956-bf47-b38daa0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15EBC-D476-4235-9C81-DD94ECF9760A}">
  <ds:schemaRefs>
    <ds:schemaRef ds:uri="http://www.w3.org/XML/1998/namespace"/>
    <ds:schemaRef ds:uri="c045ccf1-4519-4575-981a-0cc2d415d288"/>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2fe5003-766d-4956-bf47-b38daa0a0c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2</Pages>
  <Words>301</Words>
  <Characters>1722</Characters>
  <Application>Microsoft Office Word</Application>
  <DocSecurity>0</DocSecurity>
  <Lines>14</Lines>
  <Paragraphs>4</Paragraphs>
  <ScaleCrop>false</ScaleCrop>
  <Company>Mathematica</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Fitts</dc:creator>
  <cp:keywords>report</cp:keywords>
  <cp:lastModifiedBy>Mean, Monica - ASP</cp:lastModifiedBy>
  <cp:revision>2</cp:revision>
  <cp:lastPrinted>2020-09-11T23:32:00Z</cp:lastPrinted>
  <dcterms:created xsi:type="dcterms:W3CDTF">2023-06-28T17:36:00Z</dcterms:created>
  <dcterms:modified xsi:type="dcterms:W3CDTF">2023-06-28T17:36:00Z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0x0101003A835E279AE81240A342823FBBBADF3C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