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2A36" w:rsidP="00053611" w14:paraId="5F9419E6" w14:textId="77777777">
      <w:pPr>
        <w:rPr>
          <w:rFonts w:ascii="Times New Roman" w:eastAsia="Times New Roman" w:hAnsi="Times New Roman" w:cs="Times New Roman"/>
          <w:color w:val="374151"/>
        </w:rPr>
      </w:pPr>
    </w:p>
    <w:p w:rsidR="00242A36" w:rsidP="00053611" w14:paraId="0DE8F602" w14:textId="77777777">
      <w:pPr>
        <w:rPr>
          <w:rFonts w:ascii="Times New Roman" w:eastAsia="Times New Roman" w:hAnsi="Times New Roman" w:cs="Times New Roman"/>
          <w:color w:val="374151"/>
        </w:rPr>
      </w:pPr>
    </w:p>
    <w:p w:rsidR="00242A36" w:rsidP="00053611" w14:paraId="5126991F" w14:textId="77777777">
      <w:pPr>
        <w:rPr>
          <w:rFonts w:ascii="Times New Roman" w:eastAsia="Times New Roman" w:hAnsi="Times New Roman" w:cs="Times New Roman"/>
          <w:color w:val="374151"/>
        </w:rPr>
      </w:pPr>
    </w:p>
    <w:p w:rsidR="00A16975" w:rsidP="00A16975" w14:paraId="6E8684DF" w14:textId="4CCB90B7">
      <w:pPr>
        <w:spacing w:before="360"/>
        <w:jc w:val="center"/>
        <w:rPr>
          <w:rFonts w:ascii="Arial Black" w:hAnsi="Arial Black" w:cs="Arial"/>
          <w:b/>
          <w:bCs/>
          <w:sz w:val="32"/>
        </w:rPr>
      </w:pPr>
      <w:r>
        <w:rPr>
          <w:rFonts w:ascii="Arial Black" w:hAnsi="Arial Black" w:cs="Arial"/>
          <w:b/>
          <w:bCs/>
          <w:sz w:val="32"/>
        </w:rPr>
        <w:t>APPENDIX B</w:t>
      </w:r>
    </w:p>
    <w:p w:rsidR="00A16975" w:rsidP="00A16975" w14:paraId="39A44AE9" w14:textId="05675918">
      <w:pPr>
        <w:spacing w:before="360"/>
        <w:jc w:val="center"/>
        <w:rPr>
          <w:rFonts w:ascii="Arial Black" w:hAnsi="Arial Black" w:cs="Arial"/>
          <w:b/>
          <w:bCs/>
          <w:sz w:val="32"/>
        </w:rPr>
      </w:pPr>
      <w:r>
        <w:rPr>
          <w:rFonts w:ascii="Arial Black" w:hAnsi="Arial Black" w:cs="Arial"/>
          <w:b/>
          <w:bCs/>
          <w:sz w:val="32"/>
        </w:rPr>
        <w:t>Coding Scheme for Document Analysis</w:t>
      </w:r>
    </w:p>
    <w:p w:rsidR="00A16975" w:rsidP="00A16975" w14:paraId="6EDA95B2" w14:textId="77777777">
      <w:pPr>
        <w:pStyle w:val="NormalWeb"/>
        <w:spacing w:before="0" w:beforeAutospacing="0" w:after="0" w:afterAutospacing="0"/>
        <w:ind w:left="360"/>
        <w:jc w:val="center"/>
        <w:rPr>
          <w:color w:val="374151"/>
        </w:rPr>
      </w:pPr>
    </w:p>
    <w:p w:rsidR="00A16975" w:rsidRPr="00D52024" w:rsidP="00A16975" w14:paraId="52ADD1B0" w14:textId="77777777">
      <w:pPr>
        <w:spacing w:before="360"/>
        <w:jc w:val="center"/>
        <w:rPr>
          <w:rFonts w:ascii="Arial Black" w:hAnsi="Arial Black" w:cs="Arial"/>
          <w:b/>
          <w:bCs/>
          <w:sz w:val="32"/>
        </w:rPr>
      </w:pPr>
      <w:r w:rsidRPr="00946571">
        <w:rPr>
          <w:rFonts w:ascii="Arial Black" w:hAnsi="Arial Black" w:cs="Arial"/>
          <w:b/>
          <w:bCs/>
          <w:sz w:val="32"/>
        </w:rPr>
        <w:t xml:space="preserve">OMB Control Number: </w:t>
      </w:r>
      <w:r w:rsidRPr="00DF4BCC">
        <w:rPr>
          <w:rFonts w:ascii="Arial Black" w:eastAsia="Arial Unicode MS" w:hAnsi="Arial Black" w:cs="Times New Roman"/>
          <w:noProof/>
        </w:rPr>
        <w:t>1290 – 0043</w:t>
      </w:r>
    </w:p>
    <w:p w:rsidR="00A16975" w:rsidP="00A16975" w14:paraId="715228DF" w14:textId="2A8858A8">
      <w:pPr>
        <w:spacing w:before="360"/>
        <w:jc w:val="center"/>
        <w:rPr>
          <w:rFonts w:ascii="Arial Black" w:hAnsi="Arial Black" w:cs="Arial"/>
          <w:b/>
          <w:bCs/>
          <w:sz w:val="32"/>
        </w:rPr>
      </w:pPr>
      <w:r>
        <w:rPr>
          <w:rFonts w:ascii="Arial Black" w:hAnsi="Arial Black" w:cs="Arial"/>
          <w:b/>
          <w:bCs/>
          <w:sz w:val="32"/>
        </w:rPr>
        <w:t xml:space="preserve">OMB </w:t>
      </w:r>
      <w:r>
        <w:rPr>
          <w:rFonts w:ascii="Arial Black" w:hAnsi="Arial Black" w:cs="Arial"/>
          <w:b/>
          <w:bCs/>
          <w:sz w:val="32"/>
        </w:rPr>
        <w:t>Expiration Date: 10/31/2025</w:t>
      </w:r>
    </w:p>
    <w:p w:rsidR="00242A36" w:rsidP="00053611" w14:paraId="6760916A" w14:textId="77777777">
      <w:pPr>
        <w:rPr>
          <w:rFonts w:ascii="Times New Roman" w:eastAsia="Times New Roman" w:hAnsi="Times New Roman" w:cs="Times New Roman"/>
          <w:color w:val="374151"/>
        </w:rPr>
      </w:pPr>
    </w:p>
    <w:p w:rsidR="00242A36" w:rsidP="00053611" w14:paraId="7BDAD2F9" w14:textId="77777777">
      <w:pPr>
        <w:rPr>
          <w:rFonts w:ascii="Times New Roman" w:eastAsia="Times New Roman" w:hAnsi="Times New Roman" w:cs="Times New Roman"/>
          <w:color w:val="374151"/>
        </w:rPr>
      </w:pPr>
    </w:p>
    <w:p w:rsidR="00242A36" w:rsidP="00053611" w14:paraId="6A99C002" w14:textId="77777777">
      <w:pPr>
        <w:rPr>
          <w:rFonts w:ascii="Times New Roman" w:eastAsia="Times New Roman" w:hAnsi="Times New Roman" w:cs="Times New Roman"/>
          <w:color w:val="374151"/>
        </w:rPr>
      </w:pPr>
    </w:p>
    <w:p w:rsidR="005E7313" w:rsidRPr="004D1DE4" w:rsidP="00053611" w14:paraId="738E8B7D" w14:textId="2E3EAB35">
      <w:pPr>
        <w:rPr>
          <w:rFonts w:ascii="Times New Roman" w:eastAsia="Times New Roman" w:hAnsi="Times New Roman" w:cs="Times New Roman"/>
        </w:rPr>
      </w:pPr>
      <w:r w:rsidRPr="004D1DE4">
        <w:rPr>
          <w:rFonts w:ascii="Times New Roman" w:eastAsia="Times New Roman" w:hAnsi="Times New Roman" w:cs="Times New Roman"/>
        </w:rPr>
        <w:t>Researchers will use the following coding scheme as part of the SCC Implementation Evaluation document analysis process, following the use of a rubric to initial</w:t>
      </w:r>
      <w:r w:rsidRPr="004D1DE4" w:rsidR="00B33131">
        <w:rPr>
          <w:rFonts w:ascii="Times New Roman" w:eastAsia="Times New Roman" w:hAnsi="Times New Roman" w:cs="Times New Roman"/>
        </w:rPr>
        <w:t>ly</w:t>
      </w:r>
      <w:r w:rsidRPr="004D1DE4">
        <w:rPr>
          <w:rFonts w:ascii="Times New Roman" w:eastAsia="Times New Roman" w:hAnsi="Times New Roman" w:cs="Times New Roman"/>
        </w:rPr>
        <w:t xml:space="preserve"> rate documents on categories aligned with the goals of the SCC program. A </w:t>
      </w:r>
      <w:r w:rsidRPr="004D1DE4" w:rsidR="00B33131">
        <w:rPr>
          <w:rFonts w:ascii="Times New Roman" w:eastAsia="Times New Roman" w:hAnsi="Times New Roman" w:cs="Times New Roman"/>
        </w:rPr>
        <w:t>research team</w:t>
      </w:r>
      <w:r w:rsidRPr="004D1DE4">
        <w:rPr>
          <w:rFonts w:ascii="Times New Roman" w:eastAsia="Times New Roman" w:hAnsi="Times New Roman" w:cs="Times New Roman"/>
        </w:rPr>
        <w:t xml:space="preserve"> will engage in an initial coding activity as part of an interrater reliability exercise to support consistency across the </w:t>
      </w:r>
      <w:r w:rsidRPr="004D1DE4" w:rsidR="00B33131">
        <w:rPr>
          <w:rFonts w:ascii="Times New Roman" w:eastAsia="Times New Roman" w:hAnsi="Times New Roman" w:cs="Times New Roman"/>
        </w:rPr>
        <w:t>group</w:t>
      </w:r>
      <w:r w:rsidRPr="004D1DE4">
        <w:rPr>
          <w:rFonts w:ascii="Times New Roman" w:eastAsia="Times New Roman" w:hAnsi="Times New Roman" w:cs="Times New Roman"/>
        </w:rPr>
        <w:t xml:space="preserve">. Once that exercise is complete and evaluators are comfortable with the codes, each document will be read independently by two </w:t>
      </w:r>
      <w:r w:rsidRPr="004D1DE4" w:rsidR="00B33131">
        <w:rPr>
          <w:rFonts w:ascii="Times New Roman" w:eastAsia="Times New Roman" w:hAnsi="Times New Roman" w:cs="Times New Roman"/>
        </w:rPr>
        <w:t xml:space="preserve">research </w:t>
      </w:r>
      <w:r w:rsidRPr="004D1DE4">
        <w:rPr>
          <w:rFonts w:ascii="Times New Roman" w:eastAsia="Times New Roman" w:hAnsi="Times New Roman" w:cs="Times New Roman"/>
        </w:rPr>
        <w:t xml:space="preserve">team members, who will </w:t>
      </w:r>
      <w:r w:rsidRPr="004D1DE4" w:rsidR="00B33131">
        <w:rPr>
          <w:rFonts w:ascii="Times New Roman" w:eastAsia="Times New Roman" w:hAnsi="Times New Roman" w:cs="Times New Roman"/>
        </w:rPr>
        <w:t>code in each category</w:t>
      </w:r>
      <w:r w:rsidRPr="004D1DE4">
        <w:rPr>
          <w:rFonts w:ascii="Times New Roman" w:eastAsia="Times New Roman" w:hAnsi="Times New Roman" w:cs="Times New Roman"/>
        </w:rPr>
        <w:t xml:space="preserve">. Following the protocol for this evaluation, researchers will enter results from the coding into NVivo qualitative software for analysis, and the final SCC implementation evaluation will include these results.  </w:t>
      </w:r>
    </w:p>
    <w:p w:rsidR="001B5C85" w:rsidRPr="004D1DE4" w:rsidP="00053611" w14:paraId="48E465CE" w14:textId="77777777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326"/>
        <w:gridCol w:w="2336"/>
        <w:gridCol w:w="2325"/>
        <w:gridCol w:w="2363"/>
      </w:tblGrid>
      <w:tr w14:paraId="3022656E" w14:textId="77777777" w:rsidTr="00053611">
        <w:tblPrEx>
          <w:tblW w:w="0" w:type="auto"/>
          <w:tblLook w:val="04A0"/>
        </w:tblPrEx>
        <w:tc>
          <w:tcPr>
            <w:tcW w:w="2337" w:type="dxa"/>
          </w:tcPr>
          <w:p w:rsidR="005E7313" w:rsidRPr="004D1DE4" w:rsidP="005E7313" w14:paraId="77806004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 xml:space="preserve">SCC </w:t>
            </w:r>
          </w:p>
          <w:p w:rsidR="005E7313" w:rsidRPr="004D1DE4" w:rsidP="005E7313" w14:paraId="5B28747F" w14:textId="51424C9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>Alignment</w:t>
            </w:r>
          </w:p>
        </w:tc>
        <w:tc>
          <w:tcPr>
            <w:tcW w:w="2337" w:type="dxa"/>
          </w:tcPr>
          <w:p w:rsidR="005E7313" w:rsidRPr="004D1DE4" w:rsidP="005E7313" w14:paraId="59DB1968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>Diversity</w:t>
            </w:r>
          </w:p>
          <w:p w:rsidR="005E7313" w:rsidRPr="004D1DE4" w:rsidP="00053611" w14:paraId="3A0A047A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38" w:type="dxa"/>
          </w:tcPr>
          <w:p w:rsidR="005E7313" w:rsidRPr="004D1DE4" w:rsidP="005E7313" w14:paraId="2E2A5732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 xml:space="preserve">Workforce </w:t>
            </w:r>
          </w:p>
          <w:p w:rsidR="005E7313" w:rsidRPr="004D1DE4" w:rsidP="005E7313" w14:paraId="2D5A9C15" w14:textId="295FEE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>Capacity</w:t>
            </w:r>
          </w:p>
        </w:tc>
        <w:tc>
          <w:tcPr>
            <w:tcW w:w="2338" w:type="dxa"/>
          </w:tcPr>
          <w:p w:rsidR="005E7313" w:rsidRPr="004D1DE4" w:rsidP="005E7313" w14:paraId="08228A5A" w14:textId="3765A39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>Competency-Based Learning</w:t>
            </w:r>
          </w:p>
        </w:tc>
      </w:tr>
      <w:tr w14:paraId="2541C05D" w14:textId="77777777" w:rsidTr="00053611">
        <w:tblPrEx>
          <w:tblW w:w="0" w:type="auto"/>
          <w:tblLook w:val="04A0"/>
        </w:tblPrEx>
        <w:tc>
          <w:tcPr>
            <w:tcW w:w="2337" w:type="dxa"/>
          </w:tcPr>
          <w:p w:rsidR="00053611" w:rsidRPr="004D1DE4" w:rsidP="00053611" w14:paraId="4DBB2ADD" w14:textId="17795AAC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Increase in workforce capacity</w:t>
            </w:r>
          </w:p>
          <w:p w:rsidR="00053611" w:rsidRPr="004D1DE4" w:rsidP="00053611" w14:paraId="2068521A" w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Increase in diversity</w:t>
            </w:r>
          </w:p>
          <w:p w:rsidR="00053611" w:rsidRPr="004D1DE4" w:rsidP="00053611" w14:paraId="0BD8B7D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053611" w:rsidRPr="004D1DE4" w:rsidP="00053611" w14:paraId="1DF00533" w14:textId="43A48A7E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Underrepresented groups</w:t>
            </w:r>
          </w:p>
          <w:p w:rsidR="00053611" w:rsidRPr="004D1DE4" w:rsidP="00053611" w14:paraId="1C0432E5" w14:textId="77777777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Diversity initiatives</w:t>
            </w:r>
          </w:p>
          <w:p w:rsidR="00053611" w:rsidRPr="004D1DE4" w:rsidP="00053611" w14:paraId="68214BF6" w14:textId="77777777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Diversity outcomes</w:t>
            </w:r>
          </w:p>
          <w:p w:rsidR="00053611" w:rsidRPr="004D1DE4" w:rsidP="00053611" w14:paraId="1410C56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053611" w:rsidRPr="004D1DE4" w:rsidP="00053611" w14:paraId="2618E68E" w14:textId="15537F6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Skill gaps</w:t>
            </w:r>
          </w:p>
          <w:p w:rsidR="00053611" w:rsidRPr="004D1DE4" w:rsidP="00053611" w14:paraId="2451A8FC" w14:textId="7777777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Workforce expansion initiatives</w:t>
            </w:r>
          </w:p>
          <w:p w:rsidR="00053611" w:rsidRPr="004D1DE4" w:rsidP="00053611" w14:paraId="6BCC8564" w14:textId="7777777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Workforce capacity outcomes</w:t>
            </w:r>
          </w:p>
          <w:p w:rsidR="00053611" w:rsidRPr="004D1DE4" w:rsidP="00053611" w14:paraId="627229F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053611" w:rsidRPr="004D1DE4" w:rsidP="00053611" w14:paraId="47375B09" w14:textId="79D01D9E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Competency-based curriculum</w:t>
            </w:r>
          </w:p>
          <w:p w:rsidR="00053611" w:rsidRPr="004D1DE4" w:rsidP="00053611" w14:paraId="31AC46D5" w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Assessment of competencies</w:t>
            </w:r>
          </w:p>
          <w:p w:rsidR="00053611" w:rsidRPr="004D1DE4" w:rsidP="00053611" w14:paraId="392615B2" w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Outcomes of competency-based learning</w:t>
            </w:r>
          </w:p>
          <w:p w:rsidR="00053611" w:rsidRPr="004D1DE4" w:rsidP="00053611" w14:paraId="50C15E0C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996993E" w14:textId="77777777" w:rsidTr="00053611">
        <w:tblPrEx>
          <w:tblW w:w="0" w:type="auto"/>
          <w:tblLook w:val="04A0"/>
        </w:tblPrEx>
        <w:tc>
          <w:tcPr>
            <w:tcW w:w="2337" w:type="dxa"/>
          </w:tcPr>
          <w:p w:rsidR="005E7313" w:rsidRPr="004D1DE4" w:rsidP="005E7313" w14:paraId="6E90A322" w14:textId="342935D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>Credit for Prior Learning</w:t>
            </w:r>
          </w:p>
        </w:tc>
        <w:tc>
          <w:tcPr>
            <w:tcW w:w="2337" w:type="dxa"/>
          </w:tcPr>
          <w:p w:rsidR="005E7313" w:rsidRPr="004D1DE4" w:rsidP="005E7313" w14:paraId="38789B6E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 xml:space="preserve">Student </w:t>
            </w:r>
          </w:p>
          <w:p w:rsidR="005E7313" w:rsidRPr="004D1DE4" w:rsidP="005E7313" w14:paraId="3DCF346E" w14:textId="054162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>Categories</w:t>
            </w:r>
          </w:p>
        </w:tc>
        <w:tc>
          <w:tcPr>
            <w:tcW w:w="2338" w:type="dxa"/>
          </w:tcPr>
          <w:p w:rsidR="005E7313" w:rsidRPr="004D1DE4" w:rsidP="005E7313" w14:paraId="511B4689" w14:textId="05EFAAF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>Workforce Partner</w:t>
            </w:r>
            <w:r w:rsidRPr="004D1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>Categories</w:t>
            </w:r>
          </w:p>
        </w:tc>
        <w:tc>
          <w:tcPr>
            <w:tcW w:w="2338" w:type="dxa"/>
          </w:tcPr>
          <w:p w:rsidR="005E7313" w:rsidRPr="004D1DE4" w:rsidP="005E7313" w14:paraId="4D8BBF94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 xml:space="preserve">Industry </w:t>
            </w:r>
          </w:p>
          <w:p w:rsidR="005E7313" w:rsidRPr="004D1DE4" w:rsidP="005E7313" w14:paraId="1E6DE929" w14:textId="567DD38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>Sectors</w:t>
            </w:r>
          </w:p>
        </w:tc>
      </w:tr>
      <w:tr w14:paraId="3BC82901" w14:textId="77777777" w:rsidTr="00053611">
        <w:tblPrEx>
          <w:tblW w:w="0" w:type="auto"/>
          <w:tblLook w:val="04A0"/>
        </w:tblPrEx>
        <w:tc>
          <w:tcPr>
            <w:tcW w:w="2337" w:type="dxa"/>
          </w:tcPr>
          <w:p w:rsidR="00053611" w:rsidRPr="004D1DE4" w:rsidP="00053611" w14:paraId="0EDB2FA3" w14:textId="5754D205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Prior learning assessment methods</w:t>
            </w:r>
          </w:p>
          <w:p w:rsidR="00053611" w:rsidRPr="004D1DE4" w:rsidP="00053611" w14:paraId="09BF2AC7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Policies for granting credit</w:t>
            </w:r>
          </w:p>
          <w:p w:rsidR="00053611" w:rsidRPr="004D1DE4" w:rsidP="00053611" w14:paraId="05D8CE5E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Impact of Credit for prior learning</w:t>
            </w:r>
          </w:p>
          <w:p w:rsidR="00053611" w:rsidRPr="004D1DE4" w:rsidP="00053611" w14:paraId="667D66A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053611" w:rsidRPr="004D1DE4" w:rsidP="00053611" w14:paraId="78FDA8D8" w14:textId="61A8292A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Traditional students</w:t>
            </w:r>
          </w:p>
          <w:p w:rsidR="00053611" w:rsidRPr="004D1DE4" w:rsidP="00053611" w14:paraId="36435118" w14:textId="7777777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Adult learners</w:t>
            </w:r>
          </w:p>
          <w:p w:rsidR="00053611" w:rsidRPr="004D1DE4" w:rsidP="00053611" w14:paraId="4F8ACB7A" w14:textId="7777777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Career changers</w:t>
            </w:r>
          </w:p>
          <w:p w:rsidR="00053611" w:rsidRPr="004D1DE4" w:rsidP="00053611" w14:paraId="1AACE548" w14:textId="7777777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Underrepresented groups</w:t>
            </w:r>
          </w:p>
          <w:p w:rsidR="00053611" w:rsidRPr="004D1DE4" w:rsidP="00053611" w14:paraId="75E4CC73" w14:textId="7777777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Other special categories</w:t>
            </w:r>
          </w:p>
          <w:p w:rsidR="00053611" w:rsidRPr="004D1DE4" w:rsidP="00053611" w14:paraId="73D72D3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053611" w:rsidRPr="004D1DE4" w:rsidP="00053611" w14:paraId="2ADE77CE" w14:textId="6EF3C7E9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Industry partners</w:t>
            </w:r>
          </w:p>
          <w:p w:rsidR="00053611" w:rsidRPr="004D1DE4" w:rsidP="00053611" w14:paraId="33A6DFF8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Non-profit partners</w:t>
            </w:r>
          </w:p>
          <w:p w:rsidR="00053611" w:rsidRPr="004D1DE4" w:rsidP="00053611" w14:paraId="23EB0789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Government partners</w:t>
            </w:r>
          </w:p>
          <w:p w:rsidR="00053611" w:rsidRPr="004D1DE4" w:rsidP="00053611" w14:paraId="20ED909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053611" w:rsidRPr="004D1DE4" w:rsidP="00053611" w14:paraId="0926426B" w14:textId="34EC48E8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Healthcare</w:t>
            </w:r>
          </w:p>
          <w:p w:rsidR="00053611" w:rsidRPr="004D1DE4" w:rsidP="00053611" w14:paraId="1BCEAE55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Manufacturing</w:t>
            </w:r>
          </w:p>
          <w:p w:rsidR="00053611" w:rsidRPr="004D1DE4" w:rsidP="00053611" w14:paraId="6302B3D7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Information technology</w:t>
            </w:r>
          </w:p>
          <w:p w:rsidR="00053611" w:rsidRPr="004D1DE4" w:rsidP="00053611" w14:paraId="79BA2B73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Other key sectors</w:t>
            </w:r>
          </w:p>
          <w:p w:rsidR="00053611" w:rsidRPr="004D1DE4" w:rsidP="00053611" w14:paraId="54CF9D08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D8E97FF" w14:textId="77777777" w:rsidTr="00053611">
        <w:tblPrEx>
          <w:tblW w:w="0" w:type="auto"/>
          <w:tblLook w:val="04A0"/>
        </w:tblPrEx>
        <w:tc>
          <w:tcPr>
            <w:tcW w:w="2337" w:type="dxa"/>
          </w:tcPr>
          <w:p w:rsidR="005E7313" w:rsidRPr="004D1DE4" w:rsidP="005E7313" w14:paraId="10F958EB" w14:textId="16141E3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>Program Design and Implementation</w:t>
            </w:r>
          </w:p>
        </w:tc>
        <w:tc>
          <w:tcPr>
            <w:tcW w:w="2337" w:type="dxa"/>
          </w:tcPr>
          <w:p w:rsidR="005E7313" w:rsidRPr="004D1DE4" w:rsidP="005E7313" w14:paraId="4593B839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 xml:space="preserve">Program </w:t>
            </w:r>
          </w:p>
          <w:p w:rsidR="005E7313" w:rsidRPr="004D1DE4" w:rsidP="005E7313" w14:paraId="48D4FCC6" w14:textId="4F0F394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>Outcomes</w:t>
            </w:r>
          </w:p>
        </w:tc>
        <w:tc>
          <w:tcPr>
            <w:tcW w:w="2338" w:type="dxa"/>
          </w:tcPr>
          <w:p w:rsidR="005E7313" w:rsidRPr="004D1DE4" w:rsidP="005E7313" w14:paraId="2DF203C2" w14:textId="1CD83F9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>Challenges and Solutions</w:t>
            </w:r>
          </w:p>
        </w:tc>
        <w:tc>
          <w:tcPr>
            <w:tcW w:w="2338" w:type="dxa"/>
          </w:tcPr>
          <w:p w:rsidR="005E7313" w:rsidRPr="004D1DE4" w:rsidP="005E7313" w14:paraId="3886FC6C" w14:textId="3685DF5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DE4">
              <w:rPr>
                <w:rFonts w:ascii="Times New Roman" w:eastAsia="Times New Roman" w:hAnsi="Times New Roman" w:cs="Times New Roman"/>
                <w:b/>
                <w:bCs/>
              </w:rPr>
              <w:t>Implications and Recommendations</w:t>
            </w:r>
          </w:p>
        </w:tc>
      </w:tr>
      <w:tr w14:paraId="1B0B85CA" w14:textId="77777777" w:rsidTr="005E7313">
        <w:tblPrEx>
          <w:tblW w:w="0" w:type="auto"/>
          <w:tblLook w:val="04A0"/>
        </w:tblPrEx>
        <w:trPr>
          <w:trHeight w:val="3356"/>
        </w:trPr>
        <w:tc>
          <w:tcPr>
            <w:tcW w:w="2337" w:type="dxa"/>
          </w:tcPr>
          <w:p w:rsidR="00053611" w:rsidRPr="004D1DE4" w:rsidP="00053611" w14:paraId="6B9F33DB" w14:textId="519B4A2A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Program planning</w:t>
            </w:r>
          </w:p>
          <w:p w:rsidR="00053611" w:rsidRPr="004D1DE4" w:rsidP="00053611" w14:paraId="55954B6C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Stakeholder involvement</w:t>
            </w:r>
          </w:p>
          <w:p w:rsidR="00053611" w:rsidRPr="004D1DE4" w:rsidP="00053611" w14:paraId="5B7B599B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Curriculum development</w:t>
            </w:r>
          </w:p>
          <w:p w:rsidR="00053611" w:rsidRPr="004D1DE4" w:rsidP="00053611" w14:paraId="26297450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Faculty development</w:t>
            </w:r>
          </w:p>
          <w:p w:rsidR="00053611" w:rsidRPr="004D1DE4" w:rsidP="00053611" w14:paraId="1F5FF536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Industry partnership</w:t>
            </w:r>
          </w:p>
          <w:p w:rsidR="00053611" w:rsidRPr="004D1DE4" w:rsidP="00053611" w14:paraId="3F4ECB6B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Student support services</w:t>
            </w:r>
          </w:p>
          <w:p w:rsidR="00053611" w:rsidRPr="004D1DE4" w:rsidP="00053611" w14:paraId="08D9D0D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053611" w:rsidRPr="004D1DE4" w:rsidP="00053611" w14:paraId="7A4C469C" w14:textId="2C2F58C5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Graduation rates</w:t>
            </w:r>
          </w:p>
          <w:p w:rsidR="00053611" w:rsidRPr="004D1DE4" w:rsidP="00053611" w14:paraId="5B3DC1B0" w14:textId="77777777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Employment rates</w:t>
            </w:r>
          </w:p>
          <w:p w:rsidR="00053611" w:rsidRPr="004D1DE4" w:rsidP="00053611" w14:paraId="6B3C5B45" w14:textId="77777777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Diversity outcomes</w:t>
            </w:r>
          </w:p>
          <w:p w:rsidR="00053611" w:rsidRPr="004D1DE4" w:rsidP="00053611" w14:paraId="272CF0BE" w14:textId="6E2C1D9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Industry feedback</w:t>
            </w:r>
          </w:p>
        </w:tc>
        <w:tc>
          <w:tcPr>
            <w:tcW w:w="2338" w:type="dxa"/>
          </w:tcPr>
          <w:p w:rsidR="00053611" w:rsidRPr="004D1DE4" w:rsidP="00053611" w14:paraId="621B870E" w14:textId="1A5D34F1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Funding challenges</w:t>
            </w:r>
          </w:p>
          <w:p w:rsidR="00053611" w:rsidRPr="004D1DE4" w:rsidP="00053611" w14:paraId="55191C6B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Recruitment challenges</w:t>
            </w:r>
          </w:p>
          <w:p w:rsidR="00053611" w:rsidRPr="004D1DE4" w:rsidP="00053611" w14:paraId="3F642A22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Retention challenges</w:t>
            </w:r>
          </w:p>
          <w:p w:rsidR="00053611" w:rsidRPr="004D1DE4" w:rsidP="00053611" w14:paraId="00B13E76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Industry alignment challenges</w:t>
            </w:r>
          </w:p>
          <w:p w:rsidR="00053611" w:rsidRPr="004D1DE4" w:rsidP="00053611" w14:paraId="2AB5DBC2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Proposed solutions</w:t>
            </w:r>
          </w:p>
          <w:p w:rsidR="00053611" w:rsidRPr="004D1DE4" w:rsidP="00053611" w14:paraId="021C647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053611" w:rsidRPr="004D1DE4" w:rsidP="00053611" w14:paraId="6EDB8C11" w14:textId="0D7D04C4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Policy implications</w:t>
            </w:r>
          </w:p>
          <w:p w:rsidR="00053611" w:rsidRPr="004D1DE4" w:rsidP="00053611" w14:paraId="77996920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Implications for future programming</w:t>
            </w:r>
          </w:p>
          <w:p w:rsidR="00053611" w:rsidRPr="004D1DE4" w:rsidP="00053611" w14:paraId="5362E1B1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Recommendations for stakeholders</w:t>
            </w:r>
          </w:p>
          <w:p w:rsidR="00053611" w:rsidRPr="004D1DE4" w:rsidP="00053611" w14:paraId="16461E77" w14:textId="137920E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D1DE4">
              <w:rPr>
                <w:rFonts w:ascii="Times New Roman" w:eastAsia="Times New Roman" w:hAnsi="Times New Roman" w:cs="Times New Roman"/>
              </w:rPr>
              <w:t>Recommendations for policy change</w:t>
            </w:r>
          </w:p>
        </w:tc>
      </w:tr>
    </w:tbl>
    <w:p w:rsidR="00A62F85" w:rsidRPr="004D1DE4" w:rsidP="005E7313" w14:paraId="24E5B8DD" w14:textId="77777777">
      <w:pPr>
        <w:rPr>
          <w:rFonts w:ascii="Times New Roman" w:hAnsi="Times New Roman" w:cs="Times New Roman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5152" w14:paraId="4F533A5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5152" w14:paraId="5FA93E8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5152" w14:paraId="4289A85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5152" w14:paraId="26764FF5" w14:textId="4510B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3611" w:rsidRPr="00B34E73" w:rsidP="00306C1A" w14:paraId="478C5B2F" w14:textId="2E327BD0">
    <w:pPr>
      <w:spacing w:before="480" w:after="240"/>
      <w:jc w:val="center"/>
      <w:rPr>
        <w:rFonts w:ascii="Times New Roman" w:hAnsi="Times New Roman" w:cs="Times New Roman"/>
        <w:bCs/>
      </w:rPr>
    </w:pPr>
    <w:r w:rsidRPr="00B34E73">
      <w:rPr>
        <w:rFonts w:ascii="Times New Roman" w:hAnsi="Times New Roman" w:cs="Times New Roman"/>
        <w:bCs/>
      </w:rPr>
      <w:t>Implementation Evaluation of the Strengthening Community Colleges Training Grant Program (SCC) Cohort 2 and Cohort 3</w:t>
    </w:r>
  </w:p>
  <w:p w:rsidR="00053611" w:rsidRPr="00053611" w:rsidP="00053611" w14:paraId="59C495B7" w14:textId="7A2FCFFE">
    <w:pPr>
      <w:pStyle w:val="Header"/>
      <w:jc w:val="center"/>
      <w:rPr>
        <w:rFonts w:ascii="Times New Roman" w:hAnsi="Times New Roman" w:cs="Times New Roman"/>
      </w:rPr>
    </w:pPr>
    <w:r w:rsidRPr="00053611">
      <w:rPr>
        <w:rFonts w:ascii="Times New Roman" w:hAnsi="Times New Roman" w:cs="Times New Roman"/>
      </w:rPr>
      <w:t>Coding Scheme for Document Analysis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5152" w14:paraId="29FBE506" w14:textId="7F99A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6F245A"/>
    <w:multiLevelType w:val="hybridMultilevel"/>
    <w:tmpl w:val="89F2A11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07C89"/>
    <w:multiLevelType w:val="hybridMultilevel"/>
    <w:tmpl w:val="2FC64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85CDD"/>
    <w:multiLevelType w:val="hybridMultilevel"/>
    <w:tmpl w:val="CB48269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766B15"/>
    <w:multiLevelType w:val="hybridMultilevel"/>
    <w:tmpl w:val="A93CEE2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EE1A7F"/>
    <w:multiLevelType w:val="hybridMultilevel"/>
    <w:tmpl w:val="5200344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F0552C"/>
    <w:multiLevelType w:val="multilevel"/>
    <w:tmpl w:val="520C1A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2D68F6"/>
    <w:multiLevelType w:val="hybridMultilevel"/>
    <w:tmpl w:val="E9946F0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723562"/>
    <w:multiLevelType w:val="hybridMultilevel"/>
    <w:tmpl w:val="381C086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9F025B"/>
    <w:multiLevelType w:val="hybridMultilevel"/>
    <w:tmpl w:val="0560B2E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CF5E9D"/>
    <w:multiLevelType w:val="multilevel"/>
    <w:tmpl w:val="E012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0A7FA4"/>
    <w:multiLevelType w:val="multilevel"/>
    <w:tmpl w:val="520C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4A0643"/>
    <w:multiLevelType w:val="hybridMultilevel"/>
    <w:tmpl w:val="C8C02BF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9C47293"/>
    <w:multiLevelType w:val="multilevel"/>
    <w:tmpl w:val="7324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BA7B0B"/>
    <w:multiLevelType w:val="multilevel"/>
    <w:tmpl w:val="520C1A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111F9A"/>
    <w:multiLevelType w:val="hybridMultilevel"/>
    <w:tmpl w:val="24BCB83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6B54E1"/>
    <w:multiLevelType w:val="hybridMultilevel"/>
    <w:tmpl w:val="F49A5DE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005C0A"/>
    <w:multiLevelType w:val="hybridMultilevel"/>
    <w:tmpl w:val="66B6F0F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215FDF"/>
    <w:multiLevelType w:val="hybridMultilevel"/>
    <w:tmpl w:val="7C86AB4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A50A5F"/>
    <w:multiLevelType w:val="multilevel"/>
    <w:tmpl w:val="F986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BE2CA0"/>
    <w:multiLevelType w:val="hybridMultilevel"/>
    <w:tmpl w:val="721C01A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C3706"/>
    <w:multiLevelType w:val="hybridMultilevel"/>
    <w:tmpl w:val="24A4155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ECB11B6"/>
    <w:multiLevelType w:val="hybridMultilevel"/>
    <w:tmpl w:val="685AD28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3712454">
    <w:abstractNumId w:val="10"/>
  </w:num>
  <w:num w:numId="2" w16cid:durableId="322664233">
    <w:abstractNumId w:val="9"/>
  </w:num>
  <w:num w:numId="3" w16cid:durableId="707487169">
    <w:abstractNumId w:val="5"/>
  </w:num>
  <w:num w:numId="4" w16cid:durableId="1677147032">
    <w:abstractNumId w:val="18"/>
  </w:num>
  <w:num w:numId="5" w16cid:durableId="2136369762">
    <w:abstractNumId w:val="13"/>
  </w:num>
  <w:num w:numId="6" w16cid:durableId="2114006905">
    <w:abstractNumId w:val="12"/>
  </w:num>
  <w:num w:numId="7" w16cid:durableId="555700235">
    <w:abstractNumId w:val="19"/>
  </w:num>
  <w:num w:numId="8" w16cid:durableId="1889295026">
    <w:abstractNumId w:val="1"/>
  </w:num>
  <w:num w:numId="9" w16cid:durableId="1360855438">
    <w:abstractNumId w:val="14"/>
  </w:num>
  <w:num w:numId="10" w16cid:durableId="1585410775">
    <w:abstractNumId w:val="0"/>
  </w:num>
  <w:num w:numId="11" w16cid:durableId="299655187">
    <w:abstractNumId w:val="17"/>
  </w:num>
  <w:num w:numId="12" w16cid:durableId="1501578028">
    <w:abstractNumId w:val="6"/>
  </w:num>
  <w:num w:numId="13" w16cid:durableId="1174226601">
    <w:abstractNumId w:val="20"/>
  </w:num>
  <w:num w:numId="14" w16cid:durableId="1792019995">
    <w:abstractNumId w:val="15"/>
  </w:num>
  <w:num w:numId="15" w16cid:durableId="991520958">
    <w:abstractNumId w:val="21"/>
  </w:num>
  <w:num w:numId="16" w16cid:durableId="1712924651">
    <w:abstractNumId w:val="3"/>
  </w:num>
  <w:num w:numId="17" w16cid:durableId="1318076169">
    <w:abstractNumId w:val="16"/>
  </w:num>
  <w:num w:numId="18" w16cid:durableId="200290498">
    <w:abstractNumId w:val="8"/>
  </w:num>
  <w:num w:numId="19" w16cid:durableId="1631010271">
    <w:abstractNumId w:val="11"/>
  </w:num>
  <w:num w:numId="20" w16cid:durableId="63569940">
    <w:abstractNumId w:val="4"/>
  </w:num>
  <w:num w:numId="21" w16cid:durableId="529299734">
    <w:abstractNumId w:val="2"/>
  </w:num>
  <w:num w:numId="22" w16cid:durableId="1454326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11"/>
    <w:rsid w:val="000112B2"/>
    <w:rsid w:val="00053611"/>
    <w:rsid w:val="000B6BA9"/>
    <w:rsid w:val="001B411B"/>
    <w:rsid w:val="001B5C85"/>
    <w:rsid w:val="00242A36"/>
    <w:rsid w:val="00297F30"/>
    <w:rsid w:val="00306C1A"/>
    <w:rsid w:val="00375152"/>
    <w:rsid w:val="00394434"/>
    <w:rsid w:val="004D1DE4"/>
    <w:rsid w:val="00502948"/>
    <w:rsid w:val="0056514B"/>
    <w:rsid w:val="005E7313"/>
    <w:rsid w:val="00906748"/>
    <w:rsid w:val="00946571"/>
    <w:rsid w:val="00A16975"/>
    <w:rsid w:val="00A175FA"/>
    <w:rsid w:val="00A62F85"/>
    <w:rsid w:val="00B2088A"/>
    <w:rsid w:val="00B33131"/>
    <w:rsid w:val="00B34E73"/>
    <w:rsid w:val="00D52024"/>
    <w:rsid w:val="00DC5003"/>
    <w:rsid w:val="00DF4BCC"/>
    <w:rsid w:val="00F7327E"/>
    <w:rsid w:val="00F76AA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2374CD"/>
  <w15:chartTrackingRefBased/>
  <w15:docId w15:val="{4D98FBF9-8E3B-4456-B8E2-B88E4644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36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53611"/>
    <w:rPr>
      <w:b/>
      <w:bCs/>
    </w:rPr>
  </w:style>
  <w:style w:type="table" w:styleId="TableGrid">
    <w:name w:val="Table Grid"/>
    <w:basedOn w:val="TableNormal"/>
    <w:uiPriority w:val="39"/>
    <w:rsid w:val="0005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36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611"/>
  </w:style>
  <w:style w:type="paragraph" w:styleId="Footer">
    <w:name w:val="footer"/>
    <w:basedOn w:val="Normal"/>
    <w:link w:val="FooterChar"/>
    <w:uiPriority w:val="99"/>
    <w:unhideWhenUsed/>
    <w:rsid w:val="00053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F8D45707A164E8F19F9E190D8DD0F" ma:contentTypeVersion="18" ma:contentTypeDescription="Create a new document." ma:contentTypeScope="" ma:versionID="4a4f703106372c65da39bed4881b6ad4">
  <xsd:schema xmlns:xsd="http://www.w3.org/2001/XMLSchema" xmlns:xs="http://www.w3.org/2001/XMLSchema" xmlns:p="http://schemas.microsoft.com/office/2006/metadata/properties" xmlns:ns2="7cb4fd3d-0758-42ae-9351-3907f3c725a4" xmlns:ns3="8a702285-c4f6-4680-ac01-fc175a3f204e" targetNamespace="http://schemas.microsoft.com/office/2006/metadata/properties" ma:root="true" ma:fieldsID="3f1b9bec246b9926f62020d53427ca05" ns2:_="" ns3:_="">
    <xsd:import namespace="7cb4fd3d-0758-42ae-9351-3907f3c725a4"/>
    <xsd:import namespace="8a702285-c4f6-4680-ac01-fc175a3f2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Assigned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4fd3d-0758-42ae-9351-3907f3c72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0888e5-c778-4e7d-9ee7-c3f7887c2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igned" ma:index="24" nillable="true" ma:displayName="Assigned" ma:format="Dropdown" ma:internalName="Assigned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02285-c4f6-4680-ac01-fc175a3f2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31a0f0-8e0a-4b5b-a6fb-c0adb979733a}" ma:internalName="TaxCatchAll" ma:showField="CatchAllData" ma:web="8a702285-c4f6-4680-ac01-fc175a3f2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02285-c4f6-4680-ac01-fc175a3f204e" xsi:nil="true"/>
    <lcf76f155ced4ddcb4097134ff3c332f xmlns="7cb4fd3d-0758-42ae-9351-3907f3c725a4">
      <Terms xmlns="http://schemas.microsoft.com/office/infopath/2007/PartnerControls"/>
    </lcf76f155ced4ddcb4097134ff3c332f>
    <Assigned xmlns="7cb4fd3d-0758-42ae-9351-3907f3c725a4" xsi:nil="true"/>
    <_dlc_DocId xmlns="8a702285-c4f6-4680-ac01-fc175a3f204e">DOLCEOSCC-1890638614-1210</_dlc_DocId>
    <_dlc_DocIdUrl xmlns="8a702285-c4f6-4680-ac01-fc175a3f204e">
      <Url>https://trewon.sharepoint.com/sites/DOLSCC/_layouts/15/DocIdRedir.aspx?ID=DOLCEOSCC-1890638614-1210</Url>
      <Description>DOLCEOSCC-1890638614-1210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D1002-7230-47BC-BAF1-7C88118F2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065BD-7068-4EFF-B9C3-A0D739FF4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4fd3d-0758-42ae-9351-3907f3c725a4"/>
    <ds:schemaRef ds:uri="8a702285-c4f6-4680-ac01-fc175a3f2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7E2C3-A45B-4CAE-AD36-5565B0003E29}">
  <ds:schemaRefs>
    <ds:schemaRef ds:uri="8a702285-c4f6-4680-ac01-fc175a3f204e"/>
    <ds:schemaRef ds:uri="http://purl.org/dc/elements/1.1/"/>
    <ds:schemaRef ds:uri="7cb4fd3d-0758-42ae-9351-3907f3c725a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5F4CFF7-6E09-40F7-BA78-B0F43047C4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345ED7-ECCB-42C9-ACA9-30FCF26C8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Doherty, Kathryn</dc:creator>
  <cp:lastModifiedBy>Hannon, Bradley - ASP</cp:lastModifiedBy>
  <cp:revision>2</cp:revision>
  <dcterms:created xsi:type="dcterms:W3CDTF">2024-02-14T20:21:00Z</dcterms:created>
  <dcterms:modified xsi:type="dcterms:W3CDTF">2024-02-14T20:21:00Z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0x0101007C8F8D45707A164E8F19F9E190D8DD0F</vt:lpwstr>
  </property>
  <property fmtid="{D5CDD505-2E9C-101B-9397-08002B2CF9AE}" pid="3" name="MediaServiceImageTags">
    <vt:lpwstr/>
  </property>
  <property fmtid="{D5CDD505-2E9C-101B-9397-08002B2CF9AE}" pid="4" name="_dlc_DocIdItemGuid">
    <vt:lpwstr>d63f5601-fd42-476e-86b7-ce3927409e0c</vt:lpwstr>
  </property>
</Properties>
</file>