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2D" w:rsidP="00FE0F61" w14:paraId="4C201EEF" w14:textId="77777777">
      <w:pPr>
        <w:widowControl/>
        <w:jc w:val="center"/>
        <w:rPr>
          <w:b/>
          <w:sz w:val="22"/>
          <w:szCs w:val="22"/>
        </w:rPr>
      </w:pPr>
      <w:r w:rsidRPr="00B743A7">
        <w:rPr>
          <w:b/>
          <w:sz w:val="22"/>
          <w:szCs w:val="22"/>
        </w:rPr>
        <w:t>DEPARTMENT OF THE TREASURY</w:t>
      </w:r>
      <w:r w:rsidR="00B743A7">
        <w:rPr>
          <w:b/>
          <w:sz w:val="22"/>
          <w:szCs w:val="22"/>
        </w:rPr>
        <w:t xml:space="preserve"> </w:t>
      </w:r>
    </w:p>
    <w:p w:rsidR="007434C4" w:rsidRPr="004D0936" w:rsidP="00FE0F61" w14:paraId="074F8C52" w14:textId="77777777">
      <w:pPr>
        <w:widowControl/>
        <w:jc w:val="center"/>
        <w:rPr>
          <w:b/>
          <w:sz w:val="24"/>
          <w:szCs w:val="24"/>
        </w:rPr>
      </w:pPr>
    </w:p>
    <w:p w:rsidR="00533D2D" w:rsidRPr="00B743A7" w:rsidP="00847A70" w14:paraId="11C6E2EF" w14:textId="77777777">
      <w:pPr>
        <w:widowControl/>
        <w:jc w:val="center"/>
        <w:rPr>
          <w:b/>
          <w:sz w:val="22"/>
          <w:szCs w:val="22"/>
        </w:rPr>
      </w:pPr>
      <w:r w:rsidRPr="00B743A7">
        <w:rPr>
          <w:b/>
          <w:sz w:val="22"/>
          <w:szCs w:val="22"/>
        </w:rPr>
        <w:t>ALCOHOL AND TOBACCO TAX AND TRADE BUREAU</w:t>
      </w:r>
      <w:r w:rsidR="00B743A7">
        <w:rPr>
          <w:b/>
          <w:sz w:val="22"/>
          <w:szCs w:val="22"/>
        </w:rPr>
        <w:t xml:space="preserve"> </w:t>
      </w:r>
    </w:p>
    <w:p w:rsidR="00533D2D" w:rsidRPr="004B13B2" w:rsidP="009A5A3F" w14:paraId="15FCA6B2" w14:textId="77777777">
      <w:pPr>
        <w:widowControl/>
        <w:jc w:val="center"/>
        <w:rPr>
          <w:b/>
          <w:sz w:val="28"/>
          <w:szCs w:val="28"/>
        </w:rPr>
      </w:pPr>
    </w:p>
    <w:p w:rsidR="00533D2D" w:rsidP="009A5A3F" w14:paraId="1893B32A" w14:textId="77777777">
      <w:pPr>
        <w:widowControl/>
        <w:jc w:val="center"/>
        <w:rPr>
          <w:b/>
          <w:sz w:val="22"/>
          <w:szCs w:val="22"/>
        </w:rPr>
      </w:pPr>
      <w:r w:rsidRPr="00B743A7">
        <w:rPr>
          <w:b/>
          <w:sz w:val="22"/>
          <w:szCs w:val="22"/>
        </w:rPr>
        <w:t xml:space="preserve">Supporting Statement </w:t>
      </w:r>
      <w:r w:rsidR="00FE0F61">
        <w:rPr>
          <w:b/>
          <w:sz w:val="22"/>
          <w:szCs w:val="22"/>
        </w:rPr>
        <w:t>for I</w:t>
      </w:r>
      <w:r w:rsidRPr="00B743A7">
        <w:rPr>
          <w:b/>
          <w:sz w:val="22"/>
          <w:szCs w:val="22"/>
        </w:rPr>
        <w:t xml:space="preserve">nformation Collection </w:t>
      </w:r>
      <w:r w:rsidR="00B743A7">
        <w:rPr>
          <w:b/>
          <w:sz w:val="22"/>
          <w:szCs w:val="22"/>
        </w:rPr>
        <w:t>Request</w:t>
      </w:r>
      <w:r w:rsidR="009A5A3F">
        <w:rPr>
          <w:b/>
          <w:sz w:val="22"/>
          <w:szCs w:val="22"/>
        </w:rPr>
        <w:t xml:space="preserve"> </w:t>
      </w:r>
    </w:p>
    <w:p w:rsidR="00B743A7" w:rsidRPr="004D0936" w:rsidP="009A5A3F" w14:paraId="754D0415" w14:textId="77777777">
      <w:pPr>
        <w:widowControl/>
        <w:jc w:val="center"/>
        <w:rPr>
          <w:b/>
          <w:sz w:val="24"/>
          <w:szCs w:val="24"/>
        </w:rPr>
      </w:pPr>
    </w:p>
    <w:p w:rsidR="00533D2D" w:rsidRPr="004B13B2" w:rsidP="00847A70" w14:paraId="26A291D1" w14:textId="77777777">
      <w:pPr>
        <w:widowControl/>
        <w:jc w:val="center"/>
        <w:rPr>
          <w:b/>
          <w:sz w:val="22"/>
          <w:szCs w:val="22"/>
          <w:u w:val="single"/>
        </w:rPr>
      </w:pPr>
      <w:r w:rsidRPr="004B13B2">
        <w:rPr>
          <w:b/>
          <w:sz w:val="22"/>
          <w:szCs w:val="22"/>
          <w:u w:val="single"/>
        </w:rPr>
        <w:t xml:space="preserve">OMB Control Number </w:t>
      </w:r>
      <w:r w:rsidRPr="004B13B2" w:rsidR="00FE0F61">
        <w:rPr>
          <w:b/>
          <w:sz w:val="22"/>
          <w:szCs w:val="22"/>
          <w:u w:val="single"/>
        </w:rPr>
        <w:t>1</w:t>
      </w:r>
      <w:r w:rsidRPr="004B13B2">
        <w:rPr>
          <w:b/>
          <w:sz w:val="22"/>
          <w:szCs w:val="22"/>
          <w:u w:val="single"/>
        </w:rPr>
        <w:t>513</w:t>
      </w:r>
      <w:r w:rsidRPr="004B13B2" w:rsidR="00FE0F61">
        <w:rPr>
          <w:b/>
          <w:sz w:val="22"/>
          <w:szCs w:val="22"/>
          <w:u w:val="single"/>
        </w:rPr>
        <w:t>–</w:t>
      </w:r>
      <w:r w:rsidRPr="004B13B2">
        <w:rPr>
          <w:b/>
          <w:sz w:val="22"/>
          <w:szCs w:val="22"/>
          <w:u w:val="single"/>
        </w:rPr>
        <w:t>0052</w:t>
      </w:r>
      <w:r w:rsidRPr="004B13B2" w:rsidR="00B743A7">
        <w:rPr>
          <w:b/>
          <w:sz w:val="22"/>
          <w:szCs w:val="22"/>
          <w:u w:val="single"/>
        </w:rPr>
        <w:t xml:space="preserve"> </w:t>
      </w:r>
    </w:p>
    <w:p w:rsidR="00533D2D" w:rsidRPr="004D0936" w:rsidP="004B13B2" w14:paraId="45C0BFE3" w14:textId="77777777">
      <w:pPr>
        <w:widowControl/>
        <w:jc w:val="center"/>
        <w:rPr>
          <w:sz w:val="24"/>
          <w:szCs w:val="24"/>
        </w:rPr>
      </w:pPr>
    </w:p>
    <w:p w:rsidR="00A91996" w:rsidP="00A91996" w14:paraId="0E8E53D1" w14:textId="77777777">
      <w:pPr>
        <w:widowControl/>
        <w:spacing w:line="288" w:lineRule="auto"/>
        <w:jc w:val="center"/>
        <w:rPr>
          <w:b/>
          <w:sz w:val="22"/>
          <w:szCs w:val="22"/>
        </w:rPr>
      </w:pPr>
      <w:r w:rsidRPr="00A91996">
        <w:rPr>
          <w:b/>
          <w:sz w:val="22"/>
          <w:szCs w:val="22"/>
        </w:rPr>
        <w:t xml:space="preserve">Alcohol Fuel Plants (AFP) Reports, and Miscellaneous Letterhead Applications, </w:t>
      </w:r>
    </w:p>
    <w:p w:rsidR="00A91996" w:rsidRPr="00A91996" w:rsidP="004D0936" w14:paraId="05321F11" w14:textId="2AFBCCCA">
      <w:pPr>
        <w:widowControl/>
        <w:jc w:val="center"/>
        <w:rPr>
          <w:b/>
          <w:sz w:val="22"/>
          <w:szCs w:val="22"/>
        </w:rPr>
      </w:pPr>
      <w:r w:rsidRPr="00A91996">
        <w:rPr>
          <w:b/>
          <w:sz w:val="22"/>
          <w:szCs w:val="22"/>
        </w:rPr>
        <w:t>Notices, Marks, and Records.</w:t>
      </w:r>
      <w:r w:rsidR="004D0936">
        <w:rPr>
          <w:b/>
          <w:sz w:val="22"/>
          <w:szCs w:val="22"/>
        </w:rPr>
        <w:t xml:space="preserve"> </w:t>
      </w:r>
    </w:p>
    <w:p w:rsidR="002107F9" w:rsidP="00FE0F61" w14:paraId="4F50CB69" w14:textId="77777777">
      <w:pPr>
        <w:widowControl/>
        <w:suppressAutoHyphens/>
        <w:rPr>
          <w:sz w:val="28"/>
          <w:szCs w:val="28"/>
        </w:rPr>
      </w:pPr>
    </w:p>
    <w:p w:rsidR="00D14750" w:rsidRPr="00D14750" w:rsidP="00D14750" w14:paraId="095088A9" w14:textId="77777777">
      <w:pPr>
        <w:widowControl/>
        <w:autoSpaceDE/>
        <w:autoSpaceDN/>
        <w:adjustRightInd/>
        <w:ind w:right="-324"/>
        <w:rPr>
          <w:b/>
          <w:sz w:val="22"/>
          <w:szCs w:val="22"/>
          <w:u w:val="single"/>
        </w:rPr>
      </w:pPr>
      <w:r w:rsidRPr="00D14750">
        <w:rPr>
          <w:b/>
          <w:sz w:val="22"/>
          <w:szCs w:val="22"/>
          <w:u w:val="single"/>
        </w:rPr>
        <w:t xml:space="preserve">Changes Since Last Approval </w:t>
      </w:r>
    </w:p>
    <w:p w:rsidR="00D14750" w:rsidRPr="00D14750" w:rsidP="00D14750" w14:paraId="71977C5B" w14:textId="77777777">
      <w:pPr>
        <w:widowControl/>
        <w:autoSpaceDE/>
        <w:autoSpaceDN/>
        <w:adjustRightInd/>
        <w:ind w:right="-324"/>
        <w:rPr>
          <w:sz w:val="22"/>
          <w:szCs w:val="22"/>
        </w:rPr>
      </w:pPr>
    </w:p>
    <w:p w:rsidR="00F9714C" w:rsidRPr="004D0936" w:rsidP="004D0936" w14:paraId="0CEAD577" w14:textId="3D4B8886">
      <w:pPr>
        <w:widowControl/>
        <w:autoSpaceDE/>
        <w:autoSpaceDN/>
        <w:adjustRightInd/>
        <w:spacing w:after="120"/>
        <w:ind w:left="360" w:right="-324"/>
        <w:rPr>
          <w:sz w:val="22"/>
          <w:szCs w:val="22"/>
        </w:rPr>
      </w:pPr>
      <w:r w:rsidRPr="00D14750">
        <w:rPr>
          <w:sz w:val="22"/>
          <w:szCs w:val="22"/>
        </w:rPr>
        <w:t>In this Supporting Statement, TTB is updating the information provided in Questions 8, 12,</w:t>
      </w:r>
      <w:r w:rsidR="007D6138">
        <w:rPr>
          <w:sz w:val="22"/>
          <w:szCs w:val="22"/>
        </w:rPr>
        <w:t xml:space="preserve"> 13,</w:t>
      </w:r>
      <w:r w:rsidRPr="00D14750">
        <w:rPr>
          <w:sz w:val="22"/>
          <w:szCs w:val="22"/>
        </w:rPr>
        <w:t xml:space="preserve"> 14, and 15 to reflect, respectively, the latest 60-day notice publication information, respondent burden and labor costs, </w:t>
      </w:r>
      <w:r w:rsidR="004D0936">
        <w:rPr>
          <w:sz w:val="22"/>
          <w:szCs w:val="22"/>
        </w:rPr>
        <w:t xml:space="preserve">respondent non-labor costs, </w:t>
      </w:r>
      <w:r w:rsidRPr="00D14750">
        <w:rPr>
          <w:sz w:val="22"/>
          <w:szCs w:val="22"/>
        </w:rPr>
        <w:t xml:space="preserve">Federal Government costs, and adjustments associated with this information collection request. </w:t>
      </w:r>
    </w:p>
    <w:p w:rsidR="00D14750" w:rsidRPr="004B13B2" w:rsidP="00FE0F61" w14:paraId="67CB84AD" w14:textId="77777777">
      <w:pPr>
        <w:widowControl/>
        <w:suppressAutoHyphens/>
        <w:rPr>
          <w:sz w:val="28"/>
          <w:szCs w:val="28"/>
        </w:rPr>
      </w:pPr>
    </w:p>
    <w:p w:rsidR="00533D2D" w:rsidRPr="00B743A7" w:rsidP="00847A70" w14:paraId="69984B2A" w14:textId="77777777">
      <w:pPr>
        <w:widowControl/>
        <w:numPr>
          <w:ilvl w:val="0"/>
          <w:numId w:val="1"/>
        </w:numPr>
        <w:tabs>
          <w:tab w:val="left" w:pos="540"/>
        </w:tabs>
        <w:ind w:left="540" w:hanging="540"/>
        <w:rPr>
          <w:b/>
          <w:sz w:val="22"/>
          <w:szCs w:val="22"/>
          <w:u w:val="single"/>
        </w:rPr>
      </w:pPr>
      <w:r w:rsidRPr="00B743A7">
        <w:rPr>
          <w:b/>
          <w:sz w:val="22"/>
          <w:szCs w:val="22"/>
          <w:u w:val="single"/>
        </w:rPr>
        <w:t xml:space="preserve">Justification </w:t>
      </w:r>
    </w:p>
    <w:p w:rsidR="00533D2D" w:rsidRPr="004D0936" w:rsidP="00847A70" w14:paraId="12888A2A" w14:textId="77777777">
      <w:pPr>
        <w:widowControl/>
        <w:tabs>
          <w:tab w:val="left" w:pos="540"/>
        </w:tabs>
        <w:ind w:left="540" w:hanging="540"/>
        <w:rPr>
          <w:sz w:val="28"/>
          <w:szCs w:val="28"/>
        </w:rPr>
      </w:pPr>
    </w:p>
    <w:p w:rsidR="00B743A7" w:rsidRPr="007A5D4B" w:rsidP="00847A70" w14:paraId="1B29230F" w14:textId="77777777">
      <w:pPr>
        <w:widowControl/>
        <w:tabs>
          <w:tab w:val="left" w:pos="360"/>
        </w:tabs>
        <w:suppressAutoHyphens/>
        <w:rPr>
          <w:i/>
          <w:sz w:val="22"/>
          <w:szCs w:val="22"/>
        </w:rPr>
      </w:pPr>
      <w:r w:rsidRPr="007A5D4B">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533D2D" w:rsidP="004D0936" w14:paraId="1432B9F6" w14:textId="77777777">
      <w:pPr>
        <w:widowControl/>
        <w:rPr>
          <w:sz w:val="22"/>
          <w:szCs w:val="22"/>
        </w:rPr>
      </w:pPr>
    </w:p>
    <w:p w:rsidR="007434C4" w:rsidRPr="00223347" w:rsidP="00847A70" w14:paraId="7914DF17" w14:textId="77777777">
      <w:pPr>
        <w:widowControl/>
        <w:ind w:left="360"/>
        <w:rPr>
          <w:sz w:val="22"/>
          <w:szCs w:val="22"/>
        </w:rPr>
      </w:pPr>
      <w:r w:rsidRPr="00987432">
        <w:rPr>
          <w:sz w:val="22"/>
          <w:szCs w:val="22"/>
        </w:rPr>
        <w:t>The Alcohol and Tobacco Tax and Trade Bureau (TTB) administers chapter 51 (distilled spirits, wine and beer), chapter 52 (tobacco products</w:t>
      </w:r>
      <w:r w:rsidR="004B13B2">
        <w:rPr>
          <w:sz w:val="22"/>
          <w:szCs w:val="22"/>
        </w:rPr>
        <w:t xml:space="preserve"> processed tobacco,</w:t>
      </w:r>
      <w:r w:rsidRPr="00987432">
        <w:rPr>
          <w:sz w:val="22"/>
          <w:szCs w:val="22"/>
        </w:rPr>
        <w:t xml:space="preserve">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004B13B2">
        <w:rPr>
          <w:sz w:val="22"/>
          <w:szCs w:val="22"/>
        </w:rPr>
        <w:t xml:space="preserve">(the Secretary) </w:t>
      </w:r>
      <w:r w:rsidRPr="00987432">
        <w:rPr>
          <w:sz w:val="22"/>
          <w:szCs w:val="22"/>
        </w:rPr>
        <w:t>has delegated certain IRC administrative and enforcement authorities to TTB through Treasury Department Order 120–</w:t>
      </w:r>
      <w:r w:rsidRPr="00223347">
        <w:rPr>
          <w:sz w:val="22"/>
          <w:szCs w:val="22"/>
        </w:rPr>
        <w:t xml:space="preserve">01. </w:t>
      </w:r>
    </w:p>
    <w:p w:rsidR="007434C4" w:rsidRPr="00223347" w:rsidP="00847A70" w14:paraId="30BF758F" w14:textId="77777777">
      <w:pPr>
        <w:widowControl/>
        <w:ind w:left="360"/>
        <w:rPr>
          <w:sz w:val="22"/>
          <w:szCs w:val="22"/>
        </w:rPr>
      </w:pPr>
    </w:p>
    <w:p w:rsidR="004B13B2" w:rsidRPr="00223347" w:rsidP="00847A70" w14:paraId="3C0DC0B2" w14:textId="77777777">
      <w:pPr>
        <w:widowControl/>
        <w:ind w:left="360"/>
        <w:rPr>
          <w:sz w:val="22"/>
          <w:szCs w:val="22"/>
        </w:rPr>
      </w:pPr>
      <w:r w:rsidRPr="00223347">
        <w:rPr>
          <w:sz w:val="22"/>
          <w:szCs w:val="22"/>
        </w:rPr>
        <w:t xml:space="preserve">While distilled spirits produced or imported into the United States are normally subject to excise tax under the IRC at 26 U.S.C. 5001, the IRC at 26 U.S.C. 5214(a)(12) allows distilled spirits used for fuel purposes to be withdrawn free of that tax.  In addition, the IRC at 26 U.S.C. 5181 and 5207 requires a proprietor of a distilled spirits plant (DSP) established as an alcohol fuel plant (AFP) to make applications, maintain records, and render reports as the Secretary prescribes by regulation. </w:t>
      </w:r>
    </w:p>
    <w:p w:rsidR="004B13B2" w:rsidRPr="00223347" w:rsidP="00847A70" w14:paraId="76A64D05" w14:textId="77777777">
      <w:pPr>
        <w:widowControl/>
        <w:ind w:left="360"/>
        <w:rPr>
          <w:sz w:val="22"/>
          <w:szCs w:val="22"/>
        </w:rPr>
      </w:pPr>
    </w:p>
    <w:p w:rsidR="00CA2DFD" w:rsidP="00847A70" w14:paraId="64E5A948" w14:textId="226A2AFA">
      <w:pPr>
        <w:widowControl/>
        <w:ind w:left="360"/>
        <w:rPr>
          <w:sz w:val="22"/>
          <w:szCs w:val="22"/>
        </w:rPr>
      </w:pPr>
      <w:r w:rsidRPr="00223347">
        <w:rPr>
          <w:sz w:val="22"/>
          <w:szCs w:val="22"/>
        </w:rPr>
        <w:t>Under those IRC authorities, TTB has issued AFP regulations in 27 CFR Part 19, Subpart X, Distilled Spirits for Fuel Use</w:t>
      </w:r>
      <w:r w:rsidRPr="00223347">
        <w:rPr>
          <w:sz w:val="22"/>
          <w:szCs w:val="22"/>
        </w:rPr>
        <w:t xml:space="preserve">.  Those regulations </w:t>
      </w:r>
      <w:r w:rsidRPr="00223347">
        <w:rPr>
          <w:sz w:val="22"/>
          <w:szCs w:val="22"/>
        </w:rPr>
        <w:t xml:space="preserve">require </w:t>
      </w:r>
      <w:r w:rsidRPr="00223347">
        <w:rPr>
          <w:sz w:val="22"/>
          <w:szCs w:val="22"/>
        </w:rPr>
        <w:t xml:space="preserve">AFP </w:t>
      </w:r>
      <w:r w:rsidRPr="00223347">
        <w:rPr>
          <w:sz w:val="22"/>
          <w:szCs w:val="22"/>
        </w:rPr>
        <w:t>proprietors to make an annual operations report using form TTB F 5110.75, Alcohol Fuel Plant Report</w:t>
      </w:r>
      <w:r w:rsidRPr="00223347">
        <w:rPr>
          <w:sz w:val="22"/>
          <w:szCs w:val="22"/>
        </w:rPr>
        <w:t>, and require those proprietors to</w:t>
      </w:r>
      <w:r w:rsidRPr="00223347">
        <w:rPr>
          <w:sz w:val="22"/>
          <w:szCs w:val="22"/>
        </w:rPr>
        <w:t xml:space="preserve"> provide certain </w:t>
      </w:r>
      <w:r w:rsidR="004D0936">
        <w:rPr>
          <w:sz w:val="22"/>
          <w:szCs w:val="22"/>
        </w:rPr>
        <w:t xml:space="preserve">applications and </w:t>
      </w:r>
      <w:r w:rsidRPr="00223347">
        <w:rPr>
          <w:sz w:val="22"/>
          <w:szCs w:val="22"/>
        </w:rPr>
        <w:t xml:space="preserve">notices, place certain </w:t>
      </w:r>
      <w:r w:rsidR="006E3B43">
        <w:rPr>
          <w:sz w:val="22"/>
          <w:szCs w:val="22"/>
        </w:rPr>
        <w:t xml:space="preserve">content and </w:t>
      </w:r>
      <w:r w:rsidR="004F3BA0">
        <w:rPr>
          <w:sz w:val="22"/>
          <w:szCs w:val="22"/>
        </w:rPr>
        <w:t xml:space="preserve">poison </w:t>
      </w:r>
      <w:r w:rsidR="006E3B43">
        <w:rPr>
          <w:sz w:val="22"/>
          <w:szCs w:val="22"/>
        </w:rPr>
        <w:t xml:space="preserve">warning </w:t>
      </w:r>
      <w:r w:rsidRPr="00223347">
        <w:rPr>
          <w:sz w:val="22"/>
          <w:szCs w:val="22"/>
        </w:rPr>
        <w:t xml:space="preserve">marks on alcohol fuel </w:t>
      </w:r>
      <w:r w:rsidRPr="00223347" w:rsidR="004F3BA0">
        <w:rPr>
          <w:sz w:val="22"/>
          <w:szCs w:val="22"/>
        </w:rPr>
        <w:t>containers</w:t>
      </w:r>
      <w:r w:rsidR="004F3BA0">
        <w:rPr>
          <w:sz w:val="22"/>
          <w:szCs w:val="22"/>
        </w:rPr>
        <w:t>, and</w:t>
      </w:r>
      <w:r w:rsidR="004D0936">
        <w:rPr>
          <w:sz w:val="22"/>
          <w:szCs w:val="22"/>
        </w:rPr>
        <w:t xml:space="preserve"> </w:t>
      </w:r>
      <w:r w:rsidR="004F3BA0">
        <w:rPr>
          <w:sz w:val="22"/>
          <w:szCs w:val="22"/>
        </w:rPr>
        <w:t xml:space="preserve">to </w:t>
      </w:r>
      <w:r w:rsidRPr="004D0936" w:rsidR="004D0936">
        <w:rPr>
          <w:sz w:val="22"/>
          <w:szCs w:val="22"/>
        </w:rPr>
        <w:t>keep certain records</w:t>
      </w:r>
      <w:r w:rsidR="004D0936">
        <w:rPr>
          <w:sz w:val="22"/>
          <w:szCs w:val="22"/>
        </w:rPr>
        <w:t>.</w:t>
      </w:r>
      <w:r w:rsidRPr="00223347">
        <w:rPr>
          <w:sz w:val="22"/>
          <w:szCs w:val="22"/>
        </w:rPr>
        <w:t xml:space="preserve"> </w:t>
      </w:r>
      <w:r w:rsidRPr="00223347">
        <w:rPr>
          <w:sz w:val="22"/>
          <w:szCs w:val="22"/>
        </w:rPr>
        <w:t xml:space="preserve"> In general, the required applications or notices concern alternate methods or procedures, emergency variations, permit changes and plant alternations, and materials used to make alcohol fuel unfit for beverage use.  The required records relate to plant operations and production, transfers, </w:t>
      </w:r>
      <w:r w:rsidR="00B9611A">
        <w:rPr>
          <w:sz w:val="22"/>
          <w:szCs w:val="22"/>
        </w:rPr>
        <w:t>removals</w:t>
      </w:r>
      <w:r w:rsidRPr="00223347">
        <w:rPr>
          <w:sz w:val="22"/>
          <w:szCs w:val="22"/>
        </w:rPr>
        <w:t xml:space="preserve">, and certain other AFP activities. </w:t>
      </w:r>
    </w:p>
    <w:p w:rsidR="000E6B3D" w:rsidP="00847A70" w14:paraId="599C21B8" w14:textId="77777777">
      <w:pPr>
        <w:widowControl/>
        <w:ind w:left="360"/>
        <w:rPr>
          <w:sz w:val="22"/>
          <w:szCs w:val="22"/>
        </w:rPr>
      </w:pPr>
    </w:p>
    <w:p w:rsidR="00D7602D" w:rsidP="000A1251" w14:paraId="1BCD037F" w14:textId="6B478CEB">
      <w:pPr>
        <w:widowControl/>
        <w:ind w:left="360"/>
        <w:rPr>
          <w:sz w:val="22"/>
          <w:szCs w:val="22"/>
        </w:rPr>
      </w:pPr>
      <w:r>
        <w:rPr>
          <w:sz w:val="22"/>
          <w:szCs w:val="22"/>
        </w:rPr>
        <w:t xml:space="preserve">The TTB regulation requiring AFP proprietors to file an annual operations report on TTB F 5110.75, Alcohol Fuel Plant Report, is found at 27 CFR 19.720. </w:t>
      </w:r>
      <w:r w:rsidR="004D0936">
        <w:rPr>
          <w:sz w:val="22"/>
          <w:szCs w:val="22"/>
        </w:rPr>
        <w:t xml:space="preserve"> </w:t>
      </w:r>
      <w:r>
        <w:rPr>
          <w:sz w:val="22"/>
          <w:szCs w:val="22"/>
        </w:rPr>
        <w:t>In addition, t</w:t>
      </w:r>
      <w:r w:rsidRPr="00223347">
        <w:rPr>
          <w:sz w:val="22"/>
          <w:szCs w:val="22"/>
        </w:rPr>
        <w:t xml:space="preserve">he </w:t>
      </w:r>
      <w:r w:rsidR="004D0936">
        <w:rPr>
          <w:sz w:val="22"/>
          <w:szCs w:val="22"/>
        </w:rPr>
        <w:t xml:space="preserve">other </w:t>
      </w:r>
      <w:r w:rsidRPr="00223347">
        <w:rPr>
          <w:sz w:val="22"/>
          <w:szCs w:val="22"/>
        </w:rPr>
        <w:t>27 CFR par</w:t>
      </w:r>
      <w:r w:rsidRPr="00223347" w:rsidR="0009320B">
        <w:rPr>
          <w:sz w:val="22"/>
          <w:szCs w:val="22"/>
        </w:rPr>
        <w:t>t 19</w:t>
      </w:r>
      <w:r w:rsidRPr="00223347" w:rsidR="00CA2DFD">
        <w:rPr>
          <w:sz w:val="22"/>
          <w:szCs w:val="22"/>
        </w:rPr>
        <w:t>, subpart X,</w:t>
      </w:r>
      <w:r w:rsidRPr="00223347" w:rsidR="0009320B">
        <w:rPr>
          <w:sz w:val="22"/>
          <w:szCs w:val="22"/>
        </w:rPr>
        <w:t xml:space="preserve"> regulations </w:t>
      </w:r>
      <w:r w:rsidRPr="00223347" w:rsidR="00223347">
        <w:rPr>
          <w:sz w:val="22"/>
          <w:szCs w:val="22"/>
        </w:rPr>
        <w:t>associated with the Alcohol Fuel Plants—Miscellaneous Letterhead Applications and Notices, Marks, and Records (</w:t>
      </w:r>
      <w:r w:rsidR="00223347">
        <w:rPr>
          <w:sz w:val="22"/>
          <w:szCs w:val="22"/>
        </w:rPr>
        <w:t xml:space="preserve">TTB </w:t>
      </w:r>
      <w:r w:rsidRPr="00223347" w:rsidR="00223347">
        <w:rPr>
          <w:sz w:val="22"/>
          <w:szCs w:val="22"/>
        </w:rPr>
        <w:t>REC 5110/10)</w:t>
      </w:r>
      <w:r w:rsidR="00223347">
        <w:rPr>
          <w:sz w:val="22"/>
          <w:szCs w:val="22"/>
        </w:rPr>
        <w:t xml:space="preserve"> information collection are: </w:t>
      </w:r>
    </w:p>
    <w:p w:rsidR="00D7602D" w:rsidP="000A1251" w14:paraId="230BDFA7" w14:textId="77777777">
      <w:pPr>
        <w:widowControl/>
        <w:ind w:left="360"/>
        <w:rPr>
          <w:sz w:val="22"/>
          <w:szCs w:val="22"/>
        </w:rPr>
      </w:pPr>
    </w:p>
    <w:p w:rsidR="00FD2262" w:rsidRPr="00FD2262" w:rsidP="00FD2262" w14:paraId="198FCC35" w14:textId="77777777">
      <w:pPr>
        <w:widowControl/>
        <w:tabs>
          <w:tab w:val="left" w:pos="1080"/>
          <w:tab w:val="left" w:pos="2520"/>
          <w:tab w:val="left" w:pos="3960"/>
          <w:tab w:val="left" w:pos="5400"/>
          <w:tab w:val="left" w:pos="6840"/>
          <w:tab w:val="left" w:pos="8280"/>
        </w:tabs>
        <w:spacing w:after="120"/>
        <w:ind w:left="360"/>
        <w:rPr>
          <w:sz w:val="22"/>
          <w:szCs w:val="22"/>
        </w:rPr>
      </w:pPr>
      <w:r>
        <w:rPr>
          <w:sz w:val="22"/>
          <w:szCs w:val="22"/>
        </w:rPr>
        <w:tab/>
      </w:r>
      <w:r w:rsidRPr="00FD2262">
        <w:rPr>
          <w:sz w:val="22"/>
          <w:szCs w:val="22"/>
        </w:rPr>
        <w:t>19.665</w:t>
      </w:r>
      <w:r w:rsidRPr="00FD2262">
        <w:rPr>
          <w:sz w:val="22"/>
          <w:szCs w:val="22"/>
        </w:rPr>
        <w:tab/>
        <w:t>19.666</w:t>
      </w:r>
      <w:r w:rsidRPr="00FD2262">
        <w:rPr>
          <w:sz w:val="22"/>
          <w:szCs w:val="22"/>
        </w:rPr>
        <w:tab/>
        <w:t>19.667</w:t>
      </w:r>
      <w:r w:rsidRPr="00FD2262">
        <w:rPr>
          <w:sz w:val="22"/>
          <w:szCs w:val="22"/>
        </w:rPr>
        <w:tab/>
        <w:t>19.683</w:t>
      </w:r>
      <w:r w:rsidRPr="00FD2262">
        <w:rPr>
          <w:sz w:val="22"/>
          <w:szCs w:val="22"/>
        </w:rPr>
        <w:tab/>
        <w:t>19.685</w:t>
      </w:r>
      <w:r w:rsidRPr="00FD2262">
        <w:rPr>
          <w:sz w:val="22"/>
          <w:szCs w:val="22"/>
        </w:rPr>
        <w:tab/>
        <w:t xml:space="preserve">19.687 </w:t>
      </w:r>
    </w:p>
    <w:p w:rsidR="00FD2262" w:rsidRPr="00FD2262" w:rsidP="00FD2262" w14:paraId="3C99CC1F" w14:textId="77777777">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19.688</w:t>
      </w:r>
      <w:r w:rsidRPr="00FD2262">
        <w:rPr>
          <w:sz w:val="22"/>
          <w:szCs w:val="22"/>
        </w:rPr>
        <w:tab/>
        <w:t>19.691</w:t>
      </w:r>
      <w:r w:rsidRPr="00FD2262">
        <w:rPr>
          <w:sz w:val="22"/>
          <w:szCs w:val="22"/>
        </w:rPr>
        <w:tab/>
        <w:t>19.692</w:t>
      </w:r>
      <w:r w:rsidRPr="00FD2262">
        <w:rPr>
          <w:sz w:val="22"/>
          <w:szCs w:val="22"/>
        </w:rPr>
        <w:tab/>
        <w:t>19.693</w:t>
      </w:r>
      <w:r w:rsidRPr="00FD2262">
        <w:rPr>
          <w:sz w:val="22"/>
          <w:szCs w:val="22"/>
        </w:rPr>
        <w:tab/>
        <w:t>19.695</w:t>
      </w:r>
      <w:r w:rsidRPr="00FD2262">
        <w:rPr>
          <w:sz w:val="22"/>
          <w:szCs w:val="22"/>
        </w:rPr>
        <w:tab/>
        <w:t xml:space="preserve">19.709 </w:t>
      </w:r>
    </w:p>
    <w:p w:rsidR="00FD2262" w:rsidRPr="00FD2262" w:rsidP="00FD2262" w14:paraId="733883F2" w14:textId="77777777">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19.710</w:t>
      </w:r>
      <w:r w:rsidRPr="00FD2262">
        <w:rPr>
          <w:sz w:val="22"/>
          <w:szCs w:val="22"/>
        </w:rPr>
        <w:tab/>
        <w:t>19.714</w:t>
      </w:r>
      <w:r w:rsidRPr="00FD2262">
        <w:rPr>
          <w:sz w:val="22"/>
          <w:szCs w:val="22"/>
        </w:rPr>
        <w:tab/>
        <w:t>19.715</w:t>
      </w:r>
      <w:r w:rsidRPr="00FD2262">
        <w:rPr>
          <w:sz w:val="22"/>
          <w:szCs w:val="22"/>
        </w:rPr>
        <w:tab/>
        <w:t>19.716</w:t>
      </w:r>
      <w:r w:rsidRPr="00FD2262">
        <w:rPr>
          <w:sz w:val="22"/>
          <w:szCs w:val="22"/>
        </w:rPr>
        <w:tab/>
        <w:t>19.717</w:t>
      </w:r>
      <w:r w:rsidRPr="00FD2262">
        <w:rPr>
          <w:sz w:val="22"/>
          <w:szCs w:val="22"/>
        </w:rPr>
        <w:tab/>
        <w:t xml:space="preserve">19.718 </w:t>
      </w:r>
    </w:p>
    <w:p w:rsidR="0009320B" w:rsidP="0009320B" w14:paraId="5A2ACE14" w14:textId="77777777">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19.719</w:t>
      </w:r>
      <w:r w:rsidRPr="00FD2262">
        <w:rPr>
          <w:sz w:val="22"/>
          <w:szCs w:val="22"/>
        </w:rPr>
        <w:tab/>
        <w:t>19.724</w:t>
      </w:r>
      <w:r w:rsidRPr="00FD2262">
        <w:rPr>
          <w:sz w:val="22"/>
          <w:szCs w:val="22"/>
        </w:rPr>
        <w:tab/>
        <w:t>19.727</w:t>
      </w:r>
      <w:r w:rsidRPr="00FD2262">
        <w:rPr>
          <w:sz w:val="22"/>
          <w:szCs w:val="22"/>
        </w:rPr>
        <w:tab/>
        <w:t>19.729</w:t>
      </w:r>
      <w:r w:rsidRPr="00FD2262">
        <w:rPr>
          <w:sz w:val="22"/>
          <w:szCs w:val="22"/>
        </w:rPr>
        <w:tab/>
        <w:t xml:space="preserve">19.733 </w:t>
      </w:r>
      <w:r w:rsidRPr="00FD2262">
        <w:rPr>
          <w:sz w:val="22"/>
          <w:szCs w:val="22"/>
        </w:rPr>
        <w:tab/>
        <w:t>17.734</w:t>
      </w:r>
      <w:r>
        <w:rPr>
          <w:sz w:val="22"/>
          <w:szCs w:val="22"/>
        </w:rPr>
        <w:t xml:space="preserve"> </w:t>
      </w:r>
    </w:p>
    <w:p w:rsidR="00FD2262" w:rsidRPr="00FD2262" w:rsidP="0009320B" w14:paraId="3730B626" w14:textId="77777777">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19.735</w:t>
      </w:r>
      <w:r w:rsidRPr="00FD2262">
        <w:rPr>
          <w:sz w:val="22"/>
          <w:szCs w:val="22"/>
        </w:rPr>
        <w:tab/>
        <w:t>19.736</w:t>
      </w:r>
      <w:r w:rsidRPr="00FD2262">
        <w:rPr>
          <w:sz w:val="22"/>
          <w:szCs w:val="22"/>
        </w:rPr>
        <w:tab/>
        <w:t>19.739</w:t>
      </w:r>
      <w:r w:rsidRPr="00FD2262">
        <w:rPr>
          <w:sz w:val="22"/>
          <w:szCs w:val="22"/>
        </w:rPr>
        <w:tab/>
        <w:t>19.747</w:t>
      </w:r>
      <w:r w:rsidRPr="00FD2262">
        <w:rPr>
          <w:sz w:val="22"/>
          <w:szCs w:val="22"/>
        </w:rPr>
        <w:tab/>
        <w:t xml:space="preserve">19.749 </w:t>
      </w:r>
      <w:r w:rsidRPr="00FD2262">
        <w:rPr>
          <w:sz w:val="22"/>
          <w:szCs w:val="22"/>
        </w:rPr>
        <w:tab/>
        <w:t xml:space="preserve">19.752. </w:t>
      </w:r>
    </w:p>
    <w:p w:rsidR="00223347" w:rsidP="00223347" w14:paraId="62C8A452" w14:textId="77777777">
      <w:pPr>
        <w:widowControl/>
        <w:tabs>
          <w:tab w:val="left" w:pos="1080"/>
          <w:tab w:val="left" w:pos="2520"/>
          <w:tab w:val="left" w:pos="3960"/>
          <w:tab w:val="left" w:pos="5400"/>
          <w:tab w:val="left" w:pos="6840"/>
          <w:tab w:val="left" w:pos="8280"/>
        </w:tabs>
        <w:ind w:left="360"/>
        <w:rPr>
          <w:sz w:val="22"/>
          <w:szCs w:val="22"/>
        </w:rPr>
      </w:pPr>
    </w:p>
    <w:p w:rsidR="00CA2DFD" w:rsidRPr="00CA2DFD" w:rsidP="00223347" w14:paraId="4654D9CC" w14:textId="77777777">
      <w:pPr>
        <w:ind w:left="360"/>
        <w:rPr>
          <w:sz w:val="22"/>
          <w:szCs w:val="22"/>
        </w:rPr>
      </w:pPr>
      <w:r w:rsidRPr="00CA2DFD">
        <w:rPr>
          <w:sz w:val="22"/>
          <w:szCs w:val="22"/>
        </w:rPr>
        <w:t xml:space="preserve">The collected information is necessary to </w:t>
      </w:r>
      <w:r w:rsidR="00223347">
        <w:rPr>
          <w:sz w:val="22"/>
          <w:szCs w:val="22"/>
        </w:rPr>
        <w:t xml:space="preserve">ensure </w:t>
      </w:r>
      <w:r w:rsidRPr="00CA2DFD">
        <w:rPr>
          <w:sz w:val="22"/>
          <w:szCs w:val="22"/>
        </w:rPr>
        <w:t>that the excise tax provisions of the IRC are appropriately applied</w:t>
      </w:r>
      <w:r w:rsidR="00223347">
        <w:rPr>
          <w:sz w:val="22"/>
          <w:szCs w:val="22"/>
        </w:rPr>
        <w:t xml:space="preserve">, and also </w:t>
      </w:r>
      <w:r w:rsidRPr="00CA2DFD">
        <w:rPr>
          <w:sz w:val="22"/>
          <w:szCs w:val="22"/>
        </w:rPr>
        <w:t xml:space="preserve">to prevent and detect diversion of alcohol fuel to taxable beverage use. </w:t>
      </w:r>
    </w:p>
    <w:p w:rsidR="00185B55" w:rsidP="00223347" w14:paraId="40343230" w14:textId="77777777">
      <w:pPr>
        <w:widowControl/>
        <w:ind w:left="360"/>
        <w:rPr>
          <w:sz w:val="22"/>
          <w:szCs w:val="22"/>
        </w:rPr>
      </w:pPr>
    </w:p>
    <w:p w:rsidR="004D0936" w:rsidRPr="005118D8" w:rsidP="004D0936" w14:paraId="1096858C" w14:textId="77777777">
      <w:pPr>
        <w:ind w:left="360"/>
        <w:rPr>
          <w:sz w:val="22"/>
          <w:szCs w:val="22"/>
        </w:rPr>
      </w:pPr>
      <w:r w:rsidRPr="005118D8">
        <w:rPr>
          <w:sz w:val="22"/>
          <w:szCs w:val="22"/>
        </w:rPr>
        <w:t>This information collection is aligned with</w:t>
      </w:r>
      <w:r>
        <w:rPr>
          <w:sz w:val="22"/>
          <w:szCs w:val="22"/>
        </w:rPr>
        <w:t xml:space="preserve"> the following</w:t>
      </w:r>
      <w:r w:rsidRPr="005118D8">
        <w:rPr>
          <w:sz w:val="22"/>
          <w:szCs w:val="22"/>
        </w:rPr>
        <w:t xml:space="preserve"> </w:t>
      </w:r>
      <w:r w:rsidRPr="00A96744">
        <w:rPr>
          <w:sz w:val="22"/>
          <w:szCs w:val="22"/>
        </w:rPr>
        <w:t>Line of Business/Sub-function:</w:t>
      </w:r>
      <w:r w:rsidRPr="005118D8">
        <w:rPr>
          <w:sz w:val="22"/>
          <w:szCs w:val="22"/>
          <w:u w:val="single"/>
        </w:rPr>
        <w:t xml:space="preserve"> </w:t>
      </w:r>
      <w:r w:rsidRPr="005118D8">
        <w:rPr>
          <w:sz w:val="22"/>
          <w:szCs w:val="22"/>
        </w:rPr>
        <w:t xml:space="preserve"> </w:t>
      </w:r>
      <w:r w:rsidRPr="00A96744">
        <w:rPr>
          <w:i/>
          <w:iCs/>
          <w:sz w:val="22"/>
          <w:szCs w:val="22"/>
        </w:rPr>
        <w:t>General Government/Taxation Management</w:t>
      </w:r>
      <w:r w:rsidRPr="005118D8">
        <w:rPr>
          <w:sz w:val="22"/>
          <w:szCs w:val="22"/>
        </w:rPr>
        <w:t xml:space="preserve">. </w:t>
      </w:r>
    </w:p>
    <w:p w:rsidR="007434C4" w:rsidRPr="00223347" w:rsidP="00223347" w14:paraId="57395E64" w14:textId="77777777">
      <w:pPr>
        <w:widowControl/>
        <w:tabs>
          <w:tab w:val="left" w:pos="540"/>
        </w:tabs>
        <w:ind w:left="540" w:hanging="540"/>
        <w:rPr>
          <w:sz w:val="28"/>
          <w:szCs w:val="28"/>
        </w:rPr>
      </w:pPr>
    </w:p>
    <w:p w:rsidR="00533D2D" w:rsidRPr="00B743A7" w:rsidP="00223347" w14:paraId="4EE70D66" w14:textId="77777777">
      <w:pPr>
        <w:widowControl/>
        <w:tabs>
          <w:tab w:val="left" w:pos="540"/>
        </w:tabs>
        <w:ind w:left="540" w:hanging="540"/>
        <w:rPr>
          <w:i/>
          <w:sz w:val="22"/>
          <w:szCs w:val="22"/>
        </w:rPr>
      </w:pPr>
      <w:r w:rsidRPr="00B743A7">
        <w:rPr>
          <w:i/>
          <w:sz w:val="22"/>
          <w:szCs w:val="22"/>
        </w:rPr>
        <w:t>2.  H</w:t>
      </w:r>
      <w:r w:rsidRPr="00B743A7">
        <w:rPr>
          <w:i/>
          <w:sz w:val="22"/>
          <w:szCs w:val="22"/>
        </w:rPr>
        <w:t>ow, by whom, and for what purpose is this information used?</w:t>
      </w:r>
      <w:r w:rsidR="00F7115D">
        <w:rPr>
          <w:i/>
          <w:sz w:val="22"/>
          <w:szCs w:val="22"/>
        </w:rPr>
        <w:t xml:space="preserve"> </w:t>
      </w:r>
    </w:p>
    <w:p w:rsidR="00533D2D" w:rsidRPr="00B743A7" w:rsidP="004D0936" w14:paraId="10F9F18D" w14:textId="77777777">
      <w:pPr>
        <w:widowControl/>
        <w:rPr>
          <w:sz w:val="22"/>
          <w:szCs w:val="22"/>
        </w:rPr>
      </w:pPr>
    </w:p>
    <w:p w:rsidR="00223347" w:rsidP="003E7ADF" w14:paraId="5FB46C7D" w14:textId="77777777">
      <w:pPr>
        <w:widowControl/>
        <w:spacing w:after="120"/>
        <w:ind w:left="360"/>
        <w:rPr>
          <w:sz w:val="22"/>
          <w:szCs w:val="22"/>
        </w:rPr>
      </w:pPr>
      <w:r>
        <w:rPr>
          <w:sz w:val="22"/>
          <w:szCs w:val="22"/>
        </w:rPr>
        <w:t xml:space="preserve">Given that alcohol produced at an AFP is potable </w:t>
      </w:r>
      <w:r w:rsidR="000B42B0">
        <w:rPr>
          <w:sz w:val="22"/>
          <w:szCs w:val="22"/>
        </w:rPr>
        <w:t xml:space="preserve">(unless it is denatured as required by the IRC) </w:t>
      </w:r>
      <w:r>
        <w:rPr>
          <w:sz w:val="22"/>
          <w:szCs w:val="22"/>
        </w:rPr>
        <w:t xml:space="preserve">and may be withdrawn tax-free, </w:t>
      </w:r>
      <w:r w:rsidR="00054EA5">
        <w:rPr>
          <w:sz w:val="22"/>
          <w:szCs w:val="22"/>
        </w:rPr>
        <w:t xml:space="preserve">TTB </w:t>
      </w:r>
      <w:r>
        <w:rPr>
          <w:sz w:val="22"/>
          <w:szCs w:val="22"/>
        </w:rPr>
        <w:t>use</w:t>
      </w:r>
      <w:r w:rsidR="00834555">
        <w:rPr>
          <w:sz w:val="22"/>
          <w:szCs w:val="22"/>
        </w:rPr>
        <w:t>s</w:t>
      </w:r>
      <w:r>
        <w:rPr>
          <w:sz w:val="22"/>
          <w:szCs w:val="22"/>
        </w:rPr>
        <w:t xml:space="preserve"> the information collected under this request to </w:t>
      </w:r>
      <w:r w:rsidRPr="00223347">
        <w:rPr>
          <w:sz w:val="22"/>
          <w:szCs w:val="22"/>
        </w:rPr>
        <w:t>ensure that the tax provisions of the IRC are appropriately applied, and to prevent and detect diversion of alcohol fuel to taxable beverage use.</w:t>
      </w:r>
      <w:r>
        <w:rPr>
          <w:sz w:val="22"/>
          <w:szCs w:val="22"/>
        </w:rPr>
        <w:t xml:space="preserve">  Specifically, the collec</w:t>
      </w:r>
      <w:r w:rsidR="000B42B0">
        <w:rPr>
          <w:sz w:val="22"/>
          <w:szCs w:val="22"/>
        </w:rPr>
        <w:t xml:space="preserve">ted information allows TTB to: </w:t>
      </w:r>
    </w:p>
    <w:p w:rsidR="003E7ADF" w:rsidP="003E7ADF" w14:paraId="27B2CF14" w14:textId="77777777">
      <w:pPr>
        <w:numPr>
          <w:ilvl w:val="0"/>
          <w:numId w:val="6"/>
        </w:numPr>
        <w:spacing w:after="120"/>
        <w:rPr>
          <w:sz w:val="22"/>
          <w:szCs w:val="22"/>
        </w:rPr>
      </w:pPr>
      <w:r w:rsidRPr="003E7ADF">
        <w:rPr>
          <w:sz w:val="22"/>
          <w:szCs w:val="22"/>
        </w:rPr>
        <w:t xml:space="preserve">Identify the person(s) responsible for AFP operations and any potential excise tax liability by keeping AFP permit information up-to-date, including a plant’s location, ownership and control, and operating status; </w:t>
      </w:r>
    </w:p>
    <w:p w:rsidR="003E7ADF" w:rsidRPr="003E7ADF" w:rsidP="003E7ADF" w14:paraId="11BEF9AD" w14:textId="77777777">
      <w:pPr>
        <w:numPr>
          <w:ilvl w:val="0"/>
          <w:numId w:val="6"/>
        </w:numPr>
        <w:spacing w:after="120"/>
        <w:rPr>
          <w:sz w:val="22"/>
          <w:szCs w:val="22"/>
        </w:rPr>
      </w:pPr>
      <w:r w:rsidRPr="003E7ADF">
        <w:rPr>
          <w:sz w:val="22"/>
          <w:szCs w:val="22"/>
        </w:rPr>
        <w:t xml:space="preserve">Account for the distilled spirits produced, received, used on premises, destroyed, lost, transferred, redistilled, and withdrawn to determine the amount, kind, and taxable status of the spirits removed from an AFP; and </w:t>
      </w:r>
    </w:p>
    <w:p w:rsidR="0020766F" w:rsidP="003E7ADF" w14:paraId="667D194B" w14:textId="77777777">
      <w:pPr>
        <w:widowControl/>
        <w:numPr>
          <w:ilvl w:val="0"/>
          <w:numId w:val="6"/>
        </w:numPr>
        <w:rPr>
          <w:sz w:val="22"/>
          <w:szCs w:val="22"/>
        </w:rPr>
      </w:pPr>
      <w:r>
        <w:rPr>
          <w:sz w:val="22"/>
          <w:szCs w:val="22"/>
        </w:rPr>
        <w:t>Determine whether requests for alternate methods and procedures</w:t>
      </w:r>
      <w:r w:rsidR="00071308">
        <w:rPr>
          <w:sz w:val="22"/>
          <w:szCs w:val="22"/>
        </w:rPr>
        <w:t xml:space="preserve">, </w:t>
      </w:r>
      <w:r>
        <w:rPr>
          <w:sz w:val="22"/>
          <w:szCs w:val="22"/>
        </w:rPr>
        <w:t>emergency variations</w:t>
      </w:r>
      <w:r w:rsidR="00071308">
        <w:rPr>
          <w:sz w:val="22"/>
          <w:szCs w:val="22"/>
        </w:rPr>
        <w:t xml:space="preserve"> from regulatory </w:t>
      </w:r>
      <w:r w:rsidR="000B42B0">
        <w:rPr>
          <w:sz w:val="22"/>
          <w:szCs w:val="22"/>
        </w:rPr>
        <w:t>requirements,</w:t>
      </w:r>
      <w:r w:rsidR="00071308">
        <w:rPr>
          <w:sz w:val="22"/>
          <w:szCs w:val="22"/>
        </w:rPr>
        <w:t xml:space="preserve"> </w:t>
      </w:r>
      <w:r w:rsidR="004856EC">
        <w:rPr>
          <w:sz w:val="22"/>
          <w:szCs w:val="22"/>
        </w:rPr>
        <w:t xml:space="preserve">or </w:t>
      </w:r>
      <w:r w:rsidR="00071308">
        <w:rPr>
          <w:sz w:val="22"/>
          <w:szCs w:val="22"/>
        </w:rPr>
        <w:t>alternat</w:t>
      </w:r>
      <w:r w:rsidR="000B42B0">
        <w:rPr>
          <w:sz w:val="22"/>
          <w:szCs w:val="22"/>
        </w:rPr>
        <w:t>e</w:t>
      </w:r>
      <w:r w:rsidR="00071308">
        <w:rPr>
          <w:sz w:val="22"/>
          <w:szCs w:val="22"/>
        </w:rPr>
        <w:t xml:space="preserve"> materials for making AFP-produced distilled spirits unfit for beverage use</w:t>
      </w:r>
      <w:r>
        <w:rPr>
          <w:sz w:val="22"/>
          <w:szCs w:val="22"/>
        </w:rPr>
        <w:t xml:space="preserve"> will </w:t>
      </w:r>
      <w:r w:rsidRPr="0020766F">
        <w:rPr>
          <w:sz w:val="22"/>
          <w:szCs w:val="22"/>
        </w:rPr>
        <w:t>protect the revenue, not hinder administration of the TTB regulations, and not be contrary to the law</w:t>
      </w:r>
      <w:r w:rsidR="003E7ADF">
        <w:rPr>
          <w:sz w:val="22"/>
          <w:szCs w:val="22"/>
        </w:rPr>
        <w:t xml:space="preserve">. </w:t>
      </w:r>
    </w:p>
    <w:p w:rsidR="00533D2D" w:rsidRPr="000B42B0" w:rsidP="00847A70" w14:paraId="68403BF8" w14:textId="77777777">
      <w:pPr>
        <w:widowControl/>
        <w:rPr>
          <w:sz w:val="28"/>
          <w:szCs w:val="28"/>
        </w:rPr>
      </w:pPr>
    </w:p>
    <w:p w:rsidR="008820FE" w:rsidRPr="000B45DB" w:rsidP="00847A70" w14:paraId="03497E40" w14:textId="77777777">
      <w:pPr>
        <w:widowControl/>
        <w:suppressAutoHyphens/>
        <w:rPr>
          <w:i/>
          <w:sz w:val="22"/>
          <w:szCs w:val="22"/>
        </w:rPr>
      </w:pPr>
      <w:r w:rsidRPr="000B45DB">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8820FE" w:rsidRPr="000B45DB" w:rsidP="00847A70" w14:paraId="357D18F8" w14:textId="77777777">
      <w:pPr>
        <w:widowControl/>
        <w:suppressAutoHyphens/>
        <w:rPr>
          <w:sz w:val="22"/>
          <w:szCs w:val="22"/>
        </w:rPr>
      </w:pPr>
    </w:p>
    <w:p w:rsidR="00533D2D" w:rsidRPr="000B45DB" w:rsidP="00847A70" w14:paraId="1B33B305" w14:textId="2EC5D44B">
      <w:pPr>
        <w:widowControl/>
        <w:ind w:left="360"/>
        <w:rPr>
          <w:sz w:val="22"/>
          <w:szCs w:val="22"/>
        </w:rPr>
      </w:pPr>
      <w:r>
        <w:rPr>
          <w:sz w:val="22"/>
          <w:szCs w:val="22"/>
        </w:rPr>
        <w:t>Currently, r</w:t>
      </w:r>
      <w:r w:rsidRPr="000B42B0">
        <w:rPr>
          <w:sz w:val="22"/>
          <w:szCs w:val="22"/>
        </w:rPr>
        <w:t>espondents may electronically complete and submit TTB F 51</w:t>
      </w:r>
      <w:r>
        <w:rPr>
          <w:sz w:val="22"/>
          <w:szCs w:val="22"/>
        </w:rPr>
        <w:t>10.75</w:t>
      </w:r>
      <w:r w:rsidRPr="000B42B0">
        <w:rPr>
          <w:sz w:val="22"/>
          <w:szCs w:val="22"/>
        </w:rPr>
        <w:t xml:space="preserve"> via the Federal government’s Pay.gov system; see </w:t>
      </w:r>
      <w:r w:rsidRPr="000B42B0">
        <w:rPr>
          <w:i/>
          <w:sz w:val="22"/>
          <w:szCs w:val="22"/>
        </w:rPr>
        <w:t>https://www.ttb.gov/epayment</w:t>
      </w:r>
      <w:r w:rsidRPr="000B42B0">
        <w:rPr>
          <w:sz w:val="22"/>
          <w:szCs w:val="22"/>
        </w:rPr>
        <w:t xml:space="preserve">.  Respondents may also download </w:t>
      </w:r>
      <w:r>
        <w:rPr>
          <w:sz w:val="22"/>
          <w:szCs w:val="22"/>
        </w:rPr>
        <w:t xml:space="preserve">a </w:t>
      </w:r>
      <w:r w:rsidRPr="000B42B0">
        <w:rPr>
          <w:sz w:val="22"/>
          <w:szCs w:val="22"/>
        </w:rPr>
        <w:t>fillable-printable version</w:t>
      </w:r>
      <w:r>
        <w:rPr>
          <w:sz w:val="22"/>
          <w:szCs w:val="22"/>
        </w:rPr>
        <w:t xml:space="preserve"> of TTB F 5110.75 </w:t>
      </w:r>
      <w:r w:rsidRPr="000B42B0">
        <w:rPr>
          <w:sz w:val="22"/>
          <w:szCs w:val="22"/>
        </w:rPr>
        <w:t xml:space="preserve">at no cost from the TTB website at </w:t>
      </w:r>
      <w:r w:rsidRPr="00215EB0" w:rsidR="00215EB0">
        <w:rPr>
          <w:i/>
          <w:iCs/>
          <w:sz w:val="22"/>
          <w:szCs w:val="22"/>
        </w:rPr>
        <w:t>https://www.ttb.gov/public-information/forms</w:t>
      </w:r>
      <w:r w:rsidRPr="000B42B0">
        <w:rPr>
          <w:sz w:val="22"/>
          <w:szCs w:val="22"/>
        </w:rPr>
        <w:t xml:space="preserve">.  </w:t>
      </w:r>
      <w:r>
        <w:rPr>
          <w:sz w:val="22"/>
          <w:szCs w:val="22"/>
        </w:rPr>
        <w:t>In addition, r</w:t>
      </w:r>
      <w:r w:rsidRPr="000B45DB" w:rsidR="000B45DB">
        <w:rPr>
          <w:sz w:val="22"/>
          <w:szCs w:val="22"/>
        </w:rPr>
        <w:t xml:space="preserve">espondents may </w:t>
      </w:r>
      <w:r w:rsidRPr="000B45DB" w:rsidR="000B45DB">
        <w:rPr>
          <w:sz w:val="22"/>
          <w:szCs w:val="22"/>
        </w:rPr>
        <w:t xml:space="preserve">generate the required letterhead applications and notices and keep and maintain the required records </w:t>
      </w:r>
      <w:r>
        <w:rPr>
          <w:sz w:val="22"/>
          <w:szCs w:val="22"/>
        </w:rPr>
        <w:t xml:space="preserve">using </w:t>
      </w:r>
      <w:r w:rsidRPr="000B45DB" w:rsidR="000B45DB">
        <w:rPr>
          <w:sz w:val="22"/>
          <w:szCs w:val="22"/>
        </w:rPr>
        <w:t xml:space="preserve">electronic </w:t>
      </w:r>
      <w:r>
        <w:rPr>
          <w:sz w:val="22"/>
          <w:szCs w:val="22"/>
        </w:rPr>
        <w:t xml:space="preserve">systems of their choosing. </w:t>
      </w:r>
    </w:p>
    <w:p w:rsidR="00533D2D" w:rsidRPr="000B42B0" w:rsidP="00847A70" w14:paraId="296797E4" w14:textId="77777777">
      <w:pPr>
        <w:widowControl/>
        <w:tabs>
          <w:tab w:val="left" w:pos="540"/>
        </w:tabs>
        <w:ind w:left="540" w:hanging="540"/>
        <w:rPr>
          <w:sz w:val="28"/>
          <w:szCs w:val="28"/>
        </w:rPr>
      </w:pPr>
    </w:p>
    <w:p w:rsidR="008820FE" w:rsidRPr="000B45DB" w:rsidP="00847A70" w14:paraId="063ACDD7" w14:textId="77777777">
      <w:pPr>
        <w:widowControl/>
        <w:suppressAutoHyphens/>
        <w:rPr>
          <w:i/>
          <w:sz w:val="22"/>
          <w:szCs w:val="22"/>
        </w:rPr>
      </w:pPr>
      <w:r w:rsidRPr="000B45DB">
        <w:rPr>
          <w:i/>
          <w:sz w:val="22"/>
          <w:szCs w:val="22"/>
        </w:rPr>
        <w:t xml:space="preserve">4.  What efforts are used to identify duplication?  Can similar information already available be used or modified for use for the purposes described in Item 2 above? </w:t>
      </w:r>
    </w:p>
    <w:p w:rsidR="008820FE" w:rsidRPr="000B45DB" w:rsidP="00215EB0" w14:paraId="18F75393" w14:textId="77777777">
      <w:pPr>
        <w:widowControl/>
        <w:suppressAutoHyphens/>
        <w:rPr>
          <w:sz w:val="22"/>
          <w:szCs w:val="22"/>
        </w:rPr>
      </w:pPr>
    </w:p>
    <w:p w:rsidR="006677C9" w:rsidRPr="00CF0A45" w:rsidP="00847A70" w14:paraId="634DF728" w14:textId="496EE820">
      <w:pPr>
        <w:widowControl/>
        <w:suppressAutoHyphens/>
        <w:spacing w:line="240" w:lineRule="atLeast"/>
        <w:ind w:left="360"/>
        <w:rPr>
          <w:sz w:val="22"/>
          <w:szCs w:val="22"/>
        </w:rPr>
      </w:pPr>
      <w:r w:rsidRPr="000B45DB">
        <w:rPr>
          <w:sz w:val="22"/>
          <w:szCs w:val="22"/>
        </w:rPr>
        <w:t xml:space="preserve">The collected information is </w:t>
      </w:r>
      <w:r w:rsidRPr="000B45DB">
        <w:rPr>
          <w:sz w:val="22"/>
          <w:szCs w:val="22"/>
        </w:rPr>
        <w:t xml:space="preserve">pertinent </w:t>
      </w:r>
      <w:r w:rsidR="00200F09">
        <w:rPr>
          <w:sz w:val="22"/>
          <w:szCs w:val="22"/>
        </w:rPr>
        <w:t>and specific to</w:t>
      </w:r>
      <w:r w:rsidRPr="000B45DB">
        <w:rPr>
          <w:sz w:val="22"/>
          <w:szCs w:val="22"/>
        </w:rPr>
        <w:t xml:space="preserve"> each </w:t>
      </w:r>
      <w:r w:rsidR="000B42B0">
        <w:rPr>
          <w:sz w:val="22"/>
          <w:szCs w:val="22"/>
        </w:rPr>
        <w:t xml:space="preserve">AFP </w:t>
      </w:r>
      <w:r w:rsidRPr="000B45DB">
        <w:rPr>
          <w:sz w:val="22"/>
          <w:szCs w:val="22"/>
        </w:rPr>
        <w:t xml:space="preserve">respondent and </w:t>
      </w:r>
      <w:r w:rsidRPr="000B45DB">
        <w:rPr>
          <w:sz w:val="22"/>
          <w:szCs w:val="22"/>
        </w:rPr>
        <w:t xml:space="preserve">their alcohol fuel </w:t>
      </w:r>
      <w:r w:rsidRPr="00CF0A45">
        <w:rPr>
          <w:sz w:val="22"/>
          <w:szCs w:val="22"/>
        </w:rPr>
        <w:t xml:space="preserve">operations.  As far as </w:t>
      </w:r>
      <w:r w:rsidRPr="00CF0A45">
        <w:rPr>
          <w:sz w:val="22"/>
          <w:szCs w:val="22"/>
        </w:rPr>
        <w:t xml:space="preserve">TTB </w:t>
      </w:r>
      <w:r w:rsidRPr="00CF0A45">
        <w:rPr>
          <w:sz w:val="22"/>
          <w:szCs w:val="22"/>
        </w:rPr>
        <w:t xml:space="preserve">can determine, similar information is not available </w:t>
      </w:r>
      <w:r w:rsidRPr="00CF0A45" w:rsidR="0015070A">
        <w:rPr>
          <w:sz w:val="22"/>
          <w:szCs w:val="22"/>
        </w:rPr>
        <w:t>else</w:t>
      </w:r>
      <w:r w:rsidRPr="00CF0A45">
        <w:rPr>
          <w:sz w:val="22"/>
          <w:szCs w:val="22"/>
        </w:rPr>
        <w:t>where.</w:t>
      </w:r>
      <w:r w:rsidRPr="00CF0A45" w:rsidR="00CB2A70">
        <w:rPr>
          <w:sz w:val="22"/>
          <w:szCs w:val="22"/>
        </w:rPr>
        <w:t xml:space="preserve"> </w:t>
      </w:r>
    </w:p>
    <w:p w:rsidR="00533D2D" w:rsidRPr="000B42B0" w:rsidP="00847A70" w14:paraId="410FA1AF" w14:textId="77777777">
      <w:pPr>
        <w:widowControl/>
        <w:rPr>
          <w:sz w:val="28"/>
          <w:szCs w:val="28"/>
        </w:rPr>
      </w:pPr>
    </w:p>
    <w:p w:rsidR="008820FE" w:rsidRPr="00CF0A45" w:rsidP="00847A70" w14:paraId="0FBA7C7C" w14:textId="77777777">
      <w:pPr>
        <w:widowControl/>
        <w:suppressAutoHyphens/>
        <w:rPr>
          <w:i/>
          <w:sz w:val="22"/>
          <w:szCs w:val="22"/>
        </w:rPr>
      </w:pPr>
      <w:r w:rsidRPr="00CF0A45">
        <w:rPr>
          <w:i/>
          <w:sz w:val="22"/>
          <w:szCs w:val="22"/>
        </w:rPr>
        <w:t xml:space="preserve">5.  If this collection of information impacts small businesses or other small entities, what methods are used to minimize burden? </w:t>
      </w:r>
    </w:p>
    <w:p w:rsidR="008820FE" w:rsidRPr="00CF0A45" w:rsidP="00847A70" w14:paraId="00466696" w14:textId="77777777">
      <w:pPr>
        <w:widowControl/>
        <w:suppressAutoHyphens/>
        <w:ind w:left="480" w:hanging="480"/>
        <w:rPr>
          <w:sz w:val="22"/>
          <w:szCs w:val="22"/>
        </w:rPr>
      </w:pPr>
    </w:p>
    <w:p w:rsidR="00533D2D" w:rsidRPr="00CF0A45" w:rsidP="00847A70" w14:paraId="27DA2B30" w14:textId="77777777">
      <w:pPr>
        <w:widowControl/>
        <w:ind w:left="360"/>
        <w:rPr>
          <w:sz w:val="22"/>
          <w:szCs w:val="22"/>
        </w:rPr>
      </w:pPr>
      <w:r>
        <w:rPr>
          <w:sz w:val="22"/>
          <w:szCs w:val="22"/>
        </w:rPr>
        <w:t>TTB requires a</w:t>
      </w:r>
      <w:r w:rsidRPr="00CF0A45" w:rsidR="00AB6BE9">
        <w:rPr>
          <w:sz w:val="22"/>
          <w:szCs w:val="22"/>
        </w:rPr>
        <w:t xml:space="preserve">ll entities, regardless of size, </w:t>
      </w:r>
      <w:r>
        <w:rPr>
          <w:sz w:val="22"/>
          <w:szCs w:val="22"/>
        </w:rPr>
        <w:t xml:space="preserve">to </w:t>
      </w:r>
      <w:r w:rsidRPr="00CF0A45" w:rsidR="00CF0A45">
        <w:rPr>
          <w:sz w:val="22"/>
          <w:szCs w:val="22"/>
        </w:rPr>
        <w:t xml:space="preserve">submit or keep the required information to </w:t>
      </w:r>
      <w:r w:rsidRPr="000B42B0">
        <w:rPr>
          <w:sz w:val="22"/>
          <w:szCs w:val="22"/>
        </w:rPr>
        <w:t>ensure that the tax provisions of the IRC are appropriately applied, and to prevent and detect diversion of alcohol fuel to taxable beverage use</w:t>
      </w:r>
      <w:r>
        <w:rPr>
          <w:sz w:val="22"/>
          <w:szCs w:val="22"/>
        </w:rPr>
        <w:t xml:space="preserve">.  As such, TTB cannot waive this information collection request’s requirements </w:t>
      </w:r>
      <w:r w:rsidR="00200F09">
        <w:rPr>
          <w:sz w:val="22"/>
          <w:szCs w:val="22"/>
        </w:rPr>
        <w:t xml:space="preserve">simply because a respondent’s business is small.  However, </w:t>
      </w:r>
      <w:r w:rsidRPr="00CF0A45" w:rsidR="00CF0A45">
        <w:rPr>
          <w:sz w:val="22"/>
          <w:szCs w:val="22"/>
        </w:rPr>
        <w:t>TTB believes that the required information is the minimum necessary</w:t>
      </w:r>
      <w:r w:rsidR="00200F09">
        <w:rPr>
          <w:sz w:val="22"/>
          <w:szCs w:val="22"/>
        </w:rPr>
        <w:t>, a</w:t>
      </w:r>
      <w:r w:rsidRPr="00CF0A45" w:rsidR="00CF0A45">
        <w:rPr>
          <w:sz w:val="22"/>
          <w:szCs w:val="22"/>
        </w:rPr>
        <w:t xml:space="preserve">nd TTB notes that </w:t>
      </w:r>
      <w:r w:rsidR="00200F09">
        <w:rPr>
          <w:sz w:val="22"/>
          <w:szCs w:val="22"/>
        </w:rPr>
        <w:t xml:space="preserve">respondents compile </w:t>
      </w:r>
      <w:r w:rsidRPr="00CF0A45" w:rsidR="00CF0A45">
        <w:rPr>
          <w:sz w:val="22"/>
          <w:szCs w:val="22"/>
        </w:rPr>
        <w:t xml:space="preserve">the required annual report from usual and customary business records.  As a result, TTB believes that this </w:t>
      </w:r>
      <w:r w:rsidR="000E6B3D">
        <w:rPr>
          <w:sz w:val="22"/>
          <w:szCs w:val="22"/>
        </w:rPr>
        <w:t>collection request d</w:t>
      </w:r>
      <w:r w:rsidRPr="00CF0A45" w:rsidR="00CF0A45">
        <w:rPr>
          <w:sz w:val="22"/>
          <w:szCs w:val="22"/>
        </w:rPr>
        <w:t xml:space="preserve">oes not have a substantial impact on a significant number of small entities. </w:t>
      </w:r>
    </w:p>
    <w:p w:rsidR="002B5ED1" w:rsidRPr="00200F09" w:rsidP="00847A70" w14:paraId="77B787BC" w14:textId="77777777">
      <w:pPr>
        <w:widowControl/>
        <w:tabs>
          <w:tab w:val="left" w:pos="540"/>
        </w:tabs>
        <w:ind w:left="540" w:hanging="540"/>
        <w:rPr>
          <w:sz w:val="28"/>
          <w:szCs w:val="28"/>
        </w:rPr>
      </w:pPr>
    </w:p>
    <w:p w:rsidR="008820FE" w:rsidRPr="000B45DB" w:rsidP="00847A70" w14:paraId="56DF2178" w14:textId="77777777">
      <w:pPr>
        <w:widowControl/>
        <w:suppressAutoHyphens/>
        <w:rPr>
          <w:i/>
          <w:sz w:val="22"/>
          <w:szCs w:val="22"/>
        </w:rPr>
      </w:pPr>
      <w:r w:rsidRPr="00CF0A45">
        <w:rPr>
          <w:i/>
          <w:sz w:val="22"/>
          <w:szCs w:val="22"/>
        </w:rPr>
        <w:t>6.  What consequences</w:t>
      </w:r>
      <w:r w:rsidRPr="000B45DB">
        <w:rPr>
          <w:i/>
          <w:sz w:val="22"/>
          <w:szCs w:val="22"/>
        </w:rPr>
        <w:t xml:space="preserve"> to Federal program or policy activities and what, if any, technical or legal obstacles to reducing burden will occur if this collection is not conducted or is conducted less frequently? </w:t>
      </w:r>
    </w:p>
    <w:p w:rsidR="008820FE" w:rsidRPr="000B45DB" w:rsidP="00847A70" w14:paraId="4913E145" w14:textId="77777777">
      <w:pPr>
        <w:widowControl/>
        <w:suppressAutoHyphens/>
        <w:ind w:left="480" w:hanging="480"/>
        <w:rPr>
          <w:sz w:val="22"/>
          <w:szCs w:val="22"/>
        </w:rPr>
      </w:pPr>
    </w:p>
    <w:p w:rsidR="00200F09" w:rsidP="00150E41" w14:paraId="1AB5E464" w14:textId="1E0AAF2E">
      <w:pPr>
        <w:widowControl/>
        <w:ind w:left="360"/>
        <w:rPr>
          <w:sz w:val="22"/>
          <w:szCs w:val="22"/>
        </w:rPr>
      </w:pPr>
      <w:r>
        <w:rPr>
          <w:sz w:val="22"/>
          <w:szCs w:val="22"/>
        </w:rPr>
        <w:t>As noted above, the IRC allows AFP proprietors to withdraw alcohol fuel from their premise free of tax, and, unless denature</w:t>
      </w:r>
      <w:r w:rsidR="00215EB0">
        <w:rPr>
          <w:sz w:val="22"/>
          <w:szCs w:val="22"/>
        </w:rPr>
        <w:t>d</w:t>
      </w:r>
      <w:r>
        <w:rPr>
          <w:sz w:val="22"/>
          <w:szCs w:val="22"/>
        </w:rPr>
        <w:t xml:space="preserve"> as required, such alcohol is potable and easily diverted to taxable beverage use.  If TTB did not collect the required information, or collected it less frequently, it would not be able to protect the revenue by ensuring that the IRC provisions related to AFPs are appropriately applied and by detecting and preventing diversion of </w:t>
      </w:r>
      <w:r w:rsidR="00EE4CE8">
        <w:rPr>
          <w:sz w:val="22"/>
          <w:szCs w:val="22"/>
        </w:rPr>
        <w:t xml:space="preserve">untaxed </w:t>
      </w:r>
      <w:r>
        <w:rPr>
          <w:sz w:val="22"/>
          <w:szCs w:val="22"/>
        </w:rPr>
        <w:t xml:space="preserve">alcohol fuel to taxable beverage use. </w:t>
      </w:r>
    </w:p>
    <w:p w:rsidR="00533D2D" w:rsidRPr="00EE4CE8" w:rsidP="00847A70" w14:paraId="4F079F60" w14:textId="77777777">
      <w:pPr>
        <w:widowControl/>
        <w:tabs>
          <w:tab w:val="left" w:pos="540"/>
        </w:tabs>
        <w:ind w:left="540" w:hanging="540"/>
        <w:rPr>
          <w:sz w:val="28"/>
          <w:szCs w:val="28"/>
        </w:rPr>
      </w:pPr>
    </w:p>
    <w:p w:rsidR="002B2D2B" w:rsidRPr="000B45DB" w:rsidP="002B2D2B" w14:paraId="727A17EA" w14:textId="77777777">
      <w:pPr>
        <w:suppressAutoHyphens/>
        <w:rPr>
          <w:i/>
          <w:sz w:val="22"/>
          <w:szCs w:val="22"/>
        </w:rPr>
      </w:pPr>
      <w:r w:rsidRPr="000B45DB">
        <w:rPr>
          <w:i/>
          <w:sz w:val="22"/>
          <w:szCs w:val="22"/>
        </w:rPr>
        <w:t xml:space="preserve">7.  Are there any special circumstances associated with this information collection that would require it to be conducted in a manner inconsistent with OMB guidelines?  (See 5 CFR 1320.5(d)(2).) </w:t>
      </w:r>
    </w:p>
    <w:p w:rsidR="002B2D2B" w:rsidRPr="000B45DB" w:rsidP="002B2D2B" w14:paraId="50F45761" w14:textId="77777777">
      <w:pPr>
        <w:rPr>
          <w:sz w:val="22"/>
          <w:szCs w:val="22"/>
        </w:rPr>
      </w:pPr>
    </w:p>
    <w:p w:rsidR="002B2D2B" w:rsidRPr="000B45DB" w:rsidP="002B2D2B" w14:paraId="48C90951" w14:textId="77777777">
      <w:pPr>
        <w:ind w:left="360"/>
        <w:rPr>
          <w:sz w:val="22"/>
          <w:szCs w:val="22"/>
        </w:rPr>
      </w:pPr>
      <w:r w:rsidRPr="000B45DB">
        <w:rPr>
          <w:sz w:val="22"/>
          <w:szCs w:val="22"/>
        </w:rPr>
        <w:t xml:space="preserve">There are no special circumstances associated with this information collection </w:t>
      </w:r>
      <w:r w:rsidR="00EE4CE8">
        <w:rPr>
          <w:sz w:val="22"/>
          <w:szCs w:val="22"/>
        </w:rPr>
        <w:t xml:space="preserve">request </w:t>
      </w:r>
      <w:r w:rsidRPr="000B45DB">
        <w:rPr>
          <w:sz w:val="22"/>
          <w:szCs w:val="22"/>
        </w:rPr>
        <w:t xml:space="preserve">that would require it to be inconsistent with OMB guidelines. </w:t>
      </w:r>
    </w:p>
    <w:p w:rsidR="00533D2D" w:rsidRPr="00EE4CE8" w:rsidP="00847A70" w14:paraId="63774389" w14:textId="77777777">
      <w:pPr>
        <w:widowControl/>
        <w:tabs>
          <w:tab w:val="left" w:pos="540"/>
        </w:tabs>
        <w:ind w:left="540" w:hanging="540"/>
        <w:rPr>
          <w:sz w:val="28"/>
          <w:szCs w:val="28"/>
        </w:rPr>
      </w:pPr>
    </w:p>
    <w:p w:rsidR="008820FE" w:rsidRPr="000B45DB" w:rsidP="00847A70" w14:paraId="7166DA2C" w14:textId="77777777">
      <w:pPr>
        <w:widowControl/>
        <w:rPr>
          <w:i/>
          <w:sz w:val="22"/>
          <w:szCs w:val="22"/>
        </w:rPr>
      </w:pPr>
      <w:r w:rsidRPr="000B45DB">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8820FE" w:rsidRPr="000B45DB" w:rsidP="007F4FD0" w14:paraId="11CCD069" w14:textId="77777777">
      <w:pPr>
        <w:widowControl/>
        <w:suppressAutoHyphens/>
        <w:rPr>
          <w:sz w:val="22"/>
          <w:szCs w:val="22"/>
        </w:rPr>
      </w:pPr>
    </w:p>
    <w:p w:rsidR="007860B5" w:rsidP="00847A70" w14:paraId="7963FA86" w14:textId="2747EEDD">
      <w:pPr>
        <w:widowControl/>
        <w:ind w:left="360"/>
        <w:rPr>
          <w:sz w:val="22"/>
          <w:szCs w:val="22"/>
        </w:rPr>
      </w:pPr>
      <w:r w:rsidRPr="000B45DB">
        <w:rPr>
          <w:sz w:val="22"/>
          <w:szCs w:val="22"/>
        </w:rPr>
        <w:t xml:space="preserve">To solicit comments from the </w:t>
      </w:r>
      <w:r w:rsidRPr="000B45DB" w:rsidR="00EE4CE8">
        <w:rPr>
          <w:sz w:val="22"/>
          <w:szCs w:val="22"/>
        </w:rPr>
        <w:t>public</w:t>
      </w:r>
      <w:r w:rsidRPr="000B45DB">
        <w:rPr>
          <w:sz w:val="22"/>
          <w:szCs w:val="22"/>
        </w:rPr>
        <w:t xml:space="preserve">, TTB published a “60-day” comment request notice for this information collection </w:t>
      </w:r>
      <w:r w:rsidR="00EE4CE8">
        <w:rPr>
          <w:sz w:val="22"/>
          <w:szCs w:val="22"/>
        </w:rPr>
        <w:t xml:space="preserve">request </w:t>
      </w:r>
      <w:r w:rsidRPr="000B45DB">
        <w:rPr>
          <w:sz w:val="22"/>
          <w:szCs w:val="22"/>
        </w:rPr>
        <w:t xml:space="preserve">in the Federal Register on </w:t>
      </w:r>
      <w:r w:rsidR="00101156">
        <w:rPr>
          <w:sz w:val="22"/>
          <w:szCs w:val="22"/>
        </w:rPr>
        <w:t>November 29</w:t>
      </w:r>
      <w:r w:rsidR="00EE4CE8">
        <w:rPr>
          <w:sz w:val="22"/>
          <w:szCs w:val="22"/>
        </w:rPr>
        <w:t>, 202</w:t>
      </w:r>
      <w:r w:rsidR="00101156">
        <w:rPr>
          <w:sz w:val="22"/>
          <w:szCs w:val="22"/>
        </w:rPr>
        <w:t>4</w:t>
      </w:r>
      <w:r w:rsidR="00EE4CE8">
        <w:rPr>
          <w:sz w:val="22"/>
          <w:szCs w:val="22"/>
        </w:rPr>
        <w:t>, at 8</w:t>
      </w:r>
      <w:r w:rsidR="002C3ACA">
        <w:rPr>
          <w:sz w:val="22"/>
          <w:szCs w:val="22"/>
        </w:rPr>
        <w:t>9</w:t>
      </w:r>
      <w:r w:rsidR="00EE4CE8">
        <w:rPr>
          <w:sz w:val="22"/>
          <w:szCs w:val="22"/>
        </w:rPr>
        <w:t xml:space="preserve"> FR </w:t>
      </w:r>
      <w:r w:rsidR="002C3ACA">
        <w:rPr>
          <w:sz w:val="22"/>
          <w:szCs w:val="22"/>
        </w:rPr>
        <w:t>94871</w:t>
      </w:r>
      <w:r w:rsidR="00EE4CE8">
        <w:rPr>
          <w:sz w:val="22"/>
          <w:szCs w:val="22"/>
        </w:rPr>
        <w:t xml:space="preserve">.  </w:t>
      </w:r>
      <w:r w:rsidRPr="000B45DB">
        <w:rPr>
          <w:sz w:val="22"/>
          <w:szCs w:val="22"/>
        </w:rPr>
        <w:t>TTB received no comments</w:t>
      </w:r>
      <w:r w:rsidR="00EE4CE8">
        <w:rPr>
          <w:sz w:val="22"/>
          <w:szCs w:val="22"/>
        </w:rPr>
        <w:t xml:space="preserve"> on this collection</w:t>
      </w:r>
      <w:r w:rsidR="000E6B3D">
        <w:rPr>
          <w:sz w:val="22"/>
          <w:szCs w:val="22"/>
        </w:rPr>
        <w:t xml:space="preserve"> request</w:t>
      </w:r>
      <w:r w:rsidR="00EE4CE8">
        <w:rPr>
          <w:sz w:val="22"/>
          <w:szCs w:val="22"/>
        </w:rPr>
        <w:t xml:space="preserve"> </w:t>
      </w:r>
      <w:r w:rsidRPr="000B45DB">
        <w:rPr>
          <w:sz w:val="22"/>
          <w:szCs w:val="22"/>
        </w:rPr>
        <w:t xml:space="preserve">in response. </w:t>
      </w:r>
    </w:p>
    <w:p w:rsidR="000C541D" w:rsidRPr="000B45DB" w:rsidP="00847A70" w14:paraId="15D2E268" w14:textId="77777777">
      <w:pPr>
        <w:widowControl/>
        <w:ind w:left="360"/>
        <w:rPr>
          <w:sz w:val="22"/>
          <w:szCs w:val="22"/>
        </w:rPr>
      </w:pPr>
    </w:p>
    <w:p w:rsidR="008820FE" w:rsidRPr="000B45DB" w:rsidP="00847A70" w14:paraId="0B8ED13B" w14:textId="77777777">
      <w:pPr>
        <w:widowControl/>
        <w:suppressAutoHyphens/>
        <w:rPr>
          <w:i/>
          <w:sz w:val="22"/>
          <w:szCs w:val="22"/>
        </w:rPr>
      </w:pPr>
      <w:r w:rsidRPr="000B45DB">
        <w:rPr>
          <w:i/>
          <w:sz w:val="22"/>
          <w:szCs w:val="22"/>
        </w:rPr>
        <w:t xml:space="preserve">9.  Was any payment or gift given to respondents, other than remuneration of contractors or grantees?  If so, why? </w:t>
      </w:r>
    </w:p>
    <w:p w:rsidR="008820FE" w:rsidRPr="000B45DB" w:rsidP="00847A70" w14:paraId="00FD834D" w14:textId="77777777">
      <w:pPr>
        <w:widowControl/>
        <w:suppressAutoHyphens/>
        <w:ind w:left="360"/>
        <w:rPr>
          <w:sz w:val="22"/>
          <w:szCs w:val="22"/>
        </w:rPr>
      </w:pPr>
    </w:p>
    <w:p w:rsidR="00533D2D" w:rsidRPr="000B45DB" w:rsidP="00847A70" w14:paraId="18A2E3A9" w14:textId="77777777">
      <w:pPr>
        <w:widowControl/>
        <w:ind w:left="360"/>
        <w:rPr>
          <w:sz w:val="22"/>
          <w:szCs w:val="22"/>
        </w:rPr>
      </w:pPr>
      <w:r w:rsidRPr="000B45DB">
        <w:rPr>
          <w:sz w:val="22"/>
          <w:szCs w:val="22"/>
        </w:rPr>
        <w:t xml:space="preserve">No payment or gift is associated with this </w:t>
      </w:r>
      <w:r w:rsidRPr="000B45DB" w:rsidR="007860B5">
        <w:rPr>
          <w:sz w:val="22"/>
          <w:szCs w:val="22"/>
        </w:rPr>
        <w:t xml:space="preserve">information </w:t>
      </w:r>
      <w:r w:rsidRPr="000B45DB">
        <w:rPr>
          <w:sz w:val="22"/>
          <w:szCs w:val="22"/>
        </w:rPr>
        <w:t>collection</w:t>
      </w:r>
      <w:r w:rsidR="00EE4CE8">
        <w:rPr>
          <w:sz w:val="22"/>
          <w:szCs w:val="22"/>
        </w:rPr>
        <w:t xml:space="preserve"> request</w:t>
      </w:r>
      <w:r w:rsidRPr="000B45DB">
        <w:rPr>
          <w:sz w:val="22"/>
          <w:szCs w:val="22"/>
        </w:rPr>
        <w:t>.</w:t>
      </w:r>
      <w:r w:rsidRPr="000B45DB" w:rsidR="00CB2A70">
        <w:rPr>
          <w:sz w:val="22"/>
          <w:szCs w:val="22"/>
        </w:rPr>
        <w:t xml:space="preserve"> </w:t>
      </w:r>
    </w:p>
    <w:p w:rsidR="00533D2D" w:rsidRPr="00EE4CE8" w:rsidP="00847A70" w14:paraId="3C049733" w14:textId="77777777">
      <w:pPr>
        <w:widowControl/>
        <w:tabs>
          <w:tab w:val="left" w:pos="540"/>
        </w:tabs>
        <w:rPr>
          <w:sz w:val="28"/>
          <w:szCs w:val="28"/>
        </w:rPr>
      </w:pPr>
    </w:p>
    <w:p w:rsidR="008820FE" w:rsidRPr="000B45DB" w:rsidP="00847A70" w14:paraId="1729457A" w14:textId="77777777">
      <w:pPr>
        <w:widowControl/>
        <w:suppressAutoHyphens/>
        <w:rPr>
          <w:i/>
          <w:sz w:val="22"/>
          <w:szCs w:val="22"/>
        </w:rPr>
      </w:pPr>
      <w:r w:rsidRPr="000B45DB">
        <w:rPr>
          <w:i/>
          <w:sz w:val="22"/>
          <w:szCs w:val="22"/>
        </w:rPr>
        <w:t xml:space="preserve">10.  What assurance of confidentiality was provided to respondents, and what was the basis for the assurance in statute, regulations, or agency policy? </w:t>
      </w:r>
    </w:p>
    <w:p w:rsidR="008820FE" w:rsidRPr="000B45DB" w:rsidP="00847A70" w14:paraId="255B0F1F" w14:textId="77777777">
      <w:pPr>
        <w:widowControl/>
        <w:ind w:left="360"/>
        <w:rPr>
          <w:sz w:val="22"/>
          <w:szCs w:val="22"/>
        </w:rPr>
      </w:pPr>
    </w:p>
    <w:p w:rsidR="00533D2D" w:rsidRPr="000B45DB" w:rsidP="002B2D2B" w14:paraId="315FDBC6" w14:textId="77777777">
      <w:pPr>
        <w:widowControl/>
        <w:ind w:left="360"/>
        <w:rPr>
          <w:sz w:val="22"/>
          <w:szCs w:val="22"/>
        </w:rPr>
      </w:pPr>
      <w:r>
        <w:rPr>
          <w:sz w:val="22"/>
          <w:szCs w:val="22"/>
        </w:rPr>
        <w:t>TTB provides no sp</w:t>
      </w:r>
      <w:r w:rsidRPr="000B45DB" w:rsidR="002B2D2B">
        <w:rPr>
          <w:sz w:val="22"/>
          <w:szCs w:val="22"/>
        </w:rPr>
        <w:t>ecific assurance of confidentiality for this collection</w:t>
      </w:r>
      <w:r>
        <w:rPr>
          <w:sz w:val="22"/>
          <w:szCs w:val="22"/>
        </w:rPr>
        <w:t xml:space="preserve"> request</w:t>
      </w:r>
      <w:r w:rsidRPr="000B45DB" w:rsidR="002B2D2B">
        <w:rPr>
          <w:sz w:val="22"/>
          <w:szCs w:val="22"/>
        </w:rPr>
        <w:t xml:space="preserve">.  However, Federal law at 5 U.S.C. 552 protects the confidentiality of proprietary information obtained by the Government from regulated businesses and individuals, and 26 U.S.C. 6103 prohibits disclosure of tax returns and related information unless </w:t>
      </w:r>
      <w:r>
        <w:rPr>
          <w:sz w:val="22"/>
          <w:szCs w:val="22"/>
        </w:rPr>
        <w:t xml:space="preserve">that section </w:t>
      </w:r>
      <w:r w:rsidRPr="000B45DB" w:rsidR="002B2D2B">
        <w:rPr>
          <w:sz w:val="22"/>
          <w:szCs w:val="22"/>
        </w:rPr>
        <w:t>specifically authorize</w:t>
      </w:r>
      <w:r>
        <w:rPr>
          <w:sz w:val="22"/>
          <w:szCs w:val="22"/>
        </w:rPr>
        <w:t xml:space="preserve">s such action.  TTB maintains the reports, applications, and notices submitted to it under this collection request in secure file rooms and computer systems with controlled access, while respondents maintain the required AFP records at their premises. </w:t>
      </w:r>
    </w:p>
    <w:p w:rsidR="00533D2D" w:rsidRPr="00EE4CE8" w:rsidP="00847A70" w14:paraId="457F07A8" w14:textId="77777777">
      <w:pPr>
        <w:widowControl/>
        <w:rPr>
          <w:sz w:val="28"/>
          <w:szCs w:val="28"/>
        </w:rPr>
      </w:pPr>
    </w:p>
    <w:p w:rsidR="000112FC" w:rsidRPr="000B45DB" w:rsidP="00847A70" w14:paraId="355591DF" w14:textId="77777777">
      <w:pPr>
        <w:widowControl/>
        <w:rPr>
          <w:i/>
          <w:sz w:val="22"/>
          <w:szCs w:val="22"/>
        </w:rPr>
      </w:pPr>
      <w:r w:rsidRPr="000B45DB">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0112FC" w:rsidRPr="000B45DB" w:rsidP="007F4FD0" w14:paraId="2EC9E9AF" w14:textId="77777777">
      <w:pPr>
        <w:widowControl/>
        <w:rPr>
          <w:sz w:val="22"/>
          <w:szCs w:val="22"/>
        </w:rPr>
      </w:pPr>
    </w:p>
    <w:p w:rsidR="00215EB0" w:rsidP="00847A70" w14:paraId="7719A482" w14:textId="5180F073">
      <w:pPr>
        <w:widowControl/>
        <w:tabs>
          <w:tab w:val="left" w:pos="540"/>
        </w:tabs>
        <w:ind w:left="360"/>
        <w:rPr>
          <w:sz w:val="22"/>
          <w:szCs w:val="22"/>
        </w:rPr>
      </w:pPr>
      <w:r w:rsidRPr="00215EB0">
        <w:rPr>
          <w:sz w:val="22"/>
          <w:szCs w:val="22"/>
        </w:rPr>
        <w:t>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r>
        <w:rPr>
          <w:sz w:val="22"/>
          <w:szCs w:val="22"/>
        </w:rPr>
        <w:t xml:space="preserve"> request</w:t>
      </w:r>
      <w:r w:rsidRPr="00215EB0">
        <w:rPr>
          <w:sz w:val="22"/>
          <w:szCs w:val="22"/>
        </w:rPr>
        <w:t>.</w:t>
      </w:r>
    </w:p>
    <w:p w:rsidR="00837B67" w:rsidRPr="00D62010" w:rsidP="00847A70" w14:paraId="699C4CF4" w14:textId="77777777">
      <w:pPr>
        <w:widowControl/>
        <w:rPr>
          <w:sz w:val="28"/>
          <w:szCs w:val="28"/>
        </w:rPr>
      </w:pPr>
    </w:p>
    <w:p w:rsidR="007B31EF" w:rsidRPr="00834B73" w:rsidP="007B31EF" w14:paraId="2C411EC2" w14:textId="77777777">
      <w:pPr>
        <w:widowControl/>
        <w:adjustRightInd/>
        <w:rPr>
          <w:rFonts w:eastAsia="Calibri"/>
          <w:i/>
          <w:iCs/>
          <w:sz w:val="22"/>
          <w:szCs w:val="22"/>
        </w:rPr>
      </w:pPr>
      <w:r w:rsidRPr="00834B73">
        <w:rPr>
          <w:rFonts w:eastAsia="Calibri"/>
          <w:i/>
          <w:iCs/>
          <w:sz w:val="22"/>
          <w:szCs w:val="22"/>
        </w:rPr>
        <w:t xml:space="preserve">12.  What is the estimated hour burden of this collection of information? </w:t>
      </w:r>
    </w:p>
    <w:p w:rsidR="00AC1686" w:rsidRPr="00834B73" w:rsidP="007B31EF" w14:paraId="5945C474" w14:textId="77777777">
      <w:pPr>
        <w:widowControl/>
        <w:adjustRightInd/>
        <w:rPr>
          <w:rFonts w:eastAsia="Calibri"/>
          <w:iCs/>
          <w:sz w:val="22"/>
          <w:szCs w:val="22"/>
        </w:rPr>
      </w:pPr>
    </w:p>
    <w:p w:rsidR="00AC1686" w:rsidRPr="00D62010" w:rsidP="00AC1686" w14:paraId="648E7705" w14:textId="4E72FEB4">
      <w:pPr>
        <w:widowControl/>
        <w:adjustRightInd/>
        <w:ind w:left="360"/>
        <w:rPr>
          <w:rFonts w:eastAsia="Calibri"/>
          <w:sz w:val="22"/>
          <w:szCs w:val="22"/>
        </w:rPr>
      </w:pPr>
      <w:r w:rsidRPr="00834B73">
        <w:rPr>
          <w:sz w:val="22"/>
          <w:szCs w:val="22"/>
          <w:u w:val="single"/>
        </w:rPr>
        <w:t>Estimated</w:t>
      </w:r>
      <w:r w:rsidRPr="00D62010">
        <w:rPr>
          <w:sz w:val="22"/>
          <w:szCs w:val="22"/>
          <w:u w:val="single"/>
        </w:rPr>
        <w:t xml:space="preserve"> Respondent Burden:</w:t>
      </w:r>
      <w:r w:rsidRPr="00D62010">
        <w:rPr>
          <w:sz w:val="22"/>
          <w:szCs w:val="22"/>
        </w:rPr>
        <w:t xml:space="preserve">  </w:t>
      </w:r>
      <w:r w:rsidRPr="00D62010">
        <w:rPr>
          <w:rFonts w:eastAsia="Calibri"/>
          <w:sz w:val="22"/>
          <w:szCs w:val="22"/>
        </w:rPr>
        <w:t xml:space="preserve">Based on recent data, TTB estimates the </w:t>
      </w:r>
      <w:r w:rsidRPr="00D62010" w:rsidR="00D62010">
        <w:rPr>
          <w:rFonts w:eastAsia="Calibri"/>
          <w:sz w:val="22"/>
          <w:szCs w:val="22"/>
        </w:rPr>
        <w:t xml:space="preserve">respondent </w:t>
      </w:r>
      <w:r w:rsidRPr="00D62010">
        <w:rPr>
          <w:rFonts w:eastAsia="Calibri"/>
          <w:sz w:val="22"/>
          <w:szCs w:val="22"/>
        </w:rPr>
        <w:t xml:space="preserve">burden associated with this collection request as follows: </w:t>
      </w:r>
      <w:r w:rsidR="00462BD7">
        <w:rPr>
          <w:rFonts w:eastAsia="Calibri"/>
          <w:sz w:val="22"/>
          <w:szCs w:val="22"/>
        </w:rPr>
        <w:t xml:space="preserve"> </w:t>
      </w:r>
    </w:p>
    <w:p w:rsidR="00AC1686" w:rsidRPr="00D62010" w:rsidP="00AC1686" w14:paraId="4878F5B3" w14:textId="77777777">
      <w:pPr>
        <w:widowControl/>
        <w:adjustRightInd/>
        <w:ind w:left="360"/>
        <w:rPr>
          <w:rFonts w:eastAsia="Calibri"/>
          <w:sz w:val="22"/>
          <w:szCs w:val="22"/>
        </w:rPr>
      </w:pPr>
    </w:p>
    <w:tbl>
      <w:tblPr>
        <w:tblpPr w:leftFromText="180" w:rightFromText="180" w:vertAnchor="text" w:tblpXSpec="center"/>
        <w:tblW w:w="8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70"/>
        <w:gridCol w:w="1440"/>
        <w:gridCol w:w="1350"/>
        <w:gridCol w:w="1260"/>
        <w:gridCol w:w="1260"/>
        <w:gridCol w:w="1360"/>
      </w:tblGrid>
      <w:tr w14:paraId="1F7D3A26" w14:textId="77777777" w:rsidTr="00311016">
        <w:tblPrEx>
          <w:tblW w:w="8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576"/>
        </w:trPr>
        <w:tc>
          <w:tcPr>
            <w:tcW w:w="1970" w:type="dxa"/>
            <w:tcMar>
              <w:top w:w="0" w:type="dxa"/>
              <w:left w:w="108" w:type="dxa"/>
              <w:bottom w:w="0" w:type="dxa"/>
              <w:right w:w="108" w:type="dxa"/>
            </w:tcMar>
            <w:vAlign w:val="center"/>
          </w:tcPr>
          <w:p w:rsidR="00AC1686" w:rsidRPr="00AC1686" w:rsidP="00AC1686" w14:paraId="6376A9AB" w14:textId="77777777">
            <w:pPr>
              <w:widowControl/>
              <w:adjustRightInd/>
              <w:jc w:val="center"/>
              <w:rPr>
                <w:rFonts w:eastAsia="Calibri"/>
              </w:rPr>
            </w:pPr>
            <w:r w:rsidRPr="00AC1686">
              <w:rPr>
                <w:rFonts w:eastAsia="Calibri"/>
              </w:rPr>
              <w:t>Information Collection</w:t>
            </w:r>
          </w:p>
        </w:tc>
        <w:tc>
          <w:tcPr>
            <w:tcW w:w="1440" w:type="dxa"/>
            <w:tcMar>
              <w:top w:w="0" w:type="dxa"/>
              <w:left w:w="108" w:type="dxa"/>
              <w:bottom w:w="0" w:type="dxa"/>
              <w:right w:w="108" w:type="dxa"/>
            </w:tcMar>
            <w:vAlign w:val="center"/>
            <w:hideMark/>
          </w:tcPr>
          <w:p w:rsidR="00AC1686" w:rsidRPr="00AC1686" w:rsidP="00E57BC0" w14:paraId="5A57F690" w14:textId="77777777">
            <w:pPr>
              <w:widowControl/>
              <w:adjustRightInd/>
              <w:jc w:val="center"/>
              <w:rPr>
                <w:rFonts w:eastAsia="Calibri"/>
              </w:rPr>
            </w:pPr>
            <w:r w:rsidRPr="00AC1686">
              <w:rPr>
                <w:rFonts w:eastAsia="Calibri"/>
              </w:rPr>
              <w:t>No. of Respondents</w:t>
            </w:r>
          </w:p>
        </w:tc>
        <w:tc>
          <w:tcPr>
            <w:tcW w:w="1350" w:type="dxa"/>
            <w:tcMar>
              <w:top w:w="0" w:type="dxa"/>
              <w:left w:w="108" w:type="dxa"/>
              <w:bottom w:w="0" w:type="dxa"/>
              <w:right w:w="108" w:type="dxa"/>
            </w:tcMar>
            <w:vAlign w:val="center"/>
            <w:hideMark/>
          </w:tcPr>
          <w:p w:rsidR="00AC1686" w:rsidRPr="00AC1686" w:rsidP="00D62010" w14:paraId="7B9ACC4C" w14:textId="77777777">
            <w:pPr>
              <w:widowControl/>
              <w:adjustRightInd/>
              <w:jc w:val="center"/>
              <w:rPr>
                <w:rFonts w:eastAsia="Calibri"/>
              </w:rPr>
            </w:pPr>
            <w:r w:rsidRPr="00AC1686">
              <w:rPr>
                <w:rFonts w:eastAsia="Calibri"/>
              </w:rPr>
              <w:t>Responses</w:t>
            </w:r>
            <w:r w:rsidR="00D62010">
              <w:rPr>
                <w:rFonts w:eastAsia="Calibri"/>
              </w:rPr>
              <w:t xml:space="preserve"> /</w:t>
            </w:r>
            <w:r w:rsidRPr="00AC1686">
              <w:rPr>
                <w:rFonts w:eastAsia="Calibri"/>
              </w:rPr>
              <w:t xml:space="preserve"> Respondent</w:t>
            </w:r>
          </w:p>
        </w:tc>
        <w:tc>
          <w:tcPr>
            <w:tcW w:w="1260" w:type="dxa"/>
            <w:tcMar>
              <w:top w:w="0" w:type="dxa"/>
              <w:left w:w="108" w:type="dxa"/>
              <w:bottom w:w="0" w:type="dxa"/>
              <w:right w:w="108" w:type="dxa"/>
            </w:tcMar>
            <w:vAlign w:val="center"/>
            <w:hideMark/>
          </w:tcPr>
          <w:p w:rsidR="00AC1686" w:rsidRPr="00AC1686" w:rsidP="00AC1686" w14:paraId="7C9C8594" w14:textId="77777777">
            <w:pPr>
              <w:widowControl/>
              <w:adjustRightInd/>
              <w:jc w:val="center"/>
              <w:rPr>
                <w:rFonts w:eastAsia="Calibri"/>
              </w:rPr>
            </w:pPr>
            <w:r w:rsidRPr="00AC1686">
              <w:rPr>
                <w:rFonts w:eastAsia="Calibri"/>
              </w:rPr>
              <w:t>Annual Responses</w:t>
            </w:r>
          </w:p>
        </w:tc>
        <w:tc>
          <w:tcPr>
            <w:tcW w:w="1260" w:type="dxa"/>
            <w:tcMar>
              <w:top w:w="0" w:type="dxa"/>
              <w:left w:w="108" w:type="dxa"/>
              <w:bottom w:w="0" w:type="dxa"/>
              <w:right w:w="108" w:type="dxa"/>
            </w:tcMar>
            <w:vAlign w:val="center"/>
            <w:hideMark/>
          </w:tcPr>
          <w:p w:rsidR="00AC1686" w:rsidRPr="00AC1686" w:rsidP="00E57BC0" w14:paraId="1BBD7647" w14:textId="77777777">
            <w:pPr>
              <w:widowControl/>
              <w:adjustRightInd/>
              <w:jc w:val="center"/>
              <w:rPr>
                <w:rFonts w:eastAsia="Calibri"/>
              </w:rPr>
            </w:pPr>
            <w:r w:rsidRPr="00AC1686">
              <w:rPr>
                <w:rFonts w:eastAsia="Calibri"/>
              </w:rPr>
              <w:t>Hours Per Response</w:t>
            </w:r>
          </w:p>
        </w:tc>
        <w:tc>
          <w:tcPr>
            <w:tcW w:w="1360" w:type="dxa"/>
            <w:tcMar>
              <w:top w:w="0" w:type="dxa"/>
              <w:left w:w="108" w:type="dxa"/>
              <w:bottom w:w="0" w:type="dxa"/>
              <w:right w:w="108" w:type="dxa"/>
            </w:tcMar>
            <w:vAlign w:val="center"/>
            <w:hideMark/>
          </w:tcPr>
          <w:p w:rsidR="00AC1686" w:rsidRPr="00AC1686" w:rsidP="00E57BC0" w14:paraId="4E6F50D7" w14:textId="77777777">
            <w:pPr>
              <w:widowControl/>
              <w:adjustRightInd/>
              <w:jc w:val="center"/>
              <w:rPr>
                <w:rFonts w:eastAsia="Calibri"/>
              </w:rPr>
            </w:pPr>
            <w:r w:rsidRPr="00AC1686">
              <w:rPr>
                <w:rFonts w:eastAsia="Calibri"/>
              </w:rPr>
              <w:t>Total Burden</w:t>
            </w:r>
          </w:p>
        </w:tc>
      </w:tr>
      <w:tr w14:paraId="16FFA836" w14:textId="77777777" w:rsidTr="00311016">
        <w:tblPrEx>
          <w:tblW w:w="8640" w:type="dxa"/>
          <w:tblLayout w:type="fixed"/>
          <w:tblCellMar>
            <w:left w:w="0" w:type="dxa"/>
            <w:right w:w="0" w:type="dxa"/>
          </w:tblCellMar>
          <w:tblLook w:val="04A0"/>
        </w:tblPrEx>
        <w:trPr>
          <w:trHeight w:val="576"/>
        </w:trPr>
        <w:tc>
          <w:tcPr>
            <w:tcW w:w="1970" w:type="dxa"/>
            <w:tcMar>
              <w:top w:w="0" w:type="dxa"/>
              <w:left w:w="108" w:type="dxa"/>
              <w:bottom w:w="0" w:type="dxa"/>
              <w:right w:w="108" w:type="dxa"/>
            </w:tcMar>
            <w:vAlign w:val="center"/>
            <w:hideMark/>
          </w:tcPr>
          <w:p w:rsidR="00462BD7" w:rsidRPr="005E676A" w:rsidP="00AC1686" w14:paraId="222C88D1" w14:textId="77777777">
            <w:pPr>
              <w:widowControl/>
              <w:adjustRightInd/>
              <w:jc w:val="center"/>
              <w:rPr>
                <w:rFonts w:eastAsia="Calibri"/>
                <w:sz w:val="18"/>
                <w:szCs w:val="18"/>
              </w:rPr>
            </w:pPr>
            <w:r w:rsidRPr="005E676A">
              <w:rPr>
                <w:rFonts w:eastAsia="Calibri"/>
                <w:sz w:val="18"/>
                <w:szCs w:val="18"/>
              </w:rPr>
              <w:t xml:space="preserve">AFP Reports </w:t>
            </w:r>
          </w:p>
          <w:p w:rsidR="00462BD7" w:rsidRPr="005E676A" w:rsidP="00AC1686" w14:paraId="21897891" w14:textId="77777777">
            <w:pPr>
              <w:widowControl/>
              <w:adjustRightInd/>
              <w:jc w:val="center"/>
              <w:rPr>
                <w:rFonts w:eastAsia="Calibri"/>
                <w:sz w:val="18"/>
                <w:szCs w:val="18"/>
              </w:rPr>
            </w:pPr>
            <w:r w:rsidRPr="005E676A">
              <w:rPr>
                <w:rFonts w:eastAsia="Calibri"/>
                <w:sz w:val="18"/>
                <w:szCs w:val="18"/>
              </w:rPr>
              <w:t>(TTB F 5110.75)</w:t>
            </w:r>
          </w:p>
        </w:tc>
        <w:tc>
          <w:tcPr>
            <w:tcW w:w="1440" w:type="dxa"/>
            <w:vMerge w:val="restart"/>
            <w:tcMar>
              <w:top w:w="0" w:type="dxa"/>
              <w:left w:w="108" w:type="dxa"/>
              <w:bottom w:w="0" w:type="dxa"/>
              <w:right w:w="108" w:type="dxa"/>
            </w:tcMar>
            <w:vAlign w:val="center"/>
          </w:tcPr>
          <w:p w:rsidR="00462BD7" w:rsidRPr="00AC1686" w:rsidP="006E3B43" w14:paraId="31E326D2" w14:textId="05E2985F">
            <w:pPr>
              <w:widowControl/>
              <w:adjustRightInd/>
              <w:jc w:val="center"/>
              <w:rPr>
                <w:rFonts w:eastAsia="Calibri"/>
              </w:rPr>
            </w:pPr>
            <w:r>
              <w:rPr>
                <w:rFonts w:eastAsia="Calibri"/>
              </w:rPr>
              <w:t xml:space="preserve">300 </w:t>
            </w:r>
          </w:p>
        </w:tc>
        <w:tc>
          <w:tcPr>
            <w:tcW w:w="1350" w:type="dxa"/>
            <w:tcMar>
              <w:top w:w="0" w:type="dxa"/>
              <w:left w:w="108" w:type="dxa"/>
              <w:bottom w:w="0" w:type="dxa"/>
              <w:right w:w="108" w:type="dxa"/>
            </w:tcMar>
            <w:vAlign w:val="center"/>
          </w:tcPr>
          <w:p w:rsidR="00462BD7" w:rsidRPr="00AC1686" w:rsidP="00E57BC0" w14:paraId="72551F73" w14:textId="77777777">
            <w:pPr>
              <w:widowControl/>
              <w:adjustRightInd/>
              <w:jc w:val="center"/>
              <w:rPr>
                <w:rFonts w:eastAsia="Calibri"/>
              </w:rPr>
            </w:pPr>
            <w:r>
              <w:rPr>
                <w:rFonts w:eastAsia="Calibri"/>
              </w:rPr>
              <w:t>1</w:t>
            </w:r>
          </w:p>
        </w:tc>
        <w:tc>
          <w:tcPr>
            <w:tcW w:w="1260" w:type="dxa"/>
            <w:tcMar>
              <w:top w:w="0" w:type="dxa"/>
              <w:left w:w="108" w:type="dxa"/>
              <w:bottom w:w="0" w:type="dxa"/>
              <w:right w:w="108" w:type="dxa"/>
            </w:tcMar>
            <w:vAlign w:val="center"/>
          </w:tcPr>
          <w:p w:rsidR="00462BD7" w:rsidRPr="00AC1686" w:rsidP="00E57BC0" w14:paraId="46A484D3" w14:textId="50151701">
            <w:pPr>
              <w:widowControl/>
              <w:adjustRightInd/>
              <w:jc w:val="center"/>
              <w:rPr>
                <w:rFonts w:eastAsia="Calibri"/>
              </w:rPr>
            </w:pPr>
            <w:r>
              <w:rPr>
                <w:rFonts w:eastAsia="Calibri"/>
              </w:rPr>
              <w:t>300</w:t>
            </w:r>
          </w:p>
        </w:tc>
        <w:tc>
          <w:tcPr>
            <w:tcW w:w="1260" w:type="dxa"/>
            <w:tcMar>
              <w:top w:w="0" w:type="dxa"/>
              <w:left w:w="108" w:type="dxa"/>
              <w:bottom w:w="0" w:type="dxa"/>
              <w:right w:w="108" w:type="dxa"/>
            </w:tcMar>
            <w:vAlign w:val="center"/>
          </w:tcPr>
          <w:p w:rsidR="00462BD7" w:rsidRPr="00AC1686" w:rsidP="00E57BC0" w14:paraId="30886AD8" w14:textId="77777777">
            <w:pPr>
              <w:widowControl/>
              <w:adjustRightInd/>
              <w:jc w:val="center"/>
              <w:rPr>
                <w:rFonts w:eastAsia="Calibri"/>
              </w:rPr>
            </w:pPr>
            <w:r>
              <w:rPr>
                <w:rFonts w:eastAsia="Calibri"/>
              </w:rPr>
              <w:t>1 hour</w:t>
            </w:r>
          </w:p>
        </w:tc>
        <w:tc>
          <w:tcPr>
            <w:tcW w:w="1360" w:type="dxa"/>
            <w:tcMar>
              <w:top w:w="0" w:type="dxa"/>
              <w:left w:w="108" w:type="dxa"/>
              <w:bottom w:w="0" w:type="dxa"/>
              <w:right w:w="108" w:type="dxa"/>
            </w:tcMar>
            <w:vAlign w:val="center"/>
          </w:tcPr>
          <w:p w:rsidR="00462BD7" w:rsidRPr="00AC1686" w:rsidP="00E57BC0" w14:paraId="7C77B249" w14:textId="542057E8">
            <w:pPr>
              <w:widowControl/>
              <w:adjustRightInd/>
              <w:jc w:val="center"/>
              <w:rPr>
                <w:rFonts w:eastAsia="Calibri"/>
              </w:rPr>
            </w:pPr>
            <w:r>
              <w:rPr>
                <w:rFonts w:eastAsia="Calibri"/>
              </w:rPr>
              <w:t>300 hours</w:t>
            </w:r>
          </w:p>
        </w:tc>
      </w:tr>
      <w:tr w14:paraId="1B52B511" w14:textId="77777777" w:rsidTr="00311016">
        <w:tblPrEx>
          <w:tblW w:w="8640" w:type="dxa"/>
          <w:tblLayout w:type="fixed"/>
          <w:tblCellMar>
            <w:left w:w="0" w:type="dxa"/>
            <w:right w:w="0" w:type="dxa"/>
          </w:tblCellMar>
          <w:tblLook w:val="04A0"/>
        </w:tblPrEx>
        <w:trPr>
          <w:trHeight w:val="576"/>
        </w:trPr>
        <w:tc>
          <w:tcPr>
            <w:tcW w:w="1970" w:type="dxa"/>
            <w:tcMar>
              <w:top w:w="0" w:type="dxa"/>
              <w:left w:w="108" w:type="dxa"/>
              <w:bottom w:w="0" w:type="dxa"/>
              <w:right w:w="108" w:type="dxa"/>
            </w:tcMar>
            <w:vAlign w:val="center"/>
            <w:hideMark/>
          </w:tcPr>
          <w:p w:rsidR="00462BD7" w:rsidRPr="005E676A" w:rsidP="00AC1686" w14:paraId="68E4E5AC" w14:textId="77777777">
            <w:pPr>
              <w:widowControl/>
              <w:adjustRightInd/>
              <w:jc w:val="center"/>
              <w:rPr>
                <w:rFonts w:eastAsia="Calibri"/>
                <w:sz w:val="18"/>
                <w:szCs w:val="18"/>
              </w:rPr>
            </w:pPr>
            <w:r w:rsidRPr="005E676A">
              <w:rPr>
                <w:rFonts w:eastAsia="Calibri"/>
                <w:sz w:val="18"/>
                <w:szCs w:val="18"/>
              </w:rPr>
              <w:t xml:space="preserve">Misc. Applications, Notices, Marks, &amp; Records </w:t>
            </w:r>
          </w:p>
          <w:p w:rsidR="00462BD7" w:rsidRPr="005E676A" w:rsidP="00AC1686" w14:paraId="304BF152" w14:textId="2109A515">
            <w:pPr>
              <w:widowControl/>
              <w:adjustRightInd/>
              <w:jc w:val="center"/>
              <w:rPr>
                <w:rFonts w:eastAsia="Calibri"/>
                <w:sz w:val="18"/>
                <w:szCs w:val="18"/>
              </w:rPr>
            </w:pPr>
            <w:r w:rsidRPr="005E676A">
              <w:rPr>
                <w:rFonts w:eastAsia="Calibri"/>
                <w:sz w:val="18"/>
                <w:szCs w:val="18"/>
              </w:rPr>
              <w:t>(TTB REC 5110/10)</w:t>
            </w:r>
            <w:r w:rsidRPr="005E676A">
              <w:rPr>
                <w:rFonts w:eastAsia="Calibri"/>
                <w:sz w:val="22"/>
                <w:szCs w:val="22"/>
              </w:rPr>
              <w:t>*</w:t>
            </w:r>
          </w:p>
        </w:tc>
        <w:tc>
          <w:tcPr>
            <w:tcW w:w="1440" w:type="dxa"/>
            <w:vMerge/>
            <w:tcMar>
              <w:top w:w="0" w:type="dxa"/>
              <w:left w:w="108" w:type="dxa"/>
              <w:bottom w:w="0" w:type="dxa"/>
              <w:right w:w="108" w:type="dxa"/>
            </w:tcMar>
            <w:vAlign w:val="center"/>
          </w:tcPr>
          <w:p w:rsidR="00462BD7" w:rsidRPr="00AC1686" w:rsidP="00E57BC0" w14:paraId="6C75979A" w14:textId="2E2E6217">
            <w:pPr>
              <w:widowControl/>
              <w:adjustRightInd/>
              <w:jc w:val="center"/>
              <w:rPr>
                <w:rFonts w:eastAsia="Calibri"/>
              </w:rPr>
            </w:pPr>
          </w:p>
        </w:tc>
        <w:tc>
          <w:tcPr>
            <w:tcW w:w="1350" w:type="dxa"/>
            <w:tcMar>
              <w:top w:w="0" w:type="dxa"/>
              <w:left w:w="108" w:type="dxa"/>
              <w:bottom w:w="0" w:type="dxa"/>
              <w:right w:w="108" w:type="dxa"/>
            </w:tcMar>
            <w:vAlign w:val="center"/>
          </w:tcPr>
          <w:p w:rsidR="00462BD7" w:rsidRPr="00AC1686" w:rsidP="00E57BC0" w14:paraId="7645CD5A" w14:textId="77777777">
            <w:pPr>
              <w:widowControl/>
              <w:adjustRightInd/>
              <w:jc w:val="center"/>
              <w:rPr>
                <w:rFonts w:eastAsia="Calibri"/>
              </w:rPr>
            </w:pPr>
            <w:r>
              <w:rPr>
                <w:rFonts w:eastAsia="Calibri"/>
              </w:rPr>
              <w:t>1</w:t>
            </w:r>
          </w:p>
        </w:tc>
        <w:tc>
          <w:tcPr>
            <w:tcW w:w="1260" w:type="dxa"/>
            <w:tcMar>
              <w:top w:w="0" w:type="dxa"/>
              <w:left w:w="108" w:type="dxa"/>
              <w:bottom w:w="0" w:type="dxa"/>
              <w:right w:w="108" w:type="dxa"/>
            </w:tcMar>
            <w:vAlign w:val="center"/>
          </w:tcPr>
          <w:p w:rsidR="00462BD7" w:rsidRPr="00AC1686" w:rsidP="00E57BC0" w14:paraId="6EE3F0CD" w14:textId="6CF4CC63">
            <w:pPr>
              <w:widowControl/>
              <w:adjustRightInd/>
              <w:jc w:val="center"/>
              <w:rPr>
                <w:rFonts w:eastAsia="Calibri"/>
              </w:rPr>
            </w:pPr>
            <w:r>
              <w:rPr>
                <w:rFonts w:eastAsia="Calibri"/>
              </w:rPr>
              <w:t>300</w:t>
            </w:r>
          </w:p>
        </w:tc>
        <w:tc>
          <w:tcPr>
            <w:tcW w:w="1260" w:type="dxa"/>
            <w:tcMar>
              <w:top w:w="0" w:type="dxa"/>
              <w:left w:w="108" w:type="dxa"/>
              <w:bottom w:w="0" w:type="dxa"/>
              <w:right w:w="108" w:type="dxa"/>
            </w:tcMar>
            <w:vAlign w:val="center"/>
          </w:tcPr>
          <w:p w:rsidR="00462BD7" w:rsidRPr="00AC1686" w:rsidP="00D62010" w14:paraId="3999D319" w14:textId="77777777">
            <w:pPr>
              <w:widowControl/>
              <w:adjustRightInd/>
              <w:jc w:val="center"/>
              <w:rPr>
                <w:rFonts w:eastAsia="Calibri"/>
              </w:rPr>
            </w:pPr>
            <w:r>
              <w:rPr>
                <w:rFonts w:eastAsia="Calibri"/>
              </w:rPr>
              <w:t>1 hour</w:t>
            </w:r>
          </w:p>
        </w:tc>
        <w:tc>
          <w:tcPr>
            <w:tcW w:w="1360" w:type="dxa"/>
            <w:tcMar>
              <w:top w:w="0" w:type="dxa"/>
              <w:left w:w="108" w:type="dxa"/>
              <w:bottom w:w="0" w:type="dxa"/>
              <w:right w:w="108" w:type="dxa"/>
            </w:tcMar>
            <w:vAlign w:val="center"/>
          </w:tcPr>
          <w:p w:rsidR="00462BD7" w:rsidRPr="00AC1686" w:rsidP="00E57BC0" w14:paraId="5D442BD7" w14:textId="0651DB2B">
            <w:pPr>
              <w:widowControl/>
              <w:adjustRightInd/>
              <w:jc w:val="center"/>
              <w:rPr>
                <w:rFonts w:eastAsia="Calibri"/>
              </w:rPr>
            </w:pPr>
            <w:r>
              <w:rPr>
                <w:rFonts w:eastAsia="Calibri"/>
              </w:rPr>
              <w:t>300 hours</w:t>
            </w:r>
          </w:p>
        </w:tc>
      </w:tr>
      <w:tr w14:paraId="77B18606" w14:textId="77777777" w:rsidTr="00311016">
        <w:tblPrEx>
          <w:tblW w:w="8640" w:type="dxa"/>
          <w:tblLayout w:type="fixed"/>
          <w:tblCellMar>
            <w:left w:w="0" w:type="dxa"/>
            <w:right w:w="0" w:type="dxa"/>
          </w:tblCellMar>
          <w:tblLook w:val="04A0"/>
        </w:tblPrEx>
        <w:trPr>
          <w:trHeight w:val="576"/>
        </w:trPr>
        <w:tc>
          <w:tcPr>
            <w:tcW w:w="1970" w:type="dxa"/>
            <w:tcMar>
              <w:top w:w="0" w:type="dxa"/>
              <w:left w:w="108" w:type="dxa"/>
              <w:bottom w:w="0" w:type="dxa"/>
              <w:right w:w="108" w:type="dxa"/>
            </w:tcMar>
            <w:vAlign w:val="center"/>
          </w:tcPr>
          <w:p w:rsidR="00AC1686" w:rsidRPr="00AC1686" w:rsidP="00AC1686" w14:paraId="4EF91E79" w14:textId="77777777">
            <w:pPr>
              <w:widowControl/>
              <w:adjustRightInd/>
              <w:jc w:val="center"/>
              <w:rPr>
                <w:rFonts w:eastAsia="Calibri"/>
                <w:b/>
              </w:rPr>
            </w:pPr>
            <w:r w:rsidRPr="00AC1686">
              <w:rPr>
                <w:rFonts w:eastAsia="Calibri"/>
                <w:b/>
              </w:rPr>
              <w:t>TOTALS</w:t>
            </w:r>
          </w:p>
        </w:tc>
        <w:tc>
          <w:tcPr>
            <w:tcW w:w="1440" w:type="dxa"/>
            <w:tcMar>
              <w:top w:w="0" w:type="dxa"/>
              <w:left w:w="108" w:type="dxa"/>
              <w:bottom w:w="0" w:type="dxa"/>
              <w:right w:w="108" w:type="dxa"/>
            </w:tcMar>
            <w:vAlign w:val="center"/>
          </w:tcPr>
          <w:p w:rsidR="00AC1686" w:rsidRPr="00AC1686" w:rsidP="00E57BC0" w14:paraId="4612E4DE" w14:textId="60026315">
            <w:pPr>
              <w:widowControl/>
              <w:adjustRightInd/>
              <w:jc w:val="center"/>
              <w:rPr>
                <w:rFonts w:eastAsia="Calibri"/>
                <w:b/>
              </w:rPr>
            </w:pPr>
            <w:r>
              <w:rPr>
                <w:rFonts w:eastAsia="Calibri"/>
                <w:b/>
              </w:rPr>
              <w:t>3</w:t>
            </w:r>
            <w:r w:rsidR="00462BD7">
              <w:rPr>
                <w:rFonts w:eastAsia="Calibri"/>
                <w:b/>
              </w:rPr>
              <w:t>00</w:t>
            </w:r>
          </w:p>
        </w:tc>
        <w:tc>
          <w:tcPr>
            <w:tcW w:w="1350" w:type="dxa"/>
            <w:tcMar>
              <w:top w:w="0" w:type="dxa"/>
              <w:left w:w="108" w:type="dxa"/>
              <w:bottom w:w="0" w:type="dxa"/>
              <w:right w:w="108" w:type="dxa"/>
            </w:tcMar>
            <w:vAlign w:val="center"/>
          </w:tcPr>
          <w:p w:rsidR="00AC1686" w:rsidRPr="00AC1686" w:rsidP="00E57BC0" w14:paraId="5DE2FB7A" w14:textId="56A0066D">
            <w:pPr>
              <w:widowControl/>
              <w:adjustRightInd/>
              <w:jc w:val="center"/>
              <w:rPr>
                <w:rFonts w:eastAsia="Calibri"/>
                <w:b/>
              </w:rPr>
            </w:pPr>
            <w:r>
              <w:rPr>
                <w:rFonts w:eastAsia="Calibri"/>
                <w:b/>
              </w:rPr>
              <w:t>2</w:t>
            </w:r>
          </w:p>
        </w:tc>
        <w:tc>
          <w:tcPr>
            <w:tcW w:w="1260" w:type="dxa"/>
            <w:tcMar>
              <w:top w:w="0" w:type="dxa"/>
              <w:left w:w="108" w:type="dxa"/>
              <w:bottom w:w="0" w:type="dxa"/>
              <w:right w:w="108" w:type="dxa"/>
            </w:tcMar>
            <w:vAlign w:val="center"/>
          </w:tcPr>
          <w:p w:rsidR="00AC1686" w:rsidRPr="00AC1686" w:rsidP="00E57BC0" w14:paraId="67D66790" w14:textId="0D51B500">
            <w:pPr>
              <w:widowControl/>
              <w:adjustRightInd/>
              <w:jc w:val="center"/>
              <w:rPr>
                <w:rFonts w:eastAsia="Calibri"/>
                <w:b/>
              </w:rPr>
            </w:pPr>
            <w:r>
              <w:rPr>
                <w:rFonts w:eastAsia="Calibri"/>
                <w:b/>
              </w:rPr>
              <w:t>600</w:t>
            </w:r>
          </w:p>
        </w:tc>
        <w:tc>
          <w:tcPr>
            <w:tcW w:w="1260" w:type="dxa"/>
            <w:tcMar>
              <w:top w:w="0" w:type="dxa"/>
              <w:left w:w="108" w:type="dxa"/>
              <w:bottom w:w="0" w:type="dxa"/>
              <w:right w:w="108" w:type="dxa"/>
            </w:tcMar>
            <w:vAlign w:val="center"/>
          </w:tcPr>
          <w:p w:rsidR="00AC1686" w:rsidRPr="00AC1686" w:rsidP="00E57BC0" w14:paraId="274FDCE6" w14:textId="07806862">
            <w:pPr>
              <w:widowControl/>
              <w:adjustRightInd/>
              <w:jc w:val="center"/>
              <w:rPr>
                <w:rFonts w:eastAsia="Calibri"/>
                <w:b/>
              </w:rPr>
            </w:pPr>
            <w:r>
              <w:rPr>
                <w:rFonts w:eastAsia="Calibri"/>
                <w:b/>
              </w:rPr>
              <w:t>1</w:t>
            </w:r>
            <w:r w:rsidR="00D62010">
              <w:rPr>
                <w:rFonts w:eastAsia="Calibri"/>
                <w:b/>
              </w:rPr>
              <w:t xml:space="preserve"> hou</w:t>
            </w:r>
            <w:r>
              <w:rPr>
                <w:rFonts w:eastAsia="Calibri"/>
                <w:b/>
              </w:rPr>
              <w:t>r</w:t>
            </w:r>
          </w:p>
        </w:tc>
        <w:tc>
          <w:tcPr>
            <w:tcW w:w="1360" w:type="dxa"/>
            <w:tcMar>
              <w:top w:w="0" w:type="dxa"/>
              <w:left w:w="108" w:type="dxa"/>
              <w:bottom w:w="0" w:type="dxa"/>
              <w:right w:w="108" w:type="dxa"/>
            </w:tcMar>
            <w:vAlign w:val="center"/>
          </w:tcPr>
          <w:p w:rsidR="00AC1686" w:rsidRPr="00AC1686" w:rsidP="00E57BC0" w14:paraId="3DDA3860" w14:textId="762C3588">
            <w:pPr>
              <w:widowControl/>
              <w:adjustRightInd/>
              <w:jc w:val="center"/>
              <w:rPr>
                <w:rFonts w:eastAsia="Calibri"/>
                <w:b/>
              </w:rPr>
            </w:pPr>
            <w:r>
              <w:rPr>
                <w:rFonts w:eastAsia="Calibri"/>
                <w:b/>
              </w:rPr>
              <w:t xml:space="preserve">600 </w:t>
            </w:r>
            <w:r w:rsidR="00311016">
              <w:rPr>
                <w:rFonts w:eastAsia="Calibri"/>
                <w:b/>
              </w:rPr>
              <w:t>hours</w:t>
            </w:r>
          </w:p>
        </w:tc>
      </w:tr>
    </w:tbl>
    <w:p w:rsidR="00AC1686" w:rsidRPr="00F07019" w:rsidP="00AC1686" w14:paraId="706F9B7F" w14:textId="77777777">
      <w:pPr>
        <w:widowControl/>
        <w:adjustRightInd/>
        <w:ind w:left="360"/>
        <w:rPr>
          <w:rFonts w:eastAsia="Calibri"/>
          <w:sz w:val="12"/>
          <w:szCs w:val="12"/>
        </w:rPr>
      </w:pPr>
    </w:p>
    <w:p w:rsidR="00AC1686" w:rsidRPr="00462BD7" w:rsidP="00F07019" w14:paraId="04AD5924" w14:textId="532B9FA3">
      <w:pPr>
        <w:widowControl/>
        <w:adjustRightInd/>
        <w:ind w:left="360"/>
        <w:rPr>
          <w:rFonts w:eastAsia="Calibri"/>
          <w:sz w:val="18"/>
          <w:szCs w:val="18"/>
        </w:rPr>
      </w:pPr>
      <w:r w:rsidRPr="00462BD7">
        <w:rPr>
          <w:rFonts w:eastAsia="Calibri"/>
          <w:sz w:val="22"/>
          <w:szCs w:val="22"/>
        </w:rPr>
        <w:t xml:space="preserve">* </w:t>
      </w:r>
      <w:r w:rsidRPr="00462BD7" w:rsidR="00462BD7">
        <w:rPr>
          <w:rFonts w:eastAsia="Calibri"/>
          <w:sz w:val="18"/>
          <w:szCs w:val="18"/>
        </w:rPr>
        <w:t>TTB estimates that the 300 respondents will submit one miscellaneous letterhead application or notice annually</w:t>
      </w:r>
      <w:r w:rsidR="00311016">
        <w:rPr>
          <w:rFonts w:eastAsia="Calibri"/>
          <w:sz w:val="18"/>
          <w:szCs w:val="18"/>
        </w:rPr>
        <w:t xml:space="preserve"> at a burden of 1 hour per response</w:t>
      </w:r>
      <w:r w:rsidRPr="00462BD7" w:rsidR="00462BD7">
        <w:rPr>
          <w:rFonts w:eastAsia="Calibri"/>
          <w:sz w:val="18"/>
          <w:szCs w:val="18"/>
        </w:rPr>
        <w:t xml:space="preserve">.  </w:t>
      </w:r>
      <w:r w:rsidRPr="00462BD7" w:rsidR="00F07019">
        <w:rPr>
          <w:rFonts w:eastAsia="Calibri"/>
          <w:sz w:val="18"/>
          <w:szCs w:val="18"/>
        </w:rPr>
        <w:t xml:space="preserve">However, </w:t>
      </w:r>
      <w:r w:rsidRPr="00462BD7" w:rsidR="00AF07F1">
        <w:rPr>
          <w:rFonts w:eastAsia="Calibri"/>
          <w:sz w:val="18"/>
          <w:szCs w:val="18"/>
        </w:rPr>
        <w:t xml:space="preserve">TTB notes </w:t>
      </w:r>
      <w:r w:rsidRPr="00462BD7" w:rsidR="001F37CA">
        <w:rPr>
          <w:rFonts w:eastAsia="Calibri"/>
          <w:sz w:val="18"/>
          <w:szCs w:val="18"/>
        </w:rPr>
        <w:t xml:space="preserve">the </w:t>
      </w:r>
      <w:r w:rsidRPr="00462BD7" w:rsidR="00AF07F1">
        <w:rPr>
          <w:rFonts w:eastAsia="Calibri"/>
          <w:sz w:val="18"/>
          <w:szCs w:val="18"/>
        </w:rPr>
        <w:t xml:space="preserve">keeping </w:t>
      </w:r>
      <w:r w:rsidRPr="00462BD7" w:rsidR="001F37CA">
        <w:rPr>
          <w:rFonts w:eastAsia="Calibri"/>
          <w:sz w:val="18"/>
          <w:szCs w:val="18"/>
        </w:rPr>
        <w:t xml:space="preserve">of </w:t>
      </w:r>
      <w:r w:rsidRPr="00462BD7" w:rsidR="00AF07F1">
        <w:rPr>
          <w:rFonts w:eastAsia="Calibri"/>
          <w:sz w:val="18"/>
          <w:szCs w:val="18"/>
        </w:rPr>
        <w:t xml:space="preserve">the </w:t>
      </w:r>
      <w:r w:rsidRPr="00462BD7" w:rsidR="001F37CA">
        <w:rPr>
          <w:rFonts w:eastAsia="Calibri"/>
          <w:sz w:val="18"/>
          <w:szCs w:val="18"/>
        </w:rPr>
        <w:t xml:space="preserve">inventory, </w:t>
      </w:r>
      <w:r w:rsidRPr="00462BD7" w:rsidR="00AF07F1">
        <w:rPr>
          <w:rFonts w:eastAsia="Calibri"/>
          <w:sz w:val="18"/>
          <w:szCs w:val="18"/>
        </w:rPr>
        <w:t>production, removal</w:t>
      </w:r>
      <w:r w:rsidRPr="00462BD7" w:rsidR="00F07019">
        <w:rPr>
          <w:rFonts w:eastAsia="Calibri"/>
          <w:sz w:val="18"/>
          <w:szCs w:val="18"/>
        </w:rPr>
        <w:t xml:space="preserve">, </w:t>
      </w:r>
      <w:r w:rsidRPr="00462BD7" w:rsidR="00AF07F1">
        <w:rPr>
          <w:rFonts w:eastAsia="Calibri"/>
          <w:sz w:val="18"/>
          <w:szCs w:val="18"/>
        </w:rPr>
        <w:t>and other records</w:t>
      </w:r>
      <w:r w:rsidR="00311016">
        <w:rPr>
          <w:rFonts w:eastAsia="Calibri"/>
          <w:sz w:val="18"/>
          <w:szCs w:val="18"/>
        </w:rPr>
        <w:t xml:space="preserve">, and </w:t>
      </w:r>
      <w:r w:rsidRPr="00462BD7" w:rsidR="001F37CA">
        <w:rPr>
          <w:rFonts w:eastAsia="Calibri"/>
          <w:sz w:val="18"/>
          <w:szCs w:val="18"/>
        </w:rPr>
        <w:t xml:space="preserve">the </w:t>
      </w:r>
      <w:r w:rsidRPr="00462BD7" w:rsidR="00F07019">
        <w:rPr>
          <w:rFonts w:eastAsia="Calibri"/>
          <w:sz w:val="18"/>
          <w:szCs w:val="18"/>
        </w:rPr>
        <w:t xml:space="preserve">placement of </w:t>
      </w:r>
      <w:r w:rsidRPr="00462BD7" w:rsidR="00AF07F1">
        <w:rPr>
          <w:rFonts w:eastAsia="Calibri"/>
          <w:sz w:val="18"/>
          <w:szCs w:val="18"/>
        </w:rPr>
        <w:t xml:space="preserve">the required </w:t>
      </w:r>
      <w:r w:rsidRPr="00462BD7" w:rsidR="001F37CA">
        <w:rPr>
          <w:rFonts w:eastAsia="Calibri"/>
          <w:sz w:val="18"/>
          <w:szCs w:val="18"/>
        </w:rPr>
        <w:t xml:space="preserve">content and </w:t>
      </w:r>
      <w:r w:rsidR="002D195F">
        <w:rPr>
          <w:rFonts w:eastAsia="Calibri"/>
          <w:sz w:val="18"/>
          <w:szCs w:val="18"/>
        </w:rPr>
        <w:t xml:space="preserve">poison </w:t>
      </w:r>
      <w:r w:rsidR="006E3B43">
        <w:rPr>
          <w:rFonts w:eastAsia="Calibri"/>
          <w:sz w:val="18"/>
          <w:szCs w:val="18"/>
        </w:rPr>
        <w:t xml:space="preserve">warning </w:t>
      </w:r>
      <w:r w:rsidRPr="00462BD7" w:rsidR="00AF07F1">
        <w:rPr>
          <w:rFonts w:eastAsia="Calibri"/>
          <w:sz w:val="18"/>
          <w:szCs w:val="18"/>
        </w:rPr>
        <w:t>marks on alcohol fuel containers</w:t>
      </w:r>
      <w:r w:rsidR="006E3B43">
        <w:rPr>
          <w:rFonts w:eastAsia="Calibri"/>
          <w:sz w:val="18"/>
          <w:szCs w:val="18"/>
        </w:rPr>
        <w:t>,</w:t>
      </w:r>
      <w:r w:rsidRPr="00462BD7" w:rsidR="00AF07F1">
        <w:rPr>
          <w:rFonts w:eastAsia="Calibri"/>
          <w:sz w:val="18"/>
          <w:szCs w:val="18"/>
        </w:rPr>
        <w:t xml:space="preserve"> are usual and customary practices</w:t>
      </w:r>
      <w:r w:rsidRPr="00462BD7" w:rsidR="00F07019">
        <w:rPr>
          <w:rFonts w:eastAsia="Calibri"/>
          <w:sz w:val="18"/>
          <w:szCs w:val="18"/>
        </w:rPr>
        <w:t xml:space="preserve"> undertaken by AFP proprietors during the normal course of business</w:t>
      </w:r>
      <w:r w:rsidRPr="00462BD7" w:rsidR="001F37CA">
        <w:rPr>
          <w:rFonts w:eastAsia="Calibri"/>
          <w:sz w:val="18"/>
          <w:szCs w:val="18"/>
        </w:rPr>
        <w:t xml:space="preserve">.  </w:t>
      </w:r>
      <w:r w:rsidRPr="00462BD7" w:rsidR="00F07019">
        <w:rPr>
          <w:rFonts w:eastAsia="Calibri"/>
          <w:sz w:val="18"/>
          <w:szCs w:val="18"/>
        </w:rPr>
        <w:t>Under the OMB regulations at 5 CFR 1320(b)(2), such usual and customary practices</w:t>
      </w:r>
      <w:r w:rsidRPr="00462BD7" w:rsidR="001F37CA">
        <w:rPr>
          <w:rFonts w:eastAsia="Calibri"/>
          <w:sz w:val="18"/>
          <w:szCs w:val="18"/>
        </w:rPr>
        <w:t xml:space="preserve">, undertaken by respondents regardless of any regulatory requirement to do so, </w:t>
      </w:r>
      <w:r w:rsidRPr="00462BD7" w:rsidR="00F07019">
        <w:rPr>
          <w:rFonts w:eastAsia="Calibri"/>
          <w:sz w:val="18"/>
          <w:szCs w:val="18"/>
        </w:rPr>
        <w:t xml:space="preserve">do not impose any burden on respondents as defined by the Paperwork Reduction Act. </w:t>
      </w:r>
    </w:p>
    <w:p w:rsidR="001F7AF2" w:rsidRPr="00834B73" w:rsidP="001F37CA" w14:paraId="09417341" w14:textId="77777777">
      <w:pPr>
        <w:ind w:left="360"/>
        <w:rPr>
          <w:sz w:val="22"/>
          <w:szCs w:val="22"/>
          <w:u w:val="single"/>
        </w:rPr>
      </w:pPr>
    </w:p>
    <w:p w:rsidR="001F37CA" w:rsidRPr="00834B73" w:rsidP="001F37CA" w14:paraId="2EEF286E" w14:textId="77777777">
      <w:pPr>
        <w:ind w:left="360"/>
        <w:rPr>
          <w:sz w:val="22"/>
          <w:szCs w:val="22"/>
        </w:rPr>
      </w:pPr>
      <w:r w:rsidRPr="00834B73">
        <w:rPr>
          <w:sz w:val="22"/>
          <w:szCs w:val="22"/>
          <w:u w:val="single"/>
        </w:rPr>
        <w:t>Estimated Respondent Labor Costs:</w:t>
      </w:r>
      <w:r w:rsidRPr="00834B73">
        <w:rPr>
          <w:sz w:val="22"/>
          <w:szCs w:val="22"/>
        </w:rPr>
        <w:t xml:space="preserve">  TTB estimates the annual per-respondent and total respondent labor costs for this information collection </w:t>
      </w:r>
      <w:r w:rsidR="000E6B3D">
        <w:rPr>
          <w:sz w:val="22"/>
          <w:szCs w:val="22"/>
        </w:rPr>
        <w:t xml:space="preserve">request </w:t>
      </w:r>
      <w:r w:rsidRPr="00834B73">
        <w:rPr>
          <w:sz w:val="22"/>
          <w:szCs w:val="22"/>
        </w:rPr>
        <w:t xml:space="preserve">as follows: </w:t>
      </w:r>
    </w:p>
    <w:p w:rsidR="00C15FBD" w:rsidRPr="00834B73" w:rsidP="001F37CA" w14:paraId="27EED70F" w14:textId="77777777">
      <w:pPr>
        <w:ind w:left="360"/>
        <w:rPr>
          <w:sz w:val="22"/>
          <w:szCs w:val="22"/>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4"/>
        <w:gridCol w:w="900"/>
        <w:gridCol w:w="1080"/>
        <w:gridCol w:w="1080"/>
        <w:gridCol w:w="1350"/>
        <w:gridCol w:w="1170"/>
        <w:gridCol w:w="1404"/>
      </w:tblGrid>
      <w:tr w14:paraId="592926DA" w14:textId="77777777" w:rsidTr="00E57BC0">
        <w:tblPrEx>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55"/>
          <w:jc w:val="center"/>
        </w:trPr>
        <w:tc>
          <w:tcPr>
            <w:tcW w:w="8928" w:type="dxa"/>
            <w:gridSpan w:val="7"/>
            <w:shd w:val="clear" w:color="auto" w:fill="auto"/>
            <w:vAlign w:val="center"/>
          </w:tcPr>
          <w:p w:rsidR="001F7AF2" w:rsidRPr="00E57BC0" w:rsidP="00E57BC0" w14:paraId="10BD1EC9" w14:textId="77777777">
            <w:pPr>
              <w:suppressAutoHyphens/>
              <w:jc w:val="center"/>
              <w:rPr>
                <w:b/>
                <w:sz w:val="18"/>
                <w:szCs w:val="18"/>
              </w:rPr>
            </w:pPr>
            <w:r w:rsidRPr="00E57BC0">
              <w:rPr>
                <w:b/>
                <w:sz w:val="18"/>
                <w:szCs w:val="18"/>
              </w:rPr>
              <w:t xml:space="preserve">NAICS 3250A1 – Chemical Manufacturing (3251, 3252, 3253, and 3259 Only); </w:t>
            </w:r>
          </w:p>
          <w:p w:rsidR="001F7AF2" w:rsidRPr="00E57BC0" w:rsidP="00E57BC0" w14:paraId="4252D1AC" w14:textId="79532140">
            <w:pPr>
              <w:suppressAutoHyphens/>
              <w:jc w:val="center"/>
              <w:rPr>
                <w:b/>
                <w:sz w:val="18"/>
                <w:szCs w:val="18"/>
              </w:rPr>
            </w:pPr>
            <w:r w:rsidRPr="00E57BC0">
              <w:rPr>
                <w:b/>
                <w:sz w:val="18"/>
                <w:szCs w:val="18"/>
              </w:rPr>
              <w:t xml:space="preserve">NAICS 325100 – Basic Chemical Manufacturing, </w:t>
            </w:r>
          </w:p>
          <w:p w:rsidR="001F7AF2" w:rsidRPr="00E57BC0" w:rsidP="00E57BC0" w14:paraId="7E42865A" w14:textId="4BA9D991">
            <w:pPr>
              <w:suppressAutoHyphens/>
              <w:jc w:val="center"/>
              <w:rPr>
                <w:b/>
                <w:sz w:val="18"/>
                <w:szCs w:val="18"/>
              </w:rPr>
            </w:pPr>
            <w:r w:rsidRPr="00E57BC0">
              <w:rPr>
                <w:b/>
                <w:sz w:val="18"/>
                <w:szCs w:val="18"/>
              </w:rPr>
              <w:t>Office &amp; Administrative Support Occupations – Fully-loaded Labor Rate = $</w:t>
            </w:r>
            <w:r w:rsidR="00544A3B">
              <w:rPr>
                <w:b/>
                <w:sz w:val="18"/>
                <w:szCs w:val="18"/>
              </w:rPr>
              <w:t>40.55</w:t>
            </w:r>
            <w:r>
              <w:rPr>
                <w:rStyle w:val="FootnoteReference"/>
                <w:b/>
                <w:sz w:val="18"/>
                <w:szCs w:val="18"/>
              </w:rPr>
              <w:footnoteReference w:id="2"/>
            </w:r>
          </w:p>
        </w:tc>
      </w:tr>
      <w:tr w14:paraId="0BBE8DF0" w14:textId="77777777" w:rsidTr="00E57BC0">
        <w:tblPrEx>
          <w:tblW w:w="8928" w:type="dxa"/>
          <w:jc w:val="center"/>
          <w:tblLayout w:type="fixed"/>
          <w:tblLook w:val="04A0"/>
        </w:tblPrEx>
        <w:trPr>
          <w:trHeight w:val="576"/>
          <w:jc w:val="center"/>
        </w:trPr>
        <w:tc>
          <w:tcPr>
            <w:tcW w:w="1944" w:type="dxa"/>
            <w:shd w:val="clear" w:color="auto" w:fill="auto"/>
            <w:tcMar>
              <w:left w:w="29" w:type="dxa"/>
              <w:right w:w="29" w:type="dxa"/>
            </w:tcMar>
            <w:vAlign w:val="center"/>
          </w:tcPr>
          <w:p w:rsidR="001F7AF2" w:rsidRPr="00E57BC0" w:rsidP="00E57BC0" w14:paraId="1AC4524A" w14:textId="77777777">
            <w:pPr>
              <w:suppressAutoHyphens/>
              <w:jc w:val="center"/>
              <w:rPr>
                <w:sz w:val="18"/>
                <w:szCs w:val="18"/>
              </w:rPr>
            </w:pPr>
            <w:r w:rsidRPr="00E57BC0">
              <w:rPr>
                <w:sz w:val="18"/>
                <w:szCs w:val="18"/>
              </w:rPr>
              <w:t>Information Collection</w:t>
            </w:r>
          </w:p>
        </w:tc>
        <w:tc>
          <w:tcPr>
            <w:tcW w:w="900" w:type="dxa"/>
            <w:shd w:val="clear" w:color="auto" w:fill="auto"/>
            <w:tcMar>
              <w:left w:w="29" w:type="dxa"/>
              <w:right w:w="29" w:type="dxa"/>
            </w:tcMar>
            <w:vAlign w:val="center"/>
          </w:tcPr>
          <w:p w:rsidR="001F7AF2" w:rsidRPr="00E57BC0" w:rsidP="00E57BC0" w14:paraId="7895933B" w14:textId="77777777">
            <w:pPr>
              <w:suppressAutoHyphens/>
              <w:jc w:val="center"/>
              <w:rPr>
                <w:sz w:val="18"/>
                <w:szCs w:val="18"/>
              </w:rPr>
            </w:pPr>
            <w:r w:rsidRPr="00E57BC0">
              <w:rPr>
                <w:sz w:val="18"/>
                <w:szCs w:val="18"/>
              </w:rPr>
              <w:t>Time / Response</w:t>
            </w:r>
          </w:p>
        </w:tc>
        <w:tc>
          <w:tcPr>
            <w:tcW w:w="1080" w:type="dxa"/>
            <w:shd w:val="clear" w:color="auto" w:fill="auto"/>
            <w:tcMar>
              <w:left w:w="29" w:type="dxa"/>
              <w:right w:w="29" w:type="dxa"/>
            </w:tcMar>
            <w:vAlign w:val="center"/>
          </w:tcPr>
          <w:p w:rsidR="001F7AF2" w:rsidRPr="00E57BC0" w:rsidP="00E57BC0" w14:paraId="1D3E4109" w14:textId="77777777">
            <w:pPr>
              <w:suppressAutoHyphens/>
              <w:jc w:val="center"/>
              <w:rPr>
                <w:sz w:val="18"/>
                <w:szCs w:val="18"/>
              </w:rPr>
            </w:pPr>
            <w:r w:rsidRPr="00E57BC0">
              <w:rPr>
                <w:sz w:val="18"/>
                <w:szCs w:val="18"/>
              </w:rPr>
              <w:t xml:space="preserve">Labor Cost / Response </w:t>
            </w:r>
          </w:p>
        </w:tc>
        <w:tc>
          <w:tcPr>
            <w:tcW w:w="1080" w:type="dxa"/>
            <w:shd w:val="clear" w:color="auto" w:fill="auto"/>
            <w:tcMar>
              <w:left w:w="29" w:type="dxa"/>
              <w:right w:w="29" w:type="dxa"/>
            </w:tcMar>
            <w:vAlign w:val="center"/>
          </w:tcPr>
          <w:p w:rsidR="001F7AF2" w:rsidRPr="00E57BC0" w:rsidP="00E57BC0" w14:paraId="7851C0D2" w14:textId="77777777">
            <w:pPr>
              <w:suppressAutoHyphens/>
              <w:jc w:val="center"/>
              <w:rPr>
                <w:sz w:val="18"/>
                <w:szCs w:val="18"/>
              </w:rPr>
            </w:pPr>
            <w:r w:rsidRPr="00E57BC0">
              <w:rPr>
                <w:sz w:val="18"/>
                <w:szCs w:val="18"/>
              </w:rPr>
              <w:t>Responses / Respondent</w:t>
            </w:r>
          </w:p>
        </w:tc>
        <w:tc>
          <w:tcPr>
            <w:tcW w:w="1350" w:type="dxa"/>
            <w:tcBorders>
              <w:right w:val="single" w:sz="12" w:space="0" w:color="auto"/>
            </w:tcBorders>
            <w:shd w:val="clear" w:color="auto" w:fill="auto"/>
            <w:vAlign w:val="center"/>
          </w:tcPr>
          <w:p w:rsidR="001F7AF2" w:rsidRPr="00E57BC0" w:rsidP="00E57BC0" w14:paraId="735F2E39" w14:textId="77777777">
            <w:pPr>
              <w:suppressAutoHyphens/>
              <w:jc w:val="center"/>
              <w:rPr>
                <w:sz w:val="18"/>
                <w:szCs w:val="18"/>
              </w:rPr>
            </w:pPr>
            <w:r w:rsidRPr="00E57BC0">
              <w:rPr>
                <w:sz w:val="18"/>
                <w:szCs w:val="18"/>
              </w:rPr>
              <w:t>Labor Costs / Respondent</w:t>
            </w:r>
          </w:p>
        </w:tc>
        <w:tc>
          <w:tcPr>
            <w:tcW w:w="1170" w:type="dxa"/>
            <w:tcBorders>
              <w:left w:val="single" w:sz="12" w:space="0" w:color="auto"/>
            </w:tcBorders>
            <w:shd w:val="clear" w:color="auto" w:fill="auto"/>
            <w:tcMar>
              <w:left w:w="29" w:type="dxa"/>
              <w:right w:w="29" w:type="dxa"/>
            </w:tcMar>
            <w:vAlign w:val="center"/>
          </w:tcPr>
          <w:p w:rsidR="001F7AF2" w:rsidRPr="00E57BC0" w:rsidP="00E57BC0" w14:paraId="257D3D51" w14:textId="037A8190">
            <w:pPr>
              <w:suppressAutoHyphens/>
              <w:jc w:val="center"/>
              <w:rPr>
                <w:sz w:val="18"/>
                <w:szCs w:val="18"/>
              </w:rPr>
            </w:pPr>
            <w:r w:rsidRPr="00E57BC0">
              <w:rPr>
                <w:sz w:val="18"/>
                <w:szCs w:val="18"/>
              </w:rPr>
              <w:t>Total Respon</w:t>
            </w:r>
            <w:r w:rsidR="00FD2CD3">
              <w:rPr>
                <w:sz w:val="18"/>
                <w:szCs w:val="18"/>
              </w:rPr>
              <w:t>dents</w:t>
            </w:r>
          </w:p>
        </w:tc>
        <w:tc>
          <w:tcPr>
            <w:tcW w:w="1404" w:type="dxa"/>
            <w:shd w:val="clear" w:color="auto" w:fill="auto"/>
            <w:tcMar>
              <w:left w:w="29" w:type="dxa"/>
              <w:right w:w="29" w:type="dxa"/>
            </w:tcMar>
            <w:vAlign w:val="center"/>
          </w:tcPr>
          <w:p w:rsidR="001F7AF2" w:rsidRPr="00E57BC0" w:rsidP="00E57BC0" w14:paraId="50A60299" w14:textId="77777777">
            <w:pPr>
              <w:suppressAutoHyphens/>
              <w:jc w:val="center"/>
              <w:rPr>
                <w:sz w:val="18"/>
                <w:szCs w:val="18"/>
              </w:rPr>
            </w:pPr>
            <w:r w:rsidRPr="00E57BC0">
              <w:rPr>
                <w:sz w:val="18"/>
                <w:szCs w:val="18"/>
              </w:rPr>
              <w:t>Total Labor Costs</w:t>
            </w:r>
          </w:p>
        </w:tc>
      </w:tr>
      <w:tr w14:paraId="180209CE" w14:textId="77777777" w:rsidTr="00E57BC0">
        <w:tblPrEx>
          <w:tblW w:w="8928" w:type="dxa"/>
          <w:jc w:val="center"/>
          <w:tblLayout w:type="fixed"/>
          <w:tblLook w:val="04A0"/>
        </w:tblPrEx>
        <w:trPr>
          <w:trHeight w:val="576"/>
          <w:jc w:val="center"/>
        </w:trPr>
        <w:tc>
          <w:tcPr>
            <w:tcW w:w="1944" w:type="dxa"/>
            <w:shd w:val="clear" w:color="auto" w:fill="auto"/>
            <w:tcMar>
              <w:left w:w="29" w:type="dxa"/>
              <w:right w:w="29" w:type="dxa"/>
            </w:tcMar>
            <w:vAlign w:val="center"/>
          </w:tcPr>
          <w:p w:rsidR="00FD2CD3" w:rsidRPr="00E57BC0" w:rsidP="00E57BC0" w14:paraId="2857E850" w14:textId="77777777">
            <w:pPr>
              <w:suppressAutoHyphens/>
              <w:jc w:val="center"/>
              <w:rPr>
                <w:sz w:val="18"/>
                <w:szCs w:val="18"/>
              </w:rPr>
            </w:pPr>
            <w:bookmarkStart w:id="0" w:name="_Hlk190785007"/>
            <w:r w:rsidRPr="00E57BC0">
              <w:rPr>
                <w:sz w:val="18"/>
                <w:szCs w:val="18"/>
              </w:rPr>
              <w:t xml:space="preserve">AFP Reports </w:t>
            </w:r>
          </w:p>
          <w:p w:rsidR="00FD2CD3" w:rsidRPr="00E57BC0" w:rsidP="00E57BC0" w14:paraId="4F77FA69" w14:textId="77777777">
            <w:pPr>
              <w:suppressAutoHyphens/>
              <w:jc w:val="center"/>
              <w:rPr>
                <w:sz w:val="18"/>
                <w:szCs w:val="18"/>
              </w:rPr>
            </w:pPr>
            <w:r w:rsidRPr="00E57BC0">
              <w:rPr>
                <w:sz w:val="18"/>
                <w:szCs w:val="18"/>
              </w:rPr>
              <w:t xml:space="preserve">(TTB F 5110.75) </w:t>
            </w:r>
            <w:bookmarkEnd w:id="0"/>
          </w:p>
        </w:tc>
        <w:tc>
          <w:tcPr>
            <w:tcW w:w="900" w:type="dxa"/>
            <w:shd w:val="clear" w:color="auto" w:fill="auto"/>
            <w:tcMar>
              <w:left w:w="29" w:type="dxa"/>
              <w:right w:w="29" w:type="dxa"/>
            </w:tcMar>
            <w:vAlign w:val="center"/>
          </w:tcPr>
          <w:p w:rsidR="00FD2CD3" w:rsidRPr="00E57BC0" w:rsidP="00E57BC0" w14:paraId="48CE7492" w14:textId="77777777">
            <w:pPr>
              <w:suppressAutoHyphens/>
              <w:jc w:val="center"/>
              <w:rPr>
                <w:sz w:val="18"/>
                <w:szCs w:val="18"/>
              </w:rPr>
            </w:pPr>
            <w:r w:rsidRPr="00E57BC0">
              <w:rPr>
                <w:sz w:val="18"/>
                <w:szCs w:val="18"/>
              </w:rPr>
              <w:t>1 hour</w:t>
            </w:r>
          </w:p>
        </w:tc>
        <w:tc>
          <w:tcPr>
            <w:tcW w:w="1080" w:type="dxa"/>
            <w:shd w:val="clear" w:color="auto" w:fill="auto"/>
            <w:tcMar>
              <w:left w:w="29" w:type="dxa"/>
              <w:right w:w="29" w:type="dxa"/>
            </w:tcMar>
            <w:vAlign w:val="center"/>
          </w:tcPr>
          <w:p w:rsidR="00FD2CD3" w:rsidRPr="00E57BC0" w:rsidP="00E57BC0" w14:paraId="335AEA7E" w14:textId="492B54D4">
            <w:pPr>
              <w:suppressAutoHyphens/>
              <w:jc w:val="center"/>
              <w:rPr>
                <w:sz w:val="18"/>
                <w:szCs w:val="18"/>
              </w:rPr>
            </w:pPr>
            <w:r w:rsidRPr="00E57BC0">
              <w:rPr>
                <w:sz w:val="18"/>
                <w:szCs w:val="18"/>
              </w:rPr>
              <w:t>$</w:t>
            </w:r>
            <w:r>
              <w:rPr>
                <w:sz w:val="18"/>
                <w:szCs w:val="18"/>
              </w:rPr>
              <w:t>40.55*</w:t>
            </w:r>
          </w:p>
        </w:tc>
        <w:tc>
          <w:tcPr>
            <w:tcW w:w="1080" w:type="dxa"/>
            <w:shd w:val="clear" w:color="auto" w:fill="auto"/>
            <w:tcMar>
              <w:left w:w="29" w:type="dxa"/>
              <w:right w:w="29" w:type="dxa"/>
            </w:tcMar>
            <w:vAlign w:val="center"/>
          </w:tcPr>
          <w:p w:rsidR="00FD2CD3" w:rsidRPr="00E57BC0" w:rsidP="00E57BC0" w14:paraId="41E2BB5D" w14:textId="77777777">
            <w:pPr>
              <w:suppressAutoHyphens/>
              <w:jc w:val="center"/>
              <w:rPr>
                <w:sz w:val="18"/>
                <w:szCs w:val="18"/>
              </w:rPr>
            </w:pPr>
            <w:r w:rsidRPr="00E57BC0">
              <w:rPr>
                <w:sz w:val="18"/>
                <w:szCs w:val="18"/>
              </w:rPr>
              <w:t xml:space="preserve">1 </w:t>
            </w:r>
          </w:p>
        </w:tc>
        <w:tc>
          <w:tcPr>
            <w:tcW w:w="1350" w:type="dxa"/>
            <w:tcBorders>
              <w:right w:val="single" w:sz="12" w:space="0" w:color="auto"/>
            </w:tcBorders>
            <w:shd w:val="clear" w:color="auto" w:fill="auto"/>
            <w:vAlign w:val="center"/>
          </w:tcPr>
          <w:p w:rsidR="00FD2CD3" w:rsidRPr="00E57BC0" w:rsidP="00E57BC0" w14:paraId="323AC597" w14:textId="4FB9C1C9">
            <w:pPr>
              <w:suppressAutoHyphens/>
              <w:jc w:val="center"/>
              <w:rPr>
                <w:sz w:val="18"/>
                <w:szCs w:val="18"/>
              </w:rPr>
            </w:pPr>
            <w:r w:rsidRPr="00E57BC0">
              <w:rPr>
                <w:sz w:val="18"/>
                <w:szCs w:val="18"/>
              </w:rPr>
              <w:t>$</w:t>
            </w:r>
            <w:r>
              <w:rPr>
                <w:sz w:val="18"/>
                <w:szCs w:val="18"/>
              </w:rPr>
              <w:t>40.55</w:t>
            </w:r>
          </w:p>
        </w:tc>
        <w:tc>
          <w:tcPr>
            <w:tcW w:w="1170" w:type="dxa"/>
            <w:vMerge w:val="restart"/>
            <w:tcBorders>
              <w:left w:val="single" w:sz="12" w:space="0" w:color="auto"/>
            </w:tcBorders>
            <w:shd w:val="clear" w:color="auto" w:fill="auto"/>
            <w:tcMar>
              <w:left w:w="29" w:type="dxa"/>
              <w:right w:w="29" w:type="dxa"/>
            </w:tcMar>
            <w:vAlign w:val="center"/>
          </w:tcPr>
          <w:p w:rsidR="00FD2CD3" w:rsidRPr="00E57BC0" w:rsidP="00FD2CD3" w14:paraId="13BAED6D" w14:textId="3D8CD507">
            <w:pPr>
              <w:suppressAutoHyphens/>
              <w:jc w:val="center"/>
              <w:rPr>
                <w:sz w:val="18"/>
                <w:szCs w:val="18"/>
              </w:rPr>
            </w:pPr>
            <w:r>
              <w:rPr>
                <w:sz w:val="18"/>
                <w:szCs w:val="18"/>
              </w:rPr>
              <w:t xml:space="preserve">300 </w:t>
            </w:r>
          </w:p>
        </w:tc>
        <w:tc>
          <w:tcPr>
            <w:tcW w:w="1404" w:type="dxa"/>
            <w:shd w:val="clear" w:color="auto" w:fill="auto"/>
            <w:tcMar>
              <w:left w:w="29" w:type="dxa"/>
              <w:right w:w="29" w:type="dxa"/>
            </w:tcMar>
            <w:vAlign w:val="center"/>
          </w:tcPr>
          <w:p w:rsidR="00FD2CD3" w:rsidRPr="00E57BC0" w:rsidP="00E57BC0" w14:paraId="05333196" w14:textId="16204866">
            <w:pPr>
              <w:suppressAutoHyphens/>
              <w:jc w:val="center"/>
              <w:rPr>
                <w:sz w:val="18"/>
                <w:szCs w:val="18"/>
              </w:rPr>
            </w:pPr>
            <w:r w:rsidRPr="00E57BC0">
              <w:rPr>
                <w:sz w:val="18"/>
                <w:szCs w:val="18"/>
              </w:rPr>
              <w:t>$</w:t>
            </w:r>
            <w:r>
              <w:rPr>
                <w:sz w:val="18"/>
                <w:szCs w:val="18"/>
              </w:rPr>
              <w:t>12,165.00</w:t>
            </w:r>
          </w:p>
        </w:tc>
      </w:tr>
      <w:tr w14:paraId="0AC145E8" w14:textId="77777777" w:rsidTr="00E57BC0">
        <w:tblPrEx>
          <w:tblW w:w="8928" w:type="dxa"/>
          <w:jc w:val="center"/>
          <w:tblLayout w:type="fixed"/>
          <w:tblLook w:val="04A0"/>
        </w:tblPrEx>
        <w:trPr>
          <w:trHeight w:val="576"/>
          <w:jc w:val="center"/>
        </w:trPr>
        <w:tc>
          <w:tcPr>
            <w:tcW w:w="1944" w:type="dxa"/>
            <w:shd w:val="clear" w:color="auto" w:fill="auto"/>
            <w:tcMar>
              <w:left w:w="29" w:type="dxa"/>
              <w:right w:w="29" w:type="dxa"/>
            </w:tcMar>
            <w:vAlign w:val="center"/>
          </w:tcPr>
          <w:p w:rsidR="00FD2CD3" w:rsidRPr="00E57BC0" w:rsidP="00E57BC0" w14:paraId="213EF429" w14:textId="77777777">
            <w:pPr>
              <w:suppressAutoHyphens/>
              <w:jc w:val="center"/>
              <w:rPr>
                <w:sz w:val="18"/>
                <w:szCs w:val="18"/>
              </w:rPr>
            </w:pPr>
            <w:r w:rsidRPr="00E57BC0">
              <w:rPr>
                <w:sz w:val="18"/>
                <w:szCs w:val="18"/>
              </w:rPr>
              <w:t xml:space="preserve">Misc. Applications, Etc. </w:t>
            </w:r>
          </w:p>
          <w:p w:rsidR="00FD2CD3" w:rsidRPr="00E57BC0" w:rsidP="00E57BC0" w14:paraId="072997F3" w14:textId="77777777">
            <w:pPr>
              <w:suppressAutoHyphens/>
              <w:jc w:val="center"/>
              <w:rPr>
                <w:sz w:val="18"/>
                <w:szCs w:val="18"/>
              </w:rPr>
            </w:pPr>
            <w:r w:rsidRPr="00E57BC0">
              <w:rPr>
                <w:sz w:val="18"/>
                <w:szCs w:val="18"/>
              </w:rPr>
              <w:t>(TTB REC 5110/10)</w:t>
            </w:r>
          </w:p>
        </w:tc>
        <w:tc>
          <w:tcPr>
            <w:tcW w:w="900" w:type="dxa"/>
            <w:shd w:val="clear" w:color="auto" w:fill="auto"/>
            <w:tcMar>
              <w:left w:w="29" w:type="dxa"/>
              <w:right w:w="29" w:type="dxa"/>
            </w:tcMar>
            <w:vAlign w:val="center"/>
          </w:tcPr>
          <w:p w:rsidR="00FD2CD3" w:rsidRPr="00E57BC0" w:rsidP="00E57BC0" w14:paraId="61B6EA97" w14:textId="77777777">
            <w:pPr>
              <w:suppressAutoHyphens/>
              <w:jc w:val="center"/>
              <w:rPr>
                <w:sz w:val="18"/>
                <w:szCs w:val="18"/>
              </w:rPr>
            </w:pPr>
            <w:r w:rsidRPr="00E57BC0">
              <w:rPr>
                <w:sz w:val="18"/>
                <w:szCs w:val="18"/>
              </w:rPr>
              <w:t>1 hour</w:t>
            </w:r>
          </w:p>
        </w:tc>
        <w:tc>
          <w:tcPr>
            <w:tcW w:w="1080" w:type="dxa"/>
            <w:shd w:val="clear" w:color="auto" w:fill="auto"/>
            <w:tcMar>
              <w:left w:w="29" w:type="dxa"/>
              <w:right w:w="29" w:type="dxa"/>
            </w:tcMar>
            <w:vAlign w:val="center"/>
          </w:tcPr>
          <w:p w:rsidR="00FD2CD3" w:rsidRPr="00E57BC0" w:rsidP="00E57BC0" w14:paraId="41528E3A" w14:textId="2FD5BDF6">
            <w:pPr>
              <w:suppressAutoHyphens/>
              <w:jc w:val="center"/>
              <w:rPr>
                <w:sz w:val="18"/>
                <w:szCs w:val="18"/>
              </w:rPr>
            </w:pPr>
            <w:r w:rsidRPr="00E57BC0">
              <w:rPr>
                <w:sz w:val="18"/>
                <w:szCs w:val="18"/>
              </w:rPr>
              <w:t>$</w:t>
            </w:r>
            <w:r>
              <w:rPr>
                <w:sz w:val="18"/>
                <w:szCs w:val="18"/>
              </w:rPr>
              <w:t>40.55*</w:t>
            </w:r>
            <w:r w:rsidRPr="00E57BC0">
              <w:rPr>
                <w:sz w:val="18"/>
                <w:szCs w:val="18"/>
              </w:rPr>
              <w:t xml:space="preserve"> </w:t>
            </w:r>
          </w:p>
        </w:tc>
        <w:tc>
          <w:tcPr>
            <w:tcW w:w="1080" w:type="dxa"/>
            <w:shd w:val="clear" w:color="auto" w:fill="auto"/>
            <w:tcMar>
              <w:left w:w="29" w:type="dxa"/>
              <w:right w:w="29" w:type="dxa"/>
            </w:tcMar>
            <w:vAlign w:val="center"/>
          </w:tcPr>
          <w:p w:rsidR="00FD2CD3" w:rsidRPr="00E57BC0" w:rsidP="00E57BC0" w14:paraId="17272C14" w14:textId="77777777">
            <w:pPr>
              <w:suppressAutoHyphens/>
              <w:jc w:val="center"/>
              <w:rPr>
                <w:sz w:val="18"/>
                <w:szCs w:val="18"/>
              </w:rPr>
            </w:pPr>
            <w:r w:rsidRPr="00E57BC0">
              <w:rPr>
                <w:sz w:val="18"/>
                <w:szCs w:val="18"/>
              </w:rPr>
              <w:t>1</w:t>
            </w:r>
          </w:p>
        </w:tc>
        <w:tc>
          <w:tcPr>
            <w:tcW w:w="1350" w:type="dxa"/>
            <w:tcBorders>
              <w:right w:val="single" w:sz="12" w:space="0" w:color="auto"/>
            </w:tcBorders>
            <w:shd w:val="clear" w:color="auto" w:fill="auto"/>
            <w:vAlign w:val="center"/>
          </w:tcPr>
          <w:p w:rsidR="00FD2CD3" w:rsidRPr="00E57BC0" w:rsidP="00E57BC0" w14:paraId="54D2A90C" w14:textId="0922DC59">
            <w:pPr>
              <w:suppressAutoHyphens/>
              <w:jc w:val="center"/>
              <w:rPr>
                <w:sz w:val="18"/>
                <w:szCs w:val="18"/>
              </w:rPr>
            </w:pPr>
            <w:r w:rsidRPr="00E57BC0">
              <w:rPr>
                <w:sz w:val="18"/>
                <w:szCs w:val="18"/>
              </w:rPr>
              <w:t>$</w:t>
            </w:r>
            <w:r>
              <w:rPr>
                <w:sz w:val="18"/>
                <w:szCs w:val="18"/>
              </w:rPr>
              <w:t>40.55</w:t>
            </w:r>
          </w:p>
        </w:tc>
        <w:tc>
          <w:tcPr>
            <w:tcW w:w="1170" w:type="dxa"/>
            <w:vMerge/>
            <w:tcBorders>
              <w:left w:val="single" w:sz="12" w:space="0" w:color="auto"/>
            </w:tcBorders>
            <w:shd w:val="clear" w:color="auto" w:fill="auto"/>
            <w:tcMar>
              <w:left w:w="29" w:type="dxa"/>
              <w:right w:w="29" w:type="dxa"/>
            </w:tcMar>
            <w:vAlign w:val="center"/>
          </w:tcPr>
          <w:p w:rsidR="00FD2CD3" w:rsidRPr="00E57BC0" w:rsidP="00E57BC0" w14:paraId="30AC0A86" w14:textId="489AD56A">
            <w:pPr>
              <w:suppressAutoHyphens/>
              <w:jc w:val="center"/>
              <w:rPr>
                <w:sz w:val="18"/>
                <w:szCs w:val="18"/>
              </w:rPr>
            </w:pPr>
          </w:p>
        </w:tc>
        <w:tc>
          <w:tcPr>
            <w:tcW w:w="1404" w:type="dxa"/>
            <w:shd w:val="clear" w:color="auto" w:fill="auto"/>
            <w:tcMar>
              <w:left w:w="29" w:type="dxa"/>
              <w:right w:w="29" w:type="dxa"/>
            </w:tcMar>
            <w:vAlign w:val="center"/>
          </w:tcPr>
          <w:p w:rsidR="00FD2CD3" w:rsidRPr="00E57BC0" w:rsidP="00E57BC0" w14:paraId="531C965D" w14:textId="405EED87">
            <w:pPr>
              <w:suppressAutoHyphens/>
              <w:jc w:val="center"/>
              <w:rPr>
                <w:sz w:val="18"/>
                <w:szCs w:val="18"/>
              </w:rPr>
            </w:pPr>
            <w:r>
              <w:rPr>
                <w:sz w:val="18"/>
                <w:szCs w:val="18"/>
              </w:rPr>
              <w:t xml:space="preserve">$12,165.00 </w:t>
            </w:r>
          </w:p>
        </w:tc>
      </w:tr>
      <w:tr w14:paraId="5C4F2AB3" w14:textId="77777777" w:rsidTr="00E57BC0">
        <w:tblPrEx>
          <w:tblW w:w="8928" w:type="dxa"/>
          <w:jc w:val="center"/>
          <w:tblLayout w:type="fixed"/>
          <w:tblLook w:val="04A0"/>
        </w:tblPrEx>
        <w:trPr>
          <w:trHeight w:val="576"/>
          <w:jc w:val="center"/>
        </w:trPr>
        <w:tc>
          <w:tcPr>
            <w:tcW w:w="1944" w:type="dxa"/>
            <w:shd w:val="clear" w:color="auto" w:fill="auto"/>
            <w:tcMar>
              <w:left w:w="29" w:type="dxa"/>
              <w:right w:w="29" w:type="dxa"/>
            </w:tcMar>
            <w:vAlign w:val="center"/>
          </w:tcPr>
          <w:p w:rsidR="001F7AF2" w:rsidRPr="00E57BC0" w:rsidP="00E57BC0" w14:paraId="33A379C6" w14:textId="77777777">
            <w:pPr>
              <w:suppressAutoHyphens/>
              <w:jc w:val="center"/>
              <w:rPr>
                <w:b/>
                <w:sz w:val="18"/>
                <w:szCs w:val="18"/>
              </w:rPr>
            </w:pPr>
            <w:r w:rsidRPr="00E57BC0">
              <w:rPr>
                <w:b/>
                <w:sz w:val="18"/>
                <w:szCs w:val="18"/>
              </w:rPr>
              <w:t xml:space="preserve">TOTALS </w:t>
            </w:r>
          </w:p>
        </w:tc>
        <w:tc>
          <w:tcPr>
            <w:tcW w:w="900" w:type="dxa"/>
            <w:shd w:val="clear" w:color="auto" w:fill="auto"/>
            <w:tcMar>
              <w:left w:w="29" w:type="dxa"/>
              <w:right w:w="29" w:type="dxa"/>
            </w:tcMar>
            <w:vAlign w:val="center"/>
          </w:tcPr>
          <w:p w:rsidR="001F7AF2" w:rsidRPr="00E57BC0" w:rsidP="00E57BC0" w14:paraId="21836604" w14:textId="138B5F0B">
            <w:pPr>
              <w:suppressAutoHyphens/>
              <w:jc w:val="center"/>
              <w:rPr>
                <w:b/>
                <w:sz w:val="18"/>
                <w:szCs w:val="18"/>
              </w:rPr>
            </w:pPr>
            <w:r>
              <w:rPr>
                <w:b/>
                <w:sz w:val="18"/>
                <w:szCs w:val="18"/>
              </w:rPr>
              <w:t xml:space="preserve">1 hour </w:t>
            </w:r>
          </w:p>
        </w:tc>
        <w:tc>
          <w:tcPr>
            <w:tcW w:w="1080" w:type="dxa"/>
            <w:shd w:val="clear" w:color="auto" w:fill="auto"/>
            <w:tcMar>
              <w:left w:w="29" w:type="dxa"/>
              <w:right w:w="29" w:type="dxa"/>
            </w:tcMar>
            <w:vAlign w:val="center"/>
          </w:tcPr>
          <w:p w:rsidR="001F7AF2" w:rsidRPr="00E57BC0" w:rsidP="00E57BC0" w14:paraId="48ED6D10" w14:textId="4BF831C6">
            <w:pPr>
              <w:suppressAutoHyphens/>
              <w:jc w:val="center"/>
              <w:rPr>
                <w:b/>
                <w:sz w:val="18"/>
                <w:szCs w:val="18"/>
              </w:rPr>
            </w:pPr>
            <w:r>
              <w:rPr>
                <w:b/>
                <w:sz w:val="18"/>
                <w:szCs w:val="18"/>
              </w:rPr>
              <w:t>$40.55</w:t>
            </w:r>
          </w:p>
        </w:tc>
        <w:tc>
          <w:tcPr>
            <w:tcW w:w="1080" w:type="dxa"/>
            <w:shd w:val="clear" w:color="auto" w:fill="auto"/>
            <w:tcMar>
              <w:left w:w="29" w:type="dxa"/>
              <w:right w:w="29" w:type="dxa"/>
            </w:tcMar>
            <w:vAlign w:val="center"/>
          </w:tcPr>
          <w:p w:rsidR="001F7AF2" w:rsidRPr="00E57BC0" w:rsidP="00E57BC0" w14:paraId="577DCED6" w14:textId="17E33B96">
            <w:pPr>
              <w:suppressAutoHyphens/>
              <w:jc w:val="center"/>
              <w:rPr>
                <w:b/>
                <w:sz w:val="18"/>
                <w:szCs w:val="18"/>
              </w:rPr>
            </w:pPr>
            <w:r>
              <w:rPr>
                <w:b/>
                <w:sz w:val="18"/>
                <w:szCs w:val="18"/>
              </w:rPr>
              <w:t>2</w:t>
            </w:r>
          </w:p>
        </w:tc>
        <w:tc>
          <w:tcPr>
            <w:tcW w:w="1350" w:type="dxa"/>
            <w:tcBorders>
              <w:right w:val="single" w:sz="12" w:space="0" w:color="auto"/>
            </w:tcBorders>
            <w:shd w:val="clear" w:color="auto" w:fill="auto"/>
            <w:vAlign w:val="center"/>
          </w:tcPr>
          <w:p w:rsidR="001F7AF2" w:rsidRPr="00E57BC0" w:rsidP="00E57BC0" w14:paraId="1074C149" w14:textId="77AD4D5C">
            <w:pPr>
              <w:suppressAutoHyphens/>
              <w:jc w:val="center"/>
              <w:rPr>
                <w:b/>
                <w:sz w:val="18"/>
                <w:szCs w:val="18"/>
              </w:rPr>
            </w:pPr>
            <w:r>
              <w:rPr>
                <w:b/>
                <w:sz w:val="18"/>
                <w:szCs w:val="18"/>
              </w:rPr>
              <w:t>$81.10</w:t>
            </w:r>
          </w:p>
        </w:tc>
        <w:tc>
          <w:tcPr>
            <w:tcW w:w="1170" w:type="dxa"/>
            <w:tcBorders>
              <w:left w:val="single" w:sz="12" w:space="0" w:color="auto"/>
            </w:tcBorders>
            <w:shd w:val="clear" w:color="auto" w:fill="auto"/>
            <w:tcMar>
              <w:left w:w="29" w:type="dxa"/>
              <w:right w:w="29" w:type="dxa"/>
            </w:tcMar>
            <w:vAlign w:val="center"/>
          </w:tcPr>
          <w:p w:rsidR="001F7AF2" w:rsidRPr="00E57BC0" w:rsidP="00E57BC0" w14:paraId="6A27C351" w14:textId="4E7DCB51">
            <w:pPr>
              <w:suppressAutoHyphens/>
              <w:jc w:val="center"/>
              <w:rPr>
                <w:b/>
                <w:sz w:val="18"/>
                <w:szCs w:val="18"/>
              </w:rPr>
            </w:pPr>
            <w:r>
              <w:rPr>
                <w:b/>
                <w:sz w:val="18"/>
                <w:szCs w:val="18"/>
              </w:rPr>
              <w:t>300</w:t>
            </w:r>
          </w:p>
        </w:tc>
        <w:tc>
          <w:tcPr>
            <w:tcW w:w="1404" w:type="dxa"/>
            <w:shd w:val="clear" w:color="auto" w:fill="auto"/>
            <w:tcMar>
              <w:left w:w="29" w:type="dxa"/>
              <w:right w:w="29" w:type="dxa"/>
            </w:tcMar>
            <w:vAlign w:val="center"/>
          </w:tcPr>
          <w:p w:rsidR="001F7AF2" w:rsidRPr="00E57BC0" w:rsidP="00E57BC0" w14:paraId="127CE44D" w14:textId="3640165D">
            <w:pPr>
              <w:suppressAutoHyphens/>
              <w:jc w:val="center"/>
              <w:rPr>
                <w:b/>
                <w:sz w:val="18"/>
                <w:szCs w:val="18"/>
              </w:rPr>
            </w:pPr>
            <w:r>
              <w:rPr>
                <w:b/>
                <w:sz w:val="18"/>
                <w:szCs w:val="18"/>
              </w:rPr>
              <w:t>$24,330.00</w:t>
            </w:r>
          </w:p>
        </w:tc>
      </w:tr>
    </w:tbl>
    <w:p w:rsidR="001F37CA" w:rsidRPr="00834B73" w:rsidP="00F94214" w14:paraId="1E498C53" w14:textId="77777777">
      <w:pPr>
        <w:spacing w:before="40"/>
        <w:ind w:left="360"/>
        <w:rPr>
          <w:sz w:val="22"/>
          <w:szCs w:val="22"/>
        </w:rPr>
      </w:pPr>
      <w:r w:rsidRPr="00834B73">
        <w:rPr>
          <w:sz w:val="22"/>
          <w:szCs w:val="22"/>
        </w:rPr>
        <w:t xml:space="preserve">* </w:t>
      </w:r>
      <w:r w:rsidRPr="00834B73">
        <w:rPr>
          <w:sz w:val="18"/>
          <w:szCs w:val="18"/>
        </w:rPr>
        <w:t>Labor costs rounded to the nearest whole cent</w:t>
      </w:r>
      <w:r w:rsidRPr="00834B73" w:rsidR="001F7AF2">
        <w:rPr>
          <w:sz w:val="18"/>
          <w:szCs w:val="18"/>
        </w:rPr>
        <w:t xml:space="preserve">. </w:t>
      </w:r>
    </w:p>
    <w:p w:rsidR="001F37CA" w:rsidRPr="00834B73" w:rsidP="001F37CA" w14:paraId="0698FF2F" w14:textId="77777777">
      <w:pPr>
        <w:ind w:left="360"/>
        <w:rPr>
          <w:sz w:val="22"/>
          <w:szCs w:val="22"/>
        </w:rPr>
      </w:pPr>
    </w:p>
    <w:p w:rsidR="00AC1686" w:rsidRPr="00834B73" w:rsidP="00AC1686" w14:paraId="368255F0" w14:textId="77777777">
      <w:pPr>
        <w:widowControl/>
        <w:adjustRightInd/>
        <w:ind w:left="360"/>
        <w:rPr>
          <w:rFonts w:eastAsia="Calibri"/>
          <w:sz w:val="22"/>
          <w:szCs w:val="22"/>
        </w:rPr>
      </w:pPr>
      <w:r w:rsidRPr="00834B73">
        <w:rPr>
          <w:rFonts w:eastAsia="Calibri"/>
          <w:sz w:val="22"/>
          <w:szCs w:val="22"/>
          <w:u w:val="single"/>
        </w:rPr>
        <w:t>Respondent Record R</w:t>
      </w:r>
      <w:r w:rsidRPr="00834B73">
        <w:rPr>
          <w:rFonts w:eastAsia="Calibri"/>
          <w:sz w:val="22"/>
          <w:szCs w:val="22"/>
          <w:u w:val="single"/>
        </w:rPr>
        <w:t>etention:</w:t>
      </w:r>
      <w:r w:rsidRPr="00834B73">
        <w:rPr>
          <w:rFonts w:eastAsia="Calibri"/>
          <w:sz w:val="22"/>
          <w:szCs w:val="22"/>
        </w:rPr>
        <w:t xml:space="preserve">  </w:t>
      </w:r>
      <w:r w:rsidRPr="00834B73">
        <w:rPr>
          <w:rFonts w:eastAsia="Calibri"/>
          <w:sz w:val="22"/>
          <w:szCs w:val="22"/>
        </w:rPr>
        <w:t xml:space="preserve">Under 27 CFR 19.81, DSP proprietors, including AFP proprietors, must </w:t>
      </w:r>
      <w:r w:rsidRPr="00834B73" w:rsidR="00834B73">
        <w:rPr>
          <w:rFonts w:eastAsia="Calibri"/>
          <w:sz w:val="22"/>
          <w:szCs w:val="22"/>
        </w:rPr>
        <w:t xml:space="preserve">maintain copies of any </w:t>
      </w:r>
      <w:r w:rsidRPr="00834B73">
        <w:rPr>
          <w:rFonts w:eastAsia="Calibri"/>
          <w:sz w:val="22"/>
          <w:szCs w:val="22"/>
        </w:rPr>
        <w:t>applicati</w:t>
      </w:r>
      <w:r w:rsidRPr="00834B73" w:rsidR="00834B73">
        <w:rPr>
          <w:rFonts w:eastAsia="Calibri"/>
          <w:sz w:val="22"/>
          <w:szCs w:val="22"/>
        </w:rPr>
        <w:t xml:space="preserve">ons or notices related to their permit in their permanent plant registration file for as long as the application or notice is in effect.  Under </w:t>
      </w:r>
      <w:r w:rsidRPr="00834B73">
        <w:rPr>
          <w:rFonts w:eastAsia="Calibri"/>
          <w:sz w:val="22"/>
          <w:szCs w:val="22"/>
        </w:rPr>
        <w:t>27 CFR 19.716</w:t>
      </w:r>
      <w:r w:rsidRPr="00834B73" w:rsidR="00834B73">
        <w:rPr>
          <w:rFonts w:eastAsia="Calibri"/>
          <w:sz w:val="22"/>
          <w:szCs w:val="22"/>
        </w:rPr>
        <w:t>,</w:t>
      </w:r>
      <w:r w:rsidRPr="00834B73">
        <w:rPr>
          <w:rFonts w:eastAsia="Calibri"/>
          <w:sz w:val="22"/>
          <w:szCs w:val="22"/>
        </w:rPr>
        <w:t xml:space="preserve"> </w:t>
      </w:r>
      <w:r w:rsidRPr="00834B73" w:rsidR="00834B73">
        <w:rPr>
          <w:rFonts w:eastAsia="Calibri"/>
          <w:sz w:val="22"/>
          <w:szCs w:val="22"/>
        </w:rPr>
        <w:t>p</w:t>
      </w:r>
      <w:r w:rsidRPr="00834B73">
        <w:rPr>
          <w:rFonts w:eastAsia="Calibri"/>
          <w:sz w:val="22"/>
          <w:szCs w:val="22"/>
        </w:rPr>
        <w:t xml:space="preserve">roprietors </w:t>
      </w:r>
      <w:r w:rsidRPr="00834B73" w:rsidR="00834B73">
        <w:rPr>
          <w:rFonts w:eastAsia="Calibri"/>
          <w:sz w:val="22"/>
          <w:szCs w:val="22"/>
        </w:rPr>
        <w:t xml:space="preserve">must </w:t>
      </w:r>
      <w:r w:rsidRPr="00834B73">
        <w:rPr>
          <w:rFonts w:eastAsia="Calibri"/>
          <w:sz w:val="22"/>
          <w:szCs w:val="22"/>
        </w:rPr>
        <w:t xml:space="preserve">maintain the </w:t>
      </w:r>
      <w:r w:rsidRPr="00834B73" w:rsidR="00834B73">
        <w:rPr>
          <w:rFonts w:eastAsia="Calibri"/>
          <w:sz w:val="22"/>
          <w:szCs w:val="22"/>
        </w:rPr>
        <w:t xml:space="preserve">AFP </w:t>
      </w:r>
      <w:r w:rsidRPr="00834B73">
        <w:rPr>
          <w:rFonts w:eastAsia="Calibri"/>
          <w:sz w:val="22"/>
          <w:szCs w:val="22"/>
        </w:rPr>
        <w:t xml:space="preserve">records required under this information collection </w:t>
      </w:r>
      <w:r w:rsidRPr="00834B73" w:rsidR="00834B73">
        <w:rPr>
          <w:rFonts w:eastAsia="Calibri"/>
          <w:sz w:val="22"/>
          <w:szCs w:val="22"/>
        </w:rPr>
        <w:t xml:space="preserve">request </w:t>
      </w:r>
      <w:r w:rsidRPr="00834B73">
        <w:rPr>
          <w:rFonts w:eastAsia="Calibri"/>
          <w:sz w:val="22"/>
          <w:szCs w:val="22"/>
        </w:rPr>
        <w:t xml:space="preserve">for a period of not less than three years from the date of the record’s creation or the date of the last entry </w:t>
      </w:r>
      <w:r w:rsidRPr="00834B73" w:rsidR="00834B73">
        <w:rPr>
          <w:rFonts w:eastAsia="Calibri"/>
          <w:sz w:val="22"/>
          <w:szCs w:val="22"/>
        </w:rPr>
        <w:t xml:space="preserve">required in </w:t>
      </w:r>
      <w:r w:rsidRPr="00834B73">
        <w:rPr>
          <w:rFonts w:eastAsia="Calibri"/>
          <w:sz w:val="22"/>
          <w:szCs w:val="22"/>
        </w:rPr>
        <w:t xml:space="preserve">the record, whichever is later. </w:t>
      </w:r>
      <w:r w:rsidRPr="00834B73" w:rsidR="00834B73">
        <w:rPr>
          <w:rFonts w:eastAsia="Calibri"/>
          <w:sz w:val="22"/>
          <w:szCs w:val="22"/>
        </w:rPr>
        <w:t xml:space="preserve"> Under those sections, AFP proprietors also must make all such documents available for inspection by the appropriate TTB officers. </w:t>
      </w:r>
    </w:p>
    <w:p w:rsidR="00AC1686" w:rsidRPr="00956008" w:rsidP="00AC1686" w14:paraId="4127A3F1" w14:textId="77777777">
      <w:pPr>
        <w:rPr>
          <w:sz w:val="28"/>
          <w:szCs w:val="28"/>
        </w:rPr>
      </w:pPr>
    </w:p>
    <w:p w:rsidR="00AC1686" w:rsidRPr="00956008" w:rsidP="00AC1686" w14:paraId="28C92088" w14:textId="77777777">
      <w:pPr>
        <w:suppressAutoHyphens/>
        <w:rPr>
          <w:i/>
          <w:sz w:val="22"/>
          <w:szCs w:val="22"/>
        </w:rPr>
      </w:pPr>
      <w:r w:rsidRPr="00956008">
        <w:rPr>
          <w:i/>
          <w:sz w:val="22"/>
          <w:szCs w:val="22"/>
        </w:rPr>
        <w:t xml:space="preserve">13.  What is the estimated annual cost burden to respondents or record keepers resulting from this information collection request (excluding the value of the hour burden in Question 12 above)? </w:t>
      </w:r>
    </w:p>
    <w:p w:rsidR="00AC1686" w:rsidRPr="00956008" w:rsidP="00AC1686" w14:paraId="46F1BBED" w14:textId="77777777">
      <w:pPr>
        <w:suppressAutoHyphens/>
        <w:ind w:left="480" w:hanging="480"/>
        <w:rPr>
          <w:sz w:val="22"/>
          <w:szCs w:val="22"/>
        </w:rPr>
      </w:pPr>
    </w:p>
    <w:p w:rsidR="00AC1686" w:rsidRPr="00956008" w:rsidP="00AC1686" w14:paraId="42C3479E" w14:textId="52C7AB62">
      <w:pPr>
        <w:suppressAutoHyphens/>
        <w:ind w:left="360"/>
        <w:rPr>
          <w:sz w:val="22"/>
          <w:szCs w:val="22"/>
        </w:rPr>
      </w:pPr>
      <w:r w:rsidRPr="00956008">
        <w:rPr>
          <w:sz w:val="22"/>
          <w:szCs w:val="22"/>
        </w:rPr>
        <w:t>TTB believes that there are no start-up, capital, or ongoing costs to respondents for this collection</w:t>
      </w:r>
      <w:r w:rsidR="000E6B3D">
        <w:rPr>
          <w:sz w:val="22"/>
          <w:szCs w:val="22"/>
        </w:rPr>
        <w:t xml:space="preserve"> request</w:t>
      </w:r>
      <w:r w:rsidRPr="00956008">
        <w:rPr>
          <w:sz w:val="22"/>
          <w:szCs w:val="22"/>
        </w:rPr>
        <w:t xml:space="preserve">.  </w:t>
      </w:r>
      <w:r w:rsidRPr="00956008" w:rsidR="00956008">
        <w:rPr>
          <w:sz w:val="22"/>
          <w:szCs w:val="22"/>
        </w:rPr>
        <w:t xml:space="preserve">AFP proprietors </w:t>
      </w:r>
      <w:r w:rsidRPr="00956008">
        <w:rPr>
          <w:sz w:val="22"/>
          <w:szCs w:val="22"/>
        </w:rPr>
        <w:t xml:space="preserve">gather the information submitted on their </w:t>
      </w:r>
      <w:r w:rsidRPr="00956008" w:rsidR="00956008">
        <w:rPr>
          <w:sz w:val="22"/>
          <w:szCs w:val="22"/>
        </w:rPr>
        <w:t xml:space="preserve">annual </w:t>
      </w:r>
      <w:r w:rsidRPr="00956008">
        <w:rPr>
          <w:sz w:val="22"/>
          <w:szCs w:val="22"/>
        </w:rPr>
        <w:t xml:space="preserve">operations report from usual and customary production, receipt, shipping, and inventory records </w:t>
      </w:r>
      <w:r w:rsidRPr="00956008" w:rsidR="00956008">
        <w:rPr>
          <w:sz w:val="22"/>
          <w:szCs w:val="22"/>
        </w:rPr>
        <w:t xml:space="preserve">kept </w:t>
      </w:r>
      <w:r w:rsidRPr="00956008">
        <w:rPr>
          <w:sz w:val="22"/>
          <w:szCs w:val="22"/>
        </w:rPr>
        <w:t>during the normal course of business</w:t>
      </w:r>
      <w:r w:rsidRPr="00956008" w:rsidR="00956008">
        <w:rPr>
          <w:sz w:val="22"/>
          <w:szCs w:val="22"/>
        </w:rPr>
        <w:t xml:space="preserve">. </w:t>
      </w:r>
    </w:p>
    <w:p w:rsidR="00AC1686" w:rsidRPr="00956008" w:rsidP="00AC1686" w14:paraId="589F4E0A" w14:textId="77777777">
      <w:pPr>
        <w:suppressAutoHyphens/>
        <w:ind w:left="360"/>
        <w:rPr>
          <w:sz w:val="22"/>
          <w:szCs w:val="22"/>
        </w:rPr>
      </w:pPr>
    </w:p>
    <w:p w:rsidR="00AC1686" w:rsidRPr="00956008" w:rsidP="00AC1686" w14:paraId="7281C712" w14:textId="3332649A">
      <w:pPr>
        <w:suppressAutoHyphens/>
        <w:ind w:left="360"/>
        <w:rPr>
          <w:sz w:val="22"/>
          <w:szCs w:val="22"/>
        </w:rPr>
      </w:pPr>
      <w:r w:rsidRPr="00956008">
        <w:rPr>
          <w:sz w:val="22"/>
          <w:szCs w:val="22"/>
        </w:rPr>
        <w:t xml:space="preserve">TTB estimates that </w:t>
      </w:r>
      <w:r w:rsidR="0057139B">
        <w:rPr>
          <w:sz w:val="22"/>
          <w:szCs w:val="22"/>
        </w:rPr>
        <w:t xml:space="preserve">the </w:t>
      </w:r>
      <w:r w:rsidR="00835B68">
        <w:rPr>
          <w:sz w:val="22"/>
          <w:szCs w:val="22"/>
        </w:rPr>
        <w:t>300</w:t>
      </w:r>
      <w:r w:rsidRPr="00956008" w:rsidR="00956008">
        <w:rPr>
          <w:sz w:val="22"/>
          <w:szCs w:val="22"/>
        </w:rPr>
        <w:t xml:space="preserve"> </w:t>
      </w:r>
      <w:r w:rsidR="00F94214">
        <w:rPr>
          <w:sz w:val="22"/>
          <w:szCs w:val="22"/>
        </w:rPr>
        <w:t xml:space="preserve">respondents to this collection </w:t>
      </w:r>
      <w:r w:rsidR="0057139B">
        <w:rPr>
          <w:sz w:val="22"/>
          <w:szCs w:val="22"/>
        </w:rPr>
        <w:t>ha</w:t>
      </w:r>
      <w:r w:rsidR="00F94214">
        <w:rPr>
          <w:sz w:val="22"/>
          <w:szCs w:val="22"/>
        </w:rPr>
        <w:t>ve $2.00 in postage and mailing supply costs for the one annual report and one letterhead application or notice sent to TTB, totaling $4.00 per year for each respondent and $</w:t>
      </w:r>
      <w:r w:rsidR="0057139B">
        <w:rPr>
          <w:sz w:val="22"/>
          <w:szCs w:val="22"/>
        </w:rPr>
        <w:t>1,200.00</w:t>
      </w:r>
      <w:r w:rsidR="00F94214">
        <w:rPr>
          <w:sz w:val="22"/>
          <w:szCs w:val="22"/>
        </w:rPr>
        <w:t xml:space="preserve"> in total. </w:t>
      </w:r>
    </w:p>
    <w:p w:rsidR="00AC1686" w:rsidRPr="00090B80" w:rsidP="00AC1686" w14:paraId="77BEFDE3" w14:textId="77777777">
      <w:pPr>
        <w:suppressAutoHyphens/>
        <w:rPr>
          <w:sz w:val="28"/>
          <w:szCs w:val="28"/>
        </w:rPr>
      </w:pPr>
    </w:p>
    <w:p w:rsidR="00AC1686" w:rsidRPr="00090B80" w:rsidP="00AC1686" w14:paraId="751EF382" w14:textId="77777777">
      <w:pPr>
        <w:suppressAutoHyphens/>
        <w:ind w:left="480" w:hanging="480"/>
        <w:rPr>
          <w:i/>
          <w:sz w:val="22"/>
          <w:szCs w:val="22"/>
        </w:rPr>
      </w:pPr>
      <w:r w:rsidRPr="00090B80">
        <w:rPr>
          <w:i/>
          <w:sz w:val="22"/>
          <w:szCs w:val="22"/>
        </w:rPr>
        <w:t xml:space="preserve">14.  What is the annualized cost to the Federal Government? </w:t>
      </w:r>
    </w:p>
    <w:p w:rsidR="00AC1686" w:rsidRPr="00090B80" w:rsidP="00AC1686" w14:paraId="3F70C0C8" w14:textId="77777777">
      <w:pPr>
        <w:suppressAutoHyphens/>
        <w:ind w:left="480" w:hanging="480"/>
        <w:rPr>
          <w:sz w:val="22"/>
          <w:szCs w:val="22"/>
        </w:rPr>
      </w:pPr>
    </w:p>
    <w:p w:rsidR="00AC1686" w:rsidP="00AC1686" w14:paraId="63A08A8D" w14:textId="77777777">
      <w:pPr>
        <w:ind w:left="360"/>
        <w:rPr>
          <w:sz w:val="22"/>
          <w:szCs w:val="22"/>
        </w:rPr>
      </w:pPr>
      <w:r w:rsidRPr="00090B80">
        <w:rPr>
          <w:sz w:val="22"/>
          <w:szCs w:val="22"/>
        </w:rPr>
        <w:t xml:space="preserve">TTB estimates its annual labor costs for this information collection </w:t>
      </w:r>
      <w:r w:rsidR="000E6B3D">
        <w:rPr>
          <w:sz w:val="22"/>
          <w:szCs w:val="22"/>
        </w:rPr>
        <w:t xml:space="preserve">request </w:t>
      </w:r>
      <w:r w:rsidRPr="00090B80">
        <w:rPr>
          <w:sz w:val="22"/>
          <w:szCs w:val="22"/>
        </w:rPr>
        <w:t xml:space="preserve">as follows: </w:t>
      </w:r>
    </w:p>
    <w:p w:rsidR="00F94214" w:rsidP="00AC1686" w14:paraId="77D7B6AC" w14:textId="77777777">
      <w:pPr>
        <w:ind w:left="360"/>
        <w:rPr>
          <w:sz w:val="22"/>
          <w:szCs w:val="22"/>
        </w:rPr>
      </w:pPr>
    </w:p>
    <w:p w:rsidR="005E676A" w14:paraId="4A3A95D6" w14:textId="355C7CB0">
      <w:pPr>
        <w:widowControl/>
        <w:autoSpaceDE/>
        <w:autoSpaceDN/>
        <w:adjustRightInd/>
        <w:rPr>
          <w:sz w:val="22"/>
          <w:szCs w:val="22"/>
        </w:rPr>
      </w:pPr>
      <w:r>
        <w:rPr>
          <w:sz w:val="22"/>
          <w:szCs w:val="22"/>
        </w:rPr>
        <w:br w:type="page"/>
      </w: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260"/>
        <w:gridCol w:w="1260"/>
        <w:gridCol w:w="1350"/>
        <w:gridCol w:w="1350"/>
        <w:gridCol w:w="1805"/>
      </w:tblGrid>
      <w:tr w14:paraId="4A23D444" w14:textId="77777777" w:rsidTr="00644410">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48"/>
          <w:jc w:val="center"/>
        </w:trPr>
        <w:tc>
          <w:tcPr>
            <w:tcW w:w="8640" w:type="dxa"/>
            <w:gridSpan w:val="6"/>
            <w:tcBorders>
              <w:bottom w:val="single" w:sz="4" w:space="0" w:color="auto"/>
            </w:tcBorders>
            <w:shd w:val="clear" w:color="auto" w:fill="auto"/>
            <w:vAlign w:val="center"/>
          </w:tcPr>
          <w:p w:rsidR="00332691" w:rsidRPr="00644410" w:rsidP="00644410" w14:paraId="39A87D2E" w14:textId="77777777">
            <w:pPr>
              <w:suppressAutoHyphens/>
              <w:jc w:val="center"/>
              <w:rPr>
                <w:b/>
              </w:rPr>
            </w:pPr>
            <w:r w:rsidRPr="00644410">
              <w:rPr>
                <w:b/>
              </w:rPr>
              <w:t xml:space="preserve">Labor Costs for Personnel at TTB’s National Revenue Center in Cincinnati, Ohio, </w:t>
            </w:r>
          </w:p>
          <w:p w:rsidR="00332691" w:rsidRPr="00644410" w:rsidP="00644410" w14:paraId="0FD71A97" w14:textId="77777777">
            <w:pPr>
              <w:suppressAutoHyphens/>
              <w:jc w:val="center"/>
              <w:rPr>
                <w:b/>
              </w:rPr>
            </w:pPr>
            <w:r w:rsidRPr="00644410">
              <w:rPr>
                <w:b/>
              </w:rPr>
              <w:t>for OMB No. 1513–0052*</w:t>
            </w:r>
          </w:p>
        </w:tc>
      </w:tr>
      <w:tr w14:paraId="49F75113" w14:textId="77777777" w:rsidTr="00644410">
        <w:tblPrEx>
          <w:tblW w:w="8640" w:type="dxa"/>
          <w:jc w:val="center"/>
          <w:tblLayout w:type="fixed"/>
          <w:tblLook w:val="04A0"/>
        </w:tblPrEx>
        <w:trPr>
          <w:trHeight w:val="890"/>
          <w:jc w:val="center"/>
        </w:trPr>
        <w:tc>
          <w:tcPr>
            <w:tcW w:w="1615" w:type="dxa"/>
            <w:tcBorders>
              <w:top w:val="single" w:sz="4" w:space="0" w:color="auto"/>
              <w:bottom w:val="single" w:sz="4" w:space="0" w:color="auto"/>
            </w:tcBorders>
            <w:shd w:val="clear" w:color="auto" w:fill="auto"/>
            <w:vAlign w:val="center"/>
          </w:tcPr>
          <w:p w:rsidR="00332691" w:rsidRPr="00090B80" w:rsidP="00644410" w14:paraId="5B93247F" w14:textId="77777777">
            <w:pPr>
              <w:suppressAutoHyphens/>
              <w:jc w:val="center"/>
            </w:pPr>
            <w:r w:rsidRPr="00090B80">
              <w:t xml:space="preserve">Position </w:t>
            </w:r>
          </w:p>
        </w:tc>
        <w:tc>
          <w:tcPr>
            <w:tcW w:w="1260" w:type="dxa"/>
            <w:tcBorders>
              <w:top w:val="single" w:sz="4" w:space="0" w:color="auto"/>
              <w:bottom w:val="single" w:sz="4" w:space="0" w:color="auto"/>
            </w:tcBorders>
            <w:shd w:val="clear" w:color="auto" w:fill="auto"/>
            <w:tcMar>
              <w:left w:w="29" w:type="dxa"/>
              <w:right w:w="29" w:type="dxa"/>
            </w:tcMar>
            <w:vAlign w:val="center"/>
          </w:tcPr>
          <w:p w:rsidR="00332691" w:rsidRPr="00090B80" w:rsidP="00644410" w14:paraId="36EBF647" w14:textId="77777777">
            <w:pPr>
              <w:suppressAutoHyphens/>
              <w:jc w:val="center"/>
            </w:pPr>
            <w:r w:rsidRPr="00090B80">
              <w:t>Fully-loaded Labor Rate/Hour</w:t>
            </w:r>
            <w:r>
              <w:rPr>
                <w:vertAlign w:val="superscript"/>
              </w:rPr>
              <w:footnoteReference w:id="3"/>
            </w:r>
          </w:p>
        </w:tc>
        <w:tc>
          <w:tcPr>
            <w:tcW w:w="1260" w:type="dxa"/>
            <w:tcBorders>
              <w:top w:val="single" w:sz="4" w:space="0" w:color="auto"/>
              <w:bottom w:val="single" w:sz="4" w:space="0" w:color="auto"/>
            </w:tcBorders>
            <w:shd w:val="clear" w:color="auto" w:fill="auto"/>
            <w:tcMar>
              <w:left w:w="29" w:type="dxa"/>
              <w:right w:w="29" w:type="dxa"/>
            </w:tcMar>
            <w:vAlign w:val="center"/>
          </w:tcPr>
          <w:p w:rsidR="00332691" w:rsidRPr="00090B80" w:rsidP="00644410" w14:paraId="1553C8FA" w14:textId="77777777">
            <w:pPr>
              <w:suppressAutoHyphens/>
              <w:jc w:val="center"/>
            </w:pPr>
            <w:r w:rsidRPr="00090B80">
              <w:t>Processing Time per Response</w:t>
            </w:r>
          </w:p>
        </w:tc>
        <w:tc>
          <w:tcPr>
            <w:tcW w:w="1350" w:type="dxa"/>
            <w:tcBorders>
              <w:top w:val="single" w:sz="4" w:space="0" w:color="auto"/>
              <w:bottom w:val="single" w:sz="4" w:space="0" w:color="auto"/>
            </w:tcBorders>
            <w:shd w:val="clear" w:color="auto" w:fill="auto"/>
            <w:tcMar>
              <w:left w:w="29" w:type="dxa"/>
              <w:right w:w="29" w:type="dxa"/>
            </w:tcMar>
            <w:vAlign w:val="center"/>
          </w:tcPr>
          <w:p w:rsidR="00332691" w:rsidRPr="00090B80" w:rsidP="00644410" w14:paraId="4A51E7BA" w14:textId="77777777">
            <w:pPr>
              <w:suppressAutoHyphens/>
              <w:jc w:val="center"/>
            </w:pPr>
            <w:r w:rsidRPr="00090B80">
              <w:t>Labor Costs per Response</w:t>
            </w:r>
          </w:p>
        </w:tc>
        <w:tc>
          <w:tcPr>
            <w:tcW w:w="1350" w:type="dxa"/>
            <w:tcBorders>
              <w:top w:val="single" w:sz="4" w:space="0" w:color="auto"/>
              <w:bottom w:val="single" w:sz="4" w:space="0" w:color="auto"/>
            </w:tcBorders>
            <w:shd w:val="clear" w:color="auto" w:fill="auto"/>
            <w:tcMar>
              <w:left w:w="29" w:type="dxa"/>
              <w:right w:w="29" w:type="dxa"/>
            </w:tcMar>
            <w:vAlign w:val="center"/>
          </w:tcPr>
          <w:p w:rsidR="00332691" w:rsidRPr="00090B80" w:rsidP="00644410" w14:paraId="43339A4B" w14:textId="77777777">
            <w:pPr>
              <w:suppressAutoHyphens/>
              <w:jc w:val="center"/>
            </w:pPr>
            <w:r w:rsidRPr="00090B80">
              <w:t>Total Responses</w:t>
            </w:r>
          </w:p>
        </w:tc>
        <w:tc>
          <w:tcPr>
            <w:tcW w:w="1805" w:type="dxa"/>
            <w:tcBorders>
              <w:top w:val="single" w:sz="4" w:space="0" w:color="auto"/>
              <w:bottom w:val="single" w:sz="4" w:space="0" w:color="auto"/>
            </w:tcBorders>
            <w:shd w:val="clear" w:color="auto" w:fill="auto"/>
            <w:tcMar>
              <w:left w:w="29" w:type="dxa"/>
              <w:right w:w="29" w:type="dxa"/>
            </w:tcMar>
            <w:vAlign w:val="center"/>
          </w:tcPr>
          <w:p w:rsidR="00332691" w:rsidRPr="00090B80" w:rsidP="00644410" w14:paraId="2DB31347" w14:textId="77777777">
            <w:pPr>
              <w:suppressAutoHyphens/>
              <w:jc w:val="center"/>
            </w:pPr>
            <w:r w:rsidRPr="00090B80">
              <w:t>Total TTB Labor Costs</w:t>
            </w:r>
          </w:p>
        </w:tc>
      </w:tr>
      <w:tr w14:paraId="73257512" w14:textId="77777777" w:rsidTr="00644410">
        <w:tblPrEx>
          <w:tblW w:w="8640" w:type="dxa"/>
          <w:jc w:val="center"/>
          <w:tblLayout w:type="fixed"/>
          <w:tblLook w:val="04A0"/>
        </w:tblPrEx>
        <w:trPr>
          <w:trHeight w:val="593"/>
          <w:jc w:val="center"/>
        </w:trPr>
        <w:tc>
          <w:tcPr>
            <w:tcW w:w="1615" w:type="dxa"/>
            <w:tcBorders>
              <w:top w:val="dotted" w:sz="4" w:space="0" w:color="auto"/>
              <w:bottom w:val="dotted" w:sz="4" w:space="0" w:color="auto"/>
            </w:tcBorders>
            <w:shd w:val="clear" w:color="auto" w:fill="auto"/>
            <w:vAlign w:val="center"/>
          </w:tcPr>
          <w:p w:rsidR="00332691" w:rsidRPr="00090B80" w:rsidP="00644410" w14:paraId="2FEE2E47" w14:textId="77777777">
            <w:pPr>
              <w:suppressAutoHyphens/>
              <w:jc w:val="center"/>
            </w:pPr>
            <w:r w:rsidRPr="00090B80">
              <w:t xml:space="preserve">GS–5, Step 5, </w:t>
            </w:r>
          </w:p>
          <w:p w:rsidR="00332691" w:rsidRPr="00090B80" w:rsidP="00644410" w14:paraId="5F72349B" w14:textId="77777777">
            <w:pPr>
              <w:suppressAutoHyphens/>
              <w:jc w:val="center"/>
            </w:pPr>
            <w:r w:rsidRPr="00090B80">
              <w:t xml:space="preserve">Clerk </w:t>
            </w:r>
          </w:p>
        </w:tc>
        <w:tc>
          <w:tcPr>
            <w:tcW w:w="1260"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3B58FDD8" w14:textId="767C7A53">
            <w:pPr>
              <w:suppressAutoHyphens/>
              <w:jc w:val="center"/>
            </w:pPr>
            <w:r w:rsidRPr="00090B80">
              <w:t>$</w:t>
            </w:r>
            <w:r w:rsidR="00C22B93">
              <w:t>37.18</w:t>
            </w:r>
          </w:p>
        </w:tc>
        <w:tc>
          <w:tcPr>
            <w:tcW w:w="1260"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600F11A5" w14:textId="77777777">
            <w:pPr>
              <w:suppressAutoHyphens/>
              <w:jc w:val="center"/>
            </w:pPr>
            <w:r w:rsidRPr="00090B80">
              <w:t>3 minutes</w:t>
            </w:r>
          </w:p>
        </w:tc>
        <w:tc>
          <w:tcPr>
            <w:tcW w:w="1350"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3D24E067" w14:textId="206DCBA6">
            <w:pPr>
              <w:suppressAutoHyphens/>
              <w:jc w:val="center"/>
            </w:pPr>
            <w:r w:rsidRPr="00090B80">
              <w:t>$1.</w:t>
            </w:r>
            <w:r w:rsidR="00554C61">
              <w:t>86</w:t>
            </w:r>
          </w:p>
        </w:tc>
        <w:tc>
          <w:tcPr>
            <w:tcW w:w="1350" w:type="dxa"/>
            <w:vMerge w:val="restart"/>
            <w:tcBorders>
              <w:top w:val="dotted" w:sz="4" w:space="0" w:color="auto"/>
            </w:tcBorders>
            <w:shd w:val="clear" w:color="auto" w:fill="auto"/>
            <w:tcMar>
              <w:left w:w="29" w:type="dxa"/>
              <w:right w:w="29" w:type="dxa"/>
            </w:tcMar>
            <w:vAlign w:val="center"/>
          </w:tcPr>
          <w:p w:rsidR="00332691" w:rsidRPr="00090B80" w:rsidP="00644410" w14:paraId="4AC193C1" w14:textId="3A71B9C6">
            <w:pPr>
              <w:suppressAutoHyphens/>
              <w:jc w:val="center"/>
            </w:pPr>
            <w:r>
              <w:t>600</w:t>
            </w:r>
          </w:p>
        </w:tc>
        <w:tc>
          <w:tcPr>
            <w:tcW w:w="1805"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7F4E1FC3" w14:textId="6BF33805">
            <w:pPr>
              <w:suppressAutoHyphens/>
              <w:jc w:val="center"/>
            </w:pPr>
            <w:r>
              <w:t>$1,116.00</w:t>
            </w:r>
          </w:p>
        </w:tc>
      </w:tr>
      <w:tr w14:paraId="2649880C" w14:textId="77777777" w:rsidTr="00644410">
        <w:tblPrEx>
          <w:tblW w:w="8640" w:type="dxa"/>
          <w:jc w:val="center"/>
          <w:tblLayout w:type="fixed"/>
          <w:tblLook w:val="04A0"/>
        </w:tblPrEx>
        <w:trPr>
          <w:trHeight w:val="530"/>
          <w:jc w:val="center"/>
        </w:trPr>
        <w:tc>
          <w:tcPr>
            <w:tcW w:w="1615" w:type="dxa"/>
            <w:tcBorders>
              <w:top w:val="dotted" w:sz="4" w:space="0" w:color="auto"/>
              <w:bottom w:val="dotted" w:sz="4" w:space="0" w:color="auto"/>
            </w:tcBorders>
            <w:shd w:val="clear" w:color="auto" w:fill="auto"/>
            <w:vAlign w:val="center"/>
          </w:tcPr>
          <w:p w:rsidR="00332691" w:rsidRPr="00090B80" w:rsidP="00644410" w14:paraId="7F092FD7" w14:textId="77777777">
            <w:pPr>
              <w:suppressAutoHyphens/>
              <w:jc w:val="center"/>
            </w:pPr>
            <w:r w:rsidRPr="00090B80">
              <w:t>GS–11, Step 5, Supervisor</w:t>
            </w:r>
          </w:p>
        </w:tc>
        <w:tc>
          <w:tcPr>
            <w:tcW w:w="1260"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1E7D587F" w14:textId="7D3739F2">
            <w:pPr>
              <w:suppressAutoHyphens/>
              <w:jc w:val="center"/>
            </w:pPr>
            <w:r w:rsidRPr="00090B80">
              <w:t>$</w:t>
            </w:r>
            <w:r w:rsidR="006A08DF">
              <w:t>68.17</w:t>
            </w:r>
          </w:p>
        </w:tc>
        <w:tc>
          <w:tcPr>
            <w:tcW w:w="1260"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49B8D0AF" w14:textId="77777777">
            <w:pPr>
              <w:suppressAutoHyphens/>
              <w:jc w:val="center"/>
            </w:pPr>
            <w:r w:rsidRPr="00090B80">
              <w:t>15 minutes</w:t>
            </w:r>
          </w:p>
        </w:tc>
        <w:tc>
          <w:tcPr>
            <w:tcW w:w="1350"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522AAD87" w14:textId="2F99E854">
            <w:pPr>
              <w:suppressAutoHyphens/>
              <w:jc w:val="center"/>
            </w:pPr>
            <w:r w:rsidRPr="00090B80">
              <w:t>$</w:t>
            </w:r>
            <w:r w:rsidR="00A702BF">
              <w:t>1</w:t>
            </w:r>
            <w:r w:rsidR="00F0010D">
              <w:t>7.</w:t>
            </w:r>
            <w:r w:rsidR="00A55BEA">
              <w:t>04</w:t>
            </w:r>
          </w:p>
        </w:tc>
        <w:tc>
          <w:tcPr>
            <w:tcW w:w="1350" w:type="dxa"/>
            <w:vMerge/>
            <w:tcBorders>
              <w:bottom w:val="dotted" w:sz="4" w:space="0" w:color="auto"/>
            </w:tcBorders>
            <w:shd w:val="clear" w:color="auto" w:fill="auto"/>
            <w:tcMar>
              <w:left w:w="29" w:type="dxa"/>
              <w:right w:w="29" w:type="dxa"/>
            </w:tcMar>
            <w:vAlign w:val="center"/>
          </w:tcPr>
          <w:p w:rsidR="00332691" w:rsidRPr="00090B80" w:rsidP="00644410" w14:paraId="4A4FF9B8" w14:textId="77777777">
            <w:pPr>
              <w:suppressAutoHyphens/>
              <w:jc w:val="center"/>
            </w:pPr>
          </w:p>
        </w:tc>
        <w:tc>
          <w:tcPr>
            <w:tcW w:w="1805" w:type="dxa"/>
            <w:tcBorders>
              <w:top w:val="dotted" w:sz="4" w:space="0" w:color="auto"/>
              <w:bottom w:val="dotted" w:sz="4" w:space="0" w:color="auto"/>
            </w:tcBorders>
            <w:shd w:val="clear" w:color="auto" w:fill="auto"/>
            <w:tcMar>
              <w:left w:w="29" w:type="dxa"/>
              <w:right w:w="29" w:type="dxa"/>
            </w:tcMar>
            <w:vAlign w:val="center"/>
          </w:tcPr>
          <w:p w:rsidR="00332691" w:rsidRPr="00090B80" w:rsidP="00644410" w14:paraId="792BF456" w14:textId="799C5A8E">
            <w:pPr>
              <w:suppressAutoHyphens/>
              <w:jc w:val="center"/>
            </w:pPr>
            <w:r>
              <w:t>$10,224.00</w:t>
            </w:r>
          </w:p>
        </w:tc>
      </w:tr>
      <w:tr w14:paraId="0A984E0A" w14:textId="77777777" w:rsidTr="00644410">
        <w:tblPrEx>
          <w:tblW w:w="8640" w:type="dxa"/>
          <w:jc w:val="center"/>
          <w:tblLayout w:type="fixed"/>
          <w:tblLook w:val="04A0"/>
        </w:tblPrEx>
        <w:trPr>
          <w:trHeight w:val="530"/>
          <w:jc w:val="center"/>
        </w:trPr>
        <w:tc>
          <w:tcPr>
            <w:tcW w:w="1615" w:type="dxa"/>
            <w:tcBorders>
              <w:top w:val="single" w:sz="12" w:space="0" w:color="auto"/>
              <w:bottom w:val="single" w:sz="4" w:space="0" w:color="auto"/>
            </w:tcBorders>
            <w:shd w:val="clear" w:color="auto" w:fill="auto"/>
            <w:vAlign w:val="center"/>
          </w:tcPr>
          <w:p w:rsidR="00332691" w:rsidRPr="00090B80" w:rsidP="00644410" w14:paraId="6DF4F120" w14:textId="77777777">
            <w:pPr>
              <w:suppressAutoHyphens/>
              <w:jc w:val="center"/>
            </w:pPr>
            <w:r w:rsidRPr="00090B80">
              <w:t xml:space="preserve">TOTALS </w:t>
            </w:r>
          </w:p>
        </w:tc>
        <w:tc>
          <w:tcPr>
            <w:tcW w:w="1260" w:type="dxa"/>
            <w:tcBorders>
              <w:top w:val="single" w:sz="12" w:space="0" w:color="auto"/>
              <w:bottom w:val="single" w:sz="4" w:space="0" w:color="auto"/>
            </w:tcBorders>
            <w:shd w:val="clear" w:color="auto" w:fill="auto"/>
            <w:tcMar>
              <w:left w:w="29" w:type="dxa"/>
              <w:right w:w="29" w:type="dxa"/>
            </w:tcMar>
            <w:vAlign w:val="center"/>
          </w:tcPr>
          <w:p w:rsidR="00332691" w:rsidRPr="00644410" w:rsidP="00644410" w14:paraId="68D33E60" w14:textId="10B6E79D">
            <w:pPr>
              <w:suppressAutoHyphens/>
              <w:jc w:val="center"/>
              <w:rPr>
                <w:sz w:val="18"/>
                <w:szCs w:val="18"/>
              </w:rPr>
            </w:pPr>
            <w:r w:rsidRPr="00644410">
              <w:rPr>
                <w:sz w:val="18"/>
                <w:szCs w:val="18"/>
              </w:rPr>
              <w:t>($</w:t>
            </w:r>
            <w:r w:rsidR="005E676A">
              <w:rPr>
                <w:sz w:val="18"/>
                <w:szCs w:val="18"/>
              </w:rPr>
              <w:t>63.00</w:t>
            </w:r>
            <w:r w:rsidRPr="00644410">
              <w:rPr>
                <w:sz w:val="18"/>
                <w:szCs w:val="18"/>
              </w:rPr>
              <w:t>)</w:t>
            </w:r>
          </w:p>
        </w:tc>
        <w:tc>
          <w:tcPr>
            <w:tcW w:w="1260" w:type="dxa"/>
            <w:tcBorders>
              <w:top w:val="single" w:sz="12" w:space="0" w:color="auto"/>
              <w:bottom w:val="single" w:sz="4" w:space="0" w:color="auto"/>
            </w:tcBorders>
            <w:shd w:val="clear" w:color="auto" w:fill="auto"/>
            <w:tcMar>
              <w:left w:w="29" w:type="dxa"/>
              <w:right w:w="29" w:type="dxa"/>
            </w:tcMar>
            <w:vAlign w:val="center"/>
          </w:tcPr>
          <w:p w:rsidR="00332691" w:rsidRPr="00090B80" w:rsidP="00644410" w14:paraId="0B0CDC7E" w14:textId="77777777">
            <w:pPr>
              <w:suppressAutoHyphens/>
              <w:jc w:val="center"/>
            </w:pPr>
            <w:r w:rsidRPr="00090B80">
              <w:t>18 minutes</w:t>
            </w:r>
          </w:p>
        </w:tc>
        <w:tc>
          <w:tcPr>
            <w:tcW w:w="1350" w:type="dxa"/>
            <w:tcBorders>
              <w:top w:val="single" w:sz="12" w:space="0" w:color="auto"/>
              <w:bottom w:val="single" w:sz="4" w:space="0" w:color="auto"/>
            </w:tcBorders>
            <w:shd w:val="clear" w:color="auto" w:fill="auto"/>
            <w:tcMar>
              <w:left w:w="29" w:type="dxa"/>
              <w:right w:w="29" w:type="dxa"/>
            </w:tcMar>
            <w:vAlign w:val="center"/>
          </w:tcPr>
          <w:p w:rsidR="00332691" w:rsidRPr="00090B80" w:rsidP="00644410" w14:paraId="07738BAB" w14:textId="53E02536">
            <w:pPr>
              <w:suppressAutoHyphens/>
              <w:jc w:val="center"/>
            </w:pPr>
            <w:r w:rsidRPr="00090B80">
              <w:t>$</w:t>
            </w:r>
            <w:r w:rsidR="00AB5E35">
              <w:t>18.9</w:t>
            </w:r>
            <w:r w:rsidR="00A55BEA">
              <w:t>0</w:t>
            </w:r>
          </w:p>
        </w:tc>
        <w:tc>
          <w:tcPr>
            <w:tcW w:w="1350" w:type="dxa"/>
            <w:tcBorders>
              <w:top w:val="single" w:sz="12" w:space="0" w:color="auto"/>
              <w:bottom w:val="single" w:sz="4" w:space="0" w:color="auto"/>
            </w:tcBorders>
            <w:shd w:val="clear" w:color="auto" w:fill="auto"/>
            <w:tcMar>
              <w:left w:w="29" w:type="dxa"/>
              <w:right w:w="29" w:type="dxa"/>
            </w:tcMar>
            <w:vAlign w:val="center"/>
          </w:tcPr>
          <w:p w:rsidR="00332691" w:rsidRPr="00090B80" w:rsidP="00644410" w14:paraId="76C1D3F1" w14:textId="334DA59A">
            <w:pPr>
              <w:suppressAutoHyphens/>
              <w:jc w:val="center"/>
            </w:pPr>
            <w:r>
              <w:t>600</w:t>
            </w:r>
          </w:p>
        </w:tc>
        <w:tc>
          <w:tcPr>
            <w:tcW w:w="1805" w:type="dxa"/>
            <w:tcBorders>
              <w:top w:val="single" w:sz="12" w:space="0" w:color="auto"/>
              <w:bottom w:val="single" w:sz="4" w:space="0" w:color="auto"/>
            </w:tcBorders>
            <w:shd w:val="clear" w:color="auto" w:fill="auto"/>
            <w:tcMar>
              <w:left w:w="29" w:type="dxa"/>
              <w:right w:w="29" w:type="dxa"/>
            </w:tcMar>
            <w:vAlign w:val="center"/>
          </w:tcPr>
          <w:p w:rsidR="00332691" w:rsidRPr="00090B80" w:rsidP="00644410" w14:paraId="04ECC6EE" w14:textId="60C6B26D">
            <w:pPr>
              <w:suppressAutoHyphens/>
              <w:jc w:val="center"/>
            </w:pPr>
            <w:r>
              <w:t>$11,340.00</w:t>
            </w:r>
          </w:p>
        </w:tc>
      </w:tr>
    </w:tbl>
    <w:p w:rsidR="00332691" w:rsidRPr="00090B80" w:rsidP="00A55BEA" w14:paraId="7F3BF13F" w14:textId="77777777">
      <w:pPr>
        <w:spacing w:before="40"/>
        <w:ind w:left="360"/>
      </w:pPr>
      <w:r w:rsidRPr="00090B80">
        <w:rPr>
          <w:sz w:val="22"/>
          <w:szCs w:val="22"/>
        </w:rPr>
        <w:t xml:space="preserve">* </w:t>
      </w:r>
      <w:r w:rsidRPr="00090B80">
        <w:t xml:space="preserve">Labor costs rounded to the nearest whole cent, unless otherwise shown. </w:t>
      </w:r>
    </w:p>
    <w:p w:rsidR="00956008" w:rsidRPr="00090B80" w:rsidP="00AC1686" w14:paraId="39A2FCF7" w14:textId="77777777">
      <w:pPr>
        <w:ind w:left="360"/>
        <w:rPr>
          <w:sz w:val="22"/>
          <w:szCs w:val="22"/>
        </w:rPr>
      </w:pPr>
    </w:p>
    <w:p w:rsidR="00AC1686" w:rsidRPr="00090B80" w:rsidP="00AC1686" w14:paraId="3CCF6BF8" w14:textId="1910D571">
      <w:pPr>
        <w:ind w:left="360"/>
        <w:rPr>
          <w:sz w:val="22"/>
          <w:szCs w:val="22"/>
        </w:rPr>
      </w:pPr>
      <w:r w:rsidRPr="00090B80">
        <w:rPr>
          <w:sz w:val="22"/>
          <w:szCs w:val="22"/>
        </w:rPr>
        <w:t xml:space="preserve">In addition, TTB estimates that it has $1.00 in overhead costs for </w:t>
      </w:r>
      <w:r w:rsidR="004A14EC">
        <w:rPr>
          <w:sz w:val="22"/>
          <w:szCs w:val="22"/>
        </w:rPr>
        <w:t xml:space="preserve">each </w:t>
      </w:r>
      <w:r w:rsidRPr="00090B80" w:rsidR="00090B80">
        <w:rPr>
          <w:sz w:val="22"/>
          <w:szCs w:val="22"/>
        </w:rPr>
        <w:t>response to this collection</w:t>
      </w:r>
      <w:r w:rsidR="000E6B3D">
        <w:rPr>
          <w:sz w:val="22"/>
          <w:szCs w:val="22"/>
        </w:rPr>
        <w:t xml:space="preserve"> request, </w:t>
      </w:r>
      <w:r w:rsidRPr="00090B80" w:rsidR="00090B80">
        <w:rPr>
          <w:sz w:val="22"/>
          <w:szCs w:val="22"/>
        </w:rPr>
        <w:t>resulting in $</w:t>
      </w:r>
      <w:r w:rsidR="00A55BEA">
        <w:rPr>
          <w:sz w:val="22"/>
          <w:szCs w:val="22"/>
        </w:rPr>
        <w:t>600</w:t>
      </w:r>
      <w:r w:rsidR="000E6B3D">
        <w:rPr>
          <w:sz w:val="22"/>
          <w:szCs w:val="22"/>
        </w:rPr>
        <w:t>.00 such costs</w:t>
      </w:r>
      <w:r w:rsidRPr="00090B80" w:rsidR="00090B80">
        <w:rPr>
          <w:sz w:val="22"/>
          <w:szCs w:val="22"/>
        </w:rPr>
        <w:t xml:space="preserve">.  </w:t>
      </w:r>
      <w:r w:rsidRPr="00090B80">
        <w:rPr>
          <w:sz w:val="22"/>
          <w:szCs w:val="22"/>
        </w:rPr>
        <w:t xml:space="preserve">However, TTB’s printing and distribution costs have decreased to $0.00 in due to the availability of its forms to the public on the TTB website’s forms page at </w:t>
      </w:r>
      <w:r w:rsidRPr="00090B80">
        <w:rPr>
          <w:i/>
          <w:sz w:val="22"/>
          <w:szCs w:val="22"/>
        </w:rPr>
        <w:t>https://www.ttb.gov/forms</w:t>
      </w:r>
      <w:r w:rsidRPr="00090B80">
        <w:rPr>
          <w:sz w:val="22"/>
          <w:szCs w:val="22"/>
        </w:rPr>
        <w:t xml:space="preserve">.  </w:t>
      </w:r>
      <w:r w:rsidRPr="00090B80" w:rsidR="00090B80">
        <w:rPr>
          <w:sz w:val="22"/>
          <w:szCs w:val="22"/>
        </w:rPr>
        <w:t xml:space="preserve">Therefore, the total </w:t>
      </w:r>
      <w:r w:rsidR="005E676A">
        <w:rPr>
          <w:sz w:val="22"/>
          <w:szCs w:val="22"/>
        </w:rPr>
        <w:t xml:space="preserve">labor and overhead </w:t>
      </w:r>
      <w:r w:rsidRPr="00090B80" w:rsidR="00090B80">
        <w:rPr>
          <w:sz w:val="22"/>
          <w:szCs w:val="22"/>
        </w:rPr>
        <w:t xml:space="preserve">costs to the </w:t>
      </w:r>
      <w:r w:rsidRPr="00090B80">
        <w:rPr>
          <w:sz w:val="22"/>
          <w:szCs w:val="22"/>
        </w:rPr>
        <w:t xml:space="preserve">Federal Government for this information collection </w:t>
      </w:r>
      <w:r w:rsidRPr="00090B80" w:rsidR="00090B80">
        <w:rPr>
          <w:sz w:val="22"/>
          <w:szCs w:val="22"/>
        </w:rPr>
        <w:t>request are</w:t>
      </w:r>
      <w:r w:rsidRPr="00090B80">
        <w:rPr>
          <w:sz w:val="22"/>
          <w:szCs w:val="22"/>
        </w:rPr>
        <w:t xml:space="preserve"> </w:t>
      </w:r>
      <w:r w:rsidRPr="00090B80">
        <w:rPr>
          <w:b/>
          <w:sz w:val="22"/>
          <w:szCs w:val="22"/>
        </w:rPr>
        <w:t>$</w:t>
      </w:r>
      <w:r w:rsidR="005E676A">
        <w:rPr>
          <w:b/>
          <w:sz w:val="22"/>
          <w:szCs w:val="22"/>
        </w:rPr>
        <w:t>11,940.00</w:t>
      </w:r>
      <w:r w:rsidRPr="00090B80" w:rsidR="00090B80">
        <w:rPr>
          <w:sz w:val="22"/>
          <w:szCs w:val="22"/>
        </w:rPr>
        <w:t xml:space="preserve">. </w:t>
      </w:r>
    </w:p>
    <w:p w:rsidR="00AC1686" w:rsidRPr="00090B80" w:rsidP="00AC1686" w14:paraId="7C6DD392" w14:textId="77777777">
      <w:pPr>
        <w:rPr>
          <w:sz w:val="28"/>
          <w:szCs w:val="28"/>
        </w:rPr>
      </w:pPr>
    </w:p>
    <w:p w:rsidR="0093146C" w:rsidRPr="00AB6BE9" w:rsidP="00847A70" w14:paraId="1C5A7703" w14:textId="77777777">
      <w:pPr>
        <w:widowControl/>
        <w:suppressAutoHyphens/>
        <w:rPr>
          <w:i/>
          <w:sz w:val="22"/>
          <w:szCs w:val="22"/>
        </w:rPr>
      </w:pPr>
      <w:r w:rsidRPr="00AB6BE9">
        <w:rPr>
          <w:i/>
          <w:sz w:val="22"/>
          <w:szCs w:val="22"/>
        </w:rPr>
        <w:t xml:space="preserve">15.  What is the reason for any program changes or adjustments reported? </w:t>
      </w:r>
    </w:p>
    <w:p w:rsidR="0093146C" w:rsidRPr="00AB6BE9" w:rsidP="00847A70" w14:paraId="55946204" w14:textId="77777777">
      <w:pPr>
        <w:widowControl/>
        <w:suppressAutoHyphens/>
        <w:rPr>
          <w:sz w:val="22"/>
          <w:szCs w:val="22"/>
        </w:rPr>
      </w:pPr>
    </w:p>
    <w:p w:rsidR="00BA0AEE" w:rsidP="004E0C9F" w14:paraId="211DF401" w14:textId="48FF42B5">
      <w:pPr>
        <w:widowControl/>
        <w:ind w:left="360"/>
        <w:rPr>
          <w:sz w:val="22"/>
          <w:szCs w:val="22"/>
        </w:rPr>
      </w:pPr>
      <w:r w:rsidRPr="00AB6BE9">
        <w:rPr>
          <w:sz w:val="22"/>
          <w:szCs w:val="22"/>
        </w:rPr>
        <w:t xml:space="preserve">There </w:t>
      </w:r>
      <w:r>
        <w:rPr>
          <w:sz w:val="22"/>
          <w:szCs w:val="22"/>
        </w:rPr>
        <w:t>are</w:t>
      </w:r>
      <w:r w:rsidR="005E676A">
        <w:rPr>
          <w:sz w:val="22"/>
          <w:szCs w:val="22"/>
        </w:rPr>
        <w:t xml:space="preserve"> </w:t>
      </w:r>
      <w:r w:rsidRPr="00AB6BE9">
        <w:rPr>
          <w:sz w:val="22"/>
          <w:szCs w:val="22"/>
        </w:rPr>
        <w:t>no program change</w:t>
      </w:r>
      <w:r>
        <w:rPr>
          <w:sz w:val="22"/>
          <w:szCs w:val="22"/>
        </w:rPr>
        <w:t>s</w:t>
      </w:r>
      <w:r w:rsidRPr="00AB6BE9">
        <w:rPr>
          <w:sz w:val="22"/>
          <w:szCs w:val="22"/>
        </w:rPr>
        <w:t xml:space="preserve"> </w:t>
      </w:r>
      <w:r w:rsidRPr="00AB6BE9" w:rsidR="00646BB2">
        <w:rPr>
          <w:sz w:val="22"/>
          <w:szCs w:val="22"/>
        </w:rPr>
        <w:t>associ</w:t>
      </w:r>
      <w:r w:rsidRPr="00AB6BE9">
        <w:rPr>
          <w:sz w:val="22"/>
          <w:szCs w:val="22"/>
        </w:rPr>
        <w:t>ated with th</w:t>
      </w:r>
      <w:r>
        <w:rPr>
          <w:sz w:val="22"/>
          <w:szCs w:val="22"/>
        </w:rPr>
        <w:t xml:space="preserve">e two information collections included under this </w:t>
      </w:r>
      <w:r w:rsidR="0012608A">
        <w:rPr>
          <w:sz w:val="22"/>
          <w:szCs w:val="22"/>
        </w:rPr>
        <w:t>collection</w:t>
      </w:r>
      <w:r w:rsidR="00090B80">
        <w:rPr>
          <w:sz w:val="22"/>
          <w:szCs w:val="22"/>
        </w:rPr>
        <w:t xml:space="preserve"> request</w:t>
      </w:r>
      <w:r w:rsidR="005E676A">
        <w:rPr>
          <w:sz w:val="22"/>
          <w:szCs w:val="22"/>
        </w:rPr>
        <w:t xml:space="preserve">, and TTB is submitting it for </w:t>
      </w:r>
      <w:r w:rsidRPr="005E676A" w:rsidR="005E676A">
        <w:rPr>
          <w:sz w:val="22"/>
          <w:szCs w:val="22"/>
        </w:rPr>
        <w:t>extension purposes only</w:t>
      </w:r>
      <w:r w:rsidR="00090B80">
        <w:rPr>
          <w:sz w:val="22"/>
          <w:szCs w:val="22"/>
        </w:rPr>
        <w:t>.  As for adjustments</w:t>
      </w:r>
      <w:r>
        <w:rPr>
          <w:sz w:val="22"/>
          <w:szCs w:val="22"/>
        </w:rPr>
        <w:t xml:space="preserve">, </w:t>
      </w:r>
      <w:r w:rsidR="00090B80">
        <w:rPr>
          <w:sz w:val="22"/>
          <w:szCs w:val="22"/>
        </w:rPr>
        <w:t xml:space="preserve">due to changes in agency estimates, TTB is </w:t>
      </w:r>
      <w:r w:rsidR="005E676A">
        <w:rPr>
          <w:sz w:val="22"/>
          <w:szCs w:val="22"/>
        </w:rPr>
        <w:t>dec</w:t>
      </w:r>
      <w:r w:rsidR="00090B80">
        <w:rPr>
          <w:sz w:val="22"/>
          <w:szCs w:val="22"/>
        </w:rPr>
        <w:t xml:space="preserve">reasing </w:t>
      </w:r>
      <w:r w:rsidR="004E0C9F">
        <w:rPr>
          <w:sz w:val="22"/>
          <w:szCs w:val="22"/>
        </w:rPr>
        <w:t xml:space="preserve">this </w:t>
      </w:r>
      <w:r>
        <w:rPr>
          <w:sz w:val="22"/>
          <w:szCs w:val="22"/>
        </w:rPr>
        <w:t xml:space="preserve">information </w:t>
      </w:r>
      <w:r w:rsidR="004E0C9F">
        <w:rPr>
          <w:sz w:val="22"/>
          <w:szCs w:val="22"/>
        </w:rPr>
        <w:t xml:space="preserve">collection request’s overall annual estimated burden, </w:t>
      </w:r>
      <w:r w:rsidR="005E676A">
        <w:rPr>
          <w:sz w:val="22"/>
          <w:szCs w:val="22"/>
        </w:rPr>
        <w:t>from 2,100 to 300</w:t>
      </w:r>
      <w:r w:rsidR="004E0C9F">
        <w:rPr>
          <w:sz w:val="22"/>
          <w:szCs w:val="22"/>
        </w:rPr>
        <w:t xml:space="preserve"> respondents, from </w:t>
      </w:r>
      <w:r w:rsidR="005E676A">
        <w:rPr>
          <w:sz w:val="22"/>
          <w:szCs w:val="22"/>
        </w:rPr>
        <w:t>2,150 to 600</w:t>
      </w:r>
      <w:r w:rsidR="004E0C9F">
        <w:rPr>
          <w:sz w:val="22"/>
          <w:szCs w:val="22"/>
        </w:rPr>
        <w:t xml:space="preserve"> responses, and from </w:t>
      </w:r>
      <w:r w:rsidR="005E676A">
        <w:rPr>
          <w:sz w:val="22"/>
          <w:szCs w:val="22"/>
        </w:rPr>
        <w:t>2</w:t>
      </w:r>
      <w:r w:rsidR="005A22E7">
        <w:rPr>
          <w:sz w:val="22"/>
          <w:szCs w:val="22"/>
        </w:rPr>
        <w:t>,</w:t>
      </w:r>
      <w:r w:rsidR="005E676A">
        <w:rPr>
          <w:sz w:val="22"/>
          <w:szCs w:val="22"/>
        </w:rPr>
        <w:t xml:space="preserve">150 to </w:t>
      </w:r>
      <w:r w:rsidR="00311016">
        <w:rPr>
          <w:sz w:val="22"/>
          <w:szCs w:val="22"/>
        </w:rPr>
        <w:t>1,200</w:t>
      </w:r>
      <w:r w:rsidR="004E0C9F">
        <w:rPr>
          <w:sz w:val="22"/>
          <w:szCs w:val="22"/>
        </w:rPr>
        <w:t xml:space="preserve"> burden hours.  Those decreases result from </w:t>
      </w:r>
      <w:r>
        <w:rPr>
          <w:sz w:val="22"/>
          <w:szCs w:val="22"/>
        </w:rPr>
        <w:t xml:space="preserve">a decrease in the number of alcohol fuel plants and the resulting </w:t>
      </w:r>
      <w:r w:rsidR="004E0C9F">
        <w:rPr>
          <w:sz w:val="22"/>
          <w:szCs w:val="22"/>
        </w:rPr>
        <w:t>decrease in the number of annual respondent</w:t>
      </w:r>
      <w:r>
        <w:rPr>
          <w:sz w:val="22"/>
          <w:szCs w:val="22"/>
        </w:rPr>
        <w:t>s</w:t>
      </w:r>
      <w:r w:rsidR="004E0C9F">
        <w:rPr>
          <w:sz w:val="22"/>
          <w:szCs w:val="22"/>
        </w:rPr>
        <w:t xml:space="preserve"> </w:t>
      </w:r>
      <w:r>
        <w:rPr>
          <w:sz w:val="22"/>
          <w:szCs w:val="22"/>
        </w:rPr>
        <w:t xml:space="preserve">and responses </w:t>
      </w:r>
      <w:r w:rsidR="004E0C9F">
        <w:rPr>
          <w:sz w:val="22"/>
          <w:szCs w:val="22"/>
        </w:rPr>
        <w:t xml:space="preserve">to the Alcohol Fuel Plant </w:t>
      </w:r>
      <w:r>
        <w:rPr>
          <w:sz w:val="22"/>
          <w:szCs w:val="22"/>
        </w:rPr>
        <w:t xml:space="preserve">Reports </w:t>
      </w:r>
      <w:r w:rsidR="004E0C9F">
        <w:rPr>
          <w:sz w:val="22"/>
          <w:szCs w:val="22"/>
        </w:rPr>
        <w:t xml:space="preserve">information collection included under this request. </w:t>
      </w:r>
    </w:p>
    <w:p w:rsidR="00BA0AEE" w:rsidP="004E0C9F" w14:paraId="04C42418" w14:textId="77777777">
      <w:pPr>
        <w:widowControl/>
        <w:ind w:left="360"/>
        <w:rPr>
          <w:sz w:val="22"/>
          <w:szCs w:val="22"/>
        </w:rPr>
      </w:pPr>
    </w:p>
    <w:p w:rsidR="005E676A" w:rsidP="004E0C9F" w14:paraId="24017CAC" w14:textId="0FAE3248">
      <w:pPr>
        <w:widowControl/>
        <w:ind w:left="360"/>
        <w:rPr>
          <w:sz w:val="22"/>
          <w:szCs w:val="22"/>
        </w:rPr>
      </w:pPr>
      <w:r>
        <w:rPr>
          <w:sz w:val="22"/>
          <w:szCs w:val="22"/>
        </w:rPr>
        <w:t xml:space="preserve">For the </w:t>
      </w:r>
      <w:r w:rsidRPr="004E0C9F">
        <w:rPr>
          <w:sz w:val="22"/>
          <w:szCs w:val="22"/>
        </w:rPr>
        <w:t>Misc</w:t>
      </w:r>
      <w:r>
        <w:rPr>
          <w:sz w:val="22"/>
          <w:szCs w:val="22"/>
        </w:rPr>
        <w:t>ellaneous</w:t>
      </w:r>
      <w:r w:rsidRPr="004E0C9F">
        <w:rPr>
          <w:sz w:val="22"/>
          <w:szCs w:val="22"/>
        </w:rPr>
        <w:t xml:space="preserve"> Applications, Notices, Marks, &amp; Records (TTB REC 5110/10)</w:t>
      </w:r>
      <w:r>
        <w:rPr>
          <w:sz w:val="22"/>
          <w:szCs w:val="22"/>
        </w:rPr>
        <w:t xml:space="preserve"> information collection included under this collection request, TTB is increasing </w:t>
      </w:r>
      <w:r w:rsidR="00BA0AEE">
        <w:rPr>
          <w:sz w:val="22"/>
          <w:szCs w:val="22"/>
        </w:rPr>
        <w:t>its</w:t>
      </w:r>
      <w:r>
        <w:rPr>
          <w:sz w:val="22"/>
          <w:szCs w:val="22"/>
        </w:rPr>
        <w:t xml:space="preserve"> annual burden estimate, from 50 to 300 respondents, from 50 to 300 responses, and from 50 to 300 hours.  Th</w:t>
      </w:r>
      <w:r w:rsidR="00BA0AEE">
        <w:rPr>
          <w:sz w:val="22"/>
          <w:szCs w:val="22"/>
        </w:rPr>
        <w:t>o</w:t>
      </w:r>
      <w:r>
        <w:rPr>
          <w:sz w:val="22"/>
          <w:szCs w:val="22"/>
        </w:rPr>
        <w:t xml:space="preserve">se increases result from </w:t>
      </w:r>
      <w:r w:rsidR="00BA0AEE">
        <w:rPr>
          <w:sz w:val="22"/>
          <w:szCs w:val="22"/>
        </w:rPr>
        <w:t>changes in agency estimates as TTB now finds that the estimated 3</w:t>
      </w:r>
      <w:r w:rsidRPr="00BA0AEE" w:rsidR="00BA0AEE">
        <w:rPr>
          <w:sz w:val="22"/>
          <w:szCs w:val="22"/>
        </w:rPr>
        <w:t xml:space="preserve">00 </w:t>
      </w:r>
      <w:r w:rsidR="00BA0AEE">
        <w:rPr>
          <w:sz w:val="22"/>
          <w:szCs w:val="22"/>
        </w:rPr>
        <w:t xml:space="preserve">alcohol fuel plant proprietors </w:t>
      </w:r>
      <w:r w:rsidRPr="00BA0AEE" w:rsidR="00BA0AEE">
        <w:rPr>
          <w:sz w:val="22"/>
          <w:szCs w:val="22"/>
        </w:rPr>
        <w:t xml:space="preserve">will </w:t>
      </w:r>
      <w:r w:rsidR="00BA0AEE">
        <w:rPr>
          <w:sz w:val="22"/>
          <w:szCs w:val="22"/>
        </w:rPr>
        <w:t xml:space="preserve">annually </w:t>
      </w:r>
      <w:r w:rsidRPr="00BA0AEE" w:rsidR="00BA0AEE">
        <w:rPr>
          <w:sz w:val="22"/>
          <w:szCs w:val="22"/>
        </w:rPr>
        <w:t>submit</w:t>
      </w:r>
      <w:r w:rsidR="00BA0AEE">
        <w:rPr>
          <w:sz w:val="22"/>
          <w:szCs w:val="22"/>
        </w:rPr>
        <w:t>, on average,</w:t>
      </w:r>
      <w:r w:rsidRPr="00BA0AEE" w:rsidR="00BA0AEE">
        <w:rPr>
          <w:sz w:val="22"/>
          <w:szCs w:val="22"/>
        </w:rPr>
        <w:t xml:space="preserve"> one miscellaneous letterhead application or notice </w:t>
      </w:r>
      <w:r w:rsidR="00BA0AEE">
        <w:rPr>
          <w:sz w:val="22"/>
          <w:szCs w:val="22"/>
        </w:rPr>
        <w:t xml:space="preserve">to TTB </w:t>
      </w:r>
      <w:r w:rsidRPr="00BA0AEE" w:rsidR="00BA0AEE">
        <w:rPr>
          <w:sz w:val="22"/>
          <w:szCs w:val="22"/>
        </w:rPr>
        <w:t>at a burden of 1 hour per response.  However, TTB notes the keeping of the inventory, production, removal, and other records and the placement of the required content and poison warning marks on alcohol fuel containers</w:t>
      </w:r>
      <w:r w:rsidR="00BA0AEE">
        <w:rPr>
          <w:sz w:val="22"/>
          <w:szCs w:val="22"/>
        </w:rPr>
        <w:t xml:space="preserve"> required under this information collection</w:t>
      </w:r>
      <w:r w:rsidRPr="00BA0AEE" w:rsidR="00BA0AEE">
        <w:rPr>
          <w:sz w:val="22"/>
          <w:szCs w:val="22"/>
        </w:rPr>
        <w:t xml:space="preserve"> are usual and customary </w:t>
      </w:r>
      <w:r w:rsidR="00BA0AEE">
        <w:rPr>
          <w:sz w:val="22"/>
          <w:szCs w:val="22"/>
        </w:rPr>
        <w:t xml:space="preserve">business </w:t>
      </w:r>
      <w:r w:rsidRPr="00BA0AEE" w:rsidR="00BA0AEE">
        <w:rPr>
          <w:sz w:val="22"/>
          <w:szCs w:val="22"/>
        </w:rPr>
        <w:t>practices</w:t>
      </w:r>
      <w:r w:rsidR="00BA0AEE">
        <w:rPr>
          <w:sz w:val="22"/>
          <w:szCs w:val="22"/>
        </w:rPr>
        <w:t xml:space="preserve"> undertaken by respondents regardless of any regulatory requirement to do so.  As such, u</w:t>
      </w:r>
      <w:r w:rsidRPr="00BA0AEE" w:rsidR="00BA0AEE">
        <w:rPr>
          <w:sz w:val="22"/>
          <w:szCs w:val="22"/>
        </w:rPr>
        <w:t xml:space="preserve">nder the OMB regulations at 5 CFR 1320(b)(2), such usual and customary practices, do not impose any burden on respondents as defined by the Paperwork Reduction Act. </w:t>
      </w:r>
    </w:p>
    <w:p w:rsidR="00533D2D" w:rsidRPr="00F76CEC" w:rsidP="00847A70" w14:paraId="6C1E594A" w14:textId="77777777">
      <w:pPr>
        <w:widowControl/>
        <w:tabs>
          <w:tab w:val="left" w:pos="540"/>
        </w:tabs>
        <w:ind w:left="540" w:hanging="540"/>
        <w:rPr>
          <w:sz w:val="28"/>
          <w:szCs w:val="28"/>
        </w:rPr>
      </w:pPr>
    </w:p>
    <w:p w:rsidR="00214081" w:rsidRPr="000B45DB" w:rsidP="00847A70" w14:paraId="635455AE" w14:textId="77777777">
      <w:pPr>
        <w:widowControl/>
        <w:suppressAutoHyphens/>
        <w:rPr>
          <w:i/>
          <w:sz w:val="22"/>
          <w:szCs w:val="22"/>
        </w:rPr>
      </w:pPr>
      <w:r w:rsidRPr="000B45DB">
        <w:rPr>
          <w:i/>
          <w:sz w:val="22"/>
          <w:szCs w:val="22"/>
        </w:rPr>
        <w:t xml:space="preserve">16.  Outline plans for tabulation and publication for collections of information whose results will be published. </w:t>
      </w:r>
    </w:p>
    <w:p w:rsidR="00214081" w:rsidRPr="000B45DB" w:rsidP="00847A70" w14:paraId="3567E055" w14:textId="77777777">
      <w:pPr>
        <w:widowControl/>
        <w:suppressAutoHyphens/>
        <w:ind w:left="480" w:hanging="480"/>
        <w:rPr>
          <w:sz w:val="22"/>
          <w:szCs w:val="22"/>
        </w:rPr>
      </w:pPr>
    </w:p>
    <w:p w:rsidR="00533D2D" w:rsidRPr="000B45DB" w:rsidP="00847A70" w14:paraId="6D15FAD6" w14:textId="77777777">
      <w:pPr>
        <w:widowControl/>
        <w:ind w:left="360"/>
        <w:rPr>
          <w:sz w:val="22"/>
          <w:szCs w:val="22"/>
        </w:rPr>
      </w:pPr>
      <w:r w:rsidRPr="000B45DB">
        <w:rPr>
          <w:sz w:val="22"/>
          <w:szCs w:val="22"/>
        </w:rPr>
        <w:t>TTB will not publish t</w:t>
      </w:r>
      <w:r w:rsidRPr="000B45DB">
        <w:rPr>
          <w:sz w:val="22"/>
          <w:szCs w:val="22"/>
        </w:rPr>
        <w:t xml:space="preserve">he results of this </w:t>
      </w:r>
      <w:r w:rsidRPr="000B45DB" w:rsidR="004817A9">
        <w:rPr>
          <w:sz w:val="22"/>
          <w:szCs w:val="22"/>
        </w:rPr>
        <w:t xml:space="preserve">information </w:t>
      </w:r>
      <w:r w:rsidRPr="000B45DB">
        <w:rPr>
          <w:sz w:val="22"/>
          <w:szCs w:val="22"/>
        </w:rPr>
        <w:t>collection</w:t>
      </w:r>
      <w:r w:rsidR="00F76CEC">
        <w:rPr>
          <w:sz w:val="22"/>
          <w:szCs w:val="22"/>
        </w:rPr>
        <w:t xml:space="preserve"> request</w:t>
      </w:r>
      <w:r w:rsidRPr="000B45DB">
        <w:rPr>
          <w:sz w:val="22"/>
          <w:szCs w:val="22"/>
        </w:rPr>
        <w:t>.</w:t>
      </w:r>
      <w:r w:rsidRPr="000B45DB">
        <w:rPr>
          <w:sz w:val="22"/>
          <w:szCs w:val="22"/>
        </w:rPr>
        <w:t xml:space="preserve"> </w:t>
      </w:r>
    </w:p>
    <w:p w:rsidR="00533D2D" w:rsidRPr="004F04C0" w:rsidP="00847A70" w14:paraId="7F44DB66" w14:textId="77777777">
      <w:pPr>
        <w:widowControl/>
        <w:tabs>
          <w:tab w:val="left" w:pos="540"/>
        </w:tabs>
        <w:ind w:left="540" w:hanging="540"/>
        <w:rPr>
          <w:sz w:val="28"/>
          <w:szCs w:val="28"/>
        </w:rPr>
      </w:pPr>
    </w:p>
    <w:p w:rsidR="00214081" w:rsidRPr="000B45DB" w:rsidP="00847A70" w14:paraId="0FA1DB68" w14:textId="77777777">
      <w:pPr>
        <w:widowControl/>
        <w:suppressAutoHyphens/>
        <w:rPr>
          <w:i/>
          <w:sz w:val="22"/>
          <w:szCs w:val="22"/>
        </w:rPr>
      </w:pPr>
      <w:r w:rsidRPr="000B45DB">
        <w:rPr>
          <w:i/>
          <w:sz w:val="22"/>
          <w:szCs w:val="22"/>
        </w:rPr>
        <w:t xml:space="preserve">17.  If seeking approval to not display the expiration date for OMB approval of this information collection, what are the reasons that the display would be inappropriate? </w:t>
      </w:r>
    </w:p>
    <w:p w:rsidR="00214081" w:rsidRPr="000B45DB" w:rsidP="00847A70" w14:paraId="4F6AE84B" w14:textId="77777777">
      <w:pPr>
        <w:widowControl/>
        <w:suppressAutoHyphens/>
        <w:rPr>
          <w:i/>
          <w:sz w:val="22"/>
          <w:szCs w:val="22"/>
        </w:rPr>
      </w:pPr>
    </w:p>
    <w:p w:rsidR="00851251" w:rsidRPr="000B45DB" w:rsidP="00847A70" w14:paraId="535E51F9" w14:textId="77777777">
      <w:pPr>
        <w:widowControl/>
        <w:ind w:left="360"/>
        <w:rPr>
          <w:sz w:val="22"/>
          <w:szCs w:val="22"/>
        </w:rPr>
      </w:pPr>
      <w:r>
        <w:rPr>
          <w:sz w:val="22"/>
          <w:szCs w:val="22"/>
        </w:rPr>
        <w:t xml:space="preserve">TTB will display the expiration date for OMB approval of this information collection on its related form, TTB F 5110.75, Alcohol Fuel Plant Report.  However, there is no TTB-generated medium to display that date </w:t>
      </w:r>
      <w:r w:rsidR="005F18CA">
        <w:rPr>
          <w:sz w:val="22"/>
          <w:szCs w:val="22"/>
        </w:rPr>
        <w:t>f</w:t>
      </w:r>
      <w:r>
        <w:rPr>
          <w:sz w:val="22"/>
          <w:szCs w:val="22"/>
        </w:rPr>
        <w:t>or the M</w:t>
      </w:r>
      <w:r w:rsidRPr="005067CB">
        <w:rPr>
          <w:sz w:val="22"/>
          <w:szCs w:val="22"/>
        </w:rPr>
        <w:t xml:space="preserve">iscellaneous Letterhead Applications, Notices, Marks, and Records </w:t>
      </w:r>
      <w:r>
        <w:rPr>
          <w:sz w:val="22"/>
          <w:szCs w:val="22"/>
        </w:rPr>
        <w:t xml:space="preserve">portion of this information collection request. </w:t>
      </w:r>
    </w:p>
    <w:p w:rsidR="00533D2D" w:rsidRPr="00F76CEC" w:rsidP="00847A70" w14:paraId="647B974B" w14:textId="77777777">
      <w:pPr>
        <w:widowControl/>
        <w:tabs>
          <w:tab w:val="left" w:pos="540"/>
        </w:tabs>
        <w:ind w:left="540" w:hanging="540"/>
        <w:rPr>
          <w:sz w:val="28"/>
          <w:szCs w:val="28"/>
        </w:rPr>
      </w:pPr>
    </w:p>
    <w:p w:rsidR="00214081" w:rsidRPr="000B45DB" w:rsidP="00847A70" w14:paraId="74681047" w14:textId="77777777">
      <w:pPr>
        <w:widowControl/>
        <w:suppressAutoHyphens/>
        <w:rPr>
          <w:i/>
          <w:sz w:val="22"/>
          <w:szCs w:val="22"/>
        </w:rPr>
      </w:pPr>
      <w:r w:rsidRPr="000B45DB">
        <w:rPr>
          <w:i/>
          <w:sz w:val="22"/>
          <w:szCs w:val="22"/>
        </w:rPr>
        <w:t>18.  What are the exceptions to the certification statement?</w:t>
      </w:r>
      <w:r w:rsidRPr="000B45DB" w:rsidR="00847A70">
        <w:rPr>
          <w:i/>
          <w:sz w:val="22"/>
          <w:szCs w:val="22"/>
        </w:rPr>
        <w:t xml:space="preserve"> </w:t>
      </w:r>
    </w:p>
    <w:p w:rsidR="00214081" w:rsidRPr="000B45DB" w:rsidP="00847A70" w14:paraId="5745738B" w14:textId="77777777">
      <w:pPr>
        <w:widowControl/>
        <w:suppressAutoHyphens/>
        <w:rPr>
          <w:sz w:val="22"/>
          <w:szCs w:val="22"/>
        </w:rPr>
      </w:pPr>
    </w:p>
    <w:p w:rsidR="007F4FD0" w:rsidRPr="002D6D76" w:rsidP="00F4064A" w14:paraId="1E6E9029" w14:textId="77777777">
      <w:pPr>
        <w:tabs>
          <w:tab w:val="left" w:pos="720"/>
        </w:tabs>
        <w:spacing w:after="120"/>
        <w:ind w:left="360"/>
        <w:rPr>
          <w:sz w:val="22"/>
          <w:szCs w:val="22"/>
        </w:rPr>
      </w:pPr>
      <w:r w:rsidRPr="002D6D76">
        <w:rPr>
          <w:sz w:val="22"/>
          <w:szCs w:val="22"/>
        </w:rPr>
        <w:t>(c)</w:t>
      </w:r>
      <w:r w:rsidRPr="002D6D76">
        <w:rPr>
          <w:sz w:val="22"/>
          <w:szCs w:val="22"/>
        </w:rPr>
        <w:tab/>
        <w:t xml:space="preserve">See item 5 above. </w:t>
      </w:r>
    </w:p>
    <w:p w:rsidR="007F4FD0" w:rsidRPr="002D6D76" w:rsidP="00F4064A" w14:paraId="129D479E" w14:textId="77777777">
      <w:pPr>
        <w:tabs>
          <w:tab w:val="left" w:pos="720"/>
        </w:tabs>
        <w:spacing w:after="120"/>
        <w:ind w:left="360"/>
        <w:rPr>
          <w:sz w:val="22"/>
          <w:szCs w:val="22"/>
        </w:rPr>
      </w:pPr>
      <w:r w:rsidRPr="002D6D76">
        <w:rPr>
          <w:sz w:val="22"/>
          <w:szCs w:val="22"/>
        </w:rPr>
        <w:t>(i)</w:t>
      </w:r>
      <w:r w:rsidRPr="002D6D76">
        <w:rPr>
          <w:sz w:val="22"/>
          <w:szCs w:val="22"/>
        </w:rPr>
        <w:tab/>
        <w:t xml:space="preserve">No statistics are involved. </w:t>
      </w:r>
    </w:p>
    <w:p w:rsidR="007F4FD0" w:rsidRPr="002D6D76" w:rsidP="007F4FD0" w14:paraId="36D14041" w14:textId="77777777">
      <w:pPr>
        <w:tabs>
          <w:tab w:val="left" w:pos="720"/>
        </w:tabs>
        <w:ind w:left="360"/>
        <w:rPr>
          <w:sz w:val="22"/>
          <w:szCs w:val="22"/>
        </w:rPr>
      </w:pPr>
      <w:r w:rsidRPr="002D6D76">
        <w:rPr>
          <w:sz w:val="22"/>
          <w:szCs w:val="22"/>
        </w:rPr>
        <w:t>(j)</w:t>
      </w:r>
      <w:r w:rsidRPr="002D6D76">
        <w:rPr>
          <w:sz w:val="22"/>
          <w:szCs w:val="22"/>
        </w:rPr>
        <w:tab/>
        <w:t xml:space="preserve">See item 3 above. </w:t>
      </w:r>
    </w:p>
    <w:p w:rsidR="004817A9" w:rsidRPr="00F76CEC" w:rsidP="004817A9" w14:paraId="149ADEE0" w14:textId="77777777">
      <w:pPr>
        <w:widowControl/>
        <w:rPr>
          <w:sz w:val="28"/>
          <w:szCs w:val="28"/>
        </w:rPr>
      </w:pPr>
    </w:p>
    <w:p w:rsidR="00870E7B" w:rsidRPr="00F76CEC" w:rsidP="00847A70" w14:paraId="1464E203" w14:textId="77777777">
      <w:pPr>
        <w:widowControl/>
        <w:tabs>
          <w:tab w:val="left" w:pos="540"/>
        </w:tabs>
        <w:ind w:left="540" w:hanging="540"/>
        <w:rPr>
          <w:sz w:val="28"/>
          <w:szCs w:val="28"/>
        </w:rPr>
      </w:pPr>
    </w:p>
    <w:p w:rsidR="00533D2D" w:rsidRPr="00B743A7" w:rsidP="00847A70" w14:paraId="7D3F4E20" w14:textId="77777777">
      <w:pPr>
        <w:widowControl/>
        <w:tabs>
          <w:tab w:val="left" w:pos="540"/>
        </w:tabs>
        <w:ind w:left="540" w:hanging="540"/>
        <w:rPr>
          <w:sz w:val="22"/>
          <w:szCs w:val="22"/>
        </w:rPr>
      </w:pPr>
      <w:r w:rsidRPr="00B743A7">
        <w:rPr>
          <w:b/>
          <w:bCs/>
          <w:sz w:val="22"/>
          <w:szCs w:val="22"/>
        </w:rPr>
        <w:t xml:space="preserve">B.  </w:t>
      </w:r>
      <w:r w:rsidRPr="00B743A7">
        <w:rPr>
          <w:b/>
          <w:bCs/>
          <w:sz w:val="22"/>
          <w:szCs w:val="22"/>
          <w:u w:val="single"/>
        </w:rPr>
        <w:t>Collection of Information Employing Statistical Methods</w:t>
      </w:r>
      <w:r w:rsidRPr="00B743A7">
        <w:rPr>
          <w:b/>
          <w:bCs/>
          <w:sz w:val="22"/>
          <w:szCs w:val="22"/>
        </w:rPr>
        <w:t>.</w:t>
      </w:r>
      <w:r w:rsidRPr="00B743A7">
        <w:rPr>
          <w:sz w:val="22"/>
          <w:szCs w:val="22"/>
        </w:rPr>
        <w:t xml:space="preserve"> </w:t>
      </w:r>
    </w:p>
    <w:p w:rsidR="00533D2D" w:rsidRPr="00B743A7" w:rsidP="00847A70" w14:paraId="00A514F2" w14:textId="77777777">
      <w:pPr>
        <w:widowControl/>
        <w:tabs>
          <w:tab w:val="left" w:pos="540"/>
        </w:tabs>
        <w:ind w:left="540" w:hanging="540"/>
        <w:rPr>
          <w:sz w:val="22"/>
          <w:szCs w:val="22"/>
        </w:rPr>
      </w:pPr>
    </w:p>
    <w:p w:rsidR="00533D2D" w:rsidRPr="00B743A7" w:rsidP="004817A9" w14:paraId="58212A01" w14:textId="77777777">
      <w:pPr>
        <w:widowControl/>
        <w:ind w:left="360"/>
        <w:rPr>
          <w:sz w:val="22"/>
          <w:szCs w:val="22"/>
        </w:rPr>
      </w:pPr>
      <w:r w:rsidRPr="00B743A7">
        <w:rPr>
          <w:sz w:val="22"/>
          <w:szCs w:val="22"/>
        </w:rPr>
        <w:t xml:space="preserve">This </w:t>
      </w:r>
      <w:r w:rsidR="00DD4F3E">
        <w:rPr>
          <w:sz w:val="22"/>
          <w:szCs w:val="22"/>
        </w:rPr>
        <w:t xml:space="preserve">information </w:t>
      </w:r>
      <w:r w:rsidRPr="00B743A7">
        <w:rPr>
          <w:sz w:val="22"/>
          <w:szCs w:val="22"/>
        </w:rPr>
        <w:t xml:space="preserve">collection </w:t>
      </w:r>
      <w:r w:rsidR="00DD4F3E">
        <w:rPr>
          <w:sz w:val="22"/>
          <w:szCs w:val="22"/>
        </w:rPr>
        <w:t xml:space="preserve">request </w:t>
      </w:r>
      <w:r w:rsidRPr="00B743A7">
        <w:rPr>
          <w:sz w:val="22"/>
          <w:szCs w:val="22"/>
        </w:rPr>
        <w:t xml:space="preserve">does not employ statistical methods. </w:t>
      </w:r>
    </w:p>
    <w:p w:rsidR="00533D2D" w:rsidP="004817A9" w14:paraId="0B555B02" w14:textId="77777777">
      <w:pPr>
        <w:widowControl/>
        <w:ind w:left="360"/>
        <w:rPr>
          <w:sz w:val="22"/>
          <w:szCs w:val="22"/>
        </w:rPr>
      </w:pPr>
    </w:p>
    <w:p w:rsidR="004D0936" w:rsidP="004817A9" w14:paraId="6B56A4F0" w14:textId="77777777">
      <w:pPr>
        <w:widowControl/>
        <w:ind w:left="360"/>
        <w:rPr>
          <w:sz w:val="22"/>
          <w:szCs w:val="22"/>
        </w:rPr>
      </w:pPr>
    </w:p>
    <w:sectPr w:rsidSect="00AC53DE">
      <w:headerReference w:type="even" r:id="rId6"/>
      <w:headerReference w:type="default" r:id="rId7"/>
      <w:footerReference w:type="default" r:id="rId8"/>
      <w:footerReference w:type="first" r:id="rId9"/>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3DE" w:rsidP="00AC53DE" w14:paraId="2E1DE72E" w14:textId="2EF006C0">
    <w:pPr>
      <w:pStyle w:val="Footer"/>
      <w:tabs>
        <w:tab w:val="clear" w:pos="4680"/>
      </w:tabs>
    </w:pPr>
    <w:r>
      <w:tab/>
    </w:r>
    <w:r w:rsidR="00CA2DFD">
      <w:t>OMB No. 1513–0052 Supporting Statement (</w:t>
    </w:r>
    <w:r w:rsidR="00F4064A">
      <w:t>0</w:t>
    </w:r>
    <w:r w:rsidR="00CA2DFD">
      <w:t>2–202</w:t>
    </w:r>
    <w:r w:rsidR="00F4064A">
      <w:t>5</w:t>
    </w:r>
    <w:r w:rsidR="00CA2DFD">
      <w:t>)</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D0C" w:rsidP="00AC53DE" w14:paraId="32C2F769" w14:textId="4F2F7479">
    <w:pPr>
      <w:pStyle w:val="Footer"/>
      <w:tabs>
        <w:tab w:val="clear" w:pos="4680"/>
      </w:tabs>
    </w:pPr>
    <w:r>
      <w:tab/>
      <w:t>OMB No. 1513–</w:t>
    </w:r>
    <w:r w:rsidR="00AC53DE">
      <w:t>0052 Supporting Statement (</w:t>
    </w:r>
    <w:r w:rsidR="00F4064A">
      <w:t>0</w:t>
    </w:r>
    <w:r>
      <w:t>2–</w:t>
    </w:r>
    <w:r w:rsidR="00AC53DE">
      <w:t>20</w:t>
    </w:r>
    <w:r>
      <w:t>2</w:t>
    </w:r>
    <w:r w:rsidR="00F4064A">
      <w:t>5</w:t>
    </w:r>
    <w:r w:rsidR="00AC53D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0C36" w14:paraId="35421A11" w14:textId="77777777">
      <w:r>
        <w:separator/>
      </w:r>
    </w:p>
  </w:footnote>
  <w:footnote w:type="continuationSeparator" w:id="1">
    <w:p w:rsidR="00F80C36" w14:paraId="3C550976" w14:textId="77777777">
      <w:r>
        <w:continuationSeparator/>
      </w:r>
    </w:p>
  </w:footnote>
  <w:footnote w:id="2">
    <w:p w:rsidR="00FD2CD3" w:rsidRPr="00346C48" w:rsidP="00C20D70" w14:paraId="3E6F30CB" w14:textId="08815497">
      <w:pPr>
        <w:pStyle w:val="FootnoteText"/>
        <w:rPr>
          <w:sz w:val="18"/>
          <w:szCs w:val="18"/>
        </w:rPr>
      </w:pPr>
      <w:r w:rsidRPr="007F2B09">
        <w:rPr>
          <w:rStyle w:val="FootnoteReference"/>
          <w:sz w:val="22"/>
          <w:szCs w:val="22"/>
        </w:rPr>
        <w:footnoteRef/>
      </w:r>
      <w:r w:rsidRPr="007F2B09">
        <w:rPr>
          <w:sz w:val="22"/>
          <w:szCs w:val="22"/>
        </w:rPr>
        <w:t xml:space="preserve"> </w:t>
      </w:r>
      <w:r w:rsidRPr="00C20D70" w:rsidR="00C20D70">
        <w:rPr>
          <w:sz w:val="18"/>
          <w:szCs w:val="18"/>
        </w:rPr>
        <w:t xml:space="preserve">Private Sector Fully-loaded Labor Rate per Hour = </w:t>
      </w:r>
      <w:r>
        <w:rPr>
          <w:sz w:val="18"/>
          <w:szCs w:val="18"/>
        </w:rPr>
        <w:t>Hourly w</w:t>
      </w:r>
      <w:r w:rsidRPr="00C20D70" w:rsidR="00C20D70">
        <w:rPr>
          <w:sz w:val="18"/>
          <w:szCs w:val="18"/>
        </w:rPr>
        <w:t>age x a factor of 1.4</w:t>
      </w:r>
      <w:r w:rsidR="00C20D70">
        <w:rPr>
          <w:sz w:val="18"/>
          <w:szCs w:val="18"/>
        </w:rPr>
        <w:t>4</w:t>
      </w:r>
      <w:r w:rsidRPr="00C20D70" w:rsidR="00C20D70">
        <w:rPr>
          <w:sz w:val="18"/>
          <w:szCs w:val="18"/>
        </w:rPr>
        <w:t xml:space="preserve"> to account for benefit costs.  Per the most recent U.S. Department of Labor, Bureau of Labor Statistics, wage data for NAICS 3250A1 – Chemical Manufacturing, which includes NAICS 325100 – Basic Chemical Manufacturing, the </w:t>
      </w:r>
      <w:r>
        <w:rPr>
          <w:sz w:val="18"/>
          <w:szCs w:val="18"/>
        </w:rPr>
        <w:t>estimated</w:t>
      </w:r>
      <w:r w:rsidRPr="00C20D70" w:rsidR="00C20D70">
        <w:rPr>
          <w:sz w:val="18"/>
          <w:szCs w:val="18"/>
        </w:rPr>
        <w:t xml:space="preserve"> fully-loaded labor rate for Office and Administrative Support Occupations </w:t>
      </w:r>
      <w:r>
        <w:rPr>
          <w:sz w:val="18"/>
          <w:szCs w:val="18"/>
        </w:rPr>
        <w:t xml:space="preserve">(43–0000) </w:t>
      </w:r>
      <w:r w:rsidRPr="00C20D70" w:rsidR="00C20D70">
        <w:rPr>
          <w:sz w:val="18"/>
          <w:szCs w:val="18"/>
        </w:rPr>
        <w:t>is $</w:t>
      </w:r>
      <w:r w:rsidR="009C2700">
        <w:rPr>
          <w:sz w:val="18"/>
          <w:szCs w:val="18"/>
        </w:rPr>
        <w:t>40.55</w:t>
      </w:r>
      <w:r w:rsidR="00C20D70">
        <w:rPr>
          <w:sz w:val="18"/>
          <w:szCs w:val="18"/>
        </w:rPr>
        <w:t>/hour</w:t>
      </w:r>
      <w:r>
        <w:rPr>
          <w:sz w:val="18"/>
          <w:szCs w:val="18"/>
        </w:rPr>
        <w:t>, based on a mean wage of $28.16/hour</w:t>
      </w:r>
      <w:r w:rsidRPr="00C20D70" w:rsidR="00C20D70">
        <w:rPr>
          <w:sz w:val="18"/>
          <w:szCs w:val="18"/>
        </w:rPr>
        <w:t>.  See the Bureau of Labor Statistics website at</w:t>
      </w:r>
      <w:r w:rsidR="00C20D70">
        <w:rPr>
          <w:sz w:val="18"/>
          <w:szCs w:val="18"/>
        </w:rPr>
        <w:t xml:space="preserve"> </w:t>
      </w:r>
      <w:r w:rsidRPr="00C20D70" w:rsidR="00C20D70">
        <w:rPr>
          <w:i/>
          <w:sz w:val="18"/>
          <w:szCs w:val="18"/>
        </w:rPr>
        <w:t>https://www.bls.gov/oes/current/naics4_3250A1.htm</w:t>
      </w:r>
      <w:r w:rsidR="00C20D70">
        <w:rPr>
          <w:sz w:val="18"/>
          <w:szCs w:val="18"/>
        </w:rPr>
        <w:t xml:space="preserve">. </w:t>
      </w:r>
    </w:p>
  </w:footnote>
  <w:footnote w:id="3">
    <w:p w:rsidR="00332691" w:rsidRPr="00C009D7" w:rsidP="00332691" w14:paraId="6E4656E3" w14:textId="067F2C5F">
      <w:pPr>
        <w:suppressAutoHyphens/>
        <w:rPr>
          <w:sz w:val="18"/>
          <w:szCs w:val="18"/>
        </w:rPr>
      </w:pPr>
      <w:r w:rsidRPr="00597C08">
        <w:rPr>
          <w:rStyle w:val="FootnoteReference"/>
          <w:sz w:val="22"/>
          <w:szCs w:val="22"/>
        </w:rPr>
        <w:footnoteRef/>
      </w:r>
      <w:r w:rsidRPr="00597C08">
        <w:rPr>
          <w:sz w:val="22"/>
          <w:szCs w:val="22"/>
        </w:rPr>
        <w:t xml:space="preserve"> </w:t>
      </w:r>
      <w:r w:rsidRPr="003D22B5">
        <w:rPr>
          <w:sz w:val="18"/>
          <w:szCs w:val="18"/>
        </w:rPr>
        <w:t xml:space="preserve">Federal Government Fully-loaded Labor Rate = </w:t>
      </w:r>
      <w:r w:rsidRPr="001A04D2">
        <w:rPr>
          <w:sz w:val="18"/>
          <w:szCs w:val="18"/>
        </w:rPr>
        <w:t>Hourly w</w:t>
      </w:r>
      <w:r w:rsidRPr="003D22B5">
        <w:rPr>
          <w:sz w:val="18"/>
          <w:szCs w:val="18"/>
        </w:rPr>
        <w:t xml:space="preserve">age x 1.63 to account for benefit costs.  Per the most recent Office of Personnel Management (OPM) </w:t>
      </w:r>
      <w:r>
        <w:rPr>
          <w:sz w:val="18"/>
          <w:szCs w:val="18"/>
        </w:rPr>
        <w:t xml:space="preserve">hourly </w:t>
      </w:r>
      <w:r w:rsidRPr="003D22B5">
        <w:rPr>
          <w:sz w:val="18"/>
          <w:szCs w:val="18"/>
        </w:rPr>
        <w:t>wage data, the</w:t>
      </w:r>
      <w:r w:rsidR="00A55BEA">
        <w:rPr>
          <w:sz w:val="18"/>
          <w:szCs w:val="18"/>
        </w:rPr>
        <w:t xml:space="preserve"> </w:t>
      </w:r>
      <w:r w:rsidRPr="003D22B5">
        <w:rPr>
          <w:sz w:val="18"/>
          <w:szCs w:val="18"/>
        </w:rPr>
        <w:t xml:space="preserve">fully-loaded </w:t>
      </w:r>
      <w:r w:rsidR="00F97D70">
        <w:rPr>
          <w:sz w:val="18"/>
          <w:szCs w:val="18"/>
        </w:rPr>
        <w:t xml:space="preserve">Federal </w:t>
      </w:r>
      <w:r w:rsidRPr="003D22B5">
        <w:rPr>
          <w:sz w:val="18"/>
          <w:szCs w:val="18"/>
        </w:rPr>
        <w:t>labor rates for the Cincinnati, Ohio, wage area are:  (1) GS–5, step 5, employee = $</w:t>
      </w:r>
      <w:r w:rsidR="00A52786">
        <w:rPr>
          <w:sz w:val="18"/>
          <w:szCs w:val="18"/>
        </w:rPr>
        <w:t>37.18</w:t>
      </w:r>
      <w:r w:rsidRPr="003D22B5">
        <w:rPr>
          <w:sz w:val="18"/>
          <w:szCs w:val="18"/>
        </w:rPr>
        <w:t xml:space="preserve"> (</w:t>
      </w:r>
      <w:r w:rsidR="00A55BEA">
        <w:rPr>
          <w:sz w:val="18"/>
          <w:szCs w:val="18"/>
        </w:rPr>
        <w:t xml:space="preserve">based on a </w:t>
      </w:r>
      <w:r w:rsidRPr="003D22B5">
        <w:rPr>
          <w:sz w:val="18"/>
          <w:szCs w:val="18"/>
        </w:rPr>
        <w:t>$</w:t>
      </w:r>
      <w:r w:rsidR="00046915">
        <w:rPr>
          <w:sz w:val="18"/>
          <w:szCs w:val="18"/>
        </w:rPr>
        <w:t>22.81</w:t>
      </w:r>
      <w:r w:rsidR="00A55BEA">
        <w:rPr>
          <w:sz w:val="18"/>
          <w:szCs w:val="18"/>
        </w:rPr>
        <w:t xml:space="preserve">/hour wage); </w:t>
      </w:r>
      <w:r>
        <w:rPr>
          <w:sz w:val="18"/>
          <w:szCs w:val="18"/>
        </w:rPr>
        <w:t>and</w:t>
      </w:r>
      <w:r w:rsidR="00F97D70">
        <w:rPr>
          <w:sz w:val="18"/>
          <w:szCs w:val="18"/>
        </w:rPr>
        <w:t xml:space="preserve"> (2) GS–11, step </w:t>
      </w:r>
      <w:r w:rsidRPr="00F97D70" w:rsidR="00F97D70">
        <w:rPr>
          <w:sz w:val="18"/>
          <w:szCs w:val="18"/>
        </w:rPr>
        <w:t>5 = $</w:t>
      </w:r>
      <w:r w:rsidR="00DD79AA">
        <w:rPr>
          <w:sz w:val="18"/>
          <w:szCs w:val="18"/>
        </w:rPr>
        <w:t>68.17</w:t>
      </w:r>
      <w:r w:rsidRPr="00F97D70" w:rsidR="00F97D70">
        <w:rPr>
          <w:sz w:val="18"/>
          <w:szCs w:val="18"/>
        </w:rPr>
        <w:t>/hour (</w:t>
      </w:r>
      <w:r w:rsidR="00A55BEA">
        <w:rPr>
          <w:sz w:val="18"/>
          <w:szCs w:val="18"/>
        </w:rPr>
        <w:t xml:space="preserve">based on a </w:t>
      </w:r>
      <w:r w:rsidRPr="00F97D70" w:rsidR="00F97D70">
        <w:rPr>
          <w:sz w:val="18"/>
          <w:szCs w:val="18"/>
        </w:rPr>
        <w:t>$</w:t>
      </w:r>
      <w:r w:rsidR="00E60859">
        <w:rPr>
          <w:sz w:val="18"/>
          <w:szCs w:val="18"/>
        </w:rPr>
        <w:t>41.82</w:t>
      </w:r>
      <w:r w:rsidR="00A55BEA">
        <w:rPr>
          <w:sz w:val="18"/>
          <w:szCs w:val="18"/>
        </w:rPr>
        <w:t>/hour wage</w:t>
      </w:r>
      <w:r w:rsidRPr="00F97D70" w:rsidR="00F97D70">
        <w:rPr>
          <w:sz w:val="18"/>
          <w:szCs w:val="18"/>
        </w:rPr>
        <w:t>).  See the OPM website at</w:t>
      </w:r>
      <w:r w:rsidR="00A55BEA">
        <w:rPr>
          <w:sz w:val="18"/>
          <w:szCs w:val="18"/>
        </w:rPr>
        <w:t xml:space="preserve"> </w:t>
      </w:r>
      <w:r w:rsidRPr="00A55BEA" w:rsidR="00A55BEA">
        <w:rPr>
          <w:i/>
          <w:iCs/>
          <w:sz w:val="18"/>
          <w:szCs w:val="18"/>
        </w:rPr>
        <w:t>https://www.opm.gov/policy-data-oversight/pay-leave/salaries-wages/salary-tables/pdf/2025/CIN_h.pdf</w:t>
      </w:r>
      <w:r w:rsidR="00A55BE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D0C" w:rsidP="00E538EA" w14:paraId="5C99E0E6" w14:textId="7777777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495D0C" w14:paraId="1655C6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3DE" w:rsidRPr="00AC53DE" w:rsidP="00AC53DE" w14:paraId="4C8CDF1F" w14:textId="77777777">
    <w:pPr>
      <w:pStyle w:val="Header"/>
      <w:jc w:val="center"/>
      <w:rPr>
        <w:sz w:val="22"/>
        <w:szCs w:val="22"/>
      </w:rPr>
    </w:pPr>
    <w:r>
      <w:rPr>
        <w:sz w:val="22"/>
        <w:szCs w:val="22"/>
      </w:rPr>
      <w:t xml:space="preserve">- </w:t>
    </w:r>
    <w:r w:rsidRPr="00AC53DE">
      <w:rPr>
        <w:sz w:val="22"/>
        <w:szCs w:val="22"/>
      </w:rPr>
      <w:fldChar w:fldCharType="begin"/>
    </w:r>
    <w:r w:rsidRPr="00AC53DE">
      <w:rPr>
        <w:sz w:val="22"/>
        <w:szCs w:val="22"/>
      </w:rPr>
      <w:instrText xml:space="preserve"> PAGE   \* MERGEFORMAT </w:instrText>
    </w:r>
    <w:r w:rsidRPr="00AC53DE">
      <w:rPr>
        <w:sz w:val="22"/>
        <w:szCs w:val="22"/>
      </w:rPr>
      <w:fldChar w:fldCharType="separate"/>
    </w:r>
    <w:r w:rsidR="005F18CA">
      <w:rPr>
        <w:noProof/>
        <w:sz w:val="22"/>
        <w:szCs w:val="22"/>
      </w:rPr>
      <w:t>7</w:t>
    </w:r>
    <w:r w:rsidRPr="00AC53DE">
      <w:rPr>
        <w:noProof/>
        <w:sz w:val="22"/>
        <w:szCs w:val="22"/>
      </w:rPr>
      <w:fldChar w:fldCharType="end"/>
    </w:r>
    <w:r>
      <w:rPr>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1A4699C"/>
    <w:multiLevelType w:val="hybridMultilevel"/>
    <w:tmpl w:val="EFFE8A4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C921BE"/>
    <w:multiLevelType w:val="hybridMultilevel"/>
    <w:tmpl w:val="420E5F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973EDA"/>
    <w:multiLevelType w:val="hybridMultilevel"/>
    <w:tmpl w:val="08DA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CC52C6"/>
    <w:multiLevelType w:val="hybridMultilevel"/>
    <w:tmpl w:val="7C7620B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6157E2A"/>
    <w:multiLevelType w:val="hybridMultilevel"/>
    <w:tmpl w:val="B324E4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FA48AB"/>
    <w:multiLevelType w:val="hybridMultilevel"/>
    <w:tmpl w:val="C6BA831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2189946">
    <w:abstractNumId w:val="1"/>
  </w:num>
  <w:num w:numId="2" w16cid:durableId="594359167">
    <w:abstractNumId w:val="3"/>
  </w:num>
  <w:num w:numId="3" w16cid:durableId="1179537032">
    <w:abstractNumId w:val="6"/>
  </w:num>
  <w:num w:numId="4" w16cid:durableId="1759520101">
    <w:abstractNumId w:val="7"/>
  </w:num>
  <w:num w:numId="5" w16cid:durableId="62484495">
    <w:abstractNumId w:val="4"/>
  </w:num>
  <w:num w:numId="6" w16cid:durableId="641278162">
    <w:abstractNumId w:val="2"/>
  </w:num>
  <w:num w:numId="7" w16cid:durableId="224537140">
    <w:abstractNumId w:val="5"/>
  </w:num>
  <w:num w:numId="8" w16cid:durableId="116694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00"/>
  <w:drawingGridVerticalSpacing w:val="163"/>
  <w:displayHorizontalDrawingGridEvery w:val="0"/>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2D"/>
    <w:rsid w:val="00000205"/>
    <w:rsid w:val="000112FC"/>
    <w:rsid w:val="00011E2B"/>
    <w:rsid w:val="000144F1"/>
    <w:rsid w:val="000175EF"/>
    <w:rsid w:val="00032B89"/>
    <w:rsid w:val="000425CD"/>
    <w:rsid w:val="00046915"/>
    <w:rsid w:val="00054EA5"/>
    <w:rsid w:val="0006138F"/>
    <w:rsid w:val="00065DDF"/>
    <w:rsid w:val="00071308"/>
    <w:rsid w:val="00073C86"/>
    <w:rsid w:val="000751B8"/>
    <w:rsid w:val="00082CAB"/>
    <w:rsid w:val="00090B80"/>
    <w:rsid w:val="0009320B"/>
    <w:rsid w:val="000A1251"/>
    <w:rsid w:val="000B42B0"/>
    <w:rsid w:val="000B45DB"/>
    <w:rsid w:val="000B6AC6"/>
    <w:rsid w:val="000B7703"/>
    <w:rsid w:val="000C541D"/>
    <w:rsid w:val="000D1FA7"/>
    <w:rsid w:val="000E5825"/>
    <w:rsid w:val="000E6B3D"/>
    <w:rsid w:val="000F1708"/>
    <w:rsid w:val="000F30D1"/>
    <w:rsid w:val="000F7ACE"/>
    <w:rsid w:val="00101156"/>
    <w:rsid w:val="001051F8"/>
    <w:rsid w:val="0010749B"/>
    <w:rsid w:val="001238E2"/>
    <w:rsid w:val="0012608A"/>
    <w:rsid w:val="00127F87"/>
    <w:rsid w:val="001333D9"/>
    <w:rsid w:val="001347B2"/>
    <w:rsid w:val="00141520"/>
    <w:rsid w:val="00146C41"/>
    <w:rsid w:val="00150494"/>
    <w:rsid w:val="0015070A"/>
    <w:rsid w:val="00150E41"/>
    <w:rsid w:val="00164E5C"/>
    <w:rsid w:val="00185B55"/>
    <w:rsid w:val="001A04D2"/>
    <w:rsid w:val="001A5287"/>
    <w:rsid w:val="001B5078"/>
    <w:rsid w:val="001D0C7F"/>
    <w:rsid w:val="001E0390"/>
    <w:rsid w:val="001F37CA"/>
    <w:rsid w:val="001F7AF2"/>
    <w:rsid w:val="00200F09"/>
    <w:rsid w:val="002053F1"/>
    <w:rsid w:val="0020766F"/>
    <w:rsid w:val="002107F9"/>
    <w:rsid w:val="00214081"/>
    <w:rsid w:val="00215EB0"/>
    <w:rsid w:val="00223347"/>
    <w:rsid w:val="0024022D"/>
    <w:rsid w:val="00244F91"/>
    <w:rsid w:val="00256087"/>
    <w:rsid w:val="00265EF1"/>
    <w:rsid w:val="002763BE"/>
    <w:rsid w:val="00294451"/>
    <w:rsid w:val="002A39F9"/>
    <w:rsid w:val="002B2D2B"/>
    <w:rsid w:val="002B4B26"/>
    <w:rsid w:val="002B5ED1"/>
    <w:rsid w:val="002C3ACA"/>
    <w:rsid w:val="002C4AB6"/>
    <w:rsid w:val="002D195F"/>
    <w:rsid w:val="002D6D76"/>
    <w:rsid w:val="002F2717"/>
    <w:rsid w:val="002F6091"/>
    <w:rsid w:val="00311016"/>
    <w:rsid w:val="003145CA"/>
    <w:rsid w:val="00321E9F"/>
    <w:rsid w:val="00321ECE"/>
    <w:rsid w:val="00332691"/>
    <w:rsid w:val="0033375D"/>
    <w:rsid w:val="0033494E"/>
    <w:rsid w:val="00346C48"/>
    <w:rsid w:val="003543C4"/>
    <w:rsid w:val="00357ED3"/>
    <w:rsid w:val="0037731B"/>
    <w:rsid w:val="00377C06"/>
    <w:rsid w:val="00380A34"/>
    <w:rsid w:val="003851A0"/>
    <w:rsid w:val="00390D32"/>
    <w:rsid w:val="003B0877"/>
    <w:rsid w:val="003C75C5"/>
    <w:rsid w:val="003D22B5"/>
    <w:rsid w:val="003D3A3A"/>
    <w:rsid w:val="003D5536"/>
    <w:rsid w:val="003D5A53"/>
    <w:rsid w:val="003E4EC1"/>
    <w:rsid w:val="003E7ADF"/>
    <w:rsid w:val="0040472E"/>
    <w:rsid w:val="0043286C"/>
    <w:rsid w:val="004338F1"/>
    <w:rsid w:val="00435AFB"/>
    <w:rsid w:val="00435B61"/>
    <w:rsid w:val="004406AD"/>
    <w:rsid w:val="004461D6"/>
    <w:rsid w:val="00462BD7"/>
    <w:rsid w:val="00466E54"/>
    <w:rsid w:val="00473335"/>
    <w:rsid w:val="004817A9"/>
    <w:rsid w:val="004856EC"/>
    <w:rsid w:val="00491386"/>
    <w:rsid w:val="00491C39"/>
    <w:rsid w:val="00495D0C"/>
    <w:rsid w:val="00496FBC"/>
    <w:rsid w:val="004A14EC"/>
    <w:rsid w:val="004B13B2"/>
    <w:rsid w:val="004B4178"/>
    <w:rsid w:val="004B678D"/>
    <w:rsid w:val="004D0936"/>
    <w:rsid w:val="004D29AA"/>
    <w:rsid w:val="004E0C9F"/>
    <w:rsid w:val="004F04C0"/>
    <w:rsid w:val="004F3BA0"/>
    <w:rsid w:val="004F5AD8"/>
    <w:rsid w:val="005067CB"/>
    <w:rsid w:val="005118D8"/>
    <w:rsid w:val="0053074F"/>
    <w:rsid w:val="00533D2D"/>
    <w:rsid w:val="005357A6"/>
    <w:rsid w:val="00544A3B"/>
    <w:rsid w:val="00554C61"/>
    <w:rsid w:val="0055605C"/>
    <w:rsid w:val="005565ED"/>
    <w:rsid w:val="00556BAC"/>
    <w:rsid w:val="00560765"/>
    <w:rsid w:val="0057139B"/>
    <w:rsid w:val="00597C08"/>
    <w:rsid w:val="005A22E7"/>
    <w:rsid w:val="005B775A"/>
    <w:rsid w:val="005B7F72"/>
    <w:rsid w:val="005D68A2"/>
    <w:rsid w:val="005D74FE"/>
    <w:rsid w:val="005E676A"/>
    <w:rsid w:val="005E7953"/>
    <w:rsid w:val="005F18CA"/>
    <w:rsid w:val="005F25EF"/>
    <w:rsid w:val="005F6E91"/>
    <w:rsid w:val="0061238F"/>
    <w:rsid w:val="006173F9"/>
    <w:rsid w:val="00617E1F"/>
    <w:rsid w:val="006251D5"/>
    <w:rsid w:val="00626C37"/>
    <w:rsid w:val="00644410"/>
    <w:rsid w:val="00646BB2"/>
    <w:rsid w:val="0065798C"/>
    <w:rsid w:val="006677C9"/>
    <w:rsid w:val="00682A91"/>
    <w:rsid w:val="006846E4"/>
    <w:rsid w:val="00687A9D"/>
    <w:rsid w:val="006A08DF"/>
    <w:rsid w:val="006C625E"/>
    <w:rsid w:val="006E3B43"/>
    <w:rsid w:val="006E4FE1"/>
    <w:rsid w:val="006F4921"/>
    <w:rsid w:val="00702F20"/>
    <w:rsid w:val="007434C4"/>
    <w:rsid w:val="00755539"/>
    <w:rsid w:val="0076622C"/>
    <w:rsid w:val="007860B5"/>
    <w:rsid w:val="007945FE"/>
    <w:rsid w:val="007A5D4B"/>
    <w:rsid w:val="007B31EF"/>
    <w:rsid w:val="007C0576"/>
    <w:rsid w:val="007D6138"/>
    <w:rsid w:val="007E2A90"/>
    <w:rsid w:val="007F2B09"/>
    <w:rsid w:val="007F4FD0"/>
    <w:rsid w:val="007F520B"/>
    <w:rsid w:val="00802B39"/>
    <w:rsid w:val="0081367B"/>
    <w:rsid w:val="0082531C"/>
    <w:rsid w:val="00834555"/>
    <w:rsid w:val="00834B73"/>
    <w:rsid w:val="00835B68"/>
    <w:rsid w:val="00837B67"/>
    <w:rsid w:val="00847A70"/>
    <w:rsid w:val="00851251"/>
    <w:rsid w:val="00853912"/>
    <w:rsid w:val="00863DE9"/>
    <w:rsid w:val="008646E8"/>
    <w:rsid w:val="00870E7B"/>
    <w:rsid w:val="008820FE"/>
    <w:rsid w:val="008830F2"/>
    <w:rsid w:val="00896E56"/>
    <w:rsid w:val="008B3799"/>
    <w:rsid w:val="008B59A1"/>
    <w:rsid w:val="008C4C57"/>
    <w:rsid w:val="008C6338"/>
    <w:rsid w:val="008E40E7"/>
    <w:rsid w:val="008F6171"/>
    <w:rsid w:val="00913D7B"/>
    <w:rsid w:val="0093146C"/>
    <w:rsid w:val="0093787E"/>
    <w:rsid w:val="00956008"/>
    <w:rsid w:val="00957C42"/>
    <w:rsid w:val="00957FB4"/>
    <w:rsid w:val="0096401A"/>
    <w:rsid w:val="0097624E"/>
    <w:rsid w:val="0098343D"/>
    <w:rsid w:val="00987432"/>
    <w:rsid w:val="00993772"/>
    <w:rsid w:val="009A5A3F"/>
    <w:rsid w:val="009B07C2"/>
    <w:rsid w:val="009B360A"/>
    <w:rsid w:val="009B6999"/>
    <w:rsid w:val="009C2700"/>
    <w:rsid w:val="009E1616"/>
    <w:rsid w:val="00A03FCA"/>
    <w:rsid w:val="00A04C83"/>
    <w:rsid w:val="00A259CC"/>
    <w:rsid w:val="00A30020"/>
    <w:rsid w:val="00A411D5"/>
    <w:rsid w:val="00A52333"/>
    <w:rsid w:val="00A52786"/>
    <w:rsid w:val="00A55BEA"/>
    <w:rsid w:val="00A5687F"/>
    <w:rsid w:val="00A62BC9"/>
    <w:rsid w:val="00A702BF"/>
    <w:rsid w:val="00A91996"/>
    <w:rsid w:val="00A96744"/>
    <w:rsid w:val="00AA03C5"/>
    <w:rsid w:val="00AA55C8"/>
    <w:rsid w:val="00AB23E5"/>
    <w:rsid w:val="00AB5E35"/>
    <w:rsid w:val="00AB6BE9"/>
    <w:rsid w:val="00AB7C92"/>
    <w:rsid w:val="00AC1686"/>
    <w:rsid w:val="00AC53DE"/>
    <w:rsid w:val="00AD197C"/>
    <w:rsid w:val="00AD6E98"/>
    <w:rsid w:val="00AF0766"/>
    <w:rsid w:val="00AF07F1"/>
    <w:rsid w:val="00AF0865"/>
    <w:rsid w:val="00B02A2A"/>
    <w:rsid w:val="00B075A0"/>
    <w:rsid w:val="00B152FC"/>
    <w:rsid w:val="00B15C81"/>
    <w:rsid w:val="00B17D71"/>
    <w:rsid w:val="00B206A3"/>
    <w:rsid w:val="00B33886"/>
    <w:rsid w:val="00B52CF7"/>
    <w:rsid w:val="00B5443C"/>
    <w:rsid w:val="00B6579E"/>
    <w:rsid w:val="00B721C6"/>
    <w:rsid w:val="00B72A1C"/>
    <w:rsid w:val="00B743A7"/>
    <w:rsid w:val="00B92B4E"/>
    <w:rsid w:val="00B940E0"/>
    <w:rsid w:val="00B9611A"/>
    <w:rsid w:val="00BA0AEE"/>
    <w:rsid w:val="00BA45F0"/>
    <w:rsid w:val="00BC13F2"/>
    <w:rsid w:val="00BD0ECA"/>
    <w:rsid w:val="00BD562B"/>
    <w:rsid w:val="00BE47CF"/>
    <w:rsid w:val="00BE740F"/>
    <w:rsid w:val="00BF6281"/>
    <w:rsid w:val="00BF73DF"/>
    <w:rsid w:val="00C009D7"/>
    <w:rsid w:val="00C15FBD"/>
    <w:rsid w:val="00C165E6"/>
    <w:rsid w:val="00C20D70"/>
    <w:rsid w:val="00C22B93"/>
    <w:rsid w:val="00C54AF0"/>
    <w:rsid w:val="00C56B57"/>
    <w:rsid w:val="00C57A2A"/>
    <w:rsid w:val="00C63522"/>
    <w:rsid w:val="00C6372B"/>
    <w:rsid w:val="00C65D1A"/>
    <w:rsid w:val="00C65E5C"/>
    <w:rsid w:val="00C66C1D"/>
    <w:rsid w:val="00C70D7B"/>
    <w:rsid w:val="00C80FA8"/>
    <w:rsid w:val="00C816E7"/>
    <w:rsid w:val="00C91C4C"/>
    <w:rsid w:val="00C97442"/>
    <w:rsid w:val="00CA083A"/>
    <w:rsid w:val="00CA2DFD"/>
    <w:rsid w:val="00CA3FC8"/>
    <w:rsid w:val="00CB2A70"/>
    <w:rsid w:val="00CF0A45"/>
    <w:rsid w:val="00CF75BA"/>
    <w:rsid w:val="00D03623"/>
    <w:rsid w:val="00D120A8"/>
    <w:rsid w:val="00D14750"/>
    <w:rsid w:val="00D237A8"/>
    <w:rsid w:val="00D31438"/>
    <w:rsid w:val="00D371B5"/>
    <w:rsid w:val="00D401F8"/>
    <w:rsid w:val="00D5404A"/>
    <w:rsid w:val="00D54365"/>
    <w:rsid w:val="00D62010"/>
    <w:rsid w:val="00D65D93"/>
    <w:rsid w:val="00D65F53"/>
    <w:rsid w:val="00D7602D"/>
    <w:rsid w:val="00D8424F"/>
    <w:rsid w:val="00D92493"/>
    <w:rsid w:val="00DB0428"/>
    <w:rsid w:val="00DC2B70"/>
    <w:rsid w:val="00DC7779"/>
    <w:rsid w:val="00DD20EB"/>
    <w:rsid w:val="00DD4F3E"/>
    <w:rsid w:val="00DD79AA"/>
    <w:rsid w:val="00DF204C"/>
    <w:rsid w:val="00E35B19"/>
    <w:rsid w:val="00E538EA"/>
    <w:rsid w:val="00E55959"/>
    <w:rsid w:val="00E57BC0"/>
    <w:rsid w:val="00E60859"/>
    <w:rsid w:val="00E6578E"/>
    <w:rsid w:val="00E66CC5"/>
    <w:rsid w:val="00E90DB2"/>
    <w:rsid w:val="00E928C0"/>
    <w:rsid w:val="00EA660C"/>
    <w:rsid w:val="00EB574C"/>
    <w:rsid w:val="00EB5991"/>
    <w:rsid w:val="00EE201E"/>
    <w:rsid w:val="00EE4CE8"/>
    <w:rsid w:val="00EF6123"/>
    <w:rsid w:val="00EF65BF"/>
    <w:rsid w:val="00F0010D"/>
    <w:rsid w:val="00F07019"/>
    <w:rsid w:val="00F078DF"/>
    <w:rsid w:val="00F12E06"/>
    <w:rsid w:val="00F1713B"/>
    <w:rsid w:val="00F2060A"/>
    <w:rsid w:val="00F36B43"/>
    <w:rsid w:val="00F4064A"/>
    <w:rsid w:val="00F459B9"/>
    <w:rsid w:val="00F56262"/>
    <w:rsid w:val="00F65F89"/>
    <w:rsid w:val="00F7115D"/>
    <w:rsid w:val="00F746A1"/>
    <w:rsid w:val="00F76CEC"/>
    <w:rsid w:val="00F809A9"/>
    <w:rsid w:val="00F80C36"/>
    <w:rsid w:val="00F8367F"/>
    <w:rsid w:val="00F94214"/>
    <w:rsid w:val="00F94E61"/>
    <w:rsid w:val="00F9714C"/>
    <w:rsid w:val="00F97D70"/>
    <w:rsid w:val="00FB53FB"/>
    <w:rsid w:val="00FD2262"/>
    <w:rsid w:val="00FD2CD3"/>
    <w:rsid w:val="00FD4B32"/>
    <w:rsid w:val="00FE0F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2D7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FootnoteText">
    <w:name w:val="footnote text"/>
    <w:basedOn w:val="Normal"/>
    <w:link w:val="FootnoteTextChar"/>
    <w:semiHidden/>
    <w:unhideWhenUsed/>
    <w:rsid w:val="007F4FD0"/>
  </w:style>
  <w:style w:type="character" w:customStyle="1" w:styleId="FootnoteTextChar">
    <w:name w:val="Footnote Text Char"/>
    <w:link w:val="FootnoteText"/>
    <w:semiHidden/>
    <w:rsid w:val="007F4FD0"/>
    <w:rPr>
      <w:rFonts w:ascii="Arial" w:eastAsia="Times New Roman" w:hAnsi="Arial" w:cs="Arial"/>
    </w:rPr>
  </w:style>
  <w:style w:type="character" w:styleId="FootnoteReference">
    <w:name w:val="footnote reference"/>
    <w:uiPriority w:val="99"/>
    <w:unhideWhenUsed/>
    <w:rsid w:val="007F4FD0"/>
    <w:rPr>
      <w:vertAlign w:val="superscript"/>
    </w:rPr>
  </w:style>
  <w:style w:type="table" w:customStyle="1" w:styleId="TableGrid1">
    <w:name w:val="Table Grid1"/>
    <w:basedOn w:val="TableNormal"/>
    <w:next w:val="TableGrid"/>
    <w:uiPriority w:val="39"/>
    <w:rsid w:val="00AC16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C16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326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703"/>
    <w:rPr>
      <w:rFonts w:ascii="Arial" w:eastAsia="Times New Roman" w:hAnsi="Arial" w:cs="Arial"/>
    </w:rPr>
  </w:style>
  <w:style w:type="character" w:styleId="UnresolvedMention">
    <w:name w:val="Unresolved Mention"/>
    <w:basedOn w:val="DefaultParagraphFont"/>
    <w:uiPriority w:val="99"/>
    <w:semiHidden/>
    <w:unhideWhenUsed/>
    <w:rsid w:val="00FD2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83F8-A44E-4E66-90AF-8CB49A9D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2025-02-18T19:56:00Z</dcterms:created>
  <dcterms:modified xsi:type="dcterms:W3CDTF">2025-02-18T20:46:00Z</dcterms:modified>
</cp:coreProperties>
</file>