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4CC" w14:paraId="6EC4A440" w14:textId="77777777">
      <w:pPr>
        <w:pStyle w:val="NormalWeb"/>
        <w:spacing w:before="0" w:beforeAutospacing="0" w:after="0" w:afterAutospacing="0"/>
        <w:jc w:val="center"/>
        <w:rPr>
          <w:b/>
        </w:rPr>
      </w:pPr>
      <w:r>
        <w:rPr>
          <w:b/>
        </w:rPr>
        <w:t>Annual Stress Test Rule and</w:t>
      </w:r>
    </w:p>
    <w:p w:rsidR="003B04CC" w:rsidP="00322D0A" w14:paraId="4A58FF60" w14:textId="4D918241">
      <w:pPr>
        <w:pStyle w:val="NormalWeb"/>
        <w:spacing w:before="0" w:beforeAutospacing="0" w:after="0" w:afterAutospacing="0"/>
        <w:jc w:val="center"/>
        <w:rPr>
          <w:rStyle w:val="trigger"/>
        </w:rPr>
      </w:pPr>
      <w:r>
        <w:rPr>
          <w:b/>
        </w:rPr>
        <w:t>Company-Run Annual Stress Test Reporting Template and Documentation for Covered Institutions with Total Consolidated Assets of $250 Billion or More under the Dodd-Frank Wall Street Reform and Consumer Protection Act</w:t>
      </w:r>
    </w:p>
    <w:p w:rsidR="003B04CC" w:rsidRPr="00322D0A" w14:paraId="5349E46F" w14:textId="1F4C5CEF">
      <w:pPr>
        <w:pStyle w:val="NormalWeb"/>
        <w:spacing w:before="0" w:beforeAutospacing="0" w:after="0" w:afterAutospacing="0"/>
        <w:jc w:val="center"/>
        <w:rPr>
          <w:rStyle w:val="trigger"/>
          <w:b/>
        </w:rPr>
      </w:pPr>
      <w:r w:rsidRPr="00322D0A">
        <w:rPr>
          <w:b/>
        </w:rPr>
        <w:t xml:space="preserve">Supporting Statement </w:t>
      </w:r>
    </w:p>
    <w:p w:rsidR="003B04CC" w:rsidRPr="00322D0A" w14:paraId="54CD5901" w14:textId="4028E497">
      <w:pPr>
        <w:pStyle w:val="NormalWeb"/>
        <w:spacing w:before="0" w:beforeAutospacing="0" w:after="0" w:afterAutospacing="0"/>
        <w:jc w:val="center"/>
        <w:rPr>
          <w:rStyle w:val="trigger"/>
          <w:b/>
        </w:rPr>
      </w:pPr>
      <w:r w:rsidRPr="00322D0A">
        <w:rPr>
          <w:rStyle w:val="trigger"/>
          <w:b/>
        </w:rPr>
        <w:t xml:space="preserve">OMB </w:t>
      </w:r>
      <w:r w:rsidRPr="00322D0A" w:rsidR="00A86053">
        <w:rPr>
          <w:rStyle w:val="trigger"/>
          <w:b/>
        </w:rPr>
        <w:t xml:space="preserve">Control </w:t>
      </w:r>
      <w:r w:rsidRPr="00322D0A">
        <w:rPr>
          <w:rStyle w:val="trigger"/>
          <w:b/>
        </w:rPr>
        <w:t>N</w:t>
      </w:r>
      <w:r w:rsidRPr="00322D0A" w:rsidR="00A86053">
        <w:rPr>
          <w:rStyle w:val="trigger"/>
          <w:b/>
        </w:rPr>
        <w:t>o</w:t>
      </w:r>
      <w:r w:rsidRPr="00322D0A">
        <w:rPr>
          <w:rStyle w:val="trigger"/>
          <w:b/>
        </w:rPr>
        <w:t>. 1557-0319</w:t>
      </w:r>
    </w:p>
    <w:p w:rsidR="003B04CC" w:rsidP="00021A73" w14:paraId="64DC5DAB" w14:textId="0C66E76F">
      <w:pPr>
        <w:pStyle w:val="NormalWeb"/>
        <w:tabs>
          <w:tab w:val="left" w:pos="6105"/>
        </w:tabs>
        <w:spacing w:before="0" w:beforeAutospacing="0" w:after="0" w:afterAutospacing="0"/>
        <w:rPr>
          <w:bCs/>
        </w:rPr>
      </w:pPr>
      <w:r>
        <w:rPr>
          <w:bCs/>
        </w:rPr>
        <w:tab/>
      </w:r>
    </w:p>
    <w:p w:rsidR="003B04CC" w14:paraId="75024EF2" w14:textId="77777777">
      <w:pPr>
        <w:pStyle w:val="NormalWeb"/>
        <w:spacing w:before="0" w:beforeAutospacing="0" w:after="0" w:afterAutospacing="0" w:line="480" w:lineRule="auto"/>
      </w:pPr>
      <w:r>
        <w:rPr>
          <w:b/>
          <w:bCs/>
        </w:rPr>
        <w:t>A. Justification</w:t>
      </w:r>
    </w:p>
    <w:p w:rsidR="003B04CC" w14:paraId="749B9458" w14:textId="77777777">
      <w:pPr>
        <w:numPr>
          <w:ilvl w:val="0"/>
          <w:numId w:val="1"/>
        </w:numPr>
        <w:spacing w:line="480" w:lineRule="auto"/>
        <w:rPr>
          <w:u w:val="single"/>
        </w:rPr>
      </w:pPr>
      <w:r>
        <w:rPr>
          <w:u w:val="single"/>
        </w:rPr>
        <w:t xml:space="preserve">Circumstances Making the Collection of Information Necessary </w:t>
      </w:r>
    </w:p>
    <w:p w:rsidR="003B04CC" w14:paraId="0F96ECAE" w14:textId="7BD64134">
      <w:pPr>
        <w:pStyle w:val="BodyText"/>
        <w:spacing w:line="240" w:lineRule="auto"/>
        <w:ind w:left="720"/>
        <w:rPr>
          <w:rFonts w:ascii="Times New Roman" w:eastAsia="Arial Unicode MS" w:hAnsi="Times New Roman" w:cs="Times New Roman"/>
        </w:rPr>
      </w:pPr>
      <w:r>
        <w:rPr>
          <w:rStyle w:val="documentbody1"/>
          <w:rFonts w:ascii="Times New Roman" w:hAnsi="Times New Roman"/>
          <w:sz w:val="24"/>
          <w:szCs w:val="24"/>
        </w:rPr>
        <w:t>Section 165(i)(2) of the Dodd-Frank Wall Street Reform and Consumer Protection Act</w:t>
      </w:r>
      <w:r>
        <w:rPr>
          <w:rStyle w:val="FootnoteReference"/>
          <w:rFonts w:ascii="Times New Roman" w:hAnsi="Times New Roman" w:cs="Times New Roman"/>
        </w:rPr>
        <w:footnoteReference w:id="2"/>
      </w:r>
      <w:r>
        <w:rPr>
          <w:rStyle w:val="documentbody1"/>
          <w:rFonts w:ascii="Times New Roman" w:hAnsi="Times New Roman"/>
          <w:sz w:val="24"/>
          <w:szCs w:val="24"/>
        </w:rPr>
        <w:t xml:space="preserve"> (Dodd-Frank Act) </w:t>
      </w:r>
      <w:r>
        <w:rPr>
          <w:rFonts w:ascii="Times New Roman" w:hAnsi="Times New Roman" w:cs="Times New Roman"/>
        </w:rPr>
        <w:t>requires certain financial companies, including national banks and federal savings associations, to conduct annual stress tests</w:t>
      </w:r>
      <w:r>
        <w:rPr>
          <w:rStyle w:val="FootnoteReference"/>
          <w:rFonts w:ascii="Times New Roman" w:eastAsia="Arial Unicode MS" w:hAnsi="Times New Roman" w:cs="Times New Roman"/>
        </w:rPr>
        <w:footnoteReference w:id="3"/>
      </w:r>
      <w:r>
        <w:rPr>
          <w:rFonts w:ascii="Times New Roman" w:hAnsi="Times New Roman" w:cs="Times New Roman"/>
        </w:rPr>
        <w:t xml:space="preserve"> </w:t>
      </w:r>
      <w:r>
        <w:rPr>
          <w:rFonts w:ascii="Times New Roman" w:eastAsia="Arial Unicode MS" w:hAnsi="Times New Roman" w:cs="Times New Roman"/>
        </w:rPr>
        <w:t>and requires the primary financial regulatory agency</w:t>
      </w:r>
      <w:r>
        <w:rPr>
          <w:rStyle w:val="FootnoteReference"/>
          <w:rFonts w:ascii="Times New Roman" w:eastAsia="Arial Unicode MS" w:hAnsi="Times New Roman" w:cs="Times New Roman"/>
        </w:rPr>
        <w:footnoteReference w:id="4"/>
      </w:r>
      <w:r>
        <w:rPr>
          <w:rFonts w:ascii="Times New Roman" w:eastAsia="Arial Unicode MS" w:hAnsi="Times New Roman" w:cs="Times New Roman"/>
        </w:rPr>
        <w:t xml:space="preserve"> of those financial companies to issue regulations implementing the stress test requirements.</w:t>
      </w:r>
      <w:r>
        <w:rPr>
          <w:rStyle w:val="FootnoteReference"/>
          <w:rFonts w:ascii="Times New Roman" w:eastAsia="Arial Unicode MS" w:hAnsi="Times New Roman" w:cs="Times New Roman"/>
        </w:rPr>
        <w:footnoteReference w:id="5"/>
      </w:r>
      <w:r>
        <w:rPr>
          <w:rFonts w:ascii="Times New Roman" w:eastAsia="Arial Unicode MS" w:hAnsi="Times New Roman" w:cs="Times New Roman"/>
        </w:rPr>
        <w:t xml:space="preserve">  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Fonts w:ascii="Times New Roman" w:eastAsia="Arial Unicode MS" w:hAnsi="Times New Roman" w:cs="Times New Roman"/>
        </w:rPr>
        <w:footnoteReference w:id="6"/>
      </w:r>
    </w:p>
    <w:p w:rsidR="003B04CC" w14:paraId="2C029AAA" w14:textId="77777777">
      <w:pPr>
        <w:pStyle w:val="BodyText"/>
        <w:spacing w:line="240" w:lineRule="auto"/>
        <w:ind w:left="720"/>
        <w:rPr>
          <w:rFonts w:ascii="Times New Roman" w:eastAsia="Arial Unicode MS" w:hAnsi="Times New Roman" w:cs="Times New Roman"/>
        </w:rPr>
      </w:pPr>
    </w:p>
    <w:p w:rsidR="003B04CC" w14:paraId="7AF44239" w14:textId="77777777">
      <w:pPr>
        <w:pStyle w:val="BodyText"/>
        <w:spacing w:line="240" w:lineRule="auto"/>
        <w:ind w:left="720"/>
        <w:rPr>
          <w:rFonts w:ascii="Times New Roman" w:eastAsia="Arial Unicode MS" w:hAnsi="Times New Roman" w:cs="Times New Roman"/>
        </w:rPr>
      </w:pPr>
      <w:r>
        <w:rPr>
          <w:rFonts w:ascii="Times New Roman" w:eastAsia="Arial Unicode MS" w:hAnsi="Times New Roman" w:cs="Times New Roman"/>
        </w:rPr>
        <w:t xml:space="preserve">On October 9, 2012, the OCC published in the </w:t>
      </w:r>
      <w:r>
        <w:rPr>
          <w:rFonts w:ascii="Times New Roman" w:eastAsia="Arial Unicode MS" w:hAnsi="Times New Roman" w:cs="Times New Roman"/>
          <w:i/>
        </w:rPr>
        <w:t>Federal Register</w:t>
      </w:r>
      <w:r>
        <w:rPr>
          <w:rFonts w:ascii="Times New Roman" w:eastAsia="Arial Unicode MS" w:hAnsi="Times New Roman" w:cs="Times New Roman"/>
        </w:rPr>
        <w:t xml:space="preserve"> a final rule implementing the section 165(i)(2) annual stress test requirement.</w:t>
      </w:r>
      <w:r>
        <w:rPr>
          <w:rStyle w:val="FootnoteReference"/>
          <w:rFonts w:ascii="Times New Roman" w:eastAsia="Arial Unicode MS" w:hAnsi="Times New Roman" w:cs="Times New Roman"/>
        </w:rPr>
        <w:footnoteReference w:id="7"/>
      </w:r>
      <w:r>
        <w:rPr>
          <w:rFonts w:ascii="Times New Roman" w:eastAsia="Arial Unicode MS" w:hAnsi="Times New Roman" w:cs="Times New Roman"/>
        </w:rPr>
        <w:t xml:space="preserve">  This rule describes the reports and information collections required to meet the reporting requirements under section 165(i)(2).  These information collections will be given confidential treatment (5 U.S.C. 552(b)(4)) to the extent permitted by law.</w:t>
      </w:r>
    </w:p>
    <w:p w:rsidR="003B04CC" w14:paraId="079D7614" w14:textId="77777777">
      <w:pPr>
        <w:pStyle w:val="BodyText"/>
        <w:spacing w:line="240" w:lineRule="auto"/>
        <w:ind w:left="720"/>
        <w:rPr>
          <w:rFonts w:ascii="Times New Roman" w:eastAsia="Arial Unicode MS" w:hAnsi="Times New Roman" w:cs="Times New Roman"/>
        </w:rPr>
      </w:pPr>
    </w:p>
    <w:p w:rsidR="003B04CC" w14:paraId="3EC78A00" w14:textId="244E84B6">
      <w:pPr>
        <w:pStyle w:val="BodyText"/>
        <w:spacing w:line="240" w:lineRule="auto"/>
        <w:ind w:left="720"/>
        <w:rPr>
          <w:rFonts w:ascii="Times New Roman" w:eastAsia="Arial Unicode MS" w:hAnsi="Times New Roman" w:cs="Times New Roman"/>
        </w:rPr>
      </w:pPr>
      <w:r>
        <w:rPr>
          <w:rFonts w:ascii="Times New Roman" w:eastAsia="Arial Unicode MS" w:hAnsi="Times New Roman" w:cs="Times New Roman"/>
        </w:rPr>
        <w:t>In 2012, the OCC first implemented the reporting templates referenced in the final rule.</w:t>
      </w:r>
      <w:r>
        <w:rPr>
          <w:rStyle w:val="FootnoteReference"/>
          <w:rFonts w:ascii="Times New Roman" w:eastAsia="Arial Unicode MS" w:hAnsi="Times New Roman" w:cs="Times New Roman"/>
        </w:rPr>
        <w:footnoteReference w:id="8"/>
      </w:r>
      <w:r>
        <w:rPr>
          <w:rFonts w:ascii="Times New Roman" w:eastAsia="Arial Unicode MS" w:hAnsi="Times New Roman" w:cs="Times New Roman"/>
        </w:rPr>
        <w:t xml:space="preserve">  The OCC published proposed revisions to these templates on </w:t>
      </w:r>
      <w:r w:rsidR="0021740B">
        <w:rPr>
          <w:rFonts w:ascii="Times New Roman" w:eastAsia="Arial Unicode MS" w:hAnsi="Times New Roman" w:cs="Times New Roman"/>
        </w:rPr>
        <w:t>October 29, 2024</w:t>
      </w:r>
      <w:r>
        <w:rPr>
          <w:rFonts w:ascii="Times New Roman" w:eastAsia="Arial Unicode MS" w:hAnsi="Times New Roman" w:cs="Times New Roman"/>
        </w:rPr>
        <w:t>.</w:t>
      </w:r>
      <w:r>
        <w:rPr>
          <w:rStyle w:val="FootnoteReference"/>
          <w:rFonts w:ascii="Times New Roman" w:eastAsia="Arial Unicode MS" w:hAnsi="Times New Roman" w:cs="Times New Roman"/>
        </w:rPr>
        <w:footnoteReference w:id="9"/>
      </w:r>
      <w:r>
        <w:rPr>
          <w:rFonts w:ascii="Times New Roman" w:eastAsia="Arial Unicode MS" w:hAnsi="Times New Roman" w:cs="Times New Roman"/>
        </w:rPr>
        <w:t xml:space="preserve">  The OCC is now finalizing these proposed revisions as described below.</w:t>
      </w:r>
    </w:p>
    <w:p w:rsidR="003B04CC" w14:paraId="0805E657" w14:textId="77777777">
      <w:pPr>
        <w:ind w:firstLine="720"/>
      </w:pPr>
    </w:p>
    <w:p w:rsidR="003B04CC" w14:paraId="65623DE4" w14:textId="77777777">
      <w:pPr>
        <w:numPr>
          <w:ilvl w:val="0"/>
          <w:numId w:val="1"/>
        </w:numPr>
        <w:rPr>
          <w:u w:val="single"/>
        </w:rPr>
      </w:pPr>
      <w:r>
        <w:rPr>
          <w:u w:val="single"/>
        </w:rPr>
        <w:t xml:space="preserve">Purpose and Use of the Information Collection </w:t>
      </w:r>
    </w:p>
    <w:p w:rsidR="003B04CC" w14:paraId="04ED4D11" w14:textId="77777777"/>
    <w:p w:rsidR="003B04CC" w14:paraId="1EB2349C" w14:textId="65906B9D">
      <w:pPr>
        <w:autoSpaceDE w:val="0"/>
        <w:autoSpaceDN w:val="0"/>
        <w:adjustRightInd w:val="0"/>
        <w:ind w:left="720" w:right="-14"/>
      </w:pPr>
      <w:r>
        <w:rPr>
          <w:rFonts w:ascii="Times" w:hAnsi="Times" w:cs="Times"/>
          <w:color w:val="000000"/>
        </w:rPr>
        <w:t>The OCC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w:t>
      </w:r>
      <w:r>
        <w:t>institution’s stress testing practices with respect to its internal assessments of capital adequacy and overall capital planning.</w:t>
      </w:r>
    </w:p>
    <w:p w:rsidR="003B04CC" w14:paraId="3598F753" w14:textId="77777777"/>
    <w:p w:rsidR="003B04CC" w14:paraId="4854FCE6" w14:textId="3B82AD80">
      <w:pPr>
        <w:ind w:left="720"/>
        <w:rPr>
          <w:rFonts w:ascii="Times" w:hAnsi="Times" w:cs="Times"/>
          <w:color w:val="000000"/>
        </w:rPr>
      </w:pPr>
      <w:r>
        <w:rPr>
          <w:rFonts w:ascii="Times" w:hAnsi="Times" w:cs="Times"/>
          <w:color w:val="000000"/>
        </w:rPr>
        <w:tab/>
      </w:r>
      <w:r w:rsidRPr="0007655D" w:rsidR="0007655D">
        <w:rPr>
          <w:rFonts w:ascii="Times" w:hAnsi="Times" w:cs="Times"/>
          <w:color w:val="000000"/>
        </w:rPr>
        <w:t xml:space="preserve">The OCC’s changes include only limited updates, and the OCC reporting forms will substantially resemble the forms used by the OCC last year.  The OCC’s changes include removing the CECL Supplemental Schedule from the reporting instructions. </w:t>
      </w:r>
      <w:r w:rsidR="00335AC2">
        <w:rPr>
          <w:rFonts w:ascii="Times" w:hAnsi="Times" w:cs="Times"/>
          <w:color w:val="000000"/>
        </w:rPr>
        <w:t xml:space="preserve"> </w:t>
      </w:r>
      <w:r w:rsidRPr="0007655D" w:rsidR="0007655D">
        <w:rPr>
          <w:rFonts w:ascii="Times" w:hAnsi="Times" w:cs="Times"/>
          <w:color w:val="000000"/>
        </w:rPr>
        <w:t xml:space="preserve">The CECL Supplemental Schedule was a one-time schedule that reporting banks provided the during the first submission cycle following their implementation of the ASU 2016-13 standards.  This collection was implemented to identify the effect and timing of the adoption of CECL and the associated transition provisions, as provided by section 301 of the regulatory capital rules. </w:t>
      </w:r>
      <w:r w:rsidR="00335AC2">
        <w:rPr>
          <w:rFonts w:ascii="Times" w:hAnsi="Times" w:cs="Times"/>
          <w:color w:val="000000"/>
        </w:rPr>
        <w:t xml:space="preserve"> </w:t>
      </w:r>
      <w:r w:rsidRPr="0007655D" w:rsidR="0007655D">
        <w:rPr>
          <w:rFonts w:ascii="Times" w:hAnsi="Times" w:cs="Times"/>
          <w:color w:val="000000"/>
        </w:rPr>
        <w:t xml:space="preserve">As all firms have now adopted ASU 2016-13, this supplemental collection is not needed on a go-forward basis for modeling or analytic purposes.  The proposed changes also include minor corrections and eliminating references to LIBOR, which is no longer a reference rate, in the </w:t>
      </w:r>
      <w:r w:rsidR="00021A73">
        <w:rPr>
          <w:rFonts w:ascii="Times" w:hAnsi="Times" w:cs="Times"/>
          <w:color w:val="000000"/>
        </w:rPr>
        <w:t xml:space="preserve">reporting </w:t>
      </w:r>
      <w:r w:rsidRPr="0007655D" w:rsidR="0007655D">
        <w:rPr>
          <w:rFonts w:ascii="Times" w:hAnsi="Times" w:cs="Times"/>
          <w:color w:val="000000"/>
        </w:rPr>
        <w:t>instructions.</w:t>
      </w:r>
    </w:p>
    <w:p w:rsidR="003B04CC" w14:paraId="7F76E3E9" w14:textId="77777777">
      <w:pPr>
        <w:ind w:left="720"/>
        <w:rPr>
          <w:u w:val="single"/>
        </w:rPr>
      </w:pPr>
    </w:p>
    <w:p w:rsidR="003B04CC" w14:paraId="0F12521D" w14:textId="77777777">
      <w:pPr>
        <w:numPr>
          <w:ilvl w:val="0"/>
          <w:numId w:val="1"/>
        </w:numPr>
        <w:ind w:right="-1440"/>
        <w:rPr>
          <w:u w:val="single"/>
        </w:rPr>
      </w:pPr>
      <w:r>
        <w:rPr>
          <w:u w:val="single"/>
        </w:rPr>
        <w:t xml:space="preserve">Use of Improved Information Technology and Burden Reduction </w:t>
      </w:r>
    </w:p>
    <w:p w:rsidR="003B04CC" w14:paraId="4CE4EEBD" w14:textId="77777777">
      <w:pPr>
        <w:pStyle w:val="ListParagraph"/>
      </w:pPr>
    </w:p>
    <w:p w:rsidR="003B04CC" w14:paraId="05A79817" w14:textId="77777777">
      <w:pPr>
        <w:ind w:left="720"/>
        <w:rPr>
          <w:u w:val="single"/>
        </w:rPr>
      </w:pPr>
      <w:r>
        <w:t>Respondents may use any method of improved technology that meets the requirements of the collection.</w:t>
      </w:r>
    </w:p>
    <w:p w:rsidR="003B04CC" w14:paraId="09824C27" w14:textId="77777777">
      <w:pPr>
        <w:pStyle w:val="HTMLPreformatted"/>
        <w:rPr>
          <w:rFonts w:ascii="Times New Roman" w:hAnsi="Times New Roman" w:cs="Times New Roman"/>
          <w:sz w:val="24"/>
          <w:szCs w:val="24"/>
        </w:rPr>
      </w:pPr>
      <w:r>
        <w:rPr>
          <w:rFonts w:ascii="Times New Roman" w:hAnsi="Times New Roman" w:cs="Times New Roman"/>
          <w:sz w:val="24"/>
          <w:szCs w:val="24"/>
        </w:rPr>
        <w:tab/>
      </w:r>
    </w:p>
    <w:p w:rsidR="003B04CC" w14:paraId="66B02492" w14:textId="77777777">
      <w:pPr>
        <w:numPr>
          <w:ilvl w:val="0"/>
          <w:numId w:val="1"/>
        </w:numPr>
        <w:rPr>
          <w:u w:val="single"/>
        </w:rPr>
      </w:pPr>
      <w:r>
        <w:rPr>
          <w:u w:val="single"/>
        </w:rPr>
        <w:t xml:space="preserve">Efforts to Identify Duplication and Use of Similar Information </w:t>
      </w:r>
    </w:p>
    <w:p w:rsidR="003B04CC" w14:paraId="0E77DBEB" w14:textId="77777777">
      <w:pPr>
        <w:ind w:left="720" w:right="893"/>
      </w:pPr>
    </w:p>
    <w:p w:rsidR="003B04CC" w14:paraId="273C88E9" w14:textId="77777777">
      <w:pPr>
        <w:ind w:left="720" w:right="893"/>
      </w:pPr>
      <w:r>
        <w:t>The required information is unique and is not duplicative of any other information already collected.</w:t>
      </w:r>
    </w:p>
    <w:p w:rsidR="003B04CC" w14:paraId="585D1182" w14:textId="77777777"/>
    <w:p w:rsidR="003B04CC" w14:paraId="05759148" w14:textId="77777777">
      <w:pPr>
        <w:numPr>
          <w:ilvl w:val="0"/>
          <w:numId w:val="1"/>
        </w:numPr>
        <w:rPr>
          <w:u w:val="single"/>
        </w:rPr>
      </w:pPr>
      <w:r>
        <w:rPr>
          <w:u w:val="single"/>
        </w:rPr>
        <w:t>Methods used to Minimize burden if the collection has a significant impact on Small Businesses or Other Small Entities</w:t>
      </w:r>
    </w:p>
    <w:p w:rsidR="003B04CC" w14:paraId="0A531D99" w14:textId="77777777">
      <w:pPr>
        <w:ind w:left="720" w:right="893"/>
      </w:pPr>
    </w:p>
    <w:p w:rsidR="003B04CC" w14:paraId="31A33107" w14:textId="77777777">
      <w:pPr>
        <w:ind w:left="720" w:right="893"/>
      </w:pPr>
      <w:r>
        <w:t>The information collection does not have a significant impact on a substantial number of small businesses or other small entities.</w:t>
      </w:r>
    </w:p>
    <w:p w:rsidR="003B04CC" w14:paraId="5C9CA718" w14:textId="77777777">
      <w:pPr>
        <w:ind w:firstLine="720"/>
      </w:pPr>
    </w:p>
    <w:p w:rsidR="003B04CC" w14:paraId="00C31D7D" w14:textId="77777777">
      <w:pPr>
        <w:numPr>
          <w:ilvl w:val="0"/>
          <w:numId w:val="1"/>
        </w:numPr>
        <w:rPr>
          <w:u w:val="single"/>
        </w:rPr>
      </w:pPr>
      <w:r>
        <w:rPr>
          <w:u w:val="single"/>
        </w:rPr>
        <w:t>Consequences of Collecting the Information Less Frequently</w:t>
      </w:r>
    </w:p>
    <w:p w:rsidR="003B04CC" w14:paraId="584EE8C0" w14:textId="77777777">
      <w:pPr>
        <w:ind w:left="720"/>
      </w:pPr>
    </w:p>
    <w:p w:rsidR="003B04CC" w14:paraId="6643EB42" w14:textId="3F840122">
      <w:pPr>
        <w:ind w:left="720"/>
      </w:pPr>
      <w:r>
        <w:t xml:space="preserve">The collection of information is required by federal statute. </w:t>
      </w:r>
      <w:r w:rsidR="00335AC2">
        <w:t xml:space="preserve"> </w:t>
      </w:r>
      <w:r>
        <w:t>The consequences of collecting the information less frequently would prevent OCC from implementing Section 165(i)(2) of the Dodd-Frank Wall Street Reform and Consumer Protection Act.</w:t>
      </w:r>
      <w:r>
        <w:rPr>
          <w:rStyle w:val="FootnoteReference"/>
        </w:rPr>
        <w:footnoteReference w:id="10"/>
      </w:r>
    </w:p>
    <w:p w:rsidR="003B04CC" w14:paraId="56A542A7" w14:textId="77777777">
      <w:pPr>
        <w:ind w:firstLine="720"/>
      </w:pPr>
    </w:p>
    <w:p w:rsidR="003B04CC" w14:paraId="1CFAEE4A" w14:textId="77777777">
      <w:pPr>
        <w:numPr>
          <w:ilvl w:val="0"/>
          <w:numId w:val="1"/>
        </w:numPr>
        <w:rPr>
          <w:u w:val="single"/>
        </w:rPr>
      </w:pPr>
      <w:r>
        <w:rPr>
          <w:u w:val="single"/>
        </w:rPr>
        <w:t>Special Circumstances Relating to the Guidelines of 5 CFR 1320.5</w:t>
      </w:r>
    </w:p>
    <w:p w:rsidR="003B04CC" w14:paraId="61945CC1" w14:textId="77777777">
      <w:pPr>
        <w:ind w:left="720" w:right="893"/>
      </w:pPr>
    </w:p>
    <w:p w:rsidR="003B04CC" w14:paraId="13B74A15" w14:textId="77777777">
      <w:pPr>
        <w:ind w:left="720" w:right="893"/>
      </w:pPr>
      <w:r>
        <w:t>The information collection would be conducted in a manner consistent with 5 CFR Part 1320.5.</w:t>
      </w:r>
    </w:p>
    <w:p w:rsidR="003B04CC" w14:paraId="79A1C5AB" w14:textId="77777777">
      <w:pPr>
        <w:ind w:firstLine="720"/>
      </w:pPr>
    </w:p>
    <w:p w:rsidR="003B04CC" w14:paraId="4E291A3F" w14:textId="77777777">
      <w:pPr>
        <w:numPr>
          <w:ilvl w:val="0"/>
          <w:numId w:val="1"/>
        </w:numPr>
        <w:rPr>
          <w:u w:val="single"/>
        </w:rPr>
      </w:pPr>
      <w:r>
        <w:rPr>
          <w:u w:val="single"/>
        </w:rPr>
        <w:t>Comments in Response to the Federal Register Notice and Efforts to Consult Outside the Agency</w:t>
      </w:r>
    </w:p>
    <w:p w:rsidR="003B04CC" w14:paraId="19E0B6BC" w14:textId="77777777">
      <w:pPr>
        <w:ind w:left="720"/>
      </w:pPr>
    </w:p>
    <w:p w:rsidR="003B04CC" w14:paraId="5CCF0796" w14:textId="2DFE6946">
      <w:pPr>
        <w:ind w:left="720"/>
      </w:pPr>
      <w:r>
        <w:rPr>
          <w:rStyle w:val="documentbody1"/>
          <w:rFonts w:ascii="Times New Roman" w:hAnsi="Times New Roman"/>
          <w:color w:val="000000"/>
          <w:sz w:val="24"/>
          <w:szCs w:val="24"/>
        </w:rPr>
        <w:t xml:space="preserve">On </w:t>
      </w:r>
      <w:r w:rsidR="00335AC2">
        <w:rPr>
          <w:rStyle w:val="documentbody1"/>
          <w:rFonts w:ascii="Times New Roman" w:hAnsi="Times New Roman"/>
          <w:color w:val="000000"/>
          <w:sz w:val="24"/>
          <w:szCs w:val="24"/>
        </w:rPr>
        <w:t>October 29</w:t>
      </w:r>
      <w:r>
        <w:rPr>
          <w:rStyle w:val="documentbody1"/>
          <w:rFonts w:ascii="Times New Roman" w:hAnsi="Times New Roman"/>
          <w:color w:val="000000"/>
          <w:sz w:val="24"/>
          <w:szCs w:val="24"/>
        </w:rPr>
        <w:t>, 202</w:t>
      </w:r>
      <w:r w:rsidR="00335AC2">
        <w:rPr>
          <w:rStyle w:val="documentbody1"/>
          <w:rFonts w:ascii="Times New Roman" w:hAnsi="Times New Roman"/>
          <w:color w:val="000000"/>
          <w:sz w:val="24"/>
          <w:szCs w:val="24"/>
        </w:rPr>
        <w:t>4</w:t>
      </w:r>
      <w:r>
        <w:rPr>
          <w:rStyle w:val="documentbody1"/>
          <w:rFonts w:ascii="Times New Roman" w:hAnsi="Times New Roman"/>
          <w:color w:val="000000"/>
          <w:sz w:val="24"/>
          <w:szCs w:val="24"/>
        </w:rPr>
        <w:t>, the OCC published a notice for 60 days of comment concerning this collection, 8</w:t>
      </w:r>
      <w:r w:rsidR="00335AC2">
        <w:rPr>
          <w:rStyle w:val="documentbody1"/>
          <w:rFonts w:ascii="Times New Roman" w:hAnsi="Times New Roman"/>
          <w:color w:val="000000"/>
          <w:sz w:val="24"/>
          <w:szCs w:val="24"/>
        </w:rPr>
        <w:t>9</w:t>
      </w:r>
      <w:r>
        <w:rPr>
          <w:rStyle w:val="documentbody1"/>
          <w:rFonts w:ascii="Times New Roman" w:hAnsi="Times New Roman"/>
          <w:color w:val="000000"/>
          <w:sz w:val="24"/>
          <w:szCs w:val="24"/>
        </w:rPr>
        <w:t xml:space="preserve"> FR </w:t>
      </w:r>
      <w:r w:rsidR="00335AC2">
        <w:rPr>
          <w:rStyle w:val="documentbody1"/>
          <w:rFonts w:ascii="Times New Roman" w:hAnsi="Times New Roman"/>
          <w:color w:val="000000"/>
          <w:sz w:val="24"/>
          <w:szCs w:val="24"/>
        </w:rPr>
        <w:t>86079</w:t>
      </w:r>
      <w:r>
        <w:rPr>
          <w:rStyle w:val="documentbody1"/>
          <w:rFonts w:ascii="Times New Roman" w:hAnsi="Times New Roman"/>
          <w:color w:val="000000"/>
          <w:sz w:val="24"/>
          <w:szCs w:val="24"/>
        </w:rPr>
        <w:t xml:space="preserve">.  </w:t>
      </w:r>
      <w:r>
        <w:t xml:space="preserve">The OCC received no comments on the proposed revisions. </w:t>
      </w:r>
    </w:p>
    <w:p w:rsidR="003B04CC" w14:paraId="0D62F5AA" w14:textId="77777777">
      <w:pPr>
        <w:pStyle w:val="BodyText"/>
        <w:spacing w:line="240" w:lineRule="auto"/>
        <w:ind w:left="720"/>
        <w:rPr>
          <w:rFonts w:eastAsia="Arial Unicode MS"/>
        </w:rPr>
      </w:pPr>
    </w:p>
    <w:p w:rsidR="003B04CC" w14:paraId="28772B03" w14:textId="77777777">
      <w:pPr>
        <w:pStyle w:val="ListParagraph"/>
        <w:numPr>
          <w:ilvl w:val="0"/>
          <w:numId w:val="1"/>
        </w:numPr>
        <w:rPr>
          <w:u w:val="single"/>
        </w:rPr>
      </w:pPr>
      <w:r>
        <w:rPr>
          <w:u w:val="single"/>
        </w:rPr>
        <w:t>Explanation of Any Payment or Gift to Respondents</w:t>
      </w:r>
    </w:p>
    <w:p w:rsidR="003B04CC" w14:paraId="7EB9EB07" w14:textId="77777777">
      <w:pPr>
        <w:ind w:left="720"/>
      </w:pPr>
    </w:p>
    <w:p w:rsidR="003B04CC" w14:paraId="3D7A5CAF" w14:textId="77777777">
      <w:pPr>
        <w:ind w:left="720"/>
      </w:pPr>
      <w:r>
        <w:t>OCC has not provided and has no intention to provide any payment or gift to respondents under this information collection.</w:t>
      </w:r>
    </w:p>
    <w:p w:rsidR="003B04CC" w14:paraId="1A428A35" w14:textId="77777777">
      <w:pPr>
        <w:ind w:firstLine="720"/>
      </w:pPr>
    </w:p>
    <w:p w:rsidR="003B04CC" w14:paraId="05BCC490" w14:textId="77777777">
      <w:pPr>
        <w:numPr>
          <w:ilvl w:val="0"/>
          <w:numId w:val="1"/>
        </w:numPr>
        <w:rPr>
          <w:u w:val="single"/>
        </w:rPr>
      </w:pPr>
      <w:r>
        <w:rPr>
          <w:u w:val="single"/>
        </w:rPr>
        <w:t>Assurance of Confidentiality Provided to Respondents</w:t>
      </w:r>
    </w:p>
    <w:p w:rsidR="003B04CC" w14:paraId="35CD695B" w14:textId="77777777">
      <w:pPr>
        <w:numPr>
          <w:ilvl w:val="12"/>
          <w:numId w:val="0"/>
        </w:numPr>
        <w:tabs>
          <w:tab w:val="left" w:pos="720"/>
        </w:tabs>
        <w:ind w:left="720"/>
      </w:pPr>
    </w:p>
    <w:p w:rsidR="003B04CC" w14:paraId="244FA5DF" w14:textId="77777777">
      <w:pPr>
        <w:ind w:left="720"/>
      </w:pPr>
      <w:r>
        <w:t>The information collection request will be kept confidential to the extent permissible by law.</w:t>
      </w:r>
    </w:p>
    <w:p w:rsidR="003B04CC" w14:paraId="1E9B1F60" w14:textId="77777777">
      <w:pPr>
        <w:numPr>
          <w:ilvl w:val="12"/>
          <w:numId w:val="0"/>
        </w:numPr>
        <w:tabs>
          <w:tab w:val="left" w:pos="720"/>
        </w:tabs>
        <w:ind w:left="720"/>
      </w:pPr>
    </w:p>
    <w:p w:rsidR="003B04CC" w14:paraId="400F64AA" w14:textId="77777777">
      <w:pPr>
        <w:numPr>
          <w:ilvl w:val="0"/>
          <w:numId w:val="1"/>
        </w:numPr>
        <w:rPr>
          <w:u w:val="single"/>
        </w:rPr>
      </w:pPr>
      <w:r>
        <w:rPr>
          <w:u w:val="single"/>
        </w:rPr>
        <w:t>Justification for Sensitive Questions</w:t>
      </w:r>
    </w:p>
    <w:p w:rsidR="003B04CC" w14:paraId="2995AFD7" w14:textId="77777777">
      <w:pPr>
        <w:ind w:firstLine="720"/>
      </w:pPr>
    </w:p>
    <w:p w:rsidR="003B04CC" w14:paraId="6E879C07" w14:textId="77777777">
      <w:pPr>
        <w:ind w:firstLine="720"/>
      </w:pPr>
      <w:r>
        <w:t>There are no questions of a sensitive nature.</w:t>
      </w:r>
    </w:p>
    <w:p w:rsidR="003B04CC" w14:paraId="637998F9" w14:textId="77777777">
      <w:pPr>
        <w:ind w:firstLine="720"/>
      </w:pPr>
    </w:p>
    <w:p w:rsidR="003B04CC" w14:paraId="4AEE7FF8" w14:textId="77777777">
      <w:pPr>
        <w:numPr>
          <w:ilvl w:val="0"/>
          <w:numId w:val="1"/>
        </w:numPr>
        <w:rPr>
          <w:u w:val="single"/>
        </w:rPr>
      </w:pPr>
      <w:r>
        <w:rPr>
          <w:u w:val="single"/>
        </w:rPr>
        <w:t>Estimates of Annualized Burden Hours and Costs</w:t>
      </w:r>
    </w:p>
    <w:p w:rsidR="003B04CC" w14:paraId="3AB01C12" w14:textId="77777777">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538"/>
        <w:gridCol w:w="1260"/>
        <w:gridCol w:w="1350"/>
        <w:gridCol w:w="1080"/>
        <w:gridCol w:w="1257"/>
      </w:tblGrid>
      <w:tr w14:paraId="2525C020"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jc w:val="center"/>
        </w:trPr>
        <w:tc>
          <w:tcPr>
            <w:tcW w:w="2538" w:type="dxa"/>
            <w:tcBorders>
              <w:top w:val="single" w:sz="6" w:space="0" w:color="000000"/>
              <w:left w:val="single" w:sz="6" w:space="0" w:color="000000"/>
              <w:bottom w:val="single" w:sz="6" w:space="0" w:color="000000"/>
              <w:right w:val="single" w:sz="6" w:space="0" w:color="000000"/>
            </w:tcBorders>
          </w:tcPr>
          <w:p w:rsidR="003B04CC" w14:paraId="1131A340" w14:textId="77777777">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3B04CC" w14:paraId="38509761" w14:textId="77777777">
            <w:pPr>
              <w:widowControl w:val="0"/>
              <w:snapToGrid w:val="0"/>
              <w:jc w:val="center"/>
              <w:rPr>
                <w:sz w:val="20"/>
                <w:szCs w:val="20"/>
              </w:rPr>
            </w:pPr>
            <w:r>
              <w:rPr>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tcPr>
          <w:p w:rsidR="003B04CC" w14:paraId="06CC48DF" w14:textId="77777777">
            <w:pPr>
              <w:widowControl w:val="0"/>
              <w:snapToGrid w:val="0"/>
              <w:jc w:val="center"/>
              <w:rPr>
                <w:sz w:val="20"/>
                <w:szCs w:val="20"/>
              </w:rPr>
            </w:pPr>
            <w:r>
              <w:rPr>
                <w:sz w:val="20"/>
                <w:szCs w:val="20"/>
              </w:rPr>
              <w:t>No. of Responses</w:t>
            </w:r>
          </w:p>
        </w:tc>
        <w:tc>
          <w:tcPr>
            <w:tcW w:w="1080" w:type="dxa"/>
            <w:tcBorders>
              <w:top w:val="single" w:sz="6" w:space="0" w:color="000000"/>
              <w:left w:val="single" w:sz="6" w:space="0" w:color="000000"/>
              <w:bottom w:val="single" w:sz="6" w:space="0" w:color="000000"/>
              <w:right w:val="single" w:sz="6" w:space="0" w:color="000000"/>
            </w:tcBorders>
          </w:tcPr>
          <w:p w:rsidR="003B04CC" w14:paraId="66144450" w14:textId="77777777">
            <w:pPr>
              <w:widowControl w:val="0"/>
              <w:snapToGrid w:val="0"/>
              <w:jc w:val="center"/>
              <w:rPr>
                <w:sz w:val="20"/>
                <w:szCs w:val="20"/>
              </w:rPr>
            </w:pPr>
            <w:r>
              <w:rPr>
                <w:sz w:val="20"/>
                <w:szCs w:val="20"/>
              </w:rPr>
              <w:t xml:space="preserve">Estimated average hours per </w:t>
            </w:r>
            <w:r>
              <w:rPr>
                <w:sz w:val="20"/>
                <w:szCs w:val="20"/>
              </w:rPr>
              <w:t>Response</w:t>
            </w:r>
          </w:p>
          <w:p w:rsidR="003B04CC" w14:paraId="328D9ED5" w14:textId="77777777">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3B04CC" w14:paraId="7E132F30" w14:textId="77777777">
            <w:pPr>
              <w:widowControl w:val="0"/>
              <w:snapToGrid w:val="0"/>
              <w:jc w:val="center"/>
              <w:rPr>
                <w:sz w:val="20"/>
                <w:szCs w:val="20"/>
              </w:rPr>
            </w:pPr>
            <w:r>
              <w:rPr>
                <w:sz w:val="20"/>
                <w:szCs w:val="20"/>
              </w:rPr>
              <w:t>Total Hours</w:t>
            </w:r>
          </w:p>
          <w:p w:rsidR="003B04CC" w14:paraId="41062E29" w14:textId="77777777">
            <w:pPr>
              <w:widowControl w:val="0"/>
              <w:snapToGrid w:val="0"/>
              <w:rPr>
                <w:sz w:val="20"/>
                <w:szCs w:val="20"/>
              </w:rPr>
            </w:pPr>
          </w:p>
        </w:tc>
      </w:tr>
      <w:tr w14:paraId="2BC496EF" w14:textId="77777777">
        <w:tblPrEx>
          <w:tblW w:w="0" w:type="auto"/>
          <w:jc w:val="center"/>
          <w:tblLayout w:type="fixed"/>
          <w:tblLook w:val="00A0"/>
        </w:tblPrEx>
        <w:trPr>
          <w:jc w:val="center"/>
        </w:trPr>
        <w:tc>
          <w:tcPr>
            <w:tcW w:w="2538" w:type="dxa"/>
            <w:tcBorders>
              <w:top w:val="single" w:sz="6" w:space="0" w:color="000000"/>
              <w:left w:val="single" w:sz="6" w:space="0" w:color="000000"/>
              <w:bottom w:val="single" w:sz="6" w:space="0" w:color="000000"/>
              <w:right w:val="single" w:sz="6" w:space="0" w:color="000000"/>
            </w:tcBorders>
          </w:tcPr>
          <w:p w:rsidR="003B04CC" w14:paraId="34484E50" w14:textId="77777777">
            <w:pPr>
              <w:widowControl w:val="0"/>
              <w:snapToGrid w:val="0"/>
              <w:jc w:val="center"/>
              <w:rPr>
                <w:sz w:val="20"/>
                <w:szCs w:val="20"/>
              </w:rPr>
            </w:pPr>
            <w:r>
              <w:rPr>
                <w:sz w:val="20"/>
                <w:szCs w:val="20"/>
              </w:rPr>
              <w:t xml:space="preserve">OCC DFAST-14A </w:t>
            </w:r>
          </w:p>
        </w:tc>
        <w:tc>
          <w:tcPr>
            <w:tcW w:w="1260" w:type="dxa"/>
            <w:tcBorders>
              <w:top w:val="single" w:sz="6" w:space="0" w:color="000000"/>
              <w:left w:val="single" w:sz="6" w:space="0" w:color="000000"/>
              <w:bottom w:val="single" w:sz="6" w:space="0" w:color="000000"/>
              <w:right w:val="single" w:sz="6" w:space="0" w:color="000000"/>
            </w:tcBorders>
          </w:tcPr>
          <w:p w:rsidR="003B04CC" w14:paraId="54F11FDD" w14:textId="77777777">
            <w:pPr>
              <w:widowControl w:val="0"/>
              <w:snapToGrid w:val="0"/>
              <w:jc w:val="center"/>
              <w:rPr>
                <w:sz w:val="20"/>
                <w:szCs w:val="20"/>
              </w:rPr>
            </w:pPr>
            <w:r>
              <w:rPr>
                <w:sz w:val="20"/>
                <w:szCs w:val="20"/>
              </w:rPr>
              <w:t xml:space="preserve">4 annually </w:t>
            </w:r>
          </w:p>
          <w:p w:rsidR="003B04CC" w14:paraId="41604218" w14:textId="424C29FB">
            <w:pPr>
              <w:widowControl w:val="0"/>
              <w:snapToGrid w:val="0"/>
              <w:jc w:val="center"/>
              <w:rPr>
                <w:sz w:val="20"/>
                <w:szCs w:val="20"/>
              </w:rPr>
            </w:pPr>
            <w:r>
              <w:rPr>
                <w:sz w:val="20"/>
                <w:szCs w:val="20"/>
              </w:rPr>
              <w:t xml:space="preserve">5 </w:t>
            </w:r>
            <w:r w:rsidR="00E55482">
              <w:rPr>
                <w:sz w:val="20"/>
                <w:szCs w:val="20"/>
              </w:rPr>
              <w:t>biennially</w:t>
            </w:r>
          </w:p>
        </w:tc>
        <w:tc>
          <w:tcPr>
            <w:tcW w:w="1350" w:type="dxa"/>
            <w:tcBorders>
              <w:top w:val="single" w:sz="6" w:space="0" w:color="000000"/>
              <w:left w:val="single" w:sz="6" w:space="0" w:color="000000"/>
              <w:bottom w:val="single" w:sz="6" w:space="0" w:color="000000"/>
              <w:right w:val="single" w:sz="6" w:space="0" w:color="000000"/>
            </w:tcBorders>
          </w:tcPr>
          <w:p w:rsidR="003B04CC" w14:paraId="24D46046" w14:textId="77777777">
            <w:pPr>
              <w:widowControl w:val="0"/>
              <w:snapToGrid w:val="0"/>
              <w:jc w:val="center"/>
              <w:rPr>
                <w:sz w:val="20"/>
                <w:szCs w:val="20"/>
              </w:rPr>
            </w:pPr>
            <w:r>
              <w:rPr>
                <w:sz w:val="20"/>
                <w:szCs w:val="20"/>
              </w:rPr>
              <w:t>1</w:t>
            </w:r>
          </w:p>
          <w:p w:rsidR="003B04CC" w14:paraId="027E10D6" w14:textId="77777777">
            <w:pPr>
              <w:widowControl w:val="0"/>
              <w:snapToGrid w:val="0"/>
              <w:jc w:val="center"/>
              <w:rPr>
                <w:sz w:val="20"/>
                <w:szCs w:val="20"/>
              </w:rPr>
            </w:pPr>
            <w:r>
              <w:rPr>
                <w:sz w:val="20"/>
                <w:szCs w:val="20"/>
              </w:rPr>
              <w:t>.5</w:t>
            </w:r>
          </w:p>
        </w:tc>
        <w:tc>
          <w:tcPr>
            <w:tcW w:w="1080" w:type="dxa"/>
            <w:tcBorders>
              <w:top w:val="single" w:sz="6" w:space="0" w:color="000000"/>
              <w:left w:val="single" w:sz="6" w:space="0" w:color="000000"/>
              <w:bottom w:val="single" w:sz="6" w:space="0" w:color="000000"/>
              <w:right w:val="single" w:sz="6" w:space="0" w:color="000000"/>
            </w:tcBorders>
          </w:tcPr>
          <w:p w:rsidR="003B04CC" w14:paraId="39588615" w14:textId="6F3D0414">
            <w:pPr>
              <w:tabs>
                <w:tab w:val="left" w:pos="252"/>
                <w:tab w:val="center" w:pos="432"/>
              </w:tabs>
              <w:rPr>
                <w:sz w:val="20"/>
                <w:szCs w:val="20"/>
              </w:rPr>
            </w:pPr>
            <w:r>
              <w:rPr>
                <w:sz w:val="20"/>
                <w:szCs w:val="20"/>
              </w:rPr>
              <w:tab/>
            </w:r>
            <w:r w:rsidR="00442246">
              <w:rPr>
                <w:sz w:val="20"/>
                <w:szCs w:val="20"/>
              </w:rPr>
              <w:t>443.33</w:t>
            </w:r>
          </w:p>
        </w:tc>
        <w:tc>
          <w:tcPr>
            <w:tcW w:w="1257" w:type="dxa"/>
            <w:tcBorders>
              <w:top w:val="single" w:sz="6" w:space="0" w:color="000000"/>
              <w:left w:val="single" w:sz="6" w:space="0" w:color="000000"/>
              <w:bottom w:val="single" w:sz="6" w:space="0" w:color="000000"/>
              <w:right w:val="single" w:sz="6" w:space="0" w:color="000000"/>
            </w:tcBorders>
          </w:tcPr>
          <w:p w:rsidR="003B04CC" w14:paraId="141CB125" w14:textId="4CB537F1">
            <w:pPr>
              <w:jc w:val="center"/>
              <w:rPr>
                <w:sz w:val="20"/>
                <w:szCs w:val="20"/>
              </w:rPr>
            </w:pPr>
            <w:r>
              <w:rPr>
                <w:sz w:val="20"/>
                <w:szCs w:val="20"/>
              </w:rPr>
              <w:t>2881.67</w:t>
            </w:r>
          </w:p>
        </w:tc>
      </w:tr>
      <w:tr w14:paraId="45BAB8A4" w14:textId="77777777">
        <w:tblPrEx>
          <w:tblW w:w="0" w:type="auto"/>
          <w:jc w:val="center"/>
          <w:tblLayout w:type="fixed"/>
          <w:tblLook w:val="00A0"/>
        </w:tblPrEx>
        <w:trPr>
          <w:jc w:val="center"/>
        </w:trPr>
        <w:tc>
          <w:tcPr>
            <w:tcW w:w="2538" w:type="dxa"/>
            <w:tcBorders>
              <w:top w:val="single" w:sz="6" w:space="0" w:color="000000"/>
              <w:left w:val="single" w:sz="6" w:space="0" w:color="000000"/>
              <w:bottom w:val="single" w:sz="6" w:space="0" w:color="000000"/>
              <w:right w:val="single" w:sz="6" w:space="0" w:color="000000"/>
            </w:tcBorders>
          </w:tcPr>
          <w:p w:rsidR="003B04CC" w14:paraId="2FDF1509" w14:textId="77777777">
            <w:pPr>
              <w:widowControl w:val="0"/>
              <w:snapToGrid w:val="0"/>
              <w:jc w:val="center"/>
              <w:rPr>
                <w:b/>
                <w:sz w:val="20"/>
                <w:szCs w:val="20"/>
              </w:rPr>
            </w:pPr>
            <w:r>
              <w:rPr>
                <w:b/>
                <w:sz w:val="20"/>
                <w:szCs w:val="20"/>
              </w:rPr>
              <w:t>250B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3B04CC" w14:paraId="1C36B551" w14:textId="77777777">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3B04CC" w14:paraId="79D69CFE" w14:textId="77777777">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3B04CC" w14:paraId="3951C1CC" w14:textId="77777777">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3B04CC" w14:paraId="10847CF7" w14:textId="438EBA6D">
            <w:pPr>
              <w:widowControl w:val="0"/>
              <w:snapToGrid w:val="0"/>
              <w:jc w:val="center"/>
              <w:rPr>
                <w:b/>
                <w:sz w:val="20"/>
                <w:szCs w:val="20"/>
              </w:rPr>
            </w:pPr>
            <w:r>
              <w:rPr>
                <w:b/>
                <w:sz w:val="20"/>
                <w:szCs w:val="20"/>
              </w:rPr>
              <w:t>2881.67</w:t>
            </w:r>
          </w:p>
        </w:tc>
      </w:tr>
    </w:tbl>
    <w:p w:rsidR="003B04CC" w14:paraId="274A4C2A" w14:textId="77777777">
      <w:pPr>
        <w:ind w:left="-180"/>
        <w:jc w:val="center"/>
      </w:pPr>
    </w:p>
    <w:p w:rsidR="009B7FF7" w:rsidP="009B7FF7" w14:paraId="6AA0488E" w14:textId="42AE501A">
      <w:pPr>
        <w:ind w:left="360"/>
        <w:rPr>
          <w:color w:val="000000"/>
        </w:rPr>
      </w:pPr>
      <w:bookmarkStart w:id="0" w:name="OLE_LINK1"/>
      <w:r>
        <w:rPr>
          <w:color w:val="000000"/>
        </w:rPr>
        <w:t>2881.67</w:t>
      </w:r>
      <w:r w:rsidR="00AA6C2C">
        <w:rPr>
          <w:color w:val="000000"/>
        </w:rPr>
        <w:t xml:space="preserve"> </w:t>
      </w:r>
      <w:r w:rsidR="00E55482">
        <w:rPr>
          <w:color w:val="000000"/>
        </w:rPr>
        <w:t>x $1</w:t>
      </w:r>
      <w:r w:rsidR="00103E7D">
        <w:rPr>
          <w:color w:val="000000"/>
        </w:rPr>
        <w:t>2</w:t>
      </w:r>
      <w:r w:rsidR="00E55482">
        <w:rPr>
          <w:color w:val="000000"/>
        </w:rPr>
        <w:t>9.</w:t>
      </w:r>
      <w:r w:rsidR="00103E7D">
        <w:rPr>
          <w:color w:val="000000"/>
        </w:rPr>
        <w:t>40</w:t>
      </w:r>
      <w:r w:rsidR="00E55482">
        <w:rPr>
          <w:color w:val="000000"/>
        </w:rPr>
        <w:t xml:space="preserve"> = $</w:t>
      </w:r>
      <w:r>
        <w:rPr>
          <w:color w:val="000000"/>
        </w:rPr>
        <w:t>372,88</w:t>
      </w:r>
      <w:r w:rsidR="00F7495D">
        <w:rPr>
          <w:color w:val="000000"/>
        </w:rPr>
        <w:t>8</w:t>
      </w:r>
      <w:r>
        <w:rPr>
          <w:color w:val="000000"/>
        </w:rPr>
        <w:t>.</w:t>
      </w:r>
      <w:r w:rsidR="00F7495D">
        <w:rPr>
          <w:color w:val="000000"/>
        </w:rPr>
        <w:t>10</w:t>
      </w:r>
    </w:p>
    <w:p w:rsidR="009B7FF7" w:rsidP="009B7FF7" w14:paraId="51FE4BFE" w14:textId="77777777">
      <w:pPr>
        <w:ind w:left="360"/>
        <w:rPr>
          <w:color w:val="000000"/>
        </w:rPr>
      </w:pPr>
    </w:p>
    <w:p w:rsidR="003B04CC" w:rsidP="00D5351E" w14:paraId="68589FE7" w14:textId="76920D2D">
      <w:pPr>
        <w:ind w:left="360"/>
      </w:pPr>
      <w:r w:rsidRPr="00103E7D">
        <w:rPr>
          <w:color w:val="000000"/>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3B04CC" w14:paraId="2AFB470C" w14:textId="77777777">
      <w:pPr>
        <w:ind w:left="720"/>
      </w:pPr>
    </w:p>
    <w:bookmarkEnd w:id="0"/>
    <w:p w:rsidR="009B7FF7" w:rsidRPr="00D5351E" w:rsidP="009B7FF7" w14:paraId="4984F22A" w14:textId="48D44F21">
      <w:pPr>
        <w:pStyle w:val="ListParagraph"/>
        <w:numPr>
          <w:ilvl w:val="0"/>
          <w:numId w:val="1"/>
        </w:numPr>
        <w:rPr>
          <w:rFonts w:ascii="Times New Roman TUR" w:hAnsi="Times New Roman TUR" w:cs="Times New Roman TUR"/>
          <w:iCs/>
          <w:u w:val="single"/>
        </w:rPr>
      </w:pPr>
      <w:r w:rsidRPr="00D5351E">
        <w:rPr>
          <w:rFonts w:ascii="Times New Roman TUR" w:hAnsi="Times New Roman TUR" w:cs="Times New Roman TUR"/>
          <w:iCs/>
          <w:u w:val="single"/>
        </w:rPr>
        <w:t>Estimates of Other Total Annual Costs to Respondents and/or Recordkeepers:</w:t>
      </w:r>
    </w:p>
    <w:p w:rsidR="009B7FF7" w:rsidRPr="00D5351E" w:rsidP="00D5351E" w14:paraId="0C4B1FE2" w14:textId="77777777">
      <w:pPr>
        <w:pStyle w:val="ListParagraph"/>
        <w:rPr>
          <w:rFonts w:ascii="Times New Roman TUR" w:hAnsi="Times New Roman TUR" w:cs="Times New Roman TUR"/>
          <w:iCs/>
        </w:rPr>
      </w:pPr>
    </w:p>
    <w:p w:rsidR="009B7FF7" w:rsidRPr="009B7FF7" w:rsidP="00D5351E" w14:paraId="3912E6C9" w14:textId="40282349">
      <w:pPr>
        <w:pStyle w:val="ListParagraph"/>
        <w:rPr>
          <w:rFonts w:ascii="Times New Roman TUR" w:hAnsi="Times New Roman TUR" w:cs="Times New Roman TUR"/>
          <w:iCs/>
        </w:rPr>
      </w:pPr>
      <w:r w:rsidRPr="009B7FF7">
        <w:rPr>
          <w:rFonts w:ascii="Times New Roman TUR" w:hAnsi="Times New Roman TUR" w:cs="Times New Roman TUR"/>
          <w:iCs/>
        </w:rPr>
        <w:t>None.</w:t>
      </w:r>
    </w:p>
    <w:p w:rsidR="009B7FF7" w:rsidRPr="009B7FF7" w:rsidP="00D5351E" w14:paraId="252C8403" w14:textId="77777777">
      <w:pPr>
        <w:pStyle w:val="ListParagraph"/>
        <w:rPr>
          <w:rFonts w:ascii="Times New Roman TUR" w:hAnsi="Times New Roman TUR" w:cs="Times New Roman TUR"/>
          <w:iCs/>
        </w:rPr>
      </w:pPr>
    </w:p>
    <w:p w:rsidR="009B7FF7" w:rsidRPr="00D5351E" w:rsidP="00D5351E" w14:paraId="37D13C82" w14:textId="298DE2B4">
      <w:pPr>
        <w:ind w:left="360"/>
        <w:rPr>
          <w:rFonts w:ascii="Times New Roman TUR" w:hAnsi="Times New Roman TUR" w:cs="Times New Roman TUR"/>
          <w:iCs/>
        </w:rPr>
      </w:pPr>
      <w:r w:rsidRPr="00D5351E">
        <w:rPr>
          <w:rFonts w:ascii="Times New Roman TUR" w:hAnsi="Times New Roman TUR" w:cs="Times New Roman TUR"/>
          <w:iCs/>
        </w:rPr>
        <w:t>14.</w:t>
      </w:r>
      <w:r w:rsidRPr="00D5351E">
        <w:rPr>
          <w:rFonts w:ascii="Times New Roman TUR" w:hAnsi="Times New Roman TUR" w:cs="Times New Roman TUR"/>
          <w:iCs/>
        </w:rPr>
        <w:tab/>
      </w:r>
      <w:r w:rsidRPr="00D5351E">
        <w:rPr>
          <w:rFonts w:ascii="Times New Roman TUR" w:hAnsi="Times New Roman TUR" w:cs="Times New Roman TUR"/>
          <w:iCs/>
          <w:u w:val="single"/>
        </w:rPr>
        <w:t>Annualized Cost to the Federal Government:</w:t>
      </w:r>
    </w:p>
    <w:p w:rsidR="009B7FF7" w:rsidRPr="009B7FF7" w:rsidP="00D5351E" w14:paraId="710B23C3" w14:textId="77777777">
      <w:pPr>
        <w:pStyle w:val="ListParagraph"/>
        <w:rPr>
          <w:rFonts w:ascii="Times New Roman TUR" w:hAnsi="Times New Roman TUR" w:cs="Times New Roman TUR"/>
          <w:iCs/>
        </w:rPr>
      </w:pPr>
    </w:p>
    <w:p w:rsidR="009B7FF7" w:rsidP="00D5351E" w14:paraId="5367D631" w14:textId="68F93D1C">
      <w:pPr>
        <w:pStyle w:val="ListParagraph"/>
        <w:rPr>
          <w:rFonts w:ascii="Times New Roman TUR" w:hAnsi="Times New Roman TUR" w:cs="Times New Roman TUR"/>
        </w:rPr>
      </w:pPr>
      <w:r w:rsidRPr="009B7FF7">
        <w:rPr>
          <w:rFonts w:ascii="Times New Roman TUR" w:hAnsi="Times New Roman TUR" w:cs="Times New Roman TUR"/>
        </w:rPr>
        <w:t>None.</w:t>
      </w:r>
    </w:p>
    <w:p w:rsidR="00D5351E" w:rsidRPr="009B7FF7" w:rsidP="00D5351E" w14:paraId="3CAA4B0A" w14:textId="77777777">
      <w:pPr>
        <w:pStyle w:val="ListParagraph"/>
        <w:rPr>
          <w:rFonts w:ascii="Times New Roman TUR" w:hAnsi="Times New Roman TUR" w:cs="Times New Roman TUR"/>
        </w:rPr>
      </w:pPr>
    </w:p>
    <w:p w:rsidR="003B04CC" w:rsidP="00D5351E" w14:paraId="4C1BCFAE" w14:textId="65997E6A">
      <w:pPr>
        <w:ind w:firstLine="360"/>
        <w:rPr>
          <w:u w:val="single"/>
        </w:rPr>
      </w:pPr>
      <w:r w:rsidRPr="00D5351E">
        <w:t xml:space="preserve">15. </w:t>
      </w:r>
      <w:r w:rsidR="00F66D87">
        <w:rPr>
          <w:u w:val="single"/>
        </w:rPr>
        <w:t>Explanation for Program Changes or Adjustments</w:t>
      </w:r>
    </w:p>
    <w:p w:rsidR="003B04CC" w14:paraId="61FB13D6" w14:textId="77777777">
      <w:pPr>
        <w:ind w:firstLine="720"/>
      </w:pPr>
    </w:p>
    <w:p w:rsidR="003B04CC" w14:paraId="7834D979" w14:textId="77777777">
      <w:pPr>
        <w:ind w:firstLine="720"/>
      </w:pPr>
    </w:p>
    <w:p w:rsidR="003B04CC" w14:paraId="1E87E3E8" w14:textId="04D5F8B4">
      <w:pPr>
        <w:ind w:firstLine="720"/>
      </w:pPr>
      <w:r>
        <w:t xml:space="preserve">Prior Burden:  </w:t>
      </w:r>
      <w:r w:rsidR="004F56AF">
        <w:t>3</w:t>
      </w:r>
      <w:r>
        <w:t>,</w:t>
      </w:r>
      <w:r w:rsidR="004F56AF">
        <w:t>558</w:t>
      </w:r>
      <w:r>
        <w:t xml:space="preserve"> hours.</w:t>
      </w:r>
    </w:p>
    <w:p w:rsidR="003B04CC" w14:paraId="5E3EF2F4" w14:textId="77777777">
      <w:pPr>
        <w:ind w:firstLine="720"/>
      </w:pPr>
    </w:p>
    <w:p w:rsidR="003B04CC" w14:paraId="2FFB52E8" w14:textId="599D0772">
      <w:pPr>
        <w:ind w:firstLine="720"/>
      </w:pPr>
      <w:r>
        <w:t xml:space="preserve">Proposed Burden: </w:t>
      </w:r>
      <w:r w:rsidR="00442246">
        <w:t>2881.67</w:t>
      </w:r>
      <w:r>
        <w:t xml:space="preserve"> hours.</w:t>
      </w:r>
    </w:p>
    <w:p w:rsidR="003B04CC" w14:paraId="57A86712" w14:textId="77777777">
      <w:pPr>
        <w:ind w:firstLine="720"/>
      </w:pPr>
    </w:p>
    <w:p w:rsidR="003B04CC" w14:paraId="728700BE" w14:textId="036CEE74">
      <w:pPr>
        <w:ind w:firstLine="720"/>
      </w:pPr>
      <w:r>
        <w:t xml:space="preserve">Difference:  </w:t>
      </w:r>
      <w:r w:rsidR="00040DB2">
        <w:t>-</w:t>
      </w:r>
      <w:r w:rsidR="00442246">
        <w:t>676</w:t>
      </w:r>
      <w:r w:rsidR="007C0A41">
        <w:t>.</w:t>
      </w:r>
      <w:r w:rsidR="00442246">
        <w:t>33</w:t>
      </w:r>
      <w:r>
        <w:t xml:space="preserve"> hours.</w:t>
      </w:r>
    </w:p>
    <w:p w:rsidR="003B04CC" w14:paraId="403465BF" w14:textId="77777777">
      <w:pPr>
        <w:ind w:firstLine="720"/>
      </w:pPr>
    </w:p>
    <w:p w:rsidR="003B04CC" w14:paraId="35301971" w14:textId="77777777"/>
    <w:p w:rsidR="003B04CC" w14:paraId="114CE1B7" w14:textId="052C506E">
      <w:pPr>
        <w:ind w:left="720"/>
      </w:pPr>
      <w:r>
        <w:t xml:space="preserve">The updated burden estimate reflects updates to the Board’s </w:t>
      </w:r>
      <w:r w:rsidR="007D6663">
        <w:t>estimates</w:t>
      </w:r>
      <w:r w:rsidR="00040DB2">
        <w:t xml:space="preserve"> and</w:t>
      </w:r>
      <w:r w:rsidR="00442246">
        <w:t xml:space="preserve"> one additional respondent.  </w:t>
      </w:r>
      <w:r w:rsidR="007D6663">
        <w:t>The burden of completing the OCC</w:t>
      </w:r>
      <w:r w:rsidR="00C953F5">
        <w:t>’s</w:t>
      </w:r>
      <w:r w:rsidR="007D6663">
        <w:t xml:space="preserve"> reporting forms should be substantially covered by the burden of </w:t>
      </w:r>
      <w:r w:rsidR="000D3981">
        <w:t>completing the Board’s FR Y-14A reporting form</w:t>
      </w:r>
      <w:r w:rsidR="000007A9">
        <w:t xml:space="preserve"> (OMB No. 7100-0341)</w:t>
      </w:r>
      <w:r w:rsidR="000D071B">
        <w:t xml:space="preserve"> since the OCC</w:t>
      </w:r>
      <w:r w:rsidR="00C953F5">
        <w:t>’s</w:t>
      </w:r>
      <w:r w:rsidR="000D071B">
        <w:t xml:space="preserve"> form is substantially </w:t>
      </w:r>
      <w:r w:rsidR="000D071B">
        <w:t>similar</w:t>
      </w:r>
      <w:r w:rsidR="00C953F5">
        <w:t xml:space="preserve"> to</w:t>
      </w:r>
      <w:r w:rsidR="00C953F5">
        <w:t xml:space="preserve"> the Board’s</w:t>
      </w:r>
      <w:r w:rsidR="000007A9">
        <w:t xml:space="preserve">.  </w:t>
      </w:r>
      <w:r w:rsidR="00442246">
        <w:t>The OCC estimates there will be only a limited marginal burden to complete the OCC</w:t>
      </w:r>
      <w:r w:rsidR="00C953F5">
        <w:t>’s</w:t>
      </w:r>
      <w:r w:rsidR="00442246">
        <w:t xml:space="preserve"> forms in addition to the FR Y-14A and accordingly estimates </w:t>
      </w:r>
      <w:r w:rsidR="000D071B">
        <w:t xml:space="preserve">the marginal burden of completing the OCC reporting form as </w:t>
      </w:r>
      <w:r w:rsidR="00442246">
        <w:t xml:space="preserve">one-third </w:t>
      </w:r>
      <w:r w:rsidR="000D071B">
        <w:t>o</w:t>
      </w:r>
      <w:r w:rsidR="00C035DF">
        <w:t>f the</w:t>
      </w:r>
      <w:r w:rsidR="00442246">
        <w:t xml:space="preserve"> Board’s estimated</w:t>
      </w:r>
      <w:r w:rsidR="00C035DF">
        <w:t xml:space="preserve"> burden </w:t>
      </w:r>
      <w:r w:rsidR="00442246">
        <w:t>to</w:t>
      </w:r>
      <w:r w:rsidR="00C035DF">
        <w:t xml:space="preserve"> complet</w:t>
      </w:r>
      <w:r w:rsidR="00442246">
        <w:t>e</w:t>
      </w:r>
      <w:r w:rsidR="00C035DF">
        <w:t xml:space="preserve"> the FR Y-14A (1,</w:t>
      </w:r>
      <w:r w:rsidR="0024608C">
        <w:t>330</w:t>
      </w:r>
      <w:r w:rsidR="00C035DF">
        <w:t xml:space="preserve"> hours).</w:t>
      </w:r>
    </w:p>
    <w:p w:rsidR="003B04CC" w14:paraId="4D7BDEE7" w14:textId="77777777">
      <w:pPr>
        <w:ind w:firstLine="720"/>
      </w:pPr>
    </w:p>
    <w:p w:rsidR="003B04CC" w:rsidP="00D5351E" w14:paraId="24233151" w14:textId="056933FD">
      <w:pPr>
        <w:ind w:firstLine="360"/>
        <w:rPr>
          <w:u w:val="single"/>
        </w:rPr>
      </w:pPr>
      <w:r w:rsidRPr="00D5351E">
        <w:t>16.</w:t>
      </w:r>
      <w:r>
        <w:rPr>
          <w:u w:val="single"/>
        </w:rPr>
        <w:t xml:space="preserve"> </w:t>
      </w:r>
      <w:r w:rsidR="00F66D87">
        <w:rPr>
          <w:u w:val="single"/>
        </w:rPr>
        <w:t>Plans for Tabulation and Publication and Project Time Schedule</w:t>
      </w:r>
    </w:p>
    <w:p w:rsidR="003B04CC" w14:paraId="7527AB64" w14:textId="77777777">
      <w:pPr>
        <w:ind w:firstLine="720"/>
      </w:pPr>
    </w:p>
    <w:p w:rsidR="003B04CC" w14:paraId="0DE719A9" w14:textId="6C0D9FBD">
      <w:pPr>
        <w:ind w:firstLine="720"/>
      </w:pPr>
      <w:r>
        <w:t>There are no publications.</w:t>
      </w:r>
    </w:p>
    <w:p w:rsidR="00D5351E" w14:paraId="61B5FF15" w14:textId="77777777">
      <w:pPr>
        <w:ind w:firstLine="720"/>
      </w:pPr>
    </w:p>
    <w:p w:rsidR="003B04CC" w:rsidP="00D5351E" w14:paraId="4D39FB21" w14:textId="6792CA56">
      <w:pPr>
        <w:ind w:firstLine="360"/>
        <w:rPr>
          <w:u w:val="single"/>
        </w:rPr>
      </w:pPr>
      <w:r w:rsidRPr="00D5351E">
        <w:t xml:space="preserve">17. </w:t>
      </w:r>
      <w:r w:rsidR="00F66D87">
        <w:rPr>
          <w:u w:val="single"/>
        </w:rPr>
        <w:t>Reason(s) Display of OMB Expiration Date is Inappropriate</w:t>
      </w:r>
    </w:p>
    <w:p w:rsidR="003B04CC" w14:paraId="4464041E" w14:textId="77777777">
      <w:pPr>
        <w:ind w:left="720"/>
      </w:pPr>
    </w:p>
    <w:p w:rsidR="003B04CC" w14:paraId="4BFED8A7" w14:textId="77777777">
      <w:pPr>
        <w:ind w:left="720"/>
      </w:pPr>
      <w:r>
        <w:t>The agency is not seeking to display the expiration date of OMB approval of the information collection.</w:t>
      </w:r>
    </w:p>
    <w:p w:rsidR="003B04CC" w14:paraId="0ACA4BC6" w14:textId="77777777"/>
    <w:p w:rsidR="003B04CC" w14:paraId="0DC99AE3" w14:textId="77777777">
      <w:pPr>
        <w:ind w:left="720" w:hanging="360"/>
      </w:pPr>
      <w:r>
        <w:t xml:space="preserve">18. </w:t>
      </w:r>
      <w:r>
        <w:rPr>
          <w:u w:val="single"/>
        </w:rPr>
        <w:t>Exceptions to Certification for Paperwork Reduction Act Submissions</w:t>
      </w:r>
      <w:r>
        <w:t xml:space="preserve"> </w:t>
      </w:r>
    </w:p>
    <w:p w:rsidR="003B04CC" w14:paraId="0A47B389" w14:textId="77777777">
      <w:pPr>
        <w:ind w:firstLine="720"/>
      </w:pPr>
    </w:p>
    <w:p w:rsidR="003B04CC" w14:paraId="7BBF43AA" w14:textId="77777777">
      <w:pPr>
        <w:ind w:firstLine="720"/>
      </w:pPr>
      <w:r>
        <w:t>There are no exceptions to the certification.</w:t>
      </w:r>
    </w:p>
    <w:p w:rsidR="003B04CC" w14:paraId="7393DA19"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B04CC" w14:paraId="0A22EF57"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B04CC" w14:paraId="794492A0"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3B04CC" w14:paraId="56BA02E7"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B04CC" w14:paraId="390E3EA5"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3B04CC" w14:paraId="72861AE7" w14:textId="77777777"/>
    <w:sectPr>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80672"/>
      <w:docPartObj>
        <w:docPartGallery w:val="Page Numbers (Bottom of Page)"/>
        <w:docPartUnique/>
      </w:docPartObj>
    </w:sdtPr>
    <w:sdtContent>
      <w:p w:rsidR="003B04CC" w14:paraId="05B6BD48"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3B04CC" w14:paraId="4E8822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0239" w14:paraId="04E6C722" w14:textId="77777777">
      <w:r>
        <w:separator/>
      </w:r>
    </w:p>
  </w:footnote>
  <w:footnote w:type="continuationSeparator" w:id="1">
    <w:p w:rsidR="00F80239" w14:paraId="498658CD" w14:textId="77777777">
      <w:r>
        <w:continuationSeparator/>
      </w:r>
    </w:p>
  </w:footnote>
  <w:footnote w:id="2">
    <w:p w:rsidR="003B04CC" w14:paraId="0AEF32D5" w14:textId="77777777">
      <w:pPr>
        <w:pStyle w:val="FootnoteText"/>
      </w:pPr>
      <w:r>
        <w:rPr>
          <w:rStyle w:val="FootnoteReference"/>
        </w:rPr>
        <w:footnoteRef/>
      </w:r>
      <w:r>
        <w:t xml:space="preserve"> </w:t>
      </w:r>
      <w:r>
        <w:rPr>
          <w:rStyle w:val="documentbody1"/>
          <w:rFonts w:ascii="Times New Roman" w:hAnsi="Times New Roman"/>
        </w:rPr>
        <w:t>Pub. L. 111-203, 124 Stat. 1376, July 2010.</w:t>
      </w:r>
    </w:p>
  </w:footnote>
  <w:footnote w:id="3">
    <w:p w:rsidR="003B04CC" w14:paraId="157DCDE1" w14:textId="77777777">
      <w:pPr>
        <w:pStyle w:val="FootnoteText"/>
      </w:pPr>
      <w:r>
        <w:rPr>
          <w:rStyle w:val="FootnoteReference"/>
        </w:rPr>
        <w:footnoteRef/>
      </w:r>
      <w:r>
        <w:t xml:space="preserve"> 12 U.S.C. 5365(i)(2)(A).</w:t>
      </w:r>
    </w:p>
  </w:footnote>
  <w:footnote w:id="4">
    <w:p w:rsidR="003B04CC" w14:paraId="164FE292" w14:textId="77777777">
      <w:pPr>
        <w:pStyle w:val="FootnoteText"/>
      </w:pPr>
      <w:r>
        <w:rPr>
          <w:rStyle w:val="FootnoteReference"/>
        </w:rPr>
        <w:footnoteRef/>
      </w:r>
      <w:r>
        <w:t xml:space="preserve"> 12 U.S.C. 5301(12).</w:t>
      </w:r>
    </w:p>
  </w:footnote>
  <w:footnote w:id="5">
    <w:p w:rsidR="003B04CC" w14:paraId="11B3A680" w14:textId="77777777">
      <w:pPr>
        <w:pStyle w:val="FootnoteText"/>
      </w:pPr>
      <w:r>
        <w:rPr>
          <w:rStyle w:val="FootnoteReference"/>
        </w:rPr>
        <w:footnoteRef/>
      </w:r>
      <w:r>
        <w:t xml:space="preserve"> 12 U.S.C. 5365(i)(2)(C).</w:t>
      </w:r>
    </w:p>
  </w:footnote>
  <w:footnote w:id="6">
    <w:p w:rsidR="003B04CC" w14:paraId="34073D77" w14:textId="77777777">
      <w:pPr>
        <w:pStyle w:val="FootnoteText"/>
      </w:pPr>
      <w:r>
        <w:rPr>
          <w:rStyle w:val="FootnoteReference"/>
        </w:rPr>
        <w:footnoteRef/>
      </w:r>
      <w:r>
        <w:t xml:space="preserve"> 12 U.S.C. 5365(i)(2)(B).</w:t>
      </w:r>
    </w:p>
  </w:footnote>
  <w:footnote w:id="7">
    <w:p w:rsidR="003B04CC" w14:paraId="14CDC437" w14:textId="77777777">
      <w:pPr>
        <w:pStyle w:val="FootnoteText"/>
      </w:pPr>
      <w:r>
        <w:rPr>
          <w:rStyle w:val="FootnoteReference"/>
        </w:rPr>
        <w:footnoteRef/>
      </w:r>
      <w:r>
        <w:t xml:space="preserve"> 77 FR 61238 (October 9, 2012) (codified at 12 CFR part 46).</w:t>
      </w:r>
    </w:p>
  </w:footnote>
  <w:footnote w:id="8">
    <w:p w:rsidR="003B04CC" w14:paraId="34ED3E7C" w14:textId="77777777">
      <w:pPr>
        <w:pStyle w:val="FootnoteText"/>
      </w:pPr>
      <w:r>
        <w:rPr>
          <w:rStyle w:val="FootnoteReference"/>
        </w:rPr>
        <w:footnoteRef/>
      </w:r>
      <w:r>
        <w:t xml:space="preserve"> </w:t>
      </w:r>
      <w:r>
        <w:rPr>
          <w:rFonts w:eastAsia="Arial Unicode MS"/>
          <w:i/>
        </w:rPr>
        <w:t>See</w:t>
      </w:r>
      <w:r>
        <w:rPr>
          <w:rFonts w:eastAsia="Arial Unicode MS"/>
        </w:rPr>
        <w:t xml:space="preserve"> 77 FR 49485 (August 16, 2012) and 77 FR 66663 (November 6, 2012).  </w:t>
      </w:r>
    </w:p>
  </w:footnote>
  <w:footnote w:id="9">
    <w:p w:rsidR="003B04CC" w14:paraId="0C82DFFC" w14:textId="1B3963A5">
      <w:pPr>
        <w:pStyle w:val="FootnoteText"/>
      </w:pPr>
      <w:r>
        <w:rPr>
          <w:rStyle w:val="FootnoteReference"/>
        </w:rPr>
        <w:footnoteRef/>
      </w:r>
      <w:r>
        <w:t xml:space="preserve"> </w:t>
      </w:r>
      <w:r w:rsidR="0021740B">
        <w:t>89 FR 86079</w:t>
      </w:r>
      <w:r>
        <w:t xml:space="preserve"> (</w:t>
      </w:r>
      <w:r w:rsidR="0021740B">
        <w:t>Oct. 29, 2024</w:t>
      </w:r>
      <w:r>
        <w:t>).</w:t>
      </w:r>
    </w:p>
  </w:footnote>
  <w:footnote w:id="10">
    <w:p w:rsidR="003B04CC" w14:paraId="13D77E39" w14:textId="7777777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80F7D"/>
    <w:multiLevelType w:val="hybridMultilevel"/>
    <w:tmpl w:val="CD20E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8D7065"/>
    <w:multiLevelType w:val="hybridMultilevel"/>
    <w:tmpl w:val="AB86CD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76126"/>
    <w:multiLevelType w:val="hybridMultilevel"/>
    <w:tmpl w:val="4FBC2E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418164011">
    <w:abstractNumId w:val="3"/>
  </w:num>
  <w:num w:numId="2" w16cid:durableId="1699160424">
    <w:abstractNumId w:val="2"/>
  </w:num>
  <w:num w:numId="3" w16cid:durableId="1100029631">
    <w:abstractNumId w:val="4"/>
  </w:num>
  <w:num w:numId="4" w16cid:durableId="1279217173">
    <w:abstractNumId w:val="0"/>
  </w:num>
  <w:num w:numId="5" w16cid:durableId="111629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CC"/>
    <w:rsid w:val="000007A9"/>
    <w:rsid w:val="00021A73"/>
    <w:rsid w:val="00040DB2"/>
    <w:rsid w:val="0007655D"/>
    <w:rsid w:val="000C42B3"/>
    <w:rsid w:val="000D071B"/>
    <w:rsid w:val="000D3981"/>
    <w:rsid w:val="00103E7D"/>
    <w:rsid w:val="00212805"/>
    <w:rsid w:val="00215A43"/>
    <w:rsid w:val="0021740B"/>
    <w:rsid w:val="00231DAB"/>
    <w:rsid w:val="0024608C"/>
    <w:rsid w:val="00293704"/>
    <w:rsid w:val="002B0F69"/>
    <w:rsid w:val="00322D0A"/>
    <w:rsid w:val="00335AC2"/>
    <w:rsid w:val="003B04CC"/>
    <w:rsid w:val="00442246"/>
    <w:rsid w:val="004E2B0F"/>
    <w:rsid w:val="004F56AF"/>
    <w:rsid w:val="00590C16"/>
    <w:rsid w:val="006C3522"/>
    <w:rsid w:val="007C0A41"/>
    <w:rsid w:val="007D6663"/>
    <w:rsid w:val="008847EC"/>
    <w:rsid w:val="008A67F0"/>
    <w:rsid w:val="009B7FF7"/>
    <w:rsid w:val="00A86053"/>
    <w:rsid w:val="00A87C0A"/>
    <w:rsid w:val="00AA6C2C"/>
    <w:rsid w:val="00BF43C3"/>
    <w:rsid w:val="00C035DF"/>
    <w:rsid w:val="00C42967"/>
    <w:rsid w:val="00C953F5"/>
    <w:rsid w:val="00D5351E"/>
    <w:rsid w:val="00DA566D"/>
    <w:rsid w:val="00E13CD0"/>
    <w:rsid w:val="00E55482"/>
    <w:rsid w:val="00E77969"/>
    <w:rsid w:val="00F66D87"/>
    <w:rsid w:val="00F7495D"/>
    <w:rsid w:val="00F802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5AD913"/>
  <w15:docId w15:val="{E5B780CB-E131-4FD5-BA81-4BAB7053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ALTS FOOTNOTE,Footnote Text Char Char,Footnote Text Char Char Char,Footnote Text Char Char Char Char Char Char Char Char Char Char Char Char Char Char Char Char Char,Style 15,Style 40 Char,Style 40 Char Char,fn,ft"/>
    <w:basedOn w:val="Normal"/>
    <w:link w:val="FootnoteTextChar"/>
    <w:uiPriority w:val="99"/>
    <w:rPr>
      <w:sz w:val="20"/>
      <w:szCs w:val="20"/>
    </w:rPr>
  </w:style>
  <w:style w:type="character" w:customStyle="1" w:styleId="FootnoteTextChar">
    <w:name w:val="Footnote Text Char"/>
    <w:aliases w:val="ALTS FOOTNOTE Char,Footnote Text Char Char Char Char,Footnote Text Char Char Char Char Char Char Char Char Char Char Char Char Char Char Char Char Char Char,Footnote Text Char Char Char1,Style 15 Char,Style 40 Char Char1,fn Char"/>
    <w:basedOn w:val="DefaultParagraphFont"/>
    <w:link w:val="FootnoteText"/>
    <w:uiPriority w:val="99"/>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basedOn w:val="DefaultParagraphFont"/>
    <w:uiPriority w:val="99"/>
    <w:qFormat/>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rsid w:val="00D535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8BB2-A574-4AAE-9E8F-A7747B8C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Merritt, Shaquita</cp:lastModifiedBy>
  <cp:revision>2</cp:revision>
  <cp:lastPrinted>2014-12-04T21:35:00Z</cp:lastPrinted>
  <dcterms:created xsi:type="dcterms:W3CDTF">2025-02-07T15:37:00Z</dcterms:created>
  <dcterms:modified xsi:type="dcterms:W3CDTF">2025-02-07T15:37:00Z</dcterms:modified>
</cp:coreProperties>
</file>