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216C" w:rsidR="009C7F55" w:rsidP="007445A8" w:rsidRDefault="009C7F55" w14:paraId="4D6BCFC3" w14:textId="3AC2F7CC">
      <w:pPr>
        <w:spacing w:after="0" w:line="240" w:lineRule="auto"/>
        <w:jc w:val="center"/>
        <w:rPr>
          <w:rFonts w:ascii="Times New Roman" w:hAnsi="Times New Roman"/>
          <w:sz w:val="26"/>
          <w:szCs w:val="24"/>
        </w:rPr>
      </w:pPr>
      <w:r w:rsidRPr="0032216C">
        <w:rPr>
          <w:rFonts w:ascii="Times New Roman" w:hAnsi="Times New Roman"/>
          <w:sz w:val="26"/>
          <w:szCs w:val="24"/>
        </w:rPr>
        <w:t>Supporting Statement</w:t>
      </w:r>
      <w:r w:rsidRPr="0032216C" w:rsidR="002953E1">
        <w:rPr>
          <w:rFonts w:ascii="Times New Roman" w:hAnsi="Times New Roman"/>
          <w:sz w:val="26"/>
          <w:szCs w:val="24"/>
        </w:rPr>
        <w:t xml:space="preserve"> for</w:t>
      </w:r>
    </w:p>
    <w:p w:rsidRPr="0032216C" w:rsidR="006E0447" w:rsidP="00A83207" w:rsidRDefault="00D13613" w14:paraId="2632FDCC" w14:textId="62A52C97">
      <w:pPr>
        <w:spacing w:after="0" w:line="240" w:lineRule="auto"/>
        <w:jc w:val="center"/>
        <w:rPr>
          <w:rFonts w:ascii="Times New Roman" w:hAnsi="Times New Roman"/>
          <w:b/>
          <w:sz w:val="26"/>
          <w:szCs w:val="24"/>
        </w:rPr>
      </w:pPr>
      <w:r w:rsidRPr="0032216C">
        <w:rPr>
          <w:rFonts w:ascii="Times New Roman" w:hAnsi="Times New Roman"/>
          <w:b/>
          <w:sz w:val="26"/>
          <w:szCs w:val="24"/>
        </w:rPr>
        <w:t>FERC-500</w:t>
      </w:r>
      <w:r w:rsidRPr="0032216C" w:rsidR="00881BE3">
        <w:rPr>
          <w:rFonts w:ascii="Times New Roman" w:hAnsi="Times New Roman"/>
          <w:b/>
          <w:sz w:val="26"/>
          <w:szCs w:val="24"/>
        </w:rPr>
        <w:t xml:space="preserve">, </w:t>
      </w:r>
      <w:r w:rsidRPr="0032216C" w:rsidR="00D72DF7">
        <w:rPr>
          <w:rFonts w:ascii="Times New Roman" w:hAnsi="Times New Roman"/>
          <w:b/>
          <w:sz w:val="26"/>
          <w:szCs w:val="24"/>
        </w:rPr>
        <w:t xml:space="preserve">Application for License/Relicense for Water Projects with More than </w:t>
      </w:r>
      <w:r w:rsidR="00232AD6">
        <w:rPr>
          <w:rFonts w:ascii="Times New Roman" w:hAnsi="Times New Roman"/>
          <w:b/>
          <w:sz w:val="26"/>
          <w:szCs w:val="24"/>
        </w:rPr>
        <w:t>10</w:t>
      </w:r>
      <w:r w:rsidRPr="0032216C" w:rsidR="00D72DF7">
        <w:rPr>
          <w:rFonts w:ascii="Times New Roman" w:hAnsi="Times New Roman"/>
          <w:b/>
          <w:sz w:val="26"/>
          <w:szCs w:val="24"/>
        </w:rPr>
        <w:t xml:space="preserve"> Megawatt Capacity</w:t>
      </w:r>
    </w:p>
    <w:p w:rsidRPr="0032216C" w:rsidR="00881BE3" w:rsidP="00A83207" w:rsidRDefault="0027576B" w14:paraId="33581B78" w14:textId="4AD3460B">
      <w:pPr>
        <w:spacing w:after="0" w:line="240" w:lineRule="auto"/>
        <w:jc w:val="center"/>
        <w:rPr>
          <w:rFonts w:ascii="Times New Roman" w:hAnsi="Times New Roman"/>
          <w:b/>
          <w:sz w:val="26"/>
          <w:szCs w:val="24"/>
        </w:rPr>
      </w:pPr>
      <w:r w:rsidRPr="0032216C">
        <w:rPr>
          <w:rFonts w:ascii="Times New Roman" w:hAnsi="Times New Roman"/>
          <w:b/>
          <w:sz w:val="26"/>
          <w:szCs w:val="24"/>
        </w:rPr>
        <w:t>(</w:t>
      </w:r>
      <w:r w:rsidRPr="0032216C" w:rsidR="00D72DF7">
        <w:rPr>
          <w:rFonts w:ascii="Times New Roman" w:hAnsi="Times New Roman"/>
          <w:b/>
          <w:sz w:val="26"/>
          <w:szCs w:val="24"/>
        </w:rPr>
        <w:t>OMB Control Number 1902-</w:t>
      </w:r>
      <w:r w:rsidRPr="0032216C" w:rsidR="00881BE3">
        <w:rPr>
          <w:rFonts w:ascii="Times New Roman" w:hAnsi="Times New Roman"/>
          <w:b/>
          <w:sz w:val="26"/>
          <w:szCs w:val="24"/>
        </w:rPr>
        <w:t>0058</w:t>
      </w:r>
      <w:r w:rsidRPr="0032216C" w:rsidR="006E0447">
        <w:rPr>
          <w:rFonts w:ascii="Times New Roman" w:hAnsi="Times New Roman"/>
          <w:b/>
          <w:sz w:val="26"/>
          <w:szCs w:val="24"/>
        </w:rPr>
        <w:t>)</w:t>
      </w:r>
      <w:r w:rsidRPr="0032216C" w:rsidR="00881BE3">
        <w:rPr>
          <w:rFonts w:ascii="Times New Roman" w:hAnsi="Times New Roman"/>
          <w:b/>
          <w:sz w:val="26"/>
          <w:szCs w:val="24"/>
        </w:rPr>
        <w:t xml:space="preserve">; </w:t>
      </w:r>
      <w:r w:rsidRPr="0032216C" w:rsidR="00D13613">
        <w:rPr>
          <w:rFonts w:ascii="Times New Roman" w:hAnsi="Times New Roman"/>
          <w:b/>
          <w:sz w:val="26"/>
          <w:szCs w:val="24"/>
        </w:rPr>
        <w:t xml:space="preserve"> and</w:t>
      </w:r>
    </w:p>
    <w:p w:rsidRPr="0032216C" w:rsidR="006E0447" w:rsidP="00A83207" w:rsidRDefault="009C7F55" w14:paraId="487C030B" w14:textId="77777777">
      <w:pPr>
        <w:spacing w:after="0" w:line="240" w:lineRule="auto"/>
        <w:jc w:val="center"/>
        <w:rPr>
          <w:rFonts w:ascii="Times New Roman" w:hAnsi="Times New Roman"/>
          <w:b/>
          <w:sz w:val="26"/>
          <w:szCs w:val="24"/>
        </w:rPr>
      </w:pPr>
      <w:r w:rsidRPr="0032216C">
        <w:rPr>
          <w:rFonts w:ascii="Times New Roman" w:hAnsi="Times New Roman"/>
          <w:b/>
          <w:sz w:val="26"/>
          <w:szCs w:val="24"/>
        </w:rPr>
        <w:t>FERC-505</w:t>
      </w:r>
      <w:r w:rsidRPr="0032216C" w:rsidR="00881BE3">
        <w:rPr>
          <w:rFonts w:ascii="Times New Roman" w:hAnsi="Times New Roman"/>
          <w:b/>
          <w:sz w:val="26"/>
          <w:szCs w:val="24"/>
        </w:rPr>
        <w:t>, Small Hydropower Projects and Conduit Facilities including License/Relicense, Exemption, and Qualifying Conduit Facility Determination</w:t>
      </w:r>
    </w:p>
    <w:p w:rsidRPr="0032216C" w:rsidR="009C7F55" w:rsidP="00A83207" w:rsidRDefault="006E0447" w14:paraId="5DC44300" w14:textId="4B701AF3">
      <w:pPr>
        <w:spacing w:after="0" w:line="240" w:lineRule="auto"/>
        <w:jc w:val="center"/>
        <w:rPr>
          <w:rFonts w:ascii="Times New Roman" w:hAnsi="Times New Roman"/>
          <w:b/>
          <w:sz w:val="26"/>
          <w:szCs w:val="24"/>
        </w:rPr>
      </w:pPr>
      <w:r w:rsidRPr="0032216C">
        <w:rPr>
          <w:rFonts w:ascii="Times New Roman" w:hAnsi="Times New Roman"/>
          <w:b/>
          <w:sz w:val="26"/>
          <w:szCs w:val="24"/>
        </w:rPr>
        <w:t>(</w:t>
      </w:r>
      <w:r w:rsidRPr="0032216C" w:rsidR="00881BE3">
        <w:rPr>
          <w:rFonts w:ascii="Times New Roman" w:hAnsi="Times New Roman"/>
          <w:b/>
          <w:sz w:val="26"/>
          <w:szCs w:val="24"/>
        </w:rPr>
        <w:t>OMB Control Number 1902-</w:t>
      </w:r>
      <w:r w:rsidRPr="0032216C" w:rsidR="0027576B">
        <w:rPr>
          <w:rFonts w:ascii="Times New Roman" w:hAnsi="Times New Roman"/>
          <w:b/>
          <w:sz w:val="26"/>
          <w:szCs w:val="24"/>
        </w:rPr>
        <w:t>0115</w:t>
      </w:r>
      <w:r w:rsidRPr="0032216C">
        <w:rPr>
          <w:rFonts w:ascii="Times New Roman" w:hAnsi="Times New Roman"/>
          <w:b/>
          <w:sz w:val="26"/>
          <w:szCs w:val="24"/>
        </w:rPr>
        <w:t>)</w:t>
      </w:r>
    </w:p>
    <w:p w:rsidRPr="0032216C" w:rsidR="001263E8" w:rsidP="00D13613" w:rsidRDefault="001263E8" w14:paraId="4D4B3961" w14:textId="77777777">
      <w:pPr>
        <w:spacing w:after="0" w:line="240" w:lineRule="auto"/>
        <w:rPr>
          <w:rFonts w:ascii="Times New Roman" w:hAnsi="Times New Roman"/>
          <w:b/>
          <w:sz w:val="26"/>
          <w:szCs w:val="24"/>
        </w:rPr>
      </w:pPr>
    </w:p>
    <w:p w:rsidRPr="0032216C" w:rsidR="00613ECA" w:rsidP="00613ECA" w:rsidRDefault="009C7F55" w14:paraId="59E52B08" w14:textId="7507EAAE">
      <w:pPr>
        <w:spacing w:after="0" w:line="240" w:lineRule="auto"/>
        <w:rPr>
          <w:rFonts w:ascii="Times New Roman" w:hAnsi="Times New Roman"/>
          <w:sz w:val="26"/>
          <w:szCs w:val="24"/>
        </w:rPr>
      </w:pPr>
      <w:r w:rsidRPr="0032216C">
        <w:rPr>
          <w:rFonts w:ascii="Times New Roman" w:hAnsi="Times New Roman"/>
          <w:sz w:val="26"/>
          <w:szCs w:val="24"/>
        </w:rPr>
        <w:t>The Federal Energy Regulatory Commission (</w:t>
      </w:r>
      <w:r w:rsidRPr="0032216C" w:rsidR="00D13613">
        <w:rPr>
          <w:rFonts w:ascii="Times New Roman" w:hAnsi="Times New Roman"/>
          <w:sz w:val="26"/>
          <w:szCs w:val="24"/>
        </w:rPr>
        <w:t xml:space="preserve">Commission or </w:t>
      </w:r>
      <w:r w:rsidRPr="0032216C">
        <w:rPr>
          <w:rFonts w:ascii="Times New Roman" w:hAnsi="Times New Roman"/>
          <w:sz w:val="26"/>
          <w:szCs w:val="24"/>
        </w:rPr>
        <w:t xml:space="preserve">FERC) requests </w:t>
      </w:r>
      <w:r w:rsidRPr="0032216C" w:rsidR="002A3E85">
        <w:rPr>
          <w:rFonts w:ascii="Times New Roman" w:hAnsi="Times New Roman"/>
          <w:sz w:val="26"/>
          <w:szCs w:val="24"/>
        </w:rPr>
        <w:t xml:space="preserve">that </w:t>
      </w:r>
      <w:r w:rsidRPr="0032216C">
        <w:rPr>
          <w:rFonts w:ascii="Times New Roman" w:hAnsi="Times New Roman"/>
          <w:sz w:val="26"/>
          <w:szCs w:val="24"/>
        </w:rPr>
        <w:t>the Office of Ma</w:t>
      </w:r>
      <w:r w:rsidRPr="0032216C" w:rsidR="00851C0A">
        <w:rPr>
          <w:rFonts w:ascii="Times New Roman" w:hAnsi="Times New Roman"/>
          <w:sz w:val="26"/>
          <w:szCs w:val="24"/>
        </w:rPr>
        <w:t xml:space="preserve">nagement and Budget (OMB) </w:t>
      </w:r>
      <w:r w:rsidRPr="0032216C" w:rsidR="00502C69">
        <w:rPr>
          <w:rFonts w:ascii="Times New Roman" w:hAnsi="Times New Roman"/>
          <w:sz w:val="26"/>
          <w:szCs w:val="24"/>
        </w:rPr>
        <w:t>review</w:t>
      </w:r>
      <w:r w:rsidRPr="0032216C" w:rsidR="002E00F8">
        <w:rPr>
          <w:rFonts w:ascii="Times New Roman" w:hAnsi="Times New Roman"/>
          <w:sz w:val="26"/>
          <w:szCs w:val="24"/>
        </w:rPr>
        <w:t xml:space="preserve"> </w:t>
      </w:r>
      <w:r w:rsidRPr="0032216C" w:rsidR="000B0541">
        <w:rPr>
          <w:rFonts w:ascii="Times New Roman" w:hAnsi="Times New Roman"/>
          <w:sz w:val="26"/>
          <w:szCs w:val="24"/>
        </w:rPr>
        <w:t xml:space="preserve">and </w:t>
      </w:r>
      <w:r w:rsidRPr="0032216C" w:rsidR="00CA30AD">
        <w:rPr>
          <w:rFonts w:ascii="Times New Roman" w:hAnsi="Times New Roman"/>
          <w:sz w:val="26"/>
          <w:szCs w:val="24"/>
        </w:rPr>
        <w:t>renew FERC-500 and FERC-505</w:t>
      </w:r>
      <w:r w:rsidR="00116FF2">
        <w:rPr>
          <w:rFonts w:ascii="Times New Roman" w:hAnsi="Times New Roman"/>
          <w:sz w:val="26"/>
          <w:szCs w:val="24"/>
        </w:rPr>
        <w:t xml:space="preserve"> for three years.</w:t>
      </w:r>
    </w:p>
    <w:p w:rsidRPr="0032216C" w:rsidR="00613ECA" w:rsidP="00613ECA" w:rsidRDefault="00613ECA" w14:paraId="47B0C838" w14:textId="77777777">
      <w:pPr>
        <w:spacing w:after="0" w:line="240" w:lineRule="auto"/>
        <w:rPr>
          <w:rFonts w:ascii="Times New Roman" w:hAnsi="Times New Roman"/>
          <w:sz w:val="26"/>
          <w:szCs w:val="24"/>
        </w:rPr>
      </w:pPr>
    </w:p>
    <w:p w:rsidRPr="0032216C" w:rsidR="009C7F55" w:rsidP="002953E1" w:rsidRDefault="009C7F55" w14:paraId="2CA88947" w14:textId="3BCDE9B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CIRCUMSTANCES THAT MAKE THE COLLECTION OF INFORMATION NECESSARY</w:t>
      </w:r>
    </w:p>
    <w:p w:rsidRPr="0032216C" w:rsidR="00E92C02" w:rsidP="00E92C02" w:rsidRDefault="00E92C02" w14:paraId="658BE39A" w14:textId="59F0536B">
      <w:pPr>
        <w:spacing w:after="0" w:line="240" w:lineRule="auto"/>
        <w:rPr>
          <w:rFonts w:ascii="Times New Roman" w:hAnsi="Times New Roman"/>
          <w:b/>
          <w:sz w:val="26"/>
          <w:szCs w:val="24"/>
        </w:rPr>
      </w:pPr>
    </w:p>
    <w:p w:rsidRPr="0089121E" w:rsidR="0089121E" w:rsidP="0089121E" w:rsidRDefault="0089121E" w14:paraId="1BF3898E" w14:textId="77777777">
      <w:pPr>
        <w:spacing w:after="0" w:line="240" w:lineRule="auto"/>
        <w:rPr>
          <w:rFonts w:ascii="Times New Roman" w:hAnsi="Times New Roman"/>
          <w:sz w:val="26"/>
          <w:szCs w:val="24"/>
        </w:rPr>
      </w:pPr>
      <w:r w:rsidRPr="0089121E">
        <w:rPr>
          <w:rFonts w:ascii="Times New Roman" w:hAnsi="Times New Roman"/>
          <w:sz w:val="26"/>
          <w:szCs w:val="24"/>
        </w:rPr>
        <w:t>Part I of the Federal Power Act (FPA)</w:t>
      </w:r>
      <w:r w:rsidRPr="003D2485">
        <w:rPr>
          <w:rFonts w:ascii="Times New Roman" w:hAnsi="Times New Roman"/>
          <w:bCs/>
          <w:sz w:val="26"/>
          <w:szCs w:val="24"/>
          <w:vertAlign w:val="superscript"/>
        </w:rPr>
        <w:footnoteReference w:id="2"/>
      </w:r>
      <w:r w:rsidRPr="0089121E">
        <w:rPr>
          <w:rFonts w:ascii="Times New Roman" w:hAnsi="Times New Roman"/>
          <w:sz w:val="26"/>
          <w:szCs w:val="24"/>
        </w:rPr>
        <w:t xml:space="preserve"> authorizes the Commission to grant hydropower licenses and exemptions to citizens of the United States, or to any corporation organized under the laws of United States or any State thereof, or to any State or municipality.  Holders of such licenses and exemptions construct, operate,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  This jurisdiction stems from Congressional authority to regulate commerce with foreign nations and among the several States, or upon any part of the public lands and reservations of the United States.</w:t>
      </w:r>
    </w:p>
    <w:p w:rsidRPr="0032216C" w:rsidR="00854F8C" w:rsidP="00854F8C" w:rsidRDefault="00854F8C" w14:paraId="18FAC663" w14:textId="77777777">
      <w:pPr>
        <w:spacing w:after="0" w:line="240" w:lineRule="auto"/>
        <w:rPr>
          <w:rFonts w:ascii="Times New Roman" w:hAnsi="Times New Roman"/>
          <w:sz w:val="26"/>
          <w:szCs w:val="24"/>
        </w:rPr>
      </w:pPr>
    </w:p>
    <w:p w:rsidRPr="0032216C" w:rsidR="00854F8C" w:rsidP="00854F8C" w:rsidRDefault="00854F8C" w14:paraId="643F03E5" w14:textId="48B0944D">
      <w:pPr>
        <w:spacing w:after="0" w:line="240" w:lineRule="auto"/>
        <w:rPr>
          <w:rFonts w:ascii="Times New Roman" w:hAnsi="Times New Roman"/>
          <w:sz w:val="26"/>
          <w:szCs w:val="24"/>
        </w:rPr>
      </w:pPr>
      <w:r w:rsidRPr="0032216C">
        <w:rPr>
          <w:rFonts w:ascii="Times New Roman" w:hAnsi="Times New Roman"/>
          <w:sz w:val="26"/>
          <w:szCs w:val="24"/>
        </w:rPr>
        <w:t>Another relevant statutory provision is section 405(d) of the Public Utility Regulatory Policies Act (PURPA),</w:t>
      </w:r>
      <w:r w:rsidRPr="0032216C">
        <w:rPr>
          <w:rStyle w:val="FootnoteReference"/>
          <w:rFonts w:ascii="Times New Roman" w:hAnsi="Times New Roman"/>
          <w:sz w:val="26"/>
          <w:szCs w:val="24"/>
          <w:vertAlign w:val="superscript"/>
        </w:rPr>
        <w:footnoteReference w:id="3"/>
      </w:r>
      <w:r w:rsidRPr="0032216C">
        <w:rPr>
          <w:rFonts w:ascii="Times New Roman" w:hAnsi="Times New Roman"/>
          <w:sz w:val="26"/>
          <w:szCs w:val="24"/>
        </w:rPr>
        <w:t xml:space="preserve"> which authorizes the Commission to grant exemptions from all or some of the requirements of the FPA Part I.</w:t>
      </w:r>
      <w:r w:rsidRPr="0032216C">
        <w:rPr>
          <w:rStyle w:val="FootnoteReference"/>
          <w:rFonts w:ascii="Times New Roman" w:hAnsi="Times New Roman"/>
          <w:sz w:val="26"/>
          <w:szCs w:val="24"/>
          <w:vertAlign w:val="superscript"/>
        </w:rPr>
        <w:footnoteReference w:id="4"/>
      </w:r>
      <w:r w:rsidRPr="0032216C">
        <w:rPr>
          <w:rFonts w:ascii="Times New Roman" w:hAnsi="Times New Roman"/>
          <w:sz w:val="26"/>
          <w:szCs w:val="24"/>
        </w:rPr>
        <w:t xml:space="preserve">  This authority is limited to small hydroelectric power projects with a proposed installed capacity of 10 MW or less.  The process for obtaining an exemption is faster and less burdensome than for obtaining a license.</w:t>
      </w:r>
    </w:p>
    <w:p w:rsidRPr="0032216C" w:rsidR="00854F8C" w:rsidP="00854F8C" w:rsidRDefault="00854F8C" w14:paraId="60855E80" w14:textId="77777777">
      <w:pPr>
        <w:spacing w:after="0" w:line="240" w:lineRule="auto"/>
        <w:rPr>
          <w:rFonts w:ascii="Times New Roman" w:hAnsi="Times New Roman"/>
          <w:sz w:val="26"/>
          <w:szCs w:val="24"/>
        </w:rPr>
      </w:pPr>
    </w:p>
    <w:p w:rsidRPr="00442F48" w:rsidR="0089121E" w:rsidP="00051E0F" w:rsidRDefault="0089121E" w14:paraId="68F0D44B" w14:textId="679AB5AF">
      <w:pPr>
        <w:spacing w:after="0"/>
        <w:rPr>
          <w:rFonts w:ascii="Times New Roman" w:hAnsi="Times New Roman"/>
          <w:bCs/>
          <w:sz w:val="26"/>
          <w:szCs w:val="24"/>
        </w:rPr>
      </w:pPr>
      <w:r w:rsidRPr="0089121E">
        <w:rPr>
          <w:rFonts w:ascii="Times New Roman" w:hAnsi="Times New Roman"/>
          <w:sz w:val="26"/>
          <w:szCs w:val="24"/>
        </w:rPr>
        <w:t xml:space="preserve">FERC-500 and FERC-505 comprise applications and other information collection activities implemented under numerous regulations.  Some of the regulations are relevant </w:t>
      </w:r>
      <w:r w:rsidRPr="0089121E">
        <w:rPr>
          <w:rFonts w:ascii="Times New Roman" w:hAnsi="Times New Roman"/>
          <w:sz w:val="26"/>
          <w:szCs w:val="24"/>
        </w:rPr>
        <w:lastRenderedPageBreak/>
        <w:t>to both FERC-500 and FERC-505, and others are relevant only to FERC-500 or FERC-505.  Effective October 4, 2021,</w:t>
      </w:r>
      <w:r w:rsidRPr="0089121E">
        <w:rPr>
          <w:rFonts w:ascii="Times New Roman" w:hAnsi="Times New Roman"/>
          <w:b/>
          <w:sz w:val="26"/>
          <w:szCs w:val="24"/>
          <w:vertAlign w:val="superscript"/>
        </w:rPr>
        <w:footnoteReference w:id="5"/>
      </w:r>
      <w:r w:rsidRPr="0089121E">
        <w:rPr>
          <w:rFonts w:ascii="Times New Roman" w:hAnsi="Times New Roman"/>
          <w:sz w:val="26"/>
          <w:szCs w:val="24"/>
        </w:rPr>
        <w:t xml:space="preserve"> information collection activities within FERC-500 are for </w:t>
      </w:r>
      <w:r w:rsidR="00A4445B">
        <w:rPr>
          <w:rFonts w:ascii="Times New Roman" w:hAnsi="Times New Roman"/>
          <w:sz w:val="26"/>
          <w:szCs w:val="24"/>
        </w:rPr>
        <w:t xml:space="preserve">licenses and relicenses of water </w:t>
      </w:r>
      <w:r w:rsidRPr="0089121E">
        <w:rPr>
          <w:rFonts w:ascii="Times New Roman" w:hAnsi="Times New Roman"/>
          <w:sz w:val="26"/>
          <w:szCs w:val="24"/>
        </w:rPr>
        <w:t xml:space="preserve">projects with an installed capacity of more than 10 MW.  </w:t>
      </w:r>
      <w:r w:rsidRPr="00442F48" w:rsidR="00442F48">
        <w:rPr>
          <w:rFonts w:ascii="Times New Roman" w:hAnsi="Times New Roman"/>
          <w:bCs/>
          <w:sz w:val="26"/>
          <w:szCs w:val="24"/>
        </w:rPr>
        <w:t>Information collection activities within FERC-505 are for smaller Hydropower Projects as well as Conduit Facilities Exemptions and Qualifying Conduit Facility Determinations.</w:t>
      </w:r>
      <w:r w:rsidR="00442F48">
        <w:rPr>
          <w:rFonts w:ascii="Times New Roman" w:hAnsi="Times New Roman"/>
          <w:bCs/>
          <w:sz w:val="26"/>
          <w:szCs w:val="24"/>
        </w:rPr>
        <w:t xml:space="preserve">  </w:t>
      </w:r>
      <w:r w:rsidRPr="0089121E">
        <w:rPr>
          <w:rFonts w:ascii="Times New Roman" w:hAnsi="Times New Roman"/>
          <w:sz w:val="26"/>
          <w:szCs w:val="24"/>
        </w:rPr>
        <w:t>The applicability and required contents of each activity are listed at the pairs of regulations listed in the following table:</w:t>
      </w:r>
    </w:p>
    <w:p w:rsidR="00BB5295" w:rsidP="0089121E" w:rsidRDefault="00BB5295" w14:paraId="203DB906" w14:textId="0E2295C0">
      <w:pPr>
        <w:spacing w:after="0" w:line="240" w:lineRule="auto"/>
        <w:rPr>
          <w:rFonts w:ascii="Times New Roman" w:hAnsi="Times New Roman"/>
          <w:sz w:val="26"/>
          <w:szCs w:val="24"/>
        </w:rPr>
      </w:pPr>
    </w:p>
    <w:p w:rsidR="00BB5295" w:rsidP="002C1DC5" w:rsidRDefault="00BB5295" w14:paraId="59F73C75" w14:textId="53DA0351">
      <w:pPr>
        <w:spacing w:after="0" w:line="240" w:lineRule="auto"/>
        <w:jc w:val="center"/>
        <w:rPr>
          <w:rFonts w:ascii="Times New Roman" w:hAnsi="Times New Roman"/>
          <w:b/>
          <w:bCs/>
          <w:iCs/>
          <w:sz w:val="26"/>
          <w:szCs w:val="24"/>
        </w:rPr>
      </w:pPr>
      <w:r w:rsidRPr="00BB5295">
        <w:rPr>
          <w:rFonts w:ascii="Times New Roman" w:hAnsi="Times New Roman"/>
          <w:b/>
          <w:bCs/>
          <w:iCs/>
          <w:sz w:val="26"/>
          <w:szCs w:val="24"/>
        </w:rPr>
        <w:t>Table 1 ― Regulations and Information Collection Activities:  Applications and Notices of Intent</w:t>
      </w:r>
    </w:p>
    <w:p w:rsidRPr="00BB5295" w:rsidR="002C1DC5" w:rsidP="002C1DC5" w:rsidRDefault="002C1DC5" w14:paraId="6DBE2725" w14:textId="77777777">
      <w:pPr>
        <w:spacing w:after="0" w:line="240" w:lineRule="auto"/>
        <w:jc w:val="center"/>
        <w:rPr>
          <w:rFonts w:ascii="Times New Roman" w:hAnsi="Times New Roman"/>
          <w:iCs/>
          <w:sz w:val="26"/>
          <w:szCs w:val="24"/>
        </w:rPr>
      </w:pPr>
    </w:p>
    <w:tbl>
      <w:tblPr>
        <w:tblStyle w:val="TableGrid"/>
        <w:tblW w:w="0" w:type="auto"/>
        <w:tblLook w:val="04A0" w:firstRow="1" w:lastRow="0" w:firstColumn="1" w:lastColumn="0" w:noHBand="0" w:noVBand="1"/>
      </w:tblPr>
      <w:tblGrid>
        <w:gridCol w:w="5789"/>
        <w:gridCol w:w="1231"/>
        <w:gridCol w:w="1165"/>
        <w:gridCol w:w="1165"/>
      </w:tblGrid>
      <w:tr w:rsidRPr="00BB5295" w:rsidR="00F45CF8" w:rsidTr="00F45CF8" w14:paraId="6F32D209" w14:textId="77777777">
        <w:trPr>
          <w:cantSplit/>
          <w:tblHeader/>
        </w:trPr>
        <w:tc>
          <w:tcPr>
            <w:tcW w:w="0" w:type="auto"/>
            <w:vAlign w:val="center"/>
          </w:tcPr>
          <w:p w:rsidRPr="00BB5295" w:rsidR="00F45CF8" w:rsidP="00F45CF8" w:rsidRDefault="00F45CF8" w14:paraId="7CD731B6" w14:textId="77777777">
            <w:pPr>
              <w:spacing w:after="0" w:line="240" w:lineRule="auto"/>
              <w:jc w:val="center"/>
              <w:rPr>
                <w:rFonts w:ascii="Times New Roman" w:hAnsi="Times New Roman"/>
                <w:b/>
                <w:bCs/>
                <w:iCs/>
                <w:sz w:val="26"/>
                <w:szCs w:val="24"/>
              </w:rPr>
            </w:pPr>
            <w:r w:rsidRPr="00BB5295">
              <w:rPr>
                <w:rFonts w:ascii="Times New Roman" w:hAnsi="Times New Roman"/>
                <w:b/>
                <w:bCs/>
                <w:iCs/>
                <w:sz w:val="26"/>
                <w:szCs w:val="24"/>
              </w:rPr>
              <w:t>Title</w:t>
            </w:r>
          </w:p>
        </w:tc>
        <w:tc>
          <w:tcPr>
            <w:tcW w:w="0" w:type="auto"/>
            <w:vAlign w:val="center"/>
          </w:tcPr>
          <w:p w:rsidRPr="00BB5295" w:rsidR="00F45CF8" w:rsidP="00F45CF8" w:rsidRDefault="00F45CF8" w14:paraId="669B11D2" w14:textId="17570300">
            <w:pPr>
              <w:spacing w:after="0" w:line="240" w:lineRule="auto"/>
              <w:jc w:val="center"/>
              <w:rPr>
                <w:rFonts w:ascii="Times New Roman" w:hAnsi="Times New Roman"/>
                <w:b/>
                <w:bCs/>
                <w:iCs/>
                <w:sz w:val="26"/>
                <w:szCs w:val="24"/>
              </w:rPr>
            </w:pPr>
            <w:r w:rsidRPr="00BB5295">
              <w:rPr>
                <w:rFonts w:ascii="Times New Roman" w:hAnsi="Times New Roman"/>
                <w:b/>
                <w:bCs/>
                <w:iCs/>
                <w:sz w:val="26"/>
                <w:szCs w:val="24"/>
              </w:rPr>
              <w:t>18 CFR Cites</w:t>
            </w:r>
          </w:p>
        </w:tc>
        <w:tc>
          <w:tcPr>
            <w:tcW w:w="0" w:type="auto"/>
            <w:vAlign w:val="center"/>
          </w:tcPr>
          <w:p w:rsidRPr="00BB5295" w:rsidR="00F45CF8" w:rsidP="00F45CF8" w:rsidRDefault="00F45CF8" w14:paraId="6607851F" w14:textId="77777777">
            <w:pPr>
              <w:spacing w:after="0" w:line="240" w:lineRule="auto"/>
              <w:jc w:val="center"/>
              <w:rPr>
                <w:rFonts w:ascii="Times New Roman" w:hAnsi="Times New Roman"/>
                <w:b/>
                <w:bCs/>
                <w:iCs/>
                <w:sz w:val="26"/>
                <w:szCs w:val="24"/>
              </w:rPr>
            </w:pPr>
            <w:r w:rsidRPr="00BB5295">
              <w:rPr>
                <w:rFonts w:ascii="Times New Roman" w:hAnsi="Times New Roman"/>
                <w:b/>
                <w:bCs/>
                <w:iCs/>
                <w:sz w:val="26"/>
                <w:szCs w:val="24"/>
              </w:rPr>
              <w:t>FERC-500</w:t>
            </w:r>
          </w:p>
        </w:tc>
        <w:tc>
          <w:tcPr>
            <w:tcW w:w="0" w:type="auto"/>
            <w:vAlign w:val="center"/>
          </w:tcPr>
          <w:p w:rsidRPr="00BB5295" w:rsidR="00F45CF8" w:rsidP="00F45CF8" w:rsidRDefault="00F45CF8" w14:paraId="498ADC50" w14:textId="77777777">
            <w:pPr>
              <w:spacing w:after="0" w:line="240" w:lineRule="auto"/>
              <w:jc w:val="center"/>
              <w:rPr>
                <w:rFonts w:ascii="Times New Roman" w:hAnsi="Times New Roman"/>
                <w:b/>
                <w:bCs/>
                <w:iCs/>
                <w:sz w:val="26"/>
                <w:szCs w:val="24"/>
              </w:rPr>
            </w:pPr>
            <w:r w:rsidRPr="00BB5295">
              <w:rPr>
                <w:rFonts w:ascii="Times New Roman" w:hAnsi="Times New Roman"/>
                <w:b/>
                <w:bCs/>
                <w:iCs/>
                <w:sz w:val="26"/>
                <w:szCs w:val="24"/>
              </w:rPr>
              <w:t>FERC-505</w:t>
            </w:r>
          </w:p>
        </w:tc>
      </w:tr>
      <w:tr w:rsidRPr="00BB5295" w:rsidR="00F45CF8" w:rsidTr="00824C2D" w14:paraId="572ED3F6" w14:textId="77777777">
        <w:trPr>
          <w:cantSplit/>
        </w:trPr>
        <w:tc>
          <w:tcPr>
            <w:tcW w:w="0" w:type="auto"/>
            <w:vAlign w:val="center"/>
          </w:tcPr>
          <w:p w:rsidRPr="00BB5295" w:rsidR="00F45CF8" w:rsidP="00824C2D" w:rsidRDefault="00F45CF8" w14:paraId="0BB08F78"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License for Major</w:t>
            </w:r>
            <w:r w:rsidRPr="00BB5295">
              <w:rPr>
                <w:rFonts w:ascii="Times New Roman" w:hAnsi="Times New Roman"/>
                <w:b/>
                <w:iCs/>
                <w:sz w:val="26"/>
                <w:szCs w:val="24"/>
                <w:vertAlign w:val="superscript"/>
              </w:rPr>
              <w:footnoteReference w:id="6"/>
            </w:r>
            <w:r w:rsidRPr="00BB5295">
              <w:rPr>
                <w:rFonts w:ascii="Times New Roman" w:hAnsi="Times New Roman"/>
                <w:iCs/>
                <w:sz w:val="26"/>
                <w:szCs w:val="24"/>
              </w:rPr>
              <w:t xml:space="preserve"> Unconstructed Project and Major Modified Project</w:t>
            </w:r>
          </w:p>
        </w:tc>
        <w:tc>
          <w:tcPr>
            <w:tcW w:w="0" w:type="auto"/>
            <w:vAlign w:val="center"/>
          </w:tcPr>
          <w:p w:rsidRPr="00BB5295" w:rsidR="00F45CF8" w:rsidP="00824C2D" w:rsidRDefault="00F45CF8" w14:paraId="0F7CAD2A" w14:textId="227C0994">
            <w:pPr>
              <w:spacing w:after="0" w:line="240" w:lineRule="auto"/>
              <w:jc w:val="center"/>
              <w:rPr>
                <w:rFonts w:ascii="Times New Roman" w:hAnsi="Times New Roman"/>
                <w:iCs/>
                <w:sz w:val="26"/>
                <w:szCs w:val="24"/>
              </w:rPr>
            </w:pPr>
            <w:r w:rsidRPr="00BB5295">
              <w:rPr>
                <w:rFonts w:ascii="Times New Roman" w:hAnsi="Times New Roman"/>
                <w:iCs/>
                <w:sz w:val="26"/>
                <w:szCs w:val="24"/>
              </w:rPr>
              <w:t>4.40 and 4.41</w:t>
            </w:r>
          </w:p>
        </w:tc>
        <w:tc>
          <w:tcPr>
            <w:tcW w:w="0" w:type="auto"/>
            <w:vAlign w:val="center"/>
          </w:tcPr>
          <w:p w:rsidRPr="00BB5295" w:rsidR="00F45CF8" w:rsidP="00824C2D" w:rsidRDefault="00F45CF8" w14:paraId="3D0BCB12"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c>
          <w:tcPr>
            <w:tcW w:w="0" w:type="auto"/>
            <w:vAlign w:val="center"/>
          </w:tcPr>
          <w:p w:rsidRPr="00BB5295" w:rsidR="00F45CF8" w:rsidP="00824C2D" w:rsidRDefault="00F45CF8" w14:paraId="087A4ED4"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7022BBD2" w14:textId="77777777">
        <w:trPr>
          <w:cantSplit/>
        </w:trPr>
        <w:tc>
          <w:tcPr>
            <w:tcW w:w="0" w:type="auto"/>
            <w:vAlign w:val="center"/>
          </w:tcPr>
          <w:p w:rsidRPr="00BB5295" w:rsidR="00F45CF8" w:rsidP="00824C2D" w:rsidRDefault="00F45CF8" w14:paraId="3A866001"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License for Major Project ― Existing Dam</w:t>
            </w:r>
          </w:p>
        </w:tc>
        <w:tc>
          <w:tcPr>
            <w:tcW w:w="0" w:type="auto"/>
            <w:vAlign w:val="center"/>
          </w:tcPr>
          <w:p w:rsidRPr="00BB5295" w:rsidR="00F45CF8" w:rsidP="00824C2D" w:rsidRDefault="00F45CF8" w14:paraId="501DE5D2" w14:textId="7E2133CE">
            <w:pPr>
              <w:spacing w:after="0" w:line="240" w:lineRule="auto"/>
              <w:jc w:val="center"/>
              <w:rPr>
                <w:rFonts w:ascii="Times New Roman" w:hAnsi="Times New Roman"/>
                <w:iCs/>
                <w:sz w:val="26"/>
                <w:szCs w:val="24"/>
              </w:rPr>
            </w:pPr>
            <w:r w:rsidRPr="00BB5295">
              <w:rPr>
                <w:rFonts w:ascii="Times New Roman" w:hAnsi="Times New Roman"/>
                <w:iCs/>
                <w:sz w:val="26"/>
                <w:szCs w:val="24"/>
              </w:rPr>
              <w:t>4.50 and 4.51</w:t>
            </w:r>
          </w:p>
        </w:tc>
        <w:tc>
          <w:tcPr>
            <w:tcW w:w="0" w:type="auto"/>
            <w:vAlign w:val="center"/>
          </w:tcPr>
          <w:p w:rsidRPr="00BB5295" w:rsidR="00F45CF8" w:rsidP="00824C2D" w:rsidRDefault="00F45CF8" w14:paraId="260692DD"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c>
          <w:tcPr>
            <w:tcW w:w="0" w:type="auto"/>
            <w:vAlign w:val="center"/>
          </w:tcPr>
          <w:p w:rsidRPr="00BB5295" w:rsidR="00F45CF8" w:rsidP="00824C2D" w:rsidRDefault="00F45CF8" w14:paraId="653CFF80"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5C2B0242" w14:textId="77777777">
        <w:trPr>
          <w:cantSplit/>
        </w:trPr>
        <w:tc>
          <w:tcPr>
            <w:tcW w:w="0" w:type="auto"/>
            <w:vAlign w:val="center"/>
          </w:tcPr>
          <w:p w:rsidRPr="00BB5295" w:rsidR="00F45CF8" w:rsidP="00824C2D" w:rsidRDefault="00F45CF8" w14:paraId="7F8C5DD2"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License for Minor</w:t>
            </w:r>
            <w:r w:rsidRPr="00BB5295">
              <w:rPr>
                <w:rFonts w:ascii="Times New Roman" w:hAnsi="Times New Roman"/>
                <w:b/>
                <w:iCs/>
                <w:sz w:val="26"/>
                <w:szCs w:val="24"/>
                <w:vertAlign w:val="superscript"/>
              </w:rPr>
              <w:footnoteReference w:id="7"/>
            </w:r>
            <w:r w:rsidRPr="00BB5295">
              <w:rPr>
                <w:rFonts w:ascii="Times New Roman" w:hAnsi="Times New Roman"/>
                <w:iCs/>
                <w:sz w:val="26"/>
                <w:szCs w:val="24"/>
              </w:rPr>
              <w:t xml:space="preserve"> Water Power Projects and Major Water Power Projects 10 Megawatts or Less</w:t>
            </w:r>
          </w:p>
        </w:tc>
        <w:tc>
          <w:tcPr>
            <w:tcW w:w="0" w:type="auto"/>
            <w:vAlign w:val="center"/>
          </w:tcPr>
          <w:p w:rsidRPr="00BB5295" w:rsidR="00F45CF8" w:rsidP="00824C2D" w:rsidRDefault="00F45CF8" w14:paraId="46F84F47" w14:textId="593A08B3">
            <w:pPr>
              <w:spacing w:after="0" w:line="240" w:lineRule="auto"/>
              <w:jc w:val="center"/>
              <w:rPr>
                <w:rFonts w:ascii="Times New Roman" w:hAnsi="Times New Roman"/>
                <w:iCs/>
                <w:sz w:val="26"/>
                <w:szCs w:val="24"/>
              </w:rPr>
            </w:pPr>
            <w:r w:rsidRPr="00BB5295">
              <w:rPr>
                <w:rFonts w:ascii="Times New Roman" w:hAnsi="Times New Roman"/>
                <w:iCs/>
                <w:sz w:val="26"/>
                <w:szCs w:val="24"/>
              </w:rPr>
              <w:t>4.60 and 4.61</w:t>
            </w:r>
          </w:p>
        </w:tc>
        <w:tc>
          <w:tcPr>
            <w:tcW w:w="0" w:type="auto"/>
            <w:vAlign w:val="center"/>
          </w:tcPr>
          <w:p w:rsidRPr="00BB5295" w:rsidR="00F45CF8" w:rsidP="00824C2D" w:rsidRDefault="00F45CF8" w14:paraId="3F0638BA"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No</w:t>
            </w:r>
          </w:p>
        </w:tc>
        <w:tc>
          <w:tcPr>
            <w:tcW w:w="0" w:type="auto"/>
            <w:vAlign w:val="center"/>
          </w:tcPr>
          <w:p w:rsidRPr="00BB5295" w:rsidR="00F45CF8" w:rsidP="00824C2D" w:rsidRDefault="00F45CF8" w14:paraId="6CBAFA8E"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62B4D3B4" w14:textId="77777777">
        <w:trPr>
          <w:cantSplit/>
        </w:trPr>
        <w:tc>
          <w:tcPr>
            <w:tcW w:w="0" w:type="auto"/>
            <w:vAlign w:val="center"/>
          </w:tcPr>
          <w:p w:rsidRPr="00BB5295" w:rsidR="00F45CF8" w:rsidP="00824C2D" w:rsidRDefault="00F45CF8" w14:paraId="790294BC"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License for Transmission Line Only</w:t>
            </w:r>
          </w:p>
        </w:tc>
        <w:tc>
          <w:tcPr>
            <w:tcW w:w="0" w:type="auto"/>
            <w:vAlign w:val="center"/>
          </w:tcPr>
          <w:p w:rsidRPr="00BB5295" w:rsidR="00F45CF8" w:rsidP="00824C2D" w:rsidRDefault="00F45CF8" w14:paraId="7310ECAD" w14:textId="20602EAF">
            <w:pPr>
              <w:spacing w:after="0" w:line="240" w:lineRule="auto"/>
              <w:jc w:val="center"/>
              <w:rPr>
                <w:rFonts w:ascii="Times New Roman" w:hAnsi="Times New Roman"/>
                <w:iCs/>
                <w:sz w:val="26"/>
                <w:szCs w:val="24"/>
              </w:rPr>
            </w:pPr>
            <w:r w:rsidRPr="00BB5295">
              <w:rPr>
                <w:rFonts w:ascii="Times New Roman" w:hAnsi="Times New Roman"/>
                <w:iCs/>
                <w:sz w:val="26"/>
                <w:szCs w:val="24"/>
              </w:rPr>
              <w:t>4.70 and 4.71</w:t>
            </w:r>
          </w:p>
        </w:tc>
        <w:tc>
          <w:tcPr>
            <w:tcW w:w="0" w:type="auto"/>
            <w:vAlign w:val="center"/>
          </w:tcPr>
          <w:p w:rsidRPr="00BB5295" w:rsidR="00F45CF8" w:rsidP="00824C2D" w:rsidRDefault="00F45CF8" w14:paraId="6B5496C4"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c>
          <w:tcPr>
            <w:tcW w:w="0" w:type="auto"/>
            <w:vAlign w:val="center"/>
          </w:tcPr>
          <w:p w:rsidRPr="00BB5295" w:rsidR="00F45CF8" w:rsidP="00824C2D" w:rsidRDefault="00F45CF8" w14:paraId="2728C907"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01141519" w14:textId="77777777">
        <w:trPr>
          <w:cantSplit/>
          <w:trHeight w:val="1151"/>
        </w:trPr>
        <w:tc>
          <w:tcPr>
            <w:tcW w:w="0" w:type="auto"/>
            <w:vAlign w:val="center"/>
          </w:tcPr>
          <w:p w:rsidRPr="00BB5295" w:rsidR="00F45CF8" w:rsidP="00824C2D" w:rsidRDefault="00F45CF8" w14:paraId="430A7402"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Exemption of Small Conduit Hydroelectric Facilities</w:t>
            </w:r>
          </w:p>
        </w:tc>
        <w:tc>
          <w:tcPr>
            <w:tcW w:w="0" w:type="auto"/>
            <w:vAlign w:val="center"/>
          </w:tcPr>
          <w:p w:rsidRPr="00BB5295" w:rsidR="00F45CF8" w:rsidP="00824C2D" w:rsidRDefault="00F45CF8" w14:paraId="031146C0" w14:textId="63AA3580">
            <w:pPr>
              <w:spacing w:after="0" w:line="240" w:lineRule="auto"/>
              <w:jc w:val="center"/>
              <w:rPr>
                <w:rFonts w:ascii="Times New Roman" w:hAnsi="Times New Roman"/>
                <w:iCs/>
                <w:sz w:val="26"/>
                <w:szCs w:val="24"/>
              </w:rPr>
            </w:pPr>
            <w:r w:rsidRPr="00BB5295">
              <w:rPr>
                <w:rFonts w:ascii="Times New Roman" w:hAnsi="Times New Roman"/>
                <w:iCs/>
                <w:sz w:val="26"/>
                <w:szCs w:val="24"/>
              </w:rPr>
              <w:t>4.90 and 4.92</w:t>
            </w:r>
          </w:p>
        </w:tc>
        <w:tc>
          <w:tcPr>
            <w:tcW w:w="0" w:type="auto"/>
            <w:vAlign w:val="center"/>
          </w:tcPr>
          <w:p w:rsidRPr="00BB5295" w:rsidR="00F45CF8" w:rsidP="00824C2D" w:rsidRDefault="00F45CF8" w14:paraId="48D3D4F1"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No</w:t>
            </w:r>
          </w:p>
        </w:tc>
        <w:tc>
          <w:tcPr>
            <w:tcW w:w="0" w:type="auto"/>
            <w:vAlign w:val="center"/>
          </w:tcPr>
          <w:p w:rsidRPr="00BB5295" w:rsidR="00F45CF8" w:rsidP="00824C2D" w:rsidRDefault="00F45CF8" w14:paraId="019D0D4E"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07992FBC" w14:textId="77777777">
        <w:trPr>
          <w:cantSplit/>
          <w:trHeight w:val="1151"/>
        </w:trPr>
        <w:tc>
          <w:tcPr>
            <w:tcW w:w="0" w:type="auto"/>
            <w:vAlign w:val="center"/>
          </w:tcPr>
          <w:p w:rsidRPr="00BB5295" w:rsidR="00F45CF8" w:rsidP="00824C2D" w:rsidRDefault="00F45CF8" w14:paraId="7A7A168E"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Case-Specific Exemption of Small Hydroelectric Power Projects of 10 Megawatts or Less</w:t>
            </w:r>
          </w:p>
        </w:tc>
        <w:tc>
          <w:tcPr>
            <w:tcW w:w="0" w:type="auto"/>
            <w:vAlign w:val="center"/>
          </w:tcPr>
          <w:p w:rsidRPr="00BB5295" w:rsidR="00F45CF8" w:rsidP="00824C2D" w:rsidRDefault="00F45CF8" w14:paraId="38C02CF3" w14:textId="396D004F">
            <w:pPr>
              <w:spacing w:after="0" w:line="240" w:lineRule="auto"/>
              <w:jc w:val="center"/>
              <w:rPr>
                <w:rFonts w:ascii="Times New Roman" w:hAnsi="Times New Roman"/>
                <w:iCs/>
                <w:sz w:val="26"/>
                <w:szCs w:val="24"/>
              </w:rPr>
            </w:pPr>
            <w:r w:rsidRPr="00BB5295">
              <w:rPr>
                <w:rFonts w:ascii="Times New Roman" w:hAnsi="Times New Roman"/>
                <w:iCs/>
                <w:sz w:val="26"/>
                <w:szCs w:val="24"/>
              </w:rPr>
              <w:t>4.101 and 4.107</w:t>
            </w:r>
          </w:p>
        </w:tc>
        <w:tc>
          <w:tcPr>
            <w:tcW w:w="0" w:type="auto"/>
            <w:vAlign w:val="center"/>
          </w:tcPr>
          <w:p w:rsidRPr="00BB5295" w:rsidR="00F45CF8" w:rsidP="00824C2D" w:rsidRDefault="00F45CF8" w14:paraId="3F892C09"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No</w:t>
            </w:r>
          </w:p>
        </w:tc>
        <w:tc>
          <w:tcPr>
            <w:tcW w:w="0" w:type="auto"/>
            <w:vAlign w:val="center"/>
          </w:tcPr>
          <w:p w:rsidRPr="00BB5295" w:rsidR="00F45CF8" w:rsidP="00824C2D" w:rsidRDefault="00F45CF8" w14:paraId="0C6B333C"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1CA2D57A" w14:textId="77777777">
        <w:trPr>
          <w:cantSplit/>
          <w:trHeight w:val="1151"/>
        </w:trPr>
        <w:tc>
          <w:tcPr>
            <w:tcW w:w="0" w:type="auto"/>
            <w:vAlign w:val="center"/>
          </w:tcPr>
          <w:p w:rsidRPr="00BB5295" w:rsidR="00F45CF8" w:rsidP="00824C2D" w:rsidRDefault="00F45CF8" w14:paraId="1AC8F5D9"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Amendment of</w:t>
            </w:r>
          </w:p>
          <w:p w:rsidRPr="00BB5295" w:rsidR="00F45CF8" w:rsidP="00824C2D" w:rsidRDefault="00F45CF8" w14:paraId="2A8C424D"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License</w:t>
            </w:r>
          </w:p>
        </w:tc>
        <w:tc>
          <w:tcPr>
            <w:tcW w:w="0" w:type="auto"/>
            <w:vAlign w:val="center"/>
          </w:tcPr>
          <w:p w:rsidRPr="00BB5295" w:rsidR="00F45CF8" w:rsidP="00824C2D" w:rsidRDefault="00F45CF8" w14:paraId="61D84DDA" w14:textId="2D77032A">
            <w:pPr>
              <w:spacing w:after="0" w:line="240" w:lineRule="auto"/>
              <w:jc w:val="center"/>
              <w:rPr>
                <w:rFonts w:ascii="Times New Roman" w:hAnsi="Times New Roman"/>
                <w:iCs/>
                <w:sz w:val="26"/>
                <w:szCs w:val="24"/>
              </w:rPr>
            </w:pPr>
            <w:r w:rsidRPr="00BB5295">
              <w:rPr>
                <w:rFonts w:ascii="Times New Roman" w:hAnsi="Times New Roman"/>
                <w:iCs/>
                <w:sz w:val="26"/>
                <w:szCs w:val="24"/>
              </w:rPr>
              <w:t>4.200 and 4.201</w:t>
            </w:r>
          </w:p>
        </w:tc>
        <w:tc>
          <w:tcPr>
            <w:tcW w:w="0" w:type="auto"/>
            <w:vAlign w:val="center"/>
          </w:tcPr>
          <w:p w:rsidRPr="00BB5295" w:rsidR="00F45CF8" w:rsidP="00824C2D" w:rsidRDefault="00F45CF8" w14:paraId="422F81C8"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c>
          <w:tcPr>
            <w:tcW w:w="0" w:type="auto"/>
            <w:vAlign w:val="center"/>
          </w:tcPr>
          <w:p w:rsidRPr="00BB5295" w:rsidR="00F45CF8" w:rsidP="00824C2D" w:rsidRDefault="00F45CF8" w14:paraId="3392AA7A"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0E4A114D" w14:textId="77777777">
        <w:trPr>
          <w:cantSplit/>
          <w:trHeight w:val="1151"/>
        </w:trPr>
        <w:tc>
          <w:tcPr>
            <w:tcW w:w="0" w:type="auto"/>
            <w:vAlign w:val="center"/>
          </w:tcPr>
          <w:p w:rsidRPr="00BB5295" w:rsidR="00F45CF8" w:rsidP="00824C2D" w:rsidRDefault="00F45CF8" w14:paraId="2DE463EA"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Notice of Intent to Construct Qualifying Conduit Hydropower Facilities</w:t>
            </w:r>
          </w:p>
        </w:tc>
        <w:tc>
          <w:tcPr>
            <w:tcW w:w="0" w:type="auto"/>
            <w:vAlign w:val="center"/>
          </w:tcPr>
          <w:p w:rsidRPr="00BB5295" w:rsidR="00F45CF8" w:rsidP="00824C2D" w:rsidRDefault="00F45CF8" w14:paraId="2DD9E37F" w14:textId="2F7674E2">
            <w:pPr>
              <w:spacing w:after="0" w:line="240" w:lineRule="auto"/>
              <w:jc w:val="center"/>
              <w:rPr>
                <w:rFonts w:ascii="Times New Roman" w:hAnsi="Times New Roman"/>
                <w:iCs/>
                <w:sz w:val="26"/>
                <w:szCs w:val="24"/>
              </w:rPr>
            </w:pPr>
            <w:r w:rsidRPr="00BB5295">
              <w:rPr>
                <w:rFonts w:ascii="Times New Roman" w:hAnsi="Times New Roman"/>
                <w:iCs/>
                <w:sz w:val="26"/>
                <w:szCs w:val="24"/>
              </w:rPr>
              <w:t>4.400 and 4.401</w:t>
            </w:r>
          </w:p>
        </w:tc>
        <w:tc>
          <w:tcPr>
            <w:tcW w:w="0" w:type="auto"/>
            <w:vAlign w:val="center"/>
          </w:tcPr>
          <w:p w:rsidRPr="00BB5295" w:rsidR="00F45CF8" w:rsidP="00824C2D" w:rsidRDefault="00F45CF8" w14:paraId="1AF950A9" w14:textId="7F359113">
            <w:pPr>
              <w:spacing w:after="0" w:line="240" w:lineRule="auto"/>
              <w:jc w:val="center"/>
              <w:rPr>
                <w:rFonts w:ascii="Times New Roman" w:hAnsi="Times New Roman"/>
                <w:iCs/>
                <w:sz w:val="26"/>
                <w:szCs w:val="24"/>
              </w:rPr>
            </w:pPr>
            <w:r w:rsidRPr="00BB5295">
              <w:rPr>
                <w:rFonts w:ascii="Times New Roman" w:hAnsi="Times New Roman"/>
                <w:iCs/>
                <w:sz w:val="26"/>
                <w:szCs w:val="24"/>
              </w:rPr>
              <w:t>No</w:t>
            </w:r>
          </w:p>
        </w:tc>
        <w:tc>
          <w:tcPr>
            <w:tcW w:w="0" w:type="auto"/>
            <w:vAlign w:val="center"/>
          </w:tcPr>
          <w:p w:rsidRPr="00BB5295" w:rsidR="00F45CF8" w:rsidP="00824C2D" w:rsidRDefault="00F45CF8" w14:paraId="69982ED8"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7E0DA573" w14:textId="77777777">
        <w:trPr>
          <w:cantSplit/>
          <w:trHeight w:val="1151"/>
        </w:trPr>
        <w:tc>
          <w:tcPr>
            <w:tcW w:w="0" w:type="auto"/>
            <w:vAlign w:val="center"/>
          </w:tcPr>
          <w:p w:rsidRPr="00BB5295" w:rsidR="00F45CF8" w:rsidP="00824C2D" w:rsidRDefault="00F45CF8" w14:paraId="4A8681FA"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Under the Integrated Licensing Process</w:t>
            </w:r>
          </w:p>
        </w:tc>
        <w:tc>
          <w:tcPr>
            <w:tcW w:w="0" w:type="auto"/>
            <w:vAlign w:val="center"/>
          </w:tcPr>
          <w:p w:rsidRPr="00BB5295" w:rsidR="00F45CF8" w:rsidP="00824C2D" w:rsidRDefault="00F45CF8" w14:paraId="253526D8" w14:textId="77FA54A6">
            <w:pPr>
              <w:spacing w:after="0" w:line="240" w:lineRule="auto"/>
              <w:jc w:val="center"/>
              <w:rPr>
                <w:rFonts w:ascii="Times New Roman" w:hAnsi="Times New Roman"/>
                <w:iCs/>
                <w:sz w:val="26"/>
                <w:szCs w:val="24"/>
              </w:rPr>
            </w:pPr>
            <w:r w:rsidRPr="00BB5295">
              <w:rPr>
                <w:rFonts w:ascii="Times New Roman" w:hAnsi="Times New Roman"/>
                <w:iCs/>
                <w:sz w:val="26"/>
                <w:szCs w:val="24"/>
              </w:rPr>
              <w:t>5.1 and 5.18</w:t>
            </w:r>
          </w:p>
        </w:tc>
        <w:tc>
          <w:tcPr>
            <w:tcW w:w="0" w:type="auto"/>
            <w:vAlign w:val="center"/>
          </w:tcPr>
          <w:p w:rsidRPr="00BB5295" w:rsidR="00F45CF8" w:rsidP="00824C2D" w:rsidRDefault="00F45CF8" w14:paraId="031FE9D7"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c>
          <w:tcPr>
            <w:tcW w:w="0" w:type="auto"/>
            <w:vAlign w:val="center"/>
          </w:tcPr>
          <w:p w:rsidRPr="00BB5295" w:rsidR="00F45CF8" w:rsidP="00824C2D" w:rsidRDefault="00F45CF8" w14:paraId="7A5A8783"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r w:rsidRPr="00BB5295" w:rsidR="00F45CF8" w:rsidTr="00824C2D" w14:paraId="4533647B" w14:textId="77777777">
        <w:trPr>
          <w:cantSplit/>
          <w:trHeight w:val="1151"/>
        </w:trPr>
        <w:tc>
          <w:tcPr>
            <w:tcW w:w="0" w:type="auto"/>
            <w:vAlign w:val="center"/>
          </w:tcPr>
          <w:p w:rsidRPr="00BB5295" w:rsidR="00F45CF8" w:rsidP="00824C2D" w:rsidRDefault="00F45CF8" w14:paraId="6C911D18"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Application for Transfer of License</w:t>
            </w:r>
          </w:p>
        </w:tc>
        <w:tc>
          <w:tcPr>
            <w:tcW w:w="0" w:type="auto"/>
            <w:vAlign w:val="center"/>
          </w:tcPr>
          <w:p w:rsidRPr="00BB5295" w:rsidR="00F45CF8" w:rsidP="00824C2D" w:rsidRDefault="00F45CF8" w14:paraId="1616065A" w14:textId="3DD7FD07">
            <w:pPr>
              <w:spacing w:after="0" w:line="240" w:lineRule="auto"/>
              <w:jc w:val="center"/>
              <w:rPr>
                <w:rFonts w:ascii="Times New Roman" w:hAnsi="Times New Roman"/>
                <w:iCs/>
                <w:sz w:val="26"/>
                <w:szCs w:val="24"/>
              </w:rPr>
            </w:pPr>
            <w:r w:rsidRPr="00BB5295">
              <w:rPr>
                <w:rFonts w:ascii="Times New Roman" w:hAnsi="Times New Roman"/>
                <w:iCs/>
                <w:sz w:val="26"/>
                <w:szCs w:val="24"/>
              </w:rPr>
              <w:t>9.1 and 9.2</w:t>
            </w:r>
          </w:p>
        </w:tc>
        <w:tc>
          <w:tcPr>
            <w:tcW w:w="0" w:type="auto"/>
            <w:vAlign w:val="center"/>
          </w:tcPr>
          <w:p w:rsidRPr="00BB5295" w:rsidR="00F45CF8" w:rsidP="00824C2D" w:rsidRDefault="00F45CF8" w14:paraId="65FE5C12"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c>
          <w:tcPr>
            <w:tcW w:w="0" w:type="auto"/>
            <w:vAlign w:val="center"/>
          </w:tcPr>
          <w:p w:rsidRPr="00BB5295" w:rsidR="00F45CF8" w:rsidP="00824C2D" w:rsidRDefault="00F45CF8" w14:paraId="6A1F1346" w14:textId="77777777">
            <w:pPr>
              <w:spacing w:after="0" w:line="240" w:lineRule="auto"/>
              <w:jc w:val="center"/>
              <w:rPr>
                <w:rFonts w:ascii="Times New Roman" w:hAnsi="Times New Roman"/>
                <w:iCs/>
                <w:sz w:val="26"/>
                <w:szCs w:val="24"/>
              </w:rPr>
            </w:pPr>
            <w:r w:rsidRPr="00BB5295">
              <w:rPr>
                <w:rFonts w:ascii="Times New Roman" w:hAnsi="Times New Roman"/>
                <w:iCs/>
                <w:sz w:val="26"/>
                <w:szCs w:val="24"/>
              </w:rPr>
              <w:t>Yes</w:t>
            </w:r>
          </w:p>
        </w:tc>
      </w:tr>
    </w:tbl>
    <w:p w:rsidRPr="0089121E" w:rsidR="00EF1B52" w:rsidP="00EF1B52" w:rsidRDefault="00EF1B52" w14:paraId="0512A235" w14:textId="77777777">
      <w:pPr>
        <w:spacing w:after="0" w:line="240" w:lineRule="auto"/>
        <w:rPr>
          <w:rFonts w:ascii="Times New Roman" w:hAnsi="Times New Roman"/>
          <w:sz w:val="26"/>
          <w:szCs w:val="24"/>
        </w:rPr>
      </w:pPr>
    </w:p>
    <w:p w:rsidR="001D0422" w:rsidP="001D0422" w:rsidRDefault="001D0422" w14:paraId="4579A119" w14:textId="0C595AA5">
      <w:pPr>
        <w:spacing w:after="0" w:line="240" w:lineRule="auto"/>
        <w:rPr>
          <w:rFonts w:ascii="Times New Roman" w:hAnsi="Times New Roman"/>
          <w:iCs/>
          <w:sz w:val="26"/>
          <w:szCs w:val="24"/>
        </w:rPr>
      </w:pPr>
      <w:r w:rsidRPr="001D0422">
        <w:rPr>
          <w:rFonts w:ascii="Times New Roman" w:hAnsi="Times New Roman"/>
          <w:iCs/>
          <w:sz w:val="26"/>
          <w:szCs w:val="24"/>
        </w:rPr>
        <w:t>The following table lists information collection activities pertaining to matters other than applications and notices of intent:</w:t>
      </w:r>
    </w:p>
    <w:p w:rsidRPr="001D0422" w:rsidR="00436C29" w:rsidP="001D0422" w:rsidRDefault="00436C29" w14:paraId="1691076A" w14:textId="77777777">
      <w:pPr>
        <w:spacing w:after="0" w:line="240" w:lineRule="auto"/>
        <w:rPr>
          <w:rFonts w:ascii="Times New Roman" w:hAnsi="Times New Roman"/>
          <w:iCs/>
          <w:sz w:val="26"/>
          <w:szCs w:val="24"/>
        </w:rPr>
      </w:pPr>
    </w:p>
    <w:p w:rsidR="001D0422" w:rsidP="00436C29" w:rsidRDefault="001D0422" w14:paraId="66261399" w14:textId="23172F03">
      <w:pPr>
        <w:spacing w:after="0" w:line="240" w:lineRule="auto"/>
        <w:jc w:val="center"/>
        <w:rPr>
          <w:rFonts w:ascii="Times New Roman" w:hAnsi="Times New Roman"/>
          <w:b/>
          <w:bCs/>
          <w:iCs/>
          <w:sz w:val="26"/>
          <w:szCs w:val="24"/>
        </w:rPr>
      </w:pPr>
      <w:r w:rsidRPr="001D0422">
        <w:rPr>
          <w:rFonts w:ascii="Times New Roman" w:hAnsi="Times New Roman"/>
          <w:b/>
          <w:bCs/>
          <w:iCs/>
          <w:sz w:val="26"/>
          <w:szCs w:val="24"/>
        </w:rPr>
        <w:t>Table 2 ― Other Regulations and Information Collection Activities</w:t>
      </w:r>
    </w:p>
    <w:p w:rsidRPr="001D0422" w:rsidR="00436C29" w:rsidP="001D0422" w:rsidRDefault="00436C29" w14:paraId="4B7356F0" w14:textId="77777777">
      <w:pPr>
        <w:spacing w:after="0" w:line="240" w:lineRule="auto"/>
        <w:rPr>
          <w:rFonts w:ascii="Times New Roman" w:hAnsi="Times New Roman"/>
          <w:b/>
          <w:bCs/>
          <w:iCs/>
          <w:sz w:val="26"/>
          <w:szCs w:val="24"/>
        </w:rPr>
      </w:pPr>
    </w:p>
    <w:tbl>
      <w:tblPr>
        <w:tblStyle w:val="TableGrid"/>
        <w:tblW w:w="0" w:type="auto"/>
        <w:tblLook w:val="04A0" w:firstRow="1" w:lastRow="0" w:firstColumn="1" w:lastColumn="0" w:noHBand="0" w:noVBand="1"/>
      </w:tblPr>
      <w:tblGrid>
        <w:gridCol w:w="4552"/>
        <w:gridCol w:w="2624"/>
        <w:gridCol w:w="1087"/>
        <w:gridCol w:w="1087"/>
      </w:tblGrid>
      <w:tr w:rsidRPr="001D0422" w:rsidR="001D0422" w:rsidTr="00C84B33" w14:paraId="74BD7663" w14:textId="77777777">
        <w:trPr>
          <w:cantSplit/>
          <w:tblHeader/>
        </w:trPr>
        <w:tc>
          <w:tcPr>
            <w:tcW w:w="0" w:type="auto"/>
            <w:vAlign w:val="center"/>
          </w:tcPr>
          <w:p w:rsidRPr="001D0422" w:rsidR="001D0422" w:rsidP="00C84B33" w:rsidRDefault="001D0422" w14:paraId="5DCAB46A" w14:textId="77777777">
            <w:pPr>
              <w:spacing w:after="0" w:line="240" w:lineRule="auto"/>
              <w:jc w:val="center"/>
              <w:rPr>
                <w:rFonts w:ascii="Times New Roman" w:hAnsi="Times New Roman"/>
                <w:b/>
                <w:bCs/>
                <w:iCs/>
                <w:sz w:val="26"/>
                <w:szCs w:val="24"/>
              </w:rPr>
            </w:pPr>
            <w:r w:rsidRPr="001D0422">
              <w:rPr>
                <w:rFonts w:ascii="Times New Roman" w:hAnsi="Times New Roman"/>
                <w:b/>
                <w:bCs/>
                <w:iCs/>
                <w:sz w:val="26"/>
                <w:szCs w:val="24"/>
              </w:rPr>
              <w:t>Title or Description</w:t>
            </w:r>
          </w:p>
        </w:tc>
        <w:tc>
          <w:tcPr>
            <w:tcW w:w="0" w:type="auto"/>
            <w:vAlign w:val="center"/>
          </w:tcPr>
          <w:p w:rsidRPr="001D0422" w:rsidR="001D0422" w:rsidP="00C84B33" w:rsidRDefault="001D0422" w14:paraId="44782C8F" w14:textId="77777777">
            <w:pPr>
              <w:spacing w:after="0" w:line="240" w:lineRule="auto"/>
              <w:jc w:val="center"/>
              <w:rPr>
                <w:rFonts w:ascii="Times New Roman" w:hAnsi="Times New Roman"/>
                <w:b/>
                <w:bCs/>
                <w:iCs/>
                <w:sz w:val="26"/>
                <w:szCs w:val="24"/>
              </w:rPr>
            </w:pPr>
            <w:r w:rsidRPr="001D0422">
              <w:rPr>
                <w:rFonts w:ascii="Times New Roman" w:hAnsi="Times New Roman"/>
                <w:b/>
                <w:bCs/>
                <w:iCs/>
                <w:sz w:val="26"/>
                <w:szCs w:val="24"/>
              </w:rPr>
              <w:t>18 CFR Cite(s)</w:t>
            </w:r>
          </w:p>
        </w:tc>
        <w:tc>
          <w:tcPr>
            <w:tcW w:w="0" w:type="auto"/>
            <w:vAlign w:val="center"/>
          </w:tcPr>
          <w:p w:rsidRPr="001D0422" w:rsidR="001D0422" w:rsidP="00C84B33" w:rsidRDefault="001D0422" w14:paraId="515252EC" w14:textId="77777777">
            <w:pPr>
              <w:spacing w:after="0" w:line="240" w:lineRule="auto"/>
              <w:jc w:val="center"/>
              <w:rPr>
                <w:rFonts w:ascii="Times New Roman" w:hAnsi="Times New Roman"/>
                <w:b/>
                <w:bCs/>
                <w:iCs/>
                <w:sz w:val="26"/>
                <w:szCs w:val="24"/>
              </w:rPr>
            </w:pPr>
            <w:r w:rsidRPr="001D0422">
              <w:rPr>
                <w:rFonts w:ascii="Times New Roman" w:hAnsi="Times New Roman"/>
                <w:b/>
                <w:bCs/>
                <w:iCs/>
                <w:sz w:val="26"/>
                <w:szCs w:val="24"/>
              </w:rPr>
              <w:t>FERC-500</w:t>
            </w:r>
          </w:p>
        </w:tc>
        <w:tc>
          <w:tcPr>
            <w:tcW w:w="0" w:type="auto"/>
            <w:vAlign w:val="center"/>
          </w:tcPr>
          <w:p w:rsidRPr="001D0422" w:rsidR="001D0422" w:rsidP="00C84B33" w:rsidRDefault="001D0422" w14:paraId="5E4413EE" w14:textId="77777777">
            <w:pPr>
              <w:spacing w:after="0" w:line="240" w:lineRule="auto"/>
              <w:jc w:val="center"/>
              <w:rPr>
                <w:rFonts w:ascii="Times New Roman" w:hAnsi="Times New Roman"/>
                <w:b/>
                <w:bCs/>
                <w:iCs/>
                <w:sz w:val="26"/>
                <w:szCs w:val="24"/>
              </w:rPr>
            </w:pPr>
            <w:r w:rsidRPr="001D0422">
              <w:rPr>
                <w:rFonts w:ascii="Times New Roman" w:hAnsi="Times New Roman"/>
                <w:b/>
                <w:bCs/>
                <w:iCs/>
                <w:sz w:val="26"/>
                <w:szCs w:val="24"/>
              </w:rPr>
              <w:t>FERC-505</w:t>
            </w:r>
          </w:p>
        </w:tc>
      </w:tr>
      <w:tr w:rsidRPr="001D0422" w:rsidR="001D0422" w:rsidTr="00C84B33" w14:paraId="689225D9" w14:textId="77777777">
        <w:trPr>
          <w:cantSplit/>
        </w:trPr>
        <w:tc>
          <w:tcPr>
            <w:tcW w:w="0" w:type="auto"/>
            <w:vAlign w:val="center"/>
          </w:tcPr>
          <w:p w:rsidRPr="001D0422" w:rsidR="001D0422" w:rsidP="00C84B33" w:rsidRDefault="001D0422" w14:paraId="2373A782"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State and federal comprehensive plans</w:t>
            </w:r>
          </w:p>
        </w:tc>
        <w:tc>
          <w:tcPr>
            <w:tcW w:w="0" w:type="auto"/>
            <w:vAlign w:val="center"/>
          </w:tcPr>
          <w:p w:rsidRPr="001D0422" w:rsidR="001D0422" w:rsidP="00C84B33" w:rsidRDefault="001D0422" w14:paraId="26EDDD4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2.19</w:t>
            </w:r>
          </w:p>
        </w:tc>
        <w:tc>
          <w:tcPr>
            <w:tcW w:w="0" w:type="auto"/>
            <w:vAlign w:val="center"/>
          </w:tcPr>
          <w:p w:rsidRPr="001D0422" w:rsidR="001D0422" w:rsidP="00C84B33" w:rsidRDefault="001D0422" w14:paraId="0E4F99DC"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1ECE39F5"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264FA4ED" w14:textId="77777777">
        <w:trPr>
          <w:cantSplit/>
        </w:trPr>
        <w:tc>
          <w:tcPr>
            <w:tcW w:w="0" w:type="auto"/>
            <w:vAlign w:val="center"/>
          </w:tcPr>
          <w:p w:rsidRPr="001D0422" w:rsidR="001D0422" w:rsidP="00C84B33" w:rsidRDefault="001D0422" w14:paraId="49C2D85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Acceptance for filing or rejection; information to be made available to the public; requests for additional studies</w:t>
            </w:r>
          </w:p>
        </w:tc>
        <w:tc>
          <w:tcPr>
            <w:tcW w:w="0" w:type="auto"/>
            <w:vAlign w:val="center"/>
          </w:tcPr>
          <w:p w:rsidRPr="001D0422" w:rsidR="001D0422" w:rsidP="00C84B33" w:rsidRDefault="001D0422" w14:paraId="52F33C27"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4.32</w:t>
            </w:r>
          </w:p>
        </w:tc>
        <w:tc>
          <w:tcPr>
            <w:tcW w:w="0" w:type="auto"/>
            <w:vAlign w:val="center"/>
          </w:tcPr>
          <w:p w:rsidRPr="001D0422" w:rsidR="001D0422" w:rsidP="00C84B33" w:rsidRDefault="001D0422" w14:paraId="5857923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3292017B"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168882D0" w14:textId="77777777">
        <w:trPr>
          <w:cantSplit/>
        </w:trPr>
        <w:tc>
          <w:tcPr>
            <w:tcW w:w="0" w:type="auto"/>
            <w:vAlign w:val="center"/>
          </w:tcPr>
          <w:p w:rsidRPr="001D0422" w:rsidR="001D0422" w:rsidP="00C84B33" w:rsidRDefault="001D0422" w14:paraId="5876D863"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Amendment of application; date of acceptance</w:t>
            </w:r>
          </w:p>
        </w:tc>
        <w:tc>
          <w:tcPr>
            <w:tcW w:w="0" w:type="auto"/>
            <w:vAlign w:val="center"/>
          </w:tcPr>
          <w:p w:rsidRPr="001D0422" w:rsidR="001D0422" w:rsidP="00C84B33" w:rsidRDefault="001D0422" w14:paraId="625821F5"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4.35</w:t>
            </w:r>
          </w:p>
        </w:tc>
        <w:tc>
          <w:tcPr>
            <w:tcW w:w="0" w:type="auto"/>
            <w:vAlign w:val="center"/>
          </w:tcPr>
          <w:p w:rsidRPr="001D0422" w:rsidR="001D0422" w:rsidP="00C84B33" w:rsidRDefault="001D0422" w14:paraId="6A1BA598"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41ACA025"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0564789F" w14:textId="77777777">
        <w:trPr>
          <w:cantSplit/>
        </w:trPr>
        <w:tc>
          <w:tcPr>
            <w:tcW w:w="0" w:type="auto"/>
            <w:vAlign w:val="center"/>
          </w:tcPr>
          <w:p w:rsidRPr="001D0422" w:rsidR="001D0422" w:rsidP="00C84B33" w:rsidRDefault="001D0422" w14:paraId="0E0F1119"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Competing applications, deadlines for filing, notices of intent, and comparisons of plans of development</w:t>
            </w:r>
          </w:p>
        </w:tc>
        <w:tc>
          <w:tcPr>
            <w:tcW w:w="0" w:type="auto"/>
            <w:vAlign w:val="center"/>
          </w:tcPr>
          <w:p w:rsidRPr="001D0422" w:rsidR="001D0422" w:rsidP="00C84B33" w:rsidRDefault="001D0422" w14:paraId="730FB403"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4.36</w:t>
            </w:r>
          </w:p>
        </w:tc>
        <w:tc>
          <w:tcPr>
            <w:tcW w:w="0" w:type="auto"/>
            <w:vAlign w:val="center"/>
          </w:tcPr>
          <w:p w:rsidRPr="001D0422" w:rsidR="001D0422" w:rsidP="00C84B33" w:rsidRDefault="001D0422" w14:paraId="3C79BF51"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25AD5361"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395B9452" w14:textId="77777777">
        <w:trPr>
          <w:cantSplit/>
        </w:trPr>
        <w:tc>
          <w:tcPr>
            <w:tcW w:w="0" w:type="auto"/>
            <w:vAlign w:val="center"/>
          </w:tcPr>
          <w:p w:rsidRPr="001D0422" w:rsidR="001D0422" w:rsidP="00C84B33" w:rsidRDefault="000E146A" w14:paraId="7A743111" w14:textId="50D86F37">
            <w:pPr>
              <w:spacing w:after="0" w:line="240" w:lineRule="auto"/>
              <w:jc w:val="center"/>
              <w:rPr>
                <w:rFonts w:ascii="Times New Roman" w:hAnsi="Times New Roman"/>
                <w:iCs/>
                <w:sz w:val="26"/>
                <w:szCs w:val="24"/>
              </w:rPr>
            </w:pPr>
            <w:r>
              <w:rPr>
                <w:rFonts w:ascii="Times New Roman" w:hAnsi="Times New Roman"/>
                <w:iCs/>
                <w:sz w:val="26"/>
                <w:szCs w:val="24"/>
              </w:rPr>
              <w:t>Noti</w:t>
            </w:r>
            <w:r w:rsidR="00DA2E24">
              <w:rPr>
                <w:rFonts w:ascii="Times New Roman" w:hAnsi="Times New Roman"/>
                <w:iCs/>
                <w:sz w:val="26"/>
                <w:szCs w:val="24"/>
              </w:rPr>
              <w:t xml:space="preserve">fication of intent to file a license application, and </w:t>
            </w:r>
            <w:r w:rsidR="00B80166">
              <w:rPr>
                <w:rFonts w:ascii="Times New Roman" w:hAnsi="Times New Roman"/>
                <w:iCs/>
                <w:sz w:val="26"/>
                <w:szCs w:val="24"/>
              </w:rPr>
              <w:t xml:space="preserve">pre-consultation document for </w:t>
            </w:r>
            <w:r w:rsidR="003E5EF0">
              <w:rPr>
                <w:rFonts w:ascii="Times New Roman" w:hAnsi="Times New Roman"/>
                <w:iCs/>
                <w:sz w:val="26"/>
                <w:szCs w:val="24"/>
              </w:rPr>
              <w:t>resource agencies</w:t>
            </w:r>
            <w:r w:rsidR="0057060C">
              <w:rPr>
                <w:rFonts w:ascii="Times New Roman" w:hAnsi="Times New Roman"/>
                <w:iCs/>
                <w:sz w:val="26"/>
                <w:szCs w:val="24"/>
              </w:rPr>
              <w:t xml:space="preserve"> and tribes</w:t>
            </w:r>
          </w:p>
        </w:tc>
        <w:tc>
          <w:tcPr>
            <w:tcW w:w="0" w:type="auto"/>
            <w:vAlign w:val="center"/>
          </w:tcPr>
          <w:p w:rsidRPr="001D0422" w:rsidR="001D0422" w:rsidP="00C84B33" w:rsidRDefault="001D0422" w14:paraId="568B5A0D" w14:textId="2A337A18">
            <w:pPr>
              <w:spacing w:after="0" w:line="240" w:lineRule="auto"/>
              <w:jc w:val="center"/>
              <w:rPr>
                <w:rFonts w:ascii="Times New Roman" w:hAnsi="Times New Roman"/>
                <w:iCs/>
                <w:sz w:val="26"/>
                <w:szCs w:val="24"/>
              </w:rPr>
            </w:pPr>
            <w:r w:rsidRPr="001D0422">
              <w:rPr>
                <w:rFonts w:ascii="Times New Roman" w:hAnsi="Times New Roman"/>
                <w:iCs/>
                <w:sz w:val="26"/>
                <w:szCs w:val="24"/>
              </w:rPr>
              <w:t>4.38</w:t>
            </w:r>
            <w:r w:rsidR="000E146A">
              <w:rPr>
                <w:rFonts w:ascii="Times New Roman" w:hAnsi="Times New Roman"/>
                <w:iCs/>
                <w:sz w:val="26"/>
                <w:szCs w:val="24"/>
              </w:rPr>
              <w:t>, 5.5, and 5.6</w:t>
            </w:r>
          </w:p>
        </w:tc>
        <w:tc>
          <w:tcPr>
            <w:tcW w:w="0" w:type="auto"/>
            <w:vAlign w:val="center"/>
          </w:tcPr>
          <w:p w:rsidRPr="001D0422" w:rsidR="001D0422" w:rsidP="00C84B33" w:rsidRDefault="001D0422" w14:paraId="3B0A8EBF"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1F13100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1C14E69C" w14:textId="77777777">
        <w:trPr>
          <w:cantSplit/>
        </w:trPr>
        <w:tc>
          <w:tcPr>
            <w:tcW w:w="0" w:type="auto"/>
            <w:vAlign w:val="center"/>
          </w:tcPr>
          <w:p w:rsidRPr="001D0422" w:rsidR="001D0422" w:rsidP="00C84B33" w:rsidRDefault="001D0422" w14:paraId="0955E037"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Action on exemption applications</w:t>
            </w:r>
          </w:p>
        </w:tc>
        <w:tc>
          <w:tcPr>
            <w:tcW w:w="0" w:type="auto"/>
            <w:vAlign w:val="center"/>
          </w:tcPr>
          <w:p w:rsidRPr="001D0422" w:rsidR="001D0422" w:rsidP="00C84B33" w:rsidRDefault="001D0422" w14:paraId="3E8749F7"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4.93</w:t>
            </w:r>
          </w:p>
        </w:tc>
        <w:tc>
          <w:tcPr>
            <w:tcW w:w="0" w:type="auto"/>
            <w:vAlign w:val="center"/>
          </w:tcPr>
          <w:p w:rsidRPr="001D0422" w:rsidR="001D0422" w:rsidP="00C84B33" w:rsidRDefault="001D0422" w14:paraId="672D541B" w14:textId="37AC6BF9">
            <w:pPr>
              <w:spacing w:after="0" w:line="240" w:lineRule="auto"/>
              <w:jc w:val="center"/>
              <w:rPr>
                <w:rFonts w:ascii="Times New Roman" w:hAnsi="Times New Roman"/>
                <w:iCs/>
                <w:sz w:val="26"/>
                <w:szCs w:val="24"/>
              </w:rPr>
            </w:pPr>
            <w:r w:rsidRPr="001D0422">
              <w:rPr>
                <w:rFonts w:ascii="Times New Roman" w:hAnsi="Times New Roman"/>
                <w:iCs/>
                <w:sz w:val="26"/>
                <w:szCs w:val="24"/>
              </w:rPr>
              <w:t>No</w:t>
            </w:r>
          </w:p>
        </w:tc>
        <w:tc>
          <w:tcPr>
            <w:tcW w:w="0" w:type="auto"/>
            <w:vAlign w:val="center"/>
          </w:tcPr>
          <w:p w:rsidRPr="001D0422" w:rsidR="001D0422" w:rsidP="00C84B33" w:rsidRDefault="001D0422" w14:paraId="510085AC"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6645D318" w14:textId="77777777">
        <w:trPr>
          <w:cantSplit/>
        </w:trPr>
        <w:tc>
          <w:tcPr>
            <w:tcW w:w="0" w:type="auto"/>
            <w:vAlign w:val="center"/>
          </w:tcPr>
          <w:p w:rsidRPr="001D0422" w:rsidR="001D0422" w:rsidP="00C84B33" w:rsidRDefault="001D0422" w14:paraId="68DFC151"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Integrated licensing process</w:t>
            </w:r>
          </w:p>
        </w:tc>
        <w:tc>
          <w:tcPr>
            <w:tcW w:w="0" w:type="auto"/>
            <w:vAlign w:val="center"/>
          </w:tcPr>
          <w:p w:rsidRPr="001D0422" w:rsidR="001D0422" w:rsidP="00C84B33" w:rsidRDefault="001D0422" w14:paraId="6B0827A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5.2, 5.3, 5.4, 5.5, 5.6, 5.11, 5.13, 5.15, 5.16, 5.17, and 5.20, 5.21, 5.23, and 5.27</w:t>
            </w:r>
          </w:p>
        </w:tc>
        <w:tc>
          <w:tcPr>
            <w:tcW w:w="0" w:type="auto"/>
            <w:vAlign w:val="center"/>
          </w:tcPr>
          <w:p w:rsidRPr="001D0422" w:rsidR="001D0422" w:rsidP="00C84B33" w:rsidRDefault="001D0422" w14:paraId="32E6FD3A"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628D6AC4"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75FA1727" w14:textId="77777777">
        <w:trPr>
          <w:cantSplit/>
        </w:trPr>
        <w:tc>
          <w:tcPr>
            <w:tcW w:w="0" w:type="auto"/>
            <w:vAlign w:val="center"/>
          </w:tcPr>
          <w:p w:rsidRPr="001D0422" w:rsidR="001D0422" w:rsidP="00C84B33" w:rsidRDefault="001D0422" w14:paraId="1FC01D28"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Expedited licensing process for qualifying non-federal hydropower projects at existing nonpowered dams and for closed-loop pumped storage projects</w:t>
            </w:r>
          </w:p>
        </w:tc>
        <w:tc>
          <w:tcPr>
            <w:tcW w:w="0" w:type="auto"/>
            <w:vAlign w:val="center"/>
          </w:tcPr>
          <w:p w:rsidRPr="001D0422" w:rsidR="001D0422" w:rsidP="00C84B33" w:rsidRDefault="001D0422" w14:paraId="282B4E6A"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7.1, 7.2, 7.3, 7.4,.7.5, 7.6, 7.7, 7.8, and 7.9</w:t>
            </w:r>
          </w:p>
        </w:tc>
        <w:tc>
          <w:tcPr>
            <w:tcW w:w="0" w:type="auto"/>
            <w:vAlign w:val="center"/>
          </w:tcPr>
          <w:p w:rsidRPr="001D0422" w:rsidR="001D0422" w:rsidP="00C84B33" w:rsidRDefault="001D0422" w14:paraId="206C0BE8"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6C117D20"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1CA035F8" w14:textId="77777777">
        <w:trPr>
          <w:cantSplit/>
        </w:trPr>
        <w:tc>
          <w:tcPr>
            <w:tcW w:w="0" w:type="auto"/>
            <w:vAlign w:val="center"/>
          </w:tcPr>
          <w:p w:rsidRPr="001D0422" w:rsidR="001D0422" w:rsidP="00C84B33" w:rsidRDefault="001D0422" w14:paraId="16572DFA"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Publication of license conditions relating to recreation and posting of project lands as to recreational use and availability of information</w:t>
            </w:r>
          </w:p>
        </w:tc>
        <w:tc>
          <w:tcPr>
            <w:tcW w:w="0" w:type="auto"/>
            <w:vAlign w:val="center"/>
          </w:tcPr>
          <w:p w:rsidRPr="001D0422" w:rsidR="001D0422" w:rsidP="00C84B33" w:rsidRDefault="001D0422" w14:paraId="298B9E92"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8.1 and 8.2</w:t>
            </w:r>
          </w:p>
        </w:tc>
        <w:tc>
          <w:tcPr>
            <w:tcW w:w="0" w:type="auto"/>
            <w:vAlign w:val="center"/>
          </w:tcPr>
          <w:p w:rsidRPr="001D0422" w:rsidR="001D0422" w:rsidP="00C84B33" w:rsidRDefault="001D0422" w14:paraId="6C4F1D34"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32204FC0"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0B79788A" w14:textId="77777777">
        <w:trPr>
          <w:cantSplit/>
        </w:trPr>
        <w:tc>
          <w:tcPr>
            <w:tcW w:w="0" w:type="auto"/>
            <w:vAlign w:val="center"/>
          </w:tcPr>
          <w:p w:rsidRPr="001D0422" w:rsidR="001D0422" w:rsidP="00C84B33" w:rsidRDefault="001D0422" w14:paraId="49432DEE"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Lease of Project Property</w:t>
            </w:r>
          </w:p>
        </w:tc>
        <w:tc>
          <w:tcPr>
            <w:tcW w:w="0" w:type="auto"/>
            <w:vAlign w:val="center"/>
          </w:tcPr>
          <w:p w:rsidRPr="001D0422" w:rsidR="001D0422" w:rsidP="00C84B33" w:rsidRDefault="001D0422" w14:paraId="3145DE33"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9.10</w:t>
            </w:r>
          </w:p>
        </w:tc>
        <w:tc>
          <w:tcPr>
            <w:tcW w:w="0" w:type="auto"/>
            <w:vAlign w:val="center"/>
          </w:tcPr>
          <w:p w:rsidRPr="001D0422" w:rsidR="001D0422" w:rsidP="00C84B33" w:rsidRDefault="001D0422" w14:paraId="606A2317"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62D11E04"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44D3AF6D" w14:textId="77777777">
        <w:trPr>
          <w:cantSplit/>
        </w:trPr>
        <w:tc>
          <w:tcPr>
            <w:tcW w:w="0" w:type="auto"/>
            <w:vAlign w:val="center"/>
          </w:tcPr>
          <w:p w:rsidRPr="001D0422" w:rsidR="001D0422" w:rsidP="00C84B33" w:rsidRDefault="001D0422" w14:paraId="4E120DF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Procedures relating to takeover and relicensing of licensed projects</w:t>
            </w:r>
          </w:p>
        </w:tc>
        <w:tc>
          <w:tcPr>
            <w:tcW w:w="0" w:type="auto"/>
            <w:vAlign w:val="center"/>
          </w:tcPr>
          <w:p w:rsidRPr="001D0422" w:rsidR="001D0422" w:rsidP="00C84B33" w:rsidRDefault="001D0422" w14:paraId="25AF842B"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16,1, 16.4, 16.6, 16.7, 16.8, 16.9, 16.10, 16.11, 16.12, 16.14, 16.19, 16.20, and 16.26</w:t>
            </w:r>
          </w:p>
        </w:tc>
        <w:tc>
          <w:tcPr>
            <w:tcW w:w="0" w:type="auto"/>
            <w:vAlign w:val="center"/>
          </w:tcPr>
          <w:p w:rsidRPr="001D0422" w:rsidR="001D0422" w:rsidP="00C84B33" w:rsidRDefault="001D0422" w14:paraId="596E369E"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743232CC"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43F7EE87" w14:textId="77777777">
        <w:trPr>
          <w:cantSplit/>
        </w:trPr>
        <w:tc>
          <w:tcPr>
            <w:tcW w:w="0" w:type="auto"/>
            <w:vAlign w:val="center"/>
          </w:tcPr>
          <w:p w:rsidRPr="001D0422" w:rsidR="001D0422" w:rsidP="00C84B33" w:rsidRDefault="001D0422" w14:paraId="07FDB10F"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Annual conveyance report</w:t>
            </w:r>
          </w:p>
        </w:tc>
        <w:tc>
          <w:tcPr>
            <w:tcW w:w="0" w:type="auto"/>
            <w:vAlign w:val="center"/>
          </w:tcPr>
          <w:p w:rsidRPr="001D0422" w:rsidR="001D0422" w:rsidP="00C84B33" w:rsidRDefault="001D0422" w14:paraId="2A7E325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141.15</w:t>
            </w:r>
          </w:p>
        </w:tc>
        <w:tc>
          <w:tcPr>
            <w:tcW w:w="0" w:type="auto"/>
            <w:vAlign w:val="center"/>
          </w:tcPr>
          <w:p w:rsidRPr="001D0422" w:rsidR="001D0422" w:rsidP="00C84B33" w:rsidRDefault="001D0422" w14:paraId="465EF02D"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c>
          <w:tcPr>
            <w:tcW w:w="0" w:type="auto"/>
            <w:vAlign w:val="center"/>
          </w:tcPr>
          <w:p w:rsidRPr="001D0422" w:rsidR="001D0422" w:rsidP="00C84B33" w:rsidRDefault="001D0422" w14:paraId="4330D8BF"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No</w:t>
            </w:r>
          </w:p>
        </w:tc>
      </w:tr>
      <w:tr w:rsidRPr="001D0422" w:rsidR="001D0422" w:rsidTr="00C84B33" w14:paraId="60177724" w14:textId="77777777">
        <w:trPr>
          <w:cantSplit/>
        </w:trPr>
        <w:tc>
          <w:tcPr>
            <w:tcW w:w="0" w:type="auto"/>
            <w:vAlign w:val="center"/>
          </w:tcPr>
          <w:p w:rsidRPr="001D0422" w:rsidR="001D0422" w:rsidP="00C84B33" w:rsidRDefault="001D0422" w14:paraId="19869467" w14:textId="77777777">
            <w:pPr>
              <w:spacing w:after="0" w:line="240" w:lineRule="auto"/>
              <w:jc w:val="center"/>
              <w:rPr>
                <w:rFonts w:ascii="Times New Roman" w:hAnsi="Times New Roman"/>
                <w:b/>
                <w:bCs/>
                <w:iCs/>
                <w:sz w:val="26"/>
                <w:szCs w:val="24"/>
              </w:rPr>
            </w:pPr>
            <w:r w:rsidRPr="001D0422">
              <w:rPr>
                <w:rFonts w:ascii="Times New Roman" w:hAnsi="Times New Roman"/>
                <w:sz w:val="26"/>
                <w:szCs w:val="24"/>
              </w:rPr>
              <w:t>General requirements for qualifying cogeneration and small power production facilities</w:t>
            </w:r>
          </w:p>
        </w:tc>
        <w:tc>
          <w:tcPr>
            <w:tcW w:w="0" w:type="auto"/>
            <w:vAlign w:val="center"/>
          </w:tcPr>
          <w:p w:rsidRPr="001D0422" w:rsidR="001D0422" w:rsidP="00C84B33" w:rsidRDefault="001D0422" w14:paraId="5AF7E159"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292.203</w:t>
            </w:r>
          </w:p>
        </w:tc>
        <w:tc>
          <w:tcPr>
            <w:tcW w:w="0" w:type="auto"/>
            <w:vAlign w:val="center"/>
          </w:tcPr>
          <w:p w:rsidRPr="001D0422" w:rsidR="001D0422" w:rsidP="00C84B33" w:rsidRDefault="001D0422" w14:paraId="728CFA6E"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No</w:t>
            </w:r>
          </w:p>
        </w:tc>
        <w:tc>
          <w:tcPr>
            <w:tcW w:w="0" w:type="auto"/>
            <w:vAlign w:val="center"/>
          </w:tcPr>
          <w:p w:rsidRPr="001D0422" w:rsidR="001D0422" w:rsidP="00C84B33" w:rsidRDefault="001D0422" w14:paraId="25704BC4"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r w:rsidRPr="001D0422" w:rsidR="001D0422" w:rsidTr="00C84B33" w14:paraId="7B337233" w14:textId="77777777">
        <w:trPr>
          <w:cantSplit/>
        </w:trPr>
        <w:tc>
          <w:tcPr>
            <w:tcW w:w="0" w:type="auto"/>
            <w:vAlign w:val="center"/>
          </w:tcPr>
          <w:p w:rsidRPr="001D0422" w:rsidR="001D0422" w:rsidP="00C84B33" w:rsidRDefault="001D0422" w14:paraId="7F429137"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Special requirements for hydroelectric small power production facilities located at a new dam or diversion</w:t>
            </w:r>
          </w:p>
        </w:tc>
        <w:tc>
          <w:tcPr>
            <w:tcW w:w="0" w:type="auto"/>
            <w:vAlign w:val="center"/>
          </w:tcPr>
          <w:p w:rsidRPr="001D0422" w:rsidR="001D0422" w:rsidP="00C84B33" w:rsidRDefault="001D0422" w14:paraId="37C9F5D3"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292.208</w:t>
            </w:r>
          </w:p>
        </w:tc>
        <w:tc>
          <w:tcPr>
            <w:tcW w:w="0" w:type="auto"/>
            <w:vAlign w:val="center"/>
          </w:tcPr>
          <w:p w:rsidRPr="001D0422" w:rsidR="001D0422" w:rsidP="00C84B33" w:rsidRDefault="001D0422" w14:paraId="59E86975"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No</w:t>
            </w:r>
          </w:p>
        </w:tc>
        <w:tc>
          <w:tcPr>
            <w:tcW w:w="0" w:type="auto"/>
            <w:vAlign w:val="center"/>
          </w:tcPr>
          <w:p w:rsidRPr="001D0422" w:rsidR="001D0422" w:rsidP="00C84B33" w:rsidRDefault="001D0422" w14:paraId="4422841F" w14:textId="77777777">
            <w:pPr>
              <w:spacing w:after="0" w:line="240" w:lineRule="auto"/>
              <w:jc w:val="center"/>
              <w:rPr>
                <w:rFonts w:ascii="Times New Roman" w:hAnsi="Times New Roman"/>
                <w:iCs/>
                <w:sz w:val="26"/>
                <w:szCs w:val="24"/>
              </w:rPr>
            </w:pPr>
            <w:r w:rsidRPr="001D0422">
              <w:rPr>
                <w:rFonts w:ascii="Times New Roman" w:hAnsi="Times New Roman"/>
                <w:iCs/>
                <w:sz w:val="26"/>
                <w:szCs w:val="24"/>
              </w:rPr>
              <w:t>Yes</w:t>
            </w:r>
          </w:p>
        </w:tc>
      </w:tr>
    </w:tbl>
    <w:p w:rsidRPr="0032216C" w:rsidR="007824B1" w:rsidP="00E92C02" w:rsidRDefault="00C80DC1" w14:paraId="49FB67C3" w14:textId="7FB0FFAA">
      <w:pPr>
        <w:spacing w:after="0" w:line="240" w:lineRule="auto"/>
        <w:rPr>
          <w:rFonts w:ascii="Times New Roman" w:hAnsi="Times New Roman"/>
          <w:sz w:val="26"/>
          <w:szCs w:val="24"/>
        </w:rPr>
      </w:pPr>
      <w:r w:rsidRPr="0032216C">
        <w:rPr>
          <w:rFonts w:ascii="Times New Roman" w:hAnsi="Times New Roman"/>
          <w:sz w:val="26"/>
          <w:szCs w:val="24"/>
        </w:rPr>
        <w:t xml:space="preserve"> </w:t>
      </w:r>
      <w:r w:rsidRPr="0032216C" w:rsidR="00055395">
        <w:rPr>
          <w:rFonts w:ascii="Times New Roman" w:hAnsi="Times New Roman"/>
          <w:sz w:val="26"/>
          <w:szCs w:val="24"/>
        </w:rPr>
        <w:t xml:space="preserve"> </w:t>
      </w:r>
    </w:p>
    <w:p w:rsidRPr="0032216C" w:rsidR="00471F97" w:rsidP="00EB790F" w:rsidRDefault="00471F97" w14:paraId="25D05C3E" w14:textId="75C53BCC">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HOW, BY WHOM, AND FOR WHAT PURPOSE THE INFORMATION IS TO BE USED AND THE CONSEQUENCES OF NOT COLLECTING THE INFORMATION</w:t>
      </w:r>
    </w:p>
    <w:p w:rsidRPr="0032216C" w:rsidR="005E2D67" w:rsidP="005E2D67" w:rsidRDefault="005E2D67" w14:paraId="2A93EBF5" w14:textId="0E9AC2DB">
      <w:pPr>
        <w:spacing w:after="0" w:line="240" w:lineRule="auto"/>
        <w:rPr>
          <w:rFonts w:ascii="Times New Roman" w:hAnsi="Times New Roman"/>
          <w:b/>
          <w:sz w:val="26"/>
          <w:szCs w:val="24"/>
        </w:rPr>
      </w:pPr>
    </w:p>
    <w:p w:rsidRPr="00F9251A" w:rsidR="008315E9" w:rsidP="00DF4362" w:rsidRDefault="00913010" w14:paraId="0B8D7A70" w14:textId="59D2160B">
      <w:pPr>
        <w:spacing w:after="0" w:line="240" w:lineRule="auto"/>
        <w:rPr>
          <w:rFonts w:ascii="Times New Roman" w:hAnsi="Times New Roman"/>
          <w:bCs/>
          <w:sz w:val="26"/>
          <w:szCs w:val="24"/>
        </w:rPr>
      </w:pPr>
      <w:r w:rsidRPr="0032216C">
        <w:rPr>
          <w:rFonts w:ascii="Times New Roman" w:hAnsi="Times New Roman"/>
          <w:b/>
          <w:sz w:val="26"/>
          <w:szCs w:val="24"/>
        </w:rPr>
        <w:t>FERC-500</w:t>
      </w:r>
      <w:r w:rsidRPr="00F9251A">
        <w:rPr>
          <w:rFonts w:ascii="Times New Roman" w:hAnsi="Times New Roman"/>
          <w:bCs/>
          <w:sz w:val="26"/>
          <w:szCs w:val="24"/>
        </w:rPr>
        <w:t>.</w:t>
      </w:r>
      <w:r w:rsidRPr="00F9251A" w:rsidR="00CA53E5">
        <w:rPr>
          <w:rFonts w:ascii="Times New Roman" w:hAnsi="Times New Roman"/>
          <w:bCs/>
          <w:sz w:val="26"/>
          <w:szCs w:val="24"/>
        </w:rPr>
        <w:t xml:space="preserve">  </w:t>
      </w:r>
      <w:r w:rsidRPr="00F9251A" w:rsidR="00DF4362">
        <w:rPr>
          <w:rFonts w:ascii="Times New Roman" w:hAnsi="Times New Roman"/>
          <w:bCs/>
          <w:sz w:val="26"/>
          <w:szCs w:val="24"/>
        </w:rPr>
        <w:t xml:space="preserve">FERC-500 </w:t>
      </w:r>
      <w:r w:rsidR="00A57AA8">
        <w:rPr>
          <w:rFonts w:ascii="Times New Roman" w:hAnsi="Times New Roman"/>
          <w:bCs/>
          <w:sz w:val="26"/>
          <w:szCs w:val="24"/>
        </w:rPr>
        <w:t xml:space="preserve">includes applications </w:t>
      </w:r>
      <w:r w:rsidRPr="00F9251A" w:rsidR="00DF4362">
        <w:rPr>
          <w:rFonts w:ascii="Times New Roman" w:hAnsi="Times New Roman"/>
          <w:bCs/>
          <w:sz w:val="26"/>
          <w:szCs w:val="24"/>
        </w:rPr>
        <w:t>fo</w:t>
      </w:r>
      <w:r w:rsidR="00A57AA8">
        <w:rPr>
          <w:rFonts w:ascii="Times New Roman" w:hAnsi="Times New Roman"/>
          <w:bCs/>
          <w:sz w:val="26"/>
          <w:szCs w:val="24"/>
        </w:rPr>
        <w:t>r</w:t>
      </w:r>
      <w:r w:rsidRPr="00F9251A" w:rsidR="00DF4362">
        <w:rPr>
          <w:rFonts w:ascii="Times New Roman" w:hAnsi="Times New Roman"/>
          <w:bCs/>
          <w:sz w:val="26"/>
          <w:szCs w:val="24"/>
        </w:rPr>
        <w:t xml:space="preserve"> hydropower project license</w:t>
      </w:r>
      <w:r w:rsidR="005E58E9">
        <w:rPr>
          <w:rFonts w:ascii="Times New Roman" w:hAnsi="Times New Roman"/>
          <w:bCs/>
          <w:sz w:val="26"/>
          <w:szCs w:val="24"/>
        </w:rPr>
        <w:t>s</w:t>
      </w:r>
      <w:r w:rsidR="00AC19F9">
        <w:rPr>
          <w:rFonts w:ascii="Times New Roman" w:hAnsi="Times New Roman"/>
          <w:bCs/>
          <w:sz w:val="26"/>
          <w:szCs w:val="24"/>
        </w:rPr>
        <w:t xml:space="preserve"> and </w:t>
      </w:r>
      <w:r w:rsidRPr="00F9251A" w:rsidR="00DF4362">
        <w:rPr>
          <w:rFonts w:ascii="Times New Roman" w:hAnsi="Times New Roman"/>
          <w:bCs/>
          <w:sz w:val="26"/>
          <w:szCs w:val="24"/>
        </w:rPr>
        <w:t>relicense</w:t>
      </w:r>
      <w:r w:rsidR="005E58E9">
        <w:rPr>
          <w:rFonts w:ascii="Times New Roman" w:hAnsi="Times New Roman"/>
          <w:bCs/>
          <w:sz w:val="26"/>
          <w:szCs w:val="24"/>
        </w:rPr>
        <w:t>s</w:t>
      </w:r>
      <w:r w:rsidRPr="00A447E3" w:rsidR="005F1ECA">
        <w:rPr>
          <w:rStyle w:val="FootnoteReference"/>
          <w:rFonts w:ascii="Times New Roman" w:hAnsi="Times New Roman"/>
          <w:bCs/>
          <w:sz w:val="26"/>
          <w:szCs w:val="24"/>
          <w:vertAlign w:val="superscript"/>
        </w:rPr>
        <w:footnoteReference w:id="8"/>
      </w:r>
      <w:r w:rsidRPr="00F9251A" w:rsidR="00DF4362">
        <w:rPr>
          <w:rFonts w:ascii="Times New Roman" w:hAnsi="Times New Roman"/>
          <w:bCs/>
          <w:sz w:val="26"/>
          <w:szCs w:val="24"/>
        </w:rPr>
        <w:t xml:space="preserve"> for water power projects with more than </w:t>
      </w:r>
      <w:r w:rsidR="00F9251A">
        <w:rPr>
          <w:rFonts w:ascii="Times New Roman" w:hAnsi="Times New Roman"/>
          <w:bCs/>
          <w:sz w:val="26"/>
          <w:szCs w:val="24"/>
        </w:rPr>
        <w:t>10</w:t>
      </w:r>
      <w:r w:rsidRPr="00F9251A" w:rsidR="00DF4362">
        <w:rPr>
          <w:rFonts w:ascii="Times New Roman" w:hAnsi="Times New Roman"/>
          <w:bCs/>
          <w:sz w:val="26"/>
          <w:szCs w:val="24"/>
        </w:rPr>
        <w:t xml:space="preserve"> megawatts (MW) of installed capacity.  FERC-500 information also includes related filing and reporting requirements, such as the filing of annual conveyance reports by licensees under section 141.15 of the Commission’s regulations</w:t>
      </w:r>
      <w:r w:rsidR="009C35C3">
        <w:rPr>
          <w:rFonts w:ascii="Times New Roman" w:hAnsi="Times New Roman"/>
          <w:bCs/>
          <w:sz w:val="26"/>
          <w:szCs w:val="24"/>
        </w:rPr>
        <w:t>.</w:t>
      </w:r>
      <w:r w:rsidRPr="00F9251A" w:rsidR="00DF4362">
        <w:rPr>
          <w:rFonts w:ascii="Times New Roman" w:hAnsi="Times New Roman"/>
          <w:bCs/>
          <w:sz w:val="26"/>
          <w:szCs w:val="24"/>
          <w:vertAlign w:val="superscript"/>
        </w:rPr>
        <w:footnoteReference w:id="9"/>
      </w:r>
    </w:p>
    <w:p w:rsidRPr="00DF4362" w:rsidR="00DF4362" w:rsidP="00DF4362" w:rsidRDefault="00DF4362" w14:paraId="073B9A8B" w14:textId="77777777">
      <w:pPr>
        <w:spacing w:after="0" w:line="240" w:lineRule="auto"/>
        <w:rPr>
          <w:rFonts w:ascii="Times New Roman" w:hAnsi="Times New Roman"/>
          <w:bCs/>
          <w:sz w:val="26"/>
          <w:szCs w:val="24"/>
        </w:rPr>
      </w:pPr>
    </w:p>
    <w:p w:rsidR="00552CAE" w:rsidP="00DF4362" w:rsidRDefault="00DF4362" w14:paraId="25D1F57A" w14:textId="55167873">
      <w:pPr>
        <w:spacing w:after="0" w:line="240" w:lineRule="auto"/>
        <w:rPr>
          <w:rFonts w:ascii="Times New Roman" w:hAnsi="Times New Roman"/>
          <w:bCs/>
          <w:sz w:val="26"/>
          <w:szCs w:val="24"/>
        </w:rPr>
      </w:pPr>
      <w:r w:rsidRPr="00DF4362">
        <w:rPr>
          <w:rFonts w:ascii="Times New Roman" w:hAnsi="Times New Roman"/>
          <w:bCs/>
          <w:sz w:val="26"/>
          <w:szCs w:val="24"/>
        </w:rPr>
        <w:t xml:space="preserve">Applicants </w:t>
      </w:r>
      <w:r w:rsidR="000A5A6B">
        <w:rPr>
          <w:rFonts w:ascii="Times New Roman" w:hAnsi="Times New Roman"/>
          <w:bCs/>
          <w:sz w:val="26"/>
          <w:szCs w:val="24"/>
        </w:rPr>
        <w:t>may</w:t>
      </w:r>
      <w:r w:rsidRPr="00DF4362">
        <w:rPr>
          <w:rFonts w:ascii="Times New Roman" w:hAnsi="Times New Roman"/>
          <w:bCs/>
          <w:sz w:val="26"/>
          <w:szCs w:val="24"/>
        </w:rPr>
        <w:t xml:space="preserve"> choose to seek FERC hydropower licenses using </w:t>
      </w:r>
      <w:r w:rsidR="00805652">
        <w:rPr>
          <w:rFonts w:ascii="Times New Roman" w:hAnsi="Times New Roman"/>
          <w:bCs/>
          <w:sz w:val="26"/>
          <w:szCs w:val="24"/>
        </w:rPr>
        <w:t xml:space="preserve">one of </w:t>
      </w:r>
      <w:r w:rsidRPr="00DF4362">
        <w:rPr>
          <w:rFonts w:ascii="Times New Roman" w:hAnsi="Times New Roman"/>
          <w:bCs/>
          <w:sz w:val="26"/>
          <w:szCs w:val="24"/>
        </w:rPr>
        <w:t>three different options:</w:t>
      </w:r>
    </w:p>
    <w:p w:rsidR="00552CAE" w:rsidP="00DF4362" w:rsidRDefault="00552CAE" w14:paraId="31653AEC" w14:textId="77777777">
      <w:pPr>
        <w:spacing w:after="0" w:line="240" w:lineRule="auto"/>
        <w:rPr>
          <w:rFonts w:ascii="Times New Roman" w:hAnsi="Times New Roman"/>
          <w:bCs/>
          <w:sz w:val="26"/>
          <w:szCs w:val="24"/>
        </w:rPr>
      </w:pPr>
    </w:p>
    <w:p w:rsidRPr="00186C73" w:rsidR="00186C73" w:rsidP="00552CAE" w:rsidRDefault="00EE5CAC" w14:paraId="31C2C2E9" w14:textId="17DEBEBE">
      <w:pPr>
        <w:pStyle w:val="ListParagraph"/>
        <w:numPr>
          <w:ilvl w:val="0"/>
          <w:numId w:val="35"/>
        </w:numPr>
        <w:spacing w:after="0" w:line="240" w:lineRule="auto"/>
        <w:rPr>
          <w:rFonts w:ascii="Times New Roman" w:hAnsi="Times New Roman"/>
          <w:b/>
          <w:sz w:val="26"/>
          <w:szCs w:val="24"/>
        </w:rPr>
      </w:pPr>
      <w:r>
        <w:rPr>
          <w:rFonts w:ascii="Times New Roman" w:hAnsi="Times New Roman"/>
          <w:bCs/>
          <w:sz w:val="26"/>
          <w:szCs w:val="24"/>
        </w:rPr>
        <w:t>T</w:t>
      </w:r>
      <w:r w:rsidRPr="00552CAE" w:rsidR="00DF4362">
        <w:rPr>
          <w:rFonts w:ascii="Times New Roman" w:hAnsi="Times New Roman"/>
          <w:bCs/>
          <w:sz w:val="26"/>
          <w:szCs w:val="24"/>
        </w:rPr>
        <w:t>raditional licens</w:t>
      </w:r>
      <w:r w:rsidR="0011751C">
        <w:rPr>
          <w:rFonts w:ascii="Times New Roman" w:hAnsi="Times New Roman"/>
          <w:bCs/>
          <w:sz w:val="26"/>
          <w:szCs w:val="24"/>
        </w:rPr>
        <w:t>ing</w:t>
      </w:r>
      <w:r w:rsidRPr="00552CAE" w:rsidR="00DF4362">
        <w:rPr>
          <w:rFonts w:ascii="Times New Roman" w:hAnsi="Times New Roman"/>
          <w:bCs/>
          <w:sz w:val="26"/>
          <w:szCs w:val="24"/>
        </w:rPr>
        <w:t xml:space="preserve"> proce</w:t>
      </w:r>
      <w:r>
        <w:rPr>
          <w:rFonts w:ascii="Times New Roman" w:hAnsi="Times New Roman"/>
          <w:bCs/>
          <w:sz w:val="26"/>
          <w:szCs w:val="24"/>
        </w:rPr>
        <w:t>du</w:t>
      </w:r>
      <w:r w:rsidR="00D0781D">
        <w:rPr>
          <w:rFonts w:ascii="Times New Roman" w:hAnsi="Times New Roman"/>
          <w:bCs/>
          <w:sz w:val="26"/>
          <w:szCs w:val="24"/>
        </w:rPr>
        <w:t>r</w:t>
      </w:r>
      <w:r>
        <w:rPr>
          <w:rFonts w:ascii="Times New Roman" w:hAnsi="Times New Roman"/>
          <w:bCs/>
          <w:sz w:val="26"/>
          <w:szCs w:val="24"/>
        </w:rPr>
        <w:t>es</w:t>
      </w:r>
      <w:r w:rsidR="00552CAE">
        <w:rPr>
          <w:rFonts w:ascii="Times New Roman" w:hAnsi="Times New Roman"/>
          <w:bCs/>
          <w:sz w:val="26"/>
          <w:szCs w:val="24"/>
        </w:rPr>
        <w:t xml:space="preserve"> under </w:t>
      </w:r>
      <w:r w:rsidR="00186C73">
        <w:rPr>
          <w:rFonts w:ascii="Times New Roman" w:hAnsi="Times New Roman"/>
          <w:bCs/>
          <w:sz w:val="26"/>
          <w:szCs w:val="24"/>
        </w:rPr>
        <w:t>18 CFR Part 4</w:t>
      </w:r>
      <w:r w:rsidR="00FE70B7">
        <w:rPr>
          <w:rFonts w:ascii="Times New Roman" w:hAnsi="Times New Roman"/>
          <w:bCs/>
          <w:sz w:val="26"/>
          <w:szCs w:val="24"/>
        </w:rPr>
        <w:t>, Subparts D through H and</w:t>
      </w:r>
      <w:r w:rsidR="00403ABA">
        <w:rPr>
          <w:rFonts w:ascii="Times New Roman" w:hAnsi="Times New Roman"/>
          <w:bCs/>
          <w:sz w:val="26"/>
          <w:szCs w:val="24"/>
        </w:rPr>
        <w:t>, as applicable, Part 16</w:t>
      </w:r>
      <w:r w:rsidR="00186C73">
        <w:rPr>
          <w:rFonts w:ascii="Times New Roman" w:hAnsi="Times New Roman"/>
          <w:bCs/>
          <w:sz w:val="26"/>
          <w:szCs w:val="24"/>
        </w:rPr>
        <w:t>;</w:t>
      </w:r>
    </w:p>
    <w:p w:rsidRPr="00DE02C3" w:rsidR="00DE02C3" w:rsidP="00552CAE" w:rsidRDefault="00EE5CAC" w14:paraId="79407F67" w14:textId="519D7EBE">
      <w:pPr>
        <w:pStyle w:val="ListParagraph"/>
        <w:numPr>
          <w:ilvl w:val="0"/>
          <w:numId w:val="35"/>
        </w:numPr>
        <w:spacing w:after="0" w:line="240" w:lineRule="auto"/>
        <w:rPr>
          <w:rFonts w:ascii="Times New Roman" w:hAnsi="Times New Roman"/>
          <w:b/>
          <w:sz w:val="26"/>
          <w:szCs w:val="24"/>
        </w:rPr>
      </w:pPr>
      <w:r>
        <w:rPr>
          <w:rFonts w:ascii="Times New Roman" w:hAnsi="Times New Roman"/>
          <w:bCs/>
          <w:sz w:val="26"/>
          <w:szCs w:val="24"/>
        </w:rPr>
        <w:t>A</w:t>
      </w:r>
      <w:r w:rsidRPr="00552CAE" w:rsidR="00DF4362">
        <w:rPr>
          <w:rFonts w:ascii="Times New Roman" w:hAnsi="Times New Roman"/>
          <w:bCs/>
          <w:sz w:val="26"/>
          <w:szCs w:val="24"/>
        </w:rPr>
        <w:t>lternative licens</w:t>
      </w:r>
      <w:r w:rsidR="0011751C">
        <w:rPr>
          <w:rFonts w:ascii="Times New Roman" w:hAnsi="Times New Roman"/>
          <w:bCs/>
          <w:sz w:val="26"/>
          <w:szCs w:val="24"/>
        </w:rPr>
        <w:t xml:space="preserve">ing </w:t>
      </w:r>
      <w:r>
        <w:rPr>
          <w:rFonts w:ascii="Times New Roman" w:hAnsi="Times New Roman"/>
          <w:bCs/>
          <w:sz w:val="26"/>
          <w:szCs w:val="24"/>
        </w:rPr>
        <w:t>procedures</w:t>
      </w:r>
      <w:r w:rsidR="00186C73">
        <w:rPr>
          <w:rFonts w:ascii="Times New Roman" w:hAnsi="Times New Roman"/>
          <w:bCs/>
          <w:sz w:val="26"/>
          <w:szCs w:val="24"/>
        </w:rPr>
        <w:t xml:space="preserve"> under 18 CFR </w:t>
      </w:r>
      <w:r w:rsidR="00D85D66">
        <w:rPr>
          <w:rFonts w:ascii="Times New Roman" w:hAnsi="Times New Roman"/>
          <w:bCs/>
          <w:sz w:val="26"/>
          <w:szCs w:val="24"/>
        </w:rPr>
        <w:t>4.34(i)</w:t>
      </w:r>
      <w:r w:rsidR="00186C73">
        <w:rPr>
          <w:rFonts w:ascii="Times New Roman" w:hAnsi="Times New Roman"/>
          <w:bCs/>
          <w:sz w:val="26"/>
          <w:szCs w:val="24"/>
        </w:rPr>
        <w:t>;</w:t>
      </w:r>
      <w:r w:rsidR="00E14734">
        <w:rPr>
          <w:rFonts w:ascii="Times New Roman" w:hAnsi="Times New Roman"/>
          <w:bCs/>
          <w:sz w:val="26"/>
          <w:szCs w:val="24"/>
        </w:rPr>
        <w:t xml:space="preserve"> or</w:t>
      </w:r>
      <w:r w:rsidR="00186C73">
        <w:rPr>
          <w:rFonts w:ascii="Times New Roman" w:hAnsi="Times New Roman"/>
          <w:bCs/>
          <w:sz w:val="26"/>
          <w:szCs w:val="24"/>
        </w:rPr>
        <w:t xml:space="preserve"> </w:t>
      </w:r>
    </w:p>
    <w:p w:rsidRPr="00DE02C3" w:rsidR="00DE02C3" w:rsidP="00552CAE" w:rsidRDefault="00D0781D" w14:paraId="5D21C2B3" w14:textId="2D7779D8">
      <w:pPr>
        <w:pStyle w:val="ListParagraph"/>
        <w:numPr>
          <w:ilvl w:val="0"/>
          <w:numId w:val="35"/>
        </w:numPr>
        <w:spacing w:after="0" w:line="240" w:lineRule="auto"/>
        <w:rPr>
          <w:rFonts w:ascii="Times New Roman" w:hAnsi="Times New Roman"/>
          <w:b/>
          <w:sz w:val="26"/>
          <w:szCs w:val="24"/>
        </w:rPr>
      </w:pPr>
      <w:r>
        <w:rPr>
          <w:rFonts w:ascii="Times New Roman" w:hAnsi="Times New Roman"/>
          <w:bCs/>
          <w:sz w:val="26"/>
          <w:szCs w:val="24"/>
        </w:rPr>
        <w:t xml:space="preserve">Integrated licensing procedures </w:t>
      </w:r>
      <w:r w:rsidR="000A5A6B">
        <w:rPr>
          <w:rFonts w:ascii="Times New Roman" w:hAnsi="Times New Roman"/>
          <w:bCs/>
          <w:iCs/>
          <w:sz w:val="26"/>
          <w:szCs w:val="24"/>
        </w:rPr>
        <w:t xml:space="preserve">(ILP) </w:t>
      </w:r>
      <w:r w:rsidR="00DE02C3">
        <w:rPr>
          <w:rFonts w:ascii="Times New Roman" w:hAnsi="Times New Roman"/>
          <w:bCs/>
          <w:sz w:val="26"/>
          <w:szCs w:val="24"/>
        </w:rPr>
        <w:t>under 18 CFR Part 5</w:t>
      </w:r>
      <w:r w:rsidRPr="00552CAE" w:rsidR="00DF4362">
        <w:rPr>
          <w:rFonts w:ascii="Times New Roman" w:hAnsi="Times New Roman"/>
          <w:bCs/>
          <w:sz w:val="26"/>
          <w:szCs w:val="24"/>
        </w:rPr>
        <w:t>.</w:t>
      </w:r>
    </w:p>
    <w:p w:rsidRPr="00DE02C3" w:rsidR="00DE02C3" w:rsidP="00DE02C3" w:rsidRDefault="00DE02C3" w14:paraId="282549F1" w14:textId="77777777">
      <w:pPr>
        <w:spacing w:after="0" w:line="240" w:lineRule="auto"/>
        <w:rPr>
          <w:rFonts w:ascii="Times New Roman" w:hAnsi="Times New Roman"/>
          <w:b/>
          <w:sz w:val="26"/>
          <w:szCs w:val="24"/>
        </w:rPr>
      </w:pPr>
    </w:p>
    <w:p w:rsidR="00844F7F" w:rsidP="00DE02C3" w:rsidRDefault="00DF4362" w14:paraId="1B7C3A76" w14:textId="3E20B17F">
      <w:pPr>
        <w:spacing w:after="0" w:line="240" w:lineRule="auto"/>
        <w:rPr>
          <w:rFonts w:ascii="Times New Roman" w:hAnsi="Times New Roman"/>
          <w:bCs/>
          <w:sz w:val="26"/>
          <w:szCs w:val="24"/>
        </w:rPr>
      </w:pPr>
      <w:r w:rsidRPr="00DE02C3">
        <w:rPr>
          <w:rFonts w:ascii="Times New Roman" w:hAnsi="Times New Roman"/>
          <w:bCs/>
          <w:sz w:val="26"/>
          <w:szCs w:val="24"/>
        </w:rPr>
        <w:t>The ILP is the default process and enables potential licenses to conduct pre-filing consultation and the Commission’s scoping process concurrently rather than sequentially.</w:t>
      </w:r>
    </w:p>
    <w:p w:rsidR="00844F7F" w:rsidP="00DE02C3" w:rsidRDefault="00844F7F" w14:paraId="0A24D8F8" w14:textId="77777777">
      <w:pPr>
        <w:spacing w:after="0" w:line="240" w:lineRule="auto"/>
        <w:rPr>
          <w:rFonts w:ascii="Times New Roman" w:hAnsi="Times New Roman"/>
          <w:bCs/>
          <w:sz w:val="26"/>
          <w:szCs w:val="24"/>
        </w:rPr>
      </w:pPr>
    </w:p>
    <w:p w:rsidRPr="00DE02C3" w:rsidR="00DF4362" w:rsidP="00DE02C3" w:rsidRDefault="00DF4362" w14:paraId="14A473FB" w14:textId="10E5DCD4">
      <w:pPr>
        <w:spacing w:after="0" w:line="240" w:lineRule="auto"/>
        <w:rPr>
          <w:rFonts w:ascii="Times New Roman" w:hAnsi="Times New Roman"/>
          <w:b/>
          <w:sz w:val="26"/>
          <w:szCs w:val="24"/>
        </w:rPr>
      </w:pPr>
      <w:r w:rsidRPr="00DE02C3">
        <w:rPr>
          <w:rFonts w:ascii="Times New Roman" w:hAnsi="Times New Roman"/>
          <w:bCs/>
          <w:sz w:val="26"/>
          <w:szCs w:val="24"/>
        </w:rPr>
        <w:t>After a</w:t>
      </w:r>
      <w:r w:rsidR="00F5060C">
        <w:rPr>
          <w:rFonts w:ascii="Times New Roman" w:hAnsi="Times New Roman"/>
          <w:bCs/>
          <w:sz w:val="26"/>
          <w:szCs w:val="24"/>
        </w:rPr>
        <w:t xml:space="preserve"> license</w:t>
      </w:r>
      <w:r w:rsidR="00442F48">
        <w:rPr>
          <w:rFonts w:ascii="Times New Roman" w:hAnsi="Times New Roman"/>
          <w:bCs/>
          <w:sz w:val="26"/>
          <w:szCs w:val="24"/>
        </w:rPr>
        <w:t>/relicense</w:t>
      </w:r>
      <w:r w:rsidRPr="00DE02C3">
        <w:rPr>
          <w:rFonts w:ascii="Times New Roman" w:hAnsi="Times New Roman"/>
          <w:bCs/>
          <w:sz w:val="26"/>
          <w:szCs w:val="24"/>
        </w:rPr>
        <w:t xml:space="preserve"> application for a </w:t>
      </w:r>
      <w:r w:rsidR="00F5060C">
        <w:rPr>
          <w:rFonts w:ascii="Times New Roman" w:hAnsi="Times New Roman"/>
          <w:bCs/>
          <w:sz w:val="26"/>
          <w:szCs w:val="24"/>
        </w:rPr>
        <w:t>water power project with more than 10 MW of installed capacity</w:t>
      </w:r>
      <w:r w:rsidRPr="00DE02C3">
        <w:rPr>
          <w:rFonts w:ascii="Times New Roman" w:hAnsi="Times New Roman"/>
          <w:bCs/>
          <w:sz w:val="26"/>
          <w:szCs w:val="24"/>
        </w:rPr>
        <w:t xml:space="preserve"> is filed, </w:t>
      </w:r>
      <w:r w:rsidR="00617141">
        <w:rPr>
          <w:rFonts w:ascii="Times New Roman" w:hAnsi="Times New Roman"/>
          <w:bCs/>
          <w:sz w:val="26"/>
          <w:szCs w:val="24"/>
        </w:rPr>
        <w:t>requests for additional studies, comments, and recomm</w:t>
      </w:r>
      <w:r w:rsidR="00B36C79">
        <w:rPr>
          <w:rFonts w:ascii="Times New Roman" w:hAnsi="Times New Roman"/>
          <w:bCs/>
          <w:sz w:val="26"/>
          <w:szCs w:val="24"/>
        </w:rPr>
        <w:t>endations for terms and conditions may be submitted by f</w:t>
      </w:r>
      <w:r w:rsidRPr="00DE02C3">
        <w:rPr>
          <w:rFonts w:ascii="Times New Roman" w:hAnsi="Times New Roman"/>
          <w:bCs/>
          <w:sz w:val="26"/>
          <w:szCs w:val="24"/>
        </w:rPr>
        <w:t xml:space="preserve">ederal </w:t>
      </w:r>
      <w:r w:rsidR="00B36C79">
        <w:rPr>
          <w:rFonts w:ascii="Times New Roman" w:hAnsi="Times New Roman"/>
          <w:bCs/>
          <w:sz w:val="26"/>
          <w:szCs w:val="24"/>
        </w:rPr>
        <w:t xml:space="preserve">resource </w:t>
      </w:r>
      <w:r w:rsidRPr="00DE02C3">
        <w:rPr>
          <w:rFonts w:ascii="Times New Roman" w:hAnsi="Times New Roman"/>
          <w:bCs/>
          <w:sz w:val="26"/>
          <w:szCs w:val="24"/>
        </w:rPr>
        <w:t>agencies</w:t>
      </w:r>
      <w:r w:rsidR="00B032A2">
        <w:rPr>
          <w:rFonts w:ascii="Times New Roman" w:hAnsi="Times New Roman"/>
          <w:bCs/>
          <w:sz w:val="26"/>
          <w:szCs w:val="24"/>
        </w:rPr>
        <w:t xml:space="preserve">, </w:t>
      </w:r>
      <w:r w:rsidR="0075395E">
        <w:rPr>
          <w:rFonts w:ascii="Times New Roman" w:hAnsi="Times New Roman"/>
          <w:bCs/>
          <w:sz w:val="26"/>
          <w:szCs w:val="24"/>
        </w:rPr>
        <w:t>s</w:t>
      </w:r>
      <w:r w:rsidRPr="00DE02C3">
        <w:rPr>
          <w:rFonts w:ascii="Times New Roman" w:hAnsi="Times New Roman"/>
          <w:bCs/>
          <w:sz w:val="26"/>
          <w:szCs w:val="24"/>
        </w:rPr>
        <w:t xml:space="preserve">tates, </w:t>
      </w:r>
      <w:r w:rsidR="00442F48">
        <w:rPr>
          <w:rFonts w:ascii="Times New Roman" w:hAnsi="Times New Roman"/>
          <w:bCs/>
          <w:sz w:val="26"/>
          <w:szCs w:val="24"/>
        </w:rPr>
        <w:t>Native American</w:t>
      </w:r>
      <w:r w:rsidRPr="00DE02C3" w:rsidR="00442F48">
        <w:rPr>
          <w:rFonts w:ascii="Times New Roman" w:hAnsi="Times New Roman"/>
          <w:bCs/>
          <w:sz w:val="26"/>
          <w:szCs w:val="24"/>
        </w:rPr>
        <w:t xml:space="preserve"> </w:t>
      </w:r>
      <w:r w:rsidR="00442F48">
        <w:rPr>
          <w:rFonts w:ascii="Times New Roman" w:hAnsi="Times New Roman"/>
          <w:bCs/>
          <w:sz w:val="26"/>
          <w:szCs w:val="24"/>
        </w:rPr>
        <w:t>T</w:t>
      </w:r>
      <w:r w:rsidRPr="00DE02C3">
        <w:rPr>
          <w:rFonts w:ascii="Times New Roman" w:hAnsi="Times New Roman"/>
          <w:bCs/>
          <w:sz w:val="26"/>
          <w:szCs w:val="24"/>
        </w:rPr>
        <w:t>ribes, and other participants</w:t>
      </w:r>
      <w:r w:rsidR="00B032A2">
        <w:rPr>
          <w:rFonts w:ascii="Times New Roman" w:hAnsi="Times New Roman"/>
          <w:bCs/>
          <w:sz w:val="26"/>
          <w:szCs w:val="24"/>
        </w:rPr>
        <w:t xml:space="preserve"> in the licensing process.</w:t>
      </w:r>
      <w:r w:rsidR="00432A57">
        <w:rPr>
          <w:rFonts w:ascii="Times New Roman" w:hAnsi="Times New Roman"/>
          <w:bCs/>
          <w:sz w:val="26"/>
          <w:szCs w:val="24"/>
        </w:rPr>
        <w:t xml:space="preserve">  In addition, some f</w:t>
      </w:r>
      <w:r w:rsidRPr="00DE02C3">
        <w:rPr>
          <w:rFonts w:ascii="Times New Roman" w:hAnsi="Times New Roman"/>
          <w:bCs/>
          <w:sz w:val="26"/>
          <w:szCs w:val="24"/>
        </w:rPr>
        <w:t xml:space="preserve">ederal agencies </w:t>
      </w:r>
      <w:r w:rsidR="00432A57">
        <w:rPr>
          <w:rFonts w:ascii="Times New Roman" w:hAnsi="Times New Roman"/>
          <w:bCs/>
          <w:sz w:val="26"/>
          <w:szCs w:val="24"/>
        </w:rPr>
        <w:t>have authority to prescribe mandatory conditions.</w:t>
      </w:r>
      <w:r w:rsidRPr="00DE02C3">
        <w:rPr>
          <w:rFonts w:ascii="Times New Roman" w:hAnsi="Times New Roman"/>
          <w:b/>
          <w:sz w:val="26"/>
          <w:szCs w:val="24"/>
        </w:rPr>
        <w:t xml:space="preserve">  </w:t>
      </w:r>
    </w:p>
    <w:p w:rsidRPr="00DF4362" w:rsidR="00DF4362" w:rsidP="00DF4362" w:rsidRDefault="00DF4362" w14:paraId="0402217B" w14:textId="77777777">
      <w:pPr>
        <w:spacing w:after="0" w:line="240" w:lineRule="auto"/>
        <w:rPr>
          <w:rFonts w:ascii="Times New Roman" w:hAnsi="Times New Roman"/>
          <w:b/>
          <w:sz w:val="26"/>
          <w:szCs w:val="24"/>
        </w:rPr>
      </w:pPr>
    </w:p>
    <w:p w:rsidR="00120E68" w:rsidP="00DF4362" w:rsidRDefault="00DF4362" w14:paraId="271892E9" w14:textId="042C9A96">
      <w:pPr>
        <w:spacing w:after="0" w:line="240" w:lineRule="auto"/>
        <w:rPr>
          <w:rFonts w:ascii="Times New Roman" w:hAnsi="Times New Roman"/>
          <w:bCs/>
          <w:sz w:val="26"/>
          <w:szCs w:val="24"/>
        </w:rPr>
      </w:pPr>
      <w:r w:rsidRPr="00DF4362">
        <w:rPr>
          <w:rFonts w:ascii="Times New Roman" w:hAnsi="Times New Roman"/>
          <w:b/>
          <w:sz w:val="26"/>
          <w:szCs w:val="24"/>
        </w:rPr>
        <w:t>FERC-505</w:t>
      </w:r>
      <w:r w:rsidRPr="00DF4362">
        <w:rPr>
          <w:rFonts w:ascii="Times New Roman" w:hAnsi="Times New Roman"/>
          <w:bCs/>
          <w:sz w:val="26"/>
          <w:szCs w:val="24"/>
        </w:rPr>
        <w:t xml:space="preserve">.  FERC-505 </w:t>
      </w:r>
      <w:r w:rsidR="00C80D60">
        <w:rPr>
          <w:rFonts w:ascii="Times New Roman" w:hAnsi="Times New Roman"/>
          <w:bCs/>
          <w:sz w:val="26"/>
          <w:szCs w:val="24"/>
        </w:rPr>
        <w:t xml:space="preserve">includes </w:t>
      </w:r>
      <w:r w:rsidR="00A57AA8">
        <w:rPr>
          <w:rFonts w:ascii="Times New Roman" w:hAnsi="Times New Roman"/>
          <w:bCs/>
          <w:sz w:val="26"/>
          <w:szCs w:val="24"/>
        </w:rPr>
        <w:t>applications</w:t>
      </w:r>
      <w:r w:rsidR="00C80D60">
        <w:rPr>
          <w:rFonts w:ascii="Times New Roman" w:hAnsi="Times New Roman"/>
          <w:bCs/>
          <w:sz w:val="26"/>
          <w:szCs w:val="24"/>
        </w:rPr>
        <w:t>, notices of intent,</w:t>
      </w:r>
      <w:r w:rsidR="00A57AA8">
        <w:rPr>
          <w:rFonts w:ascii="Times New Roman" w:hAnsi="Times New Roman"/>
          <w:bCs/>
          <w:sz w:val="26"/>
          <w:szCs w:val="24"/>
        </w:rPr>
        <w:t xml:space="preserve"> </w:t>
      </w:r>
      <w:r w:rsidR="00A77A19">
        <w:rPr>
          <w:rFonts w:ascii="Times New Roman" w:hAnsi="Times New Roman"/>
          <w:bCs/>
          <w:sz w:val="26"/>
          <w:szCs w:val="24"/>
        </w:rPr>
        <w:t xml:space="preserve">and related information collection activities </w:t>
      </w:r>
      <w:r w:rsidR="00120E68">
        <w:rPr>
          <w:rFonts w:ascii="Times New Roman" w:hAnsi="Times New Roman"/>
          <w:bCs/>
          <w:sz w:val="26"/>
          <w:szCs w:val="24"/>
        </w:rPr>
        <w:t>for:</w:t>
      </w:r>
    </w:p>
    <w:p w:rsidR="00120E68" w:rsidP="00DF4362" w:rsidRDefault="00120E68" w14:paraId="562202AB" w14:textId="77777777">
      <w:pPr>
        <w:spacing w:after="0" w:line="240" w:lineRule="auto"/>
        <w:rPr>
          <w:rFonts w:ascii="Times New Roman" w:hAnsi="Times New Roman"/>
          <w:bCs/>
          <w:sz w:val="26"/>
          <w:szCs w:val="24"/>
        </w:rPr>
      </w:pPr>
    </w:p>
    <w:p w:rsidR="00E3079D" w:rsidP="00C80D60" w:rsidRDefault="00AC19F9" w14:paraId="5DBC2AB1" w14:textId="77777777">
      <w:pPr>
        <w:pStyle w:val="ListParagraph"/>
        <w:numPr>
          <w:ilvl w:val="0"/>
          <w:numId w:val="36"/>
        </w:numPr>
        <w:spacing w:after="0" w:line="240" w:lineRule="auto"/>
        <w:rPr>
          <w:rFonts w:ascii="Times New Roman" w:hAnsi="Times New Roman"/>
          <w:bCs/>
          <w:sz w:val="26"/>
          <w:szCs w:val="24"/>
        </w:rPr>
      </w:pPr>
      <w:r>
        <w:rPr>
          <w:rFonts w:ascii="Times New Roman" w:hAnsi="Times New Roman"/>
          <w:bCs/>
          <w:sz w:val="26"/>
          <w:szCs w:val="24"/>
        </w:rPr>
        <w:t xml:space="preserve">Small </w:t>
      </w:r>
      <w:r w:rsidRPr="00C80D60" w:rsidR="00DF4362">
        <w:rPr>
          <w:rFonts w:ascii="Times New Roman" w:hAnsi="Times New Roman"/>
          <w:bCs/>
          <w:sz w:val="26"/>
          <w:szCs w:val="24"/>
        </w:rPr>
        <w:t>hydropower project license</w:t>
      </w:r>
      <w:r>
        <w:rPr>
          <w:rFonts w:ascii="Times New Roman" w:hAnsi="Times New Roman"/>
          <w:bCs/>
          <w:sz w:val="26"/>
          <w:szCs w:val="24"/>
        </w:rPr>
        <w:t>s</w:t>
      </w:r>
      <w:r w:rsidRPr="00C80D60" w:rsidR="00DF4362">
        <w:rPr>
          <w:rFonts w:ascii="Times New Roman" w:hAnsi="Times New Roman"/>
          <w:bCs/>
          <w:sz w:val="26"/>
          <w:szCs w:val="24"/>
        </w:rPr>
        <w:t xml:space="preserve"> </w:t>
      </w:r>
      <w:r>
        <w:rPr>
          <w:rFonts w:ascii="Times New Roman" w:hAnsi="Times New Roman"/>
          <w:bCs/>
          <w:sz w:val="26"/>
          <w:szCs w:val="24"/>
        </w:rPr>
        <w:t>and</w:t>
      </w:r>
      <w:r w:rsidRPr="00C80D60" w:rsidR="00DF4362">
        <w:rPr>
          <w:rFonts w:ascii="Times New Roman" w:hAnsi="Times New Roman"/>
          <w:bCs/>
          <w:sz w:val="26"/>
          <w:szCs w:val="24"/>
        </w:rPr>
        <w:t xml:space="preserve"> relicense</w:t>
      </w:r>
      <w:r>
        <w:rPr>
          <w:rFonts w:ascii="Times New Roman" w:hAnsi="Times New Roman"/>
          <w:bCs/>
          <w:sz w:val="26"/>
          <w:szCs w:val="24"/>
        </w:rPr>
        <w:t>s</w:t>
      </w:r>
      <w:r w:rsidR="00E3079D">
        <w:rPr>
          <w:rFonts w:ascii="Times New Roman" w:hAnsi="Times New Roman"/>
          <w:bCs/>
          <w:sz w:val="26"/>
          <w:szCs w:val="24"/>
        </w:rPr>
        <w:t>;</w:t>
      </w:r>
    </w:p>
    <w:p w:rsidR="007A5645" w:rsidP="00C80D60" w:rsidRDefault="007A5645" w14:paraId="170C1BDD" w14:textId="77777777">
      <w:pPr>
        <w:pStyle w:val="ListParagraph"/>
        <w:numPr>
          <w:ilvl w:val="0"/>
          <w:numId w:val="36"/>
        </w:numPr>
        <w:spacing w:after="0" w:line="240" w:lineRule="auto"/>
        <w:rPr>
          <w:rFonts w:ascii="Times New Roman" w:hAnsi="Times New Roman"/>
          <w:bCs/>
          <w:sz w:val="26"/>
          <w:szCs w:val="24"/>
        </w:rPr>
      </w:pPr>
      <w:r>
        <w:rPr>
          <w:rFonts w:ascii="Times New Roman" w:hAnsi="Times New Roman"/>
          <w:bCs/>
          <w:sz w:val="26"/>
          <w:szCs w:val="24"/>
        </w:rPr>
        <w:t>E</w:t>
      </w:r>
      <w:r w:rsidRPr="00C80D60" w:rsidR="00DF4362">
        <w:rPr>
          <w:rFonts w:ascii="Times New Roman" w:hAnsi="Times New Roman"/>
          <w:bCs/>
          <w:sz w:val="26"/>
          <w:szCs w:val="24"/>
        </w:rPr>
        <w:t>xemption</w:t>
      </w:r>
      <w:r>
        <w:rPr>
          <w:rFonts w:ascii="Times New Roman" w:hAnsi="Times New Roman"/>
          <w:bCs/>
          <w:sz w:val="26"/>
          <w:szCs w:val="24"/>
        </w:rPr>
        <w:t>s; and</w:t>
      </w:r>
    </w:p>
    <w:p w:rsidRPr="00C80D60" w:rsidR="00DF4362" w:rsidP="00C80D60" w:rsidRDefault="007A5645" w14:paraId="60CB0F1F" w14:textId="6D1A7BBD">
      <w:pPr>
        <w:pStyle w:val="ListParagraph"/>
        <w:numPr>
          <w:ilvl w:val="0"/>
          <w:numId w:val="36"/>
        </w:numPr>
        <w:spacing w:after="0" w:line="240" w:lineRule="auto"/>
        <w:rPr>
          <w:rFonts w:ascii="Times New Roman" w:hAnsi="Times New Roman"/>
          <w:bCs/>
          <w:sz w:val="26"/>
          <w:szCs w:val="24"/>
        </w:rPr>
      </w:pPr>
      <w:r>
        <w:rPr>
          <w:rFonts w:ascii="Times New Roman" w:hAnsi="Times New Roman"/>
          <w:bCs/>
          <w:sz w:val="26"/>
          <w:szCs w:val="24"/>
        </w:rPr>
        <w:t>D</w:t>
      </w:r>
      <w:r w:rsidRPr="00C80D60" w:rsidR="00DF4362">
        <w:rPr>
          <w:rFonts w:ascii="Times New Roman" w:hAnsi="Times New Roman"/>
          <w:bCs/>
          <w:sz w:val="26"/>
          <w:szCs w:val="24"/>
        </w:rPr>
        <w:t>etermination</w:t>
      </w:r>
      <w:r>
        <w:rPr>
          <w:rFonts w:ascii="Times New Roman" w:hAnsi="Times New Roman"/>
          <w:bCs/>
          <w:sz w:val="26"/>
          <w:szCs w:val="24"/>
        </w:rPr>
        <w:t>s</w:t>
      </w:r>
      <w:r w:rsidRPr="00C80D60" w:rsidR="00DF4362">
        <w:rPr>
          <w:rFonts w:ascii="Times New Roman" w:hAnsi="Times New Roman"/>
          <w:bCs/>
          <w:sz w:val="26"/>
          <w:szCs w:val="24"/>
        </w:rPr>
        <w:t xml:space="preserve"> of a qualifying conduit hydropower facility. </w:t>
      </w:r>
    </w:p>
    <w:p w:rsidRPr="00DF4362" w:rsidR="00DF4362" w:rsidP="00DF4362" w:rsidRDefault="00DF4362" w14:paraId="6910153D" w14:textId="77777777">
      <w:pPr>
        <w:spacing w:after="0" w:line="240" w:lineRule="auto"/>
        <w:rPr>
          <w:rFonts w:ascii="Times New Roman" w:hAnsi="Times New Roman"/>
          <w:bCs/>
          <w:sz w:val="26"/>
          <w:szCs w:val="24"/>
        </w:rPr>
      </w:pPr>
    </w:p>
    <w:p w:rsidRPr="001A70A7" w:rsidR="003E2B82" w:rsidP="00051E0F" w:rsidRDefault="00DF4362" w14:paraId="09884FE9" w14:textId="1B6453D0">
      <w:pPr>
        <w:spacing w:after="0" w:line="240" w:lineRule="auto"/>
        <w:rPr>
          <w:rFonts w:ascii="Times New Roman" w:hAnsi="Times New Roman"/>
          <w:bCs/>
          <w:sz w:val="26"/>
          <w:szCs w:val="24"/>
        </w:rPr>
      </w:pPr>
      <w:r w:rsidRPr="00DF4362">
        <w:rPr>
          <w:rFonts w:ascii="Times New Roman" w:hAnsi="Times New Roman"/>
          <w:bCs/>
          <w:i/>
          <w:sz w:val="26"/>
          <w:szCs w:val="24"/>
        </w:rPr>
        <w:t>Small Hydropower Project License</w:t>
      </w:r>
      <w:r w:rsidR="00CF417A">
        <w:rPr>
          <w:rFonts w:ascii="Times New Roman" w:hAnsi="Times New Roman"/>
          <w:bCs/>
          <w:i/>
          <w:sz w:val="26"/>
          <w:szCs w:val="24"/>
        </w:rPr>
        <w:t>s and Relice</w:t>
      </w:r>
      <w:r w:rsidR="00E67840">
        <w:rPr>
          <w:rFonts w:ascii="Times New Roman" w:hAnsi="Times New Roman"/>
          <w:bCs/>
          <w:i/>
          <w:sz w:val="26"/>
          <w:szCs w:val="24"/>
        </w:rPr>
        <w:t>nses</w:t>
      </w:r>
      <w:r w:rsidRPr="00DF4362">
        <w:rPr>
          <w:rFonts w:ascii="Times New Roman" w:hAnsi="Times New Roman"/>
          <w:bCs/>
          <w:i/>
          <w:sz w:val="26"/>
          <w:szCs w:val="24"/>
        </w:rPr>
        <w:t xml:space="preserve">.  </w:t>
      </w:r>
      <w:r w:rsidRPr="00DF4362">
        <w:rPr>
          <w:rFonts w:ascii="Times New Roman" w:hAnsi="Times New Roman"/>
          <w:bCs/>
          <w:sz w:val="26"/>
          <w:szCs w:val="24"/>
        </w:rPr>
        <w:t>Small hydropower projects are minor water power projects</w:t>
      </w:r>
      <w:r w:rsidRPr="00DF4362" w:rsidR="009734C1">
        <w:rPr>
          <w:rFonts w:ascii="Times New Roman" w:hAnsi="Times New Roman"/>
          <w:bCs/>
          <w:sz w:val="26"/>
          <w:szCs w:val="24"/>
          <w:vertAlign w:val="superscript"/>
        </w:rPr>
        <w:footnoteReference w:id="10"/>
      </w:r>
      <w:r w:rsidRPr="00DF4362">
        <w:rPr>
          <w:rFonts w:ascii="Times New Roman" w:hAnsi="Times New Roman"/>
          <w:bCs/>
          <w:sz w:val="26"/>
          <w:szCs w:val="24"/>
        </w:rPr>
        <w:t xml:space="preserve"> and major water power projects that have an installed capacity of </w:t>
      </w:r>
      <w:r w:rsidR="00B904AB">
        <w:rPr>
          <w:rFonts w:ascii="Times New Roman" w:hAnsi="Times New Roman"/>
          <w:bCs/>
          <w:sz w:val="26"/>
          <w:szCs w:val="24"/>
        </w:rPr>
        <w:t>10</w:t>
      </w:r>
      <w:r w:rsidRPr="00DF4362">
        <w:rPr>
          <w:rFonts w:ascii="Times New Roman" w:hAnsi="Times New Roman"/>
          <w:bCs/>
          <w:sz w:val="26"/>
          <w:szCs w:val="24"/>
        </w:rPr>
        <w:t xml:space="preserve"> MW or less.</w:t>
      </w:r>
      <w:r w:rsidR="00E67840">
        <w:rPr>
          <w:rFonts w:ascii="Times New Roman" w:hAnsi="Times New Roman"/>
          <w:bCs/>
          <w:sz w:val="26"/>
          <w:szCs w:val="24"/>
        </w:rPr>
        <w:t xml:space="preserve">  </w:t>
      </w:r>
    </w:p>
    <w:p w:rsidRPr="00DF4362" w:rsidR="00DF4362" w:rsidP="00DF4362" w:rsidRDefault="00DF4362" w14:paraId="437CD402" w14:textId="77777777">
      <w:pPr>
        <w:spacing w:after="0" w:line="240" w:lineRule="auto"/>
        <w:rPr>
          <w:rFonts w:ascii="Times New Roman" w:hAnsi="Times New Roman"/>
          <w:bCs/>
          <w:sz w:val="26"/>
          <w:szCs w:val="24"/>
        </w:rPr>
      </w:pPr>
    </w:p>
    <w:p w:rsidR="00027DC6" w:rsidP="00027DC6" w:rsidRDefault="00DF4362" w14:paraId="0A0945F1" w14:textId="68588C13">
      <w:pPr>
        <w:spacing w:after="0" w:line="240" w:lineRule="auto"/>
        <w:rPr>
          <w:rFonts w:ascii="Times New Roman" w:hAnsi="Times New Roman"/>
          <w:bCs/>
          <w:sz w:val="26"/>
          <w:szCs w:val="24"/>
        </w:rPr>
      </w:pPr>
      <w:r w:rsidRPr="00DF4362">
        <w:rPr>
          <w:rFonts w:ascii="Times New Roman" w:hAnsi="Times New Roman"/>
          <w:bCs/>
          <w:i/>
          <w:sz w:val="26"/>
          <w:szCs w:val="24"/>
        </w:rPr>
        <w:t xml:space="preserve">Exemptions.  </w:t>
      </w:r>
      <w:r w:rsidRPr="00DF4362">
        <w:rPr>
          <w:rFonts w:ascii="Times New Roman" w:hAnsi="Times New Roman"/>
          <w:bCs/>
          <w:sz w:val="26"/>
          <w:szCs w:val="24"/>
        </w:rPr>
        <w:t>A small hydroelectric project may be eligible for an exemption</w:t>
      </w:r>
      <w:r w:rsidR="00027DC6">
        <w:rPr>
          <w:rFonts w:ascii="Times New Roman" w:hAnsi="Times New Roman"/>
          <w:bCs/>
          <w:sz w:val="26"/>
          <w:szCs w:val="24"/>
        </w:rPr>
        <w:t xml:space="preserve"> which means that</w:t>
      </w:r>
      <w:r w:rsidR="00B72ED3">
        <w:rPr>
          <w:rFonts w:ascii="Times New Roman" w:hAnsi="Times New Roman"/>
          <w:sz w:val="26"/>
          <w:szCs w:val="24"/>
        </w:rPr>
        <w:t xml:space="preserve"> </w:t>
      </w:r>
      <w:r w:rsidR="00437EAF">
        <w:rPr>
          <w:rFonts w:ascii="Times New Roman" w:hAnsi="Times New Roman"/>
          <w:sz w:val="26"/>
          <w:szCs w:val="24"/>
        </w:rPr>
        <w:t xml:space="preserve">the Commission may </w:t>
      </w:r>
      <w:r w:rsidR="00ED2298">
        <w:rPr>
          <w:rFonts w:ascii="Times New Roman" w:hAnsi="Times New Roman"/>
          <w:sz w:val="26"/>
          <w:szCs w:val="24"/>
        </w:rPr>
        <w:t xml:space="preserve">exempt the applicant </w:t>
      </w:r>
      <w:r w:rsidRPr="0032216C" w:rsidR="00174CCC">
        <w:rPr>
          <w:rFonts w:ascii="Times New Roman" w:hAnsi="Times New Roman"/>
          <w:sz w:val="26"/>
          <w:szCs w:val="24"/>
        </w:rPr>
        <w:t>from all or some of the requirements of the FPA Part I.</w:t>
      </w:r>
      <w:r w:rsidR="00ED2298">
        <w:rPr>
          <w:rFonts w:ascii="Times New Roman" w:hAnsi="Times New Roman"/>
          <w:sz w:val="26"/>
          <w:szCs w:val="24"/>
        </w:rPr>
        <w:t xml:space="preserve">  </w:t>
      </w:r>
      <w:r w:rsidRPr="00984CB5" w:rsidR="00027DC6">
        <w:rPr>
          <w:rFonts w:ascii="Times New Roman" w:hAnsi="Times New Roman"/>
          <w:bCs/>
          <w:sz w:val="26"/>
          <w:szCs w:val="24"/>
        </w:rPr>
        <w:t xml:space="preserve">A </w:t>
      </w:r>
      <w:r w:rsidR="00027DC6">
        <w:rPr>
          <w:rFonts w:ascii="Times New Roman" w:hAnsi="Times New Roman"/>
          <w:bCs/>
          <w:sz w:val="26"/>
          <w:szCs w:val="24"/>
        </w:rPr>
        <w:t xml:space="preserve">small </w:t>
      </w:r>
      <w:r w:rsidRPr="00984CB5" w:rsidR="00027DC6">
        <w:rPr>
          <w:rFonts w:ascii="Times New Roman" w:hAnsi="Times New Roman"/>
          <w:bCs/>
          <w:sz w:val="26"/>
          <w:szCs w:val="24"/>
        </w:rPr>
        <w:t>conduit</w:t>
      </w:r>
      <w:r w:rsidR="00027DC6">
        <w:rPr>
          <w:rFonts w:ascii="Times New Roman" w:hAnsi="Times New Roman"/>
          <w:bCs/>
          <w:sz w:val="26"/>
          <w:szCs w:val="24"/>
        </w:rPr>
        <w:t xml:space="preserve"> hydroelectric facility</w:t>
      </w:r>
      <w:r w:rsidRPr="00984CB5" w:rsidR="00027DC6">
        <w:rPr>
          <w:rFonts w:ascii="Times New Roman" w:hAnsi="Times New Roman"/>
          <w:bCs/>
          <w:sz w:val="26"/>
          <w:szCs w:val="24"/>
        </w:rPr>
        <w:t xml:space="preserve"> exemption, as defined in section 30 of the FPA,</w:t>
      </w:r>
      <w:r w:rsidRPr="00984CB5" w:rsidR="00027DC6">
        <w:rPr>
          <w:rFonts w:ascii="Times New Roman" w:hAnsi="Times New Roman"/>
          <w:bCs/>
          <w:sz w:val="26"/>
          <w:szCs w:val="24"/>
          <w:vertAlign w:val="superscript"/>
        </w:rPr>
        <w:footnoteReference w:id="11"/>
      </w:r>
      <w:r w:rsidRPr="00984CB5" w:rsidR="00027DC6">
        <w:rPr>
          <w:rFonts w:ascii="Times New Roman" w:hAnsi="Times New Roman"/>
          <w:b/>
          <w:bCs/>
          <w:sz w:val="26"/>
          <w:szCs w:val="24"/>
        </w:rPr>
        <w:t xml:space="preserve"> </w:t>
      </w:r>
      <w:r w:rsidRPr="00984CB5" w:rsidR="00027DC6">
        <w:rPr>
          <w:rFonts w:ascii="Times New Roman" w:hAnsi="Times New Roman"/>
          <w:bCs/>
          <w:sz w:val="26"/>
          <w:szCs w:val="24"/>
        </w:rPr>
        <w:t>is an existing or proposed hydroelectric facility that utilizes for electric power generation the hydroelectric potential of a conduit, or any tunnel, canal, pipeline, aqueduct, flume, ditch, or similar manmade water conveyance that is not primarily used for the generation of electricity.</w:t>
      </w:r>
      <w:r w:rsidR="00027DC6">
        <w:rPr>
          <w:rFonts w:ascii="Times New Roman" w:hAnsi="Times New Roman"/>
          <w:bCs/>
          <w:sz w:val="26"/>
          <w:szCs w:val="24"/>
        </w:rPr>
        <w:t xml:space="preserve">  </w:t>
      </w:r>
      <w:r w:rsidRPr="00DF4362" w:rsidR="00027DC6">
        <w:rPr>
          <w:rFonts w:ascii="Times New Roman" w:hAnsi="Times New Roman"/>
          <w:bCs/>
          <w:sz w:val="26"/>
          <w:szCs w:val="24"/>
        </w:rPr>
        <w:t xml:space="preserve">A </w:t>
      </w:r>
      <w:r w:rsidR="00BA4E55">
        <w:rPr>
          <w:rFonts w:ascii="Times New Roman" w:hAnsi="Times New Roman"/>
          <w:iCs/>
          <w:sz w:val="26"/>
          <w:szCs w:val="24"/>
        </w:rPr>
        <w:t>s</w:t>
      </w:r>
      <w:r w:rsidRPr="00BB5295" w:rsidR="00BA4E55">
        <w:rPr>
          <w:rFonts w:ascii="Times New Roman" w:hAnsi="Times New Roman"/>
          <w:iCs/>
          <w:sz w:val="26"/>
          <w:szCs w:val="24"/>
        </w:rPr>
        <w:t xml:space="preserve">mall </w:t>
      </w:r>
      <w:r w:rsidR="00BA4E55">
        <w:rPr>
          <w:rFonts w:ascii="Times New Roman" w:hAnsi="Times New Roman"/>
          <w:iCs/>
          <w:sz w:val="26"/>
          <w:szCs w:val="24"/>
        </w:rPr>
        <w:t>h</w:t>
      </w:r>
      <w:r w:rsidRPr="00BB5295" w:rsidR="00BA4E55">
        <w:rPr>
          <w:rFonts w:ascii="Times New Roman" w:hAnsi="Times New Roman"/>
          <w:iCs/>
          <w:sz w:val="26"/>
          <w:szCs w:val="24"/>
        </w:rPr>
        <w:t xml:space="preserve">ydroelectric </w:t>
      </w:r>
      <w:r w:rsidR="00BA4E55">
        <w:rPr>
          <w:rFonts w:ascii="Times New Roman" w:hAnsi="Times New Roman"/>
          <w:iCs/>
          <w:sz w:val="26"/>
          <w:szCs w:val="24"/>
        </w:rPr>
        <w:t>p</w:t>
      </w:r>
      <w:r w:rsidRPr="00BB5295" w:rsidR="00BA4E55">
        <w:rPr>
          <w:rFonts w:ascii="Times New Roman" w:hAnsi="Times New Roman"/>
          <w:iCs/>
          <w:sz w:val="26"/>
          <w:szCs w:val="24"/>
        </w:rPr>
        <w:t xml:space="preserve">ower </w:t>
      </w:r>
      <w:r w:rsidR="00BA4E55">
        <w:rPr>
          <w:rFonts w:ascii="Times New Roman" w:hAnsi="Times New Roman"/>
          <w:iCs/>
          <w:sz w:val="26"/>
          <w:szCs w:val="24"/>
        </w:rPr>
        <w:t>p</w:t>
      </w:r>
      <w:r w:rsidRPr="00BB5295" w:rsidR="00BA4E55">
        <w:rPr>
          <w:rFonts w:ascii="Times New Roman" w:hAnsi="Times New Roman"/>
          <w:iCs/>
          <w:sz w:val="26"/>
          <w:szCs w:val="24"/>
        </w:rPr>
        <w:t xml:space="preserve">roject of 10 </w:t>
      </w:r>
      <w:r w:rsidR="00BA4E55">
        <w:rPr>
          <w:rFonts w:ascii="Times New Roman" w:hAnsi="Times New Roman"/>
          <w:iCs/>
          <w:sz w:val="26"/>
          <w:szCs w:val="24"/>
        </w:rPr>
        <w:t>m</w:t>
      </w:r>
      <w:r w:rsidRPr="00BB5295" w:rsidR="00BA4E55">
        <w:rPr>
          <w:rFonts w:ascii="Times New Roman" w:hAnsi="Times New Roman"/>
          <w:iCs/>
          <w:sz w:val="26"/>
          <w:szCs w:val="24"/>
        </w:rPr>
        <w:t xml:space="preserve">egawatts or </w:t>
      </w:r>
      <w:r w:rsidR="00BA4E55">
        <w:rPr>
          <w:rFonts w:ascii="Times New Roman" w:hAnsi="Times New Roman"/>
          <w:iCs/>
          <w:sz w:val="26"/>
          <w:szCs w:val="24"/>
        </w:rPr>
        <w:t>l</w:t>
      </w:r>
      <w:r w:rsidRPr="00BB5295" w:rsidR="00BA4E55">
        <w:rPr>
          <w:rFonts w:ascii="Times New Roman" w:hAnsi="Times New Roman"/>
          <w:iCs/>
          <w:sz w:val="26"/>
          <w:szCs w:val="24"/>
        </w:rPr>
        <w:t>ess</w:t>
      </w:r>
      <w:r w:rsidRPr="00DF4362" w:rsidR="00027DC6">
        <w:rPr>
          <w:rFonts w:ascii="Times New Roman" w:hAnsi="Times New Roman"/>
          <w:bCs/>
          <w:sz w:val="26"/>
          <w:szCs w:val="24"/>
        </w:rPr>
        <w:t xml:space="preserve">, as defined in </w:t>
      </w:r>
      <w:r w:rsidRPr="0032216C" w:rsidR="00027DC6">
        <w:rPr>
          <w:rFonts w:ascii="Times New Roman" w:hAnsi="Times New Roman"/>
          <w:sz w:val="26"/>
          <w:szCs w:val="24"/>
        </w:rPr>
        <w:t xml:space="preserve">section 405(d) of </w:t>
      </w:r>
      <w:r w:rsidR="00027DC6">
        <w:rPr>
          <w:rFonts w:ascii="Times New Roman" w:hAnsi="Times New Roman"/>
          <w:sz w:val="26"/>
          <w:szCs w:val="24"/>
        </w:rPr>
        <w:t>PURPA,</w:t>
      </w:r>
      <w:r w:rsidRPr="0032216C" w:rsidR="00027DC6">
        <w:rPr>
          <w:rStyle w:val="FootnoteReference"/>
          <w:rFonts w:ascii="Times New Roman" w:hAnsi="Times New Roman"/>
          <w:sz w:val="26"/>
          <w:szCs w:val="24"/>
          <w:vertAlign w:val="superscript"/>
        </w:rPr>
        <w:footnoteReference w:id="12"/>
      </w:r>
      <w:r w:rsidRPr="00DF4362" w:rsidR="00027DC6">
        <w:rPr>
          <w:rFonts w:ascii="Times New Roman" w:hAnsi="Times New Roman"/>
          <w:bCs/>
          <w:sz w:val="26"/>
          <w:szCs w:val="24"/>
        </w:rPr>
        <w:t xml:space="preserve"> is a project that utilizes the water potential of either an existing non-federal dam or a natural water feature (e.g., natural lake, water fall, gradient of a stream, etc.) without the need for a dam or man-made impoundment.</w:t>
      </w:r>
    </w:p>
    <w:p w:rsidRPr="00DF4362" w:rsidR="00DF4362" w:rsidP="00DF4362" w:rsidRDefault="00DF4362" w14:paraId="21EEC233" w14:textId="6412EF88">
      <w:pPr>
        <w:spacing w:after="0" w:line="240" w:lineRule="auto"/>
        <w:rPr>
          <w:rFonts w:ascii="Times New Roman" w:hAnsi="Times New Roman"/>
          <w:bCs/>
          <w:sz w:val="26"/>
          <w:szCs w:val="24"/>
        </w:rPr>
      </w:pPr>
    </w:p>
    <w:p w:rsidR="00DF4362" w:rsidP="00DF4362" w:rsidRDefault="00027DC6" w14:paraId="6892F5F5" w14:textId="5883D986">
      <w:pPr>
        <w:spacing w:after="0" w:line="240" w:lineRule="auto"/>
        <w:rPr>
          <w:rFonts w:ascii="Times New Roman" w:hAnsi="Times New Roman"/>
          <w:bCs/>
          <w:sz w:val="26"/>
          <w:szCs w:val="24"/>
        </w:rPr>
      </w:pPr>
      <w:r w:rsidRPr="00051E0F">
        <w:rPr>
          <w:rFonts w:ascii="Times New Roman" w:hAnsi="Times New Roman"/>
          <w:bCs/>
          <w:i/>
          <w:iCs/>
          <w:sz w:val="26"/>
          <w:szCs w:val="24"/>
        </w:rPr>
        <w:t xml:space="preserve">Determinations of a qualifying conduit hydropower facility.  </w:t>
      </w:r>
      <w:r w:rsidRPr="00DF4362" w:rsidR="00DF4362">
        <w:rPr>
          <w:rFonts w:ascii="Times New Roman" w:hAnsi="Times New Roman"/>
          <w:bCs/>
          <w:sz w:val="26"/>
          <w:szCs w:val="24"/>
        </w:rPr>
        <w:t xml:space="preserve">A </w:t>
      </w:r>
      <w:r w:rsidR="00DA761B">
        <w:rPr>
          <w:rFonts w:ascii="Times New Roman" w:hAnsi="Times New Roman"/>
          <w:bCs/>
          <w:sz w:val="26"/>
          <w:szCs w:val="24"/>
        </w:rPr>
        <w:t xml:space="preserve">qualifying </w:t>
      </w:r>
      <w:r w:rsidR="00DD4CCF">
        <w:rPr>
          <w:rFonts w:ascii="Times New Roman" w:hAnsi="Times New Roman"/>
          <w:bCs/>
          <w:sz w:val="26"/>
          <w:szCs w:val="24"/>
        </w:rPr>
        <w:t>conduit hydropower facility,</w:t>
      </w:r>
      <w:r w:rsidRPr="00DF4362" w:rsidR="00DF4362">
        <w:rPr>
          <w:rFonts w:ascii="Times New Roman" w:hAnsi="Times New Roman"/>
          <w:bCs/>
          <w:sz w:val="26"/>
          <w:szCs w:val="24"/>
        </w:rPr>
        <w:t xml:space="preserve"> as defined </w:t>
      </w:r>
      <w:r w:rsidR="001355F6">
        <w:rPr>
          <w:rFonts w:ascii="Times New Roman" w:hAnsi="Times New Roman"/>
          <w:bCs/>
          <w:sz w:val="26"/>
          <w:szCs w:val="24"/>
        </w:rPr>
        <w:t>in</w:t>
      </w:r>
      <w:r w:rsidRPr="00DF4362" w:rsidR="00DF4362">
        <w:rPr>
          <w:rFonts w:ascii="Times New Roman" w:hAnsi="Times New Roman"/>
          <w:bCs/>
          <w:sz w:val="26"/>
          <w:szCs w:val="24"/>
        </w:rPr>
        <w:t xml:space="preserve"> section 30 of the FPA,</w:t>
      </w:r>
      <w:r w:rsidRPr="00DF4362" w:rsidR="00DF4362">
        <w:rPr>
          <w:rFonts w:ascii="Times New Roman" w:hAnsi="Times New Roman"/>
          <w:bCs/>
          <w:sz w:val="26"/>
          <w:szCs w:val="24"/>
          <w:vertAlign w:val="superscript"/>
        </w:rPr>
        <w:footnoteReference w:id="13"/>
      </w:r>
      <w:r w:rsidRPr="00DF4362" w:rsidR="00DF4362">
        <w:rPr>
          <w:rFonts w:ascii="Times New Roman" w:hAnsi="Times New Roman"/>
          <w:bCs/>
          <w:sz w:val="26"/>
          <w:szCs w:val="24"/>
        </w:rPr>
        <w:t xml:space="preserve"> is a proposed hydroelectric facility that utilizes for electric power generation the hydroelectric potential of a conduit, or any tunnel, canal, pipeline, aqueduct, flume, ditch, or similar manmade water conveyance that is not primarily used for the generation of electricity.</w:t>
      </w:r>
      <w:r w:rsidR="003D2964">
        <w:rPr>
          <w:rFonts w:ascii="Times New Roman" w:hAnsi="Times New Roman"/>
          <w:bCs/>
          <w:sz w:val="26"/>
          <w:szCs w:val="24"/>
        </w:rPr>
        <w:t xml:space="preserve">  </w:t>
      </w:r>
      <w:r w:rsidR="00605439">
        <w:rPr>
          <w:rFonts w:ascii="Times New Roman" w:hAnsi="Times New Roman"/>
          <w:bCs/>
          <w:sz w:val="26"/>
          <w:szCs w:val="24"/>
        </w:rPr>
        <w:t>A</w:t>
      </w:r>
      <w:r w:rsidR="00FE2030">
        <w:rPr>
          <w:rFonts w:ascii="Times New Roman" w:hAnsi="Times New Roman"/>
          <w:bCs/>
          <w:sz w:val="26"/>
          <w:szCs w:val="24"/>
        </w:rPr>
        <w:t xml:space="preserve"> </w:t>
      </w:r>
      <w:r w:rsidRPr="0089121E" w:rsidR="00FE2030">
        <w:rPr>
          <w:rFonts w:ascii="Times New Roman" w:hAnsi="Times New Roman"/>
          <w:sz w:val="26"/>
          <w:szCs w:val="24"/>
        </w:rPr>
        <w:t>Notice of Intent to Construct Qualifying Conduit Hydropower Facilities under 18 CFR 4.401</w:t>
      </w:r>
      <w:r w:rsidR="006E1BB6">
        <w:rPr>
          <w:rFonts w:ascii="Times New Roman" w:hAnsi="Times New Roman"/>
          <w:sz w:val="26"/>
          <w:szCs w:val="24"/>
        </w:rPr>
        <w:t>, which is discussed above, is required in order to</w:t>
      </w:r>
      <w:r w:rsidR="0019220A">
        <w:rPr>
          <w:rFonts w:ascii="Times New Roman" w:hAnsi="Times New Roman"/>
          <w:sz w:val="26"/>
          <w:szCs w:val="24"/>
        </w:rPr>
        <w:t xml:space="preserve"> seek a determination by the Commission that the </w:t>
      </w:r>
      <w:r w:rsidR="00BB7695">
        <w:rPr>
          <w:rFonts w:ascii="Times New Roman" w:hAnsi="Times New Roman"/>
          <w:sz w:val="26"/>
          <w:szCs w:val="24"/>
        </w:rPr>
        <w:t xml:space="preserve">proposed facility is in accordance with criteria listed at section 30 of the FPA.  </w:t>
      </w:r>
      <w:r w:rsidR="00C467A4">
        <w:rPr>
          <w:rFonts w:ascii="Times New Roman" w:hAnsi="Times New Roman"/>
          <w:sz w:val="26"/>
          <w:szCs w:val="24"/>
        </w:rPr>
        <w:t xml:space="preserve">If the Commission issues such a determination, the </w:t>
      </w:r>
      <w:r w:rsidR="00EE6C17">
        <w:rPr>
          <w:rFonts w:ascii="Times New Roman" w:hAnsi="Times New Roman"/>
          <w:sz w:val="26"/>
          <w:szCs w:val="24"/>
        </w:rPr>
        <w:t xml:space="preserve">facility is </w:t>
      </w:r>
      <w:r w:rsidR="00F85505">
        <w:rPr>
          <w:rFonts w:ascii="Times New Roman" w:hAnsi="Times New Roman"/>
          <w:sz w:val="26"/>
          <w:szCs w:val="24"/>
        </w:rPr>
        <w:t>not required to be licensed or exempted by the Commission</w:t>
      </w:r>
      <w:r w:rsidR="0074177A">
        <w:rPr>
          <w:rFonts w:ascii="Times New Roman" w:hAnsi="Times New Roman"/>
          <w:sz w:val="26"/>
          <w:szCs w:val="24"/>
        </w:rPr>
        <w:t xml:space="preserve"> under Part I of the FPA.</w:t>
      </w:r>
    </w:p>
    <w:p w:rsidR="006D4DD0" w:rsidP="00DF4362" w:rsidRDefault="006D4DD0" w14:paraId="33103A5C" w14:textId="77777777">
      <w:pPr>
        <w:spacing w:after="0" w:line="240" w:lineRule="auto"/>
        <w:rPr>
          <w:rFonts w:ascii="Times New Roman" w:hAnsi="Times New Roman"/>
          <w:bCs/>
          <w:sz w:val="26"/>
          <w:szCs w:val="24"/>
        </w:rPr>
      </w:pPr>
    </w:p>
    <w:p w:rsidRPr="0032216C" w:rsidR="00471F97" w:rsidP="00913164" w:rsidRDefault="00471F97" w14:paraId="46D306A6"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DESCRIBE ANY CONSIDERATION OF THE USE OF IMPROVED INFORMATION TECHNOLOGY TO REDUCE THE BURDEN AND TECHNICAL OR LEGAL OBSTACLES TO REDUCING BURDEN</w:t>
      </w:r>
    </w:p>
    <w:p w:rsidRPr="0032216C" w:rsidR="00471F97" w:rsidP="00913164" w:rsidRDefault="00471F97" w14:paraId="28B2DB08" w14:textId="77777777">
      <w:pPr>
        <w:spacing w:after="0" w:line="240" w:lineRule="auto"/>
        <w:ind w:left="360" w:hanging="360"/>
        <w:rPr>
          <w:rFonts w:ascii="Times New Roman" w:hAnsi="Times New Roman"/>
          <w:sz w:val="26"/>
          <w:szCs w:val="24"/>
        </w:rPr>
      </w:pPr>
    </w:p>
    <w:p w:rsidRPr="0032216C" w:rsidR="00BF189C" w:rsidP="007445A8" w:rsidRDefault="00F0627E" w14:paraId="6A28C00E" w14:textId="77777777">
      <w:pPr>
        <w:spacing w:after="0" w:line="240" w:lineRule="auto"/>
        <w:rPr>
          <w:rFonts w:ascii="Times New Roman" w:hAnsi="Times New Roman"/>
          <w:sz w:val="26"/>
          <w:szCs w:val="24"/>
        </w:rPr>
      </w:pPr>
      <w:r w:rsidRPr="0032216C">
        <w:rPr>
          <w:rFonts w:ascii="Times New Roman" w:hAnsi="Times New Roman"/>
          <w:sz w:val="26"/>
          <w:szCs w:val="24"/>
        </w:rPr>
        <w:t>FERC continually considers the use of improved information technology to reduce burden in the filing requirements for submission of information.</w:t>
      </w:r>
      <w:r w:rsidRPr="0032216C" w:rsidR="001360DE">
        <w:rPr>
          <w:rFonts w:ascii="Times New Roman" w:hAnsi="Times New Roman"/>
          <w:sz w:val="26"/>
          <w:szCs w:val="24"/>
        </w:rPr>
        <w:t xml:space="preserve">  </w:t>
      </w:r>
    </w:p>
    <w:p w:rsidRPr="0032216C" w:rsidR="00F0627E" w:rsidP="007445A8" w:rsidRDefault="00F0627E" w14:paraId="385CD8FD" w14:textId="77777777">
      <w:pPr>
        <w:tabs>
          <w:tab w:val="left" w:pos="2508"/>
        </w:tabs>
        <w:spacing w:after="0" w:line="240" w:lineRule="auto"/>
        <w:rPr>
          <w:rFonts w:ascii="Times New Roman" w:hAnsi="Times New Roman"/>
          <w:sz w:val="26"/>
          <w:szCs w:val="24"/>
        </w:rPr>
      </w:pPr>
    </w:p>
    <w:p w:rsidRPr="0032216C" w:rsidR="00471F97" w:rsidP="007445A8" w:rsidRDefault="001360DE" w14:paraId="5CFD3E12" w14:textId="584169A3">
      <w:pPr>
        <w:spacing w:line="240" w:lineRule="auto"/>
        <w:rPr>
          <w:rFonts w:ascii="Times New Roman" w:hAnsi="Times New Roman"/>
          <w:sz w:val="26"/>
          <w:szCs w:val="24"/>
        </w:rPr>
      </w:pPr>
      <w:r w:rsidRPr="0032216C">
        <w:rPr>
          <w:rFonts w:ascii="Times New Roman" w:hAnsi="Times New Roman"/>
          <w:sz w:val="26"/>
          <w:szCs w:val="24"/>
        </w:rPr>
        <w:t>In addition, t</w:t>
      </w:r>
      <w:r w:rsidRPr="0032216C" w:rsidR="00F0627E">
        <w:rPr>
          <w:rFonts w:ascii="Times New Roman" w:hAnsi="Times New Roman"/>
          <w:sz w:val="26"/>
          <w:szCs w:val="24"/>
        </w:rPr>
        <w:t xml:space="preserve">he Commission </w:t>
      </w:r>
      <w:r w:rsidRPr="0032216C" w:rsidR="00855994">
        <w:rPr>
          <w:rFonts w:ascii="Times New Roman" w:hAnsi="Times New Roman"/>
          <w:sz w:val="26"/>
          <w:szCs w:val="24"/>
        </w:rPr>
        <w:t>allows</w:t>
      </w:r>
      <w:r w:rsidRPr="0032216C" w:rsidR="00F0627E">
        <w:rPr>
          <w:rFonts w:ascii="Times New Roman" w:hAnsi="Times New Roman"/>
          <w:sz w:val="26"/>
          <w:szCs w:val="24"/>
        </w:rPr>
        <w:t xml:space="preserve"> </w:t>
      </w:r>
      <w:r w:rsidRPr="0032216C">
        <w:rPr>
          <w:rFonts w:ascii="Times New Roman" w:hAnsi="Times New Roman"/>
          <w:sz w:val="26"/>
          <w:szCs w:val="24"/>
        </w:rPr>
        <w:t xml:space="preserve">eFiling for the FERC-500 and FERC-505 </w:t>
      </w:r>
      <w:r w:rsidRPr="0032216C" w:rsidR="003D33F0">
        <w:rPr>
          <w:rFonts w:ascii="Times New Roman" w:hAnsi="Times New Roman"/>
          <w:sz w:val="26"/>
          <w:szCs w:val="24"/>
        </w:rPr>
        <w:t>information collection requirements (</w:t>
      </w:r>
      <w:r w:rsidRPr="0032216C" w:rsidR="000F7994">
        <w:rPr>
          <w:rFonts w:ascii="Times New Roman" w:hAnsi="Times New Roman"/>
          <w:sz w:val="26"/>
          <w:szCs w:val="24"/>
        </w:rPr>
        <w:t>e.g</w:t>
      </w:r>
      <w:r w:rsidRPr="0032216C" w:rsidR="003D33F0">
        <w:rPr>
          <w:rFonts w:ascii="Times New Roman" w:hAnsi="Times New Roman"/>
          <w:sz w:val="26"/>
          <w:szCs w:val="24"/>
        </w:rPr>
        <w:t>.</w:t>
      </w:r>
      <w:r w:rsidRPr="0032216C" w:rsidR="000F7994">
        <w:rPr>
          <w:rFonts w:ascii="Times New Roman" w:hAnsi="Times New Roman"/>
          <w:sz w:val="26"/>
          <w:szCs w:val="24"/>
        </w:rPr>
        <w:t>,</w:t>
      </w:r>
      <w:r w:rsidRPr="0032216C" w:rsidR="003D33F0">
        <w:rPr>
          <w:rFonts w:ascii="Times New Roman" w:hAnsi="Times New Roman"/>
          <w:sz w:val="26"/>
          <w:szCs w:val="24"/>
        </w:rPr>
        <w:t xml:space="preserve"> </w:t>
      </w:r>
      <w:r w:rsidRPr="0032216C" w:rsidR="00F0627E">
        <w:rPr>
          <w:rFonts w:ascii="Times New Roman" w:hAnsi="Times New Roman"/>
          <w:sz w:val="26"/>
          <w:szCs w:val="24"/>
        </w:rPr>
        <w:t>application</w:t>
      </w:r>
      <w:r w:rsidRPr="0032216C" w:rsidR="00D66646">
        <w:rPr>
          <w:rFonts w:ascii="Times New Roman" w:hAnsi="Times New Roman"/>
          <w:sz w:val="26"/>
          <w:szCs w:val="24"/>
        </w:rPr>
        <w:t>s</w:t>
      </w:r>
      <w:r w:rsidRPr="0032216C" w:rsidR="003D33F0">
        <w:rPr>
          <w:rFonts w:ascii="Times New Roman" w:hAnsi="Times New Roman"/>
          <w:sz w:val="26"/>
          <w:szCs w:val="24"/>
        </w:rPr>
        <w:t>)</w:t>
      </w:r>
      <w:r w:rsidRPr="0032216C" w:rsidR="00F0627E">
        <w:rPr>
          <w:rFonts w:ascii="Times New Roman" w:hAnsi="Times New Roman"/>
          <w:sz w:val="26"/>
          <w:szCs w:val="24"/>
        </w:rPr>
        <w:t>.</w:t>
      </w:r>
      <w:r w:rsidRPr="0032216C">
        <w:rPr>
          <w:rFonts w:ascii="Times New Roman" w:hAnsi="Times New Roman"/>
          <w:sz w:val="26"/>
          <w:szCs w:val="24"/>
        </w:rPr>
        <w:t xml:space="preserve">  </w:t>
      </w:r>
      <w:r w:rsidRPr="0032216C" w:rsidR="00455370">
        <w:rPr>
          <w:rFonts w:ascii="Times New Roman" w:hAnsi="Times New Roman"/>
          <w:sz w:val="26"/>
          <w:szCs w:val="24"/>
        </w:rPr>
        <w:t>Applicants interested in pursuing the expe</w:t>
      </w:r>
      <w:r w:rsidRPr="0032216C" w:rsidR="00663C3C">
        <w:rPr>
          <w:rFonts w:ascii="Times New Roman" w:hAnsi="Times New Roman"/>
          <w:sz w:val="26"/>
          <w:szCs w:val="24"/>
        </w:rPr>
        <w:t xml:space="preserve">dited licensing process approved in the </w:t>
      </w:r>
      <w:r w:rsidRPr="0032216C" w:rsidR="00622E10">
        <w:rPr>
          <w:rFonts w:ascii="Times New Roman" w:hAnsi="Times New Roman"/>
          <w:sz w:val="26"/>
          <w:szCs w:val="24"/>
        </w:rPr>
        <w:t>NOPR</w:t>
      </w:r>
      <w:r w:rsidRPr="0032216C" w:rsidR="00663C3C">
        <w:rPr>
          <w:rFonts w:ascii="Times New Roman" w:hAnsi="Times New Roman"/>
          <w:sz w:val="26"/>
          <w:szCs w:val="24"/>
        </w:rPr>
        <w:t xml:space="preserve"> </w:t>
      </w:r>
      <w:r w:rsidRPr="0032216C" w:rsidR="00455370">
        <w:rPr>
          <w:rFonts w:ascii="Times New Roman" w:hAnsi="Times New Roman"/>
          <w:sz w:val="26"/>
          <w:szCs w:val="24"/>
        </w:rPr>
        <w:t xml:space="preserve">may electronically file requests to use the expedited licensing process.   </w:t>
      </w:r>
      <w:r w:rsidRPr="0032216C">
        <w:rPr>
          <w:rFonts w:ascii="Times New Roman" w:hAnsi="Times New Roman"/>
          <w:sz w:val="26"/>
          <w:szCs w:val="24"/>
        </w:rPr>
        <w:t xml:space="preserve"> </w:t>
      </w:r>
    </w:p>
    <w:p w:rsidRPr="0032216C" w:rsidR="00F0627E" w:rsidP="00913164" w:rsidRDefault="00F0627E" w14:paraId="7A432269"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DESCRIBE EFFORTS TO IDENTIFY DUPLICATION AND SHOW SPECIFICALLY WHY ANY SIMILAR INFORMATION ALREADY AVAILABLE CANNOT BE USED OR MODIFIED FOR USE FOR THE PURPOSE(S) DESCRIBED IN INSTRUCTION NO. 2</w:t>
      </w:r>
    </w:p>
    <w:p w:rsidRPr="0032216C" w:rsidR="00F0627E" w:rsidP="00913164" w:rsidRDefault="00F0627E" w14:paraId="7C8C093B" w14:textId="77777777">
      <w:pPr>
        <w:spacing w:after="0" w:line="240" w:lineRule="auto"/>
        <w:ind w:left="360" w:hanging="360"/>
        <w:rPr>
          <w:rFonts w:ascii="Times New Roman" w:hAnsi="Times New Roman"/>
          <w:sz w:val="26"/>
          <w:szCs w:val="24"/>
        </w:rPr>
      </w:pPr>
    </w:p>
    <w:p w:rsidRPr="0032216C" w:rsidR="00494814" w:rsidP="007445A8" w:rsidRDefault="00107DA8" w14:paraId="234B1CA3" w14:textId="77777777">
      <w:pPr>
        <w:spacing w:after="0" w:line="240" w:lineRule="auto"/>
        <w:rPr>
          <w:rFonts w:ascii="Times New Roman" w:hAnsi="Times New Roman"/>
          <w:sz w:val="26"/>
          <w:szCs w:val="24"/>
        </w:rPr>
      </w:pPr>
      <w:r w:rsidRPr="0032216C">
        <w:rPr>
          <w:rFonts w:ascii="Times New Roman" w:hAnsi="Times New Roman"/>
          <w:sz w:val="26"/>
          <w:szCs w:val="24"/>
        </w:rPr>
        <w:t xml:space="preserve">The Commission periodically reviews filing requirements concurrent with OMB review or as the Commission deems necessary to eliminate duplicative filing and to minimize the filing burden.  </w:t>
      </w:r>
    </w:p>
    <w:p w:rsidRPr="0032216C" w:rsidR="00494814" w:rsidP="007445A8" w:rsidRDefault="00494814" w14:paraId="13966AF7" w14:textId="77777777">
      <w:pPr>
        <w:spacing w:after="0" w:line="240" w:lineRule="auto"/>
        <w:rPr>
          <w:rFonts w:ascii="Times New Roman" w:hAnsi="Times New Roman"/>
          <w:sz w:val="26"/>
          <w:szCs w:val="24"/>
        </w:rPr>
      </w:pPr>
    </w:p>
    <w:p w:rsidR="00F0627E" w:rsidP="007445A8" w:rsidRDefault="00F0627E" w14:paraId="61A38CAC" w14:textId="7D916075">
      <w:pPr>
        <w:spacing w:after="0" w:line="240" w:lineRule="auto"/>
        <w:rPr>
          <w:rFonts w:ascii="Times New Roman" w:hAnsi="Times New Roman"/>
          <w:sz w:val="26"/>
          <w:szCs w:val="24"/>
        </w:rPr>
      </w:pPr>
      <w:r w:rsidRPr="0032216C">
        <w:rPr>
          <w:rFonts w:ascii="Times New Roman" w:hAnsi="Times New Roman"/>
          <w:sz w:val="26"/>
          <w:szCs w:val="24"/>
        </w:rPr>
        <w:t>No similar information is available</w:t>
      </w:r>
      <w:r w:rsidR="00F748EF">
        <w:rPr>
          <w:rFonts w:ascii="Times New Roman" w:hAnsi="Times New Roman"/>
          <w:sz w:val="26"/>
          <w:szCs w:val="24"/>
        </w:rPr>
        <w:t xml:space="preserve">.  </w:t>
      </w:r>
      <w:r w:rsidR="004C074A">
        <w:rPr>
          <w:rFonts w:ascii="Times New Roman" w:hAnsi="Times New Roman"/>
          <w:sz w:val="26"/>
          <w:szCs w:val="24"/>
        </w:rPr>
        <w:t>Without</w:t>
      </w:r>
      <w:r w:rsidR="00F748EF">
        <w:rPr>
          <w:rFonts w:ascii="Times New Roman" w:hAnsi="Times New Roman"/>
          <w:sz w:val="26"/>
          <w:szCs w:val="24"/>
        </w:rPr>
        <w:t xml:space="preserve"> </w:t>
      </w:r>
      <w:r w:rsidR="00AA6C40">
        <w:rPr>
          <w:rFonts w:ascii="Times New Roman" w:hAnsi="Times New Roman"/>
          <w:sz w:val="26"/>
          <w:szCs w:val="24"/>
        </w:rPr>
        <w:t xml:space="preserve">the information collected in accordance with </w:t>
      </w:r>
      <w:r w:rsidRPr="0032216C" w:rsidR="00494814">
        <w:rPr>
          <w:rFonts w:ascii="Times New Roman" w:hAnsi="Times New Roman"/>
          <w:sz w:val="26"/>
          <w:szCs w:val="24"/>
        </w:rPr>
        <w:t>FERC-500 and FERC-505</w:t>
      </w:r>
      <w:r w:rsidR="00F748EF">
        <w:rPr>
          <w:rFonts w:ascii="Times New Roman" w:hAnsi="Times New Roman"/>
          <w:sz w:val="26"/>
          <w:szCs w:val="24"/>
        </w:rPr>
        <w:t xml:space="preserve">, the Commission would be </w:t>
      </w:r>
      <w:r w:rsidR="00427D0A">
        <w:rPr>
          <w:rFonts w:ascii="Times New Roman" w:hAnsi="Times New Roman"/>
          <w:sz w:val="26"/>
          <w:szCs w:val="24"/>
        </w:rPr>
        <w:t xml:space="preserve">unable to </w:t>
      </w:r>
      <w:r w:rsidR="006B5637">
        <w:rPr>
          <w:rFonts w:ascii="Times New Roman" w:hAnsi="Times New Roman"/>
          <w:sz w:val="26"/>
          <w:szCs w:val="24"/>
        </w:rPr>
        <w:t xml:space="preserve">act on </w:t>
      </w:r>
      <w:r w:rsidRPr="0032216C">
        <w:rPr>
          <w:rFonts w:ascii="Times New Roman" w:hAnsi="Times New Roman"/>
          <w:sz w:val="26"/>
          <w:szCs w:val="24"/>
        </w:rPr>
        <w:t xml:space="preserve">case-specific applications </w:t>
      </w:r>
      <w:r w:rsidR="003F63DF">
        <w:rPr>
          <w:rFonts w:ascii="Times New Roman" w:hAnsi="Times New Roman"/>
          <w:sz w:val="26"/>
          <w:szCs w:val="24"/>
        </w:rPr>
        <w:t xml:space="preserve">that </w:t>
      </w:r>
      <w:r w:rsidRPr="0032216C">
        <w:rPr>
          <w:rFonts w:ascii="Times New Roman" w:hAnsi="Times New Roman"/>
          <w:sz w:val="26"/>
          <w:szCs w:val="24"/>
        </w:rPr>
        <w:t>are unique to the applicant and the site for which the filing is made</w:t>
      </w:r>
      <w:r w:rsidR="00554EEB">
        <w:rPr>
          <w:rFonts w:ascii="Times New Roman" w:hAnsi="Times New Roman"/>
          <w:sz w:val="26"/>
          <w:szCs w:val="24"/>
        </w:rPr>
        <w:t xml:space="preserve">, and would be unable to </w:t>
      </w:r>
      <w:r w:rsidR="001873F6">
        <w:rPr>
          <w:rFonts w:ascii="Times New Roman" w:hAnsi="Times New Roman"/>
          <w:sz w:val="26"/>
          <w:szCs w:val="24"/>
        </w:rPr>
        <w:t xml:space="preserve">fulfill its </w:t>
      </w:r>
      <w:r w:rsidR="00E17977">
        <w:rPr>
          <w:rFonts w:ascii="Times New Roman" w:hAnsi="Times New Roman"/>
          <w:sz w:val="26"/>
          <w:szCs w:val="24"/>
        </w:rPr>
        <w:t xml:space="preserve">other </w:t>
      </w:r>
      <w:r w:rsidR="001873F6">
        <w:rPr>
          <w:rFonts w:ascii="Times New Roman" w:hAnsi="Times New Roman"/>
          <w:sz w:val="26"/>
          <w:szCs w:val="24"/>
        </w:rPr>
        <w:t xml:space="preserve">statutory responsibilities </w:t>
      </w:r>
      <w:r w:rsidR="00B65A74">
        <w:rPr>
          <w:rFonts w:ascii="Times New Roman" w:hAnsi="Times New Roman"/>
          <w:sz w:val="26"/>
          <w:szCs w:val="24"/>
        </w:rPr>
        <w:t>for</w:t>
      </w:r>
      <w:r w:rsidR="004112D9">
        <w:rPr>
          <w:rFonts w:ascii="Times New Roman" w:hAnsi="Times New Roman"/>
          <w:sz w:val="26"/>
          <w:szCs w:val="24"/>
        </w:rPr>
        <w:t xml:space="preserve"> </w:t>
      </w:r>
      <w:r w:rsidR="00B65A74">
        <w:rPr>
          <w:rFonts w:ascii="Times New Roman" w:hAnsi="Times New Roman"/>
          <w:sz w:val="26"/>
          <w:szCs w:val="24"/>
        </w:rPr>
        <w:t>hydropower projects</w:t>
      </w:r>
      <w:r w:rsidR="00331C6F">
        <w:rPr>
          <w:rFonts w:ascii="Times New Roman" w:hAnsi="Times New Roman"/>
          <w:sz w:val="26"/>
          <w:szCs w:val="24"/>
        </w:rPr>
        <w:t>.</w:t>
      </w:r>
    </w:p>
    <w:p w:rsidRPr="0032216C" w:rsidR="00B65A74" w:rsidP="007445A8" w:rsidRDefault="00B65A74" w14:paraId="3642F81C" w14:textId="77777777">
      <w:pPr>
        <w:spacing w:after="0" w:line="240" w:lineRule="auto"/>
        <w:rPr>
          <w:rFonts w:ascii="Times New Roman" w:hAnsi="Times New Roman"/>
          <w:sz w:val="26"/>
          <w:szCs w:val="24"/>
        </w:rPr>
      </w:pPr>
    </w:p>
    <w:p w:rsidRPr="0032216C" w:rsidR="00F0627E" w:rsidP="00913164" w:rsidRDefault="00F0627E" w14:paraId="5A5894F9"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METHODS USED TO MINIMIZE THE BURDEN IN COLLECTION OF INFORMATION INVOLVING SMALL ENTITIES</w:t>
      </w:r>
    </w:p>
    <w:p w:rsidRPr="0032216C" w:rsidR="00632A15" w:rsidP="007445A8" w:rsidRDefault="00632A15" w14:paraId="45264822" w14:textId="77777777">
      <w:pPr>
        <w:spacing w:after="0" w:line="240" w:lineRule="auto"/>
        <w:rPr>
          <w:rFonts w:ascii="Times New Roman" w:hAnsi="Times New Roman"/>
          <w:sz w:val="26"/>
          <w:szCs w:val="24"/>
        </w:rPr>
      </w:pPr>
    </w:p>
    <w:p w:rsidRPr="0032216C" w:rsidR="00F0627E" w:rsidP="007445A8" w:rsidRDefault="00F0627E" w14:paraId="4C448F3E" w14:textId="6241B7AC">
      <w:pPr>
        <w:spacing w:after="0" w:line="240" w:lineRule="auto"/>
        <w:rPr>
          <w:rFonts w:ascii="Times New Roman" w:hAnsi="Times New Roman"/>
          <w:sz w:val="26"/>
          <w:szCs w:val="24"/>
        </w:rPr>
      </w:pPr>
      <w:r w:rsidRPr="0032216C">
        <w:rPr>
          <w:rFonts w:ascii="Times New Roman" w:hAnsi="Times New Roman"/>
          <w:sz w:val="26"/>
          <w:szCs w:val="24"/>
        </w:rPr>
        <w:t xml:space="preserve">The Commission </w:t>
      </w:r>
      <w:r w:rsidR="006C3E49">
        <w:rPr>
          <w:rFonts w:ascii="Times New Roman" w:hAnsi="Times New Roman"/>
          <w:sz w:val="26"/>
          <w:szCs w:val="24"/>
        </w:rPr>
        <w:t xml:space="preserve">provides several ways </w:t>
      </w:r>
      <w:r w:rsidR="00A940DB">
        <w:rPr>
          <w:rFonts w:ascii="Times New Roman" w:hAnsi="Times New Roman"/>
          <w:sz w:val="26"/>
          <w:szCs w:val="24"/>
        </w:rPr>
        <w:t xml:space="preserve">that small entities </w:t>
      </w:r>
      <w:r w:rsidR="003D2534">
        <w:rPr>
          <w:rFonts w:ascii="Times New Roman" w:hAnsi="Times New Roman"/>
          <w:sz w:val="26"/>
          <w:szCs w:val="24"/>
        </w:rPr>
        <w:t xml:space="preserve">(and others) </w:t>
      </w:r>
      <w:r w:rsidR="00A940DB">
        <w:rPr>
          <w:rFonts w:ascii="Times New Roman" w:hAnsi="Times New Roman"/>
          <w:sz w:val="26"/>
          <w:szCs w:val="24"/>
        </w:rPr>
        <w:t xml:space="preserve">can use to minimize </w:t>
      </w:r>
      <w:r w:rsidR="003D2534">
        <w:rPr>
          <w:rFonts w:ascii="Times New Roman" w:hAnsi="Times New Roman"/>
          <w:sz w:val="26"/>
          <w:szCs w:val="24"/>
        </w:rPr>
        <w:t>their burden in these information collections.  For example:</w:t>
      </w:r>
    </w:p>
    <w:p w:rsidRPr="0032216C" w:rsidR="00F0627E" w:rsidP="007445A8" w:rsidRDefault="00CF6C31" w14:paraId="7D3818C8" w14:textId="68AB864B">
      <w:pPr>
        <w:numPr>
          <w:ilvl w:val="0"/>
          <w:numId w:val="7"/>
        </w:numPr>
        <w:spacing w:before="100" w:beforeAutospacing="1" w:after="100" w:afterAutospacing="1" w:line="240" w:lineRule="auto"/>
        <w:rPr>
          <w:rFonts w:ascii="Times New Roman" w:hAnsi="Times New Roman" w:eastAsia="Times New Roman"/>
          <w:sz w:val="26"/>
          <w:szCs w:val="24"/>
        </w:rPr>
      </w:pPr>
      <w:r>
        <w:rPr>
          <w:rFonts w:ascii="Times New Roman" w:hAnsi="Times New Roman" w:eastAsia="Times New Roman"/>
          <w:sz w:val="26"/>
          <w:szCs w:val="24"/>
        </w:rPr>
        <w:t xml:space="preserve">A potential applicant for a license may </w:t>
      </w:r>
      <w:r w:rsidR="006534B6">
        <w:rPr>
          <w:rFonts w:ascii="Times New Roman" w:hAnsi="Times New Roman" w:eastAsia="Times New Roman"/>
          <w:sz w:val="26"/>
          <w:szCs w:val="24"/>
        </w:rPr>
        <w:t xml:space="preserve">file a written request for a </w:t>
      </w:r>
      <w:r w:rsidRPr="0032216C" w:rsidR="00F0627E">
        <w:rPr>
          <w:rFonts w:ascii="Times New Roman" w:hAnsi="Times New Roman" w:eastAsia="Times New Roman"/>
          <w:sz w:val="26"/>
          <w:szCs w:val="24"/>
        </w:rPr>
        <w:t>waive</w:t>
      </w:r>
      <w:r w:rsidRPr="0032216C" w:rsidR="0009171A">
        <w:rPr>
          <w:rFonts w:ascii="Times New Roman" w:hAnsi="Times New Roman" w:eastAsia="Times New Roman"/>
          <w:sz w:val="26"/>
          <w:szCs w:val="24"/>
        </w:rPr>
        <w:t>r of</w:t>
      </w:r>
      <w:r w:rsidR="00B43F9B">
        <w:rPr>
          <w:rFonts w:ascii="Times New Roman" w:hAnsi="Times New Roman" w:eastAsia="Times New Roman"/>
          <w:sz w:val="26"/>
          <w:szCs w:val="24"/>
        </w:rPr>
        <w:t xml:space="preserve"> pre-filing consultation requirements of 18 CFR 4.38.</w:t>
      </w:r>
    </w:p>
    <w:p w:rsidR="00F0627E" w:rsidP="00C70D99" w:rsidRDefault="00910F82" w14:paraId="7EBB69E3" w14:textId="626F985E">
      <w:pPr>
        <w:numPr>
          <w:ilvl w:val="0"/>
          <w:numId w:val="7"/>
        </w:numPr>
        <w:spacing w:before="100" w:beforeAutospacing="1" w:after="100" w:afterAutospacing="1" w:line="240" w:lineRule="auto"/>
        <w:rPr>
          <w:rFonts w:ascii="Times New Roman" w:hAnsi="Times New Roman" w:eastAsia="Times New Roman"/>
          <w:sz w:val="26"/>
          <w:szCs w:val="24"/>
        </w:rPr>
      </w:pPr>
      <w:r>
        <w:rPr>
          <w:rFonts w:ascii="Times New Roman" w:hAnsi="Times New Roman" w:eastAsia="Times New Roman"/>
          <w:sz w:val="26"/>
          <w:szCs w:val="24"/>
        </w:rPr>
        <w:t xml:space="preserve">An applicant </w:t>
      </w:r>
      <w:r w:rsidR="003F4677">
        <w:rPr>
          <w:rFonts w:ascii="Times New Roman" w:hAnsi="Times New Roman" w:eastAsia="Times New Roman"/>
          <w:sz w:val="26"/>
          <w:szCs w:val="24"/>
        </w:rPr>
        <w:t xml:space="preserve">authorized to use alternative procedures under 18 CFR </w:t>
      </w:r>
      <w:r w:rsidR="0062577E">
        <w:rPr>
          <w:rFonts w:ascii="Times New Roman" w:hAnsi="Times New Roman" w:eastAsia="Times New Roman"/>
          <w:sz w:val="26"/>
          <w:szCs w:val="24"/>
        </w:rPr>
        <w:t xml:space="preserve">4.34(i) </w:t>
      </w:r>
      <w:r w:rsidR="00B907F7">
        <w:rPr>
          <w:rFonts w:ascii="Times New Roman" w:hAnsi="Times New Roman" w:eastAsia="Times New Roman"/>
          <w:sz w:val="26"/>
          <w:szCs w:val="24"/>
        </w:rPr>
        <w:t>may substitute a preliminary draft environmental</w:t>
      </w:r>
      <w:r w:rsidR="002B36B0">
        <w:rPr>
          <w:rFonts w:ascii="Times New Roman" w:hAnsi="Times New Roman" w:eastAsia="Times New Roman"/>
          <w:sz w:val="26"/>
          <w:szCs w:val="24"/>
        </w:rPr>
        <w:t xml:space="preserve"> review document </w:t>
      </w:r>
      <w:r w:rsidR="00A57E61">
        <w:rPr>
          <w:rFonts w:ascii="Times New Roman" w:hAnsi="Times New Roman" w:eastAsia="Times New Roman"/>
          <w:sz w:val="26"/>
          <w:szCs w:val="24"/>
        </w:rPr>
        <w:t xml:space="preserve">and additional </w:t>
      </w:r>
      <w:r w:rsidR="00070DB6">
        <w:rPr>
          <w:rFonts w:ascii="Times New Roman" w:hAnsi="Times New Roman" w:eastAsia="Times New Roman"/>
          <w:sz w:val="26"/>
          <w:szCs w:val="24"/>
        </w:rPr>
        <w:t xml:space="preserve">material specified by the Commission </w:t>
      </w:r>
      <w:r w:rsidR="002B36B0">
        <w:rPr>
          <w:rFonts w:ascii="Times New Roman" w:hAnsi="Times New Roman" w:eastAsia="Times New Roman"/>
          <w:sz w:val="26"/>
          <w:szCs w:val="24"/>
        </w:rPr>
        <w:t xml:space="preserve">instead of Exhibit </w:t>
      </w:r>
      <w:r w:rsidR="00070DB6">
        <w:rPr>
          <w:rFonts w:ascii="Times New Roman" w:hAnsi="Times New Roman" w:eastAsia="Times New Roman"/>
          <w:sz w:val="26"/>
          <w:szCs w:val="24"/>
        </w:rPr>
        <w:t xml:space="preserve">E, and </w:t>
      </w:r>
      <w:r w:rsidR="00DB6B57">
        <w:rPr>
          <w:rFonts w:ascii="Times New Roman" w:hAnsi="Times New Roman" w:eastAsia="Times New Roman"/>
          <w:sz w:val="26"/>
          <w:szCs w:val="24"/>
        </w:rPr>
        <w:t xml:space="preserve">need not supply additional </w:t>
      </w:r>
      <w:r w:rsidR="0048102C">
        <w:rPr>
          <w:rFonts w:ascii="Times New Roman" w:hAnsi="Times New Roman" w:eastAsia="Times New Roman"/>
          <w:sz w:val="26"/>
          <w:szCs w:val="24"/>
        </w:rPr>
        <w:t>documentation of the pre-filing consultation process.</w:t>
      </w:r>
    </w:p>
    <w:p w:rsidRPr="00C70D99" w:rsidR="00634504" w:rsidP="00C70D99" w:rsidRDefault="00634504" w14:paraId="6E353D44" w14:textId="7687E7C6">
      <w:pPr>
        <w:numPr>
          <w:ilvl w:val="0"/>
          <w:numId w:val="7"/>
        </w:numPr>
        <w:spacing w:before="100" w:beforeAutospacing="1" w:after="100" w:afterAutospacing="1" w:line="240" w:lineRule="auto"/>
        <w:rPr>
          <w:rFonts w:ascii="Times New Roman" w:hAnsi="Times New Roman" w:eastAsia="Times New Roman"/>
          <w:sz w:val="26"/>
          <w:szCs w:val="24"/>
        </w:rPr>
      </w:pPr>
      <w:r>
        <w:rPr>
          <w:rFonts w:ascii="Times New Roman" w:hAnsi="Times New Roman" w:eastAsia="Times New Roman"/>
          <w:sz w:val="26"/>
          <w:szCs w:val="24"/>
        </w:rPr>
        <w:t xml:space="preserve">An applicant using the integrated licensing </w:t>
      </w:r>
      <w:r w:rsidR="00222BA1">
        <w:rPr>
          <w:rFonts w:ascii="Times New Roman" w:hAnsi="Times New Roman" w:eastAsia="Times New Roman"/>
          <w:sz w:val="26"/>
          <w:szCs w:val="24"/>
        </w:rPr>
        <w:t xml:space="preserve">procedures may </w:t>
      </w:r>
      <w:r w:rsidR="0065369B">
        <w:rPr>
          <w:rFonts w:ascii="Times New Roman" w:hAnsi="Times New Roman" w:eastAsia="Times New Roman"/>
          <w:sz w:val="26"/>
          <w:szCs w:val="24"/>
        </w:rPr>
        <w:t>request</w:t>
      </w:r>
      <w:r w:rsidR="00222BA1">
        <w:rPr>
          <w:rFonts w:ascii="Times New Roman" w:hAnsi="Times New Roman" w:eastAsia="Times New Roman"/>
          <w:sz w:val="26"/>
          <w:szCs w:val="24"/>
        </w:rPr>
        <w:t xml:space="preserve"> a waiver of the requirement at </w:t>
      </w:r>
      <w:r w:rsidR="00BC7BE7">
        <w:rPr>
          <w:rFonts w:ascii="Times New Roman" w:hAnsi="Times New Roman" w:eastAsia="Times New Roman"/>
          <w:sz w:val="26"/>
          <w:szCs w:val="24"/>
        </w:rPr>
        <w:t>18 CFR 5.16 to file a preliminary licensing proposal or draft license application</w:t>
      </w:r>
      <w:r w:rsidR="009500CD">
        <w:rPr>
          <w:rFonts w:ascii="Times New Roman" w:hAnsi="Times New Roman" w:eastAsia="Times New Roman"/>
          <w:sz w:val="26"/>
          <w:szCs w:val="24"/>
        </w:rPr>
        <w:t xml:space="preserve">, based on a consensus of the participants in </w:t>
      </w:r>
      <w:r w:rsidR="002C26EC">
        <w:rPr>
          <w:rFonts w:ascii="Times New Roman" w:hAnsi="Times New Roman" w:eastAsia="Times New Roman"/>
          <w:sz w:val="26"/>
          <w:szCs w:val="24"/>
        </w:rPr>
        <w:t>favor of such a waiver.</w:t>
      </w:r>
    </w:p>
    <w:p w:rsidRPr="0032216C" w:rsidR="00F0627E" w:rsidP="00913164" w:rsidRDefault="00F0627E" w14:paraId="1A9BA979"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CONSEQUENCE TO FEDERAL PROGRAM IF COLLECTION WERE CONDUCTED LESS FREQUENTLY</w:t>
      </w:r>
    </w:p>
    <w:p w:rsidRPr="0032216C" w:rsidR="00F0627E" w:rsidP="007445A8" w:rsidRDefault="00F0627E" w14:paraId="60C157E1" w14:textId="77777777">
      <w:pPr>
        <w:spacing w:after="0" w:line="240" w:lineRule="auto"/>
        <w:rPr>
          <w:rFonts w:ascii="Times New Roman" w:hAnsi="Times New Roman"/>
          <w:sz w:val="26"/>
          <w:szCs w:val="24"/>
        </w:rPr>
      </w:pPr>
    </w:p>
    <w:p w:rsidRPr="0032216C" w:rsidR="00F0627E" w:rsidP="007445A8" w:rsidRDefault="00F02C79" w14:paraId="3C7825C2" w14:textId="608B9954">
      <w:pPr>
        <w:spacing w:after="0" w:line="240" w:lineRule="auto"/>
        <w:rPr>
          <w:rFonts w:ascii="Times New Roman" w:hAnsi="Times New Roman"/>
          <w:sz w:val="26"/>
          <w:szCs w:val="24"/>
        </w:rPr>
      </w:pPr>
      <w:r w:rsidRPr="0032216C">
        <w:rPr>
          <w:rFonts w:ascii="Times New Roman" w:hAnsi="Times New Roman"/>
          <w:sz w:val="26"/>
          <w:szCs w:val="24"/>
        </w:rPr>
        <w:t>I</w:t>
      </w:r>
      <w:r w:rsidRPr="0032216C" w:rsidR="0029756D">
        <w:rPr>
          <w:rFonts w:ascii="Times New Roman" w:hAnsi="Times New Roman"/>
          <w:sz w:val="26"/>
          <w:szCs w:val="24"/>
        </w:rPr>
        <w:t xml:space="preserve">f the information were not collected, the Commission would not be able to fulfill the </w:t>
      </w:r>
      <w:r w:rsidRPr="0032216C" w:rsidR="0085362C">
        <w:rPr>
          <w:rFonts w:ascii="Times New Roman" w:hAnsi="Times New Roman"/>
          <w:sz w:val="26"/>
          <w:szCs w:val="24"/>
        </w:rPr>
        <w:t>statutor</w:t>
      </w:r>
      <w:r w:rsidRPr="0032216C" w:rsidR="00501D12">
        <w:rPr>
          <w:rFonts w:ascii="Times New Roman" w:hAnsi="Times New Roman"/>
          <w:sz w:val="26"/>
          <w:szCs w:val="24"/>
        </w:rPr>
        <w:t>y requirements</w:t>
      </w:r>
      <w:r w:rsidRPr="0032216C" w:rsidR="00A87241">
        <w:rPr>
          <w:rFonts w:ascii="Times New Roman" w:hAnsi="Times New Roman"/>
          <w:sz w:val="26"/>
          <w:szCs w:val="24"/>
        </w:rPr>
        <w:t xml:space="preserve"> pertaining to hydropower</w:t>
      </w:r>
      <w:r w:rsidRPr="0032216C" w:rsidR="00501D12">
        <w:rPr>
          <w:rFonts w:ascii="Times New Roman" w:hAnsi="Times New Roman"/>
          <w:sz w:val="26"/>
          <w:szCs w:val="24"/>
        </w:rPr>
        <w:t>.</w:t>
      </w:r>
      <w:r w:rsidRPr="0032216C" w:rsidR="00A87241">
        <w:rPr>
          <w:rFonts w:ascii="Times New Roman" w:hAnsi="Times New Roman"/>
          <w:sz w:val="26"/>
          <w:szCs w:val="24"/>
        </w:rPr>
        <w:t xml:space="preserve">  </w:t>
      </w:r>
      <w:r w:rsidRPr="0032216C" w:rsidR="00104966">
        <w:rPr>
          <w:rFonts w:ascii="Times New Roman" w:hAnsi="Times New Roman"/>
          <w:sz w:val="26"/>
          <w:szCs w:val="24"/>
        </w:rPr>
        <w:t xml:space="preserve">For projects authorized with an exemption from licensing, as well as those subject to licensing, the Commission needs to collect information to </w:t>
      </w:r>
      <w:r w:rsidRPr="0032216C" w:rsidR="0029756D">
        <w:rPr>
          <w:rFonts w:ascii="Times New Roman" w:hAnsi="Times New Roman"/>
          <w:sz w:val="26"/>
          <w:szCs w:val="24"/>
        </w:rPr>
        <w:t xml:space="preserve">ensure </w:t>
      </w:r>
      <w:r w:rsidRPr="0032216C" w:rsidR="001A4C7B">
        <w:rPr>
          <w:rFonts w:ascii="Times New Roman" w:hAnsi="Times New Roman"/>
          <w:sz w:val="26"/>
          <w:szCs w:val="24"/>
        </w:rPr>
        <w:t xml:space="preserve">proper documentation of technical, financial, and </w:t>
      </w:r>
      <w:r w:rsidRPr="0032216C" w:rsidR="0029756D">
        <w:rPr>
          <w:rFonts w:ascii="Times New Roman" w:hAnsi="Times New Roman"/>
          <w:sz w:val="26"/>
          <w:szCs w:val="24"/>
        </w:rPr>
        <w:t>environmental concerns</w:t>
      </w:r>
      <w:r w:rsidRPr="0032216C" w:rsidR="001A4C7B">
        <w:rPr>
          <w:rFonts w:ascii="Times New Roman" w:hAnsi="Times New Roman"/>
          <w:sz w:val="26"/>
          <w:szCs w:val="24"/>
        </w:rPr>
        <w:t xml:space="preserve">.  </w:t>
      </w:r>
      <w:r w:rsidRPr="0032216C" w:rsidR="0016740A">
        <w:rPr>
          <w:rFonts w:ascii="Times New Roman" w:hAnsi="Times New Roman"/>
          <w:sz w:val="26"/>
          <w:szCs w:val="24"/>
        </w:rPr>
        <w:t xml:space="preserve">Failing to meet this responsibility </w:t>
      </w:r>
      <w:r w:rsidRPr="0032216C" w:rsidR="00B26531">
        <w:rPr>
          <w:rFonts w:ascii="Times New Roman" w:hAnsi="Times New Roman"/>
          <w:sz w:val="26"/>
          <w:szCs w:val="24"/>
        </w:rPr>
        <w:t xml:space="preserve">on a timely basis </w:t>
      </w:r>
      <w:r w:rsidRPr="0032216C" w:rsidR="00617200">
        <w:rPr>
          <w:rFonts w:ascii="Times New Roman" w:hAnsi="Times New Roman"/>
          <w:sz w:val="26"/>
          <w:szCs w:val="24"/>
        </w:rPr>
        <w:t>c</w:t>
      </w:r>
      <w:r w:rsidRPr="0032216C" w:rsidR="0016740A">
        <w:rPr>
          <w:rFonts w:ascii="Times New Roman" w:hAnsi="Times New Roman"/>
          <w:sz w:val="26"/>
          <w:szCs w:val="24"/>
        </w:rPr>
        <w:t>ould result in non-compliance with statutory obligations.</w:t>
      </w:r>
    </w:p>
    <w:p w:rsidRPr="0032216C" w:rsidR="00673FBD" w:rsidP="007445A8" w:rsidRDefault="00673FBD" w14:paraId="02BED995" w14:textId="77777777">
      <w:pPr>
        <w:spacing w:after="0" w:line="240" w:lineRule="auto"/>
        <w:rPr>
          <w:rFonts w:ascii="Times New Roman" w:hAnsi="Times New Roman"/>
          <w:sz w:val="26"/>
          <w:szCs w:val="24"/>
        </w:rPr>
      </w:pPr>
    </w:p>
    <w:p w:rsidRPr="0032216C" w:rsidR="00F0627E" w:rsidP="00913164" w:rsidRDefault="00F0627E" w14:paraId="684D5825"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EXPLAIN ANY SPECIAL CIRCUMSTANCES RELATING TO THE INFORMATION COLLECTION</w:t>
      </w:r>
    </w:p>
    <w:p w:rsidRPr="0032216C" w:rsidR="00F0627E" w:rsidP="007445A8" w:rsidRDefault="00F0627E" w14:paraId="7A3B6705" w14:textId="77777777">
      <w:pPr>
        <w:spacing w:after="0" w:line="240" w:lineRule="auto"/>
        <w:rPr>
          <w:rFonts w:ascii="Times New Roman" w:hAnsi="Times New Roman"/>
          <w:sz w:val="26"/>
          <w:szCs w:val="24"/>
        </w:rPr>
      </w:pPr>
    </w:p>
    <w:p w:rsidRPr="0032216C" w:rsidR="00F0627E" w:rsidP="007445A8" w:rsidRDefault="00F0627E" w14:paraId="53EC1404" w14:textId="352A7AB9">
      <w:pPr>
        <w:spacing w:after="0" w:line="240" w:lineRule="auto"/>
        <w:rPr>
          <w:rFonts w:ascii="Times New Roman" w:hAnsi="Times New Roman"/>
          <w:b/>
          <w:sz w:val="26"/>
          <w:szCs w:val="24"/>
        </w:rPr>
      </w:pPr>
      <w:r w:rsidRPr="0032216C">
        <w:rPr>
          <w:rFonts w:ascii="Times New Roman" w:hAnsi="Times New Roman"/>
          <w:sz w:val="26"/>
          <w:szCs w:val="24"/>
        </w:rPr>
        <w:t>There are no speci</w:t>
      </w:r>
      <w:r w:rsidRPr="0032216C" w:rsidR="00EF66F1">
        <w:rPr>
          <w:rFonts w:ascii="Times New Roman" w:hAnsi="Times New Roman"/>
          <w:sz w:val="26"/>
          <w:szCs w:val="24"/>
        </w:rPr>
        <w:t>al circumstances related to th</w:t>
      </w:r>
      <w:r w:rsidRPr="0032216C" w:rsidR="00B04D81">
        <w:rPr>
          <w:rFonts w:ascii="Times New Roman" w:hAnsi="Times New Roman"/>
          <w:sz w:val="26"/>
          <w:szCs w:val="24"/>
        </w:rPr>
        <w:t>is</w:t>
      </w:r>
      <w:r w:rsidRPr="0032216C">
        <w:rPr>
          <w:rFonts w:ascii="Times New Roman" w:hAnsi="Times New Roman"/>
          <w:sz w:val="26"/>
          <w:szCs w:val="24"/>
        </w:rPr>
        <w:t xml:space="preserve"> information collection.</w:t>
      </w:r>
    </w:p>
    <w:p w:rsidRPr="0032216C" w:rsidR="00F0627E" w:rsidP="00913164" w:rsidRDefault="00F0627E" w14:paraId="22C8B832" w14:textId="77777777">
      <w:pPr>
        <w:spacing w:after="0" w:line="240" w:lineRule="auto"/>
        <w:ind w:left="360" w:hanging="360"/>
        <w:rPr>
          <w:rFonts w:ascii="Times New Roman" w:hAnsi="Times New Roman"/>
          <w:sz w:val="26"/>
          <w:szCs w:val="24"/>
        </w:rPr>
      </w:pPr>
    </w:p>
    <w:p w:rsidRPr="0032216C" w:rsidR="00F0627E" w:rsidP="00913164" w:rsidRDefault="00F0627E" w14:paraId="094F085F"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DESCRIBE EFFORTS TO CONSULT OUTSIDE THE AGENCY: SUMMARIZE PUBLIC COMMENTS AND THE AGENCY’S RESPONSE</w:t>
      </w:r>
    </w:p>
    <w:p w:rsidRPr="0032216C" w:rsidR="00F0627E" w:rsidP="007445A8" w:rsidRDefault="00F0627E" w14:paraId="3800CC73" w14:textId="77777777">
      <w:pPr>
        <w:spacing w:after="0" w:line="240" w:lineRule="auto"/>
        <w:rPr>
          <w:rFonts w:ascii="Times New Roman" w:hAnsi="Times New Roman"/>
          <w:sz w:val="26"/>
          <w:szCs w:val="24"/>
        </w:rPr>
      </w:pPr>
    </w:p>
    <w:p w:rsidRPr="005E547E" w:rsidR="005E547E" w:rsidP="002A375C" w:rsidRDefault="00EC198A" w14:paraId="61945766" w14:textId="374D1ECA">
      <w:pPr>
        <w:spacing w:line="240" w:lineRule="auto"/>
        <w:rPr>
          <w:rFonts w:ascii="Times New Roman" w:hAnsi="Times New Roman"/>
          <w:iCs/>
          <w:sz w:val="26"/>
          <w:szCs w:val="24"/>
        </w:rPr>
      </w:pPr>
      <w:r w:rsidRPr="00EC198A">
        <w:rPr>
          <w:rFonts w:ascii="Times New Roman" w:hAnsi="Times New Roman"/>
          <w:iCs/>
          <w:sz w:val="26"/>
          <w:szCs w:val="24"/>
        </w:rPr>
        <w:t>As required by OMB regulations at 5 CFR 1320.8(d), the Commission provided a 60-day notice of its renewal request in the Federal Register on October 28, 2021 (86 FR 59704).  The public-comment period expired on December 27, 2021.  No comments were received.</w:t>
      </w:r>
      <w:r w:rsidR="005E547E">
        <w:rPr>
          <w:rFonts w:ascii="Times New Roman" w:hAnsi="Times New Roman"/>
          <w:iCs/>
          <w:sz w:val="26"/>
          <w:szCs w:val="24"/>
        </w:rPr>
        <w:t xml:space="preserve">  The Commission published </w:t>
      </w:r>
      <w:r w:rsidR="002459E9">
        <w:rPr>
          <w:rFonts w:ascii="Times New Roman" w:hAnsi="Times New Roman"/>
          <w:iCs/>
          <w:sz w:val="26"/>
          <w:szCs w:val="24"/>
        </w:rPr>
        <w:t xml:space="preserve">a 30-day notice in the Federal Register </w:t>
      </w:r>
      <w:r w:rsidR="001B394F">
        <w:rPr>
          <w:rFonts w:ascii="Times New Roman" w:hAnsi="Times New Roman"/>
          <w:iCs/>
          <w:sz w:val="26"/>
          <w:szCs w:val="24"/>
        </w:rPr>
        <w:t>on January 12, 2022 (87 FR 1739).</w:t>
      </w:r>
    </w:p>
    <w:p w:rsidRPr="0032216C" w:rsidR="00F0627E" w:rsidP="00913164" w:rsidRDefault="00F0627E" w14:paraId="15CCD985"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EXPLAIN ANY PAYMENT OR GIFTS TO RESPONDENTS</w:t>
      </w:r>
    </w:p>
    <w:p w:rsidRPr="0032216C" w:rsidR="00F0627E" w:rsidP="007445A8" w:rsidRDefault="00F0627E" w14:paraId="6EC18061" w14:textId="77777777">
      <w:pPr>
        <w:spacing w:after="0" w:line="240" w:lineRule="auto"/>
        <w:rPr>
          <w:rFonts w:ascii="Times New Roman" w:hAnsi="Times New Roman"/>
          <w:sz w:val="26"/>
          <w:szCs w:val="24"/>
        </w:rPr>
      </w:pPr>
    </w:p>
    <w:p w:rsidRPr="0032216C" w:rsidR="00F0627E" w:rsidP="007445A8" w:rsidRDefault="00F0627E" w14:paraId="10670ADE" w14:textId="77777777">
      <w:pPr>
        <w:spacing w:after="0" w:line="240" w:lineRule="auto"/>
        <w:rPr>
          <w:rFonts w:ascii="Times New Roman" w:hAnsi="Times New Roman"/>
          <w:sz w:val="26"/>
          <w:szCs w:val="24"/>
        </w:rPr>
      </w:pPr>
      <w:r w:rsidRPr="0032216C">
        <w:rPr>
          <w:rFonts w:ascii="Times New Roman" w:hAnsi="Times New Roman"/>
          <w:sz w:val="26"/>
          <w:szCs w:val="24"/>
        </w:rPr>
        <w:t>There are no payments or gifts to respondents.</w:t>
      </w:r>
    </w:p>
    <w:p w:rsidRPr="0032216C" w:rsidR="00F0627E" w:rsidP="007445A8" w:rsidRDefault="00F0627E" w14:paraId="5C18A36A" w14:textId="77777777">
      <w:pPr>
        <w:spacing w:after="0" w:line="240" w:lineRule="auto"/>
        <w:rPr>
          <w:rFonts w:ascii="Times New Roman" w:hAnsi="Times New Roman"/>
          <w:sz w:val="26"/>
          <w:szCs w:val="24"/>
        </w:rPr>
      </w:pPr>
    </w:p>
    <w:p w:rsidRPr="0032216C" w:rsidR="00F0627E" w:rsidP="00913164" w:rsidRDefault="00F0627E" w14:paraId="3841FF43"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DESCRIBE ANY ASSURANCE OF CONFIDENTIALITY PROVIDED TO RESPONDENTS</w:t>
      </w:r>
    </w:p>
    <w:p w:rsidRPr="0032216C" w:rsidR="00F0627E" w:rsidP="007445A8" w:rsidRDefault="00F0627E" w14:paraId="56EA7A71" w14:textId="77777777">
      <w:pPr>
        <w:spacing w:after="0" w:line="240" w:lineRule="auto"/>
        <w:rPr>
          <w:rFonts w:ascii="Times New Roman" w:hAnsi="Times New Roman"/>
          <w:sz w:val="26"/>
          <w:szCs w:val="24"/>
        </w:rPr>
      </w:pPr>
    </w:p>
    <w:p w:rsidRPr="0032216C" w:rsidR="00F0627E" w:rsidP="007445A8" w:rsidRDefault="00F0627E" w14:paraId="7C68175D" w14:textId="5A2691C1">
      <w:pPr>
        <w:spacing w:after="0" w:line="240" w:lineRule="auto"/>
        <w:rPr>
          <w:rFonts w:ascii="Times New Roman" w:hAnsi="Times New Roman"/>
          <w:sz w:val="26"/>
          <w:szCs w:val="24"/>
        </w:rPr>
      </w:pPr>
      <w:r w:rsidRPr="0032216C">
        <w:rPr>
          <w:rFonts w:ascii="Times New Roman" w:hAnsi="Times New Roman"/>
          <w:sz w:val="26"/>
          <w:szCs w:val="24"/>
        </w:rPr>
        <w:t xml:space="preserve">The Commission does not consider the information collected in </w:t>
      </w:r>
      <w:r w:rsidRPr="0032216C" w:rsidR="0016740A">
        <w:rPr>
          <w:rFonts w:ascii="Times New Roman" w:hAnsi="Times New Roman"/>
          <w:sz w:val="26"/>
          <w:szCs w:val="24"/>
        </w:rPr>
        <w:t>FERC-500 and FERC-505</w:t>
      </w:r>
      <w:r w:rsidRPr="0032216C">
        <w:rPr>
          <w:rFonts w:ascii="Times New Roman" w:hAnsi="Times New Roman"/>
          <w:sz w:val="26"/>
          <w:szCs w:val="24"/>
        </w:rPr>
        <w:t xml:space="preserve"> to be </w:t>
      </w:r>
      <w:r w:rsidR="002F5683">
        <w:rPr>
          <w:rFonts w:ascii="Times New Roman" w:hAnsi="Times New Roman"/>
          <w:sz w:val="26"/>
          <w:szCs w:val="24"/>
        </w:rPr>
        <w:t>anything other than Public</w:t>
      </w:r>
      <w:r w:rsidRPr="0032216C">
        <w:rPr>
          <w:rFonts w:ascii="Times New Roman" w:hAnsi="Times New Roman"/>
          <w:sz w:val="26"/>
          <w:szCs w:val="24"/>
        </w:rPr>
        <w:t xml:space="preserve">.  However, the Commission will consider specific requests for </w:t>
      </w:r>
      <w:r w:rsidR="002F5683">
        <w:rPr>
          <w:rFonts w:ascii="Times New Roman" w:hAnsi="Times New Roman"/>
          <w:sz w:val="26"/>
          <w:szCs w:val="24"/>
        </w:rPr>
        <w:t>non-public</w:t>
      </w:r>
      <w:r w:rsidRPr="0032216C" w:rsidR="002F5683">
        <w:rPr>
          <w:rFonts w:ascii="Times New Roman" w:hAnsi="Times New Roman"/>
          <w:sz w:val="26"/>
          <w:szCs w:val="24"/>
        </w:rPr>
        <w:t xml:space="preserve"> </w:t>
      </w:r>
      <w:r w:rsidRPr="0032216C">
        <w:rPr>
          <w:rFonts w:ascii="Times New Roman" w:hAnsi="Times New Roman"/>
          <w:sz w:val="26"/>
          <w:szCs w:val="24"/>
        </w:rPr>
        <w:t xml:space="preserve">treatment (e.g. Critical </w:t>
      </w:r>
      <w:r w:rsidRPr="0032216C" w:rsidR="00084A7F">
        <w:rPr>
          <w:rFonts w:ascii="Times New Roman" w:hAnsi="Times New Roman"/>
          <w:sz w:val="26"/>
          <w:szCs w:val="24"/>
        </w:rPr>
        <w:t>Energy/Electric</w:t>
      </w:r>
      <w:r w:rsidRPr="0032216C">
        <w:rPr>
          <w:rFonts w:ascii="Times New Roman" w:hAnsi="Times New Roman"/>
          <w:sz w:val="26"/>
          <w:szCs w:val="24"/>
        </w:rPr>
        <w:t xml:space="preserve"> Infrastructure Information [CEII] or</w:t>
      </w:r>
      <w:r w:rsidR="002F5683">
        <w:rPr>
          <w:rFonts w:ascii="Times New Roman" w:hAnsi="Times New Roman"/>
          <w:sz w:val="26"/>
          <w:szCs w:val="24"/>
        </w:rPr>
        <w:t xml:space="preserve"> </w:t>
      </w:r>
      <w:r w:rsidR="00051E0F">
        <w:rPr>
          <w:rFonts w:ascii="Times New Roman" w:hAnsi="Times New Roman"/>
          <w:sz w:val="26"/>
          <w:szCs w:val="24"/>
        </w:rPr>
        <w:t>privileged</w:t>
      </w:r>
      <w:r w:rsidRPr="0032216C">
        <w:rPr>
          <w:rFonts w:ascii="Times New Roman" w:hAnsi="Times New Roman"/>
          <w:sz w:val="26"/>
          <w:szCs w:val="24"/>
        </w:rPr>
        <w:t>) to the extent permitted by law</w:t>
      </w:r>
      <w:r w:rsidRPr="0032216C" w:rsidR="00F5582E">
        <w:rPr>
          <w:rFonts w:ascii="Times New Roman" w:hAnsi="Times New Roman"/>
          <w:sz w:val="26"/>
          <w:szCs w:val="24"/>
        </w:rPr>
        <w:t xml:space="preserve"> and our regulations</w:t>
      </w:r>
      <w:r w:rsidRPr="0032216C">
        <w:rPr>
          <w:rFonts w:ascii="Times New Roman" w:hAnsi="Times New Roman"/>
          <w:sz w:val="26"/>
          <w:szCs w:val="24"/>
        </w:rPr>
        <w:t>.</w:t>
      </w:r>
      <w:r w:rsidRPr="0032216C">
        <w:rPr>
          <w:rFonts w:ascii="Times New Roman" w:hAnsi="Times New Roman"/>
          <w:bCs/>
          <w:sz w:val="26"/>
          <w:szCs w:val="24"/>
          <w:vertAlign w:val="superscript"/>
        </w:rPr>
        <w:footnoteReference w:id="14"/>
      </w:r>
      <w:r w:rsidRPr="0032216C">
        <w:rPr>
          <w:rFonts w:ascii="Times New Roman" w:hAnsi="Times New Roman"/>
          <w:sz w:val="26"/>
          <w:szCs w:val="24"/>
        </w:rPr>
        <w:t xml:space="preserve">  The Commission will review each request for </w:t>
      </w:r>
      <w:r w:rsidR="002F5683">
        <w:rPr>
          <w:rFonts w:ascii="Times New Roman" w:hAnsi="Times New Roman"/>
          <w:sz w:val="26"/>
          <w:szCs w:val="24"/>
        </w:rPr>
        <w:t>other than public</w:t>
      </w:r>
      <w:r w:rsidRPr="0032216C" w:rsidR="002F5683">
        <w:rPr>
          <w:rFonts w:ascii="Times New Roman" w:hAnsi="Times New Roman"/>
          <w:sz w:val="26"/>
          <w:szCs w:val="24"/>
        </w:rPr>
        <w:t xml:space="preserve"> </w:t>
      </w:r>
      <w:r w:rsidRPr="0032216C">
        <w:rPr>
          <w:rFonts w:ascii="Times New Roman" w:hAnsi="Times New Roman"/>
          <w:sz w:val="26"/>
          <w:szCs w:val="24"/>
        </w:rPr>
        <w:t>treatment on a case-by-case basis.</w:t>
      </w:r>
      <w:r w:rsidRPr="0032216C" w:rsidR="00084A7F">
        <w:rPr>
          <w:rFonts w:ascii="Times New Roman" w:hAnsi="Times New Roman"/>
          <w:sz w:val="26"/>
          <w:szCs w:val="24"/>
        </w:rPr>
        <w:t xml:space="preserve"> </w:t>
      </w:r>
    </w:p>
    <w:p w:rsidRPr="0032216C" w:rsidR="006F4606" w:rsidP="007445A8" w:rsidRDefault="006F4606" w14:paraId="63F5AF38" w14:textId="11BF8304">
      <w:pPr>
        <w:spacing w:after="0" w:line="240" w:lineRule="auto"/>
        <w:rPr>
          <w:rFonts w:ascii="Times New Roman" w:hAnsi="Times New Roman"/>
          <w:sz w:val="26"/>
          <w:szCs w:val="24"/>
        </w:rPr>
      </w:pPr>
    </w:p>
    <w:p w:rsidRPr="0032216C" w:rsidR="006F4606" w:rsidP="007445A8" w:rsidRDefault="006F4606" w14:paraId="7B11EA25" w14:textId="5125336B">
      <w:pPr>
        <w:spacing w:after="0" w:line="240" w:lineRule="auto"/>
        <w:rPr>
          <w:rFonts w:ascii="Times New Roman" w:hAnsi="Times New Roman"/>
          <w:sz w:val="26"/>
          <w:szCs w:val="24"/>
        </w:rPr>
      </w:pPr>
      <w:r w:rsidRPr="0032216C">
        <w:rPr>
          <w:rFonts w:ascii="Times New Roman" w:hAnsi="Times New Roman"/>
          <w:sz w:val="26"/>
          <w:szCs w:val="24"/>
        </w:rPr>
        <w:t xml:space="preserve">If an entity chooses to seek </w:t>
      </w:r>
      <w:r w:rsidR="002F5683">
        <w:rPr>
          <w:rFonts w:ascii="Times New Roman" w:hAnsi="Times New Roman"/>
          <w:sz w:val="26"/>
          <w:szCs w:val="24"/>
        </w:rPr>
        <w:t>other than public</w:t>
      </w:r>
      <w:r w:rsidRPr="0032216C" w:rsidR="002F5683">
        <w:rPr>
          <w:rFonts w:ascii="Times New Roman" w:hAnsi="Times New Roman"/>
          <w:sz w:val="26"/>
          <w:szCs w:val="24"/>
        </w:rPr>
        <w:t xml:space="preserve"> </w:t>
      </w:r>
      <w:r w:rsidRPr="0032216C">
        <w:rPr>
          <w:rFonts w:ascii="Times New Roman" w:hAnsi="Times New Roman"/>
          <w:sz w:val="26"/>
          <w:szCs w:val="24"/>
        </w:rPr>
        <w:t xml:space="preserve">treatment of the information, they must submit a request for the Commission to treat this information as </w:t>
      </w:r>
      <w:r w:rsidR="002F5683">
        <w:rPr>
          <w:rFonts w:ascii="Times New Roman" w:hAnsi="Times New Roman"/>
          <w:sz w:val="26"/>
          <w:szCs w:val="24"/>
        </w:rPr>
        <w:t>such</w:t>
      </w:r>
      <w:r w:rsidRPr="0032216C">
        <w:rPr>
          <w:rFonts w:ascii="Times New Roman" w:hAnsi="Times New Roman"/>
          <w:sz w:val="26"/>
          <w:szCs w:val="24"/>
        </w:rPr>
        <w:t>, consistent with 18 CFR 388.112.</w:t>
      </w:r>
    </w:p>
    <w:p w:rsidRPr="0032216C" w:rsidR="00F0627E" w:rsidP="007445A8" w:rsidRDefault="00F0627E" w14:paraId="40555494" w14:textId="77777777">
      <w:pPr>
        <w:spacing w:after="0" w:line="240" w:lineRule="auto"/>
        <w:rPr>
          <w:rFonts w:ascii="Times New Roman" w:hAnsi="Times New Roman"/>
          <w:sz w:val="26"/>
          <w:szCs w:val="24"/>
        </w:rPr>
      </w:pPr>
    </w:p>
    <w:p w:rsidRPr="0032216C" w:rsidR="00F0627E" w:rsidP="00913164" w:rsidRDefault="00F0627E" w14:paraId="249A8D1B" w14:textId="77777777">
      <w:pPr>
        <w:pStyle w:val="ListParagraph"/>
        <w:numPr>
          <w:ilvl w:val="0"/>
          <w:numId w:val="14"/>
        </w:numPr>
        <w:spacing w:after="0" w:line="240" w:lineRule="auto"/>
        <w:ind w:left="360"/>
        <w:rPr>
          <w:rFonts w:ascii="Times New Roman" w:hAnsi="Times New Roman"/>
          <w:b/>
          <w:sz w:val="26"/>
          <w:szCs w:val="24"/>
        </w:rPr>
      </w:pPr>
      <w:r w:rsidRPr="0032216C">
        <w:rPr>
          <w:rFonts w:ascii="Times New Roman" w:hAnsi="Times New Roman"/>
          <w:b/>
          <w:sz w:val="26"/>
          <w:szCs w:val="24"/>
        </w:rPr>
        <w:t>PROVIDE ADDITIONAL JUSTIFICATION FOR ANY QUESTIONS OF A SENSITIVE NATURE, SUCH AS SEXUAL BEHAVIOR AND ATTITUDES, RELIGIOUS BELIEFS, AND OTHER MATTERS THAT ARE COMMONLY CONSIDERED PRIVATE.</w:t>
      </w:r>
    </w:p>
    <w:p w:rsidRPr="0032216C" w:rsidR="00F0627E" w:rsidP="007445A8" w:rsidRDefault="00F0627E" w14:paraId="58240865" w14:textId="77777777">
      <w:pPr>
        <w:spacing w:after="0" w:line="240" w:lineRule="auto"/>
        <w:rPr>
          <w:rFonts w:ascii="Times New Roman" w:hAnsi="Times New Roman"/>
          <w:sz w:val="26"/>
          <w:szCs w:val="24"/>
        </w:rPr>
      </w:pPr>
    </w:p>
    <w:p w:rsidRPr="0032216C" w:rsidR="00F0627E" w:rsidP="007445A8" w:rsidRDefault="00F0627E" w14:paraId="7962DE62" w14:textId="76E39879">
      <w:pPr>
        <w:spacing w:after="0" w:line="240" w:lineRule="auto"/>
        <w:rPr>
          <w:rFonts w:ascii="Times New Roman" w:hAnsi="Times New Roman"/>
          <w:sz w:val="26"/>
          <w:szCs w:val="24"/>
        </w:rPr>
      </w:pPr>
      <w:r w:rsidRPr="0032216C">
        <w:rPr>
          <w:rFonts w:ascii="Times New Roman" w:hAnsi="Times New Roman"/>
          <w:sz w:val="26"/>
          <w:szCs w:val="24"/>
        </w:rPr>
        <w:t>There are no questions of a sensitive nature</w:t>
      </w:r>
      <w:r w:rsidRPr="0032216C" w:rsidR="00CA52EE">
        <w:rPr>
          <w:rFonts w:ascii="Times New Roman" w:hAnsi="Times New Roman"/>
          <w:sz w:val="26"/>
          <w:szCs w:val="24"/>
        </w:rPr>
        <w:t xml:space="preserve"> associated with the reporting requirements</w:t>
      </w:r>
      <w:r w:rsidRPr="0032216C">
        <w:rPr>
          <w:rFonts w:ascii="Times New Roman" w:hAnsi="Times New Roman"/>
          <w:sz w:val="26"/>
          <w:szCs w:val="24"/>
        </w:rPr>
        <w:t xml:space="preserve">. </w:t>
      </w:r>
    </w:p>
    <w:p w:rsidRPr="0032216C" w:rsidR="00F0627E" w:rsidP="007445A8" w:rsidRDefault="00F0627E" w14:paraId="60FA51AE" w14:textId="77777777">
      <w:pPr>
        <w:spacing w:after="0" w:line="240" w:lineRule="auto"/>
        <w:rPr>
          <w:rFonts w:ascii="Times New Roman" w:hAnsi="Times New Roman"/>
          <w:sz w:val="26"/>
          <w:szCs w:val="24"/>
        </w:rPr>
      </w:pPr>
    </w:p>
    <w:p w:rsidRPr="0032216C" w:rsidR="00F0627E" w:rsidP="00913164" w:rsidRDefault="00F0627E" w14:paraId="7E1C789E" w14:textId="77777777">
      <w:pPr>
        <w:pStyle w:val="ListParagraph"/>
        <w:numPr>
          <w:ilvl w:val="0"/>
          <w:numId w:val="14"/>
        </w:numPr>
        <w:spacing w:after="0" w:line="240" w:lineRule="auto"/>
        <w:ind w:left="360"/>
        <w:rPr>
          <w:rFonts w:ascii="Times New Roman" w:hAnsi="Times New Roman"/>
          <w:sz w:val="26"/>
          <w:szCs w:val="24"/>
        </w:rPr>
      </w:pPr>
      <w:r w:rsidRPr="0032216C">
        <w:rPr>
          <w:rFonts w:ascii="Times New Roman" w:hAnsi="Times New Roman"/>
          <w:b/>
          <w:sz w:val="26"/>
          <w:szCs w:val="24"/>
        </w:rPr>
        <w:t>ESTIMATED BURDEN OF COLLECTION OF INFORMATION</w:t>
      </w:r>
    </w:p>
    <w:p w:rsidR="00AD2C01" w:rsidP="007445A8" w:rsidRDefault="00AD2C01" w14:paraId="254C41A2" w14:textId="2D1011AA">
      <w:pPr>
        <w:spacing w:after="0" w:line="240" w:lineRule="auto"/>
        <w:rPr>
          <w:rFonts w:ascii="Times New Roman" w:hAnsi="Times New Roman"/>
          <w:sz w:val="26"/>
          <w:szCs w:val="24"/>
        </w:rPr>
      </w:pPr>
    </w:p>
    <w:p w:rsidR="009208CA" w:rsidP="007445A8" w:rsidRDefault="00327FC2" w14:paraId="5C82738F" w14:textId="7CD6FC28">
      <w:pPr>
        <w:spacing w:after="0" w:line="240" w:lineRule="auto"/>
        <w:rPr>
          <w:rFonts w:ascii="Times New Roman" w:hAnsi="Times New Roman"/>
          <w:iCs/>
          <w:sz w:val="26"/>
          <w:szCs w:val="24"/>
        </w:rPr>
      </w:pPr>
      <w:r w:rsidRPr="00327FC2">
        <w:rPr>
          <w:rFonts w:ascii="Times New Roman" w:hAnsi="Times New Roman"/>
          <w:iCs/>
          <w:sz w:val="26"/>
          <w:szCs w:val="24"/>
        </w:rPr>
        <w:t>The burdens are itemized in the following table:</w:t>
      </w:r>
    </w:p>
    <w:p w:rsidR="009208CA" w:rsidRDefault="009208CA" w14:paraId="5E947527" w14:textId="77777777">
      <w:pPr>
        <w:spacing w:after="160" w:line="259" w:lineRule="auto"/>
        <w:rPr>
          <w:rFonts w:ascii="Times New Roman" w:hAnsi="Times New Roman"/>
          <w:iCs/>
          <w:sz w:val="26"/>
          <w:szCs w:val="24"/>
        </w:rPr>
      </w:pPr>
      <w:r>
        <w:rPr>
          <w:rFonts w:ascii="Times New Roman" w:hAnsi="Times New Roman"/>
          <w:iCs/>
          <w:sz w:val="26"/>
          <w:szCs w:val="24"/>
        </w:rPr>
        <w:br w:type="page"/>
      </w:r>
    </w:p>
    <w:p w:rsidR="00750536" w:rsidP="003329AF" w:rsidRDefault="00750536" w14:paraId="4806F35D" w14:textId="1161F6AB">
      <w:pPr>
        <w:spacing w:after="0" w:line="240" w:lineRule="auto"/>
        <w:jc w:val="center"/>
        <w:rPr>
          <w:rFonts w:ascii="Times New Roman" w:hAnsi="Times New Roman"/>
          <w:b/>
          <w:bCs/>
          <w:sz w:val="26"/>
          <w:szCs w:val="24"/>
        </w:rPr>
      </w:pPr>
      <w:r w:rsidRPr="00750536">
        <w:rPr>
          <w:rFonts w:ascii="Times New Roman" w:hAnsi="Times New Roman"/>
          <w:b/>
          <w:bCs/>
          <w:sz w:val="26"/>
          <w:szCs w:val="24"/>
        </w:rPr>
        <w:t>Table 3 ― Estimated Annual Burdens</w:t>
      </w:r>
    </w:p>
    <w:p w:rsidR="00EA4694" w:rsidP="00EA4694" w:rsidRDefault="00EA4694" w14:paraId="7640C1EE" w14:textId="52FCDC3B">
      <w:pPr>
        <w:spacing w:after="0" w:line="240" w:lineRule="auto"/>
        <w:rPr>
          <w:rFonts w:ascii="Times New Roman" w:hAnsi="Times New Roman"/>
          <w:sz w:val="26"/>
          <w:szCs w:val="24"/>
        </w:rPr>
      </w:pPr>
    </w:p>
    <w:tbl>
      <w:tblPr>
        <w:tblStyle w:val="TableGrid"/>
        <w:tblW w:w="0" w:type="auto"/>
        <w:tblLook w:val="04A0" w:firstRow="1" w:lastRow="0" w:firstColumn="1" w:lastColumn="0" w:noHBand="0" w:noVBand="1"/>
      </w:tblPr>
      <w:tblGrid>
        <w:gridCol w:w="2337"/>
        <w:gridCol w:w="2337"/>
        <w:gridCol w:w="2338"/>
        <w:gridCol w:w="2338"/>
      </w:tblGrid>
      <w:tr w:rsidR="0002560F" w:rsidTr="00A46FDE" w14:paraId="222AF679" w14:textId="77777777">
        <w:trPr>
          <w:cantSplit/>
          <w:tblHeader/>
        </w:trPr>
        <w:tc>
          <w:tcPr>
            <w:tcW w:w="2337" w:type="dxa"/>
            <w:shd w:val="clear" w:color="auto" w:fill="D9D9D9" w:themeFill="background1" w:themeFillShade="D9"/>
            <w:vAlign w:val="bottom"/>
          </w:tcPr>
          <w:p w:rsidRPr="00750536" w:rsidR="0002560F" w:rsidP="0002560F" w:rsidRDefault="0002560F" w14:paraId="14FA24AE" w14:textId="77777777">
            <w:pPr>
              <w:spacing w:after="0" w:line="240" w:lineRule="auto"/>
              <w:jc w:val="center"/>
              <w:rPr>
                <w:rFonts w:ascii="Times New Roman" w:hAnsi="Times New Roman"/>
                <w:b/>
                <w:iCs/>
                <w:sz w:val="26"/>
                <w:szCs w:val="24"/>
              </w:rPr>
            </w:pPr>
            <w:r w:rsidRPr="00750536">
              <w:rPr>
                <w:rFonts w:ascii="Times New Roman" w:hAnsi="Times New Roman"/>
                <w:b/>
                <w:iCs/>
                <w:sz w:val="26"/>
                <w:szCs w:val="24"/>
              </w:rPr>
              <w:t>A.</w:t>
            </w:r>
          </w:p>
          <w:p w:rsidR="0002560F" w:rsidP="0002560F" w:rsidRDefault="0002560F" w14:paraId="78AD4904" w14:textId="5B5DDAFC">
            <w:pPr>
              <w:spacing w:after="0" w:line="240" w:lineRule="auto"/>
              <w:jc w:val="center"/>
              <w:rPr>
                <w:rFonts w:ascii="Times New Roman" w:hAnsi="Times New Roman"/>
                <w:sz w:val="26"/>
                <w:szCs w:val="24"/>
              </w:rPr>
            </w:pPr>
            <w:r w:rsidRPr="00750536">
              <w:rPr>
                <w:rFonts w:ascii="Times New Roman" w:hAnsi="Times New Roman"/>
                <w:b/>
                <w:iCs/>
                <w:sz w:val="26"/>
                <w:szCs w:val="24"/>
              </w:rPr>
              <w:t>Type of Response</w:t>
            </w:r>
          </w:p>
        </w:tc>
        <w:tc>
          <w:tcPr>
            <w:tcW w:w="2337" w:type="dxa"/>
            <w:shd w:val="clear" w:color="auto" w:fill="D9D9D9" w:themeFill="background1" w:themeFillShade="D9"/>
            <w:vAlign w:val="bottom"/>
          </w:tcPr>
          <w:p w:rsidRPr="00750536" w:rsidR="0002560F" w:rsidP="0002560F" w:rsidRDefault="0002560F" w14:paraId="5183D887" w14:textId="77777777">
            <w:pPr>
              <w:spacing w:after="0" w:line="240" w:lineRule="auto"/>
              <w:jc w:val="center"/>
              <w:rPr>
                <w:rFonts w:ascii="Times New Roman" w:hAnsi="Times New Roman"/>
                <w:b/>
                <w:iCs/>
                <w:sz w:val="26"/>
                <w:szCs w:val="24"/>
              </w:rPr>
            </w:pPr>
            <w:r w:rsidRPr="00750536">
              <w:rPr>
                <w:rFonts w:ascii="Times New Roman" w:hAnsi="Times New Roman"/>
                <w:b/>
                <w:iCs/>
                <w:sz w:val="26"/>
                <w:szCs w:val="24"/>
              </w:rPr>
              <w:t>B.</w:t>
            </w:r>
          </w:p>
          <w:p w:rsidRPr="00750536" w:rsidR="0002560F" w:rsidP="0002560F" w:rsidRDefault="0002560F" w14:paraId="4A169D4A" w14:textId="77777777">
            <w:pPr>
              <w:spacing w:after="0" w:line="240" w:lineRule="auto"/>
              <w:jc w:val="center"/>
              <w:rPr>
                <w:rFonts w:ascii="Times New Roman" w:hAnsi="Times New Roman"/>
                <w:b/>
                <w:iCs/>
                <w:sz w:val="26"/>
                <w:szCs w:val="24"/>
              </w:rPr>
            </w:pPr>
            <w:r w:rsidRPr="00750536">
              <w:rPr>
                <w:rFonts w:ascii="Times New Roman" w:hAnsi="Times New Roman"/>
                <w:b/>
                <w:iCs/>
                <w:sz w:val="26"/>
                <w:szCs w:val="24"/>
              </w:rPr>
              <w:t>Number of Respondents</w:t>
            </w:r>
          </w:p>
          <w:p w:rsidR="0002560F" w:rsidP="0002560F" w:rsidRDefault="0002560F" w14:paraId="2AD729AC" w14:textId="609D0F73">
            <w:pPr>
              <w:spacing w:after="0" w:line="240" w:lineRule="auto"/>
              <w:jc w:val="center"/>
              <w:rPr>
                <w:rFonts w:ascii="Times New Roman" w:hAnsi="Times New Roman"/>
                <w:sz w:val="26"/>
                <w:szCs w:val="24"/>
              </w:rPr>
            </w:pPr>
            <w:r w:rsidRPr="00750536">
              <w:rPr>
                <w:rFonts w:ascii="Times New Roman" w:hAnsi="Times New Roman"/>
                <w:b/>
                <w:iCs/>
                <w:sz w:val="26"/>
                <w:szCs w:val="24"/>
              </w:rPr>
              <w:t>And Responses</w:t>
            </w:r>
            <w:r w:rsidRPr="00750536">
              <w:rPr>
                <w:rFonts w:ascii="Times New Roman" w:hAnsi="Times New Roman"/>
                <w:iCs/>
                <w:sz w:val="26"/>
                <w:szCs w:val="24"/>
                <w:vertAlign w:val="superscript"/>
              </w:rPr>
              <w:footnoteReference w:id="15"/>
            </w:r>
          </w:p>
        </w:tc>
        <w:tc>
          <w:tcPr>
            <w:tcW w:w="2338" w:type="dxa"/>
            <w:shd w:val="clear" w:color="auto" w:fill="D9D9D9" w:themeFill="background1" w:themeFillShade="D9"/>
            <w:vAlign w:val="bottom"/>
          </w:tcPr>
          <w:p w:rsidRPr="00750536" w:rsidR="0002560F" w:rsidP="0002560F" w:rsidRDefault="0002560F" w14:paraId="6F3D286B" w14:textId="77777777">
            <w:pPr>
              <w:spacing w:after="0" w:line="240" w:lineRule="auto"/>
              <w:jc w:val="center"/>
              <w:rPr>
                <w:rFonts w:ascii="Times New Roman" w:hAnsi="Times New Roman"/>
                <w:b/>
                <w:iCs/>
                <w:sz w:val="26"/>
                <w:szCs w:val="24"/>
              </w:rPr>
            </w:pPr>
            <w:r w:rsidRPr="00750536">
              <w:rPr>
                <w:rFonts w:ascii="Times New Roman" w:hAnsi="Times New Roman"/>
                <w:b/>
                <w:iCs/>
                <w:sz w:val="26"/>
                <w:szCs w:val="24"/>
              </w:rPr>
              <w:t>C.</w:t>
            </w:r>
          </w:p>
          <w:p w:rsidR="0002560F" w:rsidP="0002560F" w:rsidRDefault="0002560F" w14:paraId="1B6671D8" w14:textId="18447F05">
            <w:pPr>
              <w:spacing w:after="0" w:line="240" w:lineRule="auto"/>
              <w:jc w:val="center"/>
              <w:rPr>
                <w:rFonts w:ascii="Times New Roman" w:hAnsi="Times New Roman"/>
                <w:sz w:val="26"/>
                <w:szCs w:val="24"/>
              </w:rPr>
            </w:pPr>
            <w:r w:rsidRPr="00750536">
              <w:rPr>
                <w:rFonts w:ascii="Times New Roman" w:hAnsi="Times New Roman"/>
                <w:b/>
                <w:iCs/>
                <w:sz w:val="26"/>
                <w:szCs w:val="24"/>
              </w:rPr>
              <w:t>Average Burden &amp; Cost</w:t>
            </w:r>
            <w:r w:rsidRPr="00750536">
              <w:rPr>
                <w:rFonts w:ascii="Times New Roman" w:hAnsi="Times New Roman"/>
                <w:b/>
                <w:iCs/>
                <w:sz w:val="26"/>
                <w:szCs w:val="24"/>
                <w:vertAlign w:val="superscript"/>
              </w:rPr>
              <w:footnoteReference w:id="16"/>
            </w:r>
            <w:r w:rsidRPr="00750536">
              <w:rPr>
                <w:rFonts w:ascii="Times New Roman" w:hAnsi="Times New Roman"/>
                <w:b/>
                <w:iCs/>
                <w:sz w:val="26"/>
                <w:szCs w:val="24"/>
              </w:rPr>
              <w:t xml:space="preserve"> Per Response</w:t>
            </w:r>
          </w:p>
        </w:tc>
        <w:tc>
          <w:tcPr>
            <w:tcW w:w="2338" w:type="dxa"/>
            <w:shd w:val="clear" w:color="auto" w:fill="D9D9D9" w:themeFill="background1" w:themeFillShade="D9"/>
            <w:vAlign w:val="bottom"/>
          </w:tcPr>
          <w:p w:rsidRPr="00750536" w:rsidR="0002560F" w:rsidP="0002560F" w:rsidRDefault="0002560F" w14:paraId="4EAE8BE2" w14:textId="77777777">
            <w:pPr>
              <w:spacing w:after="0" w:line="240" w:lineRule="auto"/>
              <w:jc w:val="center"/>
              <w:rPr>
                <w:rFonts w:ascii="Times New Roman" w:hAnsi="Times New Roman"/>
                <w:b/>
                <w:iCs/>
                <w:sz w:val="26"/>
                <w:szCs w:val="24"/>
              </w:rPr>
            </w:pPr>
            <w:r w:rsidRPr="00750536">
              <w:rPr>
                <w:rFonts w:ascii="Times New Roman" w:hAnsi="Times New Roman"/>
                <w:b/>
                <w:iCs/>
                <w:sz w:val="26"/>
                <w:szCs w:val="24"/>
              </w:rPr>
              <w:t>D.</w:t>
            </w:r>
          </w:p>
          <w:p w:rsidRPr="00750536" w:rsidR="0002560F" w:rsidP="0002560F" w:rsidRDefault="0002560F" w14:paraId="19393BE3" w14:textId="77777777">
            <w:pPr>
              <w:spacing w:after="0" w:line="240" w:lineRule="auto"/>
              <w:jc w:val="center"/>
              <w:rPr>
                <w:rFonts w:ascii="Times New Roman" w:hAnsi="Times New Roman"/>
                <w:b/>
                <w:iCs/>
                <w:sz w:val="26"/>
                <w:szCs w:val="24"/>
              </w:rPr>
            </w:pPr>
            <w:r w:rsidRPr="00750536">
              <w:rPr>
                <w:rFonts w:ascii="Times New Roman" w:hAnsi="Times New Roman"/>
                <w:b/>
                <w:iCs/>
                <w:sz w:val="26"/>
                <w:szCs w:val="24"/>
              </w:rPr>
              <w:t>Average Annual Burden Hours &amp; Total Annual Cost</w:t>
            </w:r>
          </w:p>
          <w:p w:rsidR="0002560F" w:rsidP="0002560F" w:rsidRDefault="0002560F" w14:paraId="442A3473" w14:textId="43BB44B0">
            <w:pPr>
              <w:spacing w:after="0" w:line="240" w:lineRule="auto"/>
              <w:jc w:val="center"/>
              <w:rPr>
                <w:rFonts w:ascii="Times New Roman" w:hAnsi="Times New Roman"/>
                <w:sz w:val="26"/>
                <w:szCs w:val="24"/>
              </w:rPr>
            </w:pPr>
            <w:r w:rsidRPr="00750536">
              <w:rPr>
                <w:rFonts w:ascii="Times New Roman" w:hAnsi="Times New Roman"/>
                <w:b/>
                <w:iCs/>
                <w:sz w:val="26"/>
                <w:szCs w:val="24"/>
              </w:rPr>
              <w:t>(Column B x Column C)</w:t>
            </w:r>
          </w:p>
        </w:tc>
      </w:tr>
      <w:tr w:rsidR="00E67EDF" w:rsidTr="00445B14" w14:paraId="75121A34" w14:textId="77777777">
        <w:trPr>
          <w:cantSplit/>
        </w:trPr>
        <w:tc>
          <w:tcPr>
            <w:tcW w:w="2337" w:type="dxa"/>
            <w:vAlign w:val="center"/>
          </w:tcPr>
          <w:p w:rsidR="00E67EDF" w:rsidP="00E67EDF" w:rsidRDefault="00E67EDF" w14:paraId="653E3980" w14:textId="5253A1FC">
            <w:pPr>
              <w:spacing w:after="0" w:line="240" w:lineRule="auto"/>
              <w:rPr>
                <w:rFonts w:ascii="Times New Roman" w:hAnsi="Times New Roman"/>
                <w:sz w:val="26"/>
                <w:szCs w:val="24"/>
              </w:rPr>
            </w:pPr>
            <w:r w:rsidRPr="000F7729">
              <w:rPr>
                <w:rFonts w:ascii="Times New Roman" w:hAnsi="Times New Roman"/>
                <w:iCs/>
                <w:sz w:val="26"/>
                <w:szCs w:val="24"/>
              </w:rPr>
              <w:t xml:space="preserve">FERC-500, </w:t>
            </w:r>
            <w:r w:rsidRPr="000F7729">
              <w:rPr>
                <w:rFonts w:ascii="Times New Roman" w:hAnsi="Times New Roman"/>
                <w:iCs/>
                <w:sz w:val="26"/>
                <w:szCs w:val="24"/>
              </w:rPr>
              <w:br/>
              <w:t xml:space="preserve">Application for License / Relicense </w:t>
            </w:r>
            <w:r w:rsidR="008F36C3">
              <w:rPr>
                <w:rFonts w:ascii="Times New Roman" w:hAnsi="Times New Roman"/>
                <w:iCs/>
                <w:sz w:val="26"/>
                <w:szCs w:val="24"/>
              </w:rPr>
              <w:t xml:space="preserve">of </w:t>
            </w:r>
            <w:r w:rsidRPr="000F7729">
              <w:rPr>
                <w:rFonts w:ascii="Times New Roman" w:hAnsi="Times New Roman"/>
                <w:iCs/>
                <w:sz w:val="26"/>
                <w:szCs w:val="24"/>
              </w:rPr>
              <w:t>Water Projects with Greater than 10 MW Capacity</w:t>
            </w:r>
            <w:r w:rsidRPr="000F7729">
              <w:rPr>
                <w:rFonts w:ascii="Times New Roman" w:hAnsi="Times New Roman"/>
                <w:b/>
                <w:iCs/>
                <w:sz w:val="26"/>
                <w:szCs w:val="24"/>
                <w:vertAlign w:val="superscript"/>
              </w:rPr>
              <w:footnoteReference w:id="17"/>
            </w:r>
          </w:p>
        </w:tc>
        <w:tc>
          <w:tcPr>
            <w:tcW w:w="2337" w:type="dxa"/>
            <w:vAlign w:val="bottom"/>
          </w:tcPr>
          <w:p w:rsidR="00E67EDF" w:rsidP="009F3FE3" w:rsidRDefault="00E67EDF" w14:paraId="1F30D086" w14:textId="4360E2DE">
            <w:pPr>
              <w:spacing w:after="0" w:line="240" w:lineRule="auto"/>
              <w:jc w:val="right"/>
              <w:rPr>
                <w:rFonts w:ascii="Times New Roman" w:hAnsi="Times New Roman"/>
                <w:sz w:val="26"/>
                <w:szCs w:val="24"/>
              </w:rPr>
            </w:pPr>
            <w:r w:rsidRPr="000F7729">
              <w:rPr>
                <w:rFonts w:ascii="Times New Roman" w:hAnsi="Times New Roman"/>
                <w:iCs/>
                <w:sz w:val="26"/>
                <w:szCs w:val="24"/>
              </w:rPr>
              <w:t>9</w:t>
            </w:r>
          </w:p>
        </w:tc>
        <w:tc>
          <w:tcPr>
            <w:tcW w:w="2338" w:type="dxa"/>
            <w:vAlign w:val="bottom"/>
          </w:tcPr>
          <w:p w:rsidRPr="000F7729" w:rsidR="00E67EDF" w:rsidP="009F3FE3" w:rsidRDefault="00E67EDF" w14:paraId="76EC271A"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35,602.55 hrs.;</w:t>
            </w:r>
          </w:p>
          <w:p w:rsidR="00E67EDF" w:rsidP="009F3FE3" w:rsidRDefault="00E67EDF" w14:paraId="2EBC632C" w14:textId="5CA50316">
            <w:pPr>
              <w:spacing w:after="0" w:line="240" w:lineRule="auto"/>
              <w:jc w:val="right"/>
              <w:rPr>
                <w:rFonts w:ascii="Times New Roman" w:hAnsi="Times New Roman"/>
                <w:sz w:val="26"/>
                <w:szCs w:val="24"/>
              </w:rPr>
            </w:pPr>
            <w:r w:rsidRPr="000F7729">
              <w:rPr>
                <w:rFonts w:ascii="Times New Roman" w:hAnsi="Times New Roman"/>
                <w:iCs/>
                <w:sz w:val="26"/>
                <w:szCs w:val="24"/>
              </w:rPr>
              <w:t>$3,097,421.85</w:t>
            </w:r>
          </w:p>
        </w:tc>
        <w:tc>
          <w:tcPr>
            <w:tcW w:w="2338" w:type="dxa"/>
            <w:vAlign w:val="bottom"/>
          </w:tcPr>
          <w:p w:rsidRPr="000F7729" w:rsidR="00E67EDF" w:rsidP="009F3FE3" w:rsidRDefault="00E67EDF" w14:paraId="41743989"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320,422.95 hrs.;</w:t>
            </w:r>
          </w:p>
          <w:p w:rsidR="00E67EDF" w:rsidP="009F3FE3" w:rsidRDefault="00E67EDF" w14:paraId="0C355532" w14:textId="22D00EBE">
            <w:pPr>
              <w:spacing w:after="0" w:line="240" w:lineRule="auto"/>
              <w:jc w:val="right"/>
              <w:rPr>
                <w:rFonts w:ascii="Times New Roman" w:hAnsi="Times New Roman"/>
                <w:sz w:val="26"/>
                <w:szCs w:val="24"/>
              </w:rPr>
            </w:pPr>
            <w:r w:rsidRPr="000F7729">
              <w:rPr>
                <w:rFonts w:ascii="Times New Roman" w:hAnsi="Times New Roman"/>
                <w:iCs/>
                <w:sz w:val="26"/>
                <w:szCs w:val="24"/>
              </w:rPr>
              <w:t xml:space="preserve">$27,876,796.65 </w:t>
            </w:r>
          </w:p>
        </w:tc>
      </w:tr>
      <w:tr w:rsidR="00E67EDF" w:rsidTr="00445B14" w14:paraId="67E45C95" w14:textId="77777777">
        <w:trPr>
          <w:cantSplit/>
        </w:trPr>
        <w:tc>
          <w:tcPr>
            <w:tcW w:w="2337" w:type="dxa"/>
            <w:vAlign w:val="center"/>
          </w:tcPr>
          <w:p w:rsidR="00E67EDF" w:rsidP="00E67EDF" w:rsidRDefault="00E67EDF" w14:paraId="52844230" w14:textId="22D25DED">
            <w:pPr>
              <w:spacing w:after="0" w:line="240" w:lineRule="auto"/>
              <w:rPr>
                <w:rFonts w:ascii="Times New Roman" w:hAnsi="Times New Roman"/>
                <w:sz w:val="26"/>
                <w:szCs w:val="24"/>
              </w:rPr>
            </w:pPr>
            <w:r w:rsidRPr="000F7729">
              <w:rPr>
                <w:rFonts w:ascii="Times New Roman" w:hAnsi="Times New Roman"/>
                <w:iCs/>
                <w:sz w:val="26"/>
                <w:szCs w:val="24"/>
              </w:rPr>
              <w:t>FERC-500, Request for Authorization to Use Expedited Licensing Process</w:t>
            </w:r>
          </w:p>
        </w:tc>
        <w:tc>
          <w:tcPr>
            <w:tcW w:w="2337" w:type="dxa"/>
            <w:vAlign w:val="bottom"/>
          </w:tcPr>
          <w:p w:rsidR="00E67EDF" w:rsidP="009F3FE3" w:rsidRDefault="00E67EDF" w14:paraId="36EC0AAC" w14:textId="7B6A0AD6">
            <w:pPr>
              <w:spacing w:after="0" w:line="240" w:lineRule="auto"/>
              <w:jc w:val="right"/>
              <w:rPr>
                <w:rFonts w:ascii="Times New Roman" w:hAnsi="Times New Roman"/>
                <w:sz w:val="26"/>
                <w:szCs w:val="24"/>
              </w:rPr>
            </w:pPr>
            <w:r w:rsidRPr="000F7729">
              <w:rPr>
                <w:rFonts w:ascii="Times New Roman" w:hAnsi="Times New Roman"/>
                <w:iCs/>
                <w:sz w:val="26"/>
                <w:szCs w:val="24"/>
              </w:rPr>
              <w:t>5</w:t>
            </w:r>
          </w:p>
        </w:tc>
        <w:tc>
          <w:tcPr>
            <w:tcW w:w="2338" w:type="dxa"/>
            <w:vAlign w:val="bottom"/>
          </w:tcPr>
          <w:p w:rsidRPr="000F7729" w:rsidR="00E67EDF" w:rsidP="009F3FE3" w:rsidRDefault="00E67EDF" w14:paraId="2E2EA75C"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40 hrs.;</w:t>
            </w:r>
          </w:p>
          <w:p w:rsidR="00E67EDF" w:rsidP="009F3FE3" w:rsidRDefault="00E67EDF" w14:paraId="18623D28" w14:textId="4ED73263">
            <w:pPr>
              <w:spacing w:after="0" w:line="240" w:lineRule="auto"/>
              <w:jc w:val="right"/>
              <w:rPr>
                <w:rFonts w:ascii="Times New Roman" w:hAnsi="Times New Roman"/>
                <w:sz w:val="26"/>
                <w:szCs w:val="24"/>
              </w:rPr>
            </w:pPr>
            <w:r w:rsidRPr="000F7729">
              <w:rPr>
                <w:rFonts w:ascii="Times New Roman" w:hAnsi="Times New Roman"/>
                <w:iCs/>
                <w:sz w:val="26"/>
                <w:szCs w:val="24"/>
              </w:rPr>
              <w:t>$3,480</w:t>
            </w:r>
          </w:p>
        </w:tc>
        <w:tc>
          <w:tcPr>
            <w:tcW w:w="2338" w:type="dxa"/>
            <w:vAlign w:val="bottom"/>
          </w:tcPr>
          <w:p w:rsidRPr="000F7729" w:rsidR="00E67EDF" w:rsidP="009F3FE3" w:rsidRDefault="00E67EDF" w14:paraId="30B4E21F"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200 hrs.;</w:t>
            </w:r>
          </w:p>
          <w:p w:rsidR="00E67EDF" w:rsidP="009F3FE3" w:rsidRDefault="00E67EDF" w14:paraId="0BD0E4C0" w14:textId="26539728">
            <w:pPr>
              <w:spacing w:after="0" w:line="240" w:lineRule="auto"/>
              <w:jc w:val="right"/>
              <w:rPr>
                <w:rFonts w:ascii="Times New Roman" w:hAnsi="Times New Roman"/>
                <w:sz w:val="26"/>
                <w:szCs w:val="24"/>
              </w:rPr>
            </w:pPr>
            <w:r w:rsidRPr="000F7729">
              <w:rPr>
                <w:rFonts w:ascii="Times New Roman" w:hAnsi="Times New Roman"/>
                <w:iCs/>
                <w:sz w:val="26"/>
                <w:szCs w:val="24"/>
              </w:rPr>
              <w:t>$17,400</w:t>
            </w:r>
          </w:p>
        </w:tc>
      </w:tr>
      <w:tr w:rsidR="00E67EDF" w:rsidTr="00445B14" w14:paraId="65BD9F85" w14:textId="77777777">
        <w:trPr>
          <w:cantSplit/>
        </w:trPr>
        <w:tc>
          <w:tcPr>
            <w:tcW w:w="2337" w:type="dxa"/>
            <w:vAlign w:val="center"/>
          </w:tcPr>
          <w:p w:rsidR="00E67EDF" w:rsidP="00E67EDF" w:rsidRDefault="00E67EDF" w14:paraId="3EC0C13B" w14:textId="6FDA8F7A">
            <w:pPr>
              <w:spacing w:after="0" w:line="240" w:lineRule="auto"/>
              <w:rPr>
                <w:rFonts w:ascii="Times New Roman" w:hAnsi="Times New Roman"/>
                <w:sz w:val="26"/>
                <w:szCs w:val="24"/>
              </w:rPr>
            </w:pPr>
            <w:r w:rsidRPr="000F7729">
              <w:rPr>
                <w:rFonts w:ascii="Times New Roman" w:hAnsi="Times New Roman"/>
                <w:iCs/>
                <w:sz w:val="26"/>
                <w:szCs w:val="24"/>
              </w:rPr>
              <w:t>FERC-500, Annual Conveyance Reports</w:t>
            </w:r>
          </w:p>
        </w:tc>
        <w:tc>
          <w:tcPr>
            <w:tcW w:w="2337" w:type="dxa"/>
            <w:vAlign w:val="bottom"/>
          </w:tcPr>
          <w:p w:rsidR="00E67EDF" w:rsidP="009F3FE3" w:rsidRDefault="00E67EDF" w14:paraId="03C1CD01" w14:textId="2EBF3322">
            <w:pPr>
              <w:spacing w:after="0" w:line="240" w:lineRule="auto"/>
              <w:jc w:val="right"/>
              <w:rPr>
                <w:rFonts w:ascii="Times New Roman" w:hAnsi="Times New Roman"/>
                <w:sz w:val="26"/>
                <w:szCs w:val="24"/>
              </w:rPr>
            </w:pPr>
            <w:r w:rsidRPr="000F7729">
              <w:rPr>
                <w:rFonts w:ascii="Times New Roman" w:hAnsi="Times New Roman"/>
                <w:iCs/>
                <w:sz w:val="26"/>
                <w:szCs w:val="24"/>
              </w:rPr>
              <w:t>41</w:t>
            </w:r>
          </w:p>
        </w:tc>
        <w:tc>
          <w:tcPr>
            <w:tcW w:w="2338" w:type="dxa"/>
            <w:vAlign w:val="bottom"/>
          </w:tcPr>
          <w:p w:rsidRPr="000F7729" w:rsidR="00E67EDF" w:rsidP="009F3FE3" w:rsidRDefault="00E67EDF" w14:paraId="781963E8"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3 hrs.;</w:t>
            </w:r>
          </w:p>
          <w:p w:rsidR="00E67EDF" w:rsidP="009F3FE3" w:rsidRDefault="00E67EDF" w14:paraId="3CE2474D" w14:textId="011AC335">
            <w:pPr>
              <w:spacing w:after="0" w:line="240" w:lineRule="auto"/>
              <w:jc w:val="right"/>
              <w:rPr>
                <w:rFonts w:ascii="Times New Roman" w:hAnsi="Times New Roman"/>
                <w:sz w:val="26"/>
                <w:szCs w:val="24"/>
              </w:rPr>
            </w:pPr>
            <w:r w:rsidRPr="000F7729">
              <w:rPr>
                <w:rFonts w:ascii="Times New Roman" w:hAnsi="Times New Roman"/>
                <w:iCs/>
                <w:sz w:val="26"/>
                <w:szCs w:val="24"/>
              </w:rPr>
              <w:t>$261</w:t>
            </w:r>
          </w:p>
        </w:tc>
        <w:tc>
          <w:tcPr>
            <w:tcW w:w="2338" w:type="dxa"/>
            <w:vAlign w:val="bottom"/>
          </w:tcPr>
          <w:p w:rsidRPr="000F7729" w:rsidR="00E67EDF" w:rsidP="009F3FE3" w:rsidRDefault="00E67EDF" w14:paraId="7ABF688B"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123 hrs.;</w:t>
            </w:r>
          </w:p>
          <w:p w:rsidR="00E67EDF" w:rsidP="009F3FE3" w:rsidRDefault="00E67EDF" w14:paraId="4FD627B1" w14:textId="1C1AA7B7">
            <w:pPr>
              <w:spacing w:after="0" w:line="240" w:lineRule="auto"/>
              <w:jc w:val="right"/>
              <w:rPr>
                <w:rFonts w:ascii="Times New Roman" w:hAnsi="Times New Roman"/>
                <w:sz w:val="26"/>
                <w:szCs w:val="24"/>
              </w:rPr>
            </w:pPr>
            <w:r w:rsidRPr="000F7729">
              <w:rPr>
                <w:rFonts w:ascii="Times New Roman" w:hAnsi="Times New Roman"/>
                <w:iCs/>
                <w:sz w:val="26"/>
                <w:szCs w:val="24"/>
              </w:rPr>
              <w:t>$10,701</w:t>
            </w:r>
          </w:p>
        </w:tc>
      </w:tr>
      <w:tr w:rsidR="00E67EDF" w:rsidTr="00445B14" w14:paraId="63234BE2" w14:textId="77777777">
        <w:trPr>
          <w:cantSplit/>
        </w:trPr>
        <w:tc>
          <w:tcPr>
            <w:tcW w:w="2337" w:type="dxa"/>
            <w:vAlign w:val="center"/>
          </w:tcPr>
          <w:p w:rsidR="00E67EDF" w:rsidP="00E67EDF" w:rsidRDefault="00E67EDF" w14:paraId="369D9293" w14:textId="45A0E93A">
            <w:pPr>
              <w:spacing w:after="0" w:line="240" w:lineRule="auto"/>
              <w:rPr>
                <w:rFonts w:ascii="Times New Roman" w:hAnsi="Times New Roman"/>
                <w:sz w:val="26"/>
                <w:szCs w:val="24"/>
              </w:rPr>
            </w:pPr>
            <w:r w:rsidRPr="000F7729">
              <w:rPr>
                <w:rFonts w:ascii="Times New Roman" w:hAnsi="Times New Roman"/>
                <w:iCs/>
                <w:sz w:val="26"/>
                <w:szCs w:val="24"/>
              </w:rPr>
              <w:t>FERC-500, Recreation Posting</w:t>
            </w:r>
          </w:p>
        </w:tc>
        <w:tc>
          <w:tcPr>
            <w:tcW w:w="2337" w:type="dxa"/>
            <w:vAlign w:val="bottom"/>
          </w:tcPr>
          <w:p w:rsidR="00E67EDF" w:rsidP="009F3FE3" w:rsidRDefault="00E67EDF" w14:paraId="560CE266" w14:textId="50999230">
            <w:pPr>
              <w:spacing w:after="0" w:line="240" w:lineRule="auto"/>
              <w:jc w:val="right"/>
              <w:rPr>
                <w:rFonts w:ascii="Times New Roman" w:hAnsi="Times New Roman"/>
                <w:sz w:val="26"/>
                <w:szCs w:val="24"/>
              </w:rPr>
            </w:pPr>
            <w:r w:rsidRPr="000F7729">
              <w:rPr>
                <w:rFonts w:ascii="Times New Roman" w:hAnsi="Times New Roman"/>
                <w:iCs/>
                <w:sz w:val="26"/>
                <w:szCs w:val="24"/>
              </w:rPr>
              <w:t>432</w:t>
            </w:r>
          </w:p>
        </w:tc>
        <w:tc>
          <w:tcPr>
            <w:tcW w:w="2338" w:type="dxa"/>
            <w:vAlign w:val="bottom"/>
          </w:tcPr>
          <w:p w:rsidRPr="000F7729" w:rsidR="00E67EDF" w:rsidP="009F3FE3" w:rsidRDefault="00E67EDF" w14:paraId="73D4E410"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0.5 hr.;</w:t>
            </w:r>
          </w:p>
          <w:p w:rsidR="00E67EDF" w:rsidP="009F3FE3" w:rsidRDefault="00E67EDF" w14:paraId="47564A75" w14:textId="493E2C4D">
            <w:pPr>
              <w:spacing w:after="0" w:line="240" w:lineRule="auto"/>
              <w:jc w:val="right"/>
              <w:rPr>
                <w:rFonts w:ascii="Times New Roman" w:hAnsi="Times New Roman"/>
                <w:sz w:val="26"/>
                <w:szCs w:val="24"/>
              </w:rPr>
            </w:pPr>
            <w:r w:rsidRPr="000F7729">
              <w:rPr>
                <w:rFonts w:ascii="Times New Roman" w:hAnsi="Times New Roman"/>
                <w:iCs/>
                <w:sz w:val="26"/>
                <w:szCs w:val="24"/>
              </w:rPr>
              <w:t>$43.50</w:t>
            </w:r>
          </w:p>
        </w:tc>
        <w:tc>
          <w:tcPr>
            <w:tcW w:w="2338" w:type="dxa"/>
            <w:vAlign w:val="bottom"/>
          </w:tcPr>
          <w:p w:rsidRPr="000F7729" w:rsidR="00E67EDF" w:rsidP="009F3FE3" w:rsidRDefault="00E67EDF" w14:paraId="713674CA"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216 hrs.;</w:t>
            </w:r>
          </w:p>
          <w:p w:rsidR="00E67EDF" w:rsidP="009F3FE3" w:rsidRDefault="00E67EDF" w14:paraId="54733774" w14:textId="512B5C06">
            <w:pPr>
              <w:spacing w:after="0" w:line="240" w:lineRule="auto"/>
              <w:jc w:val="right"/>
              <w:rPr>
                <w:rFonts w:ascii="Times New Roman" w:hAnsi="Times New Roman"/>
                <w:sz w:val="26"/>
                <w:szCs w:val="24"/>
              </w:rPr>
            </w:pPr>
            <w:r w:rsidRPr="000F7729">
              <w:rPr>
                <w:rFonts w:ascii="Times New Roman" w:hAnsi="Times New Roman"/>
                <w:iCs/>
                <w:sz w:val="26"/>
                <w:szCs w:val="24"/>
              </w:rPr>
              <w:t>$18,792</w:t>
            </w:r>
          </w:p>
        </w:tc>
      </w:tr>
      <w:tr w:rsidR="00E67EDF" w:rsidTr="003E31E1" w14:paraId="02631A6D" w14:textId="77777777">
        <w:trPr>
          <w:cantSplit/>
        </w:trPr>
        <w:tc>
          <w:tcPr>
            <w:tcW w:w="2337" w:type="dxa"/>
            <w:vAlign w:val="center"/>
          </w:tcPr>
          <w:p w:rsidR="00E67EDF" w:rsidP="00E67EDF" w:rsidRDefault="00E67EDF" w14:paraId="5C2308C6" w14:textId="077628BA">
            <w:pPr>
              <w:spacing w:after="0" w:line="240" w:lineRule="auto"/>
              <w:rPr>
                <w:rFonts w:ascii="Times New Roman" w:hAnsi="Times New Roman"/>
                <w:sz w:val="26"/>
                <w:szCs w:val="24"/>
              </w:rPr>
            </w:pPr>
            <w:r w:rsidRPr="000F7729">
              <w:rPr>
                <w:rFonts w:ascii="Times New Roman" w:hAnsi="Times New Roman"/>
                <w:b/>
                <w:bCs/>
                <w:iCs/>
                <w:sz w:val="26"/>
                <w:szCs w:val="24"/>
              </w:rPr>
              <w:t>Subtotals for FERC-500</w:t>
            </w:r>
          </w:p>
        </w:tc>
        <w:tc>
          <w:tcPr>
            <w:tcW w:w="2337" w:type="dxa"/>
            <w:vAlign w:val="bottom"/>
          </w:tcPr>
          <w:p w:rsidR="00E67EDF" w:rsidP="009F3FE3" w:rsidRDefault="00E67EDF" w14:paraId="47146E71" w14:textId="5B05132D">
            <w:pPr>
              <w:spacing w:after="0" w:line="240" w:lineRule="auto"/>
              <w:jc w:val="right"/>
              <w:rPr>
                <w:rFonts w:ascii="Times New Roman" w:hAnsi="Times New Roman"/>
                <w:sz w:val="26"/>
                <w:szCs w:val="24"/>
              </w:rPr>
            </w:pPr>
            <w:r w:rsidRPr="000F7729">
              <w:rPr>
                <w:rFonts w:ascii="Times New Roman" w:hAnsi="Times New Roman"/>
                <w:iCs/>
                <w:sz w:val="26"/>
                <w:szCs w:val="24"/>
              </w:rPr>
              <w:t>487</w:t>
            </w:r>
          </w:p>
        </w:tc>
        <w:tc>
          <w:tcPr>
            <w:tcW w:w="2338" w:type="dxa"/>
            <w:shd w:val="clear" w:color="auto" w:fill="D9D9D9" w:themeFill="background1" w:themeFillShade="D9"/>
            <w:vAlign w:val="bottom"/>
          </w:tcPr>
          <w:p w:rsidR="00E67EDF" w:rsidP="009F3FE3" w:rsidRDefault="00E67EDF" w14:paraId="75DDCF12" w14:textId="77777777">
            <w:pPr>
              <w:spacing w:after="0" w:line="240" w:lineRule="auto"/>
              <w:jc w:val="right"/>
              <w:rPr>
                <w:rFonts w:ascii="Times New Roman" w:hAnsi="Times New Roman"/>
                <w:sz w:val="26"/>
                <w:szCs w:val="24"/>
              </w:rPr>
            </w:pPr>
          </w:p>
        </w:tc>
        <w:tc>
          <w:tcPr>
            <w:tcW w:w="2338" w:type="dxa"/>
            <w:vAlign w:val="bottom"/>
          </w:tcPr>
          <w:p w:rsidRPr="000F7729" w:rsidR="00E67EDF" w:rsidP="009F3FE3" w:rsidRDefault="00E67EDF" w14:paraId="6CBD9A9C"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320,961.95 hrs.;</w:t>
            </w:r>
          </w:p>
          <w:p w:rsidR="00E67EDF" w:rsidP="009F3FE3" w:rsidRDefault="00E67EDF" w14:paraId="595DE690" w14:textId="40E136C7">
            <w:pPr>
              <w:spacing w:after="0" w:line="240" w:lineRule="auto"/>
              <w:jc w:val="right"/>
              <w:rPr>
                <w:rFonts w:ascii="Times New Roman" w:hAnsi="Times New Roman"/>
                <w:sz w:val="26"/>
                <w:szCs w:val="24"/>
              </w:rPr>
            </w:pPr>
            <w:r w:rsidRPr="000F7729">
              <w:rPr>
                <w:rFonts w:ascii="Times New Roman" w:hAnsi="Times New Roman"/>
                <w:iCs/>
                <w:sz w:val="26"/>
                <w:szCs w:val="24"/>
              </w:rPr>
              <w:t>$27,923,689.65</w:t>
            </w:r>
          </w:p>
        </w:tc>
      </w:tr>
      <w:tr w:rsidR="00E67EDF" w:rsidTr="00445B14" w14:paraId="0D809BC0" w14:textId="77777777">
        <w:trPr>
          <w:cantSplit/>
        </w:trPr>
        <w:tc>
          <w:tcPr>
            <w:tcW w:w="2337" w:type="dxa"/>
            <w:vAlign w:val="center"/>
          </w:tcPr>
          <w:p w:rsidR="00E67EDF" w:rsidP="00E67EDF" w:rsidRDefault="00E67EDF" w14:paraId="2EF98198" w14:textId="397FF746">
            <w:pPr>
              <w:spacing w:after="0" w:line="240" w:lineRule="auto"/>
              <w:rPr>
                <w:rFonts w:ascii="Times New Roman" w:hAnsi="Times New Roman"/>
                <w:sz w:val="26"/>
                <w:szCs w:val="24"/>
              </w:rPr>
            </w:pPr>
            <w:r w:rsidRPr="000F7729">
              <w:rPr>
                <w:rFonts w:ascii="Times New Roman" w:hAnsi="Times New Roman"/>
                <w:bCs/>
                <w:iCs/>
                <w:sz w:val="26"/>
                <w:szCs w:val="24"/>
              </w:rPr>
              <w:t xml:space="preserve">FERC-505, </w:t>
            </w:r>
            <w:r w:rsidRPr="000F7729">
              <w:rPr>
                <w:rFonts w:ascii="Times New Roman" w:hAnsi="Times New Roman"/>
                <w:iCs/>
                <w:sz w:val="26"/>
                <w:szCs w:val="24"/>
              </w:rPr>
              <w:t xml:space="preserve">for Small Hydropower Projects </w:t>
            </w:r>
            <w:r w:rsidR="00027DC6">
              <w:rPr>
                <w:rFonts w:ascii="Times New Roman" w:hAnsi="Times New Roman"/>
                <w:iCs/>
                <w:sz w:val="26"/>
                <w:szCs w:val="24"/>
              </w:rPr>
              <w:t xml:space="preserve">for License/Relicense, </w:t>
            </w:r>
            <w:r w:rsidRPr="000F7729">
              <w:rPr>
                <w:rFonts w:ascii="Times New Roman" w:hAnsi="Times New Roman"/>
                <w:iCs/>
                <w:sz w:val="26"/>
                <w:szCs w:val="24"/>
              </w:rPr>
              <w:t>Exemption, and Qualifying Conduit Facility Determinations</w:t>
            </w:r>
          </w:p>
        </w:tc>
        <w:tc>
          <w:tcPr>
            <w:tcW w:w="2337" w:type="dxa"/>
            <w:vAlign w:val="bottom"/>
          </w:tcPr>
          <w:p w:rsidR="00E67EDF" w:rsidP="009F3FE3" w:rsidRDefault="00E67EDF" w14:paraId="34ED6E54" w14:textId="4CE8E1C0">
            <w:pPr>
              <w:spacing w:after="0" w:line="240" w:lineRule="auto"/>
              <w:jc w:val="right"/>
              <w:rPr>
                <w:rFonts w:ascii="Times New Roman" w:hAnsi="Times New Roman"/>
                <w:sz w:val="26"/>
                <w:szCs w:val="24"/>
              </w:rPr>
            </w:pPr>
            <w:r w:rsidRPr="000F7729">
              <w:rPr>
                <w:rFonts w:ascii="Times New Roman" w:hAnsi="Times New Roman"/>
                <w:iCs/>
                <w:sz w:val="26"/>
                <w:szCs w:val="24"/>
              </w:rPr>
              <w:t>32</w:t>
            </w:r>
          </w:p>
        </w:tc>
        <w:tc>
          <w:tcPr>
            <w:tcW w:w="2338" w:type="dxa"/>
            <w:vAlign w:val="bottom"/>
          </w:tcPr>
          <w:p w:rsidRPr="000F7729" w:rsidR="00E67EDF" w:rsidP="009F3FE3" w:rsidRDefault="00E67EDF" w14:paraId="1D295DF1"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756.59 hrs.;</w:t>
            </w:r>
          </w:p>
          <w:p w:rsidR="00E67EDF" w:rsidP="009F3FE3" w:rsidRDefault="00E67EDF" w14:paraId="13AE4949" w14:textId="57059C33">
            <w:pPr>
              <w:spacing w:after="0" w:line="240" w:lineRule="auto"/>
              <w:jc w:val="right"/>
              <w:rPr>
                <w:rFonts w:ascii="Times New Roman" w:hAnsi="Times New Roman"/>
                <w:sz w:val="26"/>
                <w:szCs w:val="24"/>
              </w:rPr>
            </w:pPr>
            <w:r w:rsidRPr="000F7729">
              <w:rPr>
                <w:rFonts w:ascii="Times New Roman" w:hAnsi="Times New Roman"/>
                <w:iCs/>
                <w:sz w:val="26"/>
                <w:szCs w:val="24"/>
              </w:rPr>
              <w:t>$65,823.33</w:t>
            </w:r>
          </w:p>
        </w:tc>
        <w:tc>
          <w:tcPr>
            <w:tcW w:w="2338" w:type="dxa"/>
            <w:vAlign w:val="bottom"/>
          </w:tcPr>
          <w:p w:rsidRPr="000F7729" w:rsidR="00E67EDF" w:rsidP="009F3FE3" w:rsidRDefault="00E67EDF" w14:paraId="0D462C78"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24,210.88 hrs.;</w:t>
            </w:r>
          </w:p>
          <w:p w:rsidR="00E67EDF" w:rsidP="009F3FE3" w:rsidRDefault="00E67EDF" w14:paraId="203E34E9" w14:textId="5824A633">
            <w:pPr>
              <w:spacing w:after="0" w:line="240" w:lineRule="auto"/>
              <w:jc w:val="right"/>
              <w:rPr>
                <w:rFonts w:ascii="Times New Roman" w:hAnsi="Times New Roman"/>
                <w:sz w:val="26"/>
                <w:szCs w:val="24"/>
              </w:rPr>
            </w:pPr>
            <w:r w:rsidRPr="000F7729">
              <w:rPr>
                <w:rFonts w:ascii="Times New Roman" w:hAnsi="Times New Roman"/>
                <w:iCs/>
                <w:sz w:val="26"/>
                <w:szCs w:val="24"/>
              </w:rPr>
              <w:t>$2,106,346.56</w:t>
            </w:r>
          </w:p>
        </w:tc>
      </w:tr>
      <w:tr w:rsidR="00E67EDF" w:rsidTr="00445B14" w14:paraId="459291B5" w14:textId="77777777">
        <w:trPr>
          <w:cantSplit/>
        </w:trPr>
        <w:tc>
          <w:tcPr>
            <w:tcW w:w="2337" w:type="dxa"/>
            <w:vAlign w:val="center"/>
          </w:tcPr>
          <w:p w:rsidR="00E67EDF" w:rsidP="00E67EDF" w:rsidRDefault="00E67EDF" w14:paraId="19E3C4B5" w14:textId="1108CB9F">
            <w:pPr>
              <w:spacing w:after="0" w:line="240" w:lineRule="auto"/>
              <w:rPr>
                <w:rFonts w:ascii="Times New Roman" w:hAnsi="Times New Roman"/>
                <w:sz w:val="26"/>
                <w:szCs w:val="24"/>
              </w:rPr>
            </w:pPr>
            <w:r w:rsidRPr="000F7729">
              <w:rPr>
                <w:rFonts w:ascii="Times New Roman" w:hAnsi="Times New Roman"/>
                <w:bCs/>
                <w:iCs/>
                <w:sz w:val="26"/>
                <w:szCs w:val="24"/>
              </w:rPr>
              <w:t>FERC-505, Request for Authorization to Use Expedited Licensing Process</w:t>
            </w:r>
          </w:p>
        </w:tc>
        <w:tc>
          <w:tcPr>
            <w:tcW w:w="2337" w:type="dxa"/>
            <w:vAlign w:val="bottom"/>
          </w:tcPr>
          <w:p w:rsidR="00E67EDF" w:rsidP="009F3FE3" w:rsidRDefault="00E67EDF" w14:paraId="51FE10D2" w14:textId="38A694E4">
            <w:pPr>
              <w:spacing w:after="0" w:line="240" w:lineRule="auto"/>
              <w:jc w:val="right"/>
              <w:rPr>
                <w:rFonts w:ascii="Times New Roman" w:hAnsi="Times New Roman"/>
                <w:sz w:val="26"/>
                <w:szCs w:val="24"/>
              </w:rPr>
            </w:pPr>
            <w:r w:rsidRPr="000F7729">
              <w:rPr>
                <w:rFonts w:ascii="Times New Roman" w:hAnsi="Times New Roman"/>
                <w:iCs/>
                <w:sz w:val="26"/>
                <w:szCs w:val="24"/>
              </w:rPr>
              <w:t>5</w:t>
            </w:r>
          </w:p>
        </w:tc>
        <w:tc>
          <w:tcPr>
            <w:tcW w:w="2338" w:type="dxa"/>
            <w:vAlign w:val="bottom"/>
          </w:tcPr>
          <w:p w:rsidRPr="000F7729" w:rsidR="00E67EDF" w:rsidP="009F3FE3" w:rsidRDefault="00E67EDF" w14:paraId="360045C6"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40 hrs.;</w:t>
            </w:r>
          </w:p>
          <w:p w:rsidR="00E67EDF" w:rsidP="009F3FE3" w:rsidRDefault="00E67EDF" w14:paraId="1AD8238E" w14:textId="43818769">
            <w:pPr>
              <w:spacing w:after="0" w:line="240" w:lineRule="auto"/>
              <w:jc w:val="right"/>
              <w:rPr>
                <w:rFonts w:ascii="Times New Roman" w:hAnsi="Times New Roman"/>
                <w:sz w:val="26"/>
                <w:szCs w:val="24"/>
              </w:rPr>
            </w:pPr>
            <w:r w:rsidRPr="000F7729">
              <w:rPr>
                <w:rFonts w:ascii="Times New Roman" w:hAnsi="Times New Roman"/>
                <w:iCs/>
                <w:sz w:val="26"/>
                <w:szCs w:val="24"/>
              </w:rPr>
              <w:t>$3,480</w:t>
            </w:r>
          </w:p>
        </w:tc>
        <w:tc>
          <w:tcPr>
            <w:tcW w:w="2338" w:type="dxa"/>
            <w:vAlign w:val="bottom"/>
          </w:tcPr>
          <w:p w:rsidRPr="000F7729" w:rsidR="00E67EDF" w:rsidP="009F3FE3" w:rsidRDefault="00E67EDF" w14:paraId="5B348FC0"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200 hrs.;</w:t>
            </w:r>
          </w:p>
          <w:p w:rsidR="00E67EDF" w:rsidP="009F3FE3" w:rsidRDefault="00E67EDF" w14:paraId="70D8BB33" w14:textId="0A7B92F8">
            <w:pPr>
              <w:spacing w:after="0" w:line="240" w:lineRule="auto"/>
              <w:jc w:val="right"/>
              <w:rPr>
                <w:rFonts w:ascii="Times New Roman" w:hAnsi="Times New Roman"/>
                <w:sz w:val="26"/>
                <w:szCs w:val="24"/>
              </w:rPr>
            </w:pPr>
            <w:r w:rsidRPr="000F7729">
              <w:rPr>
                <w:rFonts w:ascii="Times New Roman" w:hAnsi="Times New Roman"/>
                <w:iCs/>
                <w:sz w:val="26"/>
                <w:szCs w:val="24"/>
              </w:rPr>
              <w:t>$17,400</w:t>
            </w:r>
          </w:p>
        </w:tc>
      </w:tr>
      <w:tr w:rsidR="00E67EDF" w:rsidTr="00445B14" w14:paraId="2BDFDE86" w14:textId="77777777">
        <w:trPr>
          <w:cantSplit/>
        </w:trPr>
        <w:tc>
          <w:tcPr>
            <w:tcW w:w="2337" w:type="dxa"/>
            <w:vAlign w:val="center"/>
          </w:tcPr>
          <w:p w:rsidR="00E67EDF" w:rsidP="00E67EDF" w:rsidRDefault="00E67EDF" w14:paraId="22ECA219" w14:textId="41C1DBE2">
            <w:pPr>
              <w:spacing w:after="0" w:line="240" w:lineRule="auto"/>
              <w:rPr>
                <w:rFonts w:ascii="Times New Roman" w:hAnsi="Times New Roman"/>
                <w:sz w:val="26"/>
                <w:szCs w:val="24"/>
              </w:rPr>
            </w:pPr>
            <w:r w:rsidRPr="000F7729">
              <w:rPr>
                <w:rFonts w:ascii="Times New Roman" w:hAnsi="Times New Roman"/>
                <w:bCs/>
                <w:iCs/>
                <w:sz w:val="26"/>
                <w:szCs w:val="24"/>
              </w:rPr>
              <w:t>FERC-505, Recreation Posting</w:t>
            </w:r>
          </w:p>
        </w:tc>
        <w:tc>
          <w:tcPr>
            <w:tcW w:w="2337" w:type="dxa"/>
            <w:vAlign w:val="bottom"/>
          </w:tcPr>
          <w:p w:rsidR="00E67EDF" w:rsidP="009F3FE3" w:rsidRDefault="00E67EDF" w14:paraId="6B136EA6" w14:textId="451D31E3">
            <w:pPr>
              <w:spacing w:after="0" w:line="240" w:lineRule="auto"/>
              <w:jc w:val="right"/>
              <w:rPr>
                <w:rFonts w:ascii="Times New Roman" w:hAnsi="Times New Roman"/>
                <w:sz w:val="26"/>
                <w:szCs w:val="24"/>
              </w:rPr>
            </w:pPr>
            <w:r w:rsidRPr="000F7729">
              <w:rPr>
                <w:rFonts w:ascii="Times New Roman" w:hAnsi="Times New Roman"/>
                <w:iCs/>
                <w:sz w:val="26"/>
                <w:szCs w:val="24"/>
              </w:rPr>
              <w:t>287</w:t>
            </w:r>
          </w:p>
        </w:tc>
        <w:tc>
          <w:tcPr>
            <w:tcW w:w="2338" w:type="dxa"/>
            <w:vAlign w:val="bottom"/>
          </w:tcPr>
          <w:p w:rsidRPr="000F7729" w:rsidR="00E67EDF" w:rsidP="009F3FE3" w:rsidRDefault="00E67EDF" w14:paraId="0C0FA191"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0.5 hr.;</w:t>
            </w:r>
          </w:p>
          <w:p w:rsidR="00E67EDF" w:rsidP="009F3FE3" w:rsidRDefault="00E67EDF" w14:paraId="6388C0C7" w14:textId="4EB5F1D2">
            <w:pPr>
              <w:spacing w:after="0" w:line="240" w:lineRule="auto"/>
              <w:jc w:val="right"/>
              <w:rPr>
                <w:rFonts w:ascii="Times New Roman" w:hAnsi="Times New Roman"/>
                <w:sz w:val="26"/>
                <w:szCs w:val="24"/>
              </w:rPr>
            </w:pPr>
            <w:r w:rsidRPr="000F7729">
              <w:rPr>
                <w:rFonts w:ascii="Times New Roman" w:hAnsi="Times New Roman"/>
                <w:iCs/>
                <w:sz w:val="26"/>
                <w:szCs w:val="24"/>
              </w:rPr>
              <w:t>$43.50</w:t>
            </w:r>
          </w:p>
        </w:tc>
        <w:tc>
          <w:tcPr>
            <w:tcW w:w="2338" w:type="dxa"/>
            <w:vAlign w:val="bottom"/>
          </w:tcPr>
          <w:p w:rsidRPr="000F7729" w:rsidR="00E67EDF" w:rsidP="009F3FE3" w:rsidRDefault="00E67EDF" w14:paraId="350ADD55"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143.5 hrs.;</w:t>
            </w:r>
          </w:p>
          <w:p w:rsidR="00E67EDF" w:rsidP="009F3FE3" w:rsidRDefault="00E67EDF" w14:paraId="1058707B" w14:textId="7CD9C9C3">
            <w:pPr>
              <w:spacing w:after="0" w:line="240" w:lineRule="auto"/>
              <w:jc w:val="right"/>
              <w:rPr>
                <w:rFonts w:ascii="Times New Roman" w:hAnsi="Times New Roman"/>
                <w:sz w:val="26"/>
                <w:szCs w:val="24"/>
              </w:rPr>
            </w:pPr>
            <w:r w:rsidRPr="000F7729">
              <w:rPr>
                <w:rFonts w:ascii="Times New Roman" w:hAnsi="Times New Roman"/>
                <w:iCs/>
                <w:sz w:val="26"/>
                <w:szCs w:val="24"/>
              </w:rPr>
              <w:t>$12,484.50</w:t>
            </w:r>
          </w:p>
        </w:tc>
      </w:tr>
      <w:tr w:rsidR="00E67EDF" w:rsidTr="004D1D64" w14:paraId="44AEC086" w14:textId="77777777">
        <w:trPr>
          <w:cantSplit/>
        </w:trPr>
        <w:tc>
          <w:tcPr>
            <w:tcW w:w="2337" w:type="dxa"/>
            <w:vAlign w:val="center"/>
          </w:tcPr>
          <w:p w:rsidR="00E67EDF" w:rsidP="00E67EDF" w:rsidRDefault="00E67EDF" w14:paraId="46688B3A" w14:textId="4A1E2D68">
            <w:pPr>
              <w:spacing w:after="0" w:line="240" w:lineRule="auto"/>
              <w:rPr>
                <w:rFonts w:ascii="Times New Roman" w:hAnsi="Times New Roman"/>
                <w:sz w:val="26"/>
                <w:szCs w:val="24"/>
              </w:rPr>
            </w:pPr>
            <w:r w:rsidRPr="000F7729">
              <w:rPr>
                <w:rFonts w:ascii="Times New Roman" w:hAnsi="Times New Roman"/>
                <w:b/>
                <w:iCs/>
                <w:sz w:val="26"/>
                <w:szCs w:val="24"/>
              </w:rPr>
              <w:t>Sub-Totals for FERC-505</w:t>
            </w:r>
          </w:p>
        </w:tc>
        <w:tc>
          <w:tcPr>
            <w:tcW w:w="2337" w:type="dxa"/>
            <w:vAlign w:val="bottom"/>
          </w:tcPr>
          <w:p w:rsidR="00E67EDF" w:rsidP="009F3FE3" w:rsidRDefault="00E67EDF" w14:paraId="33B21407" w14:textId="02C0DA75">
            <w:pPr>
              <w:spacing w:after="0" w:line="240" w:lineRule="auto"/>
              <w:jc w:val="right"/>
              <w:rPr>
                <w:rFonts w:ascii="Times New Roman" w:hAnsi="Times New Roman"/>
                <w:sz w:val="26"/>
                <w:szCs w:val="24"/>
              </w:rPr>
            </w:pPr>
            <w:r w:rsidRPr="000F7729">
              <w:rPr>
                <w:rFonts w:ascii="Times New Roman" w:hAnsi="Times New Roman"/>
                <w:iCs/>
                <w:sz w:val="26"/>
                <w:szCs w:val="24"/>
              </w:rPr>
              <w:t>324</w:t>
            </w:r>
          </w:p>
        </w:tc>
        <w:tc>
          <w:tcPr>
            <w:tcW w:w="2338" w:type="dxa"/>
            <w:shd w:val="clear" w:color="auto" w:fill="D9D9D9" w:themeFill="background1" w:themeFillShade="D9"/>
            <w:vAlign w:val="bottom"/>
          </w:tcPr>
          <w:p w:rsidR="00E67EDF" w:rsidP="009F3FE3" w:rsidRDefault="00E67EDF" w14:paraId="51B70FDB" w14:textId="77777777">
            <w:pPr>
              <w:spacing w:after="0" w:line="240" w:lineRule="auto"/>
              <w:jc w:val="right"/>
              <w:rPr>
                <w:rFonts w:ascii="Times New Roman" w:hAnsi="Times New Roman"/>
                <w:sz w:val="26"/>
                <w:szCs w:val="24"/>
              </w:rPr>
            </w:pPr>
          </w:p>
        </w:tc>
        <w:tc>
          <w:tcPr>
            <w:tcW w:w="2338" w:type="dxa"/>
            <w:vAlign w:val="bottom"/>
          </w:tcPr>
          <w:p w:rsidRPr="000F7729" w:rsidR="00E67EDF" w:rsidP="009F3FE3" w:rsidRDefault="00E67EDF" w14:paraId="3B896EA8"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24,554.38 hrs.;</w:t>
            </w:r>
          </w:p>
          <w:p w:rsidR="00E67EDF" w:rsidP="009F3FE3" w:rsidRDefault="00E67EDF" w14:paraId="76E8310D" w14:textId="2266E6B2">
            <w:pPr>
              <w:spacing w:after="0" w:line="240" w:lineRule="auto"/>
              <w:jc w:val="right"/>
              <w:rPr>
                <w:rFonts w:ascii="Times New Roman" w:hAnsi="Times New Roman"/>
                <w:sz w:val="26"/>
                <w:szCs w:val="24"/>
              </w:rPr>
            </w:pPr>
            <w:r w:rsidRPr="000F7729">
              <w:rPr>
                <w:rFonts w:ascii="Times New Roman" w:hAnsi="Times New Roman"/>
                <w:iCs/>
                <w:sz w:val="26"/>
                <w:szCs w:val="24"/>
              </w:rPr>
              <w:t>$2,136,231.06</w:t>
            </w:r>
          </w:p>
        </w:tc>
      </w:tr>
      <w:tr w:rsidR="00E67EDF" w:rsidTr="004D1D64" w14:paraId="0E8B71D2" w14:textId="77777777">
        <w:trPr>
          <w:cantSplit/>
        </w:trPr>
        <w:tc>
          <w:tcPr>
            <w:tcW w:w="2337" w:type="dxa"/>
            <w:vAlign w:val="center"/>
          </w:tcPr>
          <w:p w:rsidR="00E67EDF" w:rsidP="00E67EDF" w:rsidRDefault="00E67EDF" w14:paraId="7F1CB7CE" w14:textId="60AD05F7">
            <w:pPr>
              <w:spacing w:after="0" w:line="240" w:lineRule="auto"/>
              <w:rPr>
                <w:rFonts w:ascii="Times New Roman" w:hAnsi="Times New Roman"/>
                <w:sz w:val="26"/>
                <w:szCs w:val="24"/>
              </w:rPr>
            </w:pPr>
            <w:r w:rsidRPr="000F7729">
              <w:rPr>
                <w:rFonts w:ascii="Times New Roman" w:hAnsi="Times New Roman"/>
                <w:b/>
                <w:bCs/>
                <w:iCs/>
                <w:sz w:val="26"/>
                <w:szCs w:val="24"/>
              </w:rPr>
              <w:t>Totals</w:t>
            </w:r>
          </w:p>
        </w:tc>
        <w:tc>
          <w:tcPr>
            <w:tcW w:w="2337" w:type="dxa"/>
            <w:vAlign w:val="bottom"/>
          </w:tcPr>
          <w:p w:rsidR="00E67EDF" w:rsidP="009F3FE3" w:rsidRDefault="00E67EDF" w14:paraId="0BC465F5" w14:textId="68CAC39F">
            <w:pPr>
              <w:spacing w:after="0" w:line="240" w:lineRule="auto"/>
              <w:jc w:val="right"/>
              <w:rPr>
                <w:rFonts w:ascii="Times New Roman" w:hAnsi="Times New Roman"/>
                <w:sz w:val="26"/>
                <w:szCs w:val="24"/>
              </w:rPr>
            </w:pPr>
            <w:r w:rsidRPr="000F7729">
              <w:rPr>
                <w:rFonts w:ascii="Times New Roman" w:hAnsi="Times New Roman"/>
                <w:iCs/>
                <w:sz w:val="26"/>
                <w:szCs w:val="24"/>
              </w:rPr>
              <w:t>811</w:t>
            </w:r>
          </w:p>
        </w:tc>
        <w:tc>
          <w:tcPr>
            <w:tcW w:w="2338" w:type="dxa"/>
            <w:shd w:val="clear" w:color="auto" w:fill="D9D9D9" w:themeFill="background1" w:themeFillShade="D9"/>
            <w:vAlign w:val="bottom"/>
          </w:tcPr>
          <w:p w:rsidR="00E67EDF" w:rsidP="009F3FE3" w:rsidRDefault="00E67EDF" w14:paraId="08880EE5" w14:textId="77777777">
            <w:pPr>
              <w:spacing w:after="0" w:line="240" w:lineRule="auto"/>
              <w:jc w:val="right"/>
              <w:rPr>
                <w:rFonts w:ascii="Times New Roman" w:hAnsi="Times New Roman"/>
                <w:sz w:val="26"/>
                <w:szCs w:val="24"/>
              </w:rPr>
            </w:pPr>
          </w:p>
        </w:tc>
        <w:tc>
          <w:tcPr>
            <w:tcW w:w="2338" w:type="dxa"/>
            <w:vAlign w:val="bottom"/>
          </w:tcPr>
          <w:p w:rsidRPr="000F7729" w:rsidR="00E67EDF" w:rsidP="009F3FE3" w:rsidRDefault="00E67EDF" w14:paraId="45BFA45F" w14:textId="77777777">
            <w:pPr>
              <w:spacing w:after="0" w:line="240" w:lineRule="auto"/>
              <w:jc w:val="right"/>
              <w:rPr>
                <w:rFonts w:ascii="Times New Roman" w:hAnsi="Times New Roman"/>
                <w:iCs/>
                <w:sz w:val="26"/>
                <w:szCs w:val="24"/>
              </w:rPr>
            </w:pPr>
            <w:r w:rsidRPr="000F7729">
              <w:rPr>
                <w:rFonts w:ascii="Times New Roman" w:hAnsi="Times New Roman"/>
                <w:iCs/>
                <w:sz w:val="26"/>
                <w:szCs w:val="24"/>
              </w:rPr>
              <w:t>345,516.33 hrs.;</w:t>
            </w:r>
          </w:p>
          <w:p w:rsidR="00E67EDF" w:rsidP="009F3FE3" w:rsidRDefault="00E67EDF" w14:paraId="66B02515" w14:textId="6411A2C8">
            <w:pPr>
              <w:spacing w:after="0" w:line="240" w:lineRule="auto"/>
              <w:jc w:val="right"/>
              <w:rPr>
                <w:rFonts w:ascii="Times New Roman" w:hAnsi="Times New Roman"/>
                <w:sz w:val="26"/>
                <w:szCs w:val="24"/>
              </w:rPr>
            </w:pPr>
            <w:r w:rsidRPr="000F7729">
              <w:rPr>
                <w:rFonts w:ascii="Times New Roman" w:hAnsi="Times New Roman"/>
                <w:iCs/>
                <w:sz w:val="26"/>
                <w:szCs w:val="24"/>
              </w:rPr>
              <w:t>$30,059,920.71</w:t>
            </w:r>
          </w:p>
        </w:tc>
      </w:tr>
    </w:tbl>
    <w:p w:rsidRPr="0032216C" w:rsidR="00AD2C01" w:rsidP="007445A8" w:rsidRDefault="00AD2C01" w14:paraId="58366D65" w14:textId="77777777">
      <w:pPr>
        <w:spacing w:after="0" w:line="240" w:lineRule="auto"/>
        <w:rPr>
          <w:rFonts w:ascii="Times New Roman" w:hAnsi="Times New Roman"/>
          <w:sz w:val="26"/>
          <w:szCs w:val="24"/>
        </w:rPr>
      </w:pPr>
    </w:p>
    <w:p w:rsidRPr="0032216C" w:rsidR="00974AFC" w:rsidP="007445A8" w:rsidRDefault="00974AFC" w14:paraId="3B0FA6EA" w14:textId="77777777">
      <w:pPr>
        <w:spacing w:after="0" w:line="240" w:lineRule="auto"/>
        <w:rPr>
          <w:rFonts w:ascii="Times New Roman" w:hAnsi="Times New Roman"/>
          <w:b/>
          <w:sz w:val="26"/>
          <w:szCs w:val="24"/>
        </w:rPr>
      </w:pPr>
      <w:r w:rsidRPr="0032216C">
        <w:rPr>
          <w:rFonts w:ascii="Times New Roman" w:hAnsi="Times New Roman"/>
          <w:b/>
          <w:sz w:val="26"/>
          <w:szCs w:val="24"/>
        </w:rPr>
        <w:t>13.</w:t>
      </w:r>
      <w:r w:rsidRPr="0032216C" w:rsidR="00BF3095">
        <w:rPr>
          <w:rFonts w:ascii="Times New Roman" w:hAnsi="Times New Roman"/>
          <w:b/>
          <w:sz w:val="26"/>
          <w:szCs w:val="24"/>
        </w:rPr>
        <w:t xml:space="preserve">   ESTIMATE OF THE TOTAL ANNUAL COST BURDEN TO </w:t>
      </w:r>
      <w:r w:rsidRPr="0032216C" w:rsidR="00F1537F">
        <w:rPr>
          <w:rFonts w:ascii="Times New Roman" w:hAnsi="Times New Roman"/>
          <w:b/>
          <w:sz w:val="26"/>
          <w:szCs w:val="24"/>
        </w:rPr>
        <w:t>RESPONDENTS</w:t>
      </w:r>
      <w:r w:rsidRPr="0032216C" w:rsidR="00BF3095">
        <w:rPr>
          <w:rFonts w:ascii="Times New Roman" w:hAnsi="Times New Roman"/>
          <w:b/>
          <w:sz w:val="26"/>
          <w:szCs w:val="24"/>
        </w:rPr>
        <w:t xml:space="preserve"> </w:t>
      </w:r>
    </w:p>
    <w:p w:rsidRPr="0032216C" w:rsidR="00974AFC" w:rsidP="007445A8" w:rsidRDefault="00974AFC" w14:paraId="62833613" w14:textId="77777777">
      <w:pPr>
        <w:spacing w:after="0" w:line="240" w:lineRule="auto"/>
        <w:rPr>
          <w:rFonts w:ascii="Times New Roman" w:hAnsi="Times New Roman"/>
          <w:sz w:val="26"/>
          <w:szCs w:val="24"/>
        </w:rPr>
      </w:pPr>
    </w:p>
    <w:p w:rsidRPr="0032216C" w:rsidR="004A36E5" w:rsidP="007445A8" w:rsidRDefault="004A36E5" w14:paraId="5EBE534A" w14:textId="072A90E0">
      <w:pPr>
        <w:spacing w:after="0" w:line="240" w:lineRule="auto"/>
        <w:rPr>
          <w:rFonts w:ascii="Times New Roman" w:hAnsi="Times New Roman"/>
          <w:sz w:val="26"/>
          <w:szCs w:val="24"/>
        </w:rPr>
      </w:pPr>
      <w:r w:rsidRPr="0032216C">
        <w:rPr>
          <w:rFonts w:ascii="Times New Roman" w:hAnsi="Times New Roman"/>
          <w:sz w:val="26"/>
          <w:szCs w:val="24"/>
        </w:rPr>
        <w:t xml:space="preserve">There are no start-up or </w:t>
      </w:r>
      <w:r w:rsidRPr="0032216C" w:rsidR="00CA52EE">
        <w:rPr>
          <w:rFonts w:ascii="Times New Roman" w:hAnsi="Times New Roman"/>
          <w:sz w:val="26"/>
          <w:szCs w:val="24"/>
        </w:rPr>
        <w:t xml:space="preserve">non-PRA related </w:t>
      </w:r>
      <w:r w:rsidRPr="0032216C">
        <w:rPr>
          <w:rFonts w:ascii="Times New Roman" w:hAnsi="Times New Roman"/>
          <w:sz w:val="26"/>
          <w:szCs w:val="24"/>
        </w:rPr>
        <w:t>labor costs.</w:t>
      </w:r>
    </w:p>
    <w:p w:rsidRPr="0032216C" w:rsidR="004A36E5" w:rsidP="007445A8" w:rsidRDefault="004A36E5" w14:paraId="468E164C" w14:textId="77777777">
      <w:pPr>
        <w:spacing w:after="0" w:line="240" w:lineRule="auto"/>
        <w:rPr>
          <w:rFonts w:ascii="Times New Roman" w:hAnsi="Times New Roman"/>
          <w:sz w:val="26"/>
          <w:szCs w:val="24"/>
        </w:rPr>
      </w:pPr>
    </w:p>
    <w:p w:rsidRPr="0032216C" w:rsidR="004A36E5" w:rsidP="004345EE" w:rsidRDefault="004A36E5" w14:paraId="53FA4856" w14:textId="77777777">
      <w:pPr>
        <w:spacing w:after="0" w:line="240" w:lineRule="auto"/>
        <w:ind w:left="720"/>
        <w:rPr>
          <w:rFonts w:ascii="Times New Roman" w:hAnsi="Times New Roman"/>
          <w:sz w:val="26"/>
          <w:szCs w:val="24"/>
        </w:rPr>
      </w:pPr>
      <w:r w:rsidRPr="0032216C">
        <w:rPr>
          <w:rFonts w:ascii="Times New Roman" w:hAnsi="Times New Roman"/>
          <w:sz w:val="26"/>
          <w:szCs w:val="24"/>
        </w:rPr>
        <w:t>Total Capital and Start-up cost: $0</w:t>
      </w:r>
    </w:p>
    <w:p w:rsidRPr="0032216C" w:rsidR="004A36E5" w:rsidP="004345EE" w:rsidRDefault="004A36E5" w14:paraId="43B5E635" w14:textId="77777777">
      <w:pPr>
        <w:spacing w:after="0" w:line="240" w:lineRule="auto"/>
        <w:ind w:left="720"/>
        <w:rPr>
          <w:rFonts w:ascii="Times New Roman" w:hAnsi="Times New Roman"/>
          <w:sz w:val="26"/>
          <w:szCs w:val="24"/>
        </w:rPr>
      </w:pPr>
      <w:r w:rsidRPr="0032216C">
        <w:rPr>
          <w:rFonts w:ascii="Times New Roman" w:hAnsi="Times New Roman"/>
          <w:sz w:val="26"/>
          <w:szCs w:val="24"/>
        </w:rPr>
        <w:t>Total Operation, Maintenance, and Purchase of Services: $0</w:t>
      </w:r>
    </w:p>
    <w:p w:rsidRPr="0032216C" w:rsidR="004A36E5" w:rsidP="007445A8" w:rsidRDefault="004A36E5" w14:paraId="344D465D" w14:textId="77777777">
      <w:pPr>
        <w:spacing w:after="0" w:line="240" w:lineRule="auto"/>
        <w:rPr>
          <w:rFonts w:ascii="Times New Roman" w:hAnsi="Times New Roman"/>
          <w:sz w:val="26"/>
          <w:szCs w:val="24"/>
        </w:rPr>
      </w:pPr>
    </w:p>
    <w:p w:rsidR="00032C46" w:rsidP="007445A8" w:rsidRDefault="004A36E5" w14:paraId="13911FBA" w14:textId="121D1650">
      <w:pPr>
        <w:spacing w:after="0" w:line="240" w:lineRule="auto"/>
        <w:rPr>
          <w:rFonts w:ascii="Times New Roman" w:hAnsi="Times New Roman"/>
          <w:sz w:val="26"/>
          <w:szCs w:val="24"/>
        </w:rPr>
      </w:pPr>
      <w:r w:rsidRPr="0032216C">
        <w:rPr>
          <w:rFonts w:ascii="Times New Roman" w:hAnsi="Times New Roman"/>
          <w:sz w:val="26"/>
          <w:szCs w:val="24"/>
        </w:rPr>
        <w:t>All of the costs in th</w:t>
      </w:r>
      <w:r w:rsidRPr="0032216C" w:rsidR="00974AFC">
        <w:rPr>
          <w:rFonts w:ascii="Times New Roman" w:hAnsi="Times New Roman"/>
          <w:sz w:val="26"/>
          <w:szCs w:val="24"/>
        </w:rPr>
        <w:t>e</w:t>
      </w:r>
      <w:r w:rsidRPr="0032216C" w:rsidR="009C7060">
        <w:rPr>
          <w:rFonts w:ascii="Times New Roman" w:hAnsi="Times New Roman"/>
          <w:sz w:val="26"/>
          <w:szCs w:val="24"/>
        </w:rPr>
        <w:t xml:space="preserve"> information collection</w:t>
      </w:r>
      <w:r w:rsidRPr="0032216C" w:rsidR="004345EE">
        <w:rPr>
          <w:rFonts w:ascii="Times New Roman" w:hAnsi="Times New Roman"/>
          <w:sz w:val="26"/>
          <w:szCs w:val="24"/>
        </w:rPr>
        <w:t>s</w:t>
      </w:r>
      <w:r w:rsidRPr="0032216C" w:rsidR="009C7060">
        <w:rPr>
          <w:rFonts w:ascii="Times New Roman" w:hAnsi="Times New Roman"/>
          <w:sz w:val="26"/>
          <w:szCs w:val="24"/>
        </w:rPr>
        <w:t xml:space="preserve"> </w:t>
      </w:r>
      <w:r w:rsidRPr="0032216C">
        <w:rPr>
          <w:rFonts w:ascii="Times New Roman" w:hAnsi="Times New Roman"/>
          <w:sz w:val="26"/>
          <w:szCs w:val="24"/>
        </w:rPr>
        <w:t xml:space="preserve">are associated with burden hours (labor) and </w:t>
      </w:r>
      <w:r w:rsidRPr="0032216C" w:rsidR="004345EE">
        <w:rPr>
          <w:rFonts w:ascii="Times New Roman" w:hAnsi="Times New Roman"/>
          <w:sz w:val="26"/>
          <w:szCs w:val="24"/>
        </w:rPr>
        <w:t>discussed</w:t>
      </w:r>
      <w:r w:rsidRPr="0032216C">
        <w:rPr>
          <w:rFonts w:ascii="Times New Roman" w:hAnsi="Times New Roman"/>
          <w:sz w:val="26"/>
          <w:szCs w:val="24"/>
        </w:rPr>
        <w:t xml:space="preserve"> in Questions #12 and #15.</w:t>
      </w:r>
    </w:p>
    <w:p w:rsidR="00032C46" w:rsidRDefault="00032C46" w14:paraId="00EDBD4E" w14:textId="77777777">
      <w:pPr>
        <w:spacing w:after="160" w:line="259" w:lineRule="auto"/>
        <w:rPr>
          <w:rFonts w:ascii="Times New Roman" w:hAnsi="Times New Roman"/>
          <w:sz w:val="26"/>
          <w:szCs w:val="24"/>
        </w:rPr>
      </w:pPr>
      <w:r>
        <w:rPr>
          <w:rFonts w:ascii="Times New Roman" w:hAnsi="Times New Roman"/>
          <w:sz w:val="26"/>
          <w:szCs w:val="24"/>
        </w:rPr>
        <w:br w:type="page"/>
      </w:r>
    </w:p>
    <w:p w:rsidRPr="0032216C" w:rsidR="00F0627E" w:rsidP="007445A8" w:rsidRDefault="00974AFC" w14:paraId="1F8C6661" w14:textId="77777777">
      <w:pPr>
        <w:pStyle w:val="ListParagraph"/>
        <w:spacing w:after="0" w:line="240" w:lineRule="auto"/>
        <w:ind w:left="0"/>
        <w:rPr>
          <w:rFonts w:ascii="Times New Roman" w:hAnsi="Times New Roman"/>
          <w:sz w:val="26"/>
          <w:szCs w:val="24"/>
        </w:rPr>
      </w:pPr>
      <w:r w:rsidRPr="0032216C">
        <w:rPr>
          <w:rFonts w:ascii="Times New Roman" w:hAnsi="Times New Roman"/>
          <w:b/>
          <w:sz w:val="26"/>
          <w:szCs w:val="24"/>
        </w:rPr>
        <w:t xml:space="preserve">14.  </w:t>
      </w:r>
      <w:r w:rsidRPr="0032216C" w:rsidR="00BF3095">
        <w:rPr>
          <w:rFonts w:ascii="Times New Roman" w:hAnsi="Times New Roman"/>
          <w:b/>
          <w:sz w:val="26"/>
          <w:szCs w:val="24"/>
        </w:rPr>
        <w:t xml:space="preserve"> </w:t>
      </w:r>
      <w:r w:rsidRPr="0032216C">
        <w:rPr>
          <w:rFonts w:ascii="Times New Roman" w:hAnsi="Times New Roman"/>
          <w:b/>
          <w:sz w:val="26"/>
          <w:szCs w:val="24"/>
        </w:rPr>
        <w:t xml:space="preserve"> </w:t>
      </w:r>
      <w:r w:rsidRPr="0032216C" w:rsidR="00BF3095">
        <w:rPr>
          <w:rFonts w:ascii="Times New Roman" w:hAnsi="Times New Roman"/>
          <w:b/>
          <w:sz w:val="26"/>
          <w:szCs w:val="24"/>
        </w:rPr>
        <w:t>ESTIMATED ANNUALIZED COST TO FEDERAL GOVERNMENT</w:t>
      </w:r>
      <w:r w:rsidRPr="0032216C">
        <w:rPr>
          <w:rFonts w:ascii="Times New Roman" w:hAnsi="Times New Roman"/>
          <w:b/>
          <w:sz w:val="26"/>
          <w:szCs w:val="24"/>
        </w:rPr>
        <w:t xml:space="preserve">   </w:t>
      </w:r>
    </w:p>
    <w:p w:rsidRPr="0032216C" w:rsidR="00BF3095" w:rsidP="007445A8" w:rsidRDefault="00BF3095" w14:paraId="6840610A" w14:textId="77777777">
      <w:pPr>
        <w:pStyle w:val="ListParagraph"/>
        <w:spacing w:after="0" w:line="240" w:lineRule="auto"/>
        <w:ind w:left="0"/>
        <w:rPr>
          <w:rFonts w:ascii="Times New Roman" w:hAnsi="Times New Roman"/>
          <w:sz w:val="26"/>
          <w:szCs w:val="24"/>
        </w:rPr>
      </w:pPr>
    </w:p>
    <w:p w:rsidRPr="0032216C" w:rsidR="00244BC9" w:rsidP="00244BC9" w:rsidRDefault="00244BC9" w14:paraId="56F894F9" w14:textId="3BBAC5EC">
      <w:pPr>
        <w:spacing w:after="0" w:line="240" w:lineRule="auto"/>
        <w:rPr>
          <w:rFonts w:ascii="Times New Roman" w:hAnsi="Times New Roman"/>
          <w:sz w:val="26"/>
          <w:szCs w:val="24"/>
        </w:rPr>
      </w:pPr>
      <w:r w:rsidRPr="0032216C">
        <w:rPr>
          <w:rFonts w:ascii="Times New Roman" w:hAnsi="Times New Roman"/>
          <w:sz w:val="26"/>
          <w:szCs w:val="24"/>
        </w:rPr>
        <w:t xml:space="preserve">The estimate of the cost for </w:t>
      </w:r>
      <w:r w:rsidRPr="0032216C" w:rsidR="009912B8">
        <w:rPr>
          <w:rFonts w:ascii="Times New Roman" w:hAnsi="Times New Roman"/>
          <w:sz w:val="26"/>
          <w:szCs w:val="24"/>
        </w:rPr>
        <w:t>“</w:t>
      </w:r>
      <w:r w:rsidRPr="0032216C">
        <w:rPr>
          <w:rFonts w:ascii="Times New Roman" w:hAnsi="Times New Roman"/>
          <w:sz w:val="26"/>
          <w:szCs w:val="24"/>
        </w:rPr>
        <w:t xml:space="preserve">analysis and processing of </w:t>
      </w:r>
      <w:r w:rsidRPr="0032216C" w:rsidR="00C402F5">
        <w:rPr>
          <w:rFonts w:ascii="Times New Roman" w:hAnsi="Times New Roman"/>
          <w:sz w:val="26"/>
          <w:szCs w:val="24"/>
        </w:rPr>
        <w:t>filings”</w:t>
      </w:r>
      <w:r w:rsidRPr="0032216C" w:rsidR="00247EBC">
        <w:rPr>
          <w:rStyle w:val="FootnoteReference"/>
          <w:rFonts w:ascii="Times New Roman" w:hAnsi="Times New Roman"/>
          <w:sz w:val="26"/>
          <w:szCs w:val="24"/>
          <w:vertAlign w:val="superscript"/>
        </w:rPr>
        <w:footnoteReference w:id="18"/>
      </w:r>
      <w:r w:rsidRPr="0032216C">
        <w:rPr>
          <w:rFonts w:ascii="Times New Roman" w:hAnsi="Times New Roman"/>
          <w:sz w:val="26"/>
          <w:szCs w:val="24"/>
          <w:vertAlign w:val="superscript"/>
        </w:rPr>
        <w:t xml:space="preserve"> </w:t>
      </w:r>
      <w:r w:rsidRPr="0032216C">
        <w:rPr>
          <w:rFonts w:ascii="Times New Roman" w:hAnsi="Times New Roman"/>
          <w:sz w:val="26"/>
          <w:szCs w:val="24"/>
        </w:rPr>
        <w:t>is based on salaries and benefits</w:t>
      </w:r>
      <w:r w:rsidRPr="0032216C" w:rsidR="009912B8">
        <w:rPr>
          <w:rFonts w:ascii="Times New Roman" w:hAnsi="Times New Roman"/>
          <w:sz w:val="26"/>
          <w:szCs w:val="24"/>
        </w:rPr>
        <w:t xml:space="preserve"> for professional and clerical s</w:t>
      </w:r>
      <w:r w:rsidRPr="0032216C">
        <w:rPr>
          <w:rFonts w:ascii="Times New Roman" w:hAnsi="Times New Roman"/>
          <w:sz w:val="26"/>
          <w:szCs w:val="24"/>
        </w:rPr>
        <w:t>upport.  This estimated cost represents staff analysis, decision-making, and review of any actual filings submitted in response to the information collection</w:t>
      </w:r>
      <w:r w:rsidRPr="0032216C" w:rsidR="008B404E">
        <w:rPr>
          <w:rFonts w:ascii="Times New Roman" w:hAnsi="Times New Roman"/>
          <w:sz w:val="26"/>
          <w:szCs w:val="24"/>
        </w:rPr>
        <w:t>s</w:t>
      </w:r>
      <w:r w:rsidRPr="0032216C">
        <w:rPr>
          <w:rFonts w:ascii="Times New Roman" w:hAnsi="Times New Roman"/>
          <w:sz w:val="26"/>
          <w:szCs w:val="24"/>
        </w:rPr>
        <w:t>.</w:t>
      </w:r>
    </w:p>
    <w:p w:rsidRPr="0032216C" w:rsidR="00244BC9" w:rsidP="00244BC9" w:rsidRDefault="00244BC9" w14:paraId="1978059A" w14:textId="77777777">
      <w:pPr>
        <w:spacing w:after="0" w:line="240" w:lineRule="auto"/>
        <w:rPr>
          <w:rFonts w:ascii="Times New Roman" w:hAnsi="Times New Roman"/>
          <w:sz w:val="26"/>
          <w:szCs w:val="24"/>
        </w:rPr>
      </w:pPr>
    </w:p>
    <w:p w:rsidRPr="0032216C" w:rsidR="00244BC9" w:rsidP="00244BC9" w:rsidRDefault="00244BC9" w14:paraId="2C7BA310" w14:textId="58C94B7F">
      <w:pPr>
        <w:spacing w:after="0" w:line="240" w:lineRule="auto"/>
        <w:rPr>
          <w:rFonts w:ascii="Times New Roman" w:hAnsi="Times New Roman"/>
          <w:sz w:val="26"/>
          <w:szCs w:val="24"/>
        </w:rPr>
      </w:pPr>
      <w:r w:rsidRPr="0032216C">
        <w:rPr>
          <w:rFonts w:ascii="Times New Roman" w:hAnsi="Times New Roman"/>
          <w:sz w:val="26"/>
          <w:szCs w:val="24"/>
        </w:rPr>
        <w:t xml:space="preserve">The </w:t>
      </w:r>
      <w:r w:rsidRPr="0032216C" w:rsidR="00CA52EE">
        <w:rPr>
          <w:rFonts w:ascii="Times New Roman" w:hAnsi="Times New Roman"/>
          <w:sz w:val="26"/>
          <w:szCs w:val="24"/>
        </w:rPr>
        <w:t>“</w:t>
      </w:r>
      <w:r w:rsidRPr="0032216C">
        <w:rPr>
          <w:rFonts w:ascii="Times New Roman" w:hAnsi="Times New Roman"/>
          <w:sz w:val="26"/>
          <w:szCs w:val="24"/>
        </w:rPr>
        <w:t>Paperwork Reduction Act (PRA) Administrative Cost</w:t>
      </w:r>
      <w:r w:rsidRPr="0032216C" w:rsidR="00CA52EE">
        <w:rPr>
          <w:rFonts w:ascii="Times New Roman" w:hAnsi="Times New Roman"/>
          <w:sz w:val="26"/>
          <w:szCs w:val="24"/>
        </w:rPr>
        <w:t>”</w:t>
      </w:r>
      <w:r w:rsidRPr="0032216C">
        <w:rPr>
          <w:rFonts w:ascii="Times New Roman" w:hAnsi="Times New Roman"/>
          <w:sz w:val="26"/>
          <w:szCs w:val="24"/>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w:t>
      </w:r>
      <w:r w:rsidRPr="0032216C">
        <w:rPr>
          <w:rFonts w:ascii="Times New Roman" w:hAnsi="Times New Roman"/>
          <w:i/>
          <w:sz w:val="26"/>
          <w:szCs w:val="24"/>
        </w:rPr>
        <w:t>Federal Register</w:t>
      </w:r>
      <w:r w:rsidRPr="0032216C">
        <w:rPr>
          <w:rFonts w:ascii="Times New Roman" w:hAnsi="Times New Roman"/>
          <w:sz w:val="26"/>
          <w:szCs w:val="24"/>
        </w:rPr>
        <w:t>.</w:t>
      </w:r>
    </w:p>
    <w:p w:rsidRPr="0032216C" w:rsidR="00244BC9" w:rsidP="007445A8" w:rsidRDefault="00244BC9" w14:paraId="1E2B668B" w14:textId="77777777">
      <w:pPr>
        <w:spacing w:after="0" w:line="240" w:lineRule="auto"/>
        <w:rPr>
          <w:rFonts w:ascii="Times New Roman" w:hAnsi="Times New Roman"/>
          <w:sz w:val="26"/>
          <w:szCs w:val="24"/>
        </w:rPr>
      </w:pPr>
    </w:p>
    <w:p w:rsidRPr="0032216C" w:rsidR="00F0627E" w:rsidP="007445A8" w:rsidRDefault="00F0627E" w14:paraId="0209B226" w14:textId="29C64574">
      <w:pPr>
        <w:spacing w:after="0" w:line="240" w:lineRule="auto"/>
        <w:rPr>
          <w:rFonts w:ascii="Times New Roman" w:hAnsi="Times New Roman"/>
          <w:sz w:val="26"/>
          <w:szCs w:val="24"/>
        </w:rPr>
      </w:pPr>
      <w:r w:rsidRPr="0032216C">
        <w:rPr>
          <w:rFonts w:ascii="Times New Roman" w:hAnsi="Times New Roman"/>
          <w:sz w:val="26"/>
          <w:szCs w:val="24"/>
        </w:rPr>
        <w:t xml:space="preserve">The estimated </w:t>
      </w:r>
      <w:r w:rsidRPr="0032216C" w:rsidR="00F20B97">
        <w:rPr>
          <w:rFonts w:ascii="Times New Roman" w:hAnsi="Times New Roman"/>
          <w:sz w:val="26"/>
          <w:szCs w:val="24"/>
        </w:rPr>
        <w:t xml:space="preserve">annualized </w:t>
      </w:r>
      <w:r w:rsidRPr="0032216C">
        <w:rPr>
          <w:rFonts w:ascii="Times New Roman" w:hAnsi="Times New Roman"/>
          <w:sz w:val="26"/>
          <w:szCs w:val="24"/>
        </w:rPr>
        <w:t>cost</w:t>
      </w:r>
      <w:r w:rsidRPr="0032216C" w:rsidR="00F20B97">
        <w:rPr>
          <w:rFonts w:ascii="Times New Roman" w:hAnsi="Times New Roman"/>
          <w:sz w:val="26"/>
          <w:szCs w:val="24"/>
        </w:rPr>
        <w:t xml:space="preserve"> to the Federal Government</w:t>
      </w:r>
      <w:r w:rsidRPr="0032216C" w:rsidR="00247EBC">
        <w:rPr>
          <w:rFonts w:ascii="Times New Roman" w:hAnsi="Times New Roman"/>
          <w:sz w:val="26"/>
          <w:szCs w:val="24"/>
        </w:rPr>
        <w:t xml:space="preserve"> </w:t>
      </w:r>
      <w:r w:rsidRPr="0032216C" w:rsidR="00E20CEF">
        <w:rPr>
          <w:rFonts w:ascii="Times New Roman" w:hAnsi="Times New Roman"/>
          <w:sz w:val="26"/>
          <w:szCs w:val="24"/>
        </w:rPr>
        <w:t>follows.</w:t>
      </w:r>
      <w:r w:rsidRPr="0032216C">
        <w:rPr>
          <w:rFonts w:ascii="Times New Roman" w:hAnsi="Times New Roman"/>
          <w:sz w:val="26"/>
          <w:szCs w:val="24"/>
        </w:rPr>
        <w:t xml:space="preserve"> </w:t>
      </w:r>
    </w:p>
    <w:p w:rsidRPr="0032216C" w:rsidR="00E20CEF" w:rsidP="007445A8" w:rsidRDefault="00E20CEF" w14:paraId="49041281" w14:textId="77777777">
      <w:pPr>
        <w:spacing w:after="0" w:line="240" w:lineRule="auto"/>
        <w:rPr>
          <w:rFonts w:ascii="Times New Roman" w:hAnsi="Times New Roman"/>
          <w:sz w:val="26"/>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38"/>
        <w:gridCol w:w="2953"/>
        <w:gridCol w:w="3374"/>
      </w:tblGrid>
      <w:tr w:rsidRPr="0032216C" w:rsidR="00AC762F" w:rsidTr="0042699B" w14:paraId="1352D784" w14:textId="77777777">
        <w:tc>
          <w:tcPr>
            <w:tcW w:w="2938" w:type="dxa"/>
            <w:shd w:val="clear" w:color="auto" w:fill="CCCCCC"/>
            <w:vAlign w:val="bottom"/>
          </w:tcPr>
          <w:p w:rsidRPr="0032216C" w:rsidR="00AC762F" w:rsidP="00AC762F" w:rsidRDefault="00AC762F" w14:paraId="5590FC9B" w14:textId="77777777">
            <w:pPr>
              <w:widowControl w:val="0"/>
              <w:autoSpaceDE w:val="0"/>
              <w:autoSpaceDN w:val="0"/>
              <w:adjustRightInd w:val="0"/>
              <w:spacing w:after="0" w:line="240" w:lineRule="auto"/>
              <w:jc w:val="center"/>
              <w:rPr>
                <w:rFonts w:ascii="Times New Roman" w:hAnsi="Times New Roman" w:eastAsia="Times New Roman"/>
                <w:b/>
                <w:sz w:val="26"/>
                <w:szCs w:val="24"/>
              </w:rPr>
            </w:pPr>
            <w:r w:rsidRPr="0032216C">
              <w:rPr>
                <w:rFonts w:ascii="Times New Roman" w:hAnsi="Times New Roman" w:eastAsia="Times New Roman"/>
                <w:b/>
                <w:sz w:val="26"/>
                <w:szCs w:val="24"/>
              </w:rPr>
              <w:t>FERC-500</w:t>
            </w:r>
          </w:p>
        </w:tc>
        <w:tc>
          <w:tcPr>
            <w:tcW w:w="2953" w:type="dxa"/>
            <w:shd w:val="clear" w:color="auto" w:fill="CCCCCC"/>
            <w:vAlign w:val="bottom"/>
          </w:tcPr>
          <w:p w:rsidRPr="0032216C" w:rsidR="00AC762F" w:rsidP="00AC762F" w:rsidRDefault="00AC762F" w14:paraId="3637AA90" w14:textId="77777777">
            <w:pPr>
              <w:widowControl w:val="0"/>
              <w:autoSpaceDE w:val="0"/>
              <w:autoSpaceDN w:val="0"/>
              <w:adjustRightInd w:val="0"/>
              <w:spacing w:after="0" w:line="240" w:lineRule="auto"/>
              <w:jc w:val="center"/>
              <w:rPr>
                <w:rFonts w:ascii="Times New Roman" w:hAnsi="Times New Roman" w:eastAsia="Times New Roman"/>
                <w:b/>
                <w:sz w:val="26"/>
                <w:szCs w:val="24"/>
              </w:rPr>
            </w:pPr>
            <w:r w:rsidRPr="0032216C">
              <w:rPr>
                <w:rFonts w:ascii="Times New Roman" w:hAnsi="Times New Roman" w:eastAsia="Times New Roman"/>
                <w:b/>
                <w:sz w:val="26"/>
                <w:szCs w:val="24"/>
              </w:rPr>
              <w:t>Number of Employees, Full-Time Equivalents (FTEs)</w:t>
            </w:r>
          </w:p>
        </w:tc>
        <w:tc>
          <w:tcPr>
            <w:tcW w:w="3374" w:type="dxa"/>
            <w:shd w:val="clear" w:color="auto" w:fill="CCCCCC"/>
            <w:vAlign w:val="bottom"/>
          </w:tcPr>
          <w:p w:rsidRPr="0032216C" w:rsidR="00AC762F" w:rsidP="00AC762F" w:rsidRDefault="00AC762F" w14:paraId="10973181" w14:textId="0C4CF1A5">
            <w:pPr>
              <w:widowControl w:val="0"/>
              <w:autoSpaceDE w:val="0"/>
              <w:autoSpaceDN w:val="0"/>
              <w:adjustRightInd w:val="0"/>
              <w:spacing w:after="0" w:line="240" w:lineRule="auto"/>
              <w:jc w:val="center"/>
              <w:rPr>
                <w:rFonts w:ascii="Times New Roman" w:hAnsi="Times New Roman" w:eastAsia="Times New Roman"/>
                <w:b/>
                <w:sz w:val="26"/>
                <w:szCs w:val="24"/>
              </w:rPr>
            </w:pPr>
            <w:r w:rsidRPr="0032216C">
              <w:rPr>
                <w:rFonts w:ascii="Times New Roman" w:hAnsi="Times New Roman" w:eastAsia="Times New Roman"/>
                <w:b/>
                <w:sz w:val="26"/>
                <w:szCs w:val="24"/>
              </w:rPr>
              <w:t>Estimated Annual Federal Cost (rounded)</w:t>
            </w:r>
          </w:p>
        </w:tc>
      </w:tr>
      <w:tr w:rsidRPr="0032216C" w:rsidR="00AC762F" w:rsidTr="00167264" w14:paraId="7968A12A" w14:textId="77777777">
        <w:tc>
          <w:tcPr>
            <w:tcW w:w="2938" w:type="dxa"/>
            <w:shd w:val="clear" w:color="auto" w:fill="auto"/>
          </w:tcPr>
          <w:p w:rsidRPr="0032216C" w:rsidR="00AC762F" w:rsidP="00AC762F" w:rsidRDefault="00AC762F" w14:paraId="6C229886" w14:textId="77777777">
            <w:pPr>
              <w:widowControl w:val="0"/>
              <w:autoSpaceDE w:val="0"/>
              <w:autoSpaceDN w:val="0"/>
              <w:adjustRightInd w:val="0"/>
              <w:spacing w:after="0" w:line="240" w:lineRule="auto"/>
              <w:jc w:val="center"/>
              <w:rPr>
                <w:rFonts w:ascii="Times New Roman" w:hAnsi="Times New Roman" w:eastAsia="Times New Roman"/>
                <w:bCs/>
                <w:sz w:val="26"/>
                <w:szCs w:val="24"/>
              </w:rPr>
            </w:pPr>
            <w:r w:rsidRPr="0032216C">
              <w:rPr>
                <w:rFonts w:ascii="Times New Roman" w:hAnsi="Times New Roman" w:eastAsia="Times New Roman"/>
                <w:bCs/>
                <w:sz w:val="26"/>
                <w:szCs w:val="24"/>
              </w:rPr>
              <w:t>Analysis and Processing of Filings</w:t>
            </w:r>
          </w:p>
        </w:tc>
        <w:tc>
          <w:tcPr>
            <w:tcW w:w="2953" w:type="dxa"/>
            <w:shd w:val="clear" w:color="auto" w:fill="auto"/>
            <w:vAlign w:val="bottom"/>
          </w:tcPr>
          <w:p w:rsidRPr="0032216C" w:rsidR="00AC762F" w:rsidP="00167264" w:rsidRDefault="00AC762F" w14:paraId="06424804" w14:textId="77777777">
            <w:pPr>
              <w:widowControl w:val="0"/>
              <w:autoSpaceDE w:val="0"/>
              <w:autoSpaceDN w:val="0"/>
              <w:adjustRightInd w:val="0"/>
              <w:spacing w:after="0" w:line="240" w:lineRule="auto"/>
              <w:jc w:val="right"/>
              <w:rPr>
                <w:rFonts w:ascii="Times New Roman" w:hAnsi="Times New Roman" w:eastAsia="Times New Roman"/>
                <w:bCs/>
                <w:sz w:val="26"/>
                <w:szCs w:val="24"/>
              </w:rPr>
            </w:pPr>
            <w:r w:rsidRPr="0032216C">
              <w:rPr>
                <w:rFonts w:ascii="Times New Roman" w:hAnsi="Times New Roman" w:eastAsia="Times New Roman"/>
                <w:bCs/>
                <w:sz w:val="26"/>
                <w:szCs w:val="24"/>
              </w:rPr>
              <w:t>18</w:t>
            </w:r>
          </w:p>
        </w:tc>
        <w:tc>
          <w:tcPr>
            <w:tcW w:w="3374" w:type="dxa"/>
            <w:shd w:val="clear" w:color="auto" w:fill="auto"/>
            <w:vAlign w:val="bottom"/>
          </w:tcPr>
          <w:p w:rsidRPr="0032216C" w:rsidR="00AC762F" w:rsidP="00172224" w:rsidRDefault="00AC762F" w14:paraId="37D17455" w14:textId="7A5DBC3D">
            <w:pPr>
              <w:widowControl w:val="0"/>
              <w:autoSpaceDE w:val="0"/>
              <w:autoSpaceDN w:val="0"/>
              <w:adjustRightInd w:val="0"/>
              <w:spacing w:after="0" w:line="240" w:lineRule="auto"/>
              <w:jc w:val="right"/>
              <w:rPr>
                <w:rFonts w:ascii="Times New Roman" w:hAnsi="Times New Roman" w:eastAsia="Times New Roman"/>
                <w:bCs/>
                <w:sz w:val="26"/>
                <w:szCs w:val="24"/>
              </w:rPr>
            </w:pPr>
            <w:r w:rsidRPr="0032216C">
              <w:rPr>
                <w:rFonts w:ascii="Times New Roman" w:hAnsi="Times New Roman" w:eastAsia="Times New Roman"/>
                <w:bCs/>
                <w:sz w:val="26"/>
                <w:szCs w:val="24"/>
              </w:rPr>
              <w:t>$3,</w:t>
            </w:r>
            <w:r w:rsidR="00852A62">
              <w:rPr>
                <w:rFonts w:ascii="Times New Roman" w:hAnsi="Times New Roman" w:eastAsia="Times New Roman"/>
                <w:bCs/>
                <w:sz w:val="26"/>
                <w:szCs w:val="24"/>
              </w:rPr>
              <w:t>378,654</w:t>
            </w:r>
          </w:p>
        </w:tc>
      </w:tr>
      <w:tr w:rsidRPr="0032216C" w:rsidR="00AC762F" w:rsidTr="00DD56FC" w14:paraId="6EFC4FFA" w14:textId="77777777">
        <w:tc>
          <w:tcPr>
            <w:tcW w:w="2938" w:type="dxa"/>
            <w:shd w:val="clear" w:color="auto" w:fill="auto"/>
          </w:tcPr>
          <w:p w:rsidRPr="0032216C" w:rsidR="00AC762F" w:rsidP="00AC762F" w:rsidRDefault="00AC762F" w14:paraId="3DFBC29E" w14:textId="77777777">
            <w:pPr>
              <w:widowControl w:val="0"/>
              <w:autoSpaceDE w:val="0"/>
              <w:autoSpaceDN w:val="0"/>
              <w:adjustRightInd w:val="0"/>
              <w:spacing w:after="0" w:line="240" w:lineRule="auto"/>
              <w:jc w:val="center"/>
              <w:rPr>
                <w:rFonts w:ascii="Times New Roman" w:hAnsi="Times New Roman" w:eastAsia="Times New Roman"/>
                <w:bCs/>
                <w:sz w:val="26"/>
                <w:szCs w:val="24"/>
              </w:rPr>
            </w:pPr>
            <w:r w:rsidRPr="0032216C">
              <w:rPr>
                <w:rFonts w:ascii="Times New Roman" w:hAnsi="Times New Roman" w:eastAsia="Times New Roman"/>
                <w:bCs/>
                <w:sz w:val="26"/>
                <w:szCs w:val="24"/>
              </w:rPr>
              <w:t>PRA</w:t>
            </w:r>
            <w:r w:rsidRPr="0032216C">
              <w:rPr>
                <w:rFonts w:ascii="Times New Roman" w:hAnsi="Times New Roman" w:eastAsia="Times New Roman"/>
                <w:bCs/>
                <w:sz w:val="26"/>
                <w:szCs w:val="24"/>
                <w:vertAlign w:val="superscript"/>
              </w:rPr>
              <w:t xml:space="preserve"> </w:t>
            </w:r>
            <w:r w:rsidRPr="0032216C">
              <w:rPr>
                <w:rFonts w:ascii="Times New Roman" w:hAnsi="Times New Roman" w:eastAsia="Times New Roman"/>
                <w:bCs/>
                <w:sz w:val="26"/>
                <w:szCs w:val="24"/>
              </w:rPr>
              <w:t>Administrative Cost</w:t>
            </w:r>
          </w:p>
        </w:tc>
        <w:tc>
          <w:tcPr>
            <w:tcW w:w="2953" w:type="dxa"/>
            <w:shd w:val="clear" w:color="auto" w:fill="D9D9D9" w:themeFill="background1" w:themeFillShade="D9"/>
            <w:vAlign w:val="bottom"/>
          </w:tcPr>
          <w:p w:rsidRPr="0032216C" w:rsidR="00AC762F" w:rsidP="005C0440" w:rsidRDefault="00AC762F" w14:paraId="7E65F2B3" w14:textId="796B9934">
            <w:pPr>
              <w:widowControl w:val="0"/>
              <w:autoSpaceDE w:val="0"/>
              <w:autoSpaceDN w:val="0"/>
              <w:adjustRightInd w:val="0"/>
              <w:spacing w:after="0" w:line="240" w:lineRule="auto"/>
              <w:jc w:val="right"/>
              <w:rPr>
                <w:rFonts w:ascii="Times New Roman" w:hAnsi="Times New Roman" w:eastAsia="Times New Roman"/>
                <w:bCs/>
                <w:sz w:val="26"/>
                <w:szCs w:val="24"/>
              </w:rPr>
            </w:pPr>
          </w:p>
        </w:tc>
        <w:tc>
          <w:tcPr>
            <w:tcW w:w="3374" w:type="dxa"/>
            <w:shd w:val="clear" w:color="auto" w:fill="auto"/>
            <w:vAlign w:val="bottom"/>
          </w:tcPr>
          <w:p w:rsidRPr="0032216C" w:rsidR="00AC762F" w:rsidP="00172224" w:rsidRDefault="00852A62" w14:paraId="281CABEC" w14:textId="28BB352F">
            <w:pPr>
              <w:widowControl w:val="0"/>
              <w:autoSpaceDE w:val="0"/>
              <w:autoSpaceDN w:val="0"/>
              <w:adjustRightInd w:val="0"/>
              <w:spacing w:after="0" w:line="240" w:lineRule="auto"/>
              <w:jc w:val="right"/>
              <w:rPr>
                <w:rFonts w:ascii="Times New Roman" w:hAnsi="Times New Roman" w:eastAsia="Times New Roman"/>
                <w:bCs/>
                <w:sz w:val="26"/>
                <w:szCs w:val="24"/>
              </w:rPr>
            </w:pPr>
            <w:r>
              <w:rPr>
                <w:rFonts w:ascii="Times New Roman" w:hAnsi="Times New Roman" w:eastAsia="Times New Roman"/>
                <w:bCs/>
                <w:sz w:val="26"/>
                <w:szCs w:val="24"/>
              </w:rPr>
              <w:t>$8</w:t>
            </w:r>
            <w:r w:rsidR="00501195">
              <w:rPr>
                <w:rFonts w:ascii="Times New Roman" w:hAnsi="Times New Roman" w:eastAsia="Times New Roman"/>
                <w:bCs/>
                <w:sz w:val="26"/>
                <w:szCs w:val="24"/>
              </w:rPr>
              <w:t>,</w:t>
            </w:r>
            <w:r>
              <w:rPr>
                <w:rFonts w:ascii="Times New Roman" w:hAnsi="Times New Roman" w:eastAsia="Times New Roman"/>
                <w:bCs/>
                <w:sz w:val="26"/>
                <w:szCs w:val="24"/>
              </w:rPr>
              <w:t>279</w:t>
            </w:r>
          </w:p>
        </w:tc>
      </w:tr>
      <w:tr w:rsidRPr="0032216C" w:rsidR="00AC762F" w:rsidTr="005C0440" w14:paraId="3C4EED05" w14:textId="77777777">
        <w:tc>
          <w:tcPr>
            <w:tcW w:w="2938" w:type="dxa"/>
            <w:shd w:val="clear" w:color="auto" w:fill="auto"/>
          </w:tcPr>
          <w:p w:rsidRPr="0032216C" w:rsidR="00AC762F" w:rsidP="00AC762F" w:rsidRDefault="00AC762F" w14:paraId="60952274" w14:textId="77777777">
            <w:pPr>
              <w:widowControl w:val="0"/>
              <w:autoSpaceDE w:val="0"/>
              <w:autoSpaceDN w:val="0"/>
              <w:adjustRightInd w:val="0"/>
              <w:spacing w:after="0" w:line="240" w:lineRule="auto"/>
              <w:jc w:val="center"/>
              <w:rPr>
                <w:rFonts w:ascii="Times New Roman" w:hAnsi="Times New Roman" w:eastAsia="Times New Roman"/>
                <w:bCs/>
                <w:sz w:val="26"/>
                <w:szCs w:val="24"/>
              </w:rPr>
            </w:pPr>
            <w:r w:rsidRPr="0032216C">
              <w:rPr>
                <w:rFonts w:ascii="Times New Roman" w:hAnsi="Times New Roman" w:eastAsia="Times New Roman"/>
                <w:bCs/>
                <w:sz w:val="26"/>
                <w:szCs w:val="24"/>
              </w:rPr>
              <w:t xml:space="preserve">Total for FERC-500 </w:t>
            </w:r>
          </w:p>
        </w:tc>
        <w:tc>
          <w:tcPr>
            <w:tcW w:w="2953" w:type="dxa"/>
            <w:shd w:val="clear" w:color="auto" w:fill="auto"/>
            <w:vAlign w:val="bottom"/>
          </w:tcPr>
          <w:p w:rsidRPr="0032216C" w:rsidR="00AC762F" w:rsidP="005C0440" w:rsidRDefault="005C0440" w14:paraId="5457A710" w14:textId="0016CF9F">
            <w:pPr>
              <w:widowControl w:val="0"/>
              <w:autoSpaceDE w:val="0"/>
              <w:autoSpaceDN w:val="0"/>
              <w:adjustRightInd w:val="0"/>
              <w:spacing w:after="0" w:line="240" w:lineRule="auto"/>
              <w:jc w:val="right"/>
              <w:rPr>
                <w:rFonts w:ascii="Times New Roman" w:hAnsi="Times New Roman" w:eastAsia="Times New Roman"/>
                <w:bCs/>
                <w:sz w:val="26"/>
                <w:szCs w:val="24"/>
              </w:rPr>
            </w:pPr>
            <w:r w:rsidRPr="0032216C">
              <w:rPr>
                <w:rFonts w:ascii="Times New Roman" w:hAnsi="Times New Roman" w:eastAsia="Times New Roman"/>
                <w:bCs/>
                <w:sz w:val="26"/>
                <w:szCs w:val="24"/>
              </w:rPr>
              <w:t>18</w:t>
            </w:r>
          </w:p>
        </w:tc>
        <w:tc>
          <w:tcPr>
            <w:tcW w:w="3374" w:type="dxa"/>
            <w:shd w:val="clear" w:color="auto" w:fill="auto"/>
            <w:vAlign w:val="bottom"/>
          </w:tcPr>
          <w:p w:rsidRPr="0032216C" w:rsidR="00AC762F" w:rsidP="00172224" w:rsidRDefault="0052363E" w14:paraId="41B0F25F" w14:textId="5588585A">
            <w:pPr>
              <w:widowControl w:val="0"/>
              <w:autoSpaceDE w:val="0"/>
              <w:autoSpaceDN w:val="0"/>
              <w:adjustRightInd w:val="0"/>
              <w:spacing w:after="0" w:line="240" w:lineRule="auto"/>
              <w:jc w:val="right"/>
              <w:rPr>
                <w:rFonts w:ascii="Times New Roman" w:hAnsi="Times New Roman" w:eastAsia="Times New Roman"/>
                <w:bCs/>
                <w:sz w:val="26"/>
                <w:szCs w:val="24"/>
              </w:rPr>
            </w:pPr>
            <w:r>
              <w:rPr>
                <w:rFonts w:ascii="Times New Roman" w:hAnsi="Times New Roman" w:eastAsia="Times New Roman"/>
                <w:bCs/>
                <w:sz w:val="26"/>
                <w:szCs w:val="24"/>
              </w:rPr>
              <w:t>$3</w:t>
            </w:r>
            <w:r w:rsidR="00F86362">
              <w:rPr>
                <w:rFonts w:ascii="Times New Roman" w:hAnsi="Times New Roman" w:eastAsia="Times New Roman"/>
                <w:bCs/>
                <w:sz w:val="26"/>
                <w:szCs w:val="24"/>
              </w:rPr>
              <w:t>,</w:t>
            </w:r>
            <w:r>
              <w:rPr>
                <w:rFonts w:ascii="Times New Roman" w:hAnsi="Times New Roman" w:eastAsia="Times New Roman"/>
                <w:bCs/>
                <w:sz w:val="26"/>
                <w:szCs w:val="24"/>
              </w:rPr>
              <w:t>386</w:t>
            </w:r>
            <w:r w:rsidR="00F86362">
              <w:rPr>
                <w:rFonts w:ascii="Times New Roman" w:hAnsi="Times New Roman" w:eastAsia="Times New Roman"/>
                <w:bCs/>
                <w:sz w:val="26"/>
                <w:szCs w:val="24"/>
              </w:rPr>
              <w:t>,933</w:t>
            </w:r>
          </w:p>
        </w:tc>
      </w:tr>
    </w:tbl>
    <w:p w:rsidRPr="0032216C" w:rsidR="00AC762F" w:rsidP="00AC762F" w:rsidRDefault="00AC762F" w14:paraId="3AE7AFBC" w14:textId="77777777">
      <w:pPr>
        <w:widowControl w:val="0"/>
        <w:autoSpaceDE w:val="0"/>
        <w:autoSpaceDN w:val="0"/>
        <w:adjustRightInd w:val="0"/>
        <w:spacing w:after="0" w:line="240" w:lineRule="auto"/>
        <w:jc w:val="center"/>
        <w:rPr>
          <w:rFonts w:ascii="Times New Roman" w:hAnsi="Times New Roman" w:eastAsia="Times New Roman"/>
          <w:b/>
          <w:sz w:val="26"/>
          <w:szCs w:val="24"/>
        </w:rPr>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2965"/>
        <w:gridCol w:w="2880"/>
        <w:gridCol w:w="3420"/>
      </w:tblGrid>
      <w:tr w:rsidRPr="0032216C" w:rsidR="00AC762F" w:rsidTr="0042699B" w14:paraId="56DDF289" w14:textId="77777777">
        <w:tc>
          <w:tcPr>
            <w:tcW w:w="2965" w:type="dxa"/>
            <w:shd w:val="clear" w:color="auto" w:fill="D9D9D9" w:themeFill="background1" w:themeFillShade="D9"/>
            <w:vAlign w:val="bottom"/>
          </w:tcPr>
          <w:p w:rsidRPr="0032216C" w:rsidR="00AC762F" w:rsidP="00AC762F" w:rsidRDefault="00AC762F" w14:paraId="654D8DBF" w14:textId="77777777">
            <w:pPr>
              <w:widowControl w:val="0"/>
              <w:autoSpaceDE w:val="0"/>
              <w:autoSpaceDN w:val="0"/>
              <w:adjustRightInd w:val="0"/>
              <w:spacing w:after="0" w:line="240" w:lineRule="auto"/>
              <w:jc w:val="center"/>
              <w:rPr>
                <w:rFonts w:ascii="Times New Roman" w:hAnsi="Times New Roman" w:eastAsia="Times New Roman"/>
                <w:b/>
                <w:sz w:val="26"/>
                <w:szCs w:val="24"/>
              </w:rPr>
            </w:pPr>
            <w:r w:rsidRPr="0032216C">
              <w:rPr>
                <w:rFonts w:ascii="Times New Roman" w:hAnsi="Times New Roman" w:eastAsia="Times New Roman"/>
                <w:b/>
                <w:sz w:val="26"/>
                <w:szCs w:val="24"/>
              </w:rPr>
              <w:t>FERC-505</w:t>
            </w:r>
          </w:p>
        </w:tc>
        <w:tc>
          <w:tcPr>
            <w:tcW w:w="2880" w:type="dxa"/>
            <w:shd w:val="clear" w:color="auto" w:fill="D9D9D9"/>
            <w:vAlign w:val="bottom"/>
          </w:tcPr>
          <w:p w:rsidRPr="0032216C" w:rsidR="00AC762F" w:rsidP="00AC762F" w:rsidRDefault="00AC762F" w14:paraId="6B43B90B" w14:textId="77777777">
            <w:pPr>
              <w:widowControl w:val="0"/>
              <w:autoSpaceDE w:val="0"/>
              <w:autoSpaceDN w:val="0"/>
              <w:adjustRightInd w:val="0"/>
              <w:spacing w:after="0" w:line="240" w:lineRule="auto"/>
              <w:jc w:val="center"/>
              <w:rPr>
                <w:rFonts w:ascii="Times New Roman" w:hAnsi="Times New Roman" w:eastAsia="Times New Roman"/>
                <w:b/>
                <w:sz w:val="26"/>
                <w:szCs w:val="24"/>
              </w:rPr>
            </w:pPr>
            <w:r w:rsidRPr="0032216C">
              <w:rPr>
                <w:rFonts w:ascii="Times New Roman" w:hAnsi="Times New Roman" w:eastAsia="Times New Roman"/>
                <w:b/>
                <w:sz w:val="26"/>
                <w:szCs w:val="24"/>
              </w:rPr>
              <w:t>Number of Employees (FTEs)</w:t>
            </w:r>
          </w:p>
        </w:tc>
        <w:tc>
          <w:tcPr>
            <w:tcW w:w="3420" w:type="dxa"/>
            <w:shd w:val="clear" w:color="auto" w:fill="D9D9D9"/>
            <w:vAlign w:val="bottom"/>
          </w:tcPr>
          <w:p w:rsidRPr="0032216C" w:rsidR="00AC762F" w:rsidP="00AC762F" w:rsidRDefault="00AC762F" w14:paraId="201EC0FA" w14:textId="77777777">
            <w:pPr>
              <w:widowControl w:val="0"/>
              <w:autoSpaceDE w:val="0"/>
              <w:autoSpaceDN w:val="0"/>
              <w:adjustRightInd w:val="0"/>
              <w:spacing w:after="0" w:line="240" w:lineRule="auto"/>
              <w:jc w:val="center"/>
              <w:rPr>
                <w:rFonts w:ascii="Times New Roman" w:hAnsi="Times New Roman" w:eastAsia="Times New Roman"/>
                <w:b/>
                <w:sz w:val="26"/>
                <w:szCs w:val="24"/>
              </w:rPr>
            </w:pPr>
            <w:r w:rsidRPr="0032216C">
              <w:rPr>
                <w:rFonts w:ascii="Times New Roman" w:hAnsi="Times New Roman" w:eastAsia="Times New Roman"/>
                <w:b/>
                <w:sz w:val="26"/>
                <w:szCs w:val="24"/>
              </w:rPr>
              <w:t>Estimated Annual Federal Cost (rounded)</w:t>
            </w:r>
          </w:p>
        </w:tc>
      </w:tr>
      <w:tr w:rsidRPr="0032216C" w:rsidR="00AC762F" w:rsidTr="00167264" w14:paraId="3D61B556" w14:textId="77777777">
        <w:tc>
          <w:tcPr>
            <w:tcW w:w="2965" w:type="dxa"/>
            <w:shd w:val="clear" w:color="auto" w:fill="FFFFFF"/>
            <w:vAlign w:val="bottom"/>
          </w:tcPr>
          <w:p w:rsidRPr="0032216C" w:rsidR="00AC762F" w:rsidP="00AC762F" w:rsidRDefault="00AC762F" w14:paraId="1BAE690F" w14:textId="77777777">
            <w:pPr>
              <w:widowControl w:val="0"/>
              <w:autoSpaceDE w:val="0"/>
              <w:autoSpaceDN w:val="0"/>
              <w:adjustRightInd w:val="0"/>
              <w:spacing w:after="0" w:line="240" w:lineRule="auto"/>
              <w:jc w:val="center"/>
              <w:rPr>
                <w:rFonts w:ascii="Times New Roman" w:hAnsi="Times New Roman" w:eastAsia="Times New Roman"/>
                <w:bCs/>
                <w:sz w:val="26"/>
                <w:szCs w:val="24"/>
              </w:rPr>
            </w:pPr>
            <w:r w:rsidRPr="0032216C">
              <w:rPr>
                <w:rFonts w:ascii="Times New Roman" w:hAnsi="Times New Roman" w:eastAsia="Times New Roman"/>
                <w:bCs/>
                <w:sz w:val="26"/>
                <w:szCs w:val="24"/>
              </w:rPr>
              <w:t>Analysis and Processing of filings</w:t>
            </w:r>
          </w:p>
        </w:tc>
        <w:tc>
          <w:tcPr>
            <w:tcW w:w="2880" w:type="dxa"/>
            <w:shd w:val="clear" w:color="auto" w:fill="FFFFFF"/>
            <w:vAlign w:val="bottom"/>
          </w:tcPr>
          <w:p w:rsidRPr="0032216C" w:rsidR="00AC762F" w:rsidP="00167264" w:rsidRDefault="00AC762F" w14:paraId="0D011E86" w14:textId="77777777">
            <w:pPr>
              <w:widowControl w:val="0"/>
              <w:autoSpaceDE w:val="0"/>
              <w:autoSpaceDN w:val="0"/>
              <w:adjustRightInd w:val="0"/>
              <w:spacing w:after="0" w:line="240" w:lineRule="auto"/>
              <w:jc w:val="right"/>
              <w:rPr>
                <w:rFonts w:ascii="Times New Roman" w:hAnsi="Times New Roman" w:eastAsia="Times New Roman"/>
                <w:bCs/>
                <w:sz w:val="26"/>
                <w:szCs w:val="24"/>
              </w:rPr>
            </w:pPr>
            <w:r w:rsidRPr="0032216C">
              <w:rPr>
                <w:rFonts w:ascii="Times New Roman" w:hAnsi="Times New Roman" w:eastAsia="Times New Roman"/>
                <w:bCs/>
                <w:sz w:val="26"/>
                <w:szCs w:val="24"/>
              </w:rPr>
              <w:t>8.5</w:t>
            </w:r>
          </w:p>
        </w:tc>
        <w:tc>
          <w:tcPr>
            <w:tcW w:w="3420" w:type="dxa"/>
            <w:shd w:val="clear" w:color="auto" w:fill="FFFFFF"/>
            <w:vAlign w:val="bottom"/>
          </w:tcPr>
          <w:p w:rsidRPr="0032216C" w:rsidR="00AC762F" w:rsidP="00167264" w:rsidRDefault="00AC762F" w14:paraId="7EFCA563" w14:textId="6E75CA22">
            <w:pPr>
              <w:widowControl w:val="0"/>
              <w:autoSpaceDE w:val="0"/>
              <w:autoSpaceDN w:val="0"/>
              <w:adjustRightInd w:val="0"/>
              <w:spacing w:after="0" w:line="240" w:lineRule="auto"/>
              <w:jc w:val="right"/>
              <w:rPr>
                <w:rFonts w:ascii="Times New Roman" w:hAnsi="Times New Roman" w:eastAsia="Times New Roman"/>
                <w:bCs/>
                <w:sz w:val="26"/>
                <w:szCs w:val="24"/>
              </w:rPr>
            </w:pPr>
            <w:r w:rsidRPr="0032216C">
              <w:rPr>
                <w:rFonts w:ascii="Times New Roman" w:hAnsi="Times New Roman" w:eastAsia="Times New Roman"/>
                <w:bCs/>
                <w:sz w:val="26"/>
                <w:szCs w:val="24"/>
              </w:rPr>
              <w:t>$</w:t>
            </w:r>
            <w:r w:rsidRPr="0032216C" w:rsidR="00A63A13">
              <w:rPr>
                <w:rFonts w:ascii="Times New Roman" w:hAnsi="Times New Roman" w:eastAsia="Times New Roman"/>
                <w:bCs/>
                <w:sz w:val="26"/>
                <w:szCs w:val="24"/>
              </w:rPr>
              <w:t>1</w:t>
            </w:r>
            <w:r w:rsidRPr="0032216C" w:rsidR="00642014">
              <w:rPr>
                <w:rFonts w:ascii="Times New Roman" w:hAnsi="Times New Roman" w:eastAsia="Times New Roman"/>
                <w:bCs/>
                <w:sz w:val="26"/>
                <w:szCs w:val="24"/>
              </w:rPr>
              <w:t>,</w:t>
            </w:r>
            <w:r w:rsidR="00190D5C">
              <w:rPr>
                <w:rFonts w:ascii="Times New Roman" w:hAnsi="Times New Roman" w:eastAsia="Times New Roman"/>
                <w:bCs/>
                <w:sz w:val="26"/>
                <w:szCs w:val="24"/>
              </w:rPr>
              <w:t>595,475.50</w:t>
            </w:r>
          </w:p>
        </w:tc>
      </w:tr>
      <w:tr w:rsidRPr="0032216C" w:rsidR="00AC762F" w:rsidTr="00DD56FC" w14:paraId="70EE4C2F" w14:textId="77777777">
        <w:tc>
          <w:tcPr>
            <w:tcW w:w="2965" w:type="dxa"/>
            <w:shd w:val="clear" w:color="auto" w:fill="FFFFFF"/>
            <w:vAlign w:val="bottom"/>
          </w:tcPr>
          <w:p w:rsidRPr="0032216C" w:rsidR="00AC762F" w:rsidP="00AC762F" w:rsidRDefault="00AC762F" w14:paraId="68766D25" w14:textId="77777777">
            <w:pPr>
              <w:widowControl w:val="0"/>
              <w:autoSpaceDE w:val="0"/>
              <w:autoSpaceDN w:val="0"/>
              <w:adjustRightInd w:val="0"/>
              <w:spacing w:after="0" w:line="240" w:lineRule="auto"/>
              <w:jc w:val="center"/>
              <w:rPr>
                <w:rFonts w:ascii="Times New Roman" w:hAnsi="Times New Roman" w:eastAsia="Times New Roman"/>
                <w:bCs/>
                <w:sz w:val="26"/>
                <w:szCs w:val="24"/>
              </w:rPr>
            </w:pPr>
            <w:r w:rsidRPr="0032216C">
              <w:rPr>
                <w:rFonts w:ascii="Times New Roman" w:hAnsi="Times New Roman" w:eastAsia="Times New Roman"/>
                <w:bCs/>
                <w:sz w:val="26"/>
                <w:szCs w:val="24"/>
              </w:rPr>
              <w:t xml:space="preserve">PRA Administrative Cost </w:t>
            </w:r>
          </w:p>
        </w:tc>
        <w:tc>
          <w:tcPr>
            <w:tcW w:w="2880" w:type="dxa"/>
            <w:shd w:val="clear" w:color="auto" w:fill="D9D9D9" w:themeFill="background1" w:themeFillShade="D9"/>
            <w:vAlign w:val="bottom"/>
          </w:tcPr>
          <w:p w:rsidRPr="0032216C" w:rsidR="00AC762F" w:rsidP="00167264" w:rsidRDefault="00AC762F" w14:paraId="22461A88" w14:textId="64BD1F2A">
            <w:pPr>
              <w:widowControl w:val="0"/>
              <w:autoSpaceDE w:val="0"/>
              <w:autoSpaceDN w:val="0"/>
              <w:adjustRightInd w:val="0"/>
              <w:spacing w:after="0" w:line="240" w:lineRule="auto"/>
              <w:jc w:val="right"/>
              <w:rPr>
                <w:rFonts w:ascii="Times New Roman" w:hAnsi="Times New Roman" w:eastAsia="Times New Roman"/>
                <w:bCs/>
                <w:sz w:val="26"/>
                <w:szCs w:val="24"/>
              </w:rPr>
            </w:pPr>
          </w:p>
        </w:tc>
        <w:tc>
          <w:tcPr>
            <w:tcW w:w="3420" w:type="dxa"/>
            <w:shd w:val="clear" w:color="auto" w:fill="auto"/>
            <w:vAlign w:val="bottom"/>
          </w:tcPr>
          <w:p w:rsidRPr="0032216C" w:rsidR="00AC762F" w:rsidP="00167264" w:rsidRDefault="00A80ECE" w14:paraId="76749112" w14:textId="03C567EA">
            <w:pPr>
              <w:widowControl w:val="0"/>
              <w:autoSpaceDE w:val="0"/>
              <w:autoSpaceDN w:val="0"/>
              <w:adjustRightInd w:val="0"/>
              <w:spacing w:after="0" w:line="240" w:lineRule="auto"/>
              <w:jc w:val="right"/>
              <w:rPr>
                <w:rFonts w:ascii="Times New Roman" w:hAnsi="Times New Roman" w:eastAsia="Times New Roman"/>
                <w:bCs/>
                <w:sz w:val="26"/>
                <w:szCs w:val="24"/>
              </w:rPr>
            </w:pPr>
            <w:r>
              <w:rPr>
                <w:rFonts w:ascii="Times New Roman" w:hAnsi="Times New Roman" w:eastAsia="Times New Roman"/>
                <w:bCs/>
                <w:sz w:val="26"/>
                <w:szCs w:val="24"/>
              </w:rPr>
              <w:t>$8,279</w:t>
            </w:r>
          </w:p>
        </w:tc>
      </w:tr>
      <w:tr w:rsidRPr="0032216C" w:rsidR="00AC762F" w:rsidTr="00167264" w14:paraId="15196D4F" w14:textId="77777777">
        <w:tc>
          <w:tcPr>
            <w:tcW w:w="2965" w:type="dxa"/>
            <w:shd w:val="clear" w:color="auto" w:fill="FFFFFF"/>
            <w:vAlign w:val="bottom"/>
          </w:tcPr>
          <w:p w:rsidRPr="0032216C" w:rsidR="00AC762F" w:rsidP="00AC762F" w:rsidRDefault="00AC762F" w14:paraId="00ED8F9A" w14:textId="77777777">
            <w:pPr>
              <w:widowControl w:val="0"/>
              <w:autoSpaceDE w:val="0"/>
              <w:autoSpaceDN w:val="0"/>
              <w:adjustRightInd w:val="0"/>
              <w:spacing w:after="0" w:line="240" w:lineRule="auto"/>
              <w:jc w:val="center"/>
              <w:rPr>
                <w:rFonts w:ascii="Times New Roman" w:hAnsi="Times New Roman" w:eastAsia="Times New Roman"/>
                <w:bCs/>
                <w:sz w:val="26"/>
                <w:szCs w:val="24"/>
              </w:rPr>
            </w:pPr>
            <w:r w:rsidRPr="0032216C">
              <w:rPr>
                <w:rFonts w:ascii="Times New Roman" w:hAnsi="Times New Roman" w:eastAsia="Times New Roman"/>
                <w:bCs/>
                <w:sz w:val="26"/>
                <w:szCs w:val="24"/>
              </w:rPr>
              <w:t xml:space="preserve">Total for FERC-505 </w:t>
            </w:r>
          </w:p>
        </w:tc>
        <w:tc>
          <w:tcPr>
            <w:tcW w:w="2880" w:type="dxa"/>
            <w:shd w:val="clear" w:color="auto" w:fill="FFFFFF"/>
            <w:vAlign w:val="bottom"/>
          </w:tcPr>
          <w:p w:rsidRPr="0032216C" w:rsidR="00AC762F" w:rsidP="00167264" w:rsidRDefault="005C0440" w14:paraId="34AAC968" w14:textId="2334353D">
            <w:pPr>
              <w:widowControl w:val="0"/>
              <w:autoSpaceDE w:val="0"/>
              <w:autoSpaceDN w:val="0"/>
              <w:adjustRightInd w:val="0"/>
              <w:spacing w:after="0" w:line="240" w:lineRule="auto"/>
              <w:jc w:val="right"/>
              <w:rPr>
                <w:rFonts w:ascii="Times New Roman" w:hAnsi="Times New Roman" w:eastAsia="Times New Roman"/>
                <w:bCs/>
                <w:sz w:val="26"/>
                <w:szCs w:val="24"/>
              </w:rPr>
            </w:pPr>
            <w:r w:rsidRPr="0032216C">
              <w:rPr>
                <w:rFonts w:ascii="Times New Roman" w:hAnsi="Times New Roman" w:eastAsia="Times New Roman"/>
                <w:bCs/>
                <w:sz w:val="26"/>
                <w:szCs w:val="24"/>
              </w:rPr>
              <w:t>8.5</w:t>
            </w:r>
          </w:p>
        </w:tc>
        <w:tc>
          <w:tcPr>
            <w:tcW w:w="3420" w:type="dxa"/>
            <w:shd w:val="clear" w:color="auto" w:fill="auto"/>
            <w:vAlign w:val="bottom"/>
          </w:tcPr>
          <w:p w:rsidRPr="0032216C" w:rsidR="00AC762F" w:rsidP="00167264" w:rsidRDefault="006709A8" w14:paraId="16FD790C" w14:textId="57130997">
            <w:pPr>
              <w:widowControl w:val="0"/>
              <w:autoSpaceDE w:val="0"/>
              <w:autoSpaceDN w:val="0"/>
              <w:adjustRightInd w:val="0"/>
              <w:spacing w:after="0" w:line="240" w:lineRule="auto"/>
              <w:jc w:val="right"/>
              <w:rPr>
                <w:rFonts w:ascii="Times New Roman" w:hAnsi="Times New Roman" w:eastAsia="Times New Roman"/>
                <w:bCs/>
                <w:sz w:val="26"/>
                <w:szCs w:val="24"/>
              </w:rPr>
            </w:pPr>
            <w:r>
              <w:rPr>
                <w:rFonts w:ascii="Times New Roman" w:hAnsi="Times New Roman" w:eastAsia="Times New Roman"/>
                <w:bCs/>
                <w:sz w:val="26"/>
                <w:szCs w:val="24"/>
              </w:rPr>
              <w:t>$</w:t>
            </w:r>
            <w:r w:rsidR="00C8040C">
              <w:rPr>
                <w:rFonts w:ascii="Times New Roman" w:hAnsi="Times New Roman" w:eastAsia="Times New Roman"/>
                <w:bCs/>
                <w:sz w:val="26"/>
                <w:szCs w:val="24"/>
              </w:rPr>
              <w:t>1,603,754.50</w:t>
            </w:r>
          </w:p>
        </w:tc>
      </w:tr>
    </w:tbl>
    <w:p w:rsidRPr="0032216C" w:rsidR="00F20B97" w:rsidP="007445A8" w:rsidRDefault="00F20B97" w14:paraId="2DFEE946" w14:textId="77777777">
      <w:pPr>
        <w:spacing w:after="0" w:line="240" w:lineRule="auto"/>
        <w:rPr>
          <w:rFonts w:ascii="Times New Roman" w:hAnsi="Times New Roman"/>
          <w:sz w:val="26"/>
          <w:szCs w:val="24"/>
        </w:rPr>
      </w:pPr>
    </w:p>
    <w:p w:rsidRPr="0032216C" w:rsidR="00F20B97" w:rsidP="007445A8" w:rsidRDefault="00F20B97" w14:paraId="274800FE" w14:textId="1EA330E9">
      <w:pPr>
        <w:spacing w:after="0" w:line="240" w:lineRule="auto"/>
        <w:rPr>
          <w:rFonts w:ascii="Times New Roman" w:hAnsi="Times New Roman"/>
          <w:b/>
          <w:sz w:val="26"/>
          <w:szCs w:val="24"/>
        </w:rPr>
      </w:pPr>
      <w:r w:rsidRPr="0032216C">
        <w:rPr>
          <w:rFonts w:ascii="Times New Roman" w:hAnsi="Times New Roman"/>
          <w:b/>
          <w:sz w:val="26"/>
          <w:szCs w:val="24"/>
        </w:rPr>
        <w:t>15. REASONS FOR CHANGES IN BURDEN INCLUDING THE NEED FOR ANY INCREASE</w:t>
      </w:r>
    </w:p>
    <w:p w:rsidRPr="0032216C" w:rsidR="00913B64" w:rsidP="007445A8" w:rsidRDefault="00913B64" w14:paraId="759824D2" w14:textId="77777777">
      <w:pPr>
        <w:spacing w:after="0" w:line="240" w:lineRule="auto"/>
        <w:rPr>
          <w:rFonts w:ascii="Times New Roman" w:hAnsi="Times New Roman"/>
          <w:b/>
          <w:sz w:val="26"/>
          <w:szCs w:val="24"/>
        </w:rPr>
      </w:pPr>
    </w:p>
    <w:p w:rsidR="007A132E" w:rsidP="005C71F9" w:rsidRDefault="00A7303F" w14:paraId="49417F99" w14:textId="234CE4E9">
      <w:pPr>
        <w:spacing w:after="0" w:line="240" w:lineRule="auto"/>
        <w:rPr>
          <w:rFonts w:ascii="Times New Roman" w:hAnsi="Times New Roman"/>
          <w:bCs/>
          <w:sz w:val="26"/>
          <w:szCs w:val="24"/>
        </w:rPr>
      </w:pPr>
      <w:r w:rsidRPr="0032216C">
        <w:rPr>
          <w:rFonts w:ascii="Times New Roman" w:hAnsi="Times New Roman"/>
          <w:b/>
          <w:sz w:val="26"/>
          <w:szCs w:val="24"/>
        </w:rPr>
        <w:t>FERC-500</w:t>
      </w:r>
      <w:r w:rsidRPr="00057AC0">
        <w:rPr>
          <w:rFonts w:ascii="Times New Roman" w:hAnsi="Times New Roman"/>
          <w:bCs/>
          <w:sz w:val="26"/>
          <w:szCs w:val="24"/>
        </w:rPr>
        <w:t>.</w:t>
      </w:r>
      <w:r w:rsidR="00B12B03">
        <w:rPr>
          <w:rFonts w:ascii="Times New Roman" w:hAnsi="Times New Roman"/>
          <w:bCs/>
          <w:sz w:val="26"/>
          <w:szCs w:val="24"/>
        </w:rPr>
        <w:t xml:space="preserve">  </w:t>
      </w:r>
      <w:r w:rsidRPr="0032216C">
        <w:rPr>
          <w:rFonts w:ascii="Times New Roman" w:hAnsi="Times New Roman"/>
          <w:bCs/>
          <w:sz w:val="26"/>
          <w:szCs w:val="24"/>
        </w:rPr>
        <w:t xml:space="preserve"> </w:t>
      </w:r>
      <w:r w:rsidR="00DA55A5">
        <w:rPr>
          <w:rFonts w:ascii="Times New Roman" w:hAnsi="Times New Roman"/>
          <w:bCs/>
          <w:sz w:val="26"/>
          <w:szCs w:val="24"/>
        </w:rPr>
        <w:t>Th</w:t>
      </w:r>
      <w:r w:rsidR="00403C5E">
        <w:rPr>
          <w:rFonts w:ascii="Times New Roman" w:hAnsi="Times New Roman"/>
          <w:bCs/>
          <w:sz w:val="26"/>
          <w:szCs w:val="24"/>
        </w:rPr>
        <w:t xml:space="preserve">ere is one program change, which also results in </w:t>
      </w:r>
      <w:r w:rsidR="00B81F23">
        <w:rPr>
          <w:rFonts w:ascii="Times New Roman" w:hAnsi="Times New Roman"/>
          <w:bCs/>
          <w:sz w:val="26"/>
          <w:szCs w:val="24"/>
        </w:rPr>
        <w:t xml:space="preserve">an adjustment of burdens.  </w:t>
      </w:r>
      <w:r w:rsidRPr="00B81F23" w:rsidR="00B81F23">
        <w:rPr>
          <w:rFonts w:ascii="Times New Roman" w:hAnsi="Times New Roman"/>
          <w:bCs/>
          <w:sz w:val="26"/>
          <w:szCs w:val="24"/>
        </w:rPr>
        <w:t xml:space="preserve">The previously reported </w:t>
      </w:r>
      <w:r w:rsidR="00B81F23">
        <w:rPr>
          <w:rFonts w:ascii="Times New Roman" w:hAnsi="Times New Roman"/>
          <w:bCs/>
          <w:sz w:val="26"/>
          <w:szCs w:val="24"/>
        </w:rPr>
        <w:t xml:space="preserve">information collection </w:t>
      </w:r>
      <w:r w:rsidR="00246451">
        <w:rPr>
          <w:rFonts w:ascii="Times New Roman" w:hAnsi="Times New Roman"/>
          <w:bCs/>
          <w:sz w:val="26"/>
          <w:szCs w:val="24"/>
        </w:rPr>
        <w:t>activity labeled “</w:t>
      </w:r>
      <w:r w:rsidRPr="00B81F23" w:rsidR="00B81F23">
        <w:rPr>
          <w:rFonts w:ascii="Times New Roman" w:hAnsi="Times New Roman"/>
          <w:bCs/>
          <w:sz w:val="26"/>
          <w:szCs w:val="24"/>
        </w:rPr>
        <w:t>Comprehensive Plans</w:t>
      </w:r>
      <w:r w:rsidR="00246451">
        <w:rPr>
          <w:rFonts w:ascii="Times New Roman" w:hAnsi="Times New Roman"/>
          <w:bCs/>
          <w:sz w:val="26"/>
          <w:szCs w:val="24"/>
        </w:rPr>
        <w:t xml:space="preserve">” </w:t>
      </w:r>
      <w:r w:rsidR="003445D0">
        <w:rPr>
          <w:rFonts w:ascii="Times New Roman" w:hAnsi="Times New Roman"/>
          <w:bCs/>
          <w:sz w:val="26"/>
          <w:szCs w:val="24"/>
        </w:rPr>
        <w:t xml:space="preserve">has been removed, and the burdens previously associated with that activity </w:t>
      </w:r>
      <w:r w:rsidR="00381162">
        <w:rPr>
          <w:rFonts w:ascii="Times New Roman" w:hAnsi="Times New Roman"/>
          <w:bCs/>
          <w:sz w:val="26"/>
          <w:szCs w:val="24"/>
        </w:rPr>
        <w:t xml:space="preserve">have been added to </w:t>
      </w:r>
      <w:r w:rsidRPr="00B81F23" w:rsidR="00B81F23">
        <w:rPr>
          <w:rFonts w:ascii="Times New Roman" w:hAnsi="Times New Roman"/>
          <w:bCs/>
          <w:sz w:val="26"/>
          <w:szCs w:val="24"/>
        </w:rPr>
        <w:t xml:space="preserve">the application process.  </w:t>
      </w:r>
      <w:r w:rsidR="00381162">
        <w:rPr>
          <w:rFonts w:ascii="Times New Roman" w:hAnsi="Times New Roman"/>
          <w:bCs/>
          <w:sz w:val="26"/>
          <w:szCs w:val="24"/>
        </w:rPr>
        <w:t xml:space="preserve">This accounting </w:t>
      </w:r>
      <w:r w:rsidR="00DD02D2">
        <w:rPr>
          <w:rFonts w:ascii="Times New Roman" w:hAnsi="Times New Roman"/>
          <w:bCs/>
          <w:sz w:val="26"/>
          <w:szCs w:val="24"/>
        </w:rPr>
        <w:t>of burdens is more accurate than the previous accounting because th</w:t>
      </w:r>
      <w:r w:rsidRPr="00B81F23" w:rsidR="00B81F23">
        <w:rPr>
          <w:rFonts w:ascii="Times New Roman" w:hAnsi="Times New Roman"/>
          <w:bCs/>
          <w:sz w:val="26"/>
          <w:szCs w:val="24"/>
        </w:rPr>
        <w:t>e Commission</w:t>
      </w:r>
      <w:r w:rsidR="00B37D6F">
        <w:rPr>
          <w:rFonts w:ascii="Times New Roman" w:hAnsi="Times New Roman"/>
          <w:bCs/>
          <w:sz w:val="26"/>
          <w:szCs w:val="24"/>
        </w:rPr>
        <w:t>’s collection of information about compreh</w:t>
      </w:r>
      <w:r w:rsidR="0044380E">
        <w:rPr>
          <w:rFonts w:ascii="Times New Roman" w:hAnsi="Times New Roman"/>
          <w:bCs/>
          <w:sz w:val="26"/>
          <w:szCs w:val="24"/>
        </w:rPr>
        <w:t>ensive plans is integrated with the application process.</w:t>
      </w:r>
    </w:p>
    <w:p w:rsidR="000A5A6B" w:rsidP="005C71F9" w:rsidRDefault="000A5A6B" w14:paraId="57F6945D" w14:textId="76F4AFE4">
      <w:pPr>
        <w:spacing w:after="0" w:line="240" w:lineRule="auto"/>
        <w:rPr>
          <w:rFonts w:ascii="Times New Roman" w:hAnsi="Times New Roman"/>
          <w:bCs/>
          <w:sz w:val="26"/>
          <w:szCs w:val="24"/>
        </w:rPr>
      </w:pPr>
    </w:p>
    <w:p w:rsidR="000A5A6B" w:rsidP="000A5A6B" w:rsidRDefault="000A5A6B" w14:paraId="2D32955A" w14:textId="77777777">
      <w:pPr>
        <w:spacing w:after="0" w:line="240" w:lineRule="auto"/>
        <w:rPr>
          <w:rFonts w:ascii="Times New Roman" w:hAnsi="Times New Roman"/>
          <w:bCs/>
          <w:sz w:val="26"/>
          <w:szCs w:val="24"/>
        </w:rPr>
      </w:pPr>
      <w:r w:rsidRPr="0032216C">
        <w:rPr>
          <w:rFonts w:ascii="Times New Roman" w:hAnsi="Times New Roman"/>
          <w:bCs/>
          <w:sz w:val="26"/>
          <w:szCs w:val="24"/>
        </w:rPr>
        <w:t xml:space="preserve">The following table </w:t>
      </w:r>
      <w:r>
        <w:rPr>
          <w:rFonts w:ascii="Times New Roman" w:hAnsi="Times New Roman"/>
          <w:bCs/>
          <w:sz w:val="26"/>
          <w:szCs w:val="24"/>
        </w:rPr>
        <w:t>summarizes</w:t>
      </w:r>
      <w:r w:rsidRPr="0032216C">
        <w:rPr>
          <w:rFonts w:ascii="Times New Roman" w:hAnsi="Times New Roman"/>
          <w:bCs/>
          <w:sz w:val="26"/>
          <w:szCs w:val="24"/>
        </w:rPr>
        <w:t xml:space="preserve"> t</w:t>
      </w:r>
      <w:r>
        <w:rPr>
          <w:rFonts w:ascii="Times New Roman" w:hAnsi="Times New Roman"/>
          <w:bCs/>
          <w:sz w:val="26"/>
          <w:szCs w:val="24"/>
        </w:rPr>
        <w:t>he changes in FERC-500:</w:t>
      </w:r>
    </w:p>
    <w:p w:rsidR="000A5A6B" w:rsidP="000A5A6B" w:rsidRDefault="000A5A6B" w14:paraId="08986D6C" w14:textId="77777777">
      <w:pPr>
        <w:spacing w:after="0" w:line="240" w:lineRule="auto"/>
        <w:rPr>
          <w:rFonts w:ascii="Times New Roman" w:hAnsi="Times New Roman"/>
          <w:bCs/>
          <w:sz w:val="26"/>
          <w:szCs w:val="24"/>
        </w:rPr>
      </w:pPr>
    </w:p>
    <w:p w:rsidRPr="002A7227" w:rsidR="000A5A6B" w:rsidP="000A5A6B" w:rsidRDefault="000A5A6B" w14:paraId="5AAA85E6" w14:textId="77777777">
      <w:pPr>
        <w:spacing w:after="0" w:line="240" w:lineRule="auto"/>
        <w:jc w:val="center"/>
        <w:rPr>
          <w:rFonts w:ascii="Times New Roman" w:hAnsi="Times New Roman"/>
          <w:b/>
          <w:sz w:val="26"/>
          <w:szCs w:val="24"/>
        </w:rPr>
      </w:pPr>
      <w:r w:rsidRPr="002A7227">
        <w:rPr>
          <w:rFonts w:ascii="Times New Roman" w:hAnsi="Times New Roman"/>
          <w:b/>
          <w:sz w:val="26"/>
          <w:szCs w:val="24"/>
        </w:rPr>
        <w:t>Table 4 ― Program Change and Adjustments</w:t>
      </w:r>
    </w:p>
    <w:p w:rsidR="000A5A6B" w:rsidP="000A5A6B" w:rsidRDefault="000A5A6B" w14:paraId="5ADFB533" w14:textId="77777777">
      <w:pPr>
        <w:spacing w:after="0" w:line="240" w:lineRule="auto"/>
        <w:rPr>
          <w:rFonts w:ascii="Times New Roman" w:hAnsi="Times New Roman"/>
          <w:bCs/>
          <w:sz w:val="26"/>
          <w:szCs w:val="24"/>
        </w:rPr>
      </w:pPr>
    </w:p>
    <w:tbl>
      <w:tblPr>
        <w:tblStyle w:val="TableGrid"/>
        <w:tblW w:w="0" w:type="auto"/>
        <w:tblLook w:val="04A0" w:firstRow="1" w:lastRow="0" w:firstColumn="1" w:lastColumn="0" w:noHBand="0" w:noVBand="1"/>
      </w:tblPr>
      <w:tblGrid>
        <w:gridCol w:w="2809"/>
        <w:gridCol w:w="1936"/>
        <w:gridCol w:w="1788"/>
        <w:gridCol w:w="2817"/>
      </w:tblGrid>
      <w:tr w:rsidRPr="005501D1" w:rsidR="000A5A6B" w:rsidTr="00493CC7" w14:paraId="41551352" w14:textId="77777777">
        <w:tc>
          <w:tcPr>
            <w:tcW w:w="0" w:type="auto"/>
            <w:shd w:val="clear" w:color="auto" w:fill="BFBFBF" w:themeFill="background1" w:themeFillShade="BF"/>
            <w:vAlign w:val="bottom"/>
          </w:tcPr>
          <w:p w:rsidRPr="005501D1" w:rsidR="000A5A6B" w:rsidP="00493CC7" w:rsidRDefault="000A5A6B" w14:paraId="53374DE7"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A.</w:t>
            </w:r>
          </w:p>
          <w:p w:rsidRPr="005501D1" w:rsidR="000A5A6B" w:rsidP="00493CC7" w:rsidRDefault="000A5A6B" w14:paraId="0BB471BC"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Type of Response</w:t>
            </w:r>
          </w:p>
        </w:tc>
        <w:tc>
          <w:tcPr>
            <w:tcW w:w="0" w:type="auto"/>
            <w:shd w:val="clear" w:color="auto" w:fill="BFBFBF" w:themeFill="background1" w:themeFillShade="BF"/>
            <w:vAlign w:val="bottom"/>
          </w:tcPr>
          <w:p w:rsidRPr="005501D1" w:rsidR="000A5A6B" w:rsidP="00493CC7" w:rsidRDefault="000A5A6B" w14:paraId="247BF278"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B.</w:t>
            </w:r>
          </w:p>
          <w:p w:rsidRPr="005501D1" w:rsidR="000A5A6B" w:rsidP="00493CC7" w:rsidRDefault="000A5A6B" w14:paraId="4211AFC6"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Previously Approved Response and Burden Hours</w:t>
            </w:r>
          </w:p>
        </w:tc>
        <w:tc>
          <w:tcPr>
            <w:tcW w:w="0" w:type="auto"/>
            <w:shd w:val="clear" w:color="auto" w:fill="BFBFBF" w:themeFill="background1" w:themeFillShade="BF"/>
            <w:vAlign w:val="bottom"/>
          </w:tcPr>
          <w:p w:rsidRPr="005501D1" w:rsidR="000A5A6B" w:rsidP="00493CC7" w:rsidRDefault="000A5A6B" w14:paraId="3B911207"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C.</w:t>
            </w:r>
          </w:p>
          <w:p w:rsidRPr="005501D1" w:rsidR="000A5A6B" w:rsidP="00493CC7" w:rsidRDefault="000A5A6B" w14:paraId="476D5AE1"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Requested Responses and Burden Hours</w:t>
            </w:r>
          </w:p>
        </w:tc>
        <w:tc>
          <w:tcPr>
            <w:tcW w:w="0" w:type="auto"/>
            <w:shd w:val="clear" w:color="auto" w:fill="BFBFBF" w:themeFill="background1" w:themeFillShade="BF"/>
            <w:vAlign w:val="bottom"/>
          </w:tcPr>
          <w:p w:rsidRPr="005501D1" w:rsidR="000A5A6B" w:rsidP="00493CC7" w:rsidRDefault="000A5A6B" w14:paraId="49443664" w14:textId="77777777">
            <w:pPr>
              <w:spacing w:after="0" w:line="240" w:lineRule="auto"/>
              <w:jc w:val="center"/>
              <w:rPr>
                <w:rFonts w:ascii="Times New Roman" w:hAnsi="Times New Roman"/>
                <w:b/>
                <w:bCs/>
                <w:sz w:val="26"/>
                <w:szCs w:val="24"/>
              </w:rPr>
            </w:pPr>
            <w:r w:rsidRPr="005501D1">
              <w:rPr>
                <w:rFonts w:ascii="Times New Roman" w:hAnsi="Times New Roman"/>
                <w:b/>
                <w:bCs/>
                <w:sz w:val="26"/>
                <w:szCs w:val="24"/>
              </w:rPr>
              <w:t>D.</w:t>
            </w:r>
          </w:p>
          <w:p w:rsidRPr="005501D1" w:rsidR="000A5A6B" w:rsidP="00493CC7" w:rsidRDefault="000A5A6B" w14:paraId="58E76D33" w14:textId="77777777">
            <w:pPr>
              <w:spacing w:after="0" w:line="240" w:lineRule="auto"/>
              <w:jc w:val="center"/>
              <w:rPr>
                <w:rFonts w:ascii="Times New Roman" w:hAnsi="Times New Roman"/>
                <w:b/>
                <w:bCs/>
                <w:sz w:val="26"/>
                <w:szCs w:val="24"/>
              </w:rPr>
            </w:pPr>
            <w:r>
              <w:rPr>
                <w:rFonts w:ascii="Times New Roman" w:hAnsi="Times New Roman"/>
                <w:b/>
                <w:bCs/>
                <w:sz w:val="26"/>
                <w:szCs w:val="24"/>
              </w:rPr>
              <w:t>Program Change / Adjustment</w:t>
            </w:r>
            <w:r w:rsidRPr="005501D1">
              <w:rPr>
                <w:rFonts w:ascii="Times New Roman" w:hAnsi="Times New Roman"/>
                <w:b/>
                <w:bCs/>
                <w:sz w:val="26"/>
                <w:szCs w:val="24"/>
              </w:rPr>
              <w:t xml:space="preserve">  (Column C ‒ Column B)</w:t>
            </w:r>
          </w:p>
        </w:tc>
      </w:tr>
      <w:tr w:rsidRPr="005501D1" w:rsidR="000A5A6B" w:rsidTr="00493CC7" w14:paraId="00D7C14B" w14:textId="77777777">
        <w:tc>
          <w:tcPr>
            <w:tcW w:w="0" w:type="auto"/>
            <w:shd w:val="clear" w:color="auto" w:fill="FFFFFF" w:themeFill="background1"/>
            <w:vAlign w:val="bottom"/>
          </w:tcPr>
          <w:p w:rsidRPr="005501D1" w:rsidR="000A5A6B" w:rsidP="00493CC7" w:rsidRDefault="000A5A6B" w14:paraId="77D309CD" w14:textId="77777777">
            <w:pPr>
              <w:spacing w:after="0" w:line="240" w:lineRule="auto"/>
              <w:jc w:val="center"/>
              <w:rPr>
                <w:rFonts w:ascii="Times New Roman" w:hAnsi="Times New Roman"/>
                <w:b/>
                <w:bCs/>
                <w:sz w:val="26"/>
                <w:szCs w:val="24"/>
              </w:rPr>
            </w:pPr>
            <w:r w:rsidRPr="000F7729">
              <w:rPr>
                <w:rFonts w:ascii="Times New Roman" w:hAnsi="Times New Roman"/>
                <w:iCs/>
                <w:sz w:val="26"/>
                <w:szCs w:val="24"/>
              </w:rPr>
              <w:t xml:space="preserve">FERC-500, </w:t>
            </w:r>
            <w:r w:rsidRPr="000F7729">
              <w:rPr>
                <w:rFonts w:ascii="Times New Roman" w:hAnsi="Times New Roman"/>
                <w:iCs/>
                <w:sz w:val="26"/>
                <w:szCs w:val="24"/>
              </w:rPr>
              <w:br/>
              <w:t xml:space="preserve">Application for License / Relicense </w:t>
            </w:r>
            <w:r>
              <w:rPr>
                <w:rFonts w:ascii="Times New Roman" w:hAnsi="Times New Roman"/>
                <w:iCs/>
                <w:sz w:val="26"/>
                <w:szCs w:val="24"/>
              </w:rPr>
              <w:t xml:space="preserve">of </w:t>
            </w:r>
            <w:r w:rsidRPr="000F7729">
              <w:rPr>
                <w:rFonts w:ascii="Times New Roman" w:hAnsi="Times New Roman"/>
                <w:iCs/>
                <w:sz w:val="26"/>
                <w:szCs w:val="24"/>
              </w:rPr>
              <w:t>Water Projects with Greater</w:t>
            </w:r>
            <w:r>
              <w:rPr>
                <w:rFonts w:ascii="Times New Roman" w:hAnsi="Times New Roman"/>
                <w:iCs/>
                <w:sz w:val="26"/>
                <w:szCs w:val="24"/>
              </w:rPr>
              <w:t>/</w:t>
            </w:r>
            <w:r w:rsidRPr="000F7729">
              <w:rPr>
                <w:rFonts w:ascii="Times New Roman" w:hAnsi="Times New Roman"/>
                <w:iCs/>
                <w:sz w:val="26"/>
                <w:szCs w:val="24"/>
              </w:rPr>
              <w:t xml:space="preserve"> than 10 MW Capacity</w:t>
            </w:r>
          </w:p>
        </w:tc>
        <w:tc>
          <w:tcPr>
            <w:tcW w:w="0" w:type="auto"/>
            <w:shd w:val="clear" w:color="auto" w:fill="FFFFFF" w:themeFill="background1"/>
            <w:vAlign w:val="bottom"/>
          </w:tcPr>
          <w:p w:rsidR="000A5A6B" w:rsidP="00493CC7" w:rsidRDefault="000A5A6B" w14:paraId="762BF594" w14:textId="77777777">
            <w:pPr>
              <w:spacing w:after="0" w:line="240" w:lineRule="auto"/>
              <w:jc w:val="right"/>
              <w:rPr>
                <w:rFonts w:ascii="Times New Roman" w:hAnsi="Times New Roman"/>
                <w:sz w:val="26"/>
                <w:szCs w:val="24"/>
              </w:rPr>
            </w:pPr>
            <w:r w:rsidRPr="003E1417">
              <w:rPr>
                <w:rFonts w:ascii="Times New Roman" w:hAnsi="Times New Roman"/>
                <w:sz w:val="26"/>
                <w:szCs w:val="24"/>
              </w:rPr>
              <w:t>9</w:t>
            </w:r>
            <w:r>
              <w:rPr>
                <w:rFonts w:ascii="Times New Roman" w:hAnsi="Times New Roman"/>
                <w:sz w:val="26"/>
                <w:szCs w:val="24"/>
              </w:rPr>
              <w:t xml:space="preserve"> responses;</w:t>
            </w:r>
          </w:p>
          <w:p w:rsidRPr="003E1417" w:rsidR="000A5A6B" w:rsidP="00493CC7" w:rsidRDefault="000A5A6B" w14:paraId="0F793591" w14:textId="77777777">
            <w:pPr>
              <w:spacing w:after="0" w:line="240" w:lineRule="auto"/>
              <w:jc w:val="right"/>
              <w:rPr>
                <w:rFonts w:ascii="Times New Roman" w:hAnsi="Times New Roman"/>
                <w:sz w:val="26"/>
                <w:szCs w:val="24"/>
              </w:rPr>
            </w:pPr>
            <w:r w:rsidRPr="00E8373C">
              <w:rPr>
                <w:rFonts w:ascii="Times New Roman" w:hAnsi="Times New Roman"/>
                <w:bCs/>
                <w:sz w:val="26"/>
                <w:szCs w:val="24"/>
              </w:rPr>
              <w:t>320,390 hours</w:t>
            </w:r>
          </w:p>
        </w:tc>
        <w:tc>
          <w:tcPr>
            <w:tcW w:w="0" w:type="auto"/>
            <w:shd w:val="clear" w:color="auto" w:fill="FFFFFF" w:themeFill="background1"/>
            <w:vAlign w:val="bottom"/>
          </w:tcPr>
          <w:p w:rsidR="000A5A6B" w:rsidP="00493CC7" w:rsidRDefault="000A5A6B" w14:paraId="3808A676" w14:textId="77777777">
            <w:pPr>
              <w:spacing w:after="0" w:line="240" w:lineRule="auto"/>
              <w:jc w:val="right"/>
              <w:rPr>
                <w:rFonts w:ascii="Times New Roman" w:hAnsi="Times New Roman"/>
                <w:sz w:val="26"/>
                <w:szCs w:val="24"/>
              </w:rPr>
            </w:pPr>
            <w:r>
              <w:rPr>
                <w:rFonts w:ascii="Times New Roman" w:hAnsi="Times New Roman"/>
                <w:sz w:val="26"/>
                <w:szCs w:val="24"/>
              </w:rPr>
              <w:t>9 responses;</w:t>
            </w:r>
          </w:p>
          <w:p w:rsidRPr="005501D1" w:rsidR="000A5A6B" w:rsidP="00493CC7" w:rsidRDefault="000A5A6B" w14:paraId="3EE6CBD8" w14:textId="77777777">
            <w:pPr>
              <w:spacing w:after="0" w:line="240" w:lineRule="auto"/>
              <w:jc w:val="right"/>
              <w:rPr>
                <w:rFonts w:ascii="Times New Roman" w:hAnsi="Times New Roman"/>
                <w:b/>
                <w:bCs/>
                <w:sz w:val="26"/>
                <w:szCs w:val="24"/>
              </w:rPr>
            </w:pPr>
            <w:r>
              <w:rPr>
                <w:rFonts w:ascii="Times New Roman" w:hAnsi="Times New Roman"/>
                <w:sz w:val="26"/>
                <w:szCs w:val="24"/>
              </w:rPr>
              <w:t>320,423 hrs.</w:t>
            </w:r>
          </w:p>
        </w:tc>
        <w:tc>
          <w:tcPr>
            <w:tcW w:w="0" w:type="auto"/>
            <w:shd w:val="clear" w:color="auto" w:fill="FFFFFF" w:themeFill="background1"/>
            <w:vAlign w:val="bottom"/>
          </w:tcPr>
          <w:p w:rsidR="000A5A6B" w:rsidP="00493CC7" w:rsidRDefault="000A5A6B" w14:paraId="3726E22E" w14:textId="77777777">
            <w:pPr>
              <w:spacing w:after="0" w:line="240" w:lineRule="auto"/>
              <w:jc w:val="right"/>
              <w:rPr>
                <w:rFonts w:ascii="Times New Roman" w:hAnsi="Times New Roman"/>
                <w:sz w:val="26"/>
                <w:szCs w:val="24"/>
              </w:rPr>
            </w:pPr>
            <w:r>
              <w:rPr>
                <w:rFonts w:ascii="Times New Roman" w:hAnsi="Times New Roman"/>
                <w:sz w:val="26"/>
                <w:szCs w:val="24"/>
              </w:rPr>
              <w:t>Adjustment:</w:t>
            </w:r>
          </w:p>
          <w:p w:rsidR="000A5A6B" w:rsidP="00493CC7" w:rsidRDefault="000A5A6B" w14:paraId="69BFC7D7" w14:textId="77777777">
            <w:pPr>
              <w:spacing w:after="0" w:line="240" w:lineRule="auto"/>
              <w:jc w:val="right"/>
              <w:rPr>
                <w:rFonts w:ascii="Times New Roman" w:hAnsi="Times New Roman"/>
                <w:sz w:val="26"/>
                <w:szCs w:val="24"/>
              </w:rPr>
            </w:pPr>
            <w:r>
              <w:rPr>
                <w:rFonts w:ascii="Times New Roman" w:hAnsi="Times New Roman"/>
                <w:sz w:val="26"/>
                <w:szCs w:val="24"/>
              </w:rPr>
              <w:t>No change in responses;</w:t>
            </w:r>
          </w:p>
          <w:p w:rsidR="000A5A6B" w:rsidP="00493CC7" w:rsidRDefault="000A5A6B" w14:paraId="7D6267BB" w14:textId="77777777">
            <w:pPr>
              <w:spacing w:after="0" w:line="240" w:lineRule="auto"/>
              <w:jc w:val="right"/>
              <w:rPr>
                <w:rFonts w:ascii="Times New Roman" w:hAnsi="Times New Roman"/>
                <w:sz w:val="26"/>
                <w:szCs w:val="24"/>
              </w:rPr>
            </w:pPr>
            <w:r>
              <w:rPr>
                <w:rFonts w:ascii="Times New Roman" w:hAnsi="Times New Roman"/>
                <w:sz w:val="26"/>
                <w:szCs w:val="24"/>
              </w:rPr>
              <w:t>+ 33 hrs.</w:t>
            </w:r>
          </w:p>
          <w:p w:rsidRPr="005501D1" w:rsidR="000A5A6B" w:rsidP="00493CC7" w:rsidRDefault="000A5A6B" w14:paraId="43326EF7" w14:textId="49B838AC">
            <w:pPr>
              <w:spacing w:after="0" w:line="240" w:lineRule="auto"/>
              <w:jc w:val="right"/>
              <w:rPr>
                <w:rFonts w:ascii="Times New Roman" w:hAnsi="Times New Roman"/>
                <w:b/>
                <w:bCs/>
                <w:sz w:val="26"/>
                <w:szCs w:val="24"/>
              </w:rPr>
            </w:pPr>
            <w:r>
              <w:rPr>
                <w:rFonts w:ascii="Times New Roman" w:hAnsi="Times New Roman"/>
                <w:sz w:val="26"/>
                <w:szCs w:val="24"/>
              </w:rPr>
              <w:t xml:space="preserve">(due to incorporation of previously reported separate IC activity for Comprehensive Plans) </w:t>
            </w:r>
          </w:p>
        </w:tc>
      </w:tr>
      <w:tr w:rsidRPr="005501D1" w:rsidR="000A5A6B" w:rsidTr="00493CC7" w14:paraId="204E459C" w14:textId="77777777">
        <w:tc>
          <w:tcPr>
            <w:tcW w:w="0" w:type="auto"/>
            <w:shd w:val="clear" w:color="auto" w:fill="FFFFFF" w:themeFill="background1"/>
            <w:vAlign w:val="bottom"/>
          </w:tcPr>
          <w:p w:rsidRPr="000F7729" w:rsidR="000A5A6B" w:rsidP="00493CC7" w:rsidRDefault="000A5A6B" w14:paraId="701EF944" w14:textId="77777777">
            <w:pPr>
              <w:spacing w:after="0" w:line="240" w:lineRule="auto"/>
              <w:jc w:val="center"/>
              <w:rPr>
                <w:rFonts w:ascii="Times New Roman" w:hAnsi="Times New Roman"/>
                <w:iCs/>
                <w:sz w:val="26"/>
                <w:szCs w:val="24"/>
              </w:rPr>
            </w:pPr>
            <w:r w:rsidRPr="008F3525">
              <w:rPr>
                <w:rFonts w:ascii="Times New Roman" w:hAnsi="Times New Roman"/>
                <w:bCs/>
                <w:iCs/>
                <w:sz w:val="26"/>
                <w:szCs w:val="24"/>
              </w:rPr>
              <w:t>FERC-500, Comprehensive Plans</w:t>
            </w:r>
          </w:p>
        </w:tc>
        <w:tc>
          <w:tcPr>
            <w:tcW w:w="0" w:type="auto"/>
            <w:shd w:val="clear" w:color="auto" w:fill="FFFFFF" w:themeFill="background1"/>
            <w:vAlign w:val="bottom"/>
          </w:tcPr>
          <w:p w:rsidR="000A5A6B" w:rsidP="00493CC7" w:rsidRDefault="000A5A6B" w14:paraId="6F4D872F" w14:textId="77777777">
            <w:pPr>
              <w:spacing w:after="0" w:line="240" w:lineRule="auto"/>
              <w:jc w:val="right"/>
              <w:rPr>
                <w:rFonts w:ascii="Times New Roman" w:hAnsi="Times New Roman"/>
                <w:sz w:val="26"/>
                <w:szCs w:val="24"/>
              </w:rPr>
            </w:pPr>
            <w:r>
              <w:rPr>
                <w:rFonts w:ascii="Times New Roman" w:hAnsi="Times New Roman"/>
                <w:sz w:val="26"/>
                <w:szCs w:val="24"/>
              </w:rPr>
              <w:t>33 responses;</w:t>
            </w:r>
          </w:p>
          <w:p w:rsidRPr="003E1417" w:rsidR="000A5A6B" w:rsidP="00493CC7" w:rsidRDefault="000A5A6B" w14:paraId="0C480798" w14:textId="77777777">
            <w:pPr>
              <w:spacing w:after="0" w:line="240" w:lineRule="auto"/>
              <w:jc w:val="right"/>
              <w:rPr>
                <w:rFonts w:ascii="Times New Roman" w:hAnsi="Times New Roman"/>
                <w:sz w:val="26"/>
                <w:szCs w:val="24"/>
              </w:rPr>
            </w:pPr>
            <w:r>
              <w:rPr>
                <w:rFonts w:ascii="Times New Roman" w:hAnsi="Times New Roman"/>
                <w:sz w:val="26"/>
                <w:szCs w:val="24"/>
              </w:rPr>
              <w:t>33 hours</w:t>
            </w:r>
          </w:p>
        </w:tc>
        <w:tc>
          <w:tcPr>
            <w:tcW w:w="0" w:type="auto"/>
            <w:shd w:val="clear" w:color="auto" w:fill="FFFFFF" w:themeFill="background1"/>
            <w:vAlign w:val="bottom"/>
          </w:tcPr>
          <w:p w:rsidRPr="00635228" w:rsidR="000A5A6B" w:rsidP="00493CC7" w:rsidRDefault="000A5A6B" w14:paraId="42580CE3" w14:textId="77777777">
            <w:pPr>
              <w:spacing w:after="0" w:line="240" w:lineRule="auto"/>
              <w:jc w:val="right"/>
              <w:rPr>
                <w:rFonts w:ascii="Times New Roman" w:hAnsi="Times New Roman"/>
                <w:sz w:val="26"/>
                <w:szCs w:val="24"/>
              </w:rPr>
            </w:pPr>
            <w:r w:rsidRPr="00635228">
              <w:rPr>
                <w:rFonts w:ascii="Times New Roman" w:hAnsi="Times New Roman"/>
                <w:sz w:val="26"/>
                <w:szCs w:val="24"/>
              </w:rPr>
              <w:t>0 responses;</w:t>
            </w:r>
          </w:p>
          <w:p w:rsidRPr="00635228" w:rsidR="000A5A6B" w:rsidP="00493CC7" w:rsidRDefault="000A5A6B" w14:paraId="46F342EC" w14:textId="77777777">
            <w:pPr>
              <w:spacing w:after="0" w:line="240" w:lineRule="auto"/>
              <w:jc w:val="right"/>
              <w:rPr>
                <w:rFonts w:ascii="Times New Roman" w:hAnsi="Times New Roman"/>
                <w:sz w:val="26"/>
                <w:szCs w:val="24"/>
              </w:rPr>
            </w:pPr>
            <w:r w:rsidRPr="00635228">
              <w:rPr>
                <w:rFonts w:ascii="Times New Roman" w:hAnsi="Times New Roman"/>
                <w:sz w:val="26"/>
                <w:szCs w:val="24"/>
              </w:rPr>
              <w:t>0 hours</w:t>
            </w:r>
          </w:p>
          <w:p w:rsidR="000A5A6B" w:rsidP="00493CC7" w:rsidRDefault="000A5A6B" w14:paraId="7D5B2522" w14:textId="77777777">
            <w:pPr>
              <w:spacing w:after="0" w:line="240" w:lineRule="auto"/>
              <w:jc w:val="right"/>
              <w:rPr>
                <w:rFonts w:ascii="Times New Roman" w:hAnsi="Times New Roman"/>
                <w:sz w:val="26"/>
                <w:szCs w:val="24"/>
              </w:rPr>
            </w:pPr>
            <w:r w:rsidRPr="00635228">
              <w:rPr>
                <w:rFonts w:ascii="Times New Roman" w:hAnsi="Times New Roman"/>
                <w:sz w:val="26"/>
                <w:szCs w:val="24"/>
              </w:rPr>
              <w:t>(IC activity removed)</w:t>
            </w:r>
          </w:p>
        </w:tc>
        <w:tc>
          <w:tcPr>
            <w:tcW w:w="0" w:type="auto"/>
            <w:shd w:val="clear" w:color="auto" w:fill="FFFFFF" w:themeFill="background1"/>
            <w:vAlign w:val="bottom"/>
          </w:tcPr>
          <w:p w:rsidR="000A5A6B" w:rsidP="00493CC7" w:rsidRDefault="000A5A6B" w14:paraId="2CAC7B8B" w14:textId="77777777">
            <w:pPr>
              <w:pStyle w:val="ListParagraph"/>
              <w:spacing w:after="0" w:line="240" w:lineRule="auto"/>
              <w:ind w:left="0"/>
              <w:jc w:val="right"/>
              <w:rPr>
                <w:rFonts w:ascii="Times New Roman" w:hAnsi="Times New Roman"/>
                <w:bCs/>
                <w:sz w:val="26"/>
                <w:szCs w:val="24"/>
              </w:rPr>
            </w:pPr>
            <w:r>
              <w:rPr>
                <w:rFonts w:ascii="Times New Roman" w:hAnsi="Times New Roman"/>
                <w:bCs/>
                <w:sz w:val="26"/>
                <w:szCs w:val="24"/>
              </w:rPr>
              <w:t>Program Change:</w:t>
            </w:r>
          </w:p>
          <w:p w:rsidR="000A5A6B" w:rsidP="00493CC7" w:rsidRDefault="000A5A6B" w14:paraId="700C5670" w14:textId="77777777">
            <w:pPr>
              <w:pStyle w:val="ListParagraph"/>
              <w:spacing w:after="0" w:line="240" w:lineRule="auto"/>
              <w:ind w:left="0"/>
              <w:jc w:val="right"/>
              <w:rPr>
                <w:rFonts w:ascii="Times New Roman" w:hAnsi="Times New Roman"/>
                <w:bCs/>
                <w:sz w:val="26"/>
                <w:szCs w:val="24"/>
              </w:rPr>
            </w:pPr>
            <w:r>
              <w:rPr>
                <w:rFonts w:ascii="Times New Roman" w:hAnsi="Times New Roman"/>
                <w:bCs/>
                <w:sz w:val="26"/>
                <w:szCs w:val="24"/>
              </w:rPr>
              <w:t>33 fewer responses and 33 fewer hrs.</w:t>
            </w:r>
          </w:p>
          <w:p w:rsidR="000A5A6B" w:rsidP="00493CC7" w:rsidRDefault="000A5A6B" w14:paraId="245D09D0" w14:textId="77777777">
            <w:pPr>
              <w:pStyle w:val="ListParagraph"/>
              <w:spacing w:after="0" w:line="240" w:lineRule="auto"/>
              <w:ind w:left="0"/>
              <w:jc w:val="right"/>
              <w:rPr>
                <w:rFonts w:ascii="Times New Roman" w:hAnsi="Times New Roman"/>
                <w:sz w:val="26"/>
                <w:szCs w:val="24"/>
              </w:rPr>
            </w:pPr>
            <w:r>
              <w:rPr>
                <w:rFonts w:ascii="Times New Roman" w:hAnsi="Times New Roman"/>
                <w:bCs/>
                <w:sz w:val="26"/>
                <w:szCs w:val="24"/>
              </w:rPr>
              <w:t>(due to removal of this IC activity)</w:t>
            </w:r>
          </w:p>
        </w:tc>
      </w:tr>
    </w:tbl>
    <w:p w:rsidRPr="0032216C" w:rsidR="000A5A6B" w:rsidP="005C71F9" w:rsidRDefault="000A5A6B" w14:paraId="240CADA0" w14:textId="77777777">
      <w:pPr>
        <w:spacing w:after="0" w:line="240" w:lineRule="auto"/>
        <w:rPr>
          <w:rFonts w:ascii="Times New Roman" w:hAnsi="Times New Roman"/>
          <w:bCs/>
          <w:sz w:val="26"/>
          <w:szCs w:val="24"/>
        </w:rPr>
      </w:pPr>
    </w:p>
    <w:p w:rsidRPr="0032216C" w:rsidR="000300D7" w:rsidP="00931CBD" w:rsidRDefault="000300D7" w14:paraId="58128DDF" w14:textId="77777777">
      <w:pPr>
        <w:spacing w:after="0" w:line="240" w:lineRule="auto"/>
        <w:rPr>
          <w:rFonts w:ascii="Times New Roman" w:hAnsi="Times New Roman"/>
          <w:bCs/>
          <w:sz w:val="26"/>
          <w:szCs w:val="24"/>
        </w:rPr>
      </w:pPr>
    </w:p>
    <w:p w:rsidR="00FB6C04" w:rsidP="00931CBD" w:rsidRDefault="007D1FF2" w14:paraId="69581A4A" w14:textId="2283EDE3">
      <w:pPr>
        <w:spacing w:after="0" w:line="240" w:lineRule="auto"/>
        <w:rPr>
          <w:rFonts w:ascii="Times New Roman" w:hAnsi="Times New Roman"/>
          <w:bCs/>
          <w:sz w:val="26"/>
          <w:szCs w:val="24"/>
        </w:rPr>
      </w:pPr>
      <w:r w:rsidRPr="0032216C">
        <w:rPr>
          <w:rFonts w:ascii="Times New Roman" w:hAnsi="Times New Roman"/>
          <w:b/>
          <w:sz w:val="26"/>
          <w:szCs w:val="24"/>
        </w:rPr>
        <w:t>FERC-505</w:t>
      </w:r>
      <w:r w:rsidRPr="00057AC0">
        <w:rPr>
          <w:rFonts w:ascii="Times New Roman" w:hAnsi="Times New Roman"/>
          <w:bCs/>
          <w:sz w:val="26"/>
          <w:szCs w:val="24"/>
        </w:rPr>
        <w:t>.</w:t>
      </w:r>
      <w:r w:rsidRPr="0032216C">
        <w:rPr>
          <w:rFonts w:ascii="Times New Roman" w:hAnsi="Times New Roman"/>
          <w:bCs/>
          <w:sz w:val="26"/>
          <w:szCs w:val="24"/>
        </w:rPr>
        <w:t xml:space="preserve">  </w:t>
      </w:r>
      <w:r w:rsidR="00E70911">
        <w:rPr>
          <w:rFonts w:ascii="Times New Roman" w:hAnsi="Times New Roman"/>
          <w:bCs/>
          <w:sz w:val="26"/>
          <w:szCs w:val="24"/>
        </w:rPr>
        <w:t>There are no program changes and there are no adjustments</w:t>
      </w:r>
      <w:r w:rsidR="000A5A6B">
        <w:rPr>
          <w:rFonts w:ascii="Times New Roman" w:hAnsi="Times New Roman"/>
          <w:bCs/>
          <w:sz w:val="26"/>
          <w:szCs w:val="24"/>
        </w:rPr>
        <w:t xml:space="preserve"> for FERC-505.</w:t>
      </w:r>
    </w:p>
    <w:p w:rsidR="00FB6C04" w:rsidP="00931CBD" w:rsidRDefault="00FB6C04" w14:paraId="295A538D" w14:textId="77777777">
      <w:pPr>
        <w:spacing w:after="0" w:line="240" w:lineRule="auto"/>
        <w:rPr>
          <w:rFonts w:ascii="Times New Roman" w:hAnsi="Times New Roman"/>
          <w:bCs/>
          <w:sz w:val="26"/>
          <w:szCs w:val="24"/>
        </w:rPr>
      </w:pPr>
    </w:p>
    <w:p w:rsidRPr="0032216C" w:rsidR="00F0627E" w:rsidP="007445A8" w:rsidRDefault="00F20B97" w14:paraId="69D44358" w14:textId="77777777">
      <w:pPr>
        <w:spacing w:after="0" w:line="240" w:lineRule="auto"/>
        <w:rPr>
          <w:rFonts w:ascii="Times New Roman" w:hAnsi="Times New Roman"/>
          <w:b/>
          <w:sz w:val="26"/>
          <w:szCs w:val="24"/>
        </w:rPr>
      </w:pPr>
      <w:r w:rsidRPr="0032216C">
        <w:rPr>
          <w:rFonts w:ascii="Times New Roman" w:hAnsi="Times New Roman"/>
          <w:b/>
          <w:sz w:val="26"/>
          <w:szCs w:val="24"/>
        </w:rPr>
        <w:t xml:space="preserve">16. </w:t>
      </w:r>
      <w:r w:rsidRPr="0032216C" w:rsidR="00F0627E">
        <w:rPr>
          <w:rFonts w:ascii="Times New Roman" w:hAnsi="Times New Roman"/>
          <w:b/>
          <w:sz w:val="26"/>
          <w:szCs w:val="24"/>
        </w:rPr>
        <w:t>TIME SCHEDULE FOR PUBLICATION OF DATA</w:t>
      </w:r>
    </w:p>
    <w:p w:rsidRPr="0032216C" w:rsidR="00F0627E" w:rsidP="007445A8" w:rsidRDefault="00F0627E" w14:paraId="0F288381" w14:textId="77777777">
      <w:pPr>
        <w:spacing w:after="0" w:line="240" w:lineRule="auto"/>
        <w:rPr>
          <w:rFonts w:ascii="Times New Roman" w:hAnsi="Times New Roman"/>
          <w:sz w:val="26"/>
          <w:szCs w:val="24"/>
        </w:rPr>
      </w:pPr>
    </w:p>
    <w:p w:rsidRPr="0032216C" w:rsidR="001D289D" w:rsidP="007445A8" w:rsidRDefault="001D289D" w14:paraId="20499AFF" w14:textId="3B1A2DED">
      <w:pPr>
        <w:spacing w:after="0" w:line="240" w:lineRule="auto"/>
        <w:rPr>
          <w:rFonts w:ascii="Times New Roman" w:hAnsi="Times New Roman"/>
          <w:sz w:val="26"/>
          <w:szCs w:val="24"/>
        </w:rPr>
      </w:pPr>
      <w:r w:rsidRPr="0032216C">
        <w:rPr>
          <w:rFonts w:ascii="Times New Roman" w:hAnsi="Times New Roman"/>
          <w:sz w:val="26"/>
          <w:szCs w:val="24"/>
        </w:rPr>
        <w:t xml:space="preserve">There is no publication of </w:t>
      </w:r>
      <w:r w:rsidRPr="0032216C" w:rsidR="00587AD0">
        <w:rPr>
          <w:rFonts w:ascii="Times New Roman" w:hAnsi="Times New Roman"/>
          <w:sz w:val="26"/>
          <w:szCs w:val="24"/>
        </w:rPr>
        <w:t>data</w:t>
      </w:r>
      <w:r w:rsidRPr="0032216C">
        <w:rPr>
          <w:rFonts w:ascii="Times New Roman" w:hAnsi="Times New Roman"/>
          <w:sz w:val="26"/>
          <w:szCs w:val="24"/>
        </w:rPr>
        <w:t xml:space="preserve">. </w:t>
      </w:r>
      <w:r w:rsidRPr="0032216C" w:rsidR="00707151">
        <w:rPr>
          <w:rFonts w:ascii="Times New Roman" w:hAnsi="Times New Roman"/>
          <w:sz w:val="26"/>
          <w:szCs w:val="24"/>
        </w:rPr>
        <w:t xml:space="preserve">The data collected </w:t>
      </w:r>
      <w:r w:rsidRPr="0032216C" w:rsidR="002149F8">
        <w:rPr>
          <w:rFonts w:ascii="Times New Roman" w:hAnsi="Times New Roman"/>
          <w:sz w:val="26"/>
          <w:szCs w:val="24"/>
        </w:rPr>
        <w:t xml:space="preserve">are </w:t>
      </w:r>
      <w:r w:rsidRPr="0032216C" w:rsidR="00707151">
        <w:rPr>
          <w:rFonts w:ascii="Times New Roman" w:hAnsi="Times New Roman"/>
          <w:sz w:val="26"/>
          <w:szCs w:val="24"/>
        </w:rPr>
        <w:t>used for regulatory purposes only.</w:t>
      </w:r>
    </w:p>
    <w:p w:rsidRPr="0032216C" w:rsidR="00F20B97" w:rsidP="007445A8" w:rsidRDefault="00F20B97" w14:paraId="42CBE5C7" w14:textId="77777777">
      <w:pPr>
        <w:spacing w:after="0" w:line="240" w:lineRule="auto"/>
        <w:rPr>
          <w:rFonts w:ascii="Times New Roman" w:hAnsi="Times New Roman"/>
          <w:sz w:val="26"/>
          <w:szCs w:val="24"/>
        </w:rPr>
      </w:pPr>
    </w:p>
    <w:p w:rsidRPr="0032216C" w:rsidR="00F0627E" w:rsidP="007445A8" w:rsidRDefault="00F20B97" w14:paraId="233AE587" w14:textId="77777777">
      <w:pPr>
        <w:spacing w:after="0" w:line="240" w:lineRule="auto"/>
        <w:rPr>
          <w:rFonts w:ascii="Times New Roman" w:hAnsi="Times New Roman"/>
          <w:b/>
          <w:sz w:val="26"/>
          <w:szCs w:val="24"/>
        </w:rPr>
      </w:pPr>
      <w:r w:rsidRPr="0032216C">
        <w:rPr>
          <w:rFonts w:ascii="Times New Roman" w:hAnsi="Times New Roman"/>
          <w:b/>
          <w:sz w:val="26"/>
          <w:szCs w:val="24"/>
        </w:rPr>
        <w:t xml:space="preserve">17. </w:t>
      </w:r>
      <w:r w:rsidRPr="0032216C" w:rsidR="00F0627E">
        <w:rPr>
          <w:rFonts w:ascii="Times New Roman" w:hAnsi="Times New Roman"/>
          <w:b/>
          <w:sz w:val="26"/>
          <w:szCs w:val="24"/>
        </w:rPr>
        <w:t>DISPLAY OF EXPIRATION DATE</w:t>
      </w:r>
    </w:p>
    <w:p w:rsidRPr="0032216C" w:rsidR="00F0627E" w:rsidP="007445A8" w:rsidRDefault="00F0627E" w14:paraId="2584248A" w14:textId="77777777">
      <w:pPr>
        <w:spacing w:after="0" w:line="240" w:lineRule="auto"/>
        <w:rPr>
          <w:rFonts w:ascii="Times New Roman" w:hAnsi="Times New Roman"/>
          <w:sz w:val="26"/>
          <w:szCs w:val="24"/>
        </w:rPr>
      </w:pPr>
    </w:p>
    <w:p w:rsidRPr="0032216C" w:rsidR="00E33C39" w:rsidP="007445A8" w:rsidRDefault="001D289D" w14:paraId="597A9A52" w14:textId="3BD790E8">
      <w:pPr>
        <w:spacing w:after="0" w:line="240" w:lineRule="auto"/>
        <w:rPr>
          <w:rFonts w:ascii="Times New Roman" w:hAnsi="Times New Roman"/>
          <w:sz w:val="26"/>
          <w:szCs w:val="24"/>
        </w:rPr>
      </w:pPr>
      <w:r w:rsidRPr="0032216C">
        <w:rPr>
          <w:rFonts w:ascii="Times New Roman" w:hAnsi="Times New Roman"/>
          <w:sz w:val="26"/>
          <w:szCs w:val="24"/>
        </w:rPr>
        <w:t xml:space="preserve">The expiration dates </w:t>
      </w:r>
      <w:r w:rsidRPr="0032216C" w:rsidR="00853C0C">
        <w:rPr>
          <w:rFonts w:ascii="Times New Roman" w:hAnsi="Times New Roman"/>
          <w:sz w:val="26"/>
          <w:szCs w:val="24"/>
        </w:rPr>
        <w:t xml:space="preserve">for FERC-500 and FERC-505 </w:t>
      </w:r>
      <w:r w:rsidRPr="0032216C">
        <w:rPr>
          <w:rFonts w:ascii="Times New Roman" w:hAnsi="Times New Roman"/>
          <w:sz w:val="26"/>
          <w:szCs w:val="24"/>
        </w:rPr>
        <w:t xml:space="preserve">are posted at </w:t>
      </w:r>
      <w:hyperlink w:history="1"/>
      <w:hyperlink w:history="1" r:id="rId11">
        <w:r w:rsidRPr="0032216C" w:rsidR="007A5B6D">
          <w:rPr>
            <w:rStyle w:val="Hyperlink"/>
            <w:rFonts w:ascii="Times New Roman" w:hAnsi="Times New Roman"/>
            <w:sz w:val="26"/>
            <w:szCs w:val="24"/>
          </w:rPr>
          <w:t>https://www.reginfo.gov/public/do/PRAMain</w:t>
        </w:r>
      </w:hyperlink>
      <w:r w:rsidRPr="0032216C" w:rsidR="007A5B6D">
        <w:rPr>
          <w:rFonts w:ascii="Times New Roman" w:hAnsi="Times New Roman"/>
          <w:color w:val="0000FF"/>
          <w:sz w:val="26"/>
          <w:szCs w:val="24"/>
          <w:u w:val="single"/>
        </w:rPr>
        <w:t>.</w:t>
      </w:r>
    </w:p>
    <w:p w:rsidRPr="0032216C" w:rsidR="00027DC9" w:rsidP="007445A8" w:rsidRDefault="00027DC9" w14:paraId="4F7F33F9" w14:textId="77777777">
      <w:pPr>
        <w:spacing w:after="0" w:line="240" w:lineRule="auto"/>
        <w:rPr>
          <w:rFonts w:ascii="Times New Roman" w:hAnsi="Times New Roman"/>
          <w:sz w:val="26"/>
          <w:szCs w:val="24"/>
        </w:rPr>
      </w:pPr>
    </w:p>
    <w:p w:rsidRPr="0032216C" w:rsidR="00F0627E" w:rsidP="007445A8" w:rsidRDefault="00F20B97" w14:paraId="5DF9BEC8" w14:textId="77777777">
      <w:pPr>
        <w:spacing w:after="0" w:line="240" w:lineRule="auto"/>
        <w:rPr>
          <w:rFonts w:ascii="Times New Roman" w:hAnsi="Times New Roman"/>
          <w:b/>
          <w:sz w:val="26"/>
          <w:szCs w:val="24"/>
        </w:rPr>
      </w:pPr>
      <w:r w:rsidRPr="0032216C">
        <w:rPr>
          <w:rFonts w:ascii="Times New Roman" w:hAnsi="Times New Roman"/>
          <w:b/>
          <w:sz w:val="26"/>
          <w:szCs w:val="24"/>
        </w:rPr>
        <w:t xml:space="preserve">18.  </w:t>
      </w:r>
      <w:r w:rsidRPr="0032216C" w:rsidR="00F0627E">
        <w:rPr>
          <w:rFonts w:ascii="Times New Roman" w:hAnsi="Times New Roman"/>
          <w:b/>
          <w:sz w:val="26"/>
          <w:szCs w:val="24"/>
        </w:rPr>
        <w:t>EXCEPTIONS TO THE CERTIFICATION STATEMENT</w:t>
      </w:r>
    </w:p>
    <w:p w:rsidRPr="0032216C" w:rsidR="001D289D" w:rsidP="007445A8" w:rsidRDefault="001D289D" w14:paraId="5118EB00" w14:textId="77777777">
      <w:pPr>
        <w:spacing w:after="0" w:line="240" w:lineRule="auto"/>
        <w:rPr>
          <w:rFonts w:ascii="Times New Roman" w:hAnsi="Times New Roman"/>
          <w:b/>
          <w:sz w:val="26"/>
          <w:szCs w:val="24"/>
        </w:rPr>
      </w:pPr>
    </w:p>
    <w:p w:rsidRPr="0032216C" w:rsidR="003F4F79" w:rsidP="00E958E7" w:rsidRDefault="001D289D" w14:paraId="60E14A91" w14:textId="6415DD0C">
      <w:pPr>
        <w:spacing w:after="160" w:line="240" w:lineRule="auto"/>
        <w:rPr>
          <w:rFonts w:ascii="Times New Roman" w:hAnsi="Times New Roman"/>
          <w:sz w:val="26"/>
          <w:szCs w:val="24"/>
        </w:rPr>
      </w:pPr>
      <w:r w:rsidRPr="0032216C">
        <w:rPr>
          <w:rFonts w:ascii="Times New Roman" w:hAnsi="Times New Roman"/>
          <w:sz w:val="26"/>
          <w:szCs w:val="24"/>
        </w:rPr>
        <w:t>There are no exception</w:t>
      </w:r>
      <w:r w:rsidRPr="0032216C" w:rsidR="000836EF">
        <w:rPr>
          <w:rFonts w:ascii="Times New Roman" w:hAnsi="Times New Roman"/>
          <w:sz w:val="26"/>
          <w:szCs w:val="24"/>
        </w:rPr>
        <w:t>s</w:t>
      </w:r>
      <w:r w:rsidRPr="0032216C">
        <w:rPr>
          <w:rFonts w:ascii="Times New Roman" w:hAnsi="Times New Roman"/>
          <w:sz w:val="26"/>
          <w:szCs w:val="24"/>
        </w:rPr>
        <w:t>.</w:t>
      </w:r>
    </w:p>
    <w:sectPr w:rsidRPr="0032216C" w:rsidR="003F4F7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AE10A" w14:textId="77777777" w:rsidR="005F78B9" w:rsidRDefault="005F78B9" w:rsidP="009C7F55">
      <w:pPr>
        <w:spacing w:after="0" w:line="240" w:lineRule="auto"/>
      </w:pPr>
      <w:r>
        <w:separator/>
      </w:r>
    </w:p>
  </w:endnote>
  <w:endnote w:type="continuationSeparator" w:id="0">
    <w:p w14:paraId="11089044" w14:textId="77777777" w:rsidR="005F78B9" w:rsidRDefault="005F78B9" w:rsidP="009C7F55">
      <w:pPr>
        <w:spacing w:after="0" w:line="240" w:lineRule="auto"/>
      </w:pPr>
      <w:r>
        <w:continuationSeparator/>
      </w:r>
    </w:p>
  </w:endnote>
  <w:endnote w:type="continuationNotice" w:id="1">
    <w:p w14:paraId="7BD80846" w14:textId="77777777" w:rsidR="005F78B9" w:rsidRDefault="005F7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812702"/>
      <w:docPartObj>
        <w:docPartGallery w:val="Page Numbers (Bottom of Page)"/>
        <w:docPartUnique/>
      </w:docPartObj>
    </w:sdtPr>
    <w:sdtEndPr>
      <w:rPr>
        <w:noProof/>
      </w:rPr>
    </w:sdtEndPr>
    <w:sdtContent>
      <w:p w14:paraId="11ADFF0A" w14:textId="77777777" w:rsidR="00442F48" w:rsidRDefault="00442F4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1DD9B4" w14:textId="77777777" w:rsidR="00442F48" w:rsidRDefault="0044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8D893" w14:textId="77777777" w:rsidR="005F78B9" w:rsidRDefault="005F78B9" w:rsidP="009C7F55">
      <w:pPr>
        <w:spacing w:after="0" w:line="240" w:lineRule="auto"/>
      </w:pPr>
      <w:r>
        <w:separator/>
      </w:r>
    </w:p>
  </w:footnote>
  <w:footnote w:type="continuationSeparator" w:id="0">
    <w:p w14:paraId="6214E866" w14:textId="77777777" w:rsidR="005F78B9" w:rsidRDefault="005F78B9" w:rsidP="009C7F55">
      <w:pPr>
        <w:spacing w:after="0" w:line="240" w:lineRule="auto"/>
      </w:pPr>
      <w:r>
        <w:continuationSeparator/>
      </w:r>
    </w:p>
  </w:footnote>
  <w:footnote w:type="continuationNotice" w:id="1">
    <w:p w14:paraId="2F13B79A" w14:textId="77777777" w:rsidR="005F78B9" w:rsidRDefault="005F78B9">
      <w:pPr>
        <w:spacing w:after="0" w:line="240" w:lineRule="auto"/>
      </w:pPr>
    </w:p>
  </w:footnote>
  <w:footnote w:id="2">
    <w:p w14:paraId="0E7336E1" w14:textId="3ECF3C50" w:rsidR="00442F48" w:rsidRDefault="00442F48" w:rsidP="000E52F6">
      <w:pPr>
        <w:pStyle w:val="FootnoteText"/>
      </w:pPr>
      <w:r w:rsidRPr="00E57C44">
        <w:rPr>
          <w:rStyle w:val="FootnoteReference"/>
          <w:sz w:val="26"/>
          <w:vertAlign w:val="superscript"/>
        </w:rPr>
        <w:footnoteRef/>
      </w:r>
      <w:r>
        <w:t xml:space="preserve"> </w:t>
      </w:r>
      <w:r w:rsidRPr="00B77DB0">
        <w:rPr>
          <w:sz w:val="26"/>
        </w:rPr>
        <w:t>16 U.S.C</w:t>
      </w:r>
      <w:r>
        <w:rPr>
          <w:sz w:val="26"/>
        </w:rPr>
        <w:t>.</w:t>
      </w:r>
      <w:r w:rsidRPr="00B77DB0">
        <w:rPr>
          <w:sz w:val="26"/>
        </w:rPr>
        <w:t xml:space="preserve"> 791a</w:t>
      </w:r>
      <w:r>
        <w:rPr>
          <w:sz w:val="26"/>
        </w:rPr>
        <w:t xml:space="preserve"> – 823g.</w:t>
      </w:r>
    </w:p>
  </w:footnote>
  <w:footnote w:id="3">
    <w:p w14:paraId="063CD2E3" w14:textId="77777777" w:rsidR="00442F48" w:rsidRPr="00E95D94" w:rsidRDefault="00442F48" w:rsidP="00854F8C">
      <w:pPr>
        <w:pStyle w:val="FootnoteText"/>
        <w:rPr>
          <w:sz w:val="26"/>
        </w:rPr>
      </w:pPr>
      <w:r w:rsidRPr="00E95D94">
        <w:rPr>
          <w:rStyle w:val="FootnoteReference"/>
          <w:sz w:val="26"/>
          <w:vertAlign w:val="superscript"/>
        </w:rPr>
        <w:footnoteRef/>
      </w:r>
      <w:r w:rsidRPr="00E95D94">
        <w:rPr>
          <w:sz w:val="26"/>
        </w:rPr>
        <w:t xml:space="preserve"> 16 U.S.C. 2705(d).</w:t>
      </w:r>
    </w:p>
  </w:footnote>
  <w:footnote w:id="4">
    <w:p w14:paraId="6672FF51" w14:textId="77777777" w:rsidR="00442F48" w:rsidRPr="00E95D94" w:rsidRDefault="00442F48" w:rsidP="00854F8C">
      <w:pPr>
        <w:pStyle w:val="FootnoteText"/>
        <w:rPr>
          <w:sz w:val="26"/>
        </w:rPr>
      </w:pPr>
      <w:r w:rsidRPr="00E95D94">
        <w:rPr>
          <w:rStyle w:val="FootnoteReference"/>
          <w:sz w:val="26"/>
          <w:vertAlign w:val="superscript"/>
        </w:rPr>
        <w:footnoteRef/>
      </w:r>
      <w:r w:rsidRPr="00E95D94">
        <w:rPr>
          <w:sz w:val="26"/>
        </w:rPr>
        <w:t xml:space="preserve"> For example, the Commission may exempt an eligible applicant from the comprehensive development standard of FPA section 10(a)(1).  </w:t>
      </w:r>
    </w:p>
  </w:footnote>
  <w:footnote w:id="5">
    <w:p w14:paraId="750D064A" w14:textId="3EF59C87" w:rsidR="00442F48" w:rsidRPr="000076B4" w:rsidRDefault="00442F48" w:rsidP="000E52F6">
      <w:pPr>
        <w:pStyle w:val="FootnoteText"/>
      </w:pPr>
      <w:r w:rsidRPr="00E57C44">
        <w:rPr>
          <w:rStyle w:val="FootnoteReference"/>
          <w:sz w:val="26"/>
          <w:vertAlign w:val="superscript"/>
        </w:rPr>
        <w:footnoteRef/>
      </w:r>
      <w:r>
        <w:t xml:space="preserve"> </w:t>
      </w:r>
      <w:r w:rsidRPr="00A44A20">
        <w:rPr>
          <w:sz w:val="26"/>
        </w:rPr>
        <w:t xml:space="preserve">Before October 4, 2021, FERC-500 applied only to projects with an installed capacity of more than 5 MW.  On August 5, 2021, the Commission published a final rule </w:t>
      </w:r>
      <w:r>
        <w:rPr>
          <w:sz w:val="26"/>
        </w:rPr>
        <w:t xml:space="preserve">(86 FR 42710) </w:t>
      </w:r>
      <w:r w:rsidRPr="00A44A20">
        <w:rPr>
          <w:sz w:val="26"/>
        </w:rPr>
        <w:t xml:space="preserve">that affected the paperwork burdens of FERC-500 by changing the regulatory threshold for certain licensing requirements from 5 MW to 10 MW.  </w:t>
      </w:r>
      <w:r>
        <w:rPr>
          <w:sz w:val="26"/>
        </w:rPr>
        <w:t xml:space="preserve">The rule became effective on October 4, 2021.  </w:t>
      </w:r>
      <w:r w:rsidRPr="00A44A20">
        <w:rPr>
          <w:sz w:val="26"/>
        </w:rPr>
        <w:t>As a result, the regulatory threshold for FERC-500 is now projects with an installed capacity of more than 10 MW.</w:t>
      </w:r>
    </w:p>
  </w:footnote>
  <w:footnote w:id="6">
    <w:p w14:paraId="5FA2ACC8" w14:textId="77777777" w:rsidR="00442F48" w:rsidRPr="00046BC6" w:rsidRDefault="00442F48" w:rsidP="00BB5295">
      <w:pPr>
        <w:pStyle w:val="FootnoteText"/>
        <w:rPr>
          <w:sz w:val="26"/>
        </w:rPr>
      </w:pPr>
      <w:r w:rsidRPr="00B76DC6">
        <w:rPr>
          <w:rStyle w:val="FootnoteReference"/>
        </w:rPr>
        <w:footnoteRef/>
      </w:r>
      <w:r w:rsidRPr="00046BC6">
        <w:rPr>
          <w:sz w:val="26"/>
        </w:rPr>
        <w:t xml:space="preserve"> As defined at 18 CFR 4.30(b)(14) through 4.30(b)(16), a “major” project has a total installed generating capacity of more than 1.5 MW.</w:t>
      </w:r>
      <w:r>
        <w:rPr>
          <w:sz w:val="26"/>
        </w:rPr>
        <w:t xml:space="preserve">  </w:t>
      </w:r>
    </w:p>
  </w:footnote>
  <w:footnote w:id="7">
    <w:p w14:paraId="7ECB5649" w14:textId="77777777" w:rsidR="00442F48" w:rsidRPr="00046BC6" w:rsidRDefault="00442F48" w:rsidP="00BB5295">
      <w:pPr>
        <w:pStyle w:val="FootnoteText"/>
        <w:rPr>
          <w:sz w:val="26"/>
        </w:rPr>
      </w:pPr>
      <w:r w:rsidRPr="00380DAC">
        <w:rPr>
          <w:rStyle w:val="FootnoteReference"/>
        </w:rPr>
        <w:footnoteRef/>
      </w:r>
      <w:r w:rsidRPr="00046BC6">
        <w:rPr>
          <w:sz w:val="26"/>
        </w:rPr>
        <w:t xml:space="preserve"> As defined at 18 CFR 4.30(b)(17)</w:t>
      </w:r>
      <w:r>
        <w:rPr>
          <w:sz w:val="26"/>
        </w:rPr>
        <w:t>,</w:t>
      </w:r>
      <w:r w:rsidRPr="00046BC6">
        <w:rPr>
          <w:sz w:val="26"/>
        </w:rPr>
        <w:t xml:space="preserve"> a “minor” project has a total installed generating capacity of 1.5 MW</w:t>
      </w:r>
      <w:r>
        <w:rPr>
          <w:sz w:val="26"/>
        </w:rPr>
        <w:t xml:space="preserve"> or less.</w:t>
      </w:r>
    </w:p>
  </w:footnote>
  <w:footnote w:id="8">
    <w:p w14:paraId="6BA4797D" w14:textId="46018BD8" w:rsidR="00442F48" w:rsidRPr="00D11120" w:rsidRDefault="00442F48">
      <w:pPr>
        <w:pStyle w:val="FootnoteText"/>
        <w:rPr>
          <w:sz w:val="26"/>
        </w:rPr>
      </w:pPr>
      <w:r w:rsidRPr="00D11120">
        <w:rPr>
          <w:rStyle w:val="FootnoteReference"/>
          <w:sz w:val="26"/>
          <w:vertAlign w:val="superscript"/>
        </w:rPr>
        <w:footnoteRef/>
      </w:r>
      <w:r w:rsidRPr="00D11120">
        <w:rPr>
          <w:sz w:val="26"/>
        </w:rPr>
        <w:t xml:space="preserve"> An original hydropower license authorizes the construction and operation of a project for a term of up to 50 years.  A relicense, also called a new license, authorizes the continued operation of a previously licensed project for an additional term of 30 to 50 years.</w:t>
      </w:r>
    </w:p>
  </w:footnote>
  <w:footnote w:id="9">
    <w:p w14:paraId="39723EC3" w14:textId="77777777" w:rsidR="00442F48" w:rsidRPr="00656485" w:rsidRDefault="00442F48" w:rsidP="00DF4362">
      <w:pPr>
        <w:pStyle w:val="FootnoteText"/>
        <w:rPr>
          <w:sz w:val="26"/>
          <w:szCs w:val="24"/>
        </w:rPr>
      </w:pPr>
      <w:r w:rsidRPr="00656485">
        <w:rPr>
          <w:rStyle w:val="FootnoteReference"/>
          <w:sz w:val="26"/>
          <w:szCs w:val="24"/>
          <w:vertAlign w:val="superscript"/>
        </w:rPr>
        <w:footnoteRef/>
      </w:r>
      <w:r w:rsidRPr="00656485">
        <w:rPr>
          <w:sz w:val="26"/>
          <w:szCs w:val="24"/>
          <w:vertAlign w:val="superscript"/>
        </w:rPr>
        <w:t xml:space="preserve"> </w:t>
      </w:r>
      <w:r w:rsidRPr="00656485">
        <w:rPr>
          <w:sz w:val="26"/>
          <w:szCs w:val="24"/>
        </w:rPr>
        <w:t xml:space="preserve">18 C.F.R. § 141.15 (2018).  Annual conveyance reports are filed for both major and minor licenses.  80% of the reports are related to major licenses.  </w:t>
      </w:r>
    </w:p>
  </w:footnote>
  <w:footnote w:id="10">
    <w:p w14:paraId="5F09BB84" w14:textId="77777777" w:rsidR="00442F48" w:rsidRPr="00255983" w:rsidRDefault="00442F48" w:rsidP="009734C1">
      <w:pPr>
        <w:pStyle w:val="FootnoteText"/>
        <w:rPr>
          <w:sz w:val="26"/>
          <w:szCs w:val="24"/>
        </w:rPr>
      </w:pPr>
      <w:r w:rsidRPr="00255983">
        <w:rPr>
          <w:rStyle w:val="FootnoteReference"/>
          <w:sz w:val="26"/>
          <w:szCs w:val="24"/>
          <w:vertAlign w:val="superscript"/>
        </w:rPr>
        <w:footnoteRef/>
      </w:r>
      <w:r w:rsidRPr="00255983">
        <w:rPr>
          <w:sz w:val="26"/>
          <w:szCs w:val="24"/>
        </w:rPr>
        <w:t xml:space="preserve"> Minor water power projects are those that have a total installed capacity of 1.5 MW or less.  Major water power projects have a total installed capacity of greater than 1.5 MW.   </w:t>
      </w:r>
    </w:p>
  </w:footnote>
  <w:footnote w:id="11">
    <w:p w14:paraId="2B2855A5" w14:textId="77777777" w:rsidR="00442F48" w:rsidRPr="00042850" w:rsidRDefault="00442F48" w:rsidP="00027DC6">
      <w:pPr>
        <w:pStyle w:val="FootnoteText"/>
        <w:rPr>
          <w:sz w:val="26"/>
          <w:szCs w:val="26"/>
        </w:rPr>
      </w:pPr>
      <w:r w:rsidRPr="00042850">
        <w:rPr>
          <w:rStyle w:val="FootnoteReference"/>
          <w:sz w:val="26"/>
          <w:szCs w:val="26"/>
          <w:vertAlign w:val="superscript"/>
        </w:rPr>
        <w:footnoteRef/>
      </w:r>
      <w:r w:rsidRPr="00042850">
        <w:rPr>
          <w:sz w:val="26"/>
          <w:szCs w:val="26"/>
        </w:rPr>
        <w:t xml:space="preserve"> 16 U.S.C. 823a(</w:t>
      </w:r>
      <w:r>
        <w:rPr>
          <w:sz w:val="26"/>
          <w:szCs w:val="26"/>
        </w:rPr>
        <w:t>b</w:t>
      </w:r>
      <w:r w:rsidRPr="00042850">
        <w:rPr>
          <w:sz w:val="26"/>
          <w:szCs w:val="26"/>
        </w:rPr>
        <w:t>).</w:t>
      </w:r>
    </w:p>
  </w:footnote>
  <w:footnote w:id="12">
    <w:p w14:paraId="456A76E1" w14:textId="77777777" w:rsidR="00442F48" w:rsidRPr="00255983" w:rsidRDefault="00442F48" w:rsidP="00027DC6">
      <w:pPr>
        <w:pStyle w:val="FootnoteText"/>
        <w:rPr>
          <w:sz w:val="26"/>
        </w:rPr>
      </w:pPr>
      <w:r w:rsidRPr="00255983">
        <w:rPr>
          <w:rStyle w:val="FootnoteReference"/>
          <w:sz w:val="26"/>
          <w:vertAlign w:val="superscript"/>
        </w:rPr>
        <w:footnoteRef/>
      </w:r>
      <w:r w:rsidRPr="00255983">
        <w:rPr>
          <w:sz w:val="26"/>
        </w:rPr>
        <w:t xml:space="preserve"> 16 U.S.C. 2705(d).</w:t>
      </w:r>
    </w:p>
  </w:footnote>
  <w:footnote w:id="13">
    <w:p w14:paraId="3E72129B" w14:textId="4D9354FF" w:rsidR="00442F48" w:rsidRPr="00255983" w:rsidRDefault="00442F48" w:rsidP="00DF4362">
      <w:pPr>
        <w:pStyle w:val="FootnoteText"/>
        <w:rPr>
          <w:sz w:val="26"/>
          <w:szCs w:val="24"/>
        </w:rPr>
      </w:pPr>
      <w:r w:rsidRPr="00255983">
        <w:rPr>
          <w:rStyle w:val="FootnoteReference"/>
          <w:sz w:val="26"/>
          <w:szCs w:val="24"/>
          <w:vertAlign w:val="superscript"/>
        </w:rPr>
        <w:footnoteRef/>
      </w:r>
      <w:r w:rsidRPr="00255983">
        <w:rPr>
          <w:sz w:val="26"/>
          <w:szCs w:val="24"/>
        </w:rPr>
        <w:t xml:space="preserve"> 16 U.S.C. 823a</w:t>
      </w:r>
      <w:r>
        <w:rPr>
          <w:sz w:val="26"/>
          <w:szCs w:val="24"/>
        </w:rPr>
        <w:t>(a)</w:t>
      </w:r>
      <w:r w:rsidRPr="00255983">
        <w:rPr>
          <w:sz w:val="26"/>
          <w:szCs w:val="24"/>
        </w:rPr>
        <w:t>.</w:t>
      </w:r>
    </w:p>
  </w:footnote>
  <w:footnote w:id="14">
    <w:p w14:paraId="4CA1773D" w14:textId="77777777" w:rsidR="00442F48" w:rsidRPr="00E95D94" w:rsidRDefault="00442F48" w:rsidP="00F0627E">
      <w:pPr>
        <w:pStyle w:val="FootnoteText"/>
        <w:rPr>
          <w:sz w:val="26"/>
        </w:rPr>
      </w:pPr>
      <w:r w:rsidRPr="00E95D94">
        <w:rPr>
          <w:rStyle w:val="FootnoteReference"/>
          <w:sz w:val="26"/>
          <w:vertAlign w:val="superscript"/>
        </w:rPr>
        <w:footnoteRef/>
      </w:r>
      <w:r w:rsidRPr="00E95D94">
        <w:rPr>
          <w:sz w:val="26"/>
        </w:rPr>
        <w:t xml:space="preserve"> 18 C.F.R. 388.112.  More information on the CEII definition, program and requirements is posted at </w:t>
      </w:r>
      <w:hyperlink r:id="rId1" w:history="1">
        <w:r w:rsidRPr="00E95D94">
          <w:rPr>
            <w:rStyle w:val="Hyperlink"/>
            <w:sz w:val="26"/>
          </w:rPr>
          <w:t>http://www.ferc.gov/legal/ceii-foia/ceii.asp</w:t>
        </w:r>
      </w:hyperlink>
      <w:r w:rsidRPr="00E95D94">
        <w:rPr>
          <w:sz w:val="26"/>
        </w:rPr>
        <w:t xml:space="preserve">. </w:t>
      </w:r>
    </w:p>
  </w:footnote>
  <w:footnote w:id="15">
    <w:p w14:paraId="04669A61" w14:textId="77777777" w:rsidR="00442F48" w:rsidRPr="00BC6D93" w:rsidRDefault="00442F48" w:rsidP="00750536">
      <w:pPr>
        <w:pStyle w:val="FootnoteText"/>
        <w:rPr>
          <w:sz w:val="26"/>
        </w:rPr>
      </w:pPr>
      <w:r w:rsidRPr="00BC6D93">
        <w:rPr>
          <w:rStyle w:val="FootnoteReference"/>
        </w:rPr>
        <w:footnoteRef/>
      </w:r>
      <w:r w:rsidRPr="00BC6D93">
        <w:rPr>
          <w:sz w:val="26"/>
        </w:rPr>
        <w:t xml:space="preserve"> There is one response per respondent for each activity</w:t>
      </w:r>
      <w:r>
        <w:rPr>
          <w:sz w:val="26"/>
        </w:rPr>
        <w:t xml:space="preserve"> in this information collection.</w:t>
      </w:r>
    </w:p>
  </w:footnote>
  <w:footnote w:id="16">
    <w:p w14:paraId="16C996E5" w14:textId="77777777" w:rsidR="00442F48" w:rsidRPr="007A6880" w:rsidRDefault="00442F48" w:rsidP="00750536">
      <w:pPr>
        <w:pStyle w:val="FootnoteText"/>
        <w:rPr>
          <w:sz w:val="26"/>
          <w:szCs w:val="26"/>
        </w:rPr>
      </w:pPr>
      <w:r w:rsidRPr="007A6880">
        <w:rPr>
          <w:rStyle w:val="FootnoteReference"/>
        </w:rPr>
        <w:footnoteRef/>
      </w:r>
      <w:r w:rsidRPr="007A6880">
        <w:rPr>
          <w:sz w:val="26"/>
          <w:szCs w:val="26"/>
        </w:rPr>
        <w:t xml:space="preserve"> Commission staff estimates that the average industry hourly cost for this information collection is approximated by the current FERC 2021 average hourly costs for wages and benefits, i.e., $87.00/hour.</w:t>
      </w:r>
    </w:p>
  </w:footnote>
  <w:footnote w:id="17">
    <w:p w14:paraId="7337EBE0" w14:textId="29A79793" w:rsidR="00442F48" w:rsidRDefault="00442F48" w:rsidP="000F7729">
      <w:pPr>
        <w:pStyle w:val="FootnoteText"/>
      </w:pPr>
      <w:r>
        <w:rPr>
          <w:rStyle w:val="FootnoteReference"/>
        </w:rPr>
        <w:footnoteRef/>
      </w:r>
      <w:r>
        <w:t xml:space="preserve"> </w:t>
      </w:r>
      <w:r>
        <w:rPr>
          <w:sz w:val="26"/>
          <w:szCs w:val="26"/>
        </w:rPr>
        <w:t>The previously reported 33 responses associated with Comprehensive Plans were incorrect and not consistent in how we have approached the number of respondents for this Information Collection.  As a result, t</w:t>
      </w:r>
      <w:r w:rsidRPr="00B77DB0">
        <w:rPr>
          <w:sz w:val="26"/>
          <w:szCs w:val="26"/>
        </w:rPr>
        <w:t xml:space="preserve">he total number of hours associated with the </w:t>
      </w:r>
      <w:r>
        <w:rPr>
          <w:sz w:val="26"/>
          <w:szCs w:val="26"/>
        </w:rPr>
        <w:t>C</w:t>
      </w:r>
      <w:r w:rsidRPr="00B77DB0">
        <w:rPr>
          <w:sz w:val="26"/>
          <w:szCs w:val="26"/>
        </w:rPr>
        <w:t xml:space="preserve">omprehensive </w:t>
      </w:r>
      <w:r>
        <w:rPr>
          <w:sz w:val="26"/>
          <w:szCs w:val="26"/>
        </w:rPr>
        <w:t>P</w:t>
      </w:r>
      <w:r w:rsidRPr="00B77DB0">
        <w:rPr>
          <w:sz w:val="26"/>
          <w:szCs w:val="26"/>
        </w:rPr>
        <w:t xml:space="preserve">lans requirement was moved to the total number of hours </w:t>
      </w:r>
      <w:r>
        <w:rPr>
          <w:sz w:val="26"/>
          <w:szCs w:val="26"/>
        </w:rPr>
        <w:t xml:space="preserve">associated with </w:t>
      </w:r>
      <w:r w:rsidRPr="00B77DB0">
        <w:rPr>
          <w:sz w:val="26"/>
          <w:szCs w:val="26"/>
        </w:rPr>
        <w:t>the application process.  The Commission does not break down pieces of th</w:t>
      </w:r>
      <w:r>
        <w:rPr>
          <w:sz w:val="26"/>
          <w:szCs w:val="26"/>
        </w:rPr>
        <w:t>is</w:t>
      </w:r>
      <w:r w:rsidRPr="00B77DB0">
        <w:rPr>
          <w:sz w:val="26"/>
          <w:szCs w:val="26"/>
        </w:rPr>
        <w:t xml:space="preserve"> </w:t>
      </w:r>
      <w:r>
        <w:rPr>
          <w:sz w:val="26"/>
          <w:szCs w:val="26"/>
        </w:rPr>
        <w:t>process</w:t>
      </w:r>
      <w:r w:rsidRPr="00B77DB0">
        <w:rPr>
          <w:sz w:val="26"/>
          <w:szCs w:val="26"/>
        </w:rPr>
        <w:t xml:space="preserve"> </w:t>
      </w:r>
      <w:r>
        <w:rPr>
          <w:sz w:val="26"/>
          <w:szCs w:val="26"/>
        </w:rPr>
        <w:t xml:space="preserve">(as it is all considered one application) </w:t>
      </w:r>
      <w:r w:rsidRPr="00B77DB0">
        <w:rPr>
          <w:sz w:val="26"/>
          <w:szCs w:val="26"/>
        </w:rPr>
        <w:t xml:space="preserve">and so this </w:t>
      </w:r>
      <w:r>
        <w:rPr>
          <w:sz w:val="26"/>
          <w:szCs w:val="26"/>
        </w:rPr>
        <w:t>edit</w:t>
      </w:r>
      <w:r w:rsidRPr="00B77DB0">
        <w:rPr>
          <w:sz w:val="26"/>
          <w:szCs w:val="26"/>
        </w:rPr>
        <w:t xml:space="preserve"> was made </w:t>
      </w:r>
      <w:r>
        <w:rPr>
          <w:sz w:val="26"/>
          <w:szCs w:val="26"/>
        </w:rPr>
        <w:t>for consistency across the information collection.  The 33 responses previously disclosed for Comprehensive Plans exceeded the number of responses previously and currently disclosed for applications because of the need for revisions of such Comprehensive Plans. This change does not change the number of applications.  However, all of the 33 hours previously disclosed for Comprehensive Plans have been added to the license application activity in this request.</w:t>
      </w:r>
    </w:p>
  </w:footnote>
  <w:footnote w:id="18">
    <w:p w14:paraId="622D491E" w14:textId="6D64CC61" w:rsidR="00442F48" w:rsidRPr="00E95D94" w:rsidRDefault="00442F48">
      <w:pPr>
        <w:pStyle w:val="FootnoteText"/>
        <w:rPr>
          <w:sz w:val="26"/>
        </w:rPr>
      </w:pPr>
      <w:r w:rsidRPr="00E95D94">
        <w:rPr>
          <w:rStyle w:val="FootnoteReference"/>
          <w:sz w:val="26"/>
          <w:vertAlign w:val="superscript"/>
        </w:rPr>
        <w:footnoteRef/>
      </w:r>
      <w:r w:rsidRPr="00E95D94">
        <w:rPr>
          <w:sz w:val="26"/>
        </w:rPr>
        <w:t xml:space="preserve"> The “Analysis and Processing” estimates </w:t>
      </w:r>
      <w:r>
        <w:rPr>
          <w:sz w:val="26"/>
        </w:rPr>
        <w:t>are calculated using the FY 2021 average annual salary plus benefits of one FERC full-time equivalent (FTE):  $187,703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404B" w14:textId="77777777" w:rsidR="00442F48" w:rsidRDefault="00442F48">
    <w:pPr>
      <w:pStyle w:val="Header"/>
      <w:rPr>
        <w:rFonts w:ascii="Times New Roman" w:hAnsi="Times New Roman"/>
        <w:sz w:val="24"/>
        <w:szCs w:val="24"/>
      </w:rPr>
    </w:pPr>
    <w:r w:rsidRPr="0003147A">
      <w:rPr>
        <w:rFonts w:ascii="Times New Roman" w:hAnsi="Times New Roman"/>
        <w:sz w:val="24"/>
        <w:szCs w:val="24"/>
      </w:rPr>
      <w:t xml:space="preserve">FERC-500 </w:t>
    </w:r>
    <w:r>
      <w:rPr>
        <w:rFonts w:ascii="Times New Roman" w:hAnsi="Times New Roman"/>
        <w:sz w:val="24"/>
        <w:szCs w:val="24"/>
      </w:rPr>
      <w:t xml:space="preserve">(OMB Control No. 1902-0058) </w:t>
    </w:r>
    <w:r w:rsidRPr="0003147A">
      <w:rPr>
        <w:rFonts w:ascii="Times New Roman" w:hAnsi="Times New Roman"/>
        <w:sz w:val="24"/>
        <w:szCs w:val="24"/>
      </w:rPr>
      <w:t>and</w:t>
    </w:r>
  </w:p>
  <w:p w14:paraId="40AD2B93" w14:textId="1895E357" w:rsidR="00442F48" w:rsidRPr="0003147A" w:rsidRDefault="00442F48">
    <w:pPr>
      <w:pStyle w:val="Header"/>
      <w:rPr>
        <w:rFonts w:ascii="Times New Roman" w:hAnsi="Times New Roman"/>
        <w:sz w:val="24"/>
        <w:szCs w:val="24"/>
      </w:rPr>
    </w:pPr>
    <w:r w:rsidRPr="0003147A">
      <w:rPr>
        <w:rFonts w:ascii="Times New Roman" w:hAnsi="Times New Roman"/>
        <w:sz w:val="24"/>
        <w:szCs w:val="24"/>
      </w:rPr>
      <w:t xml:space="preserve">FERC-505 </w:t>
    </w:r>
    <w:r>
      <w:rPr>
        <w:rFonts w:ascii="Times New Roman" w:hAnsi="Times New Roman"/>
        <w:sz w:val="24"/>
        <w:szCs w:val="24"/>
      </w:rPr>
      <w:t xml:space="preserve">(OMB Control No. 1902-0115) </w:t>
    </w:r>
  </w:p>
  <w:p w14:paraId="74BC60AC" w14:textId="2A202A3A" w:rsidR="00442F48" w:rsidRDefault="00442F48">
    <w:pPr>
      <w:pStyle w:val="Header"/>
      <w:rPr>
        <w:rFonts w:ascii="Times New Roman" w:hAnsi="Times New Roman"/>
        <w:sz w:val="26"/>
        <w:szCs w:val="20"/>
      </w:rPr>
    </w:pPr>
    <w:r w:rsidRPr="001F6863">
      <w:rPr>
        <w:rFonts w:ascii="Times New Roman" w:hAnsi="Times New Roman"/>
        <w:sz w:val="26"/>
        <w:szCs w:val="20"/>
      </w:rPr>
      <w:t>IC21-34-000</w:t>
    </w:r>
  </w:p>
  <w:p w14:paraId="2F00C5CB" w14:textId="77777777" w:rsidR="00442F48" w:rsidRPr="001F6863" w:rsidRDefault="00442F48">
    <w:pPr>
      <w:pStyle w:val="Header"/>
      <w:rPr>
        <w:rFonts w:ascii="Times New Roman" w:hAnsi="Times New Roman"/>
        <w:sz w:val="2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1AB"/>
    <w:multiLevelType w:val="hybridMultilevel"/>
    <w:tmpl w:val="D4C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2CBE"/>
    <w:multiLevelType w:val="hybridMultilevel"/>
    <w:tmpl w:val="4BF0BEF6"/>
    <w:lvl w:ilvl="0" w:tplc="69F8A74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762D32">
      <w:start w:val="1"/>
      <w:numFmt w:val="lowerLetter"/>
      <w:lvlText w:val="%2"/>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3ACC10">
      <w:start w:val="1"/>
      <w:numFmt w:val="lowerRoman"/>
      <w:lvlText w:val="%3"/>
      <w:lvlJc w:val="left"/>
      <w:pPr>
        <w:ind w:left="2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3E6B32">
      <w:start w:val="1"/>
      <w:numFmt w:val="decimal"/>
      <w:lvlText w:val="%4"/>
      <w:lvlJc w:val="left"/>
      <w:pPr>
        <w:ind w:left="3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3CD1F8">
      <w:start w:val="1"/>
      <w:numFmt w:val="lowerLetter"/>
      <w:lvlText w:val="%5"/>
      <w:lvlJc w:val="left"/>
      <w:pPr>
        <w:ind w:left="3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346D7A">
      <w:start w:val="1"/>
      <w:numFmt w:val="lowerRoman"/>
      <w:lvlText w:val="%6"/>
      <w:lvlJc w:val="left"/>
      <w:pPr>
        <w:ind w:left="4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B02AEC">
      <w:start w:val="1"/>
      <w:numFmt w:val="decimal"/>
      <w:lvlText w:val="%7"/>
      <w:lvlJc w:val="left"/>
      <w:pPr>
        <w:ind w:left="5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42C1B6">
      <w:start w:val="1"/>
      <w:numFmt w:val="lowerLetter"/>
      <w:lvlText w:val="%8"/>
      <w:lvlJc w:val="left"/>
      <w:pPr>
        <w:ind w:left="5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7CB3FC">
      <w:start w:val="1"/>
      <w:numFmt w:val="lowerRoman"/>
      <w:lvlText w:val="%9"/>
      <w:lvlJc w:val="left"/>
      <w:pPr>
        <w:ind w:left="6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287E49"/>
    <w:multiLevelType w:val="hybridMultilevel"/>
    <w:tmpl w:val="0C5EB34C"/>
    <w:lvl w:ilvl="0" w:tplc="9FC00A94">
      <w:start w:val="1"/>
      <w:numFmt w:val="decimal"/>
      <w:lvlText w:val="(%1)"/>
      <w:lvlJc w:val="left"/>
      <w:pPr>
        <w:ind w:left="1080" w:hanging="360"/>
      </w:pPr>
      <w:rPr>
        <w:rFonts w:ascii="Calibri" w:hAnsi="Calibri"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502655"/>
    <w:multiLevelType w:val="hybridMultilevel"/>
    <w:tmpl w:val="A182A734"/>
    <w:lvl w:ilvl="0" w:tplc="59081F7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13FB"/>
    <w:multiLevelType w:val="hybridMultilevel"/>
    <w:tmpl w:val="93E0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908C3"/>
    <w:multiLevelType w:val="multilevel"/>
    <w:tmpl w:val="8D94E920"/>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33"/>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93CB4"/>
    <w:multiLevelType w:val="hybridMultilevel"/>
    <w:tmpl w:val="F7A6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03BC1"/>
    <w:multiLevelType w:val="hybridMultilevel"/>
    <w:tmpl w:val="492A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7422"/>
    <w:multiLevelType w:val="hybridMultilevel"/>
    <w:tmpl w:val="342C00CE"/>
    <w:lvl w:ilvl="0" w:tplc="FD0A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73FF3"/>
    <w:multiLevelType w:val="hybridMultilevel"/>
    <w:tmpl w:val="2FCA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6162D"/>
    <w:multiLevelType w:val="hybridMultilevel"/>
    <w:tmpl w:val="D9D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C76AA"/>
    <w:multiLevelType w:val="hybridMultilevel"/>
    <w:tmpl w:val="560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C7D1B"/>
    <w:multiLevelType w:val="hybridMultilevel"/>
    <w:tmpl w:val="ADC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735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DD21FF"/>
    <w:multiLevelType w:val="hybridMultilevel"/>
    <w:tmpl w:val="C626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7D38C3"/>
    <w:multiLevelType w:val="hybridMultilevel"/>
    <w:tmpl w:val="B68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25B1A"/>
    <w:multiLevelType w:val="hybridMultilevel"/>
    <w:tmpl w:val="6E8C4DF4"/>
    <w:lvl w:ilvl="0" w:tplc="4EEE9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C1895"/>
    <w:multiLevelType w:val="hybridMultilevel"/>
    <w:tmpl w:val="AD6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87B85"/>
    <w:multiLevelType w:val="hybridMultilevel"/>
    <w:tmpl w:val="BD3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40E9F"/>
    <w:multiLevelType w:val="hybridMultilevel"/>
    <w:tmpl w:val="4DF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075F1"/>
    <w:multiLevelType w:val="hybridMultilevel"/>
    <w:tmpl w:val="C04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754B2"/>
    <w:multiLevelType w:val="hybridMultilevel"/>
    <w:tmpl w:val="F49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62A20"/>
    <w:multiLevelType w:val="hybridMultilevel"/>
    <w:tmpl w:val="3A3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1DF6"/>
    <w:multiLevelType w:val="hybridMultilevel"/>
    <w:tmpl w:val="48FE9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D843B68"/>
    <w:multiLevelType w:val="hybridMultilevel"/>
    <w:tmpl w:val="6F9C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E07A68"/>
    <w:multiLevelType w:val="hybridMultilevel"/>
    <w:tmpl w:val="67A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9165B"/>
    <w:multiLevelType w:val="hybridMultilevel"/>
    <w:tmpl w:val="97D6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06B75"/>
    <w:multiLevelType w:val="hybridMultilevel"/>
    <w:tmpl w:val="7B4A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F0F0F"/>
    <w:multiLevelType w:val="hybridMultilevel"/>
    <w:tmpl w:val="04BC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41C05"/>
    <w:multiLevelType w:val="hybridMultilevel"/>
    <w:tmpl w:val="153640C4"/>
    <w:lvl w:ilvl="0" w:tplc="8688B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84028"/>
    <w:multiLevelType w:val="hybridMultilevel"/>
    <w:tmpl w:val="DF6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9726F"/>
    <w:multiLevelType w:val="hybridMultilevel"/>
    <w:tmpl w:val="9F02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C7DBB"/>
    <w:multiLevelType w:val="hybridMultilevel"/>
    <w:tmpl w:val="5412CA98"/>
    <w:lvl w:ilvl="0" w:tplc="C13827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19"/>
  </w:num>
  <w:num w:numId="4">
    <w:abstractNumId w:val="28"/>
  </w:num>
  <w:num w:numId="5">
    <w:abstractNumId w:val="5"/>
  </w:num>
  <w:num w:numId="6">
    <w:abstractNumId w:val="32"/>
  </w:num>
  <w:num w:numId="7">
    <w:abstractNumId w:val="6"/>
  </w:num>
  <w:num w:numId="8">
    <w:abstractNumId w:val="3"/>
  </w:num>
  <w:num w:numId="9">
    <w:abstractNumId w:val="18"/>
  </w:num>
  <w:num w:numId="10">
    <w:abstractNumId w:val="13"/>
  </w:num>
  <w:num w:numId="11">
    <w:abstractNumId w:val="23"/>
  </w:num>
  <w:num w:numId="12">
    <w:abstractNumId w:val="16"/>
  </w:num>
  <w:num w:numId="13">
    <w:abstractNumId w:val="4"/>
  </w:num>
  <w:num w:numId="14">
    <w:abstractNumId w:val="36"/>
  </w:num>
  <w:num w:numId="15">
    <w:abstractNumId w:val="14"/>
  </w:num>
  <w:num w:numId="16">
    <w:abstractNumId w:val="26"/>
  </w:num>
  <w:num w:numId="17">
    <w:abstractNumId w:val="11"/>
  </w:num>
  <w:num w:numId="18">
    <w:abstractNumId w:val="29"/>
  </w:num>
  <w:num w:numId="19">
    <w:abstractNumId w:val="8"/>
  </w:num>
  <w:num w:numId="20">
    <w:abstractNumId w:val="12"/>
  </w:num>
  <w:num w:numId="21">
    <w:abstractNumId w:val="1"/>
  </w:num>
  <w:num w:numId="22">
    <w:abstractNumId w:val="9"/>
  </w:num>
  <w:num w:numId="23">
    <w:abstractNumId w:val="20"/>
  </w:num>
  <w:num w:numId="24">
    <w:abstractNumId w:val="3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5"/>
  </w:num>
  <w:num w:numId="28">
    <w:abstractNumId w:val="31"/>
  </w:num>
  <w:num w:numId="29">
    <w:abstractNumId w:val="30"/>
  </w:num>
  <w:num w:numId="30">
    <w:abstractNumId w:val="0"/>
  </w:num>
  <w:num w:numId="31">
    <w:abstractNumId w:val="25"/>
  </w:num>
  <w:num w:numId="32">
    <w:abstractNumId w:val="22"/>
  </w:num>
  <w:num w:numId="33">
    <w:abstractNumId w:val="24"/>
  </w:num>
  <w:num w:numId="34">
    <w:abstractNumId w:val="10"/>
  </w:num>
  <w:num w:numId="35">
    <w:abstractNumId w:val="34"/>
  </w:num>
  <w:num w:numId="36">
    <w:abstractNumId w:val="7"/>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5"/>
    <w:rsid w:val="00004D64"/>
    <w:rsid w:val="000050C2"/>
    <w:rsid w:val="00005963"/>
    <w:rsid w:val="000100A4"/>
    <w:rsid w:val="00010516"/>
    <w:rsid w:val="00010846"/>
    <w:rsid w:val="00012686"/>
    <w:rsid w:val="00012C01"/>
    <w:rsid w:val="00013089"/>
    <w:rsid w:val="0001355E"/>
    <w:rsid w:val="000138C9"/>
    <w:rsid w:val="00014259"/>
    <w:rsid w:val="0001444A"/>
    <w:rsid w:val="00015875"/>
    <w:rsid w:val="00015EA4"/>
    <w:rsid w:val="00016264"/>
    <w:rsid w:val="000164E0"/>
    <w:rsid w:val="00016EEA"/>
    <w:rsid w:val="00016F78"/>
    <w:rsid w:val="0001775E"/>
    <w:rsid w:val="00017ABA"/>
    <w:rsid w:val="000201FB"/>
    <w:rsid w:val="0002057C"/>
    <w:rsid w:val="00024829"/>
    <w:rsid w:val="0002560F"/>
    <w:rsid w:val="00025E50"/>
    <w:rsid w:val="00027DC6"/>
    <w:rsid w:val="00027DC9"/>
    <w:rsid w:val="000300D7"/>
    <w:rsid w:val="00030762"/>
    <w:rsid w:val="00030D70"/>
    <w:rsid w:val="0003147A"/>
    <w:rsid w:val="0003154B"/>
    <w:rsid w:val="00032B9A"/>
    <w:rsid w:val="00032C46"/>
    <w:rsid w:val="00034599"/>
    <w:rsid w:val="00035422"/>
    <w:rsid w:val="00035F5D"/>
    <w:rsid w:val="000361B1"/>
    <w:rsid w:val="00036698"/>
    <w:rsid w:val="00036F8A"/>
    <w:rsid w:val="00036FA6"/>
    <w:rsid w:val="000375DA"/>
    <w:rsid w:val="000377BA"/>
    <w:rsid w:val="000404A7"/>
    <w:rsid w:val="00042646"/>
    <w:rsid w:val="00042EA5"/>
    <w:rsid w:val="00043D18"/>
    <w:rsid w:val="00044814"/>
    <w:rsid w:val="000454D8"/>
    <w:rsid w:val="00045C7D"/>
    <w:rsid w:val="00045CE1"/>
    <w:rsid w:val="00046C4B"/>
    <w:rsid w:val="0005106E"/>
    <w:rsid w:val="00051E0F"/>
    <w:rsid w:val="000537C4"/>
    <w:rsid w:val="00053EA7"/>
    <w:rsid w:val="00054851"/>
    <w:rsid w:val="0005485A"/>
    <w:rsid w:val="000551E1"/>
    <w:rsid w:val="00055395"/>
    <w:rsid w:val="0005655E"/>
    <w:rsid w:val="0005672E"/>
    <w:rsid w:val="000579C6"/>
    <w:rsid w:val="00057AC0"/>
    <w:rsid w:val="00060EE4"/>
    <w:rsid w:val="00061CD5"/>
    <w:rsid w:val="000640E1"/>
    <w:rsid w:val="00064281"/>
    <w:rsid w:val="00064DAC"/>
    <w:rsid w:val="000707A1"/>
    <w:rsid w:val="00070DB6"/>
    <w:rsid w:val="0007203B"/>
    <w:rsid w:val="000746EA"/>
    <w:rsid w:val="00075DCC"/>
    <w:rsid w:val="000762E1"/>
    <w:rsid w:val="000775F4"/>
    <w:rsid w:val="00081800"/>
    <w:rsid w:val="00081B4C"/>
    <w:rsid w:val="000836EF"/>
    <w:rsid w:val="00083B87"/>
    <w:rsid w:val="00084A7F"/>
    <w:rsid w:val="000854A3"/>
    <w:rsid w:val="000869BB"/>
    <w:rsid w:val="00086B77"/>
    <w:rsid w:val="000874BA"/>
    <w:rsid w:val="0009171A"/>
    <w:rsid w:val="000930CB"/>
    <w:rsid w:val="000944A5"/>
    <w:rsid w:val="000951BE"/>
    <w:rsid w:val="00095CA5"/>
    <w:rsid w:val="000966FD"/>
    <w:rsid w:val="0009744D"/>
    <w:rsid w:val="00097623"/>
    <w:rsid w:val="000A140A"/>
    <w:rsid w:val="000A1D4E"/>
    <w:rsid w:val="000A2696"/>
    <w:rsid w:val="000A2D94"/>
    <w:rsid w:val="000A2D9A"/>
    <w:rsid w:val="000A46F8"/>
    <w:rsid w:val="000A5329"/>
    <w:rsid w:val="000A5A6B"/>
    <w:rsid w:val="000A667A"/>
    <w:rsid w:val="000B0541"/>
    <w:rsid w:val="000B14F8"/>
    <w:rsid w:val="000B2241"/>
    <w:rsid w:val="000B29FC"/>
    <w:rsid w:val="000B2DFD"/>
    <w:rsid w:val="000B43D5"/>
    <w:rsid w:val="000B4C1B"/>
    <w:rsid w:val="000B51EA"/>
    <w:rsid w:val="000B5F0A"/>
    <w:rsid w:val="000B62C1"/>
    <w:rsid w:val="000C0555"/>
    <w:rsid w:val="000C0C87"/>
    <w:rsid w:val="000C1007"/>
    <w:rsid w:val="000C20E0"/>
    <w:rsid w:val="000C45C1"/>
    <w:rsid w:val="000C759A"/>
    <w:rsid w:val="000C78B6"/>
    <w:rsid w:val="000D02A3"/>
    <w:rsid w:val="000D1D54"/>
    <w:rsid w:val="000D3F25"/>
    <w:rsid w:val="000D60C3"/>
    <w:rsid w:val="000E11A9"/>
    <w:rsid w:val="000E146A"/>
    <w:rsid w:val="000E15CD"/>
    <w:rsid w:val="000E1A48"/>
    <w:rsid w:val="000E1EF4"/>
    <w:rsid w:val="000E296F"/>
    <w:rsid w:val="000E2B3C"/>
    <w:rsid w:val="000E46BE"/>
    <w:rsid w:val="000E52F6"/>
    <w:rsid w:val="000E5E65"/>
    <w:rsid w:val="000F03E9"/>
    <w:rsid w:val="000F1377"/>
    <w:rsid w:val="000F3AEF"/>
    <w:rsid w:val="000F453D"/>
    <w:rsid w:val="000F4BE9"/>
    <w:rsid w:val="000F4FC1"/>
    <w:rsid w:val="000F5A2F"/>
    <w:rsid w:val="000F6266"/>
    <w:rsid w:val="000F6A1E"/>
    <w:rsid w:val="000F71D8"/>
    <w:rsid w:val="000F7729"/>
    <w:rsid w:val="000F7994"/>
    <w:rsid w:val="000F7DCE"/>
    <w:rsid w:val="00100014"/>
    <w:rsid w:val="0010096F"/>
    <w:rsid w:val="00100DAC"/>
    <w:rsid w:val="001013E8"/>
    <w:rsid w:val="001021F0"/>
    <w:rsid w:val="00102B0B"/>
    <w:rsid w:val="00103288"/>
    <w:rsid w:val="0010332E"/>
    <w:rsid w:val="00104966"/>
    <w:rsid w:val="00106597"/>
    <w:rsid w:val="00106ACA"/>
    <w:rsid w:val="001072E3"/>
    <w:rsid w:val="00107737"/>
    <w:rsid w:val="00107DA8"/>
    <w:rsid w:val="00110DD9"/>
    <w:rsid w:val="00111212"/>
    <w:rsid w:val="00111773"/>
    <w:rsid w:val="00111FB8"/>
    <w:rsid w:val="001121AE"/>
    <w:rsid w:val="00112867"/>
    <w:rsid w:val="00113FAD"/>
    <w:rsid w:val="0011583B"/>
    <w:rsid w:val="00116595"/>
    <w:rsid w:val="00116A7C"/>
    <w:rsid w:val="00116CF2"/>
    <w:rsid w:val="00116FF2"/>
    <w:rsid w:val="0011750E"/>
    <w:rsid w:val="0011751C"/>
    <w:rsid w:val="00120221"/>
    <w:rsid w:val="00120A6F"/>
    <w:rsid w:val="00120E68"/>
    <w:rsid w:val="0012152E"/>
    <w:rsid w:val="001221C4"/>
    <w:rsid w:val="00122EF4"/>
    <w:rsid w:val="0012393A"/>
    <w:rsid w:val="001244B4"/>
    <w:rsid w:val="00124A2C"/>
    <w:rsid w:val="00125166"/>
    <w:rsid w:val="001263E8"/>
    <w:rsid w:val="001263E9"/>
    <w:rsid w:val="001272A7"/>
    <w:rsid w:val="00130446"/>
    <w:rsid w:val="00130FC3"/>
    <w:rsid w:val="00132394"/>
    <w:rsid w:val="001330BB"/>
    <w:rsid w:val="00134224"/>
    <w:rsid w:val="00134B12"/>
    <w:rsid w:val="00134B2C"/>
    <w:rsid w:val="00134D4F"/>
    <w:rsid w:val="00135069"/>
    <w:rsid w:val="001355F6"/>
    <w:rsid w:val="001359F1"/>
    <w:rsid w:val="001360DE"/>
    <w:rsid w:val="0013718A"/>
    <w:rsid w:val="00137951"/>
    <w:rsid w:val="00140C95"/>
    <w:rsid w:val="0014134F"/>
    <w:rsid w:val="00141686"/>
    <w:rsid w:val="00141ED0"/>
    <w:rsid w:val="0014279D"/>
    <w:rsid w:val="00142812"/>
    <w:rsid w:val="0014332A"/>
    <w:rsid w:val="0014472D"/>
    <w:rsid w:val="00144C60"/>
    <w:rsid w:val="001451A3"/>
    <w:rsid w:val="001456F1"/>
    <w:rsid w:val="001461EB"/>
    <w:rsid w:val="00146B32"/>
    <w:rsid w:val="00147616"/>
    <w:rsid w:val="00147DD8"/>
    <w:rsid w:val="00150EE7"/>
    <w:rsid w:val="00152E51"/>
    <w:rsid w:val="0015398B"/>
    <w:rsid w:val="00153B23"/>
    <w:rsid w:val="00155748"/>
    <w:rsid w:val="00161159"/>
    <w:rsid w:val="0016119E"/>
    <w:rsid w:val="0016204B"/>
    <w:rsid w:val="00163942"/>
    <w:rsid w:val="00165259"/>
    <w:rsid w:val="00167264"/>
    <w:rsid w:val="0016740A"/>
    <w:rsid w:val="00172224"/>
    <w:rsid w:val="00174CCC"/>
    <w:rsid w:val="00175D04"/>
    <w:rsid w:val="00176A41"/>
    <w:rsid w:val="0018080F"/>
    <w:rsid w:val="0018089F"/>
    <w:rsid w:val="001810A5"/>
    <w:rsid w:val="00181C5D"/>
    <w:rsid w:val="001826D1"/>
    <w:rsid w:val="00183500"/>
    <w:rsid w:val="00184AD7"/>
    <w:rsid w:val="00184D00"/>
    <w:rsid w:val="0018596B"/>
    <w:rsid w:val="00185C89"/>
    <w:rsid w:val="00186731"/>
    <w:rsid w:val="00186C73"/>
    <w:rsid w:val="001873F6"/>
    <w:rsid w:val="00190140"/>
    <w:rsid w:val="001902A4"/>
    <w:rsid w:val="00190D5C"/>
    <w:rsid w:val="001911F1"/>
    <w:rsid w:val="00191275"/>
    <w:rsid w:val="0019220A"/>
    <w:rsid w:val="00194325"/>
    <w:rsid w:val="001950FD"/>
    <w:rsid w:val="00195325"/>
    <w:rsid w:val="00195668"/>
    <w:rsid w:val="00195DEE"/>
    <w:rsid w:val="00196109"/>
    <w:rsid w:val="0019650B"/>
    <w:rsid w:val="00196858"/>
    <w:rsid w:val="001968A5"/>
    <w:rsid w:val="001968EA"/>
    <w:rsid w:val="00196EE4"/>
    <w:rsid w:val="00196F45"/>
    <w:rsid w:val="001A068C"/>
    <w:rsid w:val="001A12BD"/>
    <w:rsid w:val="001A2A4F"/>
    <w:rsid w:val="001A32CA"/>
    <w:rsid w:val="001A450A"/>
    <w:rsid w:val="001A4C7B"/>
    <w:rsid w:val="001A5362"/>
    <w:rsid w:val="001A70A7"/>
    <w:rsid w:val="001B1B9A"/>
    <w:rsid w:val="001B2327"/>
    <w:rsid w:val="001B24ED"/>
    <w:rsid w:val="001B3752"/>
    <w:rsid w:val="001B394F"/>
    <w:rsid w:val="001B4BEB"/>
    <w:rsid w:val="001B5056"/>
    <w:rsid w:val="001B647D"/>
    <w:rsid w:val="001B6FFB"/>
    <w:rsid w:val="001B7E58"/>
    <w:rsid w:val="001C050F"/>
    <w:rsid w:val="001C2A53"/>
    <w:rsid w:val="001C2D08"/>
    <w:rsid w:val="001C34B8"/>
    <w:rsid w:val="001C4463"/>
    <w:rsid w:val="001C4CFD"/>
    <w:rsid w:val="001C51DF"/>
    <w:rsid w:val="001C5646"/>
    <w:rsid w:val="001D0061"/>
    <w:rsid w:val="001D02D9"/>
    <w:rsid w:val="001D0422"/>
    <w:rsid w:val="001D289D"/>
    <w:rsid w:val="001D4813"/>
    <w:rsid w:val="001D4AB2"/>
    <w:rsid w:val="001D6D6F"/>
    <w:rsid w:val="001E07EB"/>
    <w:rsid w:val="001E104A"/>
    <w:rsid w:val="001E151A"/>
    <w:rsid w:val="001E1D74"/>
    <w:rsid w:val="001E21AF"/>
    <w:rsid w:val="001E3E6B"/>
    <w:rsid w:val="001E55A1"/>
    <w:rsid w:val="001E6B73"/>
    <w:rsid w:val="001E6F96"/>
    <w:rsid w:val="001E7E5F"/>
    <w:rsid w:val="001F0CA3"/>
    <w:rsid w:val="001F1AB5"/>
    <w:rsid w:val="001F3047"/>
    <w:rsid w:val="001F3295"/>
    <w:rsid w:val="001F4044"/>
    <w:rsid w:val="001F45A5"/>
    <w:rsid w:val="001F6863"/>
    <w:rsid w:val="00200927"/>
    <w:rsid w:val="002009A9"/>
    <w:rsid w:val="00200C36"/>
    <w:rsid w:val="00200CB5"/>
    <w:rsid w:val="00201437"/>
    <w:rsid w:val="002062CD"/>
    <w:rsid w:val="002122FB"/>
    <w:rsid w:val="00213401"/>
    <w:rsid w:val="002149F8"/>
    <w:rsid w:val="00214B42"/>
    <w:rsid w:val="00215528"/>
    <w:rsid w:val="00215FD6"/>
    <w:rsid w:val="00217168"/>
    <w:rsid w:val="002200D8"/>
    <w:rsid w:val="00220309"/>
    <w:rsid w:val="002209E1"/>
    <w:rsid w:val="002213AA"/>
    <w:rsid w:val="00221430"/>
    <w:rsid w:val="00221685"/>
    <w:rsid w:val="00221EB9"/>
    <w:rsid w:val="002225FB"/>
    <w:rsid w:val="00222AF7"/>
    <w:rsid w:val="00222BA1"/>
    <w:rsid w:val="00222BC5"/>
    <w:rsid w:val="00222EA9"/>
    <w:rsid w:val="002232D4"/>
    <w:rsid w:val="00224C47"/>
    <w:rsid w:val="002255FC"/>
    <w:rsid w:val="002276D9"/>
    <w:rsid w:val="002278FC"/>
    <w:rsid w:val="00227CA3"/>
    <w:rsid w:val="00227F0E"/>
    <w:rsid w:val="00230706"/>
    <w:rsid w:val="002313B0"/>
    <w:rsid w:val="00232AD6"/>
    <w:rsid w:val="00233478"/>
    <w:rsid w:val="00233595"/>
    <w:rsid w:val="00233B57"/>
    <w:rsid w:val="002356D9"/>
    <w:rsid w:val="00236984"/>
    <w:rsid w:val="00236DFB"/>
    <w:rsid w:val="002377EE"/>
    <w:rsid w:val="00237C21"/>
    <w:rsid w:val="00237E50"/>
    <w:rsid w:val="00240A2C"/>
    <w:rsid w:val="00240F55"/>
    <w:rsid w:val="00241582"/>
    <w:rsid w:val="00241E13"/>
    <w:rsid w:val="00243087"/>
    <w:rsid w:val="00243410"/>
    <w:rsid w:val="00244BC9"/>
    <w:rsid w:val="002459E9"/>
    <w:rsid w:val="00246451"/>
    <w:rsid w:val="00247EBC"/>
    <w:rsid w:val="0025030A"/>
    <w:rsid w:val="00250F41"/>
    <w:rsid w:val="0025132E"/>
    <w:rsid w:val="002518AA"/>
    <w:rsid w:val="002524F8"/>
    <w:rsid w:val="00253703"/>
    <w:rsid w:val="0025395D"/>
    <w:rsid w:val="00254768"/>
    <w:rsid w:val="002549D4"/>
    <w:rsid w:val="00255983"/>
    <w:rsid w:val="002565C1"/>
    <w:rsid w:val="00256706"/>
    <w:rsid w:val="00260A3B"/>
    <w:rsid w:val="0026269A"/>
    <w:rsid w:val="00262C85"/>
    <w:rsid w:val="00263A1B"/>
    <w:rsid w:val="00263A66"/>
    <w:rsid w:val="00263FF9"/>
    <w:rsid w:val="0026461E"/>
    <w:rsid w:val="00264A94"/>
    <w:rsid w:val="00264E11"/>
    <w:rsid w:val="00265890"/>
    <w:rsid w:val="00271158"/>
    <w:rsid w:val="00274980"/>
    <w:rsid w:val="00275442"/>
    <w:rsid w:val="0027576B"/>
    <w:rsid w:val="00276971"/>
    <w:rsid w:val="00276BFE"/>
    <w:rsid w:val="00276F8B"/>
    <w:rsid w:val="00280930"/>
    <w:rsid w:val="00280C5B"/>
    <w:rsid w:val="002818C4"/>
    <w:rsid w:val="00281F58"/>
    <w:rsid w:val="002823A4"/>
    <w:rsid w:val="002836A9"/>
    <w:rsid w:val="00283BFF"/>
    <w:rsid w:val="00286355"/>
    <w:rsid w:val="002865F6"/>
    <w:rsid w:val="00291101"/>
    <w:rsid w:val="002912C8"/>
    <w:rsid w:val="0029157B"/>
    <w:rsid w:val="00293143"/>
    <w:rsid w:val="00293237"/>
    <w:rsid w:val="00294DFB"/>
    <w:rsid w:val="00295050"/>
    <w:rsid w:val="002950A7"/>
    <w:rsid w:val="002953E1"/>
    <w:rsid w:val="0029756D"/>
    <w:rsid w:val="002A03B7"/>
    <w:rsid w:val="002A166C"/>
    <w:rsid w:val="002A2277"/>
    <w:rsid w:val="002A2E3F"/>
    <w:rsid w:val="002A342C"/>
    <w:rsid w:val="002A352B"/>
    <w:rsid w:val="002A375C"/>
    <w:rsid w:val="002A3A38"/>
    <w:rsid w:val="002A3AC4"/>
    <w:rsid w:val="002A3D98"/>
    <w:rsid w:val="002A3E85"/>
    <w:rsid w:val="002A48E3"/>
    <w:rsid w:val="002A60BA"/>
    <w:rsid w:val="002A62EC"/>
    <w:rsid w:val="002A7227"/>
    <w:rsid w:val="002A725B"/>
    <w:rsid w:val="002A75D4"/>
    <w:rsid w:val="002A79AC"/>
    <w:rsid w:val="002A7B4E"/>
    <w:rsid w:val="002B173E"/>
    <w:rsid w:val="002B36B0"/>
    <w:rsid w:val="002B5151"/>
    <w:rsid w:val="002B5845"/>
    <w:rsid w:val="002C1DC5"/>
    <w:rsid w:val="002C26B2"/>
    <w:rsid w:val="002C26EC"/>
    <w:rsid w:val="002C3643"/>
    <w:rsid w:val="002C48E3"/>
    <w:rsid w:val="002C657F"/>
    <w:rsid w:val="002C685B"/>
    <w:rsid w:val="002C6C18"/>
    <w:rsid w:val="002C736D"/>
    <w:rsid w:val="002D0023"/>
    <w:rsid w:val="002D2870"/>
    <w:rsid w:val="002D2D88"/>
    <w:rsid w:val="002D4107"/>
    <w:rsid w:val="002D4424"/>
    <w:rsid w:val="002D5CAD"/>
    <w:rsid w:val="002D6DDC"/>
    <w:rsid w:val="002E00F8"/>
    <w:rsid w:val="002E034F"/>
    <w:rsid w:val="002E288C"/>
    <w:rsid w:val="002E35FB"/>
    <w:rsid w:val="002E38B4"/>
    <w:rsid w:val="002E43BC"/>
    <w:rsid w:val="002E4B4A"/>
    <w:rsid w:val="002E562C"/>
    <w:rsid w:val="002E7913"/>
    <w:rsid w:val="002F0244"/>
    <w:rsid w:val="002F0C76"/>
    <w:rsid w:val="002F0CAD"/>
    <w:rsid w:val="002F190E"/>
    <w:rsid w:val="002F3160"/>
    <w:rsid w:val="002F3E65"/>
    <w:rsid w:val="002F5683"/>
    <w:rsid w:val="002F641C"/>
    <w:rsid w:val="002F6600"/>
    <w:rsid w:val="002F794F"/>
    <w:rsid w:val="003003FB"/>
    <w:rsid w:val="003013AB"/>
    <w:rsid w:val="003020CC"/>
    <w:rsid w:val="003029C4"/>
    <w:rsid w:val="00302CF0"/>
    <w:rsid w:val="00303BF5"/>
    <w:rsid w:val="003047E9"/>
    <w:rsid w:val="00304C0C"/>
    <w:rsid w:val="00304CAC"/>
    <w:rsid w:val="003059C2"/>
    <w:rsid w:val="00305F8D"/>
    <w:rsid w:val="00306086"/>
    <w:rsid w:val="0030612F"/>
    <w:rsid w:val="00310106"/>
    <w:rsid w:val="003114BB"/>
    <w:rsid w:val="00312FF9"/>
    <w:rsid w:val="00313F7F"/>
    <w:rsid w:val="0031417F"/>
    <w:rsid w:val="003147DE"/>
    <w:rsid w:val="00314BDE"/>
    <w:rsid w:val="0031565C"/>
    <w:rsid w:val="00316CF1"/>
    <w:rsid w:val="0032216C"/>
    <w:rsid w:val="0032231B"/>
    <w:rsid w:val="0032290A"/>
    <w:rsid w:val="003248A4"/>
    <w:rsid w:val="00325184"/>
    <w:rsid w:val="00325A82"/>
    <w:rsid w:val="003264B4"/>
    <w:rsid w:val="003268E5"/>
    <w:rsid w:val="00326EC2"/>
    <w:rsid w:val="00327FC2"/>
    <w:rsid w:val="00330290"/>
    <w:rsid w:val="00330B10"/>
    <w:rsid w:val="00331C6F"/>
    <w:rsid w:val="003329AF"/>
    <w:rsid w:val="00332B52"/>
    <w:rsid w:val="00333776"/>
    <w:rsid w:val="00334CA7"/>
    <w:rsid w:val="003353BD"/>
    <w:rsid w:val="00336580"/>
    <w:rsid w:val="00336E4B"/>
    <w:rsid w:val="003402A4"/>
    <w:rsid w:val="003410F9"/>
    <w:rsid w:val="0034160E"/>
    <w:rsid w:val="0034258E"/>
    <w:rsid w:val="00342DC7"/>
    <w:rsid w:val="0034449B"/>
    <w:rsid w:val="003445D0"/>
    <w:rsid w:val="00344C60"/>
    <w:rsid w:val="00345A70"/>
    <w:rsid w:val="00345E1E"/>
    <w:rsid w:val="003475B2"/>
    <w:rsid w:val="00350F6E"/>
    <w:rsid w:val="003539F5"/>
    <w:rsid w:val="00353DF4"/>
    <w:rsid w:val="00353E6D"/>
    <w:rsid w:val="00353F60"/>
    <w:rsid w:val="00354B1B"/>
    <w:rsid w:val="003568CA"/>
    <w:rsid w:val="0035700F"/>
    <w:rsid w:val="00357034"/>
    <w:rsid w:val="0035761B"/>
    <w:rsid w:val="00357766"/>
    <w:rsid w:val="0035793C"/>
    <w:rsid w:val="00357CB9"/>
    <w:rsid w:val="00360627"/>
    <w:rsid w:val="00360909"/>
    <w:rsid w:val="00361948"/>
    <w:rsid w:val="0036242F"/>
    <w:rsid w:val="00362B3D"/>
    <w:rsid w:val="003631C7"/>
    <w:rsid w:val="00364FF7"/>
    <w:rsid w:val="00365098"/>
    <w:rsid w:val="00365459"/>
    <w:rsid w:val="0036636A"/>
    <w:rsid w:val="003717FC"/>
    <w:rsid w:val="0037251E"/>
    <w:rsid w:val="003727AD"/>
    <w:rsid w:val="00372840"/>
    <w:rsid w:val="003736AD"/>
    <w:rsid w:val="00373E05"/>
    <w:rsid w:val="00373E68"/>
    <w:rsid w:val="00373EE3"/>
    <w:rsid w:val="0037443F"/>
    <w:rsid w:val="003745A1"/>
    <w:rsid w:val="00377012"/>
    <w:rsid w:val="00377753"/>
    <w:rsid w:val="0038007E"/>
    <w:rsid w:val="00381162"/>
    <w:rsid w:val="003811FF"/>
    <w:rsid w:val="00381BD1"/>
    <w:rsid w:val="003834D8"/>
    <w:rsid w:val="00384215"/>
    <w:rsid w:val="003856AE"/>
    <w:rsid w:val="00385B00"/>
    <w:rsid w:val="00386165"/>
    <w:rsid w:val="003861EE"/>
    <w:rsid w:val="0038675E"/>
    <w:rsid w:val="003876A7"/>
    <w:rsid w:val="00387741"/>
    <w:rsid w:val="00387E8B"/>
    <w:rsid w:val="003901A1"/>
    <w:rsid w:val="00391450"/>
    <w:rsid w:val="003918F2"/>
    <w:rsid w:val="00392AC7"/>
    <w:rsid w:val="00392DF3"/>
    <w:rsid w:val="00393693"/>
    <w:rsid w:val="003938D1"/>
    <w:rsid w:val="0039447D"/>
    <w:rsid w:val="00395300"/>
    <w:rsid w:val="00395770"/>
    <w:rsid w:val="00395E45"/>
    <w:rsid w:val="003965B2"/>
    <w:rsid w:val="00397094"/>
    <w:rsid w:val="003975B4"/>
    <w:rsid w:val="00397C4D"/>
    <w:rsid w:val="003A01E7"/>
    <w:rsid w:val="003A213B"/>
    <w:rsid w:val="003A23FA"/>
    <w:rsid w:val="003A2DF8"/>
    <w:rsid w:val="003A3B72"/>
    <w:rsid w:val="003A3BDE"/>
    <w:rsid w:val="003A3D58"/>
    <w:rsid w:val="003A49F0"/>
    <w:rsid w:val="003A7162"/>
    <w:rsid w:val="003A771B"/>
    <w:rsid w:val="003A7AC9"/>
    <w:rsid w:val="003A7BB1"/>
    <w:rsid w:val="003B14D9"/>
    <w:rsid w:val="003B1A07"/>
    <w:rsid w:val="003B49ED"/>
    <w:rsid w:val="003B4C01"/>
    <w:rsid w:val="003B616F"/>
    <w:rsid w:val="003B6B61"/>
    <w:rsid w:val="003B7F4C"/>
    <w:rsid w:val="003C089B"/>
    <w:rsid w:val="003C2BF1"/>
    <w:rsid w:val="003C3D23"/>
    <w:rsid w:val="003C487E"/>
    <w:rsid w:val="003C495B"/>
    <w:rsid w:val="003C55A4"/>
    <w:rsid w:val="003C5BED"/>
    <w:rsid w:val="003C7FC4"/>
    <w:rsid w:val="003D08BB"/>
    <w:rsid w:val="003D1B8A"/>
    <w:rsid w:val="003D2485"/>
    <w:rsid w:val="003D2534"/>
    <w:rsid w:val="003D2964"/>
    <w:rsid w:val="003D2C5D"/>
    <w:rsid w:val="003D33F0"/>
    <w:rsid w:val="003D3CB2"/>
    <w:rsid w:val="003D4226"/>
    <w:rsid w:val="003D46B8"/>
    <w:rsid w:val="003D4A16"/>
    <w:rsid w:val="003D59E6"/>
    <w:rsid w:val="003D6AC6"/>
    <w:rsid w:val="003D6C80"/>
    <w:rsid w:val="003D79BB"/>
    <w:rsid w:val="003E0A22"/>
    <w:rsid w:val="003E114D"/>
    <w:rsid w:val="003E1227"/>
    <w:rsid w:val="003E1417"/>
    <w:rsid w:val="003E224B"/>
    <w:rsid w:val="003E2569"/>
    <w:rsid w:val="003E2AC2"/>
    <w:rsid w:val="003E2B82"/>
    <w:rsid w:val="003E303E"/>
    <w:rsid w:val="003E31E1"/>
    <w:rsid w:val="003E3307"/>
    <w:rsid w:val="003E46B6"/>
    <w:rsid w:val="003E5EF0"/>
    <w:rsid w:val="003E5F53"/>
    <w:rsid w:val="003E6B4D"/>
    <w:rsid w:val="003F02C1"/>
    <w:rsid w:val="003F07A5"/>
    <w:rsid w:val="003F1640"/>
    <w:rsid w:val="003F16D8"/>
    <w:rsid w:val="003F25BB"/>
    <w:rsid w:val="003F2D04"/>
    <w:rsid w:val="003F4677"/>
    <w:rsid w:val="003F4F79"/>
    <w:rsid w:val="003F63DF"/>
    <w:rsid w:val="003F6B49"/>
    <w:rsid w:val="003F6EA6"/>
    <w:rsid w:val="003F7E9B"/>
    <w:rsid w:val="004013D2"/>
    <w:rsid w:val="0040229E"/>
    <w:rsid w:val="00402D7E"/>
    <w:rsid w:val="00402FCE"/>
    <w:rsid w:val="00403ABA"/>
    <w:rsid w:val="00403C5E"/>
    <w:rsid w:val="00403E0E"/>
    <w:rsid w:val="004047DB"/>
    <w:rsid w:val="00404BE0"/>
    <w:rsid w:val="00407CA4"/>
    <w:rsid w:val="00410D8A"/>
    <w:rsid w:val="004112D9"/>
    <w:rsid w:val="00413357"/>
    <w:rsid w:val="00413C13"/>
    <w:rsid w:val="0041425F"/>
    <w:rsid w:val="00414464"/>
    <w:rsid w:val="004173E7"/>
    <w:rsid w:val="00417BDE"/>
    <w:rsid w:val="00420E90"/>
    <w:rsid w:val="00421546"/>
    <w:rsid w:val="00422D97"/>
    <w:rsid w:val="00424CBC"/>
    <w:rsid w:val="00425485"/>
    <w:rsid w:val="00425816"/>
    <w:rsid w:val="00425AC1"/>
    <w:rsid w:val="0042699B"/>
    <w:rsid w:val="00427D0A"/>
    <w:rsid w:val="0043010D"/>
    <w:rsid w:val="00430239"/>
    <w:rsid w:val="004302EA"/>
    <w:rsid w:val="0043168C"/>
    <w:rsid w:val="00431FA8"/>
    <w:rsid w:val="00432A57"/>
    <w:rsid w:val="00433A81"/>
    <w:rsid w:val="004342E5"/>
    <w:rsid w:val="004345EE"/>
    <w:rsid w:val="0043466A"/>
    <w:rsid w:val="004349D1"/>
    <w:rsid w:val="00435887"/>
    <w:rsid w:val="004361B2"/>
    <w:rsid w:val="00436A64"/>
    <w:rsid w:val="00436BAB"/>
    <w:rsid w:val="00436C29"/>
    <w:rsid w:val="00437EAF"/>
    <w:rsid w:val="004403C8"/>
    <w:rsid w:val="00441071"/>
    <w:rsid w:val="004429D2"/>
    <w:rsid w:val="00442A89"/>
    <w:rsid w:val="00442F48"/>
    <w:rsid w:val="0044380E"/>
    <w:rsid w:val="0044394A"/>
    <w:rsid w:val="00443C44"/>
    <w:rsid w:val="00443F9D"/>
    <w:rsid w:val="00444888"/>
    <w:rsid w:val="00445B14"/>
    <w:rsid w:val="004460B9"/>
    <w:rsid w:val="00446D1A"/>
    <w:rsid w:val="00446E7B"/>
    <w:rsid w:val="00447CF1"/>
    <w:rsid w:val="00450BBC"/>
    <w:rsid w:val="00450C3A"/>
    <w:rsid w:val="00450F03"/>
    <w:rsid w:val="00450F57"/>
    <w:rsid w:val="00452350"/>
    <w:rsid w:val="00452A80"/>
    <w:rsid w:val="0045370A"/>
    <w:rsid w:val="0045399E"/>
    <w:rsid w:val="00454C36"/>
    <w:rsid w:val="00455370"/>
    <w:rsid w:val="004553FE"/>
    <w:rsid w:val="004554D3"/>
    <w:rsid w:val="00455896"/>
    <w:rsid w:val="00455D3A"/>
    <w:rsid w:val="004576A8"/>
    <w:rsid w:val="00457B93"/>
    <w:rsid w:val="00461445"/>
    <w:rsid w:val="004632B9"/>
    <w:rsid w:val="00463D26"/>
    <w:rsid w:val="0046503D"/>
    <w:rsid w:val="0046774D"/>
    <w:rsid w:val="00467B54"/>
    <w:rsid w:val="00471F97"/>
    <w:rsid w:val="004738F0"/>
    <w:rsid w:val="004743EE"/>
    <w:rsid w:val="004750D0"/>
    <w:rsid w:val="00476C94"/>
    <w:rsid w:val="00476E1E"/>
    <w:rsid w:val="00480B17"/>
    <w:rsid w:val="00480C9F"/>
    <w:rsid w:val="00480D2F"/>
    <w:rsid w:val="0048102C"/>
    <w:rsid w:val="00481B86"/>
    <w:rsid w:val="004838B8"/>
    <w:rsid w:val="00483F1B"/>
    <w:rsid w:val="0048414C"/>
    <w:rsid w:val="00485006"/>
    <w:rsid w:val="0048677D"/>
    <w:rsid w:val="0048719A"/>
    <w:rsid w:val="0048721A"/>
    <w:rsid w:val="004872A7"/>
    <w:rsid w:val="004876F6"/>
    <w:rsid w:val="00487908"/>
    <w:rsid w:val="00490C21"/>
    <w:rsid w:val="00490D11"/>
    <w:rsid w:val="004913A9"/>
    <w:rsid w:val="00492D2E"/>
    <w:rsid w:val="00494329"/>
    <w:rsid w:val="00494814"/>
    <w:rsid w:val="00496E6B"/>
    <w:rsid w:val="004A180B"/>
    <w:rsid w:val="004A36E5"/>
    <w:rsid w:val="004A39E4"/>
    <w:rsid w:val="004A4412"/>
    <w:rsid w:val="004A552C"/>
    <w:rsid w:val="004A6A6D"/>
    <w:rsid w:val="004A70BD"/>
    <w:rsid w:val="004A73B0"/>
    <w:rsid w:val="004B0D13"/>
    <w:rsid w:val="004B1874"/>
    <w:rsid w:val="004B1E29"/>
    <w:rsid w:val="004B1FA0"/>
    <w:rsid w:val="004B28C1"/>
    <w:rsid w:val="004B7E8E"/>
    <w:rsid w:val="004B7E9C"/>
    <w:rsid w:val="004C0285"/>
    <w:rsid w:val="004C074A"/>
    <w:rsid w:val="004C1B7E"/>
    <w:rsid w:val="004C2005"/>
    <w:rsid w:val="004C3208"/>
    <w:rsid w:val="004C3C5F"/>
    <w:rsid w:val="004C3CBE"/>
    <w:rsid w:val="004C433C"/>
    <w:rsid w:val="004C6D5D"/>
    <w:rsid w:val="004D0019"/>
    <w:rsid w:val="004D0457"/>
    <w:rsid w:val="004D1D64"/>
    <w:rsid w:val="004D47C7"/>
    <w:rsid w:val="004D5407"/>
    <w:rsid w:val="004D612D"/>
    <w:rsid w:val="004D736E"/>
    <w:rsid w:val="004D7875"/>
    <w:rsid w:val="004D7B3A"/>
    <w:rsid w:val="004E0BBA"/>
    <w:rsid w:val="004E2A6E"/>
    <w:rsid w:val="004E4168"/>
    <w:rsid w:val="004E4331"/>
    <w:rsid w:val="004E45F3"/>
    <w:rsid w:val="004E4D46"/>
    <w:rsid w:val="004E6583"/>
    <w:rsid w:val="004E65E4"/>
    <w:rsid w:val="004E7CD2"/>
    <w:rsid w:val="004E7E8A"/>
    <w:rsid w:val="004F05C8"/>
    <w:rsid w:val="004F17E0"/>
    <w:rsid w:val="004F2064"/>
    <w:rsid w:val="004F4BCE"/>
    <w:rsid w:val="004F6040"/>
    <w:rsid w:val="00500D41"/>
    <w:rsid w:val="00501195"/>
    <w:rsid w:val="0050193D"/>
    <w:rsid w:val="00501D12"/>
    <w:rsid w:val="00502C69"/>
    <w:rsid w:val="00503CC3"/>
    <w:rsid w:val="00503E17"/>
    <w:rsid w:val="0050402C"/>
    <w:rsid w:val="005041EE"/>
    <w:rsid w:val="005046D2"/>
    <w:rsid w:val="0050624E"/>
    <w:rsid w:val="00506EC7"/>
    <w:rsid w:val="0050703B"/>
    <w:rsid w:val="0050727A"/>
    <w:rsid w:val="0050739E"/>
    <w:rsid w:val="0050747B"/>
    <w:rsid w:val="00510615"/>
    <w:rsid w:val="00510886"/>
    <w:rsid w:val="00511843"/>
    <w:rsid w:val="005127AC"/>
    <w:rsid w:val="00513AC0"/>
    <w:rsid w:val="00513CC8"/>
    <w:rsid w:val="00515869"/>
    <w:rsid w:val="00515F5E"/>
    <w:rsid w:val="00516649"/>
    <w:rsid w:val="00516F3D"/>
    <w:rsid w:val="00520245"/>
    <w:rsid w:val="00520382"/>
    <w:rsid w:val="005204F0"/>
    <w:rsid w:val="005221A9"/>
    <w:rsid w:val="005226AB"/>
    <w:rsid w:val="00522D97"/>
    <w:rsid w:val="0052363E"/>
    <w:rsid w:val="00524139"/>
    <w:rsid w:val="00524CBA"/>
    <w:rsid w:val="00524E7A"/>
    <w:rsid w:val="00525999"/>
    <w:rsid w:val="00525BA7"/>
    <w:rsid w:val="00525F97"/>
    <w:rsid w:val="005272E1"/>
    <w:rsid w:val="00527FA2"/>
    <w:rsid w:val="00530A6A"/>
    <w:rsid w:val="0053108D"/>
    <w:rsid w:val="00536717"/>
    <w:rsid w:val="00536C11"/>
    <w:rsid w:val="00536F6B"/>
    <w:rsid w:val="00537917"/>
    <w:rsid w:val="005423E9"/>
    <w:rsid w:val="00543A3F"/>
    <w:rsid w:val="0054410A"/>
    <w:rsid w:val="005441C0"/>
    <w:rsid w:val="005444A1"/>
    <w:rsid w:val="005445C8"/>
    <w:rsid w:val="00544CB0"/>
    <w:rsid w:val="00545EE6"/>
    <w:rsid w:val="00546C2E"/>
    <w:rsid w:val="005501D1"/>
    <w:rsid w:val="00550FE5"/>
    <w:rsid w:val="00551156"/>
    <w:rsid w:val="005513D0"/>
    <w:rsid w:val="0055171A"/>
    <w:rsid w:val="005518F5"/>
    <w:rsid w:val="00552186"/>
    <w:rsid w:val="00552CAE"/>
    <w:rsid w:val="00553265"/>
    <w:rsid w:val="005536BB"/>
    <w:rsid w:val="00554C7C"/>
    <w:rsid w:val="00554E46"/>
    <w:rsid w:val="00554EEB"/>
    <w:rsid w:val="00556300"/>
    <w:rsid w:val="0056003D"/>
    <w:rsid w:val="00560167"/>
    <w:rsid w:val="0056133A"/>
    <w:rsid w:val="005625A2"/>
    <w:rsid w:val="00562953"/>
    <w:rsid w:val="00563726"/>
    <w:rsid w:val="00563B64"/>
    <w:rsid w:val="00564199"/>
    <w:rsid w:val="00565848"/>
    <w:rsid w:val="0056681E"/>
    <w:rsid w:val="005673DA"/>
    <w:rsid w:val="005677A3"/>
    <w:rsid w:val="0057060C"/>
    <w:rsid w:val="00570BB8"/>
    <w:rsid w:val="005723C7"/>
    <w:rsid w:val="00572D5F"/>
    <w:rsid w:val="005758EF"/>
    <w:rsid w:val="00575CBF"/>
    <w:rsid w:val="00575CD1"/>
    <w:rsid w:val="00575E6F"/>
    <w:rsid w:val="0057629B"/>
    <w:rsid w:val="0057694B"/>
    <w:rsid w:val="00580393"/>
    <w:rsid w:val="005818E2"/>
    <w:rsid w:val="005826F9"/>
    <w:rsid w:val="00582C1C"/>
    <w:rsid w:val="00584C6B"/>
    <w:rsid w:val="00585BAA"/>
    <w:rsid w:val="005865CA"/>
    <w:rsid w:val="00587259"/>
    <w:rsid w:val="0058757B"/>
    <w:rsid w:val="00587AD0"/>
    <w:rsid w:val="00587C26"/>
    <w:rsid w:val="00587F63"/>
    <w:rsid w:val="005900E2"/>
    <w:rsid w:val="00590632"/>
    <w:rsid w:val="0059069E"/>
    <w:rsid w:val="00591B8E"/>
    <w:rsid w:val="00593687"/>
    <w:rsid w:val="00594C72"/>
    <w:rsid w:val="005955AA"/>
    <w:rsid w:val="00595FCA"/>
    <w:rsid w:val="00597414"/>
    <w:rsid w:val="00597AFA"/>
    <w:rsid w:val="00597DB9"/>
    <w:rsid w:val="005A1F13"/>
    <w:rsid w:val="005A2685"/>
    <w:rsid w:val="005A33F0"/>
    <w:rsid w:val="005A3E3E"/>
    <w:rsid w:val="005A3F94"/>
    <w:rsid w:val="005A58FA"/>
    <w:rsid w:val="005A627A"/>
    <w:rsid w:val="005A6433"/>
    <w:rsid w:val="005A6882"/>
    <w:rsid w:val="005A7AF4"/>
    <w:rsid w:val="005B0A94"/>
    <w:rsid w:val="005B0E94"/>
    <w:rsid w:val="005B1957"/>
    <w:rsid w:val="005B22A8"/>
    <w:rsid w:val="005B3478"/>
    <w:rsid w:val="005B6936"/>
    <w:rsid w:val="005C0440"/>
    <w:rsid w:val="005C0CED"/>
    <w:rsid w:val="005C5DAB"/>
    <w:rsid w:val="005C5E36"/>
    <w:rsid w:val="005C61C6"/>
    <w:rsid w:val="005C6205"/>
    <w:rsid w:val="005C6AF1"/>
    <w:rsid w:val="005C6DD2"/>
    <w:rsid w:val="005C71F9"/>
    <w:rsid w:val="005C72E0"/>
    <w:rsid w:val="005C7841"/>
    <w:rsid w:val="005D1C9E"/>
    <w:rsid w:val="005D2C5D"/>
    <w:rsid w:val="005D3BC2"/>
    <w:rsid w:val="005D3EC4"/>
    <w:rsid w:val="005D44D5"/>
    <w:rsid w:val="005D461A"/>
    <w:rsid w:val="005D4EFA"/>
    <w:rsid w:val="005D5ABF"/>
    <w:rsid w:val="005D5BAD"/>
    <w:rsid w:val="005D5C67"/>
    <w:rsid w:val="005D5F50"/>
    <w:rsid w:val="005D664C"/>
    <w:rsid w:val="005E1784"/>
    <w:rsid w:val="005E203B"/>
    <w:rsid w:val="005E208A"/>
    <w:rsid w:val="005E2D67"/>
    <w:rsid w:val="005E3B89"/>
    <w:rsid w:val="005E453D"/>
    <w:rsid w:val="005E523E"/>
    <w:rsid w:val="005E547E"/>
    <w:rsid w:val="005E58E9"/>
    <w:rsid w:val="005E6D43"/>
    <w:rsid w:val="005E7515"/>
    <w:rsid w:val="005E77C1"/>
    <w:rsid w:val="005F1D51"/>
    <w:rsid w:val="005F1ECA"/>
    <w:rsid w:val="005F1EFB"/>
    <w:rsid w:val="005F202A"/>
    <w:rsid w:val="005F2689"/>
    <w:rsid w:val="005F2CEB"/>
    <w:rsid w:val="005F6898"/>
    <w:rsid w:val="005F78B9"/>
    <w:rsid w:val="00600BD2"/>
    <w:rsid w:val="00605439"/>
    <w:rsid w:val="006060CE"/>
    <w:rsid w:val="00607A71"/>
    <w:rsid w:val="00607F29"/>
    <w:rsid w:val="006114CE"/>
    <w:rsid w:val="00612883"/>
    <w:rsid w:val="006128B2"/>
    <w:rsid w:val="00612ADC"/>
    <w:rsid w:val="006133FF"/>
    <w:rsid w:val="00613ECA"/>
    <w:rsid w:val="00615C18"/>
    <w:rsid w:val="00616DED"/>
    <w:rsid w:val="00617141"/>
    <w:rsid w:val="00617200"/>
    <w:rsid w:val="0062026C"/>
    <w:rsid w:val="00621503"/>
    <w:rsid w:val="00622E10"/>
    <w:rsid w:val="006235E5"/>
    <w:rsid w:val="006241F7"/>
    <w:rsid w:val="006241F8"/>
    <w:rsid w:val="00624A4B"/>
    <w:rsid w:val="0062577E"/>
    <w:rsid w:val="00627C0E"/>
    <w:rsid w:val="00627D44"/>
    <w:rsid w:val="00627ECC"/>
    <w:rsid w:val="00631DA8"/>
    <w:rsid w:val="00632A15"/>
    <w:rsid w:val="0063316A"/>
    <w:rsid w:val="0063431A"/>
    <w:rsid w:val="00634504"/>
    <w:rsid w:val="00635228"/>
    <w:rsid w:val="00637066"/>
    <w:rsid w:val="006377D8"/>
    <w:rsid w:val="00637BE3"/>
    <w:rsid w:val="00640BE0"/>
    <w:rsid w:val="00641589"/>
    <w:rsid w:val="00642014"/>
    <w:rsid w:val="00644183"/>
    <w:rsid w:val="00644E09"/>
    <w:rsid w:val="006451A3"/>
    <w:rsid w:val="0064561B"/>
    <w:rsid w:val="00647BAC"/>
    <w:rsid w:val="00652322"/>
    <w:rsid w:val="0065233D"/>
    <w:rsid w:val="006524B9"/>
    <w:rsid w:val="006534B6"/>
    <w:rsid w:val="0065369B"/>
    <w:rsid w:val="00654909"/>
    <w:rsid w:val="00655902"/>
    <w:rsid w:val="00655C9A"/>
    <w:rsid w:val="00656485"/>
    <w:rsid w:val="006611BB"/>
    <w:rsid w:val="0066145A"/>
    <w:rsid w:val="00662536"/>
    <w:rsid w:val="00663C3C"/>
    <w:rsid w:val="00663C86"/>
    <w:rsid w:val="00664326"/>
    <w:rsid w:val="006649EB"/>
    <w:rsid w:val="006669FF"/>
    <w:rsid w:val="006709A8"/>
    <w:rsid w:val="0067145A"/>
    <w:rsid w:val="00672513"/>
    <w:rsid w:val="00672988"/>
    <w:rsid w:val="00673D72"/>
    <w:rsid w:val="00673FBD"/>
    <w:rsid w:val="0067455D"/>
    <w:rsid w:val="0067602B"/>
    <w:rsid w:val="00676499"/>
    <w:rsid w:val="00676D8C"/>
    <w:rsid w:val="00680C13"/>
    <w:rsid w:val="006814DD"/>
    <w:rsid w:val="0068168C"/>
    <w:rsid w:val="00682658"/>
    <w:rsid w:val="00682D50"/>
    <w:rsid w:val="00683181"/>
    <w:rsid w:val="00683407"/>
    <w:rsid w:val="00683C7B"/>
    <w:rsid w:val="0068679B"/>
    <w:rsid w:val="00686F32"/>
    <w:rsid w:val="0068791E"/>
    <w:rsid w:val="00687C23"/>
    <w:rsid w:val="006931D9"/>
    <w:rsid w:val="006941D9"/>
    <w:rsid w:val="00695216"/>
    <w:rsid w:val="006955A3"/>
    <w:rsid w:val="006965D8"/>
    <w:rsid w:val="006A16A8"/>
    <w:rsid w:val="006A16B8"/>
    <w:rsid w:val="006A26C5"/>
    <w:rsid w:val="006A3902"/>
    <w:rsid w:val="006A5647"/>
    <w:rsid w:val="006A5850"/>
    <w:rsid w:val="006A59B3"/>
    <w:rsid w:val="006A695E"/>
    <w:rsid w:val="006A70B5"/>
    <w:rsid w:val="006A7E1C"/>
    <w:rsid w:val="006B09C5"/>
    <w:rsid w:val="006B0A31"/>
    <w:rsid w:val="006B0C4D"/>
    <w:rsid w:val="006B0CC6"/>
    <w:rsid w:val="006B1CEB"/>
    <w:rsid w:val="006B3564"/>
    <w:rsid w:val="006B4822"/>
    <w:rsid w:val="006B48FF"/>
    <w:rsid w:val="006B5637"/>
    <w:rsid w:val="006B6375"/>
    <w:rsid w:val="006B6C52"/>
    <w:rsid w:val="006C000A"/>
    <w:rsid w:val="006C061C"/>
    <w:rsid w:val="006C0AA8"/>
    <w:rsid w:val="006C3E49"/>
    <w:rsid w:val="006C4114"/>
    <w:rsid w:val="006C4D26"/>
    <w:rsid w:val="006C4E08"/>
    <w:rsid w:val="006C5190"/>
    <w:rsid w:val="006C725D"/>
    <w:rsid w:val="006C7A65"/>
    <w:rsid w:val="006C7BAD"/>
    <w:rsid w:val="006D0DD0"/>
    <w:rsid w:val="006D10D9"/>
    <w:rsid w:val="006D15D4"/>
    <w:rsid w:val="006D166C"/>
    <w:rsid w:val="006D22CF"/>
    <w:rsid w:val="006D29DA"/>
    <w:rsid w:val="006D2B90"/>
    <w:rsid w:val="006D2BB2"/>
    <w:rsid w:val="006D306E"/>
    <w:rsid w:val="006D3649"/>
    <w:rsid w:val="006D4DD0"/>
    <w:rsid w:val="006D63B6"/>
    <w:rsid w:val="006D6496"/>
    <w:rsid w:val="006D68BA"/>
    <w:rsid w:val="006D6EBD"/>
    <w:rsid w:val="006E0447"/>
    <w:rsid w:val="006E159B"/>
    <w:rsid w:val="006E1BB6"/>
    <w:rsid w:val="006E1DFD"/>
    <w:rsid w:val="006E2596"/>
    <w:rsid w:val="006E2FEA"/>
    <w:rsid w:val="006E3432"/>
    <w:rsid w:val="006E393D"/>
    <w:rsid w:val="006E42DF"/>
    <w:rsid w:val="006E4876"/>
    <w:rsid w:val="006E5D79"/>
    <w:rsid w:val="006F1996"/>
    <w:rsid w:val="006F2E68"/>
    <w:rsid w:val="006F33DA"/>
    <w:rsid w:val="006F3718"/>
    <w:rsid w:val="006F4106"/>
    <w:rsid w:val="006F4606"/>
    <w:rsid w:val="006F4965"/>
    <w:rsid w:val="006F5CD1"/>
    <w:rsid w:val="006F7DD5"/>
    <w:rsid w:val="00700286"/>
    <w:rsid w:val="00701724"/>
    <w:rsid w:val="00702265"/>
    <w:rsid w:val="00702A1A"/>
    <w:rsid w:val="00702EA7"/>
    <w:rsid w:val="0070325F"/>
    <w:rsid w:val="00704FED"/>
    <w:rsid w:val="00705520"/>
    <w:rsid w:val="00705B43"/>
    <w:rsid w:val="007060B2"/>
    <w:rsid w:val="00707151"/>
    <w:rsid w:val="00710414"/>
    <w:rsid w:val="00710676"/>
    <w:rsid w:val="00710E7C"/>
    <w:rsid w:val="00711D5A"/>
    <w:rsid w:val="007151CF"/>
    <w:rsid w:val="007158BF"/>
    <w:rsid w:val="0071631B"/>
    <w:rsid w:val="00717385"/>
    <w:rsid w:val="007177DB"/>
    <w:rsid w:val="00717CCF"/>
    <w:rsid w:val="0072348C"/>
    <w:rsid w:val="007240D0"/>
    <w:rsid w:val="00725E44"/>
    <w:rsid w:val="00727D18"/>
    <w:rsid w:val="0073310F"/>
    <w:rsid w:val="007331D5"/>
    <w:rsid w:val="0073356A"/>
    <w:rsid w:val="007342CC"/>
    <w:rsid w:val="00734647"/>
    <w:rsid w:val="00736A38"/>
    <w:rsid w:val="00736C27"/>
    <w:rsid w:val="007401D7"/>
    <w:rsid w:val="00740B4E"/>
    <w:rsid w:val="0074177A"/>
    <w:rsid w:val="0074278B"/>
    <w:rsid w:val="00742B28"/>
    <w:rsid w:val="007440E5"/>
    <w:rsid w:val="007441DB"/>
    <w:rsid w:val="007445A8"/>
    <w:rsid w:val="00744704"/>
    <w:rsid w:val="0074591D"/>
    <w:rsid w:val="00745B67"/>
    <w:rsid w:val="00747F61"/>
    <w:rsid w:val="00750210"/>
    <w:rsid w:val="00750536"/>
    <w:rsid w:val="00750D63"/>
    <w:rsid w:val="007520CF"/>
    <w:rsid w:val="00752770"/>
    <w:rsid w:val="00753545"/>
    <w:rsid w:val="00753729"/>
    <w:rsid w:val="0075395E"/>
    <w:rsid w:val="00755850"/>
    <w:rsid w:val="00756BE0"/>
    <w:rsid w:val="00757F1C"/>
    <w:rsid w:val="007643E2"/>
    <w:rsid w:val="00765A9B"/>
    <w:rsid w:val="00766FC7"/>
    <w:rsid w:val="00767F2D"/>
    <w:rsid w:val="00777081"/>
    <w:rsid w:val="00777BEB"/>
    <w:rsid w:val="00781402"/>
    <w:rsid w:val="007824B1"/>
    <w:rsid w:val="00782A76"/>
    <w:rsid w:val="00782DCD"/>
    <w:rsid w:val="007832EC"/>
    <w:rsid w:val="00783519"/>
    <w:rsid w:val="00783687"/>
    <w:rsid w:val="007848D4"/>
    <w:rsid w:val="00784D2A"/>
    <w:rsid w:val="007864A1"/>
    <w:rsid w:val="007867C7"/>
    <w:rsid w:val="0078757C"/>
    <w:rsid w:val="0078772D"/>
    <w:rsid w:val="00790A56"/>
    <w:rsid w:val="00792576"/>
    <w:rsid w:val="00792C62"/>
    <w:rsid w:val="00793656"/>
    <w:rsid w:val="00793960"/>
    <w:rsid w:val="00793AB8"/>
    <w:rsid w:val="00795E11"/>
    <w:rsid w:val="007973F2"/>
    <w:rsid w:val="007A071E"/>
    <w:rsid w:val="007A0ADE"/>
    <w:rsid w:val="007A0C61"/>
    <w:rsid w:val="007A0DDA"/>
    <w:rsid w:val="007A132E"/>
    <w:rsid w:val="007A5244"/>
    <w:rsid w:val="007A5645"/>
    <w:rsid w:val="007A5B6D"/>
    <w:rsid w:val="007A5F0D"/>
    <w:rsid w:val="007A604D"/>
    <w:rsid w:val="007A7C03"/>
    <w:rsid w:val="007B0D6A"/>
    <w:rsid w:val="007B124E"/>
    <w:rsid w:val="007B3B47"/>
    <w:rsid w:val="007B4F19"/>
    <w:rsid w:val="007B529B"/>
    <w:rsid w:val="007B5643"/>
    <w:rsid w:val="007B59EF"/>
    <w:rsid w:val="007B5BF7"/>
    <w:rsid w:val="007B5C62"/>
    <w:rsid w:val="007B7677"/>
    <w:rsid w:val="007C04C3"/>
    <w:rsid w:val="007C05D6"/>
    <w:rsid w:val="007C0A03"/>
    <w:rsid w:val="007C10B6"/>
    <w:rsid w:val="007C11CB"/>
    <w:rsid w:val="007C1E25"/>
    <w:rsid w:val="007C31C9"/>
    <w:rsid w:val="007C3223"/>
    <w:rsid w:val="007C32BF"/>
    <w:rsid w:val="007C3688"/>
    <w:rsid w:val="007C3B26"/>
    <w:rsid w:val="007C4D94"/>
    <w:rsid w:val="007C5358"/>
    <w:rsid w:val="007C6B82"/>
    <w:rsid w:val="007C7ABB"/>
    <w:rsid w:val="007D0262"/>
    <w:rsid w:val="007D11F9"/>
    <w:rsid w:val="007D1819"/>
    <w:rsid w:val="007D1FF2"/>
    <w:rsid w:val="007D2C7C"/>
    <w:rsid w:val="007D3DD2"/>
    <w:rsid w:val="007D40A0"/>
    <w:rsid w:val="007D63C9"/>
    <w:rsid w:val="007D67A7"/>
    <w:rsid w:val="007D706C"/>
    <w:rsid w:val="007D7E9E"/>
    <w:rsid w:val="007E01CB"/>
    <w:rsid w:val="007E0D8A"/>
    <w:rsid w:val="007E1196"/>
    <w:rsid w:val="007E3BF6"/>
    <w:rsid w:val="007E3C25"/>
    <w:rsid w:val="007E4A17"/>
    <w:rsid w:val="007E61B2"/>
    <w:rsid w:val="007E640A"/>
    <w:rsid w:val="007E6CB7"/>
    <w:rsid w:val="007E6DB9"/>
    <w:rsid w:val="007E6EEB"/>
    <w:rsid w:val="007E71A3"/>
    <w:rsid w:val="007E7356"/>
    <w:rsid w:val="007E7453"/>
    <w:rsid w:val="007F1D30"/>
    <w:rsid w:val="007F36EC"/>
    <w:rsid w:val="007F3872"/>
    <w:rsid w:val="007F3923"/>
    <w:rsid w:val="007F3ADF"/>
    <w:rsid w:val="007F3E07"/>
    <w:rsid w:val="007F45C0"/>
    <w:rsid w:val="007F5330"/>
    <w:rsid w:val="007F6791"/>
    <w:rsid w:val="007F72B6"/>
    <w:rsid w:val="007F7F29"/>
    <w:rsid w:val="00803D20"/>
    <w:rsid w:val="00804451"/>
    <w:rsid w:val="00805652"/>
    <w:rsid w:val="00806656"/>
    <w:rsid w:val="00812AFF"/>
    <w:rsid w:val="00812EF5"/>
    <w:rsid w:val="008143EC"/>
    <w:rsid w:val="00814EDF"/>
    <w:rsid w:val="0081521E"/>
    <w:rsid w:val="0081689D"/>
    <w:rsid w:val="00816E51"/>
    <w:rsid w:val="00816F8F"/>
    <w:rsid w:val="0081738E"/>
    <w:rsid w:val="00820173"/>
    <w:rsid w:val="00820D25"/>
    <w:rsid w:val="00820FB0"/>
    <w:rsid w:val="00823230"/>
    <w:rsid w:val="00824C2D"/>
    <w:rsid w:val="00825B6C"/>
    <w:rsid w:val="008309CE"/>
    <w:rsid w:val="008315E9"/>
    <w:rsid w:val="00831922"/>
    <w:rsid w:val="00833400"/>
    <w:rsid w:val="00833F8B"/>
    <w:rsid w:val="00835895"/>
    <w:rsid w:val="00836C01"/>
    <w:rsid w:val="00837B11"/>
    <w:rsid w:val="00841F27"/>
    <w:rsid w:val="008421FA"/>
    <w:rsid w:val="00842304"/>
    <w:rsid w:val="008427A2"/>
    <w:rsid w:val="00842F9F"/>
    <w:rsid w:val="008431FD"/>
    <w:rsid w:val="00844F7F"/>
    <w:rsid w:val="008465DB"/>
    <w:rsid w:val="008469B8"/>
    <w:rsid w:val="00846B42"/>
    <w:rsid w:val="008475E0"/>
    <w:rsid w:val="00847C80"/>
    <w:rsid w:val="0085003A"/>
    <w:rsid w:val="00851C0A"/>
    <w:rsid w:val="00852633"/>
    <w:rsid w:val="0085275D"/>
    <w:rsid w:val="00852A62"/>
    <w:rsid w:val="0085312D"/>
    <w:rsid w:val="0085362C"/>
    <w:rsid w:val="00853C0C"/>
    <w:rsid w:val="00854CD0"/>
    <w:rsid w:val="00854D39"/>
    <w:rsid w:val="00854F8C"/>
    <w:rsid w:val="00855994"/>
    <w:rsid w:val="00855AEA"/>
    <w:rsid w:val="00856474"/>
    <w:rsid w:val="008565BB"/>
    <w:rsid w:val="00857354"/>
    <w:rsid w:val="00860057"/>
    <w:rsid w:val="00860935"/>
    <w:rsid w:val="00862D41"/>
    <w:rsid w:val="00862D80"/>
    <w:rsid w:val="00862FC8"/>
    <w:rsid w:val="008631C4"/>
    <w:rsid w:val="008634BD"/>
    <w:rsid w:val="00863A29"/>
    <w:rsid w:val="0086407F"/>
    <w:rsid w:val="008645C0"/>
    <w:rsid w:val="00864AAF"/>
    <w:rsid w:val="00866CEF"/>
    <w:rsid w:val="00867A4F"/>
    <w:rsid w:val="00867F56"/>
    <w:rsid w:val="0087081A"/>
    <w:rsid w:val="008713CF"/>
    <w:rsid w:val="008732E2"/>
    <w:rsid w:val="008733C2"/>
    <w:rsid w:val="008744E7"/>
    <w:rsid w:val="008745BE"/>
    <w:rsid w:val="00874FE2"/>
    <w:rsid w:val="0087573A"/>
    <w:rsid w:val="00881BE3"/>
    <w:rsid w:val="008828A1"/>
    <w:rsid w:val="00883041"/>
    <w:rsid w:val="00884342"/>
    <w:rsid w:val="0088486B"/>
    <w:rsid w:val="008856F9"/>
    <w:rsid w:val="00887761"/>
    <w:rsid w:val="0089121E"/>
    <w:rsid w:val="00892C02"/>
    <w:rsid w:val="00892F2C"/>
    <w:rsid w:val="0089377B"/>
    <w:rsid w:val="00894B9B"/>
    <w:rsid w:val="0089567A"/>
    <w:rsid w:val="008A0C69"/>
    <w:rsid w:val="008A2C3B"/>
    <w:rsid w:val="008A3BEB"/>
    <w:rsid w:val="008A4914"/>
    <w:rsid w:val="008A4A43"/>
    <w:rsid w:val="008A640F"/>
    <w:rsid w:val="008A73A4"/>
    <w:rsid w:val="008A7983"/>
    <w:rsid w:val="008B211F"/>
    <w:rsid w:val="008B216E"/>
    <w:rsid w:val="008B24C7"/>
    <w:rsid w:val="008B2DCD"/>
    <w:rsid w:val="008B404E"/>
    <w:rsid w:val="008B5D04"/>
    <w:rsid w:val="008B5F43"/>
    <w:rsid w:val="008B70D2"/>
    <w:rsid w:val="008C00AE"/>
    <w:rsid w:val="008C01DA"/>
    <w:rsid w:val="008C1D15"/>
    <w:rsid w:val="008C31FB"/>
    <w:rsid w:val="008C4024"/>
    <w:rsid w:val="008C49E0"/>
    <w:rsid w:val="008C4AF9"/>
    <w:rsid w:val="008C6646"/>
    <w:rsid w:val="008C6BC7"/>
    <w:rsid w:val="008C7085"/>
    <w:rsid w:val="008D2174"/>
    <w:rsid w:val="008D26D1"/>
    <w:rsid w:val="008D6680"/>
    <w:rsid w:val="008D6A69"/>
    <w:rsid w:val="008D6F71"/>
    <w:rsid w:val="008D7ABE"/>
    <w:rsid w:val="008D7F91"/>
    <w:rsid w:val="008E1380"/>
    <w:rsid w:val="008E2498"/>
    <w:rsid w:val="008E2D98"/>
    <w:rsid w:val="008E3291"/>
    <w:rsid w:val="008E4649"/>
    <w:rsid w:val="008E4C6F"/>
    <w:rsid w:val="008E5247"/>
    <w:rsid w:val="008E712F"/>
    <w:rsid w:val="008F0519"/>
    <w:rsid w:val="008F154B"/>
    <w:rsid w:val="008F161F"/>
    <w:rsid w:val="008F23C0"/>
    <w:rsid w:val="008F3525"/>
    <w:rsid w:val="008F36C3"/>
    <w:rsid w:val="008F38DA"/>
    <w:rsid w:val="008F3929"/>
    <w:rsid w:val="008F3C46"/>
    <w:rsid w:val="008F3DCF"/>
    <w:rsid w:val="008F6F58"/>
    <w:rsid w:val="008F7312"/>
    <w:rsid w:val="00900535"/>
    <w:rsid w:val="0090056B"/>
    <w:rsid w:val="009011F0"/>
    <w:rsid w:val="009012D9"/>
    <w:rsid w:val="00901489"/>
    <w:rsid w:val="00902EB2"/>
    <w:rsid w:val="00903B1A"/>
    <w:rsid w:val="00903D9B"/>
    <w:rsid w:val="009041E7"/>
    <w:rsid w:val="00910026"/>
    <w:rsid w:val="00910959"/>
    <w:rsid w:val="00910F82"/>
    <w:rsid w:val="009120EC"/>
    <w:rsid w:val="00912382"/>
    <w:rsid w:val="00913010"/>
    <w:rsid w:val="00913164"/>
    <w:rsid w:val="00913B64"/>
    <w:rsid w:val="00913F4F"/>
    <w:rsid w:val="00916904"/>
    <w:rsid w:val="009171DA"/>
    <w:rsid w:val="00917DB2"/>
    <w:rsid w:val="009201E2"/>
    <w:rsid w:val="00920375"/>
    <w:rsid w:val="009203BA"/>
    <w:rsid w:val="00920629"/>
    <w:rsid w:val="009208CA"/>
    <w:rsid w:val="00920F04"/>
    <w:rsid w:val="0092148C"/>
    <w:rsid w:val="0092390A"/>
    <w:rsid w:val="0092539E"/>
    <w:rsid w:val="00925EF2"/>
    <w:rsid w:val="00925FF8"/>
    <w:rsid w:val="0092686E"/>
    <w:rsid w:val="00930F39"/>
    <w:rsid w:val="00931CBD"/>
    <w:rsid w:val="00932696"/>
    <w:rsid w:val="00932D78"/>
    <w:rsid w:val="00934DFE"/>
    <w:rsid w:val="0093563F"/>
    <w:rsid w:val="0093578D"/>
    <w:rsid w:val="00936F03"/>
    <w:rsid w:val="00937683"/>
    <w:rsid w:val="00940460"/>
    <w:rsid w:val="00940746"/>
    <w:rsid w:val="009413AF"/>
    <w:rsid w:val="0094268C"/>
    <w:rsid w:val="00942983"/>
    <w:rsid w:val="009435D7"/>
    <w:rsid w:val="0094390D"/>
    <w:rsid w:val="00943EBC"/>
    <w:rsid w:val="009466C7"/>
    <w:rsid w:val="009500CD"/>
    <w:rsid w:val="00953EDD"/>
    <w:rsid w:val="00954889"/>
    <w:rsid w:val="00954D68"/>
    <w:rsid w:val="00956975"/>
    <w:rsid w:val="00957724"/>
    <w:rsid w:val="00960FD3"/>
    <w:rsid w:val="009615D5"/>
    <w:rsid w:val="00964630"/>
    <w:rsid w:val="00966457"/>
    <w:rsid w:val="0096762A"/>
    <w:rsid w:val="00967D05"/>
    <w:rsid w:val="00971E72"/>
    <w:rsid w:val="00972358"/>
    <w:rsid w:val="009734C1"/>
    <w:rsid w:val="00973E82"/>
    <w:rsid w:val="00974AFC"/>
    <w:rsid w:val="0097525F"/>
    <w:rsid w:val="00975C44"/>
    <w:rsid w:val="00977F0D"/>
    <w:rsid w:val="00982708"/>
    <w:rsid w:val="00982985"/>
    <w:rsid w:val="009844B9"/>
    <w:rsid w:val="00984CB5"/>
    <w:rsid w:val="00985790"/>
    <w:rsid w:val="009869DB"/>
    <w:rsid w:val="0098705B"/>
    <w:rsid w:val="00987A27"/>
    <w:rsid w:val="009910B3"/>
    <w:rsid w:val="009912B8"/>
    <w:rsid w:val="009924D2"/>
    <w:rsid w:val="0099471C"/>
    <w:rsid w:val="00995701"/>
    <w:rsid w:val="00996031"/>
    <w:rsid w:val="00996181"/>
    <w:rsid w:val="00996414"/>
    <w:rsid w:val="0099696F"/>
    <w:rsid w:val="00997267"/>
    <w:rsid w:val="0099797D"/>
    <w:rsid w:val="009A1489"/>
    <w:rsid w:val="009A16B8"/>
    <w:rsid w:val="009A1E63"/>
    <w:rsid w:val="009A2B56"/>
    <w:rsid w:val="009A3148"/>
    <w:rsid w:val="009A4E84"/>
    <w:rsid w:val="009A50F2"/>
    <w:rsid w:val="009A5C0C"/>
    <w:rsid w:val="009A67E6"/>
    <w:rsid w:val="009A7E0A"/>
    <w:rsid w:val="009B00E9"/>
    <w:rsid w:val="009B11E7"/>
    <w:rsid w:val="009B2AEE"/>
    <w:rsid w:val="009B31BE"/>
    <w:rsid w:val="009B381B"/>
    <w:rsid w:val="009B513C"/>
    <w:rsid w:val="009B5675"/>
    <w:rsid w:val="009B66A8"/>
    <w:rsid w:val="009B670F"/>
    <w:rsid w:val="009B68E3"/>
    <w:rsid w:val="009B7BA2"/>
    <w:rsid w:val="009B7DC2"/>
    <w:rsid w:val="009B7DD1"/>
    <w:rsid w:val="009C1C57"/>
    <w:rsid w:val="009C3123"/>
    <w:rsid w:val="009C35C3"/>
    <w:rsid w:val="009C3843"/>
    <w:rsid w:val="009C3C8E"/>
    <w:rsid w:val="009C4810"/>
    <w:rsid w:val="009C4A8B"/>
    <w:rsid w:val="009C4C06"/>
    <w:rsid w:val="009C4EB7"/>
    <w:rsid w:val="009C68B7"/>
    <w:rsid w:val="009C7060"/>
    <w:rsid w:val="009C7F0B"/>
    <w:rsid w:val="009C7F55"/>
    <w:rsid w:val="009D0D9A"/>
    <w:rsid w:val="009D3455"/>
    <w:rsid w:val="009D3D16"/>
    <w:rsid w:val="009D4C89"/>
    <w:rsid w:val="009D5361"/>
    <w:rsid w:val="009D589B"/>
    <w:rsid w:val="009D5AC4"/>
    <w:rsid w:val="009D5CAB"/>
    <w:rsid w:val="009D7869"/>
    <w:rsid w:val="009E036B"/>
    <w:rsid w:val="009E209A"/>
    <w:rsid w:val="009E3D58"/>
    <w:rsid w:val="009E3E8E"/>
    <w:rsid w:val="009E5FC6"/>
    <w:rsid w:val="009E6280"/>
    <w:rsid w:val="009E65D8"/>
    <w:rsid w:val="009F1A34"/>
    <w:rsid w:val="009F234D"/>
    <w:rsid w:val="009F2824"/>
    <w:rsid w:val="009F3FE3"/>
    <w:rsid w:val="009F40DB"/>
    <w:rsid w:val="009F4180"/>
    <w:rsid w:val="009F4902"/>
    <w:rsid w:val="009F6BAE"/>
    <w:rsid w:val="009F6D6D"/>
    <w:rsid w:val="009F6E43"/>
    <w:rsid w:val="009F79B7"/>
    <w:rsid w:val="009F7D40"/>
    <w:rsid w:val="00A00C8B"/>
    <w:rsid w:val="00A0138C"/>
    <w:rsid w:val="00A01FAA"/>
    <w:rsid w:val="00A021B2"/>
    <w:rsid w:val="00A02F24"/>
    <w:rsid w:val="00A04B1E"/>
    <w:rsid w:val="00A05574"/>
    <w:rsid w:val="00A065BB"/>
    <w:rsid w:val="00A06841"/>
    <w:rsid w:val="00A06AF1"/>
    <w:rsid w:val="00A075C3"/>
    <w:rsid w:val="00A07638"/>
    <w:rsid w:val="00A109A9"/>
    <w:rsid w:val="00A10E1A"/>
    <w:rsid w:val="00A10FBC"/>
    <w:rsid w:val="00A126F8"/>
    <w:rsid w:val="00A135E9"/>
    <w:rsid w:val="00A146F2"/>
    <w:rsid w:val="00A15532"/>
    <w:rsid w:val="00A155C4"/>
    <w:rsid w:val="00A21009"/>
    <w:rsid w:val="00A212B3"/>
    <w:rsid w:val="00A2147B"/>
    <w:rsid w:val="00A21E02"/>
    <w:rsid w:val="00A22DB2"/>
    <w:rsid w:val="00A238DB"/>
    <w:rsid w:val="00A23DB1"/>
    <w:rsid w:val="00A23DF1"/>
    <w:rsid w:val="00A23FBE"/>
    <w:rsid w:val="00A24B3E"/>
    <w:rsid w:val="00A24FCA"/>
    <w:rsid w:val="00A25B43"/>
    <w:rsid w:val="00A27480"/>
    <w:rsid w:val="00A27564"/>
    <w:rsid w:val="00A27B71"/>
    <w:rsid w:val="00A30C96"/>
    <w:rsid w:val="00A31702"/>
    <w:rsid w:val="00A318CA"/>
    <w:rsid w:val="00A32327"/>
    <w:rsid w:val="00A33CDF"/>
    <w:rsid w:val="00A357C8"/>
    <w:rsid w:val="00A35A64"/>
    <w:rsid w:val="00A3739B"/>
    <w:rsid w:val="00A37EC4"/>
    <w:rsid w:val="00A42611"/>
    <w:rsid w:val="00A4319F"/>
    <w:rsid w:val="00A43E17"/>
    <w:rsid w:val="00A4445B"/>
    <w:rsid w:val="00A4464C"/>
    <w:rsid w:val="00A447E3"/>
    <w:rsid w:val="00A44DBB"/>
    <w:rsid w:val="00A46A58"/>
    <w:rsid w:val="00A46FDE"/>
    <w:rsid w:val="00A471E0"/>
    <w:rsid w:val="00A50286"/>
    <w:rsid w:val="00A52C3D"/>
    <w:rsid w:val="00A53057"/>
    <w:rsid w:val="00A5392D"/>
    <w:rsid w:val="00A53C1C"/>
    <w:rsid w:val="00A5465C"/>
    <w:rsid w:val="00A5538E"/>
    <w:rsid w:val="00A556F9"/>
    <w:rsid w:val="00A55CE2"/>
    <w:rsid w:val="00A573CD"/>
    <w:rsid w:val="00A57AA8"/>
    <w:rsid w:val="00A57BE5"/>
    <w:rsid w:val="00A57E61"/>
    <w:rsid w:val="00A60ADB"/>
    <w:rsid w:val="00A618C7"/>
    <w:rsid w:val="00A61C63"/>
    <w:rsid w:val="00A62730"/>
    <w:rsid w:val="00A63A13"/>
    <w:rsid w:val="00A63B2D"/>
    <w:rsid w:val="00A64CAB"/>
    <w:rsid w:val="00A66054"/>
    <w:rsid w:val="00A711AE"/>
    <w:rsid w:val="00A7135C"/>
    <w:rsid w:val="00A72F61"/>
    <w:rsid w:val="00A7303F"/>
    <w:rsid w:val="00A74849"/>
    <w:rsid w:val="00A74947"/>
    <w:rsid w:val="00A749B9"/>
    <w:rsid w:val="00A74E8A"/>
    <w:rsid w:val="00A7609B"/>
    <w:rsid w:val="00A76380"/>
    <w:rsid w:val="00A76BD4"/>
    <w:rsid w:val="00A77425"/>
    <w:rsid w:val="00A77A19"/>
    <w:rsid w:val="00A80154"/>
    <w:rsid w:val="00A80ECE"/>
    <w:rsid w:val="00A81398"/>
    <w:rsid w:val="00A82636"/>
    <w:rsid w:val="00A83207"/>
    <w:rsid w:val="00A837E0"/>
    <w:rsid w:val="00A84BE2"/>
    <w:rsid w:val="00A84D3A"/>
    <w:rsid w:val="00A84F60"/>
    <w:rsid w:val="00A85979"/>
    <w:rsid w:val="00A869F7"/>
    <w:rsid w:val="00A86CA2"/>
    <w:rsid w:val="00A87241"/>
    <w:rsid w:val="00A87688"/>
    <w:rsid w:val="00A87CD3"/>
    <w:rsid w:val="00A92C4B"/>
    <w:rsid w:val="00A93264"/>
    <w:rsid w:val="00A940DB"/>
    <w:rsid w:val="00A95604"/>
    <w:rsid w:val="00A9668A"/>
    <w:rsid w:val="00A96E2B"/>
    <w:rsid w:val="00A97424"/>
    <w:rsid w:val="00A97596"/>
    <w:rsid w:val="00AA05FF"/>
    <w:rsid w:val="00AA16AE"/>
    <w:rsid w:val="00AA2610"/>
    <w:rsid w:val="00AA41E6"/>
    <w:rsid w:val="00AA4C7C"/>
    <w:rsid w:val="00AA4D0B"/>
    <w:rsid w:val="00AA6C40"/>
    <w:rsid w:val="00AA760D"/>
    <w:rsid w:val="00AA7F0A"/>
    <w:rsid w:val="00AB0739"/>
    <w:rsid w:val="00AB1C50"/>
    <w:rsid w:val="00AB3650"/>
    <w:rsid w:val="00AB3680"/>
    <w:rsid w:val="00AB42C6"/>
    <w:rsid w:val="00AB495C"/>
    <w:rsid w:val="00AB4EF3"/>
    <w:rsid w:val="00AB53F0"/>
    <w:rsid w:val="00AB5460"/>
    <w:rsid w:val="00AB6724"/>
    <w:rsid w:val="00AB6AC1"/>
    <w:rsid w:val="00AB7CD4"/>
    <w:rsid w:val="00AB7D6C"/>
    <w:rsid w:val="00AC19F9"/>
    <w:rsid w:val="00AC1A79"/>
    <w:rsid w:val="00AC284C"/>
    <w:rsid w:val="00AC28D7"/>
    <w:rsid w:val="00AC424E"/>
    <w:rsid w:val="00AC46A9"/>
    <w:rsid w:val="00AC4ACA"/>
    <w:rsid w:val="00AC552A"/>
    <w:rsid w:val="00AC5E98"/>
    <w:rsid w:val="00AC60DF"/>
    <w:rsid w:val="00AC64C1"/>
    <w:rsid w:val="00AC66B6"/>
    <w:rsid w:val="00AC762F"/>
    <w:rsid w:val="00AD1AD7"/>
    <w:rsid w:val="00AD27D4"/>
    <w:rsid w:val="00AD2986"/>
    <w:rsid w:val="00AD2C01"/>
    <w:rsid w:val="00AD2C18"/>
    <w:rsid w:val="00AD30FE"/>
    <w:rsid w:val="00AD3683"/>
    <w:rsid w:val="00AD6005"/>
    <w:rsid w:val="00AE1B14"/>
    <w:rsid w:val="00AE228A"/>
    <w:rsid w:val="00AE31BC"/>
    <w:rsid w:val="00AE54FC"/>
    <w:rsid w:val="00AE6820"/>
    <w:rsid w:val="00AE7E21"/>
    <w:rsid w:val="00AF00DE"/>
    <w:rsid w:val="00AF06B9"/>
    <w:rsid w:val="00AF0ED6"/>
    <w:rsid w:val="00AF1411"/>
    <w:rsid w:val="00AF15A8"/>
    <w:rsid w:val="00AF2226"/>
    <w:rsid w:val="00AF2AA1"/>
    <w:rsid w:val="00AF3755"/>
    <w:rsid w:val="00AF3ABB"/>
    <w:rsid w:val="00AF4779"/>
    <w:rsid w:val="00AF5921"/>
    <w:rsid w:val="00AF5F8A"/>
    <w:rsid w:val="00AF6B20"/>
    <w:rsid w:val="00AF7046"/>
    <w:rsid w:val="00B032A2"/>
    <w:rsid w:val="00B04D81"/>
    <w:rsid w:val="00B05CEF"/>
    <w:rsid w:val="00B06519"/>
    <w:rsid w:val="00B06603"/>
    <w:rsid w:val="00B068C0"/>
    <w:rsid w:val="00B06F89"/>
    <w:rsid w:val="00B076F0"/>
    <w:rsid w:val="00B10542"/>
    <w:rsid w:val="00B1167F"/>
    <w:rsid w:val="00B11AA3"/>
    <w:rsid w:val="00B11F7F"/>
    <w:rsid w:val="00B12177"/>
    <w:rsid w:val="00B1273C"/>
    <w:rsid w:val="00B12B03"/>
    <w:rsid w:val="00B13D59"/>
    <w:rsid w:val="00B14641"/>
    <w:rsid w:val="00B14711"/>
    <w:rsid w:val="00B14E3F"/>
    <w:rsid w:val="00B154D7"/>
    <w:rsid w:val="00B15A35"/>
    <w:rsid w:val="00B16157"/>
    <w:rsid w:val="00B16363"/>
    <w:rsid w:val="00B17038"/>
    <w:rsid w:val="00B20DC0"/>
    <w:rsid w:val="00B219ED"/>
    <w:rsid w:val="00B22031"/>
    <w:rsid w:val="00B22F9E"/>
    <w:rsid w:val="00B23286"/>
    <w:rsid w:val="00B232E5"/>
    <w:rsid w:val="00B26531"/>
    <w:rsid w:val="00B303A5"/>
    <w:rsid w:val="00B31074"/>
    <w:rsid w:val="00B3127B"/>
    <w:rsid w:val="00B317E7"/>
    <w:rsid w:val="00B31938"/>
    <w:rsid w:val="00B3207B"/>
    <w:rsid w:val="00B32544"/>
    <w:rsid w:val="00B33F7F"/>
    <w:rsid w:val="00B3462E"/>
    <w:rsid w:val="00B356F9"/>
    <w:rsid w:val="00B35A8A"/>
    <w:rsid w:val="00B36C79"/>
    <w:rsid w:val="00B36D1C"/>
    <w:rsid w:val="00B36FBF"/>
    <w:rsid w:val="00B375EB"/>
    <w:rsid w:val="00B37D6F"/>
    <w:rsid w:val="00B40109"/>
    <w:rsid w:val="00B404B6"/>
    <w:rsid w:val="00B40DA5"/>
    <w:rsid w:val="00B43F9B"/>
    <w:rsid w:val="00B44E6B"/>
    <w:rsid w:val="00B46676"/>
    <w:rsid w:val="00B476B9"/>
    <w:rsid w:val="00B478F2"/>
    <w:rsid w:val="00B50B89"/>
    <w:rsid w:val="00B50C7B"/>
    <w:rsid w:val="00B5113E"/>
    <w:rsid w:val="00B5132F"/>
    <w:rsid w:val="00B51404"/>
    <w:rsid w:val="00B52252"/>
    <w:rsid w:val="00B52503"/>
    <w:rsid w:val="00B52ACE"/>
    <w:rsid w:val="00B5510F"/>
    <w:rsid w:val="00B5751C"/>
    <w:rsid w:val="00B57FA7"/>
    <w:rsid w:val="00B6100C"/>
    <w:rsid w:val="00B61411"/>
    <w:rsid w:val="00B61438"/>
    <w:rsid w:val="00B62E47"/>
    <w:rsid w:val="00B62FB9"/>
    <w:rsid w:val="00B6311A"/>
    <w:rsid w:val="00B645B7"/>
    <w:rsid w:val="00B65100"/>
    <w:rsid w:val="00B658FD"/>
    <w:rsid w:val="00B65A74"/>
    <w:rsid w:val="00B6650C"/>
    <w:rsid w:val="00B669FD"/>
    <w:rsid w:val="00B72074"/>
    <w:rsid w:val="00B72ED3"/>
    <w:rsid w:val="00B74E8B"/>
    <w:rsid w:val="00B75FEE"/>
    <w:rsid w:val="00B76D79"/>
    <w:rsid w:val="00B76DB9"/>
    <w:rsid w:val="00B770B2"/>
    <w:rsid w:val="00B77C2B"/>
    <w:rsid w:val="00B80166"/>
    <w:rsid w:val="00B808FE"/>
    <w:rsid w:val="00B80B04"/>
    <w:rsid w:val="00B81950"/>
    <w:rsid w:val="00B81F23"/>
    <w:rsid w:val="00B83DDE"/>
    <w:rsid w:val="00B8483D"/>
    <w:rsid w:val="00B8519F"/>
    <w:rsid w:val="00B853F3"/>
    <w:rsid w:val="00B8598F"/>
    <w:rsid w:val="00B8638A"/>
    <w:rsid w:val="00B868E3"/>
    <w:rsid w:val="00B87F5D"/>
    <w:rsid w:val="00B90408"/>
    <w:rsid w:val="00B904AB"/>
    <w:rsid w:val="00B907F7"/>
    <w:rsid w:val="00B914B8"/>
    <w:rsid w:val="00B9256E"/>
    <w:rsid w:val="00B959BC"/>
    <w:rsid w:val="00B96C93"/>
    <w:rsid w:val="00B97C5A"/>
    <w:rsid w:val="00BA0465"/>
    <w:rsid w:val="00BA0479"/>
    <w:rsid w:val="00BA4E55"/>
    <w:rsid w:val="00BA5CEF"/>
    <w:rsid w:val="00BA67E6"/>
    <w:rsid w:val="00BA7959"/>
    <w:rsid w:val="00BB3898"/>
    <w:rsid w:val="00BB3A95"/>
    <w:rsid w:val="00BB4271"/>
    <w:rsid w:val="00BB4607"/>
    <w:rsid w:val="00BB4625"/>
    <w:rsid w:val="00BB475C"/>
    <w:rsid w:val="00BB498E"/>
    <w:rsid w:val="00BB5295"/>
    <w:rsid w:val="00BB7695"/>
    <w:rsid w:val="00BC217A"/>
    <w:rsid w:val="00BC6B84"/>
    <w:rsid w:val="00BC7A86"/>
    <w:rsid w:val="00BC7BE7"/>
    <w:rsid w:val="00BD1E81"/>
    <w:rsid w:val="00BD267F"/>
    <w:rsid w:val="00BD38C1"/>
    <w:rsid w:val="00BD432A"/>
    <w:rsid w:val="00BD4482"/>
    <w:rsid w:val="00BD7034"/>
    <w:rsid w:val="00BD7A22"/>
    <w:rsid w:val="00BE06A9"/>
    <w:rsid w:val="00BE243D"/>
    <w:rsid w:val="00BE264B"/>
    <w:rsid w:val="00BE6EB3"/>
    <w:rsid w:val="00BF13D6"/>
    <w:rsid w:val="00BF189C"/>
    <w:rsid w:val="00BF3095"/>
    <w:rsid w:val="00BF418C"/>
    <w:rsid w:val="00BF4665"/>
    <w:rsid w:val="00BF4F9F"/>
    <w:rsid w:val="00BF6309"/>
    <w:rsid w:val="00BF6B34"/>
    <w:rsid w:val="00C006F6"/>
    <w:rsid w:val="00C02201"/>
    <w:rsid w:val="00C02668"/>
    <w:rsid w:val="00C03403"/>
    <w:rsid w:val="00C03B6C"/>
    <w:rsid w:val="00C03F91"/>
    <w:rsid w:val="00C04881"/>
    <w:rsid w:val="00C048F7"/>
    <w:rsid w:val="00C04D14"/>
    <w:rsid w:val="00C052D9"/>
    <w:rsid w:val="00C0630F"/>
    <w:rsid w:val="00C064BD"/>
    <w:rsid w:val="00C11C02"/>
    <w:rsid w:val="00C1232D"/>
    <w:rsid w:val="00C1247C"/>
    <w:rsid w:val="00C1254F"/>
    <w:rsid w:val="00C135BF"/>
    <w:rsid w:val="00C1388B"/>
    <w:rsid w:val="00C1459D"/>
    <w:rsid w:val="00C14861"/>
    <w:rsid w:val="00C1620B"/>
    <w:rsid w:val="00C2011B"/>
    <w:rsid w:val="00C20AA2"/>
    <w:rsid w:val="00C20D2D"/>
    <w:rsid w:val="00C21C19"/>
    <w:rsid w:val="00C21D1A"/>
    <w:rsid w:val="00C23FBA"/>
    <w:rsid w:val="00C243AC"/>
    <w:rsid w:val="00C25A83"/>
    <w:rsid w:val="00C25C96"/>
    <w:rsid w:val="00C25F90"/>
    <w:rsid w:val="00C268FC"/>
    <w:rsid w:val="00C303ED"/>
    <w:rsid w:val="00C31737"/>
    <w:rsid w:val="00C31739"/>
    <w:rsid w:val="00C31A90"/>
    <w:rsid w:val="00C32B2B"/>
    <w:rsid w:val="00C35A86"/>
    <w:rsid w:val="00C35D61"/>
    <w:rsid w:val="00C402F5"/>
    <w:rsid w:val="00C414D4"/>
    <w:rsid w:val="00C417C9"/>
    <w:rsid w:val="00C4624A"/>
    <w:rsid w:val="00C467A4"/>
    <w:rsid w:val="00C47938"/>
    <w:rsid w:val="00C506DE"/>
    <w:rsid w:val="00C5088F"/>
    <w:rsid w:val="00C50919"/>
    <w:rsid w:val="00C518F6"/>
    <w:rsid w:val="00C519C1"/>
    <w:rsid w:val="00C531F8"/>
    <w:rsid w:val="00C532EB"/>
    <w:rsid w:val="00C55B21"/>
    <w:rsid w:val="00C55E3A"/>
    <w:rsid w:val="00C561C1"/>
    <w:rsid w:val="00C56501"/>
    <w:rsid w:val="00C56B84"/>
    <w:rsid w:val="00C644E5"/>
    <w:rsid w:val="00C65AF9"/>
    <w:rsid w:val="00C668B1"/>
    <w:rsid w:val="00C66C7A"/>
    <w:rsid w:val="00C66ED5"/>
    <w:rsid w:val="00C70452"/>
    <w:rsid w:val="00C70D99"/>
    <w:rsid w:val="00C710F9"/>
    <w:rsid w:val="00C719E6"/>
    <w:rsid w:val="00C71E3A"/>
    <w:rsid w:val="00C731FD"/>
    <w:rsid w:val="00C7321C"/>
    <w:rsid w:val="00C7350E"/>
    <w:rsid w:val="00C740BC"/>
    <w:rsid w:val="00C74139"/>
    <w:rsid w:val="00C74CCA"/>
    <w:rsid w:val="00C7541E"/>
    <w:rsid w:val="00C75FFF"/>
    <w:rsid w:val="00C7769F"/>
    <w:rsid w:val="00C8040C"/>
    <w:rsid w:val="00C8089A"/>
    <w:rsid w:val="00C80D60"/>
    <w:rsid w:val="00C80DC1"/>
    <w:rsid w:val="00C81162"/>
    <w:rsid w:val="00C812A2"/>
    <w:rsid w:val="00C82306"/>
    <w:rsid w:val="00C823A9"/>
    <w:rsid w:val="00C823B8"/>
    <w:rsid w:val="00C83032"/>
    <w:rsid w:val="00C8338F"/>
    <w:rsid w:val="00C83591"/>
    <w:rsid w:val="00C840B9"/>
    <w:rsid w:val="00C84B33"/>
    <w:rsid w:val="00C84C73"/>
    <w:rsid w:val="00C84E81"/>
    <w:rsid w:val="00C869D7"/>
    <w:rsid w:val="00C8757D"/>
    <w:rsid w:val="00C9171E"/>
    <w:rsid w:val="00C91BCB"/>
    <w:rsid w:val="00C92677"/>
    <w:rsid w:val="00C93FD4"/>
    <w:rsid w:val="00C94012"/>
    <w:rsid w:val="00C9465E"/>
    <w:rsid w:val="00C94EC2"/>
    <w:rsid w:val="00C961E0"/>
    <w:rsid w:val="00CA03A7"/>
    <w:rsid w:val="00CA30AD"/>
    <w:rsid w:val="00CA4E63"/>
    <w:rsid w:val="00CA52EE"/>
    <w:rsid w:val="00CA53E5"/>
    <w:rsid w:val="00CA637C"/>
    <w:rsid w:val="00CA6D90"/>
    <w:rsid w:val="00CA7079"/>
    <w:rsid w:val="00CA76F4"/>
    <w:rsid w:val="00CA7B4A"/>
    <w:rsid w:val="00CB1956"/>
    <w:rsid w:val="00CB1986"/>
    <w:rsid w:val="00CB1B4C"/>
    <w:rsid w:val="00CB2A58"/>
    <w:rsid w:val="00CB2F25"/>
    <w:rsid w:val="00CB2FAD"/>
    <w:rsid w:val="00CB389C"/>
    <w:rsid w:val="00CB4466"/>
    <w:rsid w:val="00CB4A7C"/>
    <w:rsid w:val="00CB50F7"/>
    <w:rsid w:val="00CB590B"/>
    <w:rsid w:val="00CB61C9"/>
    <w:rsid w:val="00CB7C09"/>
    <w:rsid w:val="00CB7EA4"/>
    <w:rsid w:val="00CC23B2"/>
    <w:rsid w:val="00CC2E8A"/>
    <w:rsid w:val="00CC2EE6"/>
    <w:rsid w:val="00CC38DD"/>
    <w:rsid w:val="00CC3974"/>
    <w:rsid w:val="00CC3BDD"/>
    <w:rsid w:val="00CC4B42"/>
    <w:rsid w:val="00CC52A8"/>
    <w:rsid w:val="00CC6A15"/>
    <w:rsid w:val="00CC7630"/>
    <w:rsid w:val="00CD146E"/>
    <w:rsid w:val="00CD4025"/>
    <w:rsid w:val="00CD455C"/>
    <w:rsid w:val="00CD4A43"/>
    <w:rsid w:val="00CD4CF3"/>
    <w:rsid w:val="00CD5840"/>
    <w:rsid w:val="00CD5F6C"/>
    <w:rsid w:val="00CD62F2"/>
    <w:rsid w:val="00CD6C44"/>
    <w:rsid w:val="00CD6FA3"/>
    <w:rsid w:val="00CD76F6"/>
    <w:rsid w:val="00CD770F"/>
    <w:rsid w:val="00CE05D1"/>
    <w:rsid w:val="00CE20F4"/>
    <w:rsid w:val="00CE3125"/>
    <w:rsid w:val="00CE3CA4"/>
    <w:rsid w:val="00CE4FD4"/>
    <w:rsid w:val="00CE5C60"/>
    <w:rsid w:val="00CE66B0"/>
    <w:rsid w:val="00CE75C1"/>
    <w:rsid w:val="00CF0EDE"/>
    <w:rsid w:val="00CF0F2E"/>
    <w:rsid w:val="00CF1AEF"/>
    <w:rsid w:val="00CF417A"/>
    <w:rsid w:val="00CF49D7"/>
    <w:rsid w:val="00CF6848"/>
    <w:rsid w:val="00CF6C31"/>
    <w:rsid w:val="00CF7C7F"/>
    <w:rsid w:val="00CF7CC1"/>
    <w:rsid w:val="00CF7F97"/>
    <w:rsid w:val="00D013BA"/>
    <w:rsid w:val="00D02998"/>
    <w:rsid w:val="00D02C99"/>
    <w:rsid w:val="00D042E5"/>
    <w:rsid w:val="00D04679"/>
    <w:rsid w:val="00D0615D"/>
    <w:rsid w:val="00D0744E"/>
    <w:rsid w:val="00D0781D"/>
    <w:rsid w:val="00D10968"/>
    <w:rsid w:val="00D11120"/>
    <w:rsid w:val="00D11EC8"/>
    <w:rsid w:val="00D12C80"/>
    <w:rsid w:val="00D13613"/>
    <w:rsid w:val="00D137DD"/>
    <w:rsid w:val="00D16CCB"/>
    <w:rsid w:val="00D20155"/>
    <w:rsid w:val="00D20FB1"/>
    <w:rsid w:val="00D24138"/>
    <w:rsid w:val="00D258E2"/>
    <w:rsid w:val="00D26607"/>
    <w:rsid w:val="00D26847"/>
    <w:rsid w:val="00D26A54"/>
    <w:rsid w:val="00D27F8E"/>
    <w:rsid w:val="00D30297"/>
    <w:rsid w:val="00D303A2"/>
    <w:rsid w:val="00D309DF"/>
    <w:rsid w:val="00D30BDB"/>
    <w:rsid w:val="00D315E6"/>
    <w:rsid w:val="00D32FAD"/>
    <w:rsid w:val="00D33066"/>
    <w:rsid w:val="00D33284"/>
    <w:rsid w:val="00D338FE"/>
    <w:rsid w:val="00D33B8A"/>
    <w:rsid w:val="00D34F92"/>
    <w:rsid w:val="00D34FD7"/>
    <w:rsid w:val="00D354B7"/>
    <w:rsid w:val="00D3663E"/>
    <w:rsid w:val="00D36922"/>
    <w:rsid w:val="00D36C6B"/>
    <w:rsid w:val="00D403F0"/>
    <w:rsid w:val="00D40B13"/>
    <w:rsid w:val="00D40ED3"/>
    <w:rsid w:val="00D446B9"/>
    <w:rsid w:val="00D449EA"/>
    <w:rsid w:val="00D44FCA"/>
    <w:rsid w:val="00D46A3A"/>
    <w:rsid w:val="00D47A80"/>
    <w:rsid w:val="00D50A6D"/>
    <w:rsid w:val="00D52E91"/>
    <w:rsid w:val="00D534E3"/>
    <w:rsid w:val="00D53FA8"/>
    <w:rsid w:val="00D53FDE"/>
    <w:rsid w:val="00D540B6"/>
    <w:rsid w:val="00D548A8"/>
    <w:rsid w:val="00D568BE"/>
    <w:rsid w:val="00D576E6"/>
    <w:rsid w:val="00D60E26"/>
    <w:rsid w:val="00D62BD6"/>
    <w:rsid w:val="00D62D87"/>
    <w:rsid w:val="00D631E3"/>
    <w:rsid w:val="00D639AE"/>
    <w:rsid w:val="00D63B96"/>
    <w:rsid w:val="00D65C43"/>
    <w:rsid w:val="00D66646"/>
    <w:rsid w:val="00D66E7C"/>
    <w:rsid w:val="00D67186"/>
    <w:rsid w:val="00D70898"/>
    <w:rsid w:val="00D7090C"/>
    <w:rsid w:val="00D70BE5"/>
    <w:rsid w:val="00D72814"/>
    <w:rsid w:val="00D72D82"/>
    <w:rsid w:val="00D72DF7"/>
    <w:rsid w:val="00D75510"/>
    <w:rsid w:val="00D75D8A"/>
    <w:rsid w:val="00D81D6D"/>
    <w:rsid w:val="00D81EF6"/>
    <w:rsid w:val="00D826B3"/>
    <w:rsid w:val="00D82C56"/>
    <w:rsid w:val="00D82D93"/>
    <w:rsid w:val="00D83183"/>
    <w:rsid w:val="00D8548C"/>
    <w:rsid w:val="00D85D66"/>
    <w:rsid w:val="00D90F9A"/>
    <w:rsid w:val="00D91827"/>
    <w:rsid w:val="00D94451"/>
    <w:rsid w:val="00D946D9"/>
    <w:rsid w:val="00D951D7"/>
    <w:rsid w:val="00D966A1"/>
    <w:rsid w:val="00D978EE"/>
    <w:rsid w:val="00DA0EDC"/>
    <w:rsid w:val="00DA1081"/>
    <w:rsid w:val="00DA2E24"/>
    <w:rsid w:val="00DA394E"/>
    <w:rsid w:val="00DA5459"/>
    <w:rsid w:val="00DA55A5"/>
    <w:rsid w:val="00DA5878"/>
    <w:rsid w:val="00DA6D87"/>
    <w:rsid w:val="00DA761B"/>
    <w:rsid w:val="00DB039F"/>
    <w:rsid w:val="00DB0F58"/>
    <w:rsid w:val="00DB10AD"/>
    <w:rsid w:val="00DB13C7"/>
    <w:rsid w:val="00DB14B7"/>
    <w:rsid w:val="00DB1E31"/>
    <w:rsid w:val="00DB2FC9"/>
    <w:rsid w:val="00DB3851"/>
    <w:rsid w:val="00DB5705"/>
    <w:rsid w:val="00DB5E3A"/>
    <w:rsid w:val="00DB5FAD"/>
    <w:rsid w:val="00DB684E"/>
    <w:rsid w:val="00DB6B57"/>
    <w:rsid w:val="00DB700D"/>
    <w:rsid w:val="00DB72F5"/>
    <w:rsid w:val="00DB73BF"/>
    <w:rsid w:val="00DC2DF2"/>
    <w:rsid w:val="00DC4F0B"/>
    <w:rsid w:val="00DC6066"/>
    <w:rsid w:val="00DC6C9A"/>
    <w:rsid w:val="00DD02D2"/>
    <w:rsid w:val="00DD0C5D"/>
    <w:rsid w:val="00DD1B97"/>
    <w:rsid w:val="00DD1D2D"/>
    <w:rsid w:val="00DD20BE"/>
    <w:rsid w:val="00DD2D76"/>
    <w:rsid w:val="00DD37D8"/>
    <w:rsid w:val="00DD458B"/>
    <w:rsid w:val="00DD4848"/>
    <w:rsid w:val="00DD4CCF"/>
    <w:rsid w:val="00DD55B4"/>
    <w:rsid w:val="00DD56FC"/>
    <w:rsid w:val="00DD59AA"/>
    <w:rsid w:val="00DD61CF"/>
    <w:rsid w:val="00DD68B8"/>
    <w:rsid w:val="00DD6CA4"/>
    <w:rsid w:val="00DD73CC"/>
    <w:rsid w:val="00DE02B4"/>
    <w:rsid w:val="00DE02C3"/>
    <w:rsid w:val="00DE0C15"/>
    <w:rsid w:val="00DE2213"/>
    <w:rsid w:val="00DE25E0"/>
    <w:rsid w:val="00DE45F5"/>
    <w:rsid w:val="00DE5172"/>
    <w:rsid w:val="00DE5707"/>
    <w:rsid w:val="00DE58E5"/>
    <w:rsid w:val="00DE5B56"/>
    <w:rsid w:val="00DE6ABC"/>
    <w:rsid w:val="00DE6AF4"/>
    <w:rsid w:val="00DE7112"/>
    <w:rsid w:val="00DE7D36"/>
    <w:rsid w:val="00DE7EE6"/>
    <w:rsid w:val="00DF015E"/>
    <w:rsid w:val="00DF0338"/>
    <w:rsid w:val="00DF26B5"/>
    <w:rsid w:val="00DF2EAD"/>
    <w:rsid w:val="00DF3EFB"/>
    <w:rsid w:val="00DF4362"/>
    <w:rsid w:val="00DF4368"/>
    <w:rsid w:val="00DF4375"/>
    <w:rsid w:val="00DF49BE"/>
    <w:rsid w:val="00DF5E7F"/>
    <w:rsid w:val="00DF636C"/>
    <w:rsid w:val="00DF6A7F"/>
    <w:rsid w:val="00E01EE9"/>
    <w:rsid w:val="00E01F75"/>
    <w:rsid w:val="00E026A9"/>
    <w:rsid w:val="00E02E62"/>
    <w:rsid w:val="00E0326F"/>
    <w:rsid w:val="00E039F7"/>
    <w:rsid w:val="00E03E95"/>
    <w:rsid w:val="00E046F3"/>
    <w:rsid w:val="00E04738"/>
    <w:rsid w:val="00E05827"/>
    <w:rsid w:val="00E05935"/>
    <w:rsid w:val="00E05A1C"/>
    <w:rsid w:val="00E06BBB"/>
    <w:rsid w:val="00E06C73"/>
    <w:rsid w:val="00E1097D"/>
    <w:rsid w:val="00E1415A"/>
    <w:rsid w:val="00E141AB"/>
    <w:rsid w:val="00E14356"/>
    <w:rsid w:val="00E14734"/>
    <w:rsid w:val="00E14A9B"/>
    <w:rsid w:val="00E156BE"/>
    <w:rsid w:val="00E15E3A"/>
    <w:rsid w:val="00E16D95"/>
    <w:rsid w:val="00E17188"/>
    <w:rsid w:val="00E17977"/>
    <w:rsid w:val="00E20CEF"/>
    <w:rsid w:val="00E220E3"/>
    <w:rsid w:val="00E2219F"/>
    <w:rsid w:val="00E23C4A"/>
    <w:rsid w:val="00E23DC8"/>
    <w:rsid w:val="00E25207"/>
    <w:rsid w:val="00E256BA"/>
    <w:rsid w:val="00E25E23"/>
    <w:rsid w:val="00E26202"/>
    <w:rsid w:val="00E2633A"/>
    <w:rsid w:val="00E26B01"/>
    <w:rsid w:val="00E26F62"/>
    <w:rsid w:val="00E270D5"/>
    <w:rsid w:val="00E3079D"/>
    <w:rsid w:val="00E3119D"/>
    <w:rsid w:val="00E31FF8"/>
    <w:rsid w:val="00E32247"/>
    <w:rsid w:val="00E32387"/>
    <w:rsid w:val="00E32DCE"/>
    <w:rsid w:val="00E32FBA"/>
    <w:rsid w:val="00E33C39"/>
    <w:rsid w:val="00E363A1"/>
    <w:rsid w:val="00E36635"/>
    <w:rsid w:val="00E37972"/>
    <w:rsid w:val="00E401E6"/>
    <w:rsid w:val="00E403AB"/>
    <w:rsid w:val="00E41507"/>
    <w:rsid w:val="00E427C8"/>
    <w:rsid w:val="00E445D0"/>
    <w:rsid w:val="00E44B9E"/>
    <w:rsid w:val="00E44D94"/>
    <w:rsid w:val="00E459B8"/>
    <w:rsid w:val="00E45C7C"/>
    <w:rsid w:val="00E45E2F"/>
    <w:rsid w:val="00E463E7"/>
    <w:rsid w:val="00E46625"/>
    <w:rsid w:val="00E4675A"/>
    <w:rsid w:val="00E47D26"/>
    <w:rsid w:val="00E47D37"/>
    <w:rsid w:val="00E506AF"/>
    <w:rsid w:val="00E530CD"/>
    <w:rsid w:val="00E535CA"/>
    <w:rsid w:val="00E53BBD"/>
    <w:rsid w:val="00E53DAB"/>
    <w:rsid w:val="00E53F35"/>
    <w:rsid w:val="00E53F53"/>
    <w:rsid w:val="00E54EDF"/>
    <w:rsid w:val="00E55CB7"/>
    <w:rsid w:val="00E55FFB"/>
    <w:rsid w:val="00E567BA"/>
    <w:rsid w:val="00E56D62"/>
    <w:rsid w:val="00E57C44"/>
    <w:rsid w:val="00E605D9"/>
    <w:rsid w:val="00E62B55"/>
    <w:rsid w:val="00E633AD"/>
    <w:rsid w:val="00E6367D"/>
    <w:rsid w:val="00E643FE"/>
    <w:rsid w:val="00E64D76"/>
    <w:rsid w:val="00E6508E"/>
    <w:rsid w:val="00E65B9D"/>
    <w:rsid w:val="00E66241"/>
    <w:rsid w:val="00E67840"/>
    <w:rsid w:val="00E67EDF"/>
    <w:rsid w:val="00E70911"/>
    <w:rsid w:val="00E719FC"/>
    <w:rsid w:val="00E723BF"/>
    <w:rsid w:val="00E72F85"/>
    <w:rsid w:val="00E72FAA"/>
    <w:rsid w:val="00E75E15"/>
    <w:rsid w:val="00E75E58"/>
    <w:rsid w:val="00E76862"/>
    <w:rsid w:val="00E76883"/>
    <w:rsid w:val="00E77277"/>
    <w:rsid w:val="00E7783C"/>
    <w:rsid w:val="00E77C82"/>
    <w:rsid w:val="00E77E05"/>
    <w:rsid w:val="00E77ED5"/>
    <w:rsid w:val="00E802CE"/>
    <w:rsid w:val="00E805D9"/>
    <w:rsid w:val="00E81E86"/>
    <w:rsid w:val="00E82015"/>
    <w:rsid w:val="00E823CC"/>
    <w:rsid w:val="00E82A30"/>
    <w:rsid w:val="00E82BDB"/>
    <w:rsid w:val="00E8373C"/>
    <w:rsid w:val="00E83743"/>
    <w:rsid w:val="00E837F5"/>
    <w:rsid w:val="00E853A9"/>
    <w:rsid w:val="00E85BFA"/>
    <w:rsid w:val="00E862F1"/>
    <w:rsid w:val="00E866E3"/>
    <w:rsid w:val="00E87A07"/>
    <w:rsid w:val="00E90F63"/>
    <w:rsid w:val="00E9146D"/>
    <w:rsid w:val="00E92C02"/>
    <w:rsid w:val="00E92EF7"/>
    <w:rsid w:val="00E93778"/>
    <w:rsid w:val="00E941C0"/>
    <w:rsid w:val="00E94698"/>
    <w:rsid w:val="00E9490E"/>
    <w:rsid w:val="00E958E7"/>
    <w:rsid w:val="00E95B5E"/>
    <w:rsid w:val="00E95B62"/>
    <w:rsid w:val="00E95D94"/>
    <w:rsid w:val="00E96576"/>
    <w:rsid w:val="00E967A0"/>
    <w:rsid w:val="00E97E2A"/>
    <w:rsid w:val="00EA1129"/>
    <w:rsid w:val="00EA13DC"/>
    <w:rsid w:val="00EA16ED"/>
    <w:rsid w:val="00EA1866"/>
    <w:rsid w:val="00EA1FBB"/>
    <w:rsid w:val="00EA271E"/>
    <w:rsid w:val="00EA28E2"/>
    <w:rsid w:val="00EA316D"/>
    <w:rsid w:val="00EA4694"/>
    <w:rsid w:val="00EA483D"/>
    <w:rsid w:val="00EA4BF9"/>
    <w:rsid w:val="00EA4CC8"/>
    <w:rsid w:val="00EA5230"/>
    <w:rsid w:val="00EA5822"/>
    <w:rsid w:val="00EA788A"/>
    <w:rsid w:val="00EB0F24"/>
    <w:rsid w:val="00EB160B"/>
    <w:rsid w:val="00EB1F54"/>
    <w:rsid w:val="00EB2701"/>
    <w:rsid w:val="00EB2A88"/>
    <w:rsid w:val="00EB2B5B"/>
    <w:rsid w:val="00EB5186"/>
    <w:rsid w:val="00EB790F"/>
    <w:rsid w:val="00EC09A9"/>
    <w:rsid w:val="00EC0A37"/>
    <w:rsid w:val="00EC0BBD"/>
    <w:rsid w:val="00EC198A"/>
    <w:rsid w:val="00EC22E9"/>
    <w:rsid w:val="00EC2F1A"/>
    <w:rsid w:val="00EC4064"/>
    <w:rsid w:val="00EC5380"/>
    <w:rsid w:val="00EC568C"/>
    <w:rsid w:val="00EC5D69"/>
    <w:rsid w:val="00EC6062"/>
    <w:rsid w:val="00EC6079"/>
    <w:rsid w:val="00EC6593"/>
    <w:rsid w:val="00EC65B1"/>
    <w:rsid w:val="00EC7734"/>
    <w:rsid w:val="00ED01A9"/>
    <w:rsid w:val="00ED0287"/>
    <w:rsid w:val="00ED04EE"/>
    <w:rsid w:val="00ED2298"/>
    <w:rsid w:val="00ED2F16"/>
    <w:rsid w:val="00ED598E"/>
    <w:rsid w:val="00ED6497"/>
    <w:rsid w:val="00EE00C5"/>
    <w:rsid w:val="00EE0D26"/>
    <w:rsid w:val="00EE16E8"/>
    <w:rsid w:val="00EE2599"/>
    <w:rsid w:val="00EE2A51"/>
    <w:rsid w:val="00EE3E54"/>
    <w:rsid w:val="00EE4365"/>
    <w:rsid w:val="00EE50F1"/>
    <w:rsid w:val="00EE5CAC"/>
    <w:rsid w:val="00EE6C17"/>
    <w:rsid w:val="00EE6E31"/>
    <w:rsid w:val="00EE7244"/>
    <w:rsid w:val="00EE7917"/>
    <w:rsid w:val="00EE7AAD"/>
    <w:rsid w:val="00EE7D91"/>
    <w:rsid w:val="00EF1AC8"/>
    <w:rsid w:val="00EF1B52"/>
    <w:rsid w:val="00EF24E5"/>
    <w:rsid w:val="00EF3964"/>
    <w:rsid w:val="00EF3E81"/>
    <w:rsid w:val="00EF46D9"/>
    <w:rsid w:val="00EF50CA"/>
    <w:rsid w:val="00EF5BE3"/>
    <w:rsid w:val="00EF66F1"/>
    <w:rsid w:val="00EF74A3"/>
    <w:rsid w:val="00F001D8"/>
    <w:rsid w:val="00F00E71"/>
    <w:rsid w:val="00F00EA9"/>
    <w:rsid w:val="00F0261A"/>
    <w:rsid w:val="00F02C79"/>
    <w:rsid w:val="00F030BD"/>
    <w:rsid w:val="00F03E7D"/>
    <w:rsid w:val="00F04EED"/>
    <w:rsid w:val="00F05AA7"/>
    <w:rsid w:val="00F05FF3"/>
    <w:rsid w:val="00F0627E"/>
    <w:rsid w:val="00F06991"/>
    <w:rsid w:val="00F07A3C"/>
    <w:rsid w:val="00F10302"/>
    <w:rsid w:val="00F10457"/>
    <w:rsid w:val="00F10F0F"/>
    <w:rsid w:val="00F12552"/>
    <w:rsid w:val="00F129D8"/>
    <w:rsid w:val="00F132F2"/>
    <w:rsid w:val="00F1537F"/>
    <w:rsid w:val="00F15908"/>
    <w:rsid w:val="00F16579"/>
    <w:rsid w:val="00F16A87"/>
    <w:rsid w:val="00F16E26"/>
    <w:rsid w:val="00F16F33"/>
    <w:rsid w:val="00F176BF"/>
    <w:rsid w:val="00F17DBE"/>
    <w:rsid w:val="00F20B97"/>
    <w:rsid w:val="00F20F34"/>
    <w:rsid w:val="00F20FF3"/>
    <w:rsid w:val="00F21828"/>
    <w:rsid w:val="00F22C78"/>
    <w:rsid w:val="00F2455D"/>
    <w:rsid w:val="00F24965"/>
    <w:rsid w:val="00F2523E"/>
    <w:rsid w:val="00F26C20"/>
    <w:rsid w:val="00F26D00"/>
    <w:rsid w:val="00F32EF3"/>
    <w:rsid w:val="00F33D5A"/>
    <w:rsid w:val="00F35B01"/>
    <w:rsid w:val="00F367B8"/>
    <w:rsid w:val="00F37DB4"/>
    <w:rsid w:val="00F40DD7"/>
    <w:rsid w:val="00F426B3"/>
    <w:rsid w:val="00F42DA8"/>
    <w:rsid w:val="00F42E4A"/>
    <w:rsid w:val="00F43045"/>
    <w:rsid w:val="00F43127"/>
    <w:rsid w:val="00F44EC7"/>
    <w:rsid w:val="00F45CF8"/>
    <w:rsid w:val="00F45DE1"/>
    <w:rsid w:val="00F5060C"/>
    <w:rsid w:val="00F51738"/>
    <w:rsid w:val="00F51F0E"/>
    <w:rsid w:val="00F53DFA"/>
    <w:rsid w:val="00F54037"/>
    <w:rsid w:val="00F54844"/>
    <w:rsid w:val="00F5582E"/>
    <w:rsid w:val="00F56391"/>
    <w:rsid w:val="00F571E3"/>
    <w:rsid w:val="00F574AF"/>
    <w:rsid w:val="00F57E71"/>
    <w:rsid w:val="00F60F4E"/>
    <w:rsid w:val="00F60FDA"/>
    <w:rsid w:val="00F61D30"/>
    <w:rsid w:val="00F61DD8"/>
    <w:rsid w:val="00F6232A"/>
    <w:rsid w:val="00F6246E"/>
    <w:rsid w:val="00F624D9"/>
    <w:rsid w:val="00F62A89"/>
    <w:rsid w:val="00F62BDD"/>
    <w:rsid w:val="00F638AA"/>
    <w:rsid w:val="00F63B33"/>
    <w:rsid w:val="00F64D2E"/>
    <w:rsid w:val="00F6727E"/>
    <w:rsid w:val="00F71CF4"/>
    <w:rsid w:val="00F71FEA"/>
    <w:rsid w:val="00F72CCC"/>
    <w:rsid w:val="00F74377"/>
    <w:rsid w:val="00F748EF"/>
    <w:rsid w:val="00F7492E"/>
    <w:rsid w:val="00F76427"/>
    <w:rsid w:val="00F769E2"/>
    <w:rsid w:val="00F76FCB"/>
    <w:rsid w:val="00F80032"/>
    <w:rsid w:val="00F80AE6"/>
    <w:rsid w:val="00F812CB"/>
    <w:rsid w:val="00F81C64"/>
    <w:rsid w:val="00F833C1"/>
    <w:rsid w:val="00F84151"/>
    <w:rsid w:val="00F85505"/>
    <w:rsid w:val="00F85536"/>
    <w:rsid w:val="00F86362"/>
    <w:rsid w:val="00F86CDB"/>
    <w:rsid w:val="00F86D61"/>
    <w:rsid w:val="00F8710B"/>
    <w:rsid w:val="00F90126"/>
    <w:rsid w:val="00F90E4B"/>
    <w:rsid w:val="00F9251A"/>
    <w:rsid w:val="00F95009"/>
    <w:rsid w:val="00F953D8"/>
    <w:rsid w:val="00F958BA"/>
    <w:rsid w:val="00F95CF8"/>
    <w:rsid w:val="00F966D7"/>
    <w:rsid w:val="00F96BF9"/>
    <w:rsid w:val="00F97868"/>
    <w:rsid w:val="00F97AD7"/>
    <w:rsid w:val="00FA078E"/>
    <w:rsid w:val="00FA29DA"/>
    <w:rsid w:val="00FA39B3"/>
    <w:rsid w:val="00FA6B5F"/>
    <w:rsid w:val="00FB0258"/>
    <w:rsid w:val="00FB1A63"/>
    <w:rsid w:val="00FB1D41"/>
    <w:rsid w:val="00FB27D7"/>
    <w:rsid w:val="00FB3249"/>
    <w:rsid w:val="00FB3897"/>
    <w:rsid w:val="00FB450E"/>
    <w:rsid w:val="00FB4533"/>
    <w:rsid w:val="00FB4A88"/>
    <w:rsid w:val="00FB4DF3"/>
    <w:rsid w:val="00FB5639"/>
    <w:rsid w:val="00FB6C04"/>
    <w:rsid w:val="00FC0C39"/>
    <w:rsid w:val="00FC140B"/>
    <w:rsid w:val="00FC1A0C"/>
    <w:rsid w:val="00FC3C9D"/>
    <w:rsid w:val="00FC45E4"/>
    <w:rsid w:val="00FC514F"/>
    <w:rsid w:val="00FC5270"/>
    <w:rsid w:val="00FC7666"/>
    <w:rsid w:val="00FC7980"/>
    <w:rsid w:val="00FD18B5"/>
    <w:rsid w:val="00FD19B8"/>
    <w:rsid w:val="00FD28DB"/>
    <w:rsid w:val="00FD3045"/>
    <w:rsid w:val="00FD3B9B"/>
    <w:rsid w:val="00FD4179"/>
    <w:rsid w:val="00FD53AA"/>
    <w:rsid w:val="00FD777A"/>
    <w:rsid w:val="00FD7D79"/>
    <w:rsid w:val="00FE0BC0"/>
    <w:rsid w:val="00FE15EA"/>
    <w:rsid w:val="00FE19F4"/>
    <w:rsid w:val="00FE2030"/>
    <w:rsid w:val="00FE21F2"/>
    <w:rsid w:val="00FE43C8"/>
    <w:rsid w:val="00FE44F8"/>
    <w:rsid w:val="00FE4989"/>
    <w:rsid w:val="00FE4B4B"/>
    <w:rsid w:val="00FE6A17"/>
    <w:rsid w:val="00FE70B7"/>
    <w:rsid w:val="00FE79B4"/>
    <w:rsid w:val="00FF0E66"/>
    <w:rsid w:val="00FF1848"/>
    <w:rsid w:val="00FF352E"/>
    <w:rsid w:val="00FF5A23"/>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4E9BF"/>
  <w15:docId w15:val="{0A1D735A-D2D9-4866-92E8-10B82999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character" w:styleId="FollowedHyperlink">
    <w:name w:val="FollowedHyperlink"/>
    <w:basedOn w:val="DefaultParagraphFont"/>
    <w:uiPriority w:val="99"/>
    <w:semiHidden/>
    <w:unhideWhenUsed/>
    <w:rsid w:val="00A74849"/>
    <w:rPr>
      <w:color w:val="954F72" w:themeColor="followedHyperlink"/>
      <w:u w:val="single"/>
    </w:rPr>
  </w:style>
  <w:style w:type="table" w:styleId="TableGrid">
    <w:name w:val="Table Grid"/>
    <w:basedOn w:val="TableNormal"/>
    <w:uiPriority w:val="39"/>
    <w:rsid w:val="0085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4878">
      <w:bodyDiv w:val="1"/>
      <w:marLeft w:val="0"/>
      <w:marRight w:val="0"/>
      <w:marTop w:val="0"/>
      <w:marBottom w:val="0"/>
      <w:divBdr>
        <w:top w:val="none" w:sz="0" w:space="0" w:color="auto"/>
        <w:left w:val="none" w:sz="0" w:space="0" w:color="auto"/>
        <w:bottom w:val="none" w:sz="0" w:space="0" w:color="auto"/>
        <w:right w:val="none" w:sz="0" w:space="0" w:color="auto"/>
      </w:divBdr>
    </w:div>
    <w:div w:id="58096711">
      <w:bodyDiv w:val="1"/>
      <w:marLeft w:val="0"/>
      <w:marRight w:val="0"/>
      <w:marTop w:val="0"/>
      <w:marBottom w:val="0"/>
      <w:divBdr>
        <w:top w:val="none" w:sz="0" w:space="0" w:color="auto"/>
        <w:left w:val="none" w:sz="0" w:space="0" w:color="auto"/>
        <w:bottom w:val="none" w:sz="0" w:space="0" w:color="auto"/>
        <w:right w:val="none" w:sz="0" w:space="0" w:color="auto"/>
      </w:divBdr>
    </w:div>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187067518">
      <w:bodyDiv w:val="1"/>
      <w:marLeft w:val="0"/>
      <w:marRight w:val="0"/>
      <w:marTop w:val="0"/>
      <w:marBottom w:val="0"/>
      <w:divBdr>
        <w:top w:val="none" w:sz="0" w:space="0" w:color="auto"/>
        <w:left w:val="none" w:sz="0" w:space="0" w:color="auto"/>
        <w:bottom w:val="none" w:sz="0" w:space="0" w:color="auto"/>
        <w:right w:val="none" w:sz="0" w:space="0" w:color="auto"/>
      </w:divBdr>
    </w:div>
    <w:div w:id="208759561">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563220649">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647169509">
      <w:bodyDiv w:val="1"/>
      <w:marLeft w:val="0"/>
      <w:marRight w:val="0"/>
      <w:marTop w:val="0"/>
      <w:marBottom w:val="0"/>
      <w:divBdr>
        <w:top w:val="none" w:sz="0" w:space="0" w:color="auto"/>
        <w:left w:val="none" w:sz="0" w:space="0" w:color="auto"/>
        <w:bottom w:val="none" w:sz="0" w:space="0" w:color="auto"/>
        <w:right w:val="none" w:sz="0" w:space="0" w:color="auto"/>
      </w:divBdr>
    </w:div>
    <w:div w:id="843592372">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326277989">
      <w:bodyDiv w:val="1"/>
      <w:marLeft w:val="0"/>
      <w:marRight w:val="0"/>
      <w:marTop w:val="0"/>
      <w:marBottom w:val="0"/>
      <w:divBdr>
        <w:top w:val="none" w:sz="0" w:space="0" w:color="auto"/>
        <w:left w:val="none" w:sz="0" w:space="0" w:color="auto"/>
        <w:bottom w:val="none" w:sz="0" w:space="0" w:color="auto"/>
        <w:right w:val="none" w:sz="0" w:space="0" w:color="auto"/>
      </w:divBdr>
    </w:div>
    <w:div w:id="1401322507">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663073211">
      <w:bodyDiv w:val="1"/>
      <w:marLeft w:val="0"/>
      <w:marRight w:val="0"/>
      <w:marTop w:val="0"/>
      <w:marBottom w:val="0"/>
      <w:divBdr>
        <w:top w:val="none" w:sz="0" w:space="0" w:color="auto"/>
        <w:left w:val="none" w:sz="0" w:space="0" w:color="auto"/>
        <w:bottom w:val="none" w:sz="0" w:space="0" w:color="auto"/>
        <w:right w:val="none" w:sz="0" w:space="0" w:color="auto"/>
      </w:divBdr>
    </w:div>
    <w:div w:id="1719862042">
      <w:bodyDiv w:val="1"/>
      <w:marLeft w:val="0"/>
      <w:marRight w:val="0"/>
      <w:marTop w:val="0"/>
      <w:marBottom w:val="0"/>
      <w:divBdr>
        <w:top w:val="none" w:sz="0" w:space="0" w:color="auto"/>
        <w:left w:val="none" w:sz="0" w:space="0" w:color="auto"/>
        <w:bottom w:val="none" w:sz="0" w:space="0" w:color="auto"/>
        <w:right w:val="none" w:sz="0" w:space="0" w:color="auto"/>
      </w:divBdr>
    </w:div>
    <w:div w:id="1912307477">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Mai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legal/ceii-foia/cei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EAC7F601CD76438313764BE493CC4F" ma:contentTypeVersion="6" ma:contentTypeDescription="Create a new document." ma:contentTypeScope="" ma:versionID="f517e9b7ca6c7492c414f7d5fcac3330">
  <xsd:schema xmlns:xsd="http://www.w3.org/2001/XMLSchema" xmlns:xs="http://www.w3.org/2001/XMLSchema" xmlns:p="http://schemas.microsoft.com/office/2006/metadata/properties" xmlns:ns3="087c83cf-0993-4cd6-bfdc-b1c6ea4d56ce" targetNamespace="http://schemas.microsoft.com/office/2006/metadata/properties" ma:root="true" ma:fieldsID="8a2ac875463418fbe98dc29aeb6316f8" ns3:_="">
    <xsd:import namespace="087c83cf-0993-4cd6-bfdc-b1c6ea4d5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83cf-0993-4cd6-bfdc-b1c6ea4d5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2.xml><?xml version="1.0" encoding="utf-8"?>
<ds:datastoreItem xmlns:ds="http://schemas.openxmlformats.org/officeDocument/2006/customXml" ds:itemID="{79E370C3-05F7-466A-9237-EC178BAD60F3}">
  <ds:schemaRefs>
    <ds:schemaRef ds:uri="http://schemas.openxmlformats.org/officeDocument/2006/bibliography"/>
  </ds:schemaRefs>
</ds:datastoreItem>
</file>

<file path=customXml/itemProps3.xml><?xml version="1.0" encoding="utf-8"?>
<ds:datastoreItem xmlns:ds="http://schemas.openxmlformats.org/officeDocument/2006/customXml" ds:itemID="{9DF57017-6D35-4700-942D-9BCDC1A55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F8E28-64BA-4514-8793-E324C5F1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c83cf-0993-4cd6-bfdc-b1c6ea4d5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FERC-500 and FERC-505 draft supporting statement</vt:lpstr>
    </vt:vector>
  </TitlesOfParts>
  <Company>FERC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FERC-500 and FERC-505 draft supporting statement</dc:title>
  <dc:subject/>
  <dc:creator>Michele Chambers</dc:creator>
  <cp:keywords/>
  <dc:description/>
  <cp:lastModifiedBy>Jean Sonneman</cp:lastModifiedBy>
  <cp:revision>7</cp:revision>
  <cp:lastPrinted>2018-01-23T15:21:00Z</cp:lastPrinted>
  <dcterms:created xsi:type="dcterms:W3CDTF">2022-02-03T19:12:00Z</dcterms:created>
  <dcterms:modified xsi:type="dcterms:W3CDTF">2022-02-03T19:15:00Z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0x0101003EEAC7F601CD76438313764BE493CC4F</vt:lpwstr>
  </property>
  <property fmtid="{D5CDD505-2E9C-101B-9397-08002B2CF9AE}" pid="3" name="MSIP_Label_6155a89b-0f08-4a93-8ea2-8a916d6643b5_Enabled">
    <vt:lpwstr>true</vt:lpwstr>
  </property>
  <property fmtid="{D5CDD505-2E9C-101B-9397-08002B2CF9AE}" pid="4" name="MSIP_Label_6155a89b-0f08-4a93-8ea2-8a916d6643b5_SetDate">
    <vt:lpwstr>2021-11-24T17:49:15Z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d9dcccc8-7a0f-4119-af30-2ab17e641576</vt:lpwstr>
  </property>
  <property fmtid="{D5CDD505-2E9C-101B-9397-08002B2CF9AE}" pid="9" name="MSIP_Label_6155a89b-0f08-4a93-8ea2-8a916d6643b5_ContentBits">
    <vt:lpwstr>0</vt:lpwstr>
  </property>
</Properties>
</file>