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0809" w14:paraId="09DA77B5"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Supporting Statement for</w:t>
      </w:r>
    </w:p>
    <w:p w:rsidR="00D20809" w:rsidRPr="003E0A00" w:rsidP="003E0A00" w14:paraId="32783124" w14:textId="411A2A8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FERC-725G, </w:t>
      </w:r>
      <w:r>
        <w:rPr>
          <w:rFonts w:ascii="Times New Roman" w:eastAsia="Times New Roman" w:hAnsi="Times New Roman" w:cs="Times New Roman"/>
          <w:b/>
          <w:bCs/>
          <w:sz w:val="26"/>
          <w:szCs w:val="26"/>
        </w:rPr>
        <w:t>Mandatory Reliability Standards for the Bulk-Power System: PRC Standards</w:t>
      </w:r>
      <w:r w:rsidR="00370B82">
        <w:rPr>
          <w:rFonts w:ascii="Times New Roman" w:eastAsia="Times New Roman" w:hAnsi="Times New Roman" w:cs="Times New Roman"/>
          <w:b/>
          <w:bCs/>
          <w:sz w:val="26"/>
          <w:szCs w:val="26"/>
        </w:rPr>
        <w:t xml:space="preserve">. </w:t>
      </w:r>
    </w:p>
    <w:p w:rsidR="00D20809" w14:paraId="4801F464" w14:textId="77777777">
      <w:pPr>
        <w:spacing w:after="0" w:line="240" w:lineRule="auto"/>
        <w:rPr>
          <w:rFonts w:ascii="Times New Roman" w:hAnsi="Times New Roman" w:cs="Times New Roman"/>
          <w:sz w:val="26"/>
          <w:szCs w:val="26"/>
        </w:rPr>
      </w:pPr>
    </w:p>
    <w:p w:rsidR="00370B82" w:rsidRPr="005D0329" w:rsidP="00370B82" w14:paraId="0A4EF271" w14:textId="03B616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The Federal Energy Regulatory Commission (Commission or FERC) requests that the Office of Management and Budget (OMB) review and approve FERC-725G, </w:t>
      </w:r>
      <w:r>
        <w:rPr>
          <w:rFonts w:ascii="Times New Roman" w:eastAsia="Times New Roman" w:hAnsi="Times New Roman" w:cs="Times New Roman"/>
          <w:sz w:val="26"/>
          <w:szCs w:val="26"/>
        </w:rPr>
        <w:t>Mandatory Reliability Standards for the Bulk-Power System: PRC Standards</w:t>
      </w:r>
      <w:r>
        <w:rPr>
          <w:rFonts w:ascii="Times New Roman" w:eastAsia="Times New Roman" w:hAnsi="Times New Roman" w:cs="Times New Roman"/>
          <w:bCs/>
          <w:sz w:val="26"/>
          <w:szCs w:val="26"/>
        </w:rPr>
        <w:t xml:space="preserve"> under OMB Control Number 1902-0252.  </w:t>
      </w:r>
      <w:bookmarkStart w:id="0" w:name="_Hlk193269908"/>
      <w:r>
        <w:rPr>
          <w:rFonts w:ascii="Times New Roman" w:eastAsia="Times New Roman" w:hAnsi="Times New Roman" w:cs="Times New Roman"/>
          <w:bCs/>
          <w:sz w:val="26"/>
          <w:szCs w:val="26"/>
        </w:rPr>
        <w:t xml:space="preserve">This </w:t>
      </w:r>
      <w:r w:rsidRPr="005D0329">
        <w:rPr>
          <w:rFonts w:ascii="Times New Roman" w:eastAsia="Times New Roman" w:hAnsi="Times New Roman" w:cs="Times New Roman"/>
          <w:sz w:val="26"/>
          <w:szCs w:val="26"/>
        </w:rPr>
        <w:t xml:space="preserve">renewal request is for updating the transfer of 725G1, 725G4, </w:t>
      </w:r>
      <w:r w:rsidR="00A34FBA">
        <w:rPr>
          <w:rFonts w:ascii="Times New Roman" w:eastAsia="Times New Roman" w:hAnsi="Times New Roman" w:cs="Times New Roman"/>
          <w:sz w:val="26"/>
          <w:szCs w:val="26"/>
        </w:rPr>
        <w:t>725P1</w:t>
      </w:r>
      <w:r w:rsidRPr="005D0329">
        <w:rPr>
          <w:rFonts w:ascii="Times New Roman" w:eastAsia="Times New Roman" w:hAnsi="Times New Roman" w:cs="Times New Roman"/>
          <w:sz w:val="26"/>
          <w:szCs w:val="26"/>
        </w:rPr>
        <w:t>and 725A’s (PRC-008, PRC-011, and PRC-01</w:t>
      </w:r>
      <w:r w:rsidR="0015219E">
        <w:rPr>
          <w:rFonts w:ascii="Times New Roman" w:eastAsia="Times New Roman" w:hAnsi="Times New Roman" w:cs="Times New Roman"/>
          <w:sz w:val="26"/>
          <w:szCs w:val="26"/>
        </w:rPr>
        <w:t>7</w:t>
      </w:r>
      <w:r w:rsidRPr="005D0329">
        <w:rPr>
          <w:rFonts w:ascii="Times New Roman" w:eastAsia="Times New Roman" w:hAnsi="Times New Roman" w:cs="Times New Roman"/>
          <w:sz w:val="26"/>
          <w:szCs w:val="26"/>
        </w:rPr>
        <w:t>)</w:t>
      </w:r>
      <w:bookmarkEnd w:id="0"/>
      <w:r w:rsidRPr="005D0329">
        <w:rPr>
          <w:rFonts w:ascii="Times New Roman" w:eastAsia="Times New Roman" w:hAnsi="Times New Roman" w:cs="Times New Roman"/>
          <w:sz w:val="26"/>
          <w:szCs w:val="26"/>
        </w:rPr>
        <w:t xml:space="preserve">.  This approval will </w:t>
      </w:r>
      <w:r w:rsidRPr="005D0329" w:rsidR="005D0329">
        <w:rPr>
          <w:rFonts w:ascii="Times New Roman" w:eastAsia="Times New Roman" w:hAnsi="Times New Roman" w:cs="Times New Roman"/>
          <w:sz w:val="26"/>
          <w:szCs w:val="26"/>
        </w:rPr>
        <w:t>allow for the discontinuance of 725G</w:t>
      </w:r>
      <w:r w:rsidR="00A34FBA">
        <w:rPr>
          <w:rFonts w:ascii="Times New Roman" w:eastAsia="Times New Roman" w:hAnsi="Times New Roman" w:cs="Times New Roman"/>
          <w:sz w:val="26"/>
          <w:szCs w:val="26"/>
        </w:rPr>
        <w:t>1,</w:t>
      </w:r>
      <w:r w:rsidRPr="005D0329" w:rsidR="005D0329">
        <w:rPr>
          <w:rFonts w:ascii="Times New Roman" w:eastAsia="Times New Roman" w:hAnsi="Times New Roman" w:cs="Times New Roman"/>
          <w:sz w:val="26"/>
          <w:szCs w:val="26"/>
        </w:rPr>
        <w:t xml:space="preserve"> 725G4</w:t>
      </w:r>
      <w:r w:rsidR="00A34FBA">
        <w:rPr>
          <w:rFonts w:ascii="Times New Roman" w:eastAsia="Times New Roman" w:hAnsi="Times New Roman" w:cs="Times New Roman"/>
          <w:sz w:val="26"/>
          <w:szCs w:val="26"/>
        </w:rPr>
        <w:t>, and 725P1</w:t>
      </w:r>
      <w:r w:rsidRPr="005D0329" w:rsidR="005D0329">
        <w:rPr>
          <w:rFonts w:ascii="Times New Roman" w:eastAsia="Times New Roman" w:hAnsi="Times New Roman" w:cs="Times New Roman"/>
          <w:sz w:val="26"/>
          <w:szCs w:val="26"/>
        </w:rPr>
        <w:t>.</w:t>
      </w:r>
    </w:p>
    <w:p w:rsidR="00C73090" w:rsidRPr="005D0329" w:rsidP="00C73090" w14:paraId="0C957422" w14:textId="11B78FC0">
      <w:pPr>
        <w:spacing w:after="0" w:line="240" w:lineRule="auto"/>
        <w:rPr>
          <w:rFonts w:ascii="Times New Roman" w:eastAsia="Times New Roman" w:hAnsi="Times New Roman" w:cs="Times New Roman"/>
          <w:sz w:val="26"/>
          <w:szCs w:val="26"/>
        </w:rPr>
      </w:pPr>
    </w:p>
    <w:p w:rsidR="00D20809" w:rsidRPr="00BD762F" w:rsidP="00FE4195" w14:paraId="16636CB1" w14:textId="5C94F49F">
      <w:pPr>
        <w:spacing w:after="0" w:line="240" w:lineRule="auto"/>
        <w:rPr>
          <w:rFonts w:ascii="Times New Roman" w:hAnsi="Times New Roman" w:cs="Times New Roman"/>
          <w:sz w:val="26"/>
          <w:szCs w:val="26"/>
        </w:rPr>
      </w:pPr>
    </w:p>
    <w:p w:rsidR="00D20809" w14:paraId="7F4D80F0" w14:textId="77777777">
      <w:pPr>
        <w:spacing w:after="0" w:line="240" w:lineRule="auto"/>
        <w:ind w:left="720"/>
        <w:rPr>
          <w:rFonts w:ascii="Times New Roman" w:hAnsi="Times New Roman" w:cs="Times New Roman"/>
          <w:sz w:val="26"/>
          <w:szCs w:val="26"/>
        </w:rPr>
      </w:pPr>
    </w:p>
    <w:p w:rsidR="00D20809" w14:paraId="5B5871B2" w14:textId="77777777">
      <w:pPr>
        <w:numPr>
          <w:ilvl w:val="0"/>
          <w:numId w:val="2"/>
        </w:numPr>
        <w:spacing w:after="0" w:line="240" w:lineRule="auto"/>
        <w:rPr>
          <w:rFonts w:ascii="Times New Roman" w:hAnsi="Times New Roman" w:cs="Times New Roman"/>
          <w:sz w:val="26"/>
          <w:szCs w:val="26"/>
        </w:rPr>
      </w:pPr>
      <w:r>
        <w:rPr>
          <w:rFonts w:ascii="Times New Roman" w:hAnsi="Times New Roman" w:cs="Times New Roman"/>
          <w:b/>
          <w:sz w:val="26"/>
          <w:szCs w:val="26"/>
        </w:rPr>
        <w:t>CIRCUMSTANCES THAT MAKE THE COLLECTION OF INFORMATION NECESSARY</w:t>
      </w:r>
    </w:p>
    <w:p w:rsidR="00D20809" w14:paraId="6B0E92E7" w14:textId="77777777">
      <w:pPr>
        <w:spacing w:after="0" w:line="240" w:lineRule="auto"/>
        <w:rPr>
          <w:rFonts w:ascii="Times New Roman" w:hAnsi="Times New Roman" w:cs="Times New Roman"/>
          <w:b/>
          <w:sz w:val="26"/>
          <w:szCs w:val="26"/>
        </w:rPr>
      </w:pPr>
    </w:p>
    <w:p w:rsidR="00D20809" w14:paraId="29268E92" w14:textId="77777777">
      <w:pPr>
        <w:spacing w:after="0" w:line="240" w:lineRule="auto"/>
        <w:rPr>
          <w:rFonts w:ascii="Times New Roman" w:hAnsi="Times New Roman" w:cs="Times New Roman"/>
          <w:sz w:val="26"/>
          <w:szCs w:val="26"/>
        </w:rPr>
      </w:pPr>
      <w:bookmarkStart w:id="1" w:name="_Hlk41486816"/>
      <w:r>
        <w:rPr>
          <w:rFonts w:ascii="Times New Roman" w:hAnsi="Times New Roman" w:cs="Times New Roman"/>
          <w:sz w:val="26"/>
          <w:szCs w:val="26"/>
        </w:rPr>
        <w:t>On August 8, 2005, The Electricity Modernization Act of 2005, which is Title XII of the Energy Policy Act of 2005 (</w:t>
      </w:r>
      <w:r>
        <w:rPr>
          <w:rFonts w:ascii="Times New Roman" w:hAnsi="Times New Roman" w:cs="Times New Roman"/>
          <w:sz w:val="26"/>
          <w:szCs w:val="26"/>
        </w:rPr>
        <w:t>EPAct</w:t>
      </w:r>
      <w:r>
        <w:rPr>
          <w:rFonts w:ascii="Times New Roman" w:hAnsi="Times New Roman" w:cs="Times New Roman"/>
          <w:sz w:val="26"/>
          <w:szCs w:val="26"/>
        </w:rPr>
        <w:t xml:space="preserve"> 2005), was enacted into law</w:t>
      </w:r>
      <w:r>
        <w:rPr>
          <w:rFonts w:ascii="Times New Roman" w:hAnsi="Times New Roman" w:cs="Times New Roman"/>
          <w:sz w:val="26"/>
          <w:szCs w:val="26"/>
          <w:vertAlign w:val="superscript"/>
        </w:rPr>
        <w:footnoteReference w:id="3"/>
      </w:r>
      <w:r>
        <w:rPr>
          <w:rFonts w:ascii="Times New Roman" w:hAnsi="Times New Roman" w:cs="Times New Roman"/>
          <w:sz w:val="26"/>
          <w:szCs w:val="26"/>
        </w:rPr>
        <w:t xml:space="preserve">.  </w:t>
      </w:r>
      <w:r>
        <w:rPr>
          <w:rFonts w:ascii="Times New Roman" w:hAnsi="Times New Roman" w:cs="Times New Roman"/>
          <w:sz w:val="26"/>
          <w:szCs w:val="26"/>
        </w:rPr>
        <w:t>EPAct</w:t>
      </w:r>
      <w:r>
        <w:rPr>
          <w:rFonts w:ascii="Times New Roman" w:hAnsi="Times New Roman" w:cs="Times New Roman"/>
          <w:sz w:val="26"/>
          <w:szCs w:val="26"/>
        </w:rPr>
        <w:t xml:space="preserve"> 2005 added a new section 215 to the Federal Power Act (FPA), which requires a Commission-certified Electric Reliability Organization (ERO) to develop mandatory and enforceable Reliability Standards, subject to Commission review and approval.</w:t>
      </w:r>
    </w:p>
    <w:p w:rsidR="00D20809" w14:paraId="47384B2F" w14:textId="77777777">
      <w:pPr>
        <w:spacing w:after="0" w:line="240" w:lineRule="auto"/>
        <w:rPr>
          <w:rFonts w:ascii="Times New Roman" w:hAnsi="Times New Roman" w:cs="Times New Roman"/>
          <w:sz w:val="26"/>
          <w:szCs w:val="26"/>
        </w:rPr>
      </w:pPr>
    </w:p>
    <w:p w:rsidR="00D20809" w14:paraId="55A9233D"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Section 215 of the FPA requires a Commission-certified ERO to develop mandatory and enforceable Reliability Standards, subject to Commission review and approval.</w:t>
      </w:r>
      <w:r>
        <w:rPr>
          <w:rFonts w:ascii="Times New Roman" w:hAnsi="Times New Roman" w:cs="Times New Roman"/>
          <w:b/>
          <w:sz w:val="26"/>
          <w:szCs w:val="26"/>
          <w:vertAlign w:val="superscript"/>
        </w:rPr>
        <w:footnoteReference w:id="4"/>
      </w:r>
      <w:r>
        <w:rPr>
          <w:rFonts w:ascii="Times New Roman" w:hAnsi="Times New Roman" w:cs="Times New Roman"/>
          <w:sz w:val="26"/>
          <w:szCs w:val="26"/>
        </w:rPr>
        <w:t xml:space="preserve">  Once approved, the Reliability Standards may be enforced by the ERO subject to Commission oversight or by the Commission independently.</w:t>
      </w:r>
      <w:r>
        <w:rPr>
          <w:rFonts w:ascii="Times New Roman" w:hAnsi="Times New Roman" w:cs="Times New Roman"/>
          <w:b/>
          <w:sz w:val="26"/>
          <w:szCs w:val="26"/>
          <w:vertAlign w:val="superscript"/>
        </w:rPr>
        <w:footnoteReference w:id="5"/>
      </w:r>
      <w:r>
        <w:rPr>
          <w:rFonts w:ascii="Times New Roman" w:hAnsi="Times New Roman" w:cs="Times New Roman"/>
          <w:sz w:val="26"/>
          <w:szCs w:val="26"/>
        </w:rPr>
        <w:t xml:space="preserve">  In 2006, the Commission certified NERC (North American Electric Reliability Corporation) as the ERO</w:t>
      </w:r>
      <w:r>
        <w:rPr>
          <w:rStyle w:val="FootnoteReference"/>
          <w:rFonts w:ascii="Times New Roman" w:hAnsi="Times New Roman" w:cs="Times New Roman"/>
          <w:sz w:val="26"/>
          <w:szCs w:val="26"/>
        </w:rPr>
        <w:footnoteReference w:id="6"/>
      </w:r>
      <w:r>
        <w:rPr>
          <w:rFonts w:ascii="Times New Roman" w:hAnsi="Times New Roman" w:cs="Times New Roman"/>
          <w:sz w:val="26"/>
          <w:szCs w:val="26"/>
        </w:rPr>
        <w:t xml:space="preserve"> pursuant to section 215 of the FPA.</w:t>
      </w:r>
      <w:r>
        <w:rPr>
          <w:rFonts w:ascii="Times New Roman" w:hAnsi="Times New Roman" w:cs="Times New Roman"/>
          <w:b/>
          <w:sz w:val="26"/>
          <w:szCs w:val="26"/>
          <w:vertAlign w:val="superscript"/>
        </w:rPr>
        <w:footnoteReference w:id="7"/>
      </w:r>
    </w:p>
    <w:bookmarkEnd w:id="1"/>
    <w:p w:rsidR="00D20809" w14:paraId="54B9BAD8" w14:textId="77777777">
      <w:pPr>
        <w:spacing w:after="0" w:line="240" w:lineRule="auto"/>
        <w:rPr>
          <w:rFonts w:ascii="Times New Roman" w:hAnsi="Times New Roman" w:cs="Times New Roman"/>
          <w:sz w:val="26"/>
          <w:szCs w:val="26"/>
        </w:rPr>
      </w:pPr>
    </w:p>
    <w:p w:rsidR="008A4992" w14:paraId="26432D29" w14:textId="2BFE31B4">
      <w:pPr>
        <w:spacing w:after="0" w:line="240" w:lineRule="auto"/>
        <w:rPr>
          <w:rFonts w:ascii="Times New Roman" w:hAnsi="Times New Roman" w:cs="Times New Roman"/>
          <w:sz w:val="26"/>
          <w:szCs w:val="26"/>
        </w:rPr>
      </w:pPr>
      <w:r>
        <w:rPr>
          <w:rFonts w:ascii="Times New Roman" w:hAnsi="Times New Roman" w:cs="Times New Roman"/>
          <w:sz w:val="26"/>
          <w:szCs w:val="26"/>
        </w:rPr>
        <w:t>On March 16, 2007 (pursuant to section 215(d) of the FPA), the Commission issued Order No. 693, approving 83 of the 107 initial Reliability Standards filed by NERC.  Order 693 addressed several PER and PRC Reliability Standards.  Some of them were approved, but others were approved with a Commission directive for NERC to make modifications.  In the intervening years, numerous changes have been made to update, eliminate, or establish various Reliability Standards.</w:t>
      </w:r>
    </w:p>
    <w:p w:rsidR="00D20809" w14:paraId="1AB8ED59" w14:textId="77777777">
      <w:pPr>
        <w:spacing w:after="0" w:line="240" w:lineRule="auto"/>
        <w:rPr>
          <w:rFonts w:ascii="Times New Roman" w:hAnsi="Times New Roman" w:cs="Times New Roman"/>
          <w:b/>
          <w:sz w:val="26"/>
          <w:szCs w:val="26"/>
        </w:rPr>
      </w:pPr>
    </w:p>
    <w:p w:rsidR="00D20809" w14:paraId="4376347E"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HOW, BY WHOM, AND FOR WHAT PURPOSE THE INFORMATION IS TO BE USED AND THE CONSEQUENCES OF NOT COLLECTING THE INFORMATION</w:t>
      </w:r>
    </w:p>
    <w:p w:rsidR="002A006D" w:rsidP="002A006D" w14:paraId="5943FC40" w14:textId="77777777">
      <w:pPr>
        <w:spacing w:after="0" w:line="240" w:lineRule="auto"/>
        <w:rPr>
          <w:rFonts w:ascii="Times New Roman" w:hAnsi="Times New Roman" w:cs="Times New Roman"/>
          <w:b/>
          <w:sz w:val="26"/>
          <w:szCs w:val="26"/>
        </w:rPr>
      </w:pPr>
    </w:p>
    <w:p w:rsidR="007F10FC" w:rsidRPr="007F10FC" w:rsidP="007F10FC" w14:paraId="660223AA" w14:textId="77777777">
      <w:pPr>
        <w:spacing w:after="0" w:line="240" w:lineRule="auto"/>
        <w:rPr>
          <w:rFonts w:ascii="Times New Roman" w:eastAsia="Calibri" w:hAnsi="Times New Roman" w:cs="Times New Roman"/>
          <w:sz w:val="26"/>
          <w:szCs w:val="26"/>
        </w:rPr>
      </w:pPr>
      <w:r w:rsidRPr="007F10FC">
        <w:rPr>
          <w:rFonts w:ascii="Times New Roman" w:eastAsia="Calibri" w:hAnsi="Times New Roman" w:cs="Times New Roman"/>
          <w:sz w:val="26"/>
          <w:szCs w:val="26"/>
        </w:rPr>
        <w:t>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  Absent the collections of information associated with Reliability Standards, reliability of the bulk-power system could become compromised, potentially resulting in outages.</w:t>
      </w:r>
    </w:p>
    <w:p w:rsidR="00895EC4" w:rsidRPr="00895EC4" w:rsidP="00895EC4" w14:paraId="00FEA361" w14:textId="77D5E058">
      <w:pPr>
        <w:spacing w:after="200" w:line="240" w:lineRule="auto"/>
        <w:rPr>
          <w:rFonts w:ascii="Times New Roman" w:eastAsia="Calibri" w:hAnsi="Times New Roman" w:cs="Times New Roman"/>
          <w:iCs/>
          <w:sz w:val="26"/>
          <w:szCs w:val="26"/>
        </w:rPr>
      </w:pPr>
      <w:r w:rsidRPr="008A4992">
        <w:rPr>
          <w:rFonts w:ascii="Times New Roman" w:eastAsia="Calibri" w:hAnsi="Times New Roman" w:cs="Times New Roman"/>
          <w:iCs/>
          <w:sz w:val="26"/>
          <w:szCs w:val="26"/>
        </w:rPr>
        <w:t>Section 215 of the Federal Power Act (FPA)</w:t>
      </w:r>
      <w:r>
        <w:rPr>
          <w:rFonts w:ascii="Times New Roman" w:eastAsia="Calibri" w:hAnsi="Times New Roman" w:cs="Times New Roman"/>
          <w:iCs/>
          <w:sz w:val="26"/>
          <w:szCs w:val="26"/>
          <w:vertAlign w:val="superscript"/>
        </w:rPr>
        <w:footnoteReference w:id="8"/>
      </w:r>
      <w:r w:rsidRPr="008A4992">
        <w:rPr>
          <w:rFonts w:ascii="Times New Roman" w:eastAsia="Calibri" w:hAnsi="Times New Roman" w:cs="Times New Roman"/>
          <w:iCs/>
          <w:sz w:val="26"/>
          <w:szCs w:val="26"/>
        </w:rPr>
        <w:t xml:space="preserve"> requires a Commission-certified Electric Reliability Organization (ERO) to develop mandatory and enforceable Reliability Standards, which are subject to Commission review and approval.  The Commission has certified the North American Reliability Corporation (NERC) as the ERO.  In addition, a Regional Entity may propose Reliability Standards to be effective in that region.</w:t>
      </w:r>
      <w:r>
        <w:rPr>
          <w:rFonts w:ascii="Times New Roman" w:eastAsia="Calibri" w:hAnsi="Times New Roman" w:cs="Times New Roman"/>
          <w:b/>
          <w:iCs/>
          <w:sz w:val="26"/>
          <w:szCs w:val="26"/>
          <w:vertAlign w:val="superscript"/>
        </w:rPr>
        <w:footnoteReference w:id="9"/>
      </w:r>
      <w:r w:rsidRPr="008A4992">
        <w:rPr>
          <w:rFonts w:ascii="Times New Roman" w:eastAsia="Calibri" w:hAnsi="Times New Roman" w:cs="Times New Roman"/>
          <w:iCs/>
          <w:sz w:val="26"/>
          <w:szCs w:val="26"/>
        </w:rPr>
        <w:t xml:space="preserve">  Once approved, Reliability Standards may be enforced by the ERO subject to Commission oversight or by the Commission independently.  </w:t>
      </w:r>
      <w:r w:rsidRPr="00895EC4">
        <w:rPr>
          <w:rFonts w:ascii="Times New Roman" w:eastAsia="Times New Roman" w:hAnsi="Times New Roman" w:cs="Times New Roman"/>
          <w:iCs/>
          <w:sz w:val="26"/>
          <w:szCs w:val="26"/>
        </w:rPr>
        <w:t>The Commission collects information under FERC-725G1 in accordance with section 215 of the Federal Power Act (FPA)</w:t>
      </w:r>
      <w:r>
        <w:rPr>
          <w:rFonts w:ascii="Times New Roman" w:eastAsia="Times New Roman" w:hAnsi="Times New Roman" w:cs="Times New Roman"/>
          <w:b/>
          <w:iCs/>
          <w:sz w:val="26"/>
          <w:szCs w:val="26"/>
          <w:vertAlign w:val="superscript"/>
        </w:rPr>
        <w:footnoteReference w:id="10"/>
      </w:r>
      <w:r w:rsidRPr="00895EC4">
        <w:rPr>
          <w:rFonts w:ascii="Times New Roman" w:eastAsia="Times New Roman" w:hAnsi="Times New Roman" w:cs="Times New Roman"/>
          <w:iCs/>
          <w:sz w:val="26"/>
          <w:szCs w:val="26"/>
        </w:rPr>
        <w:t xml:space="preserve">  and 18 CFR Parts 39 and 40.  Section 215 of the FPA gives the Commission and the North American Electric Reliability Corporation (as the Commission-approved Electric Reliability Organization) to establish and enforce reliability standards for all users, owners, and operators of the bulk-power system.</w:t>
      </w:r>
      <w:r>
        <w:rPr>
          <w:rFonts w:ascii="Times New Roman" w:eastAsia="Times New Roman" w:hAnsi="Times New Roman" w:cs="Times New Roman"/>
          <w:b/>
          <w:iCs/>
          <w:sz w:val="26"/>
          <w:szCs w:val="26"/>
          <w:vertAlign w:val="superscript"/>
        </w:rPr>
        <w:footnoteReference w:id="11"/>
      </w:r>
      <w:r w:rsidRPr="00895EC4">
        <w:rPr>
          <w:rFonts w:ascii="Times New Roman" w:eastAsia="Times New Roman" w:hAnsi="Times New Roman" w:cs="Times New Roman"/>
          <w:iCs/>
          <w:sz w:val="26"/>
          <w:szCs w:val="26"/>
        </w:rPr>
        <w:t xml:space="preserve">  Once approved, the Reliability </w:t>
      </w:r>
      <w:r w:rsidRPr="00895EC4">
        <w:rPr>
          <w:rFonts w:ascii="Times New Roman" w:eastAsia="Times New Roman" w:hAnsi="Times New Roman" w:cs="Times New Roman"/>
          <w:iCs/>
          <w:sz w:val="26"/>
          <w:szCs w:val="26"/>
        </w:rPr>
        <w:t>Standards may be enforced by the Electric Reliability Organization subject to Commission oversight, or by the Commission independently.</w:t>
      </w:r>
      <w:r>
        <w:rPr>
          <w:rFonts w:ascii="Times New Roman" w:eastAsia="Times New Roman" w:hAnsi="Times New Roman" w:cs="Times New Roman"/>
          <w:b/>
          <w:iCs/>
          <w:sz w:val="26"/>
          <w:szCs w:val="26"/>
          <w:vertAlign w:val="superscript"/>
        </w:rPr>
        <w:footnoteReference w:id="12"/>
      </w:r>
    </w:p>
    <w:p w:rsidR="00C9736D" w:rsidP="007F4AB7" w14:paraId="7D57C4EC" w14:textId="1E973366">
      <w:pPr>
        <w:spacing w:line="240" w:lineRule="auto"/>
        <w:rPr>
          <w:rFonts w:ascii="Times New Roman" w:eastAsia="Times New Roman" w:hAnsi="Times New Roman" w:cs="Times New Roman"/>
          <w:iCs/>
          <w:sz w:val="26"/>
          <w:szCs w:val="26"/>
        </w:rPr>
      </w:pPr>
      <w:r w:rsidRPr="00895EC4">
        <w:rPr>
          <w:rFonts w:ascii="Times New Roman" w:eastAsia="Times New Roman" w:hAnsi="Times New Roman" w:cs="Times New Roman"/>
          <w:iCs/>
          <w:sz w:val="26"/>
          <w:szCs w:val="26"/>
        </w:rPr>
        <w:t xml:space="preserve">Reliability Standard PRC-004-6 requires transmission owners, generator owners, and distribution providers to identify and correct causes of mis-operations of certain protection systems for bulk-power system elements.  It also requires retention of evidence of </w:t>
      </w:r>
      <w:r w:rsidRPr="00895EC4">
        <w:rPr>
          <w:rFonts w:ascii="Times New Roman" w:eastAsia="Times New Roman" w:hAnsi="Times New Roman" w:cs="Times New Roman"/>
          <w:iCs/>
          <w:sz w:val="26"/>
          <w:szCs w:val="26"/>
        </w:rPr>
        <w:t>misoperations</w:t>
      </w:r>
      <w:r w:rsidRPr="00895EC4">
        <w:rPr>
          <w:rFonts w:ascii="Times New Roman" w:eastAsia="Times New Roman" w:hAnsi="Times New Roman" w:cs="Times New Roman"/>
          <w:iCs/>
          <w:sz w:val="26"/>
          <w:szCs w:val="26"/>
        </w:rPr>
        <w:t xml:space="preserve"> for a minimum of 12 calendar months.</w:t>
      </w:r>
      <w:r>
        <w:rPr>
          <w:rFonts w:ascii="Times New Roman" w:eastAsia="Times New Roman" w:hAnsi="Times New Roman" w:cs="Times New Roman"/>
          <w:iCs/>
          <w:sz w:val="26"/>
          <w:szCs w:val="26"/>
        </w:rPr>
        <w:t xml:space="preserve"> </w:t>
      </w:r>
      <w:r w:rsidRPr="00C9736D">
        <w:rPr>
          <w:rFonts w:ascii="Times New Roman" w:eastAsia="Times New Roman" w:hAnsi="Times New Roman" w:cs="Times New Roman"/>
          <w:iCs/>
          <w:sz w:val="26"/>
          <w:szCs w:val="26"/>
        </w:rPr>
        <w:t>The Commission collects information under FERC-725G4 in accordance with section 215 of the FPA and 18 CFR Parts 39 and 40.  Reliability Standard PRC-010-2 requires respondents to submit date-stamped documentation of their compliance with the relevant UVLS Program.</w:t>
      </w:r>
      <w:r>
        <w:rPr>
          <w:rFonts w:ascii="Times New Roman" w:eastAsia="Times New Roman" w:hAnsi="Times New Roman" w:cs="Times New Roman"/>
          <w:b/>
          <w:iCs/>
          <w:sz w:val="26"/>
          <w:szCs w:val="26"/>
          <w:vertAlign w:val="superscript"/>
        </w:rPr>
        <w:footnoteReference w:id="13"/>
      </w:r>
      <w:r w:rsidR="007F4AB7">
        <w:rPr>
          <w:rFonts w:ascii="Times New Roman" w:eastAsia="Times New Roman" w:hAnsi="Times New Roman" w:cs="Times New Roman"/>
          <w:iCs/>
          <w:sz w:val="26"/>
          <w:szCs w:val="26"/>
        </w:rPr>
        <w:t xml:space="preserve"> </w:t>
      </w:r>
      <w:r w:rsidRPr="007F4AB7" w:rsidR="007F4AB7">
        <w:rPr>
          <w:rFonts w:ascii="Times New Roman" w:eastAsia="Times New Roman" w:hAnsi="Times New Roman" w:cs="Times New Roman"/>
          <w:iCs/>
          <w:sz w:val="26"/>
          <w:szCs w:val="26"/>
        </w:rPr>
        <w:t xml:space="preserve">The Commission collects information under FERC-725P1 in accordance with section 215 of the FPA and 18 CFR Parts 39 and 40.  Reliability Standard PRC-005-6 requires that transmission and generation protection systems affecting the reliability of the Bulk-Power System are maintained and tested. </w:t>
      </w:r>
    </w:p>
    <w:p w:rsidR="004C2CD0" w:rsidP="007F4AB7" w14:paraId="289110C9" w14:textId="4737046E">
      <w:pPr>
        <w:spacing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FERC-725A </w:t>
      </w:r>
      <w:r w:rsidR="00E0071C">
        <w:rPr>
          <w:rFonts w:ascii="Times New Roman" w:eastAsia="Times New Roman" w:hAnsi="Times New Roman" w:cs="Times New Roman"/>
          <w:iCs/>
          <w:sz w:val="26"/>
          <w:szCs w:val="26"/>
        </w:rPr>
        <w:t xml:space="preserve">was submitted to notify of the move of the following PRC standards into 725G where all other </w:t>
      </w:r>
      <w:r w:rsidR="00A3539C">
        <w:rPr>
          <w:rFonts w:ascii="Times New Roman" w:eastAsia="Times New Roman" w:hAnsi="Times New Roman" w:cs="Times New Roman"/>
          <w:iCs/>
          <w:sz w:val="26"/>
          <w:szCs w:val="26"/>
        </w:rPr>
        <w:t>PRC Standards are maintained. Those PRC Standards consist of PRC-</w:t>
      </w:r>
    </w:p>
    <w:p w:rsidR="00C07EA9" w:rsidP="00D27201" w14:paraId="588BB6A7" w14:textId="1CD98C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C07EA9">
        <w:rPr>
          <w:rFonts w:ascii="Times New Roman" w:eastAsia="Times New Roman" w:hAnsi="Times New Roman" w:cs="Times New Roman"/>
          <w:sz w:val="26"/>
          <w:szCs w:val="26"/>
        </w:rPr>
        <w:t>The FERC-725G information collection currently contains the reporting and recordkeeping requirements for the following (1</w:t>
      </w:r>
      <w:r w:rsidR="00CD29BC">
        <w:rPr>
          <w:rFonts w:ascii="Times New Roman" w:eastAsia="Times New Roman" w:hAnsi="Times New Roman" w:cs="Times New Roman"/>
          <w:sz w:val="26"/>
          <w:szCs w:val="26"/>
        </w:rPr>
        <w:t>5</w:t>
      </w:r>
      <w:r w:rsidRPr="00C07EA9">
        <w:rPr>
          <w:rFonts w:ascii="Times New Roman" w:eastAsia="Times New Roman" w:hAnsi="Times New Roman" w:cs="Times New Roman"/>
          <w:sz w:val="26"/>
          <w:szCs w:val="26"/>
        </w:rPr>
        <w:t xml:space="preserve">) Reliability Standards:  </w:t>
      </w:r>
      <w:r w:rsidRPr="00C07EA9">
        <w:rPr>
          <w:rFonts w:ascii="Times New Roman" w:eastAsia="Times New Roman" w:hAnsi="Times New Roman" w:cs="Times New Roman"/>
          <w:bCs/>
          <w:sz w:val="26"/>
          <w:szCs w:val="26"/>
        </w:rPr>
        <w:t>PRC-002-4, PRC-004-6, PRC-005-6, PRC-006-5,</w:t>
      </w:r>
      <w:r w:rsidR="00D35BE7">
        <w:rPr>
          <w:rFonts w:ascii="Times New Roman" w:eastAsia="Times New Roman" w:hAnsi="Times New Roman" w:cs="Times New Roman"/>
          <w:bCs/>
          <w:sz w:val="26"/>
          <w:szCs w:val="26"/>
        </w:rPr>
        <w:t xml:space="preserve"> PRC-008-0,</w:t>
      </w:r>
      <w:r w:rsidRPr="00C07EA9">
        <w:rPr>
          <w:rFonts w:ascii="Times New Roman" w:eastAsia="Times New Roman" w:hAnsi="Times New Roman" w:cs="Times New Roman"/>
          <w:bCs/>
          <w:sz w:val="26"/>
          <w:szCs w:val="26"/>
        </w:rPr>
        <w:t xml:space="preserve"> PRC-010-2,</w:t>
      </w:r>
      <w:r w:rsidR="00AB3A0E">
        <w:rPr>
          <w:rFonts w:ascii="Times New Roman" w:eastAsia="Times New Roman" w:hAnsi="Times New Roman" w:cs="Times New Roman"/>
          <w:bCs/>
          <w:sz w:val="26"/>
          <w:szCs w:val="26"/>
        </w:rPr>
        <w:t xml:space="preserve"> PRC-011-0,</w:t>
      </w:r>
      <w:r w:rsidRPr="00C07EA9">
        <w:rPr>
          <w:rFonts w:ascii="Times New Roman" w:eastAsia="Times New Roman" w:hAnsi="Times New Roman" w:cs="Times New Roman"/>
          <w:bCs/>
          <w:sz w:val="26"/>
          <w:szCs w:val="26"/>
        </w:rPr>
        <w:t xml:space="preserve"> PRC-012-2, </w:t>
      </w:r>
      <w:r w:rsidR="00AB3A0E">
        <w:rPr>
          <w:rFonts w:ascii="Times New Roman" w:eastAsia="Times New Roman" w:hAnsi="Times New Roman" w:cs="Times New Roman"/>
          <w:bCs/>
          <w:sz w:val="26"/>
          <w:szCs w:val="26"/>
        </w:rPr>
        <w:t>PRC-01</w:t>
      </w:r>
      <w:r w:rsidR="00271D2D">
        <w:rPr>
          <w:rFonts w:ascii="Times New Roman" w:eastAsia="Times New Roman" w:hAnsi="Times New Roman" w:cs="Times New Roman"/>
          <w:bCs/>
          <w:sz w:val="26"/>
          <w:szCs w:val="26"/>
        </w:rPr>
        <w:t xml:space="preserve">7-1, </w:t>
      </w:r>
      <w:r w:rsidRPr="00C07EA9">
        <w:rPr>
          <w:rFonts w:ascii="Times New Roman" w:eastAsia="Times New Roman" w:hAnsi="Times New Roman" w:cs="Times New Roman"/>
          <w:bCs/>
          <w:sz w:val="26"/>
          <w:szCs w:val="26"/>
        </w:rPr>
        <w:t>PRC-019-2, PRC-023-6, PRC-024-3, PRC-025-2, PRC-026-2, and PRC-027-1</w:t>
      </w:r>
      <w:r w:rsidRPr="00C07EA9">
        <w:rPr>
          <w:rFonts w:ascii="Times New Roman" w:eastAsia="Times New Roman" w:hAnsi="Times New Roman" w:cs="Times New Roman"/>
          <w:sz w:val="26"/>
          <w:szCs w:val="26"/>
        </w:rPr>
        <w:t>.</w:t>
      </w:r>
    </w:p>
    <w:p w:rsidR="00D27201" w:rsidRPr="00C07EA9" w:rsidP="00D27201" w14:paraId="7BDAC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C07EA9" w:rsidRPr="00C07EA9" w:rsidP="00C07EA9" w14:paraId="02EAFFA3" w14:textId="77777777">
      <w:pPr>
        <w:numPr>
          <w:ilvl w:val="0"/>
          <w:numId w:val="15"/>
        </w:numPr>
        <w:spacing w:after="0" w:line="240" w:lineRule="auto"/>
        <w:contextualSpacing/>
        <w:rPr>
          <w:rFonts w:ascii="Times New Roman" w:eastAsia="Times New Roman" w:hAnsi="Times New Roman" w:cs="Times New Roman"/>
          <w:b/>
          <w:sz w:val="26"/>
          <w:szCs w:val="26"/>
          <w:u w:val="single"/>
        </w:rPr>
      </w:pPr>
      <w:r w:rsidRPr="00C07EA9">
        <w:rPr>
          <w:rFonts w:ascii="Times New Roman" w:eastAsia="Times New Roman" w:hAnsi="Times New Roman" w:cs="Times New Roman"/>
          <w:b/>
          <w:sz w:val="26"/>
          <w:szCs w:val="26"/>
          <w:u w:val="single"/>
        </w:rPr>
        <w:t>PRC-002-4 Disturbance Monitoring and Reporting Requirements</w:t>
      </w:r>
    </w:p>
    <w:p w:rsidR="00C07EA9" w:rsidP="00C07EA9" w14:paraId="0C5DB0F6" w14:textId="77777777">
      <w:pPr>
        <w:ind w:left="720"/>
        <w:contextualSpacing/>
        <w:rPr>
          <w:rFonts w:ascii="Times New Roman" w:eastAsia="Times New Roman" w:hAnsi="Times New Roman" w:cs="Times New Roman"/>
          <w:bCs/>
          <w:sz w:val="26"/>
          <w:szCs w:val="26"/>
        </w:rPr>
      </w:pPr>
      <w:r w:rsidRPr="00C07EA9">
        <w:rPr>
          <w:rFonts w:ascii="Times New Roman" w:eastAsia="Times New Roman" w:hAnsi="Times New Roman" w:cs="Times New Roman"/>
          <w:bCs/>
          <w:sz w:val="26"/>
          <w:szCs w:val="26"/>
        </w:rPr>
        <w:t xml:space="preserve">The purpose is to have adequate data available to facilitate analysis of Bulk Electric System (BES) Disturb. </w:t>
      </w:r>
    </w:p>
    <w:p w:rsidR="000C7A17" w:rsidP="00C07EA9" w14:paraId="3504AAC9" w14:textId="77777777">
      <w:pPr>
        <w:ind w:left="720"/>
        <w:contextualSpacing/>
        <w:rPr>
          <w:rFonts w:ascii="Times New Roman" w:eastAsia="Times New Roman" w:hAnsi="Times New Roman" w:cs="Times New Roman"/>
          <w:bCs/>
          <w:sz w:val="26"/>
          <w:szCs w:val="26"/>
        </w:rPr>
      </w:pPr>
    </w:p>
    <w:p w:rsidR="000C7A17" w:rsidRPr="005D6E54" w:rsidP="000C7A17" w14:paraId="1DD0EF53" w14:textId="70A466C4">
      <w:pPr>
        <w:pStyle w:val="ListParagraph"/>
        <w:numPr>
          <w:ilvl w:val="0"/>
          <w:numId w:val="15"/>
        </w:numPr>
        <w:rPr>
          <w:rFonts w:ascii="Times New Roman" w:eastAsia="Times New Roman" w:hAnsi="Times New Roman" w:cs="Times New Roman"/>
          <w:b/>
          <w:sz w:val="26"/>
          <w:szCs w:val="26"/>
          <w:u w:val="single"/>
        </w:rPr>
      </w:pPr>
      <w:r w:rsidRPr="005D6E54">
        <w:rPr>
          <w:rFonts w:ascii="Times New Roman" w:eastAsia="Times New Roman" w:hAnsi="Times New Roman" w:cs="Times New Roman"/>
          <w:b/>
          <w:sz w:val="26"/>
          <w:szCs w:val="26"/>
          <w:u w:val="single"/>
        </w:rPr>
        <w:t>PRC-004-6</w:t>
      </w:r>
      <w:r w:rsidRPr="005D6E54" w:rsidR="00813951">
        <w:rPr>
          <w:rFonts w:ascii="Times New Roman" w:eastAsia="Times New Roman" w:hAnsi="Times New Roman" w:cs="Times New Roman"/>
          <w:b/>
          <w:sz w:val="26"/>
          <w:szCs w:val="26"/>
          <w:u w:val="single"/>
        </w:rPr>
        <w:t xml:space="preserve"> </w:t>
      </w:r>
      <w:r w:rsidRPr="005D6E54" w:rsidR="005D6E54">
        <w:rPr>
          <w:rFonts w:ascii="Times New Roman" w:eastAsia="Times New Roman" w:hAnsi="Times New Roman" w:cs="Times New Roman"/>
          <w:b/>
          <w:sz w:val="26"/>
          <w:szCs w:val="26"/>
          <w:u w:val="single"/>
        </w:rPr>
        <w:t xml:space="preserve">Protection System </w:t>
      </w:r>
      <w:r w:rsidRPr="005D6E54" w:rsidR="005D6E54">
        <w:rPr>
          <w:rFonts w:ascii="Times New Roman" w:eastAsia="Times New Roman" w:hAnsi="Times New Roman" w:cs="Times New Roman"/>
          <w:b/>
          <w:sz w:val="26"/>
          <w:szCs w:val="26"/>
          <w:u w:val="single"/>
        </w:rPr>
        <w:t>Misoperation</w:t>
      </w:r>
      <w:r w:rsidRPr="005D6E54" w:rsidR="005D6E54">
        <w:rPr>
          <w:rFonts w:ascii="Times New Roman" w:eastAsia="Times New Roman" w:hAnsi="Times New Roman" w:cs="Times New Roman"/>
          <w:b/>
          <w:sz w:val="26"/>
          <w:szCs w:val="26"/>
          <w:u w:val="single"/>
        </w:rPr>
        <w:t xml:space="preserve"> Identification and Correction</w:t>
      </w:r>
    </w:p>
    <w:p w:rsidR="00C07EA9" w:rsidRPr="00C07EA9" w:rsidP="005D6E54" w14:paraId="015A8F50" w14:textId="44FDE03D">
      <w:pPr>
        <w:pStyle w:val="ListParagraph"/>
        <w:rPr>
          <w:rFonts w:ascii="Times New Roman" w:eastAsia="Times New Roman" w:hAnsi="Times New Roman" w:cs="Times New Roman"/>
          <w:bCs/>
          <w:sz w:val="26"/>
          <w:szCs w:val="26"/>
        </w:rPr>
      </w:pPr>
      <w:r w:rsidRPr="00813951">
        <w:rPr>
          <w:rFonts w:ascii="Times New Roman" w:eastAsia="Times New Roman" w:hAnsi="Times New Roman" w:cs="Times New Roman"/>
          <w:bCs/>
          <w:sz w:val="26"/>
          <w:szCs w:val="26"/>
        </w:rPr>
        <w:t xml:space="preserve">Identify and correct the causes of </w:t>
      </w:r>
      <w:r w:rsidRPr="00813951">
        <w:rPr>
          <w:rFonts w:ascii="Times New Roman" w:eastAsia="Times New Roman" w:hAnsi="Times New Roman" w:cs="Times New Roman"/>
          <w:bCs/>
          <w:sz w:val="26"/>
          <w:szCs w:val="26"/>
        </w:rPr>
        <w:t>Misoperations</w:t>
      </w:r>
      <w:r w:rsidRPr="00813951">
        <w:rPr>
          <w:rFonts w:ascii="Times New Roman" w:eastAsia="Times New Roman" w:hAnsi="Times New Roman" w:cs="Times New Roman"/>
          <w:bCs/>
          <w:sz w:val="26"/>
          <w:szCs w:val="26"/>
        </w:rPr>
        <w:t xml:space="preserve"> of Protection Systems for Bulk Electric System (BES) Elements.</w:t>
      </w:r>
    </w:p>
    <w:p w:rsidR="00B22060" w:rsidRPr="00B22060" w:rsidP="008833C4" w14:paraId="5B497710" w14:textId="77777777">
      <w:pPr>
        <w:numPr>
          <w:ilvl w:val="0"/>
          <w:numId w:val="15"/>
        </w:numPr>
        <w:spacing w:after="0" w:line="240" w:lineRule="auto"/>
        <w:contextualSpacing/>
        <w:rPr>
          <w:rFonts w:ascii="Times New Roman" w:eastAsia="Times New Roman" w:hAnsi="Times New Roman" w:cs="Times New Roman"/>
          <w:sz w:val="26"/>
          <w:szCs w:val="26"/>
        </w:rPr>
      </w:pPr>
      <w:r w:rsidRPr="00C07EA9">
        <w:rPr>
          <w:rFonts w:ascii="Times New Roman" w:eastAsia="Times New Roman" w:hAnsi="Times New Roman" w:cs="Times New Roman"/>
          <w:b/>
          <w:sz w:val="26"/>
          <w:szCs w:val="26"/>
          <w:u w:val="single"/>
        </w:rPr>
        <w:t>PRC-005-6</w:t>
      </w:r>
      <w:r w:rsidRPr="00C07EA9">
        <w:rPr>
          <w:rFonts w:ascii="Times New Roman" w:eastAsia="Calibri" w:hAnsi="Times New Roman" w:cs="Times New Roman"/>
          <w:bCs/>
          <w:sz w:val="26"/>
          <w:szCs w:val="26"/>
          <w:u w:val="single"/>
        </w:rPr>
        <w:t xml:space="preserve"> </w:t>
      </w:r>
      <w:r w:rsidRPr="00B22060">
        <w:rPr>
          <w:rFonts w:ascii="Times New Roman" w:eastAsia="Times New Roman" w:hAnsi="Times New Roman" w:cs="Times New Roman"/>
          <w:b/>
          <w:bCs/>
          <w:sz w:val="26"/>
          <w:szCs w:val="26"/>
          <w:u w:val="single"/>
        </w:rPr>
        <w:t>Protection System, Automatic Reclosing, and Sudden Pressure Relaying Maintenance</w:t>
      </w:r>
    </w:p>
    <w:p w:rsidR="00C07EA9" w:rsidRPr="00C07EA9" w:rsidP="00B22060" w14:paraId="36B31FAE" w14:textId="3F0FC6C6">
      <w:pPr>
        <w:spacing w:after="0" w:line="240" w:lineRule="auto"/>
        <w:ind w:left="720"/>
        <w:contextualSpacing/>
        <w:rPr>
          <w:rFonts w:ascii="Times New Roman" w:eastAsia="Times New Roman" w:hAnsi="Times New Roman" w:cs="Times New Roman"/>
          <w:sz w:val="26"/>
          <w:szCs w:val="26"/>
        </w:rPr>
      </w:pPr>
      <w:r w:rsidRPr="00C07EA9">
        <w:rPr>
          <w:rFonts w:ascii="Times New Roman" w:eastAsia="Times New Roman" w:hAnsi="Times New Roman" w:cs="Times New Roman"/>
          <w:sz w:val="26"/>
          <w:szCs w:val="26"/>
        </w:rPr>
        <w:t>To document and implement programs for the maintenance of all Protection Systems, Automatic Reclosing, and Sudden Pressure Relaying affecting the reliability of the Bulk Electric System (BES) so that they are kept in working order</w:t>
      </w:r>
    </w:p>
    <w:p w:rsidR="00C07EA9" w:rsidRPr="00C07EA9" w:rsidP="00C07EA9" w14:paraId="10D331A8" w14:textId="77777777">
      <w:pPr>
        <w:ind w:left="720"/>
        <w:contextualSpacing/>
        <w:rPr>
          <w:rFonts w:ascii="Times New Roman" w:eastAsia="Times New Roman" w:hAnsi="Times New Roman" w:cs="Times New Roman"/>
          <w:b/>
          <w:bCs/>
          <w:sz w:val="26"/>
          <w:szCs w:val="26"/>
          <w:u w:val="single"/>
        </w:rPr>
      </w:pPr>
    </w:p>
    <w:p w:rsidR="00C07EA9" w:rsidRPr="00C07EA9" w:rsidP="00C07EA9" w14:paraId="1124A5A5" w14:textId="77777777">
      <w:pPr>
        <w:numPr>
          <w:ilvl w:val="0"/>
          <w:numId w:val="15"/>
        </w:numPr>
        <w:spacing w:after="0" w:line="240" w:lineRule="auto"/>
        <w:contextualSpacing/>
        <w:rPr>
          <w:rFonts w:ascii="Times New Roman" w:eastAsia="Times New Roman" w:hAnsi="Times New Roman" w:cs="Times New Roman"/>
          <w:b/>
          <w:bCs/>
          <w:sz w:val="26"/>
          <w:szCs w:val="26"/>
          <w:u w:val="single"/>
        </w:rPr>
      </w:pPr>
      <w:r w:rsidRPr="00C07EA9">
        <w:rPr>
          <w:rFonts w:ascii="Times New Roman" w:eastAsia="Times New Roman" w:hAnsi="Times New Roman" w:cs="Times New Roman"/>
          <w:b/>
          <w:sz w:val="26"/>
          <w:szCs w:val="26"/>
          <w:u w:val="single"/>
        </w:rPr>
        <w:t>PRC-006-5</w:t>
      </w:r>
      <w:r w:rsidRPr="00C07EA9">
        <w:rPr>
          <w:rFonts w:ascii="Times New Roman" w:eastAsia="Calibri" w:hAnsi="Times New Roman" w:cs="Times New Roman"/>
          <w:bCs/>
          <w:sz w:val="26"/>
          <w:szCs w:val="26"/>
          <w:u w:val="single"/>
        </w:rPr>
        <w:t xml:space="preserve"> </w:t>
      </w:r>
      <w:r w:rsidRPr="00C07EA9">
        <w:rPr>
          <w:rFonts w:ascii="Times New Roman" w:eastAsia="Times New Roman" w:hAnsi="Times New Roman" w:cs="Times New Roman"/>
          <w:b/>
          <w:bCs/>
          <w:sz w:val="26"/>
          <w:szCs w:val="26"/>
          <w:u w:val="single"/>
        </w:rPr>
        <w:t>Automatic Underfrequency Load Shedding</w:t>
      </w:r>
    </w:p>
    <w:p w:rsidR="00775BFB" w:rsidP="009A6633" w14:paraId="6EE518A8" w14:textId="60B12A62">
      <w:pPr>
        <w:ind w:left="720"/>
        <w:contextualSpacing/>
        <w:rPr>
          <w:rFonts w:ascii="Times New Roman" w:eastAsia="Times New Roman" w:hAnsi="Times New Roman" w:cs="Times New Roman"/>
          <w:bCs/>
          <w:sz w:val="26"/>
          <w:szCs w:val="26"/>
        </w:rPr>
      </w:pPr>
      <w:r w:rsidRPr="00C07EA9">
        <w:rPr>
          <w:rFonts w:ascii="Times New Roman" w:eastAsia="Times New Roman" w:hAnsi="Times New Roman" w:cs="Times New Roman"/>
          <w:bCs/>
          <w:sz w:val="26"/>
          <w:szCs w:val="26"/>
        </w:rPr>
        <w:t>To establish design and documentation requirements for automatic Underfrequency Load Shedding (UFLS) programs to arrest declining frequency, assist recovery of frequency following underfrequency events and provide last resort system preservation measures.</w:t>
      </w:r>
    </w:p>
    <w:p w:rsidR="00775BFB" w:rsidRPr="00A35747" w:rsidP="00775BFB" w14:paraId="3FC911BD" w14:textId="57DAB8C5">
      <w:pPr>
        <w:pStyle w:val="ListParagraph"/>
        <w:numPr>
          <w:ilvl w:val="0"/>
          <w:numId w:val="15"/>
        </w:numPr>
        <w:rPr>
          <w:rFonts w:ascii="Times New Roman" w:eastAsia="Times New Roman" w:hAnsi="Times New Roman" w:cs="Times New Roman"/>
          <w:b/>
          <w:sz w:val="26"/>
          <w:szCs w:val="26"/>
          <w:u w:val="single"/>
        </w:rPr>
      </w:pPr>
      <w:r w:rsidRPr="00A35747">
        <w:rPr>
          <w:rFonts w:ascii="Times New Roman" w:eastAsia="Times New Roman" w:hAnsi="Times New Roman" w:cs="Times New Roman"/>
          <w:b/>
          <w:sz w:val="26"/>
          <w:szCs w:val="26"/>
          <w:u w:val="single"/>
        </w:rPr>
        <w:t>PRC-008-</w:t>
      </w:r>
      <w:r w:rsidRPr="00A35747" w:rsidR="00957917">
        <w:rPr>
          <w:rFonts w:ascii="Times New Roman" w:eastAsia="Times New Roman" w:hAnsi="Times New Roman" w:cs="Times New Roman"/>
          <w:b/>
          <w:sz w:val="26"/>
          <w:szCs w:val="26"/>
          <w:u w:val="single"/>
        </w:rPr>
        <w:t>0</w:t>
      </w:r>
      <w:r w:rsidRPr="00A35747" w:rsidR="00A35747">
        <w:rPr>
          <w:rFonts w:ascii="Times New Roman" w:eastAsia="Times New Roman" w:hAnsi="Times New Roman" w:cs="Times New Roman"/>
          <w:b/>
          <w:sz w:val="26"/>
          <w:szCs w:val="26"/>
          <w:u w:val="single"/>
        </w:rPr>
        <w:t xml:space="preserve"> Implementation and Documentation of Underfrequency Load Shedding Equipment Maintenance Program</w:t>
      </w:r>
    </w:p>
    <w:p w:rsidR="00B470B1" w:rsidP="00B470B1" w14:paraId="12A01AC9" w14:textId="450D971D">
      <w:pPr>
        <w:pStyle w:val="ListParagraph"/>
        <w:rPr>
          <w:rFonts w:ascii="Times New Roman" w:eastAsia="Times New Roman" w:hAnsi="Times New Roman" w:cs="Times New Roman"/>
          <w:bCs/>
          <w:sz w:val="26"/>
          <w:szCs w:val="26"/>
        </w:rPr>
      </w:pPr>
      <w:r w:rsidRPr="00B470B1">
        <w:rPr>
          <w:rFonts w:ascii="Times New Roman" w:eastAsia="Times New Roman" w:hAnsi="Times New Roman" w:cs="Times New Roman"/>
          <w:bCs/>
          <w:sz w:val="26"/>
          <w:szCs w:val="26"/>
        </w:rPr>
        <w:t>Provide</w:t>
      </w:r>
      <w:r>
        <w:rPr>
          <w:rFonts w:ascii="Times New Roman" w:eastAsia="Times New Roman" w:hAnsi="Times New Roman" w:cs="Times New Roman"/>
          <w:bCs/>
          <w:sz w:val="26"/>
          <w:szCs w:val="26"/>
        </w:rPr>
        <w:t>s</w:t>
      </w:r>
      <w:r w:rsidRPr="00B470B1">
        <w:rPr>
          <w:rFonts w:ascii="Times New Roman" w:eastAsia="Times New Roman" w:hAnsi="Times New Roman" w:cs="Times New Roman"/>
          <w:bCs/>
          <w:sz w:val="26"/>
          <w:szCs w:val="26"/>
        </w:rPr>
        <w:t xml:space="preserve"> last resort system preservation measures by implementing an Under Frequency Load Shedding (UFLS) program.</w:t>
      </w:r>
    </w:p>
    <w:p w:rsidR="00B83708" w:rsidRPr="00B470B1" w:rsidP="00B470B1" w14:paraId="0D84BC37" w14:textId="77777777">
      <w:pPr>
        <w:pStyle w:val="ListParagraph"/>
        <w:rPr>
          <w:rFonts w:ascii="Times New Roman" w:eastAsia="Times New Roman" w:hAnsi="Times New Roman" w:cs="Times New Roman"/>
          <w:bCs/>
          <w:sz w:val="26"/>
          <w:szCs w:val="26"/>
        </w:rPr>
      </w:pPr>
    </w:p>
    <w:p w:rsidR="00CF5B1F" w:rsidRPr="003F18BF" w:rsidP="00CF5B1F" w14:paraId="0F2838DF" w14:textId="3BBCED23">
      <w:pPr>
        <w:pStyle w:val="ListParagraph"/>
        <w:numPr>
          <w:ilvl w:val="0"/>
          <w:numId w:val="15"/>
        </w:numPr>
        <w:rPr>
          <w:rFonts w:ascii="Times New Roman" w:eastAsia="Times New Roman" w:hAnsi="Times New Roman" w:cs="Times New Roman"/>
          <w:b/>
          <w:sz w:val="26"/>
          <w:szCs w:val="26"/>
          <w:u w:val="single"/>
        </w:rPr>
      </w:pPr>
      <w:r w:rsidRPr="003F18BF">
        <w:rPr>
          <w:rFonts w:ascii="Times New Roman" w:eastAsia="Times New Roman" w:hAnsi="Times New Roman" w:cs="Times New Roman"/>
          <w:b/>
          <w:sz w:val="26"/>
          <w:szCs w:val="26"/>
          <w:u w:val="single"/>
        </w:rPr>
        <w:t>PRC-010-2</w:t>
      </w:r>
      <w:r w:rsidRPr="003F18BF" w:rsidR="003F18BF">
        <w:rPr>
          <w:rFonts w:ascii="Times New Roman" w:eastAsia="Times New Roman" w:hAnsi="Times New Roman" w:cs="Times New Roman"/>
          <w:b/>
          <w:sz w:val="26"/>
          <w:szCs w:val="26"/>
          <w:u w:val="single"/>
        </w:rPr>
        <w:t xml:space="preserve"> Undervoltage Load Shedding</w:t>
      </w:r>
    </w:p>
    <w:p w:rsidR="00A90F37" w:rsidRPr="00A90F37" w:rsidP="00A90F37" w14:paraId="092B4822" w14:textId="72A527EE">
      <w:pPr>
        <w:pStyle w:val="ListParagraph"/>
        <w:rPr>
          <w:rFonts w:ascii="Times New Roman" w:eastAsia="Times New Roman" w:hAnsi="Times New Roman" w:cs="Times New Roman"/>
          <w:bCs/>
          <w:sz w:val="26"/>
          <w:szCs w:val="26"/>
        </w:rPr>
      </w:pPr>
      <w:r w:rsidRPr="00A90F37">
        <w:rPr>
          <w:rFonts w:ascii="Times New Roman" w:eastAsia="Times New Roman" w:hAnsi="Times New Roman" w:cs="Times New Roman"/>
          <w:bCs/>
          <w:sz w:val="26"/>
          <w:szCs w:val="26"/>
        </w:rPr>
        <w:t>To establish an integrated and coordinated approach to the design, evaluation, and reliable operation of Undervoltage Load Shedding Programs (UVLS Programs).</w:t>
      </w:r>
    </w:p>
    <w:p w:rsidR="00775BFB" w:rsidRPr="00775BFB" w:rsidP="00775BFB" w14:paraId="0C977F39" w14:textId="77777777">
      <w:pPr>
        <w:pStyle w:val="ListParagraph"/>
        <w:rPr>
          <w:rFonts w:ascii="Times New Roman" w:eastAsia="Times New Roman" w:hAnsi="Times New Roman" w:cs="Times New Roman"/>
          <w:b/>
          <w:sz w:val="26"/>
          <w:szCs w:val="26"/>
        </w:rPr>
      </w:pPr>
    </w:p>
    <w:p w:rsidR="00C07EA9" w:rsidRPr="00BD3546" w:rsidP="00B83708" w14:paraId="22D6536D" w14:textId="6C678C27">
      <w:pPr>
        <w:pStyle w:val="ListParagraph"/>
        <w:numPr>
          <w:ilvl w:val="0"/>
          <w:numId w:val="15"/>
        </w:numPr>
        <w:rPr>
          <w:rFonts w:ascii="Times New Roman" w:eastAsia="Times New Roman" w:hAnsi="Times New Roman" w:cs="Times New Roman"/>
          <w:b/>
          <w:sz w:val="26"/>
          <w:szCs w:val="26"/>
          <w:u w:val="single"/>
        </w:rPr>
      </w:pPr>
      <w:r w:rsidRPr="00BD3546">
        <w:rPr>
          <w:rFonts w:ascii="Times New Roman" w:eastAsia="Times New Roman" w:hAnsi="Times New Roman" w:cs="Times New Roman"/>
          <w:b/>
          <w:sz w:val="26"/>
          <w:szCs w:val="26"/>
          <w:u w:val="single"/>
        </w:rPr>
        <w:t>PRC-011</w:t>
      </w:r>
      <w:r w:rsidRPr="00BD3546" w:rsidR="00965CC8">
        <w:rPr>
          <w:rFonts w:ascii="Times New Roman" w:eastAsia="Times New Roman" w:hAnsi="Times New Roman" w:cs="Times New Roman"/>
          <w:b/>
          <w:sz w:val="26"/>
          <w:szCs w:val="26"/>
          <w:u w:val="single"/>
        </w:rPr>
        <w:t>-</w:t>
      </w:r>
      <w:r w:rsidRPr="00BD3546" w:rsidR="00957917">
        <w:rPr>
          <w:rFonts w:ascii="Times New Roman" w:eastAsia="Times New Roman" w:hAnsi="Times New Roman" w:cs="Times New Roman"/>
          <w:b/>
          <w:sz w:val="26"/>
          <w:szCs w:val="26"/>
          <w:u w:val="single"/>
        </w:rPr>
        <w:t>0</w:t>
      </w:r>
      <w:r w:rsidRPr="00BD3546" w:rsidR="003F18BF">
        <w:rPr>
          <w:rFonts w:ascii="Times New Roman" w:eastAsia="Times New Roman" w:hAnsi="Times New Roman" w:cs="Times New Roman"/>
          <w:b/>
          <w:sz w:val="26"/>
          <w:szCs w:val="26"/>
          <w:u w:val="single"/>
        </w:rPr>
        <w:t xml:space="preserve"> </w:t>
      </w:r>
      <w:r w:rsidRPr="00BD3546" w:rsidR="00BD3546">
        <w:rPr>
          <w:rFonts w:ascii="Times New Roman" w:eastAsia="Times New Roman" w:hAnsi="Times New Roman" w:cs="Times New Roman"/>
          <w:b/>
          <w:sz w:val="26"/>
          <w:szCs w:val="26"/>
          <w:u w:val="single"/>
        </w:rPr>
        <w:t>Undervoltage Load Shedding System Maintenance and Testing</w:t>
      </w:r>
    </w:p>
    <w:p w:rsidR="00B83708" w:rsidRPr="00151CB0" w:rsidP="00B83708" w14:paraId="6553ABC3" w14:textId="7B1C34A9">
      <w:pPr>
        <w:pStyle w:val="ListParagraph"/>
        <w:rPr>
          <w:rFonts w:ascii="Times New Roman" w:eastAsia="Times New Roman" w:hAnsi="Times New Roman" w:cs="Times New Roman"/>
          <w:bCs/>
          <w:sz w:val="26"/>
          <w:szCs w:val="26"/>
        </w:rPr>
      </w:pPr>
      <w:r w:rsidRPr="00151CB0">
        <w:rPr>
          <w:rFonts w:ascii="Times New Roman" w:eastAsia="Times New Roman" w:hAnsi="Times New Roman" w:cs="Times New Roman"/>
          <w:bCs/>
          <w:sz w:val="26"/>
          <w:szCs w:val="26"/>
        </w:rPr>
        <w:t>Provide system preservation measures in an attempt to prevent system voltage collapse or voltage instability by implementing an Undervoltage Load Shedding (UVLS) program.</w:t>
      </w:r>
    </w:p>
    <w:p w:rsidR="00C07EA9" w:rsidRPr="00C07EA9" w:rsidP="00C07EA9" w14:paraId="134B49DA" w14:textId="77777777">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contextualSpacing/>
        <w:rPr>
          <w:rFonts w:ascii="Times New Roman" w:eastAsia="Times New Roman" w:hAnsi="Times New Roman" w:cs="Times New Roman"/>
          <w:b/>
          <w:iCs/>
          <w:sz w:val="26"/>
          <w:szCs w:val="26"/>
          <w:u w:val="single"/>
        </w:rPr>
      </w:pPr>
      <w:r w:rsidRPr="00C07EA9">
        <w:rPr>
          <w:rFonts w:ascii="Times New Roman" w:eastAsia="Times New Roman" w:hAnsi="Times New Roman" w:cs="Times New Roman"/>
          <w:b/>
          <w:iCs/>
          <w:sz w:val="26"/>
          <w:szCs w:val="26"/>
          <w:u w:val="single"/>
        </w:rPr>
        <w:t>PRC-012-2 Remedial Action Schemes</w:t>
      </w:r>
    </w:p>
    <w:p w:rsidR="00C07EA9" w:rsidP="00C07EA9" w14:paraId="4A5CEE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Times New Roman" w:eastAsia="Times New Roman" w:hAnsi="Times New Roman" w:cs="Times New Roman"/>
          <w:iCs/>
          <w:sz w:val="26"/>
          <w:szCs w:val="26"/>
        </w:rPr>
      </w:pPr>
      <w:r w:rsidRPr="00C07EA9">
        <w:rPr>
          <w:rFonts w:ascii="Times New Roman" w:eastAsia="Times New Roman" w:hAnsi="Times New Roman" w:cs="Times New Roman"/>
          <w:iCs/>
          <w:sz w:val="26"/>
          <w:szCs w:val="26"/>
        </w:rPr>
        <w:t>To ensure that Remedial Action Schemes (RAS) do not introduce unintentional or unacceptable reliability risks to the Bulk Electric System (BES).</w:t>
      </w:r>
    </w:p>
    <w:p w:rsidR="00965CC8" w:rsidP="00C07EA9" w14:paraId="3DCE31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Times New Roman" w:eastAsia="Times New Roman" w:hAnsi="Times New Roman" w:cs="Times New Roman"/>
          <w:iCs/>
          <w:sz w:val="26"/>
          <w:szCs w:val="26"/>
        </w:rPr>
      </w:pPr>
    </w:p>
    <w:p w:rsidR="00965CC8" w:rsidRPr="00AB3A0E" w:rsidP="00965CC8" w14:paraId="6BDDF35F" w14:textId="5AF7CCF4">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iCs/>
          <w:sz w:val="26"/>
          <w:szCs w:val="26"/>
          <w:u w:val="single"/>
        </w:rPr>
      </w:pPr>
      <w:r w:rsidRPr="00AB3A0E">
        <w:rPr>
          <w:rFonts w:ascii="Times New Roman" w:eastAsia="Times New Roman" w:hAnsi="Times New Roman" w:cs="Times New Roman"/>
          <w:b/>
          <w:bCs/>
          <w:iCs/>
          <w:sz w:val="26"/>
          <w:szCs w:val="26"/>
          <w:u w:val="single"/>
        </w:rPr>
        <w:t>PRC-017-1</w:t>
      </w:r>
      <w:r w:rsidRPr="00AB3A0E" w:rsidR="00AB3A0E">
        <w:rPr>
          <w:rFonts w:ascii="Times New Roman" w:eastAsia="Times New Roman" w:hAnsi="Times New Roman" w:cs="Times New Roman"/>
          <w:b/>
          <w:bCs/>
          <w:iCs/>
          <w:sz w:val="26"/>
          <w:szCs w:val="26"/>
          <w:u w:val="single"/>
        </w:rPr>
        <w:t xml:space="preserve"> Remedial Action Scheme Maintenance and Testing</w:t>
      </w:r>
    </w:p>
    <w:p w:rsidR="00151CB0" w:rsidRPr="000350D8" w:rsidP="00151CB0" w14:paraId="556B66E5" w14:textId="6F06F2A6">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Cs/>
          <w:sz w:val="26"/>
          <w:szCs w:val="26"/>
        </w:rPr>
      </w:pPr>
      <w:r w:rsidRPr="000350D8">
        <w:rPr>
          <w:rFonts w:ascii="Times New Roman" w:eastAsia="Times New Roman" w:hAnsi="Times New Roman" w:cs="Times New Roman"/>
          <w:iCs/>
          <w:sz w:val="26"/>
          <w:szCs w:val="26"/>
        </w:rPr>
        <w:t xml:space="preserve">To ensure that all Remedial Action Schemes (RAS) are properly designed, meet performance requirements, and are coordinated with other protection systems. To ensure that maintenance and testing programs are developed and </w:t>
      </w:r>
      <w:r w:rsidRPr="000350D8">
        <w:rPr>
          <w:rFonts w:ascii="Times New Roman" w:eastAsia="Times New Roman" w:hAnsi="Times New Roman" w:cs="Times New Roman"/>
          <w:iCs/>
          <w:sz w:val="26"/>
          <w:szCs w:val="26"/>
        </w:rPr>
        <w:t>misoperations</w:t>
      </w:r>
      <w:r w:rsidRPr="000350D8">
        <w:rPr>
          <w:rFonts w:ascii="Times New Roman" w:eastAsia="Times New Roman" w:hAnsi="Times New Roman" w:cs="Times New Roman"/>
          <w:iCs/>
          <w:sz w:val="26"/>
          <w:szCs w:val="26"/>
        </w:rPr>
        <w:t xml:space="preserve"> are analyzed and corrected.</w:t>
      </w:r>
    </w:p>
    <w:p w:rsidR="00C07EA9" w:rsidRPr="00C07EA9" w:rsidP="00C07EA9" w14:paraId="6A269D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Cs/>
          <w:sz w:val="26"/>
          <w:szCs w:val="26"/>
        </w:rPr>
      </w:pPr>
    </w:p>
    <w:p w:rsidR="00C07EA9" w:rsidRPr="00C07EA9" w:rsidP="00C07EA9" w14:paraId="6668C9B9" w14:textId="77777777">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b/>
          <w:iCs/>
          <w:sz w:val="26"/>
          <w:szCs w:val="26"/>
          <w:u w:val="single"/>
        </w:rPr>
      </w:pPr>
      <w:r w:rsidRPr="00C07EA9">
        <w:rPr>
          <w:rFonts w:ascii="Times New Roman" w:eastAsia="Times New Roman" w:hAnsi="Times New Roman" w:cs="Times New Roman"/>
          <w:b/>
          <w:iCs/>
          <w:sz w:val="26"/>
          <w:szCs w:val="26"/>
          <w:u w:val="single"/>
        </w:rPr>
        <w:t>PRC-019-2</w:t>
      </w:r>
      <w:r w:rsidRPr="00C07EA9">
        <w:rPr>
          <w:rFonts w:ascii="Times New Roman" w:eastAsia="Calibri" w:hAnsi="Times New Roman" w:cs="Times New Roman"/>
          <w:b/>
          <w:sz w:val="26"/>
          <w:szCs w:val="26"/>
          <w:u w:val="single"/>
        </w:rPr>
        <w:t xml:space="preserve"> </w:t>
      </w:r>
      <w:r w:rsidRPr="00C07EA9">
        <w:rPr>
          <w:rFonts w:ascii="Times New Roman" w:eastAsia="Times New Roman" w:hAnsi="Times New Roman" w:cs="Times New Roman"/>
          <w:b/>
          <w:iCs/>
          <w:sz w:val="26"/>
          <w:szCs w:val="26"/>
          <w:u w:val="single"/>
        </w:rPr>
        <w:t>Coordination of Generating Unit or Plant Capabilities, Voltage Regulating Controls, and Protection</w:t>
      </w:r>
    </w:p>
    <w:p w:rsidR="00C07EA9" w:rsidRPr="00C07EA9" w:rsidP="00C07EA9" w14:paraId="5D0F9A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Times New Roman" w:eastAsia="Times New Roman" w:hAnsi="Times New Roman" w:cs="Times New Roman"/>
          <w:iCs/>
          <w:sz w:val="26"/>
          <w:szCs w:val="26"/>
        </w:rPr>
      </w:pPr>
      <w:r w:rsidRPr="00C07EA9">
        <w:rPr>
          <w:rFonts w:ascii="Times New Roman" w:eastAsia="Times New Roman" w:hAnsi="Times New Roman" w:cs="Times New Roman"/>
          <w:iCs/>
          <w:sz w:val="26"/>
          <w:szCs w:val="26"/>
        </w:rPr>
        <w:t>The purpose is to verify coordination of generating unit Facility or synchronous condenser voltage regulating controls, limit functions, equipment capabilities and Protection System settings.</w:t>
      </w:r>
    </w:p>
    <w:p w:rsidR="00C07EA9" w:rsidRPr="00C07EA9" w:rsidP="00C07EA9" w14:paraId="3A9952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Cs/>
          <w:sz w:val="26"/>
          <w:szCs w:val="26"/>
        </w:rPr>
      </w:pPr>
    </w:p>
    <w:p w:rsidR="00C07EA9" w:rsidRPr="00C07EA9" w:rsidP="00C07EA9" w14:paraId="26FB5F3C" w14:textId="77777777">
      <w:pPr>
        <w:numPr>
          <w:ilvl w:val="0"/>
          <w:numId w:val="15"/>
        </w:numPr>
        <w:spacing w:after="0" w:line="240" w:lineRule="auto"/>
        <w:contextualSpacing/>
        <w:rPr>
          <w:rFonts w:ascii="Times New Roman" w:eastAsia="Times New Roman" w:hAnsi="Times New Roman" w:cs="Times New Roman"/>
          <w:b/>
          <w:sz w:val="26"/>
          <w:szCs w:val="26"/>
          <w:u w:val="single"/>
        </w:rPr>
      </w:pPr>
      <w:bookmarkStart w:id="2" w:name="_Hlk72854876"/>
      <w:r w:rsidRPr="00C07EA9">
        <w:rPr>
          <w:rFonts w:ascii="Times New Roman" w:eastAsia="Times New Roman" w:hAnsi="Times New Roman" w:cs="Times New Roman"/>
          <w:b/>
          <w:sz w:val="26"/>
          <w:szCs w:val="26"/>
          <w:u w:val="single"/>
        </w:rPr>
        <w:t xml:space="preserve">PRC-023-4 </w:t>
      </w:r>
      <w:bookmarkEnd w:id="2"/>
      <w:r w:rsidRPr="00C07EA9">
        <w:rPr>
          <w:rFonts w:ascii="Times New Roman" w:eastAsia="Times New Roman" w:hAnsi="Times New Roman" w:cs="Times New Roman"/>
          <w:b/>
          <w:sz w:val="26"/>
          <w:szCs w:val="26"/>
          <w:u w:val="single"/>
        </w:rPr>
        <w:t>Transmission Relay Load-ability</w:t>
      </w:r>
      <w:r w:rsidRPr="00C07EA9">
        <w:rPr>
          <w:rFonts w:ascii="Times New Roman" w:eastAsia="Times New Roman" w:hAnsi="Times New Roman" w:cs="Times New Roman"/>
          <w:bCs/>
          <w:sz w:val="26"/>
          <w:szCs w:val="26"/>
        </w:rPr>
        <w:t xml:space="preserve"> </w:t>
      </w:r>
    </w:p>
    <w:p w:rsidR="00C07EA9" w:rsidRPr="00C07EA9" w:rsidP="00C07EA9" w14:paraId="14815984" w14:textId="77777777">
      <w:pPr>
        <w:ind w:left="720"/>
        <w:contextualSpacing/>
        <w:rPr>
          <w:rFonts w:ascii="Times New Roman" w:eastAsia="Times New Roman" w:hAnsi="Times New Roman" w:cs="Times New Roman"/>
          <w:bCs/>
          <w:sz w:val="26"/>
          <w:szCs w:val="26"/>
        </w:rPr>
      </w:pPr>
      <w:r w:rsidRPr="00C07EA9">
        <w:rPr>
          <w:rFonts w:ascii="Times New Roman" w:eastAsia="Times New Roman" w:hAnsi="Times New Roman" w:cs="Times New Roman"/>
          <w:bCs/>
          <w:sz w:val="26"/>
          <w:szCs w:val="26"/>
        </w:rPr>
        <w:t xml:space="preserve">The purpose to verify coordination of generating unit Facility or synchronous condenser voltage regulating controls, limit functions, equipment capabilities and Protection System settings. </w:t>
      </w:r>
    </w:p>
    <w:p w:rsidR="00C07EA9" w:rsidRPr="00C07EA9" w:rsidP="00C07EA9" w14:paraId="4153D2D4" w14:textId="77777777">
      <w:pPr>
        <w:ind w:left="720"/>
        <w:contextualSpacing/>
        <w:rPr>
          <w:rFonts w:ascii="Times New Roman" w:eastAsia="Times New Roman" w:hAnsi="Times New Roman" w:cs="Times New Roman"/>
          <w:bCs/>
          <w:sz w:val="26"/>
          <w:szCs w:val="26"/>
        </w:rPr>
      </w:pPr>
    </w:p>
    <w:p w:rsidR="00C07EA9" w:rsidRPr="00C07EA9" w:rsidP="00C07EA9" w14:paraId="47CBD97F" w14:textId="77777777">
      <w:pPr>
        <w:numPr>
          <w:ilvl w:val="0"/>
          <w:numId w:val="15"/>
        </w:numPr>
        <w:spacing w:after="0" w:line="240" w:lineRule="auto"/>
        <w:contextualSpacing/>
        <w:rPr>
          <w:rFonts w:ascii="Times New Roman" w:eastAsia="Times New Roman" w:hAnsi="Times New Roman" w:cs="Times New Roman"/>
          <w:b/>
          <w:sz w:val="26"/>
          <w:szCs w:val="26"/>
          <w:u w:val="single"/>
        </w:rPr>
      </w:pPr>
      <w:r w:rsidRPr="00C07EA9">
        <w:rPr>
          <w:rFonts w:ascii="Times New Roman" w:eastAsia="Times New Roman" w:hAnsi="Times New Roman" w:cs="Times New Roman"/>
          <w:b/>
          <w:sz w:val="26"/>
          <w:szCs w:val="26"/>
          <w:u w:val="single"/>
        </w:rPr>
        <w:t>PRC-024-3</w:t>
      </w:r>
      <w:r w:rsidRPr="00C07EA9">
        <w:rPr>
          <w:rFonts w:ascii="Times New Roman" w:eastAsia="Calibri" w:hAnsi="Times New Roman" w:cs="Times New Roman"/>
          <w:b/>
          <w:sz w:val="26"/>
          <w:szCs w:val="26"/>
          <w:u w:val="single"/>
        </w:rPr>
        <w:t xml:space="preserve"> </w:t>
      </w:r>
      <w:r w:rsidRPr="00C07EA9">
        <w:rPr>
          <w:rFonts w:ascii="Times New Roman" w:eastAsia="Times New Roman" w:hAnsi="Times New Roman" w:cs="Times New Roman"/>
          <w:b/>
          <w:sz w:val="26"/>
          <w:szCs w:val="26"/>
          <w:u w:val="single"/>
        </w:rPr>
        <w:t>Generator Frequency and Voltage Protective Relay Settings</w:t>
      </w:r>
    </w:p>
    <w:p w:rsidR="00C07EA9" w:rsidRPr="00C07EA9" w:rsidP="00C07EA9" w14:paraId="7263A5BD" w14:textId="77777777">
      <w:pPr>
        <w:ind w:left="720"/>
        <w:contextualSpacing/>
        <w:rPr>
          <w:rFonts w:ascii="Times New Roman" w:eastAsia="Times New Roman" w:hAnsi="Times New Roman" w:cs="Times New Roman"/>
          <w:bCs/>
          <w:sz w:val="26"/>
          <w:szCs w:val="26"/>
        </w:rPr>
      </w:pPr>
      <w:r w:rsidRPr="00C07EA9">
        <w:rPr>
          <w:rFonts w:ascii="Times New Roman" w:eastAsia="Times New Roman" w:hAnsi="Times New Roman" w:cs="Times New Roman"/>
          <w:bCs/>
          <w:sz w:val="26"/>
          <w:szCs w:val="26"/>
        </w:rPr>
        <w:t>The purpose to set protection such that generating resource(s) remain connected during defined frequency and voltage excursions in support of the Bulk Electric System (BES).</w:t>
      </w:r>
    </w:p>
    <w:p w:rsidR="00C07EA9" w:rsidRPr="00C07EA9" w:rsidP="00C07EA9" w14:paraId="73DA443C" w14:textId="77777777">
      <w:pPr>
        <w:ind w:left="720"/>
        <w:contextualSpacing/>
        <w:rPr>
          <w:rFonts w:ascii="Times New Roman" w:eastAsia="Times New Roman" w:hAnsi="Times New Roman" w:cs="Times New Roman"/>
          <w:bCs/>
          <w:sz w:val="26"/>
          <w:szCs w:val="26"/>
        </w:rPr>
      </w:pPr>
    </w:p>
    <w:p w:rsidR="00C07EA9" w:rsidRPr="00C07EA9" w:rsidP="00C07EA9" w14:paraId="1778A650" w14:textId="77777777">
      <w:pPr>
        <w:numPr>
          <w:ilvl w:val="0"/>
          <w:numId w:val="15"/>
        </w:numPr>
        <w:spacing w:after="0" w:line="240" w:lineRule="auto"/>
        <w:contextualSpacing/>
        <w:rPr>
          <w:rFonts w:ascii="Times New Roman" w:eastAsia="Times New Roman" w:hAnsi="Times New Roman" w:cs="Times New Roman"/>
          <w:b/>
          <w:sz w:val="26"/>
          <w:szCs w:val="26"/>
          <w:u w:val="single"/>
        </w:rPr>
      </w:pPr>
      <w:r w:rsidRPr="00C07EA9">
        <w:rPr>
          <w:rFonts w:ascii="Times New Roman" w:eastAsia="Times New Roman" w:hAnsi="Times New Roman" w:cs="Times New Roman"/>
          <w:b/>
          <w:sz w:val="26"/>
          <w:szCs w:val="26"/>
          <w:u w:val="single"/>
        </w:rPr>
        <w:t>PRC-025-2</w:t>
      </w:r>
      <w:r w:rsidRPr="00C07EA9">
        <w:rPr>
          <w:rFonts w:ascii="Times New Roman" w:eastAsia="Calibri" w:hAnsi="Times New Roman" w:cs="Times New Roman"/>
          <w:b/>
          <w:sz w:val="26"/>
          <w:szCs w:val="26"/>
          <w:u w:val="single"/>
        </w:rPr>
        <w:t xml:space="preserve"> </w:t>
      </w:r>
      <w:r w:rsidRPr="00C07EA9">
        <w:rPr>
          <w:rFonts w:ascii="Times New Roman" w:eastAsia="Times New Roman" w:hAnsi="Times New Roman" w:cs="Times New Roman"/>
          <w:b/>
          <w:sz w:val="26"/>
          <w:szCs w:val="26"/>
          <w:u w:val="single"/>
        </w:rPr>
        <w:t xml:space="preserve">Generator Relay Load-ability </w:t>
      </w:r>
    </w:p>
    <w:p w:rsidR="00C07EA9" w:rsidRPr="00C07EA9" w:rsidP="00C07EA9" w14:paraId="0A910FED" w14:textId="77777777">
      <w:pPr>
        <w:ind w:left="720"/>
        <w:contextualSpacing/>
        <w:rPr>
          <w:rFonts w:ascii="Times New Roman" w:eastAsia="Times New Roman" w:hAnsi="Times New Roman" w:cs="Times New Roman"/>
          <w:b/>
          <w:sz w:val="26"/>
          <w:szCs w:val="26"/>
          <w:u w:val="single"/>
        </w:rPr>
      </w:pPr>
      <w:r w:rsidRPr="00C07EA9">
        <w:rPr>
          <w:rFonts w:ascii="Times New Roman" w:eastAsia="Times New Roman" w:hAnsi="Times New Roman" w:cs="Times New Roman"/>
          <w:sz w:val="26"/>
          <w:szCs w:val="26"/>
        </w:rPr>
        <w:t>The purpose is to set load-responsive protective relays associated with generation Facilities at a level to prevent unnecessary tripping of generators during a system disturbance for conditions that do not pose a risk of damage to the associated equipment.</w:t>
      </w:r>
      <w:r w:rsidRPr="00C07EA9">
        <w:rPr>
          <w:rFonts w:ascii="Times New Roman" w:eastAsia="Times New Roman" w:hAnsi="Times New Roman" w:cs="Times New Roman"/>
          <w:b/>
          <w:sz w:val="26"/>
          <w:szCs w:val="26"/>
          <w:u w:val="single"/>
        </w:rPr>
        <w:t xml:space="preserve"> </w:t>
      </w:r>
    </w:p>
    <w:p w:rsidR="00C07EA9" w:rsidRPr="00C07EA9" w:rsidP="00C07EA9" w14:paraId="7A1CA7CC" w14:textId="77777777">
      <w:pPr>
        <w:ind w:left="720"/>
        <w:contextualSpacing/>
        <w:rPr>
          <w:rFonts w:ascii="Times New Roman" w:eastAsia="Times New Roman" w:hAnsi="Times New Roman" w:cs="Times New Roman"/>
          <w:b/>
          <w:sz w:val="26"/>
          <w:szCs w:val="26"/>
          <w:u w:val="single"/>
        </w:rPr>
      </w:pPr>
    </w:p>
    <w:p w:rsidR="00C07EA9" w:rsidRPr="00C07EA9" w:rsidP="00C07EA9" w14:paraId="385E3FDC" w14:textId="77777777">
      <w:pPr>
        <w:numPr>
          <w:ilvl w:val="0"/>
          <w:numId w:val="15"/>
        </w:numPr>
        <w:spacing w:after="0" w:line="240" w:lineRule="auto"/>
        <w:contextualSpacing/>
        <w:rPr>
          <w:rFonts w:ascii="Times New Roman" w:eastAsia="Times New Roman" w:hAnsi="Times New Roman" w:cs="Times New Roman"/>
          <w:b/>
          <w:sz w:val="26"/>
          <w:szCs w:val="26"/>
          <w:u w:val="single"/>
        </w:rPr>
      </w:pPr>
      <w:r w:rsidRPr="00C07EA9">
        <w:rPr>
          <w:rFonts w:ascii="Times New Roman" w:eastAsia="Times New Roman" w:hAnsi="Times New Roman" w:cs="Times New Roman"/>
          <w:b/>
          <w:sz w:val="26"/>
          <w:szCs w:val="26"/>
          <w:u w:val="single"/>
        </w:rPr>
        <w:t>PRC-026-2</w:t>
      </w:r>
      <w:r w:rsidRPr="00C07EA9">
        <w:rPr>
          <w:rFonts w:ascii="Times New Roman" w:eastAsia="Calibri" w:hAnsi="Times New Roman" w:cs="Times New Roman"/>
          <w:b/>
          <w:sz w:val="26"/>
          <w:szCs w:val="26"/>
          <w:u w:val="single"/>
        </w:rPr>
        <w:t xml:space="preserve"> </w:t>
      </w:r>
      <w:r w:rsidRPr="00C07EA9">
        <w:rPr>
          <w:rFonts w:ascii="Times New Roman" w:eastAsia="Times New Roman" w:hAnsi="Times New Roman" w:cs="Times New Roman"/>
          <w:b/>
          <w:sz w:val="26"/>
          <w:szCs w:val="26"/>
          <w:u w:val="single"/>
        </w:rPr>
        <w:t>Relay Performance During Stable Power Swings</w:t>
      </w:r>
    </w:p>
    <w:p w:rsidR="00C07EA9" w:rsidRPr="00C07EA9" w:rsidP="00C07EA9" w14:paraId="12C4B36A" w14:textId="77777777">
      <w:pPr>
        <w:ind w:left="720"/>
        <w:contextualSpacing/>
        <w:rPr>
          <w:rFonts w:ascii="Times New Roman" w:eastAsia="Times New Roman" w:hAnsi="Times New Roman" w:cs="Times New Roman"/>
          <w:sz w:val="26"/>
          <w:szCs w:val="26"/>
        </w:rPr>
      </w:pPr>
      <w:r w:rsidRPr="00C07EA9">
        <w:rPr>
          <w:rFonts w:ascii="Times New Roman" w:eastAsia="Times New Roman" w:hAnsi="Times New Roman" w:cs="Times New Roman"/>
          <w:sz w:val="26"/>
          <w:szCs w:val="26"/>
        </w:rPr>
        <w:t>The purpose is to ensure that load-responsive protective relays are expected to not trip in response to stable power swings during non-Fault conditions.</w:t>
      </w:r>
    </w:p>
    <w:p w:rsidR="00C07EA9" w:rsidRPr="00C07EA9" w:rsidP="00C07EA9" w14:paraId="1F23B0D8" w14:textId="77777777">
      <w:pPr>
        <w:ind w:left="720"/>
        <w:contextualSpacing/>
        <w:rPr>
          <w:rFonts w:ascii="Times New Roman" w:eastAsia="Times New Roman" w:hAnsi="Times New Roman" w:cs="Times New Roman"/>
          <w:sz w:val="26"/>
          <w:szCs w:val="26"/>
        </w:rPr>
      </w:pPr>
    </w:p>
    <w:p w:rsidR="00C07EA9" w:rsidRPr="00C07EA9" w:rsidP="00C07EA9" w14:paraId="3743FEF3" w14:textId="77777777">
      <w:pPr>
        <w:numPr>
          <w:ilvl w:val="0"/>
          <w:numId w:val="15"/>
        </w:numPr>
        <w:spacing w:after="0" w:line="240" w:lineRule="auto"/>
        <w:contextualSpacing/>
        <w:rPr>
          <w:rFonts w:ascii="Times New Roman" w:eastAsia="Calibri" w:hAnsi="Times New Roman" w:cs="Times New Roman"/>
          <w:b/>
          <w:color w:val="000000"/>
          <w:sz w:val="26"/>
          <w:szCs w:val="26"/>
          <w:u w:val="single"/>
        </w:rPr>
      </w:pPr>
      <w:r w:rsidRPr="00C07EA9">
        <w:rPr>
          <w:rFonts w:ascii="Times New Roman" w:eastAsia="Calibri" w:hAnsi="Times New Roman" w:cs="Times New Roman"/>
          <w:b/>
          <w:color w:val="000000"/>
          <w:sz w:val="26"/>
          <w:szCs w:val="26"/>
          <w:u w:val="single"/>
        </w:rPr>
        <w:t>PRC-027-1 Coordination of Protection Systems for Performance During Faults</w:t>
      </w:r>
    </w:p>
    <w:p w:rsidR="00C07EA9" w:rsidP="00C07EA9" w14:paraId="469877C2" w14:textId="77777777">
      <w:pPr>
        <w:ind w:left="720"/>
        <w:contextualSpacing/>
        <w:rPr>
          <w:rFonts w:ascii="Times New Roman" w:eastAsia="Calibri" w:hAnsi="Times New Roman" w:cs="Times New Roman"/>
          <w:bCs/>
          <w:color w:val="000000"/>
          <w:sz w:val="26"/>
          <w:szCs w:val="26"/>
        </w:rPr>
      </w:pPr>
      <w:r w:rsidRPr="00C07EA9">
        <w:rPr>
          <w:rFonts w:ascii="Times New Roman" w:eastAsia="Calibri" w:hAnsi="Times New Roman" w:cs="Times New Roman"/>
          <w:color w:val="000000"/>
          <w:sz w:val="26"/>
          <w:szCs w:val="26"/>
        </w:rPr>
        <w:t>The purpose is to</w:t>
      </w:r>
      <w:r w:rsidRPr="00C07EA9">
        <w:rPr>
          <w:rFonts w:ascii="Times New Roman" w:eastAsia="Calibri" w:hAnsi="Times New Roman" w:cs="Times New Roman"/>
          <w:bCs/>
          <w:color w:val="000000"/>
          <w:sz w:val="26"/>
          <w:szCs w:val="26"/>
        </w:rPr>
        <w:t xml:space="preserve"> maintain the coordination of Protection Systems installed to detect and isolate Faults on Bulk Electric System (BES) Elements, such that those Protection Systems operate in the intended sequence during Faults.</w:t>
      </w:r>
    </w:p>
    <w:p w:rsidR="00D27201" w:rsidRPr="00C07EA9" w:rsidP="00C07EA9" w14:paraId="03498BE3" w14:textId="77777777">
      <w:pPr>
        <w:ind w:left="720"/>
        <w:contextualSpacing/>
        <w:rPr>
          <w:rFonts w:ascii="Times New Roman" w:eastAsia="Calibri" w:hAnsi="Times New Roman" w:cs="Times New Roman"/>
          <w:bCs/>
          <w:color w:val="000000"/>
          <w:sz w:val="26"/>
          <w:szCs w:val="26"/>
        </w:rPr>
      </w:pPr>
    </w:p>
    <w:p w:rsidR="00D27201" w:rsidRPr="00D27201" w:rsidP="00D27201" w14:paraId="1F0C345F" w14:textId="77777777">
      <w:pPr>
        <w:rPr>
          <w:rFonts w:ascii="Times New Roman" w:eastAsia="Calibri" w:hAnsi="Times New Roman" w:cs="Times New Roman"/>
          <w:bCs/>
          <w:color w:val="000000"/>
          <w:sz w:val="26"/>
          <w:szCs w:val="26"/>
        </w:rPr>
      </w:pPr>
      <w:r w:rsidRPr="00D27201">
        <w:rPr>
          <w:rFonts w:ascii="Times New Roman" w:eastAsia="Calibri" w:hAnsi="Times New Roman" w:cs="Times New Roman"/>
          <w:bCs/>
          <w:color w:val="000000"/>
          <w:sz w:val="26"/>
          <w:szCs w:val="26"/>
        </w:rPr>
        <w:t>Each of these Reliability Standards have three components that impose burden upon affected industry:</w:t>
      </w:r>
    </w:p>
    <w:p w:rsidR="00D27201" w:rsidRPr="00D27201" w:rsidP="00D27201" w14:paraId="3241F0B0" w14:textId="77777777">
      <w:pPr>
        <w:rPr>
          <w:rFonts w:ascii="Times New Roman" w:eastAsia="Calibri" w:hAnsi="Times New Roman" w:cs="Times New Roman"/>
          <w:bCs/>
          <w:color w:val="000000"/>
          <w:sz w:val="26"/>
          <w:szCs w:val="26"/>
        </w:rPr>
      </w:pPr>
      <w:r w:rsidRPr="00D27201">
        <w:rPr>
          <w:rFonts w:ascii="Times New Roman" w:eastAsia="Calibri" w:hAnsi="Times New Roman" w:cs="Times New Roman"/>
          <w:bCs/>
          <w:color w:val="000000"/>
          <w:sz w:val="26"/>
          <w:szCs w:val="26"/>
        </w:rPr>
        <w:t>• Requirements (</w:t>
      </w:r>
      <w:r w:rsidRPr="00D27201">
        <w:rPr>
          <w:rFonts w:ascii="Times New Roman" w:eastAsia="Calibri" w:hAnsi="Times New Roman" w:cs="Times New Roman"/>
          <w:bCs/>
          <w:i/>
          <w:iCs/>
          <w:color w:val="000000"/>
          <w:sz w:val="26"/>
          <w:szCs w:val="26"/>
        </w:rPr>
        <w:t xml:space="preserve">e.g., </w:t>
      </w:r>
      <w:r w:rsidRPr="00D27201">
        <w:rPr>
          <w:rFonts w:ascii="Times New Roman" w:eastAsia="Calibri" w:hAnsi="Times New Roman" w:cs="Times New Roman"/>
          <w:bCs/>
          <w:color w:val="000000"/>
          <w:sz w:val="26"/>
          <w:szCs w:val="26"/>
        </w:rPr>
        <w:t>denoted in each Reliability Standard as R1, R2. . .)</w:t>
      </w:r>
    </w:p>
    <w:p w:rsidR="00D27201" w:rsidRPr="00D27201" w:rsidP="00D27201" w14:paraId="26BB510D" w14:textId="77777777">
      <w:pPr>
        <w:rPr>
          <w:rFonts w:ascii="Times New Roman" w:eastAsia="Calibri" w:hAnsi="Times New Roman" w:cs="Times New Roman"/>
          <w:bCs/>
          <w:color w:val="000000"/>
          <w:sz w:val="26"/>
          <w:szCs w:val="26"/>
        </w:rPr>
      </w:pPr>
      <w:r w:rsidRPr="00D27201">
        <w:rPr>
          <w:rFonts w:ascii="Times New Roman" w:eastAsia="Calibri" w:hAnsi="Times New Roman" w:cs="Times New Roman"/>
          <w:bCs/>
          <w:color w:val="000000"/>
          <w:sz w:val="26"/>
          <w:szCs w:val="26"/>
        </w:rPr>
        <w:t>• Measures (</w:t>
      </w:r>
      <w:r w:rsidRPr="00D27201">
        <w:rPr>
          <w:rFonts w:ascii="Times New Roman" w:eastAsia="Calibri" w:hAnsi="Times New Roman" w:cs="Times New Roman"/>
          <w:bCs/>
          <w:i/>
          <w:iCs/>
          <w:color w:val="000000"/>
          <w:sz w:val="26"/>
          <w:szCs w:val="26"/>
        </w:rPr>
        <w:t xml:space="preserve">e.g., </w:t>
      </w:r>
      <w:r w:rsidRPr="00D27201">
        <w:rPr>
          <w:rFonts w:ascii="Times New Roman" w:eastAsia="Calibri" w:hAnsi="Times New Roman" w:cs="Times New Roman"/>
          <w:bCs/>
          <w:color w:val="000000"/>
          <w:sz w:val="26"/>
          <w:szCs w:val="26"/>
        </w:rPr>
        <w:t>denoted in each Reliability Standard as M1, M2. . .)</w:t>
      </w:r>
    </w:p>
    <w:p w:rsidR="00D27201" w:rsidRPr="00D27201" w:rsidP="00D27201" w14:paraId="7B2133A4" w14:textId="77777777">
      <w:pPr>
        <w:rPr>
          <w:rFonts w:ascii="Times New Roman" w:eastAsia="Calibri" w:hAnsi="Times New Roman" w:cs="Times New Roman"/>
          <w:bCs/>
          <w:color w:val="000000"/>
          <w:sz w:val="26"/>
          <w:szCs w:val="26"/>
        </w:rPr>
      </w:pPr>
      <w:r w:rsidRPr="00D27201">
        <w:rPr>
          <w:rFonts w:ascii="Times New Roman" w:eastAsia="Calibri" w:hAnsi="Times New Roman" w:cs="Times New Roman"/>
          <w:bCs/>
          <w:color w:val="000000"/>
          <w:sz w:val="26"/>
          <w:szCs w:val="26"/>
        </w:rPr>
        <w:t>• Evidence Retention</w:t>
      </w:r>
    </w:p>
    <w:p w:rsidR="00D27201" w:rsidRPr="00D27201" w:rsidP="00D27201" w14:paraId="43C70534" w14:textId="77777777">
      <w:pPr>
        <w:rPr>
          <w:rFonts w:ascii="Times New Roman" w:eastAsia="Calibri" w:hAnsi="Times New Roman" w:cs="Times New Roman"/>
          <w:bCs/>
          <w:color w:val="000000"/>
          <w:sz w:val="26"/>
          <w:szCs w:val="26"/>
        </w:rPr>
      </w:pPr>
      <w:r w:rsidRPr="00D27201">
        <w:rPr>
          <w:rFonts w:ascii="Times New Roman" w:eastAsia="Calibri" w:hAnsi="Times New Roman" w:cs="Times New Roman"/>
          <w:bCs/>
          <w:color w:val="000000"/>
          <w:sz w:val="26"/>
          <w:szCs w:val="26"/>
        </w:rPr>
        <w:t>These three components can be reviewed for the Reliability Standards in North American Electric Reliability Commission (NERC) petitions in FERC’s eLibrary system (</w:t>
      </w:r>
      <w:r w:rsidRPr="00D27201">
        <w:rPr>
          <w:rFonts w:ascii="Times New Roman" w:eastAsia="Calibri" w:hAnsi="Times New Roman" w:cs="Times New Roman"/>
          <w:bCs/>
          <w:i/>
          <w:iCs/>
          <w:color w:val="000000"/>
          <w:sz w:val="26"/>
          <w:szCs w:val="26"/>
        </w:rPr>
        <w:t>http://www.ferc.gov/docs-filing/elibrary.asp</w:t>
      </w:r>
      <w:r w:rsidRPr="00D27201">
        <w:rPr>
          <w:rFonts w:ascii="Times New Roman" w:eastAsia="Calibri" w:hAnsi="Times New Roman" w:cs="Times New Roman"/>
          <w:bCs/>
          <w:color w:val="000000"/>
          <w:sz w:val="26"/>
          <w:szCs w:val="26"/>
        </w:rPr>
        <w:t>) or on NERC’s own website (</w:t>
      </w:r>
      <w:r w:rsidRPr="00D27201">
        <w:rPr>
          <w:rFonts w:ascii="Times New Roman" w:eastAsia="Calibri" w:hAnsi="Times New Roman" w:cs="Times New Roman"/>
          <w:bCs/>
          <w:i/>
          <w:iCs/>
          <w:color w:val="000000"/>
          <w:sz w:val="26"/>
          <w:szCs w:val="26"/>
        </w:rPr>
        <w:t>www.nerc.com</w:t>
      </w:r>
      <w:r w:rsidRPr="00D27201">
        <w:rPr>
          <w:rFonts w:ascii="Times New Roman" w:eastAsia="Calibri" w:hAnsi="Times New Roman" w:cs="Times New Roman"/>
          <w:bCs/>
          <w:color w:val="000000"/>
          <w:sz w:val="26"/>
          <w:szCs w:val="26"/>
        </w:rPr>
        <w:t>).</w:t>
      </w:r>
    </w:p>
    <w:p w:rsidR="00900953" w:rsidRPr="00C9736D" w:rsidP="007F4AB7" w14:paraId="33D78552" w14:textId="77777777">
      <w:pPr>
        <w:spacing w:line="240" w:lineRule="auto"/>
        <w:rPr>
          <w:rFonts w:ascii="Times New Roman" w:eastAsia="Times New Roman" w:hAnsi="Times New Roman" w:cs="Times New Roman"/>
          <w:i/>
          <w:sz w:val="26"/>
          <w:szCs w:val="26"/>
        </w:rPr>
      </w:pPr>
    </w:p>
    <w:p w:rsidR="00BD123C" w:rsidRPr="00C9736D" w:rsidP="00C862EF" w14:paraId="1A670A8D" w14:textId="7E91F0EA">
      <w:pPr>
        <w:spacing w:after="0" w:line="240" w:lineRule="auto"/>
        <w:rPr>
          <w:rFonts w:ascii="Times New Roman" w:eastAsia="Times New Roman" w:hAnsi="Times New Roman" w:cs="Times New Roman"/>
          <w:iCs/>
          <w:sz w:val="26"/>
          <w:szCs w:val="26"/>
        </w:rPr>
      </w:pPr>
    </w:p>
    <w:p w:rsidR="00D20809" w:rsidRPr="00D801C8" w:rsidP="00D801C8" w14:paraId="717A3F8C" w14:textId="26BF9957">
      <w:pPr>
        <w:pStyle w:val="ListParagraph"/>
        <w:numPr>
          <w:ilvl w:val="0"/>
          <w:numId w:val="2"/>
        </w:numPr>
        <w:rPr>
          <w:rFonts w:ascii="Times New Roman" w:hAnsi="Times New Roman" w:cs="Times New Roman"/>
          <w:b/>
          <w:sz w:val="26"/>
          <w:szCs w:val="26"/>
        </w:rPr>
      </w:pPr>
      <w:r w:rsidRPr="00C77612">
        <w:rPr>
          <w:rFonts w:ascii="Times New Roman" w:hAnsi="Times New Roman" w:cs="Times New Roman"/>
          <w:b/>
          <w:sz w:val="26"/>
          <w:szCs w:val="26"/>
        </w:rPr>
        <w:t>DESCRIBE ANY CONSIDERATION OF THE USE OF IMPROVED INFORMATION TECHNOLOGY TO REDUCE THE BURDEN AND TECHNICAL OR LEGAL OBSTACLES TO REDUCING BURDEN</w:t>
      </w:r>
    </w:p>
    <w:p w:rsidR="00D20809" w14:paraId="79E4DD0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use of current or improved technology is not covered in Reliability Standards and is therefore left to the discretion of each reporting entity. Commission staff estimates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D20809" w14:paraId="5BFF9F5E" w14:textId="77777777">
      <w:pPr>
        <w:spacing w:after="0" w:line="240" w:lineRule="auto"/>
        <w:rPr>
          <w:rFonts w:ascii="Times New Roman" w:hAnsi="Times New Roman" w:cs="Times New Roman"/>
          <w:b/>
          <w:sz w:val="26"/>
          <w:szCs w:val="26"/>
        </w:rPr>
      </w:pPr>
    </w:p>
    <w:p w:rsidR="00D20809" w14:paraId="7891CC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20809" w14:paraId="0C6EF8D7" w14:textId="77777777">
      <w:pPr>
        <w:spacing w:after="0" w:line="240" w:lineRule="auto"/>
        <w:rPr>
          <w:rFonts w:ascii="Times New Roman" w:hAnsi="Times New Roman" w:cs="Times New Roman"/>
          <w:sz w:val="26"/>
          <w:szCs w:val="26"/>
        </w:rPr>
      </w:pPr>
    </w:p>
    <w:p w:rsidR="00D20809" w14:paraId="184CFCB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  This information is not available elsewhere.  The standard-developing group (the ERO and various stakeholders) think these areas need to be addressed and documented as indicated in the NERC Petition.</w:t>
      </w:r>
    </w:p>
    <w:p w:rsidR="00D20809" w14:paraId="5C86C8B3" w14:textId="77777777">
      <w:pPr>
        <w:spacing w:after="0" w:line="240" w:lineRule="auto"/>
        <w:rPr>
          <w:rFonts w:ascii="Times New Roman" w:hAnsi="Times New Roman" w:cs="Times New Roman"/>
          <w:sz w:val="26"/>
          <w:szCs w:val="26"/>
        </w:rPr>
      </w:pPr>
    </w:p>
    <w:p w:rsidR="00D20809" w14:paraId="39CE4FEC"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D20809" w14:paraId="3ADCE2DB" w14:textId="77777777">
      <w:pPr>
        <w:spacing w:after="0" w:line="240" w:lineRule="auto"/>
        <w:rPr>
          <w:rFonts w:ascii="Times New Roman" w:hAnsi="Times New Roman" w:cs="Times New Roman"/>
          <w:sz w:val="26"/>
          <w:szCs w:val="26"/>
        </w:rPr>
      </w:pPr>
    </w:p>
    <w:p w:rsidR="00D20809" w14:paraId="46F7C86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D20809" w14:paraId="2ACFA68E" w14:textId="77777777">
      <w:pPr>
        <w:spacing w:after="0" w:line="240" w:lineRule="auto"/>
        <w:rPr>
          <w:rFonts w:ascii="Times New Roman" w:hAnsi="Times New Roman" w:cs="Times New Roman"/>
          <w:sz w:val="26"/>
          <w:szCs w:val="26"/>
        </w:rPr>
      </w:pPr>
    </w:p>
    <w:p w:rsidR="00D20809" w14:paraId="7B35639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Detailed information regarding these options is available in NERC’s Rules of Procedure at sections 507 and 508.</w:t>
      </w:r>
      <w:r>
        <w:rPr>
          <w:rFonts w:ascii="Times New Roman" w:hAnsi="Times New Roman" w:cs="Times New Roman"/>
          <w:sz w:val="26"/>
          <w:szCs w:val="26"/>
          <w:vertAlign w:val="superscript"/>
        </w:rPr>
        <w:footnoteReference w:id="14"/>
      </w:r>
      <w:r>
        <w:rPr>
          <w:rFonts w:ascii="Times New Roman" w:hAnsi="Times New Roman" w:cs="Times New Roman"/>
          <w:sz w:val="26"/>
          <w:szCs w:val="26"/>
          <w:vertAlign w:val="superscript"/>
        </w:rPr>
        <w:t xml:space="preserve"> </w:t>
      </w:r>
    </w:p>
    <w:p w:rsidR="00D20809" w14:paraId="4A3A4EB4" w14:textId="77777777">
      <w:pPr>
        <w:spacing w:after="0" w:line="240" w:lineRule="auto"/>
        <w:rPr>
          <w:rFonts w:ascii="Times New Roman" w:hAnsi="Times New Roman" w:cs="Times New Roman"/>
          <w:sz w:val="26"/>
          <w:szCs w:val="26"/>
        </w:rPr>
      </w:pPr>
    </w:p>
    <w:p w:rsidR="00D20809" w14:paraId="39EA27BB"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D20809" w14:paraId="670310B1" w14:textId="77777777">
      <w:pPr>
        <w:spacing w:after="0" w:line="240" w:lineRule="auto"/>
        <w:rPr>
          <w:rFonts w:ascii="Times New Roman" w:hAnsi="Times New Roman" w:cs="Times New Roman"/>
          <w:b/>
          <w:sz w:val="26"/>
          <w:szCs w:val="26"/>
        </w:rPr>
      </w:pPr>
    </w:p>
    <w:p w:rsidR="00D20809" w:rsidRPr="00C77612" w14:paraId="7BA43562" w14:textId="2973321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PRC </w:t>
      </w:r>
      <w:r w:rsidR="00CC6F4B">
        <w:rPr>
          <w:rFonts w:ascii="Times New Roman" w:hAnsi="Times New Roman" w:cs="Times New Roman"/>
          <w:sz w:val="26"/>
          <w:szCs w:val="26"/>
        </w:rPr>
        <w:t>Reliability Standard</w:t>
      </w:r>
      <w:r>
        <w:rPr>
          <w:rFonts w:ascii="Times New Roman" w:hAnsi="Times New Roman" w:cs="Times New Roman"/>
          <w:sz w:val="26"/>
          <w:szCs w:val="26"/>
        </w:rPr>
        <w:t xml:space="preserve">s </w:t>
      </w:r>
      <w:r w:rsidR="00CC6F4B">
        <w:rPr>
          <w:rFonts w:ascii="Times New Roman" w:hAnsi="Times New Roman" w:cs="Times New Roman"/>
          <w:sz w:val="26"/>
          <w:szCs w:val="26"/>
        </w:rPr>
        <w:t>were established such that the declining frequency is arrested and recovered in accordance with NPCC performance requirements.  The collection cannot be collected less frequently</w:t>
      </w:r>
      <w:r w:rsidR="00D133CB">
        <w:rPr>
          <w:rFonts w:ascii="Times New Roman" w:hAnsi="Times New Roman" w:cs="Times New Roman"/>
          <w:sz w:val="26"/>
          <w:szCs w:val="26"/>
        </w:rPr>
        <w:t>, as the proper targets need to be set in terms load tripping at the required frequency set points</w:t>
      </w:r>
      <w:r w:rsidR="00CC6F4B">
        <w:rPr>
          <w:rFonts w:ascii="Times New Roman" w:hAnsi="Times New Roman" w:cs="Times New Roman"/>
          <w:sz w:val="26"/>
          <w:szCs w:val="26"/>
        </w:rPr>
        <w:t>.</w:t>
      </w:r>
      <w:r w:rsidR="00D133CB">
        <w:rPr>
          <w:rFonts w:ascii="Times New Roman" w:hAnsi="Times New Roman" w:cs="Times New Roman"/>
          <w:sz w:val="26"/>
          <w:szCs w:val="26"/>
        </w:rPr>
        <w:t xml:space="preserve">  Over time the amount of load on will change and if not reviewed it may result in missing targeted values and cause </w:t>
      </w:r>
      <w:r w:rsidR="00FD610C">
        <w:rPr>
          <w:rFonts w:ascii="Times New Roman" w:hAnsi="Times New Roman" w:cs="Times New Roman"/>
          <w:sz w:val="26"/>
          <w:szCs w:val="26"/>
        </w:rPr>
        <w:t xml:space="preserve">frequency decline that would trip generation leading to </w:t>
      </w:r>
      <w:r w:rsidR="00FD610C">
        <w:rPr>
          <w:rFonts w:ascii="Times New Roman" w:hAnsi="Times New Roman" w:cs="Times New Roman"/>
          <w:sz w:val="26"/>
          <w:szCs w:val="26"/>
        </w:rPr>
        <w:t>wide spread</w:t>
      </w:r>
      <w:r w:rsidR="00FD610C">
        <w:rPr>
          <w:rFonts w:ascii="Times New Roman" w:hAnsi="Times New Roman" w:cs="Times New Roman"/>
          <w:sz w:val="26"/>
          <w:szCs w:val="26"/>
        </w:rPr>
        <w:t xml:space="preserve"> uncontrolled outages.</w:t>
      </w:r>
      <w:r w:rsidR="00CC6F4B">
        <w:rPr>
          <w:rFonts w:ascii="Times New Roman" w:hAnsi="Times New Roman" w:cs="Times New Roman"/>
          <w:sz w:val="26"/>
          <w:szCs w:val="26"/>
        </w:rPr>
        <w:t xml:space="preserve"> </w:t>
      </w:r>
      <w:r w:rsidRPr="00C77612" w:rsidR="00CC6F4B">
        <w:rPr>
          <w:rFonts w:ascii="Times New Roman" w:hAnsi="Times New Roman" w:cs="Times New Roman"/>
          <w:sz w:val="26"/>
          <w:szCs w:val="26"/>
        </w:rPr>
        <w:t xml:space="preserve"> </w:t>
      </w:r>
    </w:p>
    <w:p w:rsidR="00D20809" w14:paraId="65A0DDB2" w14:textId="77777777">
      <w:pPr>
        <w:spacing w:after="0" w:line="240" w:lineRule="auto"/>
        <w:rPr>
          <w:rFonts w:ascii="Times New Roman" w:hAnsi="Times New Roman" w:cs="Times New Roman"/>
          <w:sz w:val="26"/>
          <w:szCs w:val="26"/>
        </w:rPr>
      </w:pPr>
    </w:p>
    <w:p w:rsidR="00D20809" w14:paraId="6765E17C" w14:textId="309B786D">
      <w:pPr>
        <w:spacing w:after="0" w:line="240" w:lineRule="auto"/>
        <w:rPr>
          <w:rFonts w:ascii="Times New Roman" w:hAnsi="Times New Roman" w:cs="Times New Roman"/>
          <w:sz w:val="26"/>
          <w:szCs w:val="26"/>
        </w:rPr>
      </w:pPr>
      <w:r>
        <w:rPr>
          <w:rFonts w:ascii="Times New Roman" w:hAnsi="Times New Roman" w:cs="Times New Roman"/>
          <w:sz w:val="26"/>
          <w:szCs w:val="26"/>
        </w:rPr>
        <w:t>The frequency this information is currently required is once per calendar year</w:t>
      </w:r>
      <w:r w:rsidR="00D133CB">
        <w:rPr>
          <w:rFonts w:ascii="Times New Roman" w:hAnsi="Times New Roman" w:cs="Times New Roman"/>
          <w:sz w:val="26"/>
          <w:szCs w:val="26"/>
        </w:rPr>
        <w:t xml:space="preserve"> by the transmission owner and distribution provider to its planning coordinator and generator owners shall provide information upon request</w:t>
      </w:r>
      <w:r>
        <w:rPr>
          <w:rFonts w:ascii="Times New Roman" w:hAnsi="Times New Roman" w:cs="Times New Roman"/>
          <w:sz w:val="26"/>
          <w:szCs w:val="26"/>
        </w:rPr>
        <w:t xml:space="preserve">. </w:t>
      </w:r>
    </w:p>
    <w:p w:rsidR="00D20809" w14:paraId="4A883A7F" w14:textId="77777777">
      <w:pPr>
        <w:spacing w:after="0" w:line="240" w:lineRule="auto"/>
        <w:rPr>
          <w:rFonts w:ascii="Times New Roman" w:hAnsi="Times New Roman" w:cs="Times New Roman"/>
          <w:sz w:val="26"/>
          <w:szCs w:val="26"/>
        </w:rPr>
      </w:pPr>
    </w:p>
    <w:p w:rsidR="00D20809" w14:paraId="6738FBE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Having a yearly “develop and review” without taking any further action is strictly administrative and does nothing for reliability (P-81 type of issue).</w:t>
      </w:r>
    </w:p>
    <w:p w:rsidR="00D20809" w14:paraId="102541C9" w14:textId="77777777">
      <w:pPr>
        <w:spacing w:after="0" w:line="240" w:lineRule="auto"/>
        <w:rPr>
          <w:rFonts w:ascii="Times New Roman" w:hAnsi="Times New Roman" w:cs="Times New Roman"/>
          <w:sz w:val="26"/>
          <w:szCs w:val="26"/>
        </w:rPr>
      </w:pPr>
    </w:p>
    <w:p w:rsidR="00D20809" w14:paraId="08852D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D20809" w14:paraId="783EE955" w14:textId="77777777">
      <w:pPr>
        <w:spacing w:after="0" w:line="240" w:lineRule="auto"/>
        <w:rPr>
          <w:rFonts w:ascii="Times New Roman" w:hAnsi="Times New Roman" w:cs="Times New Roman"/>
          <w:sz w:val="26"/>
          <w:szCs w:val="26"/>
        </w:rPr>
      </w:pPr>
    </w:p>
    <w:p w:rsidR="00D20809" w14:paraId="208A49B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special circumstances as described in 5 CFR 1320.5(d)(2).</w:t>
      </w:r>
    </w:p>
    <w:p w:rsidR="00D20809" w14:paraId="743B5B7B" w14:textId="77777777">
      <w:pPr>
        <w:spacing w:after="0" w:line="240" w:lineRule="auto"/>
        <w:rPr>
          <w:rFonts w:ascii="Times New Roman" w:hAnsi="Times New Roman" w:cs="Times New Roman"/>
          <w:sz w:val="26"/>
          <w:szCs w:val="26"/>
        </w:rPr>
      </w:pPr>
    </w:p>
    <w:p w:rsidR="00D20809" w14:paraId="243161A4"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 TO THESE COMMENTS</w:t>
      </w:r>
    </w:p>
    <w:p w:rsidR="00D20809" w14:paraId="157B900C" w14:textId="77777777">
      <w:pPr>
        <w:spacing w:after="0" w:line="240" w:lineRule="auto"/>
        <w:rPr>
          <w:rFonts w:ascii="Times New Roman" w:hAnsi="Times New Roman" w:cs="Times New Roman"/>
          <w:sz w:val="26"/>
          <w:szCs w:val="26"/>
        </w:rPr>
      </w:pPr>
    </w:p>
    <w:p w:rsidR="00D20809" w14:paraId="4051CA11" w14:textId="77777777">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 </w:t>
      </w:r>
    </w:p>
    <w:p w:rsidR="00D20809" w14:paraId="1CC1C060" w14:textId="77777777">
      <w:pPr>
        <w:spacing w:after="0" w:line="240" w:lineRule="auto"/>
        <w:rPr>
          <w:rFonts w:ascii="Times New Roman" w:hAnsi="Times New Roman" w:cs="Times New Roman"/>
          <w:bCs/>
          <w:sz w:val="26"/>
          <w:szCs w:val="26"/>
        </w:rPr>
      </w:pPr>
    </w:p>
    <w:p w:rsidR="00D20809" w14:paraId="699E6840" w14:textId="5B233354">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The 60-</w:t>
      </w:r>
      <w:r w:rsidR="00576231">
        <w:rPr>
          <w:rFonts w:ascii="Times New Roman" w:eastAsia="Calibri" w:hAnsi="Times New Roman" w:cs="Times New Roman"/>
          <w:color w:val="000000"/>
          <w:sz w:val="26"/>
          <w:szCs w:val="26"/>
        </w:rPr>
        <w:t>day notice published on December 31, 2024</w:t>
      </w:r>
      <w:r w:rsidR="00AF48D3">
        <w:rPr>
          <w:rFonts w:ascii="Times New Roman" w:eastAsia="Calibri" w:hAnsi="Times New Roman" w:cs="Times New Roman"/>
          <w:color w:val="000000"/>
          <w:sz w:val="26"/>
          <w:szCs w:val="26"/>
        </w:rPr>
        <w:t xml:space="preserve"> (89 FR 107138)</w:t>
      </w:r>
      <w:r w:rsidR="00576231">
        <w:rPr>
          <w:rFonts w:ascii="Times New Roman" w:eastAsia="Calibri" w:hAnsi="Times New Roman" w:cs="Times New Roman"/>
          <w:color w:val="000000"/>
          <w:sz w:val="26"/>
          <w:szCs w:val="26"/>
        </w:rPr>
        <w:t xml:space="preserve"> with no comments received.  The 30-day notice </w:t>
      </w:r>
      <w:r w:rsidR="004A28D4">
        <w:rPr>
          <w:rFonts w:ascii="Times New Roman" w:eastAsia="Calibri" w:hAnsi="Times New Roman" w:cs="Times New Roman"/>
          <w:color w:val="000000"/>
          <w:sz w:val="26"/>
          <w:szCs w:val="26"/>
        </w:rPr>
        <w:t>(90 FR 12308) was published on March 17, 2025.</w:t>
      </w:r>
    </w:p>
    <w:p w:rsidR="00AF48D3" w:rsidRPr="00BD6FC6" w14:paraId="782620D6" w14:textId="77777777">
      <w:pPr>
        <w:spacing w:after="0" w:line="240" w:lineRule="auto"/>
        <w:rPr>
          <w:rFonts w:ascii="Times New Roman" w:hAnsi="Times New Roman" w:cs="Times New Roman"/>
          <w:sz w:val="26"/>
          <w:szCs w:val="26"/>
        </w:rPr>
      </w:pPr>
    </w:p>
    <w:p w:rsidR="00D20809" w14:paraId="7D1240E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D20809" w14:paraId="404FEB94" w14:textId="77777777">
      <w:pPr>
        <w:spacing w:after="0" w:line="240" w:lineRule="auto"/>
        <w:rPr>
          <w:rFonts w:ascii="Times New Roman" w:hAnsi="Times New Roman" w:cs="Times New Roman"/>
          <w:sz w:val="26"/>
          <w:szCs w:val="26"/>
        </w:rPr>
      </w:pPr>
    </w:p>
    <w:p w:rsidR="00D20809" w14:paraId="550D5FB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make payments or provide gifts for respondents related to these collections.</w:t>
      </w:r>
    </w:p>
    <w:p w:rsidR="00D20809" w14:paraId="7D1DA5E0" w14:textId="77777777">
      <w:pPr>
        <w:spacing w:after="0" w:line="240" w:lineRule="auto"/>
        <w:rPr>
          <w:rFonts w:ascii="Times New Roman" w:hAnsi="Times New Roman" w:cs="Times New Roman"/>
          <w:sz w:val="26"/>
          <w:szCs w:val="26"/>
        </w:rPr>
      </w:pPr>
    </w:p>
    <w:p w:rsidR="00D20809" w14:paraId="75717DA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D20809" w14:paraId="1DED820D" w14:textId="77777777">
      <w:pPr>
        <w:spacing w:after="0" w:line="240" w:lineRule="auto"/>
        <w:rPr>
          <w:rFonts w:ascii="Times New Roman" w:hAnsi="Times New Roman" w:cs="Times New Roman"/>
          <w:sz w:val="26"/>
          <w:szCs w:val="26"/>
        </w:rPr>
      </w:pPr>
    </w:p>
    <w:p w:rsidR="00D20809" w14:paraId="3BA2EA3D" w14:textId="582FD678">
      <w:pPr>
        <w:spacing w:after="0" w:line="240" w:lineRule="auto"/>
        <w:rPr>
          <w:rFonts w:ascii="Times New Roman" w:hAnsi="Times New Roman" w:cs="Times New Roman"/>
          <w:sz w:val="26"/>
          <w:szCs w:val="26"/>
        </w:rPr>
      </w:pPr>
      <w:r>
        <w:rPr>
          <w:rFonts w:ascii="Times New Roman" w:hAnsi="Times New Roman" w:cs="Times New Roman"/>
          <w:sz w:val="26"/>
          <w:szCs w:val="26"/>
        </w:rPr>
        <w:t>According to the NERC Rules of Procedure,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D20809" w14:paraId="740104DE" w14:textId="77777777">
      <w:pPr>
        <w:spacing w:after="0" w:line="240" w:lineRule="auto"/>
        <w:rPr>
          <w:rFonts w:ascii="Times New Roman" w:hAnsi="Times New Roman" w:cs="Times New Roman"/>
          <w:sz w:val="26"/>
          <w:szCs w:val="26"/>
        </w:rPr>
      </w:pPr>
    </w:p>
    <w:p w:rsidR="00D20809" w14:paraId="6624A9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Responding entities do not submit the information collected for Reliability Standards to FERC.  Rather, they submit the information to NERC, the regional entities, or maintain it internally.  Since there are no submissions made to FERC, FERC provides no specific provisions in order to protect confidentiality.</w:t>
      </w:r>
    </w:p>
    <w:p w:rsidR="00D20809" w14:paraId="277E6FD8" w14:textId="77777777">
      <w:pPr>
        <w:spacing w:after="0" w:line="240" w:lineRule="auto"/>
        <w:rPr>
          <w:rFonts w:ascii="Times New Roman" w:hAnsi="Times New Roman" w:cs="Times New Roman"/>
          <w:sz w:val="26"/>
          <w:szCs w:val="26"/>
        </w:rPr>
      </w:pPr>
    </w:p>
    <w:p w:rsidR="00D20809" w14:paraId="389578A7" w14:textId="77777777">
      <w:pPr>
        <w:numPr>
          <w:ilvl w:val="0"/>
          <w:numId w:val="2"/>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D20809" w14:paraId="59426792" w14:textId="77777777">
      <w:pPr>
        <w:spacing w:after="0" w:line="240" w:lineRule="auto"/>
        <w:rPr>
          <w:rFonts w:ascii="Times New Roman" w:hAnsi="Times New Roman" w:cs="Times New Roman"/>
          <w:b/>
          <w:bCs/>
          <w:sz w:val="26"/>
          <w:szCs w:val="26"/>
        </w:rPr>
      </w:pPr>
    </w:p>
    <w:p w:rsidR="00D20809" w14:paraId="638C422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This collection does not contain any questions of a sensitive nature.  </w:t>
      </w:r>
    </w:p>
    <w:p w:rsidR="00D20809" w14:paraId="16D1A9A8" w14:textId="77777777">
      <w:pPr>
        <w:spacing w:after="0" w:line="240" w:lineRule="auto"/>
        <w:rPr>
          <w:rFonts w:ascii="Times New Roman" w:hAnsi="Times New Roman" w:cs="Times New Roman"/>
          <w:sz w:val="26"/>
          <w:szCs w:val="26"/>
        </w:rPr>
      </w:pPr>
    </w:p>
    <w:p w:rsidR="00D20809" w14:paraId="04665851" w14:textId="252434BC">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9B66B9" w:rsidP="009B66B9" w14:paraId="7907D048" w14:textId="3BCE5F01">
      <w:pPr>
        <w:spacing w:after="0" w:line="240" w:lineRule="auto"/>
        <w:rPr>
          <w:rFonts w:ascii="Times New Roman" w:hAnsi="Times New Roman" w:cs="Times New Roman"/>
          <w:b/>
          <w:sz w:val="26"/>
          <w:szCs w:val="26"/>
        </w:rPr>
      </w:pPr>
    </w:p>
    <w:p w:rsidR="009B66B9" w:rsidP="000B09AE" w14:paraId="42CAA5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9B66B9">
        <w:rPr>
          <w:rFonts w:ascii="Times New Roman" w:eastAsia="Times New Roman" w:hAnsi="Times New Roman" w:cs="Times New Roman"/>
          <w:sz w:val="26"/>
          <w:szCs w:val="26"/>
        </w:rPr>
        <w:t>The Commission’s request to OMB will reflect the following:</w:t>
      </w:r>
    </w:p>
    <w:p w:rsidR="0036430B" w:rsidP="000B09AE" w14:paraId="4747C7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BE6612" w:rsidRPr="00BE6612" w:rsidP="00BE6612" w14:paraId="327C534E"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PRC-008-0 transfer from 725A to 725G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350"/>
        <w:gridCol w:w="1620"/>
        <w:gridCol w:w="1800"/>
      </w:tblGrid>
      <w:tr w14:paraId="7ECB1518" w14:textId="77777777" w:rsidTr="00BE661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BE6612" w:rsidRPr="00BE6612" w:rsidP="00BE6612" w14:paraId="6694A14A" w14:textId="77777777">
            <w:pPr>
              <w:spacing w:after="200" w:line="276" w:lineRule="auto"/>
              <w:rPr>
                <w:rFonts w:ascii="Times New Roman" w:eastAsia="Times New Roman" w:hAnsi="Times New Roman" w:cs="Times New Roman"/>
                <w:b/>
                <w:bCs/>
                <w:sz w:val="24"/>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6EFC786F"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15"/>
            </w:r>
            <w:r w:rsidRPr="00BE6612">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66A53162"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Number of Annual Responses Per Entity (2)</w:t>
            </w:r>
          </w:p>
        </w:tc>
        <w:tc>
          <w:tcPr>
            <w:tcW w:w="135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6A646E91"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Total Number of Responses (1) *(2) = (3)</w:t>
            </w:r>
          </w:p>
        </w:tc>
        <w:tc>
          <w:tcPr>
            <w:tcW w:w="162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29F29515"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 xml:space="preserve">Average </w:t>
            </w:r>
            <w:r w:rsidRPr="00BE6612">
              <w:rPr>
                <w:rFonts w:ascii="Times New Roman" w:eastAsia="Times New Roman" w:hAnsi="Times New Roman" w:cs="Times New Roman"/>
                <w:b/>
                <w:bCs/>
                <w:sz w:val="24"/>
                <w:szCs w:val="24"/>
              </w:rPr>
              <w:t>Number</w:t>
            </w:r>
            <w:r w:rsidRPr="00BE6612">
              <w:rPr>
                <w:rFonts w:ascii="Times New Roman" w:eastAsia="Times New Roman" w:hAnsi="Times New Roman" w:cs="Times New Roman"/>
                <w:b/>
                <w:bCs/>
                <w:sz w:val="24"/>
                <w:szCs w:val="24"/>
              </w:rPr>
              <w:t xml:space="preserve"> of Burden Hours per </w:t>
            </w:r>
            <w:r w:rsidRPr="00BE6612">
              <w:rPr>
                <w:rFonts w:ascii="Times New Roman" w:eastAsia="Times New Roman" w:hAnsi="Times New Roman" w:cs="Times New Roman"/>
                <w:b/>
                <w:bCs/>
                <w:sz w:val="24"/>
                <w:szCs w:val="24"/>
              </w:rPr>
              <w:t>Response</w:t>
            </w:r>
            <w:r>
              <w:rPr>
                <w:rFonts w:ascii="Times New Roman" w:eastAsia="Times New Roman" w:hAnsi="Times New Roman" w:cs="Times New Roman"/>
                <w:b/>
                <w:bCs/>
                <w:sz w:val="24"/>
                <w:szCs w:val="24"/>
              </w:rPr>
              <w:footnoteReference w:id="16"/>
            </w:r>
            <w:r w:rsidRPr="00BE6612">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BE6612" w:rsidRPr="00BE6612" w:rsidP="00BE6612" w14:paraId="5A4E0964"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Total Burden Hours (3) *(4) = (5)</w:t>
            </w:r>
          </w:p>
        </w:tc>
      </w:tr>
      <w:tr w14:paraId="0E291F92" w14:textId="77777777" w:rsidTr="00BE6612">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hideMark/>
          </w:tcPr>
          <w:p w:rsidR="00BE6612" w:rsidRPr="00BE6612" w:rsidP="00BE6612" w14:paraId="4FF53CC5" w14:textId="77777777">
            <w:pPr>
              <w:spacing w:after="0" w:line="240" w:lineRule="auto"/>
              <w:jc w:val="center"/>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FERC-725A Reduction</w:t>
            </w:r>
          </w:p>
        </w:tc>
      </w:tr>
      <w:tr w14:paraId="6A175D1A" w14:textId="77777777" w:rsidTr="00BE6612">
        <w:tblPrEx>
          <w:tblW w:w="0" w:type="auto"/>
          <w:tblLook w:val="00A0"/>
        </w:tblPrEx>
        <w:trPr>
          <w:trHeight w:val="780"/>
        </w:trPr>
        <w:tc>
          <w:tcPr>
            <w:tcW w:w="1617" w:type="dxa"/>
            <w:vMerge w:val="restart"/>
            <w:tcBorders>
              <w:top w:val="single" w:sz="6" w:space="0" w:color="auto"/>
              <w:left w:val="single" w:sz="4" w:space="0" w:color="auto"/>
              <w:bottom w:val="single" w:sz="4" w:space="0" w:color="auto"/>
              <w:right w:val="single" w:sz="6" w:space="0" w:color="auto"/>
            </w:tcBorders>
            <w:hideMark/>
          </w:tcPr>
          <w:p w:rsidR="00BE6612" w:rsidRPr="00BE6612" w:rsidP="00BE6612" w14:paraId="5AACDAE3"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34560ECE"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6482D498"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0A22AA4E"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324</w:t>
            </w:r>
          </w:p>
        </w:tc>
        <w:tc>
          <w:tcPr>
            <w:tcW w:w="1620"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6EEC3911" w14:textId="0A57A045">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24 hrs.</w:t>
            </w:r>
          </w:p>
          <w:p w:rsidR="00BE6612" w:rsidRPr="00BE6612" w:rsidP="00BE6612" w14:paraId="77562CFF" w14:textId="0A661C48">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6" w:space="0" w:color="auto"/>
              <w:right w:val="single" w:sz="4" w:space="0" w:color="auto"/>
            </w:tcBorders>
            <w:vAlign w:val="bottom"/>
            <w:hideMark/>
          </w:tcPr>
          <w:p w:rsidR="00BE6612" w:rsidRPr="00BE6612" w:rsidP="00BE6612" w14:paraId="40091B29" w14:textId="52ACF26B">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7,776 hrs.</w:t>
            </w:r>
          </w:p>
          <w:p w:rsidR="00BE6612" w:rsidRPr="00BE6612" w:rsidP="00BE6612" w14:paraId="3863DCB8" w14:textId="4FDCD0D5">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$549,529.92</w:t>
            </w:r>
          </w:p>
        </w:tc>
      </w:tr>
      <w:tr w14:paraId="68E5FA73" w14:textId="77777777" w:rsidTr="00BE6612">
        <w:tblPrEx>
          <w:tblW w:w="0" w:type="auto"/>
          <w:tblLook w:val="00A0"/>
        </w:tblPrEx>
        <w:trPr>
          <w:trHeight w:val="780"/>
        </w:trPr>
        <w:tc>
          <w:tcPr>
            <w:tcW w:w="0" w:type="auto"/>
            <w:vMerge/>
            <w:tcBorders>
              <w:top w:val="single" w:sz="6" w:space="0" w:color="auto"/>
              <w:left w:val="single" w:sz="4" w:space="0" w:color="auto"/>
              <w:bottom w:val="single" w:sz="4" w:space="0" w:color="auto"/>
              <w:right w:val="single" w:sz="6" w:space="0" w:color="auto"/>
            </w:tcBorders>
            <w:vAlign w:val="center"/>
            <w:hideMark/>
          </w:tcPr>
          <w:p w:rsidR="00BE6612" w:rsidRPr="00BE6612" w:rsidP="00BE6612" w14:paraId="1D5B9B9E" w14:textId="77777777">
            <w:pPr>
              <w:spacing w:after="0" w:line="276"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5E6DC8D3"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371 (DP)</w:t>
            </w:r>
          </w:p>
        </w:tc>
        <w:tc>
          <w:tcPr>
            <w:tcW w:w="143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34BE2AFB"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7E83C156"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371</w:t>
            </w:r>
          </w:p>
        </w:tc>
        <w:tc>
          <w:tcPr>
            <w:tcW w:w="162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1F9CFE80" w14:textId="5EAC2DB0">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24 hrs.</w:t>
            </w:r>
          </w:p>
          <w:p w:rsidR="00BE6612" w:rsidRPr="00BE6612" w:rsidP="00BE6612" w14:paraId="64DC2A85" w14:textId="0E61A2BD">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hideMark/>
          </w:tcPr>
          <w:p w:rsidR="00BE6612" w:rsidRPr="00BE6612" w:rsidP="00BE6612" w14:paraId="6D582F18" w14:textId="65444CAD">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8,904 hrs.</w:t>
            </w:r>
          </w:p>
          <w:p w:rsidR="00BE6612" w:rsidRPr="00BE6612" w:rsidP="00BE6612" w14:paraId="6B139271" w14:textId="083E65C3">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$629,245.68</w:t>
            </w:r>
          </w:p>
        </w:tc>
      </w:tr>
      <w:tr w14:paraId="680C4ED1" w14:textId="77777777" w:rsidTr="00BE6612">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hideMark/>
          </w:tcPr>
          <w:p w:rsidR="00BE6612" w:rsidRPr="00BE6612" w:rsidP="00BE6612" w14:paraId="59C6024A" w14:textId="5A354B3A">
            <w:pPr>
              <w:spacing w:after="0" w:line="240" w:lineRule="auto"/>
              <w:rPr>
                <w:rFonts w:ascii="Times New Roman" w:eastAsia="Times New Roman" w:hAnsi="Times New Roman" w:cs="Times New Roman"/>
                <w:b/>
                <w:sz w:val="24"/>
                <w:szCs w:val="24"/>
              </w:rPr>
            </w:pPr>
            <w:r w:rsidRPr="00BE6612">
              <w:rPr>
                <w:rFonts w:ascii="Times New Roman" w:eastAsia="Times New Roman" w:hAnsi="Times New Roman" w:cs="Times New Roman"/>
                <w:b/>
                <w:sz w:val="24"/>
                <w:szCs w:val="24"/>
              </w:rPr>
              <w:t xml:space="preserve">Total for </w:t>
            </w:r>
          </w:p>
          <w:p w:rsidR="00BE6612" w:rsidRPr="00BE6612" w:rsidP="00BE6612" w14:paraId="1C52BC08" w14:textId="77777777">
            <w:pPr>
              <w:spacing w:after="0" w:line="240" w:lineRule="auto"/>
              <w:rPr>
                <w:rFonts w:ascii="Times New Roman" w:eastAsia="Times New Roman" w:hAnsi="Times New Roman" w:cs="Times New Roman"/>
                <w:b/>
                <w:sz w:val="24"/>
                <w:szCs w:val="24"/>
              </w:rPr>
            </w:pPr>
            <w:r w:rsidRPr="00BE6612">
              <w:rPr>
                <w:rFonts w:ascii="Times New Roman" w:eastAsia="Times New Roman" w:hAnsi="Times New Roman" w:cs="Times New Roman"/>
                <w:b/>
                <w:bCs/>
                <w:sz w:val="24"/>
                <w:szCs w:val="24"/>
              </w:rPr>
              <w:t>PRC-008-0</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2D044F02" w14:textId="77777777">
            <w:pPr>
              <w:spacing w:after="0" w:line="240" w:lineRule="auto"/>
              <w:rPr>
                <w:rFonts w:ascii="Times New Roman" w:eastAsia="Times New Roman" w:hAnsi="Times New Roman" w:cs="Times New Roman"/>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1957B9E0" w14:textId="77777777">
            <w:pPr>
              <w:spacing w:after="0" w:line="240" w:lineRule="auto"/>
              <w:rPr>
                <w:rFonts w:ascii="Times New Roman" w:eastAsia="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5582780D" w14:textId="77777777">
            <w:pPr>
              <w:spacing w:after="0" w:line="240" w:lineRule="auto"/>
              <w:rPr>
                <w:rFonts w:ascii="Times New Roman" w:eastAsia="Times New Roman" w:hAnsi="Times New Roman" w:cs="Times New Roman"/>
                <w:sz w:val="24"/>
                <w:szCs w:val="24"/>
              </w:rPr>
            </w:pPr>
          </w:p>
        </w:tc>
        <w:tc>
          <w:tcPr>
            <w:tcW w:w="1620"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094474FA" w14:textId="77777777">
            <w:pPr>
              <w:spacing w:after="0" w:line="240" w:lineRule="auto"/>
              <w:jc w:val="right"/>
              <w:rPr>
                <w:rFonts w:ascii="Times New Roman" w:eastAsia="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hideMark/>
          </w:tcPr>
          <w:p w:rsidR="00BE6612" w:rsidRPr="00BE6612" w:rsidP="00BE6612" w14:paraId="22483DAA" w14:textId="5CD2A64E">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18,680 hrs.</w:t>
            </w:r>
          </w:p>
          <w:p w:rsidR="00BE6612" w:rsidRPr="00BE6612" w:rsidP="00BE6612" w14:paraId="487267FE" w14:textId="1842EE95">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$1,178,775.60</w:t>
            </w:r>
          </w:p>
        </w:tc>
      </w:tr>
    </w:tbl>
    <w:p w:rsidR="00BE6612" w:rsidRPr="00BE6612" w:rsidP="00BE6612" w14:paraId="3B389612" w14:textId="77777777">
      <w:pPr>
        <w:spacing w:after="0" w:line="480" w:lineRule="auto"/>
        <w:rPr>
          <w:rFonts w:ascii="Times New Roman" w:eastAsia="Times New Roman" w:hAnsi="Times New Roman" w:cs="Times New Roman"/>
          <w:i/>
          <w:sz w:val="24"/>
          <w:szCs w:val="24"/>
        </w:rPr>
      </w:pPr>
    </w:p>
    <w:p w:rsidR="00BE6612" w:rsidRPr="00BE6612" w:rsidP="00BE6612" w14:paraId="04E20AD5"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PRC-011-0 transfer from FERC 725A to FERC 725G</w:t>
      </w:r>
      <w:r>
        <w:rPr>
          <w:rFonts w:ascii="Times New Roman" w:eastAsia="Times New Roman" w:hAnsi="Times New Roman" w:cs="Times New Roman"/>
          <w:bCs/>
          <w:sz w:val="24"/>
          <w:szCs w:val="24"/>
          <w:vertAlign w:val="superscript"/>
        </w:rPr>
        <w:footnoteReference w:id="17"/>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350"/>
        <w:gridCol w:w="1670"/>
        <w:gridCol w:w="1800"/>
      </w:tblGrid>
      <w:tr w14:paraId="042DDB46" w14:textId="77777777" w:rsidTr="00BE661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BE6612" w:rsidRPr="00BE6612" w:rsidP="00BE6612" w14:paraId="6EC63C22"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Reliability Standard &amp; Requirement</w:t>
            </w: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45FDCB61"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18"/>
            </w:r>
            <w:r w:rsidRPr="00BE6612">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347018CA"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Number of Annual Responses Per Entity (2)</w:t>
            </w:r>
          </w:p>
        </w:tc>
        <w:tc>
          <w:tcPr>
            <w:tcW w:w="135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4B73BAF9"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Total Number of Responses (1) *(2) = (3)</w:t>
            </w:r>
          </w:p>
        </w:tc>
        <w:tc>
          <w:tcPr>
            <w:tcW w:w="167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31D8C823"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 xml:space="preserve">Average </w:t>
            </w:r>
            <w:r w:rsidRPr="00BE6612">
              <w:rPr>
                <w:rFonts w:ascii="Times New Roman" w:eastAsia="Times New Roman" w:hAnsi="Times New Roman" w:cs="Times New Roman"/>
                <w:b/>
                <w:bCs/>
                <w:sz w:val="24"/>
                <w:szCs w:val="24"/>
              </w:rPr>
              <w:t>Number</w:t>
            </w:r>
            <w:r w:rsidRPr="00BE6612">
              <w:rPr>
                <w:rFonts w:ascii="Times New Roman" w:eastAsia="Times New Roman" w:hAnsi="Times New Roman" w:cs="Times New Roman"/>
                <w:b/>
                <w:bCs/>
                <w:sz w:val="24"/>
                <w:szCs w:val="24"/>
              </w:rPr>
              <w:t xml:space="preserve"> of Burden Hours per Response</w:t>
            </w:r>
            <w:r>
              <w:rPr>
                <w:rFonts w:ascii="Times New Roman" w:eastAsia="Times New Roman" w:hAnsi="Times New Roman" w:cs="Times New Roman"/>
                <w:b/>
                <w:bCs/>
                <w:sz w:val="24"/>
                <w:szCs w:val="24"/>
              </w:rPr>
              <w:footnoteReference w:id="19"/>
            </w:r>
            <w:r w:rsidRPr="00BE6612">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BE6612" w:rsidRPr="00BE6612" w:rsidP="00BE6612" w14:paraId="6482ACD9"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Total Burden Hours (3) *(4) = (5)</w:t>
            </w:r>
          </w:p>
        </w:tc>
      </w:tr>
      <w:tr w14:paraId="6CCD890B" w14:textId="77777777" w:rsidTr="00BE6612">
        <w:tblPrEx>
          <w:tblW w:w="0" w:type="auto"/>
          <w:tblLook w:val="00A0"/>
        </w:tblPrEx>
        <w:trPr>
          <w:trHeight w:val="219"/>
        </w:trPr>
        <w:tc>
          <w:tcPr>
            <w:tcW w:w="9045" w:type="dxa"/>
            <w:gridSpan w:val="6"/>
            <w:tcBorders>
              <w:top w:val="single" w:sz="4" w:space="0" w:color="auto"/>
              <w:left w:val="single" w:sz="4" w:space="0" w:color="auto"/>
              <w:bottom w:val="single" w:sz="6" w:space="0" w:color="auto"/>
              <w:right w:val="single" w:sz="4" w:space="0" w:color="auto"/>
            </w:tcBorders>
            <w:shd w:val="clear" w:color="auto" w:fill="BFBFBF"/>
            <w:vAlign w:val="bottom"/>
            <w:hideMark/>
          </w:tcPr>
          <w:p w:rsidR="00BE6612" w:rsidRPr="00BE6612" w:rsidP="00BE6612" w14:paraId="6E41C91E" w14:textId="77777777">
            <w:pPr>
              <w:spacing w:after="0" w:line="240" w:lineRule="auto"/>
              <w:jc w:val="center"/>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FERC-725A Reduction</w:t>
            </w:r>
          </w:p>
        </w:tc>
      </w:tr>
      <w:tr w14:paraId="019C8F79" w14:textId="77777777" w:rsidTr="00BE6612">
        <w:tblPrEx>
          <w:tblW w:w="0" w:type="auto"/>
          <w:tblLook w:val="00A0"/>
        </w:tblPrEx>
        <w:trPr>
          <w:trHeight w:val="780"/>
        </w:trPr>
        <w:tc>
          <w:tcPr>
            <w:tcW w:w="1617" w:type="dxa"/>
            <w:vMerge w:val="restart"/>
            <w:tcBorders>
              <w:top w:val="single" w:sz="6" w:space="0" w:color="auto"/>
              <w:left w:val="single" w:sz="4" w:space="0" w:color="auto"/>
              <w:bottom w:val="single" w:sz="4" w:space="0" w:color="auto"/>
              <w:right w:val="single" w:sz="6" w:space="0" w:color="auto"/>
            </w:tcBorders>
            <w:hideMark/>
          </w:tcPr>
          <w:p w:rsidR="00BE6612" w:rsidRPr="00BE6612" w:rsidP="00BE6612" w14:paraId="240F62A9"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7D48A404"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162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66C91740"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4B8DDE5F"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162</w:t>
            </w:r>
          </w:p>
        </w:tc>
        <w:tc>
          <w:tcPr>
            <w:tcW w:w="1670"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1C98C079" w14:textId="482C26B2">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24 hrs.</w:t>
            </w:r>
          </w:p>
          <w:p w:rsidR="00BE6612" w:rsidRPr="00BE6612" w:rsidP="00BE6612" w14:paraId="2B1CB341" w14:textId="77777777">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6" w:space="0" w:color="auto"/>
              <w:right w:val="single" w:sz="4" w:space="0" w:color="auto"/>
            </w:tcBorders>
            <w:vAlign w:val="bottom"/>
            <w:hideMark/>
          </w:tcPr>
          <w:p w:rsidR="00BE6612" w:rsidRPr="00BE6612" w:rsidP="00BE6612" w14:paraId="0715A187" w14:textId="73E90990">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3,888 hrs.</w:t>
            </w:r>
          </w:p>
          <w:p w:rsidR="00BE6612" w:rsidRPr="00BE6612" w:rsidP="00BE6612" w14:paraId="63E27482" w14:textId="4E20C5BC">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$274,764.96</w:t>
            </w:r>
          </w:p>
        </w:tc>
      </w:tr>
      <w:tr w14:paraId="1515F3EA" w14:textId="77777777" w:rsidTr="00BE6612">
        <w:tblPrEx>
          <w:tblW w:w="0" w:type="auto"/>
          <w:tblLook w:val="00A0"/>
        </w:tblPrEx>
        <w:trPr>
          <w:trHeight w:val="780"/>
        </w:trPr>
        <w:tc>
          <w:tcPr>
            <w:tcW w:w="0" w:type="auto"/>
            <w:vMerge/>
            <w:tcBorders>
              <w:top w:val="single" w:sz="6" w:space="0" w:color="auto"/>
              <w:left w:val="single" w:sz="4" w:space="0" w:color="auto"/>
              <w:bottom w:val="single" w:sz="4" w:space="0" w:color="auto"/>
              <w:right w:val="single" w:sz="6" w:space="0" w:color="auto"/>
            </w:tcBorders>
            <w:vAlign w:val="center"/>
            <w:hideMark/>
          </w:tcPr>
          <w:p w:rsidR="00BE6612" w:rsidRPr="00BE6612" w:rsidP="00BE6612" w14:paraId="6E38CC2D" w14:textId="77777777">
            <w:pPr>
              <w:spacing w:after="0" w:line="276"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13FDD589"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181 (DP)</w:t>
            </w:r>
          </w:p>
        </w:tc>
        <w:tc>
          <w:tcPr>
            <w:tcW w:w="143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0BF5991A"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67FF33FD"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181</w:t>
            </w:r>
          </w:p>
        </w:tc>
        <w:tc>
          <w:tcPr>
            <w:tcW w:w="167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447A5DEE" w14:textId="60D552DA">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24 hrs.</w:t>
            </w:r>
          </w:p>
          <w:p w:rsidR="00BE6612" w:rsidRPr="00BE6612" w:rsidP="00BE6612" w14:paraId="25725851" w14:textId="72D86D61">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hideMark/>
          </w:tcPr>
          <w:p w:rsidR="00BE6612" w:rsidRPr="00BE6612" w:rsidP="00BE6612" w14:paraId="2EB2E1A3" w14:textId="5A4E90D7">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4,344 hrs.</w:t>
            </w:r>
          </w:p>
          <w:p w:rsidR="00BE6612" w:rsidRPr="00BE6612" w:rsidP="00BE6612" w14:paraId="1F86E543" w14:textId="13177641">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$306,990.48</w:t>
            </w:r>
          </w:p>
        </w:tc>
      </w:tr>
      <w:tr w14:paraId="6EBD590D" w14:textId="77777777" w:rsidTr="00BE6612">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hideMark/>
          </w:tcPr>
          <w:p w:rsidR="00BE6612" w:rsidRPr="00BE6612" w:rsidP="00BE6612" w14:paraId="063B10CF" w14:textId="01378304">
            <w:pPr>
              <w:spacing w:after="0" w:line="240" w:lineRule="auto"/>
              <w:rPr>
                <w:rFonts w:ascii="Times New Roman" w:eastAsia="Times New Roman" w:hAnsi="Times New Roman" w:cs="Times New Roman"/>
                <w:b/>
                <w:sz w:val="24"/>
                <w:szCs w:val="24"/>
              </w:rPr>
            </w:pPr>
            <w:r w:rsidRPr="00BE6612">
              <w:rPr>
                <w:rFonts w:ascii="Times New Roman" w:eastAsia="Times New Roman" w:hAnsi="Times New Roman" w:cs="Times New Roman"/>
                <w:b/>
                <w:sz w:val="24"/>
                <w:szCs w:val="24"/>
              </w:rPr>
              <w:t xml:space="preserve">Total for </w:t>
            </w:r>
          </w:p>
          <w:p w:rsidR="00BE6612" w:rsidRPr="00BE6612" w:rsidP="00BE6612" w14:paraId="23007C8A" w14:textId="77777777">
            <w:pPr>
              <w:spacing w:after="0" w:line="240" w:lineRule="auto"/>
              <w:rPr>
                <w:rFonts w:ascii="Times New Roman" w:eastAsia="Times New Roman" w:hAnsi="Times New Roman" w:cs="Times New Roman"/>
                <w:b/>
                <w:sz w:val="24"/>
                <w:szCs w:val="24"/>
              </w:rPr>
            </w:pPr>
            <w:r w:rsidRPr="00BE6612">
              <w:rPr>
                <w:rFonts w:ascii="Times New Roman" w:eastAsia="Times New Roman" w:hAnsi="Times New Roman" w:cs="Times New Roman"/>
                <w:b/>
                <w:bCs/>
                <w:sz w:val="24"/>
                <w:szCs w:val="24"/>
              </w:rPr>
              <w:t>PRC-011-0</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64B67B78" w14:textId="77777777">
            <w:pPr>
              <w:spacing w:after="0" w:line="240" w:lineRule="auto"/>
              <w:rPr>
                <w:rFonts w:ascii="Times New Roman" w:eastAsia="Times New Roman" w:hAnsi="Times New Roman" w:cs="Times New Roman"/>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47AB936B" w14:textId="77777777">
            <w:pPr>
              <w:spacing w:after="0" w:line="240" w:lineRule="auto"/>
              <w:rPr>
                <w:rFonts w:ascii="Times New Roman" w:eastAsia="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1C434E22" w14:textId="77777777">
            <w:pPr>
              <w:spacing w:after="0" w:line="240" w:lineRule="auto"/>
              <w:rPr>
                <w:rFonts w:ascii="Times New Roman" w:eastAsia="Times New Roman" w:hAnsi="Times New Roman" w:cs="Times New Roman"/>
                <w:sz w:val="24"/>
                <w:szCs w:val="24"/>
              </w:rPr>
            </w:pPr>
          </w:p>
        </w:tc>
        <w:tc>
          <w:tcPr>
            <w:tcW w:w="1670"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5D193528" w14:textId="77777777">
            <w:pPr>
              <w:spacing w:after="0" w:line="240" w:lineRule="auto"/>
              <w:jc w:val="right"/>
              <w:rPr>
                <w:rFonts w:ascii="Times New Roman" w:eastAsia="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hideMark/>
          </w:tcPr>
          <w:p w:rsidR="00BE6612" w:rsidRPr="00BE6612" w:rsidP="00BE6612" w14:paraId="2B193253" w14:textId="06204F8B">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8,232 hrs.</w:t>
            </w:r>
          </w:p>
          <w:p w:rsidR="00BE6612" w:rsidRPr="00BE6612" w:rsidP="00BE6612" w14:paraId="00AC581F" w14:textId="20983641">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$581,755.44</w:t>
            </w:r>
          </w:p>
        </w:tc>
      </w:tr>
    </w:tbl>
    <w:p w:rsidR="00BE6612" w:rsidRPr="00BE6612" w:rsidP="00BE6612" w14:paraId="710E45FA" w14:textId="77777777">
      <w:pPr>
        <w:spacing w:after="0" w:line="480" w:lineRule="auto"/>
        <w:rPr>
          <w:rFonts w:ascii="Times New Roman" w:eastAsia="Times New Roman" w:hAnsi="Times New Roman" w:cs="Times New Roman"/>
          <w:i/>
          <w:sz w:val="26"/>
          <w:szCs w:val="26"/>
        </w:rPr>
      </w:pPr>
    </w:p>
    <w:p w:rsidR="00BE6612" w:rsidRPr="00BE6612" w:rsidP="00BE6612" w14:paraId="4B9F6FBF" w14:textId="77777777">
      <w:pPr>
        <w:spacing w:after="0" w:line="240" w:lineRule="auto"/>
        <w:rPr>
          <w:rFonts w:ascii="Times New Roman" w:eastAsia="Times New Roman" w:hAnsi="Times New Roman" w:cs="Times New Roman"/>
          <w:b/>
          <w:bCs/>
          <w:sz w:val="26"/>
          <w:szCs w:val="24"/>
        </w:rPr>
      </w:pPr>
      <w:r w:rsidRPr="00BE6612">
        <w:rPr>
          <w:rFonts w:ascii="Times New Roman" w:eastAsia="Times New Roman" w:hAnsi="Times New Roman" w:cs="Times New Roman"/>
          <w:b/>
          <w:bCs/>
          <w:sz w:val="26"/>
          <w:szCs w:val="24"/>
        </w:rPr>
        <w:t>PRC-017-1 transfer from FERC 725A to FERC 725G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350"/>
        <w:gridCol w:w="1670"/>
        <w:gridCol w:w="1800"/>
      </w:tblGrid>
      <w:tr w14:paraId="3D3E14F8" w14:textId="77777777" w:rsidTr="00BE661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BE6612" w:rsidRPr="00BE6612" w:rsidP="00BE6612" w14:paraId="3E8EC9D4" w14:textId="77777777">
            <w:pPr>
              <w:spacing w:after="200" w:line="276" w:lineRule="auto"/>
              <w:rPr>
                <w:rFonts w:ascii="Times New Roman" w:eastAsia="Times New Roman" w:hAnsi="Times New Roman" w:cs="Times New Roman"/>
                <w:b/>
                <w:bCs/>
                <w:sz w:val="26"/>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06E1A2E2"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20"/>
            </w:r>
            <w:r w:rsidRPr="00BE6612">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19327BEA"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Number of Annual Responses Per Entity (2)</w:t>
            </w:r>
          </w:p>
        </w:tc>
        <w:tc>
          <w:tcPr>
            <w:tcW w:w="135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40C8823F"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Total Number of Responses (1) *(2) = (3)</w:t>
            </w:r>
          </w:p>
        </w:tc>
        <w:tc>
          <w:tcPr>
            <w:tcW w:w="167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BE6612" w:rsidRPr="00BE6612" w:rsidP="00BE6612" w14:paraId="6739743D"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 xml:space="preserve">Average </w:t>
            </w:r>
            <w:r w:rsidRPr="00BE6612">
              <w:rPr>
                <w:rFonts w:ascii="Times New Roman" w:eastAsia="Times New Roman" w:hAnsi="Times New Roman" w:cs="Times New Roman"/>
                <w:b/>
                <w:bCs/>
                <w:sz w:val="24"/>
                <w:szCs w:val="24"/>
              </w:rPr>
              <w:t>Number</w:t>
            </w:r>
            <w:r w:rsidRPr="00BE6612">
              <w:rPr>
                <w:rFonts w:ascii="Times New Roman" w:eastAsia="Times New Roman" w:hAnsi="Times New Roman" w:cs="Times New Roman"/>
                <w:b/>
                <w:bCs/>
                <w:sz w:val="24"/>
                <w:szCs w:val="24"/>
              </w:rPr>
              <w:t xml:space="preserve"> of Burden Hours per Response</w:t>
            </w:r>
            <w:r>
              <w:rPr>
                <w:rFonts w:ascii="Times New Roman" w:eastAsia="Times New Roman" w:hAnsi="Times New Roman" w:cs="Times New Roman"/>
                <w:b/>
                <w:bCs/>
                <w:sz w:val="24"/>
                <w:szCs w:val="24"/>
              </w:rPr>
              <w:footnoteReference w:id="21"/>
            </w:r>
            <w:r w:rsidRPr="00BE6612">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BE6612" w:rsidRPr="00BE6612" w:rsidP="00BE6612" w14:paraId="222D41B2"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Total Burden Hours (3) *(4) = (5)</w:t>
            </w:r>
          </w:p>
        </w:tc>
      </w:tr>
      <w:tr w14:paraId="3CB76B5F" w14:textId="77777777" w:rsidTr="00BE6612">
        <w:tblPrEx>
          <w:tblW w:w="0" w:type="auto"/>
          <w:tblLook w:val="00A0"/>
        </w:tblPrEx>
        <w:trPr>
          <w:trHeight w:val="219"/>
        </w:trPr>
        <w:tc>
          <w:tcPr>
            <w:tcW w:w="9045" w:type="dxa"/>
            <w:gridSpan w:val="6"/>
            <w:tcBorders>
              <w:top w:val="single" w:sz="4" w:space="0" w:color="auto"/>
              <w:left w:val="single" w:sz="4" w:space="0" w:color="auto"/>
              <w:bottom w:val="single" w:sz="6" w:space="0" w:color="auto"/>
              <w:right w:val="single" w:sz="4" w:space="0" w:color="auto"/>
            </w:tcBorders>
            <w:shd w:val="clear" w:color="auto" w:fill="BFBFBF"/>
            <w:vAlign w:val="bottom"/>
            <w:hideMark/>
          </w:tcPr>
          <w:p w:rsidR="00BE6612" w:rsidRPr="00BE6612" w:rsidP="00BE6612" w14:paraId="11B736A1" w14:textId="77777777">
            <w:pPr>
              <w:spacing w:after="0" w:line="240" w:lineRule="auto"/>
              <w:jc w:val="center"/>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FERC-725A Reduction</w:t>
            </w:r>
          </w:p>
        </w:tc>
      </w:tr>
      <w:tr w14:paraId="49AA5872" w14:textId="77777777" w:rsidTr="00BE6612">
        <w:tblPrEx>
          <w:tblW w:w="0" w:type="auto"/>
          <w:tblLook w:val="00A0"/>
        </w:tblPrEx>
        <w:trPr>
          <w:trHeight w:val="780"/>
        </w:trPr>
        <w:tc>
          <w:tcPr>
            <w:tcW w:w="1617" w:type="dxa"/>
            <w:vMerge w:val="restart"/>
            <w:tcBorders>
              <w:top w:val="single" w:sz="6" w:space="0" w:color="auto"/>
              <w:left w:val="single" w:sz="4" w:space="0" w:color="auto"/>
              <w:bottom w:val="single" w:sz="4" w:space="0" w:color="auto"/>
              <w:right w:val="single" w:sz="6" w:space="0" w:color="auto"/>
            </w:tcBorders>
            <w:hideMark/>
          </w:tcPr>
          <w:p w:rsidR="00BE6612" w:rsidRPr="00BE6612" w:rsidP="00BE6612" w14:paraId="639EEDC8" w14:textId="77777777">
            <w:pPr>
              <w:spacing w:after="0" w:line="240" w:lineRule="auto"/>
              <w:rPr>
                <w:rFonts w:ascii="Times New Roman" w:eastAsia="Times New Roman" w:hAnsi="Times New Roman" w:cs="Times New Roman"/>
                <w:b/>
                <w:bCs/>
                <w:sz w:val="24"/>
                <w:szCs w:val="24"/>
              </w:rPr>
            </w:pPr>
            <w:r w:rsidRPr="00BE6612">
              <w:rPr>
                <w:rFonts w:ascii="Times New Roman" w:eastAsia="Times New Roman" w:hAnsi="Times New Roman" w:cs="Times New Roman"/>
                <w:b/>
                <w:bCs/>
                <w:sz w:val="24"/>
                <w:szCs w:val="24"/>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6314FC6D"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3724DB95"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1C08B1E2"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324</w:t>
            </w:r>
          </w:p>
        </w:tc>
        <w:tc>
          <w:tcPr>
            <w:tcW w:w="1670" w:type="dxa"/>
            <w:tcBorders>
              <w:top w:val="single" w:sz="6" w:space="0" w:color="auto"/>
              <w:left w:val="single" w:sz="6" w:space="0" w:color="auto"/>
              <w:bottom w:val="single" w:sz="6" w:space="0" w:color="auto"/>
              <w:right w:val="single" w:sz="6" w:space="0" w:color="auto"/>
            </w:tcBorders>
            <w:vAlign w:val="bottom"/>
            <w:hideMark/>
          </w:tcPr>
          <w:p w:rsidR="00BE6612" w:rsidRPr="00BE6612" w:rsidP="00BE6612" w14:paraId="149CDAE9" w14:textId="119EEECF">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80 hrs.</w:t>
            </w:r>
          </w:p>
          <w:p w:rsidR="00BE6612" w:rsidRPr="00BE6612" w:rsidP="00BE6612" w14:paraId="6086CBC6" w14:textId="193C3798">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$5,653.60/hr.</w:t>
            </w:r>
          </w:p>
        </w:tc>
        <w:tc>
          <w:tcPr>
            <w:tcW w:w="1800" w:type="dxa"/>
            <w:tcBorders>
              <w:top w:val="single" w:sz="6" w:space="0" w:color="auto"/>
              <w:left w:val="single" w:sz="6" w:space="0" w:color="auto"/>
              <w:bottom w:val="single" w:sz="6" w:space="0" w:color="auto"/>
              <w:right w:val="single" w:sz="4" w:space="0" w:color="auto"/>
            </w:tcBorders>
            <w:vAlign w:val="bottom"/>
            <w:hideMark/>
          </w:tcPr>
          <w:p w:rsidR="00BE6612" w:rsidRPr="00BE6612" w:rsidP="00BE6612" w14:paraId="2E444E70" w14:textId="4A9D9A3A">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25,920 hrs.</w:t>
            </w:r>
          </w:p>
          <w:p w:rsidR="00BE6612" w:rsidRPr="00BE6612" w:rsidP="00BE6612" w14:paraId="0D81DA8F" w14:textId="1B328993">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$1,831,766.40</w:t>
            </w:r>
          </w:p>
        </w:tc>
      </w:tr>
      <w:tr w14:paraId="16C74CC1" w14:textId="77777777" w:rsidTr="00BE6612">
        <w:tblPrEx>
          <w:tblW w:w="0" w:type="auto"/>
          <w:tblLook w:val="00A0"/>
        </w:tblPrEx>
        <w:trPr>
          <w:trHeight w:val="780"/>
        </w:trPr>
        <w:tc>
          <w:tcPr>
            <w:tcW w:w="0" w:type="auto"/>
            <w:vMerge/>
            <w:tcBorders>
              <w:top w:val="single" w:sz="6" w:space="0" w:color="auto"/>
              <w:left w:val="single" w:sz="4" w:space="0" w:color="auto"/>
              <w:bottom w:val="single" w:sz="4" w:space="0" w:color="auto"/>
              <w:right w:val="single" w:sz="6" w:space="0" w:color="auto"/>
            </w:tcBorders>
            <w:vAlign w:val="center"/>
            <w:hideMark/>
          </w:tcPr>
          <w:p w:rsidR="00BE6612" w:rsidRPr="00BE6612" w:rsidP="00BE6612" w14:paraId="270FE59B" w14:textId="77777777">
            <w:pPr>
              <w:spacing w:after="0" w:line="276"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27E83D22"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371 (DP)</w:t>
            </w:r>
          </w:p>
        </w:tc>
        <w:tc>
          <w:tcPr>
            <w:tcW w:w="143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137E0251"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642BA368"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371</w:t>
            </w:r>
          </w:p>
        </w:tc>
        <w:tc>
          <w:tcPr>
            <w:tcW w:w="167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7928BFA5" w14:textId="6A2221D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E6612">
              <w:rPr>
                <w:rFonts w:ascii="Times New Roman" w:eastAsia="Times New Roman" w:hAnsi="Times New Roman" w:cs="Times New Roman"/>
                <w:sz w:val="24"/>
                <w:szCs w:val="24"/>
              </w:rPr>
              <w:t>4 hrs.</w:t>
            </w:r>
          </w:p>
          <w:p w:rsidR="00BE6612" w:rsidRPr="00BE6612" w:rsidP="00BE6612" w14:paraId="2B4D083E" w14:textId="362D8521">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hideMark/>
          </w:tcPr>
          <w:p w:rsidR="00BE6612" w:rsidRPr="00BE6612" w:rsidP="00BE6612" w14:paraId="4541EA32" w14:textId="7CD49275">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8,904 hrs.</w:t>
            </w:r>
          </w:p>
          <w:p w:rsidR="00BE6612" w:rsidRPr="00BE6612" w:rsidP="00BE6612" w14:paraId="0CC2586F" w14:textId="02038C57">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$629,245.68</w:t>
            </w:r>
          </w:p>
        </w:tc>
      </w:tr>
      <w:tr w14:paraId="7F3F9B45" w14:textId="77777777" w:rsidTr="00BE6612">
        <w:tblPrEx>
          <w:tblW w:w="0" w:type="auto"/>
          <w:tblLook w:val="00A0"/>
        </w:tblPrEx>
        <w:trPr>
          <w:trHeight w:val="780"/>
        </w:trPr>
        <w:tc>
          <w:tcPr>
            <w:tcW w:w="0" w:type="auto"/>
            <w:vMerge/>
            <w:tcBorders>
              <w:top w:val="single" w:sz="6" w:space="0" w:color="auto"/>
              <w:left w:val="single" w:sz="4" w:space="0" w:color="auto"/>
              <w:bottom w:val="single" w:sz="4" w:space="0" w:color="auto"/>
              <w:right w:val="single" w:sz="6" w:space="0" w:color="auto"/>
            </w:tcBorders>
            <w:vAlign w:val="center"/>
            <w:hideMark/>
          </w:tcPr>
          <w:p w:rsidR="00BE6612" w:rsidRPr="00BE6612" w:rsidP="00BE6612" w14:paraId="76D844F4" w14:textId="77777777">
            <w:pPr>
              <w:spacing w:after="0" w:line="276"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61DA315C"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1,210 (GO)</w:t>
            </w:r>
          </w:p>
        </w:tc>
        <w:tc>
          <w:tcPr>
            <w:tcW w:w="1439"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0AA485D8"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64AF66C4" w14:textId="77777777">
            <w:pPr>
              <w:spacing w:after="0" w:line="240" w:lineRule="auto"/>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1,210</w:t>
            </w:r>
          </w:p>
        </w:tc>
        <w:tc>
          <w:tcPr>
            <w:tcW w:w="1670" w:type="dxa"/>
            <w:tcBorders>
              <w:top w:val="single" w:sz="6" w:space="0" w:color="auto"/>
              <w:left w:val="single" w:sz="6" w:space="0" w:color="auto"/>
              <w:bottom w:val="single" w:sz="4" w:space="0" w:color="auto"/>
              <w:right w:val="single" w:sz="6" w:space="0" w:color="auto"/>
            </w:tcBorders>
            <w:vAlign w:val="bottom"/>
            <w:hideMark/>
          </w:tcPr>
          <w:p w:rsidR="00BE6612" w:rsidRPr="00BE6612" w:rsidP="00BE6612" w14:paraId="380648FE" w14:textId="3A79512F">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24 hrs.</w:t>
            </w:r>
          </w:p>
          <w:p w:rsidR="00BE6612" w:rsidRPr="00BE6612" w:rsidP="00BE6612" w14:paraId="642AFF4E" w14:textId="5B2C3943">
            <w:pPr>
              <w:spacing w:after="0" w:line="240" w:lineRule="auto"/>
              <w:jc w:val="right"/>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hideMark/>
          </w:tcPr>
          <w:p w:rsidR="00BE6612" w:rsidRPr="00BE6612" w:rsidP="00BE6612" w14:paraId="609134AB" w14:textId="5D2BA691">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29,040 hrs.</w:t>
            </w:r>
          </w:p>
          <w:p w:rsidR="00BE6612" w:rsidRPr="00BE6612" w:rsidP="00BE6612" w14:paraId="3D9E5C16" w14:textId="6EA1F506">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$2,052,256.80</w:t>
            </w:r>
          </w:p>
        </w:tc>
      </w:tr>
      <w:tr w14:paraId="5D39CBCC" w14:textId="77777777" w:rsidTr="00BE6612">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hideMark/>
          </w:tcPr>
          <w:p w:rsidR="00BE6612" w:rsidRPr="00BE6612" w:rsidP="00BE6612" w14:paraId="463499C1" w14:textId="4BEF4E66">
            <w:pPr>
              <w:spacing w:after="0" w:line="240" w:lineRule="auto"/>
              <w:rPr>
                <w:rFonts w:ascii="Times New Roman" w:eastAsia="Times New Roman" w:hAnsi="Times New Roman" w:cs="Times New Roman"/>
                <w:b/>
                <w:sz w:val="24"/>
                <w:szCs w:val="24"/>
              </w:rPr>
            </w:pPr>
            <w:r w:rsidRPr="00BE6612">
              <w:rPr>
                <w:rFonts w:ascii="Times New Roman" w:eastAsia="Times New Roman" w:hAnsi="Times New Roman" w:cs="Times New Roman"/>
                <w:b/>
                <w:sz w:val="24"/>
                <w:szCs w:val="24"/>
              </w:rPr>
              <w:t xml:space="preserve">Total for </w:t>
            </w:r>
          </w:p>
          <w:p w:rsidR="00BE6612" w:rsidRPr="00BE6612" w:rsidP="00BE6612" w14:paraId="6AFB6C55" w14:textId="77777777">
            <w:pPr>
              <w:spacing w:after="0" w:line="240" w:lineRule="auto"/>
              <w:rPr>
                <w:rFonts w:ascii="Times New Roman" w:eastAsia="Times New Roman" w:hAnsi="Times New Roman" w:cs="Times New Roman"/>
                <w:b/>
                <w:sz w:val="24"/>
                <w:szCs w:val="24"/>
              </w:rPr>
            </w:pPr>
            <w:r w:rsidRPr="00BE6612">
              <w:rPr>
                <w:rFonts w:ascii="Times New Roman" w:eastAsia="Times New Roman" w:hAnsi="Times New Roman" w:cs="Times New Roman"/>
                <w:b/>
                <w:bCs/>
                <w:sz w:val="24"/>
                <w:szCs w:val="24"/>
              </w:rPr>
              <w:t>PRC-017-1</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4A77F64F" w14:textId="77777777">
            <w:pPr>
              <w:spacing w:after="0" w:line="240" w:lineRule="auto"/>
              <w:rPr>
                <w:rFonts w:ascii="Times New Roman" w:eastAsia="Times New Roman" w:hAnsi="Times New Roman" w:cs="Times New Roman"/>
                <w:sz w:val="24"/>
                <w:szCs w:val="24"/>
                <w:highlight w:val="lightGray"/>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7731113C" w14:textId="77777777">
            <w:pPr>
              <w:spacing w:after="0" w:line="240" w:lineRule="auto"/>
              <w:rPr>
                <w:rFonts w:ascii="Times New Roman" w:eastAsia="Times New Roman" w:hAnsi="Times New Roman" w:cs="Times New Roman"/>
                <w:sz w:val="24"/>
                <w:szCs w:val="24"/>
                <w:highlight w:val="lightGray"/>
              </w:rPr>
            </w:pPr>
          </w:p>
        </w:tc>
        <w:tc>
          <w:tcPr>
            <w:tcW w:w="1350"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306F1126" w14:textId="77777777">
            <w:pPr>
              <w:spacing w:after="0" w:line="240" w:lineRule="auto"/>
              <w:rPr>
                <w:rFonts w:ascii="Times New Roman" w:eastAsia="Times New Roman" w:hAnsi="Times New Roman" w:cs="Times New Roman"/>
                <w:sz w:val="24"/>
                <w:szCs w:val="24"/>
                <w:highlight w:val="lightGray"/>
              </w:rPr>
            </w:pPr>
          </w:p>
        </w:tc>
        <w:tc>
          <w:tcPr>
            <w:tcW w:w="1670" w:type="dxa"/>
            <w:tcBorders>
              <w:top w:val="single" w:sz="6" w:space="0" w:color="auto"/>
              <w:left w:val="single" w:sz="6" w:space="0" w:color="auto"/>
              <w:bottom w:val="single" w:sz="4" w:space="0" w:color="auto"/>
              <w:right w:val="single" w:sz="6" w:space="0" w:color="auto"/>
            </w:tcBorders>
            <w:shd w:val="clear" w:color="auto" w:fill="BFBFBF"/>
            <w:vAlign w:val="bottom"/>
          </w:tcPr>
          <w:p w:rsidR="00BE6612" w:rsidRPr="00BE6612" w:rsidP="00BE6612" w14:paraId="2FF1BD71" w14:textId="77777777">
            <w:pPr>
              <w:spacing w:after="0" w:line="240" w:lineRule="auto"/>
              <w:rPr>
                <w:rFonts w:ascii="Times New Roman" w:eastAsia="Times New Roman" w:hAnsi="Times New Roman" w:cs="Times New Roman"/>
                <w:sz w:val="24"/>
                <w:szCs w:val="24"/>
                <w:highlight w:val="lightGray"/>
              </w:rPr>
            </w:pPr>
          </w:p>
        </w:tc>
        <w:tc>
          <w:tcPr>
            <w:tcW w:w="1800" w:type="dxa"/>
            <w:tcBorders>
              <w:top w:val="single" w:sz="6" w:space="0" w:color="auto"/>
              <w:left w:val="single" w:sz="6" w:space="0" w:color="auto"/>
              <w:bottom w:val="single" w:sz="4" w:space="0" w:color="auto"/>
              <w:right w:val="single" w:sz="4" w:space="0" w:color="auto"/>
            </w:tcBorders>
            <w:vAlign w:val="bottom"/>
            <w:hideMark/>
          </w:tcPr>
          <w:p w:rsidR="00BE6612" w:rsidRPr="00BE6612" w:rsidP="00BE6612" w14:paraId="67FD5B56" w14:textId="5641CAAF">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63,864 hrs.</w:t>
            </w:r>
          </w:p>
          <w:p w:rsidR="00BE6612" w:rsidRPr="00BE6612" w:rsidP="00BE6612" w14:paraId="7DA5D06C" w14:textId="35097DCE">
            <w:pPr>
              <w:spacing w:after="0" w:line="240" w:lineRule="auto"/>
              <w:jc w:val="center"/>
              <w:rPr>
                <w:rFonts w:ascii="Times New Roman" w:eastAsia="Times New Roman" w:hAnsi="Times New Roman" w:cs="Times New Roman"/>
                <w:sz w:val="24"/>
                <w:szCs w:val="24"/>
              </w:rPr>
            </w:pPr>
            <w:r w:rsidRPr="00BE6612">
              <w:rPr>
                <w:rFonts w:ascii="Times New Roman" w:eastAsia="Times New Roman" w:hAnsi="Times New Roman" w:cs="Times New Roman"/>
                <w:sz w:val="24"/>
                <w:szCs w:val="24"/>
              </w:rPr>
              <w:t>$4,513,268.88</w:t>
            </w:r>
          </w:p>
        </w:tc>
      </w:tr>
    </w:tbl>
    <w:p w:rsidR="00BE6612" w:rsidRPr="009B66B9" w:rsidP="000B09AE" w14:paraId="657A84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635D1F" w:rsidRPr="00635D1F" w:rsidP="00635D1F" w14:paraId="4806DE96" w14:textId="77777777">
      <w:pPr>
        <w:spacing w:after="0" w:line="240" w:lineRule="auto"/>
        <w:rPr>
          <w:rFonts w:ascii="Times New Roman" w:eastAsia="Times New Roman" w:hAnsi="Times New Roman" w:cs="Times New Roman"/>
          <w:sz w:val="26"/>
          <w:szCs w:val="26"/>
        </w:rPr>
      </w:pPr>
      <w:r w:rsidRPr="00635D1F">
        <w:rPr>
          <w:rFonts w:ascii="Times New Roman" w:eastAsia="Times New Roman" w:hAnsi="Times New Roman" w:cs="Times New Roman"/>
          <w:i/>
          <w:iCs/>
          <w:sz w:val="26"/>
          <w:szCs w:val="26"/>
        </w:rPr>
        <w:t>Estimate of Annual Burden</w:t>
      </w:r>
      <w:r w:rsidRPr="00635D1F">
        <w:rPr>
          <w:rFonts w:ascii="Times New Roman" w:eastAsia="Times New Roman" w:hAnsi="Times New Roman" w:cs="Times New Roman"/>
          <w:sz w:val="26"/>
          <w:szCs w:val="26"/>
        </w:rPr>
        <w:t>:  The Commission estimates 930 responses annually, and per-response burdens of 16 hours and $</w:t>
      </w:r>
      <w:r w:rsidRPr="00635D1F">
        <w:rPr>
          <w:rFonts w:ascii="Times New Roman" w:eastAsia="Times New Roman" w:hAnsi="Times New Roman" w:cs="Times New Roman"/>
          <w:bCs/>
          <w:iCs/>
          <w:sz w:val="26"/>
          <w:szCs w:val="26"/>
        </w:rPr>
        <w:t>1,130.72</w:t>
      </w:r>
      <w:r w:rsidRPr="00635D1F">
        <w:rPr>
          <w:rFonts w:ascii="Times New Roman" w:eastAsia="Times New Roman" w:hAnsi="Times New Roman" w:cs="Times New Roman"/>
          <w:sz w:val="26"/>
          <w:szCs w:val="26"/>
        </w:rPr>
        <w:t>.</w:t>
      </w:r>
      <w:r>
        <w:rPr>
          <w:rFonts w:ascii="Times New Roman" w:eastAsia="Times New Roman" w:hAnsi="Times New Roman" w:cs="Times New Roman"/>
          <w:b/>
          <w:sz w:val="26"/>
          <w:szCs w:val="26"/>
          <w:vertAlign w:val="superscript"/>
        </w:rPr>
        <w:footnoteReference w:id="22"/>
      </w:r>
      <w:r w:rsidRPr="00635D1F">
        <w:rPr>
          <w:rFonts w:ascii="Times New Roman" w:eastAsia="Times New Roman" w:hAnsi="Times New Roman" w:cs="Times New Roman"/>
          <w:sz w:val="26"/>
          <w:szCs w:val="26"/>
        </w:rPr>
        <w:t xml:space="preserve">  The total estimated burdens per year are 930 responses, </w:t>
      </w:r>
      <w:r w:rsidRPr="00635D1F">
        <w:rPr>
          <w:rFonts w:ascii="Times New Roman" w:eastAsia="Times New Roman" w:hAnsi="Times New Roman" w:cs="Times New Roman"/>
          <w:bCs/>
          <w:iCs/>
          <w:sz w:val="26"/>
          <w:szCs w:val="26"/>
        </w:rPr>
        <w:t>14,880</w:t>
      </w:r>
      <w:r w:rsidRPr="00635D1F">
        <w:rPr>
          <w:rFonts w:ascii="Times New Roman" w:eastAsia="Times New Roman" w:hAnsi="Times New Roman" w:cs="Times New Roman"/>
          <w:sz w:val="26"/>
          <w:szCs w:val="26"/>
        </w:rPr>
        <w:t xml:space="preserve"> hours, and </w:t>
      </w:r>
      <w:r w:rsidRPr="00635D1F">
        <w:rPr>
          <w:rFonts w:ascii="Times New Roman" w:eastAsia="Times New Roman" w:hAnsi="Times New Roman" w:cs="Times New Roman"/>
          <w:bCs/>
          <w:sz w:val="26"/>
          <w:szCs w:val="26"/>
        </w:rPr>
        <w:t>$</w:t>
      </w:r>
      <w:r w:rsidRPr="00635D1F">
        <w:rPr>
          <w:rFonts w:ascii="Times New Roman" w:eastAsia="Times New Roman" w:hAnsi="Times New Roman" w:cs="Times New Roman"/>
          <w:bCs/>
          <w:iCs/>
          <w:sz w:val="26"/>
          <w:szCs w:val="26"/>
        </w:rPr>
        <w:t>1,051,570 (rounded)</w:t>
      </w:r>
      <w:r w:rsidRPr="00635D1F">
        <w:rPr>
          <w:rFonts w:ascii="Times New Roman" w:eastAsia="Times New Roman" w:hAnsi="Times New Roman" w:cs="Times New Roman"/>
          <w:sz w:val="26"/>
          <w:szCs w:val="26"/>
        </w:rPr>
        <w:t>.  These burdens are itemized in the following table:</w:t>
      </w:r>
    </w:p>
    <w:p w:rsidR="00635D1F" w:rsidRPr="00635D1F" w:rsidP="00635D1F" w14:paraId="4A95EF9E" w14:textId="77777777">
      <w:pPr>
        <w:spacing w:after="0" w:line="240" w:lineRule="auto"/>
        <w:rPr>
          <w:rFonts w:ascii="Times New Roman" w:eastAsia="Times New Roman" w:hAnsi="Times New Roman" w:cs="Times New Roman"/>
          <w:sz w:val="26"/>
          <w:szCs w:val="26"/>
        </w:rPr>
      </w:pPr>
    </w:p>
    <w:tbl>
      <w:tblPr>
        <w:tblStyle w:val="TableGrid1"/>
        <w:tblW w:w="0" w:type="auto"/>
        <w:tblLook w:val="04A0"/>
      </w:tblPr>
      <w:tblGrid>
        <w:gridCol w:w="1632"/>
        <w:gridCol w:w="1555"/>
        <w:gridCol w:w="1540"/>
        <w:gridCol w:w="1539"/>
        <w:gridCol w:w="1527"/>
        <w:gridCol w:w="1557"/>
      </w:tblGrid>
      <w:tr w14:paraId="6F1BBA69" w14:textId="77777777" w:rsidTr="00EE524B">
        <w:tblPrEx>
          <w:tblW w:w="0" w:type="auto"/>
          <w:tblLook w:val="04A0"/>
        </w:tblPrEx>
        <w:tc>
          <w:tcPr>
            <w:tcW w:w="9350" w:type="dxa"/>
            <w:gridSpan w:val="6"/>
          </w:tcPr>
          <w:p w:rsidR="00635D1F" w:rsidRPr="00635D1F" w:rsidP="00635D1F" w14:paraId="7516530B"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bCs/>
                <w:iCs/>
                <w:sz w:val="26"/>
                <w:szCs w:val="26"/>
              </w:rPr>
              <w:t xml:space="preserve">Mandatory Reliability Standards for the Bulk-Power System: Reliability Standard PRC-004-6 </w:t>
            </w:r>
            <w:r w:rsidRPr="00635D1F">
              <w:rPr>
                <w:rFonts w:ascii="Times New Roman" w:eastAsia="Times New Roman" w:hAnsi="Times New Roman" w:cs="Times New Roman"/>
                <w:iCs/>
                <w:sz w:val="26"/>
                <w:szCs w:val="26"/>
              </w:rPr>
              <w:t>(</w:t>
            </w:r>
            <w:r w:rsidRPr="00635D1F">
              <w:rPr>
                <w:rFonts w:ascii="Times New Roman" w:eastAsia="Times New Roman" w:hAnsi="Times New Roman" w:cs="Times New Roman"/>
                <w:b/>
                <w:iCs/>
                <w:sz w:val="26"/>
                <w:szCs w:val="26"/>
              </w:rPr>
              <w:t>FERC-725G1)</w:t>
            </w:r>
          </w:p>
          <w:p w:rsidR="00635D1F" w:rsidRPr="00635D1F" w:rsidP="00635D1F" w14:paraId="747CB43F" w14:textId="77777777">
            <w:pPr>
              <w:jc w:val="center"/>
              <w:rPr>
                <w:rFonts w:ascii="Times New Roman" w:eastAsia="Times New Roman" w:hAnsi="Times New Roman" w:cs="Times New Roman"/>
                <w:sz w:val="26"/>
                <w:szCs w:val="24"/>
              </w:rPr>
            </w:pPr>
            <w:r w:rsidRPr="00635D1F">
              <w:rPr>
                <w:rFonts w:ascii="Times New Roman" w:eastAsia="Times New Roman" w:hAnsi="Times New Roman" w:cs="Times New Roman"/>
                <w:b/>
                <w:iCs/>
                <w:sz w:val="26"/>
                <w:szCs w:val="26"/>
              </w:rPr>
              <w:t>Annual Estimates of Respondents’ Burdens</w:t>
            </w:r>
          </w:p>
        </w:tc>
      </w:tr>
      <w:tr w14:paraId="6CBBD248" w14:textId="77777777" w:rsidTr="00EE524B">
        <w:tblPrEx>
          <w:tblW w:w="0" w:type="auto"/>
          <w:tblLook w:val="04A0"/>
        </w:tblPrEx>
        <w:tc>
          <w:tcPr>
            <w:tcW w:w="1632" w:type="dxa"/>
            <w:vAlign w:val="center"/>
          </w:tcPr>
          <w:p w:rsidR="00635D1F" w:rsidRPr="00635D1F" w:rsidP="00635D1F" w14:paraId="15CB5325"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A.</w:t>
            </w:r>
          </w:p>
          <w:p w:rsidR="00635D1F" w:rsidRPr="00635D1F" w:rsidP="00635D1F" w14:paraId="344175CE" w14:textId="77777777">
            <w:pPr>
              <w:rPr>
                <w:rFonts w:ascii="Times New Roman" w:eastAsia="Times New Roman" w:hAnsi="Times New Roman" w:cs="Times New Roman"/>
                <w:sz w:val="26"/>
                <w:szCs w:val="24"/>
              </w:rPr>
            </w:pPr>
            <w:r w:rsidRPr="00635D1F">
              <w:rPr>
                <w:rFonts w:ascii="Times New Roman" w:eastAsia="Times New Roman" w:hAnsi="Times New Roman" w:cs="Times New Roman"/>
                <w:b/>
                <w:iCs/>
                <w:sz w:val="26"/>
                <w:szCs w:val="26"/>
              </w:rPr>
              <w:t>Number of Respondents</w:t>
            </w:r>
            <w:r w:rsidRPr="00635D1F">
              <w:rPr>
                <w:rFonts w:ascii="Times New Roman" w:eastAsia="Times New Roman" w:hAnsi="Times New Roman" w:cs="Times New Roman"/>
                <w:b/>
                <w:iCs/>
                <w:sz w:val="26"/>
                <w:szCs w:val="26"/>
              </w:rPr>
              <w:br/>
            </w:r>
          </w:p>
        </w:tc>
        <w:tc>
          <w:tcPr>
            <w:tcW w:w="1555" w:type="dxa"/>
            <w:vAlign w:val="center"/>
          </w:tcPr>
          <w:p w:rsidR="00635D1F" w:rsidRPr="00635D1F" w:rsidP="00635D1F" w14:paraId="4E511EA0"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B.</w:t>
            </w:r>
          </w:p>
          <w:p w:rsidR="00635D1F" w:rsidRPr="00635D1F" w:rsidP="00635D1F" w14:paraId="1910C235"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Annual Number of Responses per Respondent</w:t>
            </w:r>
          </w:p>
          <w:p w:rsidR="00635D1F" w:rsidRPr="00635D1F" w:rsidP="00635D1F" w14:paraId="32F73C2D" w14:textId="77777777">
            <w:pPr>
              <w:rPr>
                <w:rFonts w:ascii="Times New Roman" w:eastAsia="Times New Roman" w:hAnsi="Times New Roman" w:cs="Times New Roman"/>
                <w:sz w:val="26"/>
                <w:szCs w:val="24"/>
              </w:rPr>
            </w:pPr>
          </w:p>
        </w:tc>
        <w:tc>
          <w:tcPr>
            <w:tcW w:w="1540" w:type="dxa"/>
            <w:vAlign w:val="center"/>
          </w:tcPr>
          <w:p w:rsidR="00635D1F" w:rsidRPr="00635D1F" w:rsidP="00635D1F" w14:paraId="51CC6AC8"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C.</w:t>
            </w:r>
          </w:p>
          <w:p w:rsidR="00635D1F" w:rsidRPr="00635D1F" w:rsidP="00635D1F" w14:paraId="2A294BBB" w14:textId="77777777">
            <w:pPr>
              <w:rPr>
                <w:rFonts w:ascii="Times New Roman" w:eastAsia="Times New Roman" w:hAnsi="Times New Roman" w:cs="Times New Roman"/>
                <w:sz w:val="26"/>
                <w:szCs w:val="24"/>
              </w:rPr>
            </w:pPr>
            <w:r w:rsidRPr="00635D1F">
              <w:rPr>
                <w:rFonts w:ascii="Times New Roman" w:eastAsia="Times New Roman" w:hAnsi="Times New Roman" w:cs="Times New Roman"/>
                <w:b/>
                <w:iCs/>
                <w:sz w:val="26"/>
                <w:szCs w:val="26"/>
              </w:rPr>
              <w:t>Total Number of Responses (Column A x Column B)</w:t>
            </w:r>
          </w:p>
        </w:tc>
        <w:tc>
          <w:tcPr>
            <w:tcW w:w="1539" w:type="dxa"/>
            <w:vAlign w:val="center"/>
          </w:tcPr>
          <w:p w:rsidR="00635D1F" w:rsidRPr="00635D1F" w:rsidP="00635D1F" w14:paraId="0D4B0CF1"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D.</w:t>
            </w:r>
          </w:p>
          <w:p w:rsidR="00635D1F" w:rsidRPr="00635D1F" w:rsidP="00635D1F" w14:paraId="133C4262" w14:textId="77777777">
            <w:pPr>
              <w:rPr>
                <w:rFonts w:ascii="Times New Roman" w:eastAsia="Times New Roman" w:hAnsi="Times New Roman" w:cs="Times New Roman"/>
                <w:sz w:val="26"/>
                <w:szCs w:val="24"/>
              </w:rPr>
            </w:pPr>
            <w:r w:rsidRPr="00635D1F">
              <w:rPr>
                <w:rFonts w:ascii="Times New Roman" w:eastAsia="Times New Roman" w:hAnsi="Times New Roman" w:cs="Times New Roman"/>
                <w:b/>
                <w:iCs/>
                <w:sz w:val="26"/>
                <w:szCs w:val="26"/>
              </w:rPr>
              <w:t>Average Burden &amp; Cost Per Response</w:t>
            </w:r>
            <w:r>
              <w:rPr>
                <w:rFonts w:ascii="Times New Roman" w:eastAsia="Times New Roman" w:hAnsi="Times New Roman" w:cs="Times New Roman"/>
                <w:iCs/>
                <w:sz w:val="26"/>
                <w:szCs w:val="26"/>
                <w:vertAlign w:val="superscript"/>
              </w:rPr>
              <w:footnoteReference w:id="23"/>
            </w:r>
          </w:p>
        </w:tc>
        <w:tc>
          <w:tcPr>
            <w:tcW w:w="1527" w:type="dxa"/>
            <w:vAlign w:val="center"/>
          </w:tcPr>
          <w:p w:rsidR="00635D1F" w:rsidRPr="00635D1F" w:rsidP="00635D1F" w14:paraId="09CB725C"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E.</w:t>
            </w:r>
          </w:p>
          <w:p w:rsidR="00635D1F" w:rsidRPr="00635D1F" w:rsidP="00635D1F" w14:paraId="5CEEF535"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Total Annual Burden Hours &amp; Total Annual Cost</w:t>
            </w:r>
          </w:p>
          <w:p w:rsidR="00635D1F" w:rsidRPr="00635D1F" w:rsidP="00635D1F" w14:paraId="5641DE86" w14:textId="77777777">
            <w:pPr>
              <w:rPr>
                <w:rFonts w:ascii="Times New Roman" w:eastAsia="Times New Roman" w:hAnsi="Times New Roman" w:cs="Times New Roman"/>
                <w:sz w:val="26"/>
                <w:szCs w:val="24"/>
              </w:rPr>
            </w:pPr>
            <w:r w:rsidRPr="00635D1F">
              <w:rPr>
                <w:rFonts w:ascii="Times New Roman" w:eastAsia="Times New Roman" w:hAnsi="Times New Roman" w:cs="Times New Roman"/>
                <w:b/>
                <w:iCs/>
                <w:sz w:val="26"/>
                <w:szCs w:val="26"/>
              </w:rPr>
              <w:t>(Column C x Column D)</w:t>
            </w:r>
          </w:p>
        </w:tc>
        <w:tc>
          <w:tcPr>
            <w:tcW w:w="1557" w:type="dxa"/>
            <w:vAlign w:val="center"/>
          </w:tcPr>
          <w:p w:rsidR="00635D1F" w:rsidRPr="00635D1F" w:rsidP="00635D1F" w14:paraId="3802A694"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F.</w:t>
            </w:r>
          </w:p>
          <w:p w:rsidR="00635D1F" w:rsidRPr="00635D1F" w:rsidP="00635D1F" w14:paraId="58BD44D2"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Cost per Respondent</w:t>
            </w:r>
          </w:p>
          <w:p w:rsidR="00635D1F" w:rsidRPr="00635D1F" w:rsidP="00635D1F" w14:paraId="700609F2" w14:textId="77777777">
            <w:pPr>
              <w:spacing w:line="256" w:lineRule="auto"/>
              <w:jc w:val="center"/>
              <w:rPr>
                <w:rFonts w:ascii="Times New Roman" w:eastAsia="Times New Roman" w:hAnsi="Times New Roman" w:cs="Times New Roman"/>
                <w:b/>
                <w:iCs/>
                <w:sz w:val="26"/>
                <w:szCs w:val="26"/>
              </w:rPr>
            </w:pPr>
            <w:r w:rsidRPr="00635D1F">
              <w:rPr>
                <w:rFonts w:ascii="Times New Roman" w:eastAsia="Times New Roman" w:hAnsi="Times New Roman" w:cs="Times New Roman"/>
                <w:b/>
                <w:iCs/>
                <w:sz w:val="26"/>
                <w:szCs w:val="26"/>
              </w:rPr>
              <w:t>($)</w:t>
            </w:r>
          </w:p>
          <w:p w:rsidR="00635D1F" w:rsidRPr="00635D1F" w:rsidP="00635D1F" w14:paraId="32B88B11" w14:textId="77777777">
            <w:pPr>
              <w:rPr>
                <w:rFonts w:ascii="Times New Roman" w:eastAsia="Times New Roman" w:hAnsi="Times New Roman" w:cs="Times New Roman"/>
                <w:sz w:val="26"/>
                <w:szCs w:val="24"/>
              </w:rPr>
            </w:pPr>
            <w:r w:rsidRPr="00635D1F">
              <w:rPr>
                <w:rFonts w:ascii="Times New Roman" w:eastAsia="Times New Roman" w:hAnsi="Times New Roman" w:cs="Times New Roman"/>
                <w:b/>
                <w:iCs/>
                <w:sz w:val="26"/>
                <w:szCs w:val="26"/>
              </w:rPr>
              <w:t>(Column E ÷ Column A)</w:t>
            </w:r>
          </w:p>
        </w:tc>
      </w:tr>
      <w:tr w14:paraId="28779684" w14:textId="77777777" w:rsidTr="00EE524B">
        <w:tblPrEx>
          <w:tblW w:w="0" w:type="auto"/>
          <w:tblLook w:val="04A0"/>
        </w:tblPrEx>
        <w:tc>
          <w:tcPr>
            <w:tcW w:w="1632" w:type="dxa"/>
            <w:vAlign w:val="bottom"/>
          </w:tcPr>
          <w:p w:rsidR="00635D1F" w:rsidRPr="00635D1F" w:rsidP="00635D1F" w14:paraId="7C7EFC74" w14:textId="77777777">
            <w:pPr>
              <w:spacing w:line="480" w:lineRule="auto"/>
              <w:jc w:val="center"/>
              <w:rPr>
                <w:rFonts w:ascii="Times New Roman" w:eastAsia="Times New Roman" w:hAnsi="Times New Roman" w:cs="Times New Roman"/>
                <w:sz w:val="26"/>
                <w:szCs w:val="24"/>
              </w:rPr>
            </w:pPr>
            <w:bookmarkStart w:id="3" w:name="_Hlk185596183"/>
            <w:r w:rsidRPr="00635D1F">
              <w:rPr>
                <w:rFonts w:ascii="Times New Roman" w:eastAsia="Times New Roman" w:hAnsi="Times New Roman" w:cs="Times New Roman"/>
                <w:bCs/>
                <w:iCs/>
                <w:sz w:val="26"/>
                <w:szCs w:val="26"/>
              </w:rPr>
              <w:t>930</w:t>
            </w:r>
          </w:p>
        </w:tc>
        <w:tc>
          <w:tcPr>
            <w:tcW w:w="1555" w:type="dxa"/>
            <w:vAlign w:val="bottom"/>
          </w:tcPr>
          <w:p w:rsidR="00635D1F" w:rsidRPr="00635D1F" w:rsidP="00635D1F" w14:paraId="2EA7E85A" w14:textId="77777777">
            <w:pPr>
              <w:spacing w:line="480" w:lineRule="auto"/>
              <w:jc w:val="center"/>
              <w:rPr>
                <w:rFonts w:ascii="Times New Roman" w:eastAsia="Times New Roman" w:hAnsi="Times New Roman" w:cs="Times New Roman"/>
                <w:sz w:val="26"/>
                <w:szCs w:val="24"/>
              </w:rPr>
            </w:pPr>
            <w:r w:rsidRPr="00635D1F">
              <w:rPr>
                <w:rFonts w:ascii="Times New Roman" w:eastAsia="Times New Roman" w:hAnsi="Times New Roman" w:cs="Times New Roman"/>
                <w:bCs/>
                <w:iCs/>
                <w:sz w:val="26"/>
                <w:szCs w:val="26"/>
              </w:rPr>
              <w:t>1</w:t>
            </w:r>
          </w:p>
        </w:tc>
        <w:tc>
          <w:tcPr>
            <w:tcW w:w="1540" w:type="dxa"/>
            <w:vAlign w:val="bottom"/>
          </w:tcPr>
          <w:p w:rsidR="00635D1F" w:rsidRPr="00635D1F" w:rsidP="00635D1F" w14:paraId="7A89820F" w14:textId="77777777">
            <w:pPr>
              <w:spacing w:line="480" w:lineRule="auto"/>
              <w:jc w:val="center"/>
              <w:rPr>
                <w:rFonts w:ascii="Times New Roman" w:eastAsia="Times New Roman" w:hAnsi="Times New Roman" w:cs="Times New Roman"/>
                <w:sz w:val="26"/>
                <w:szCs w:val="24"/>
              </w:rPr>
            </w:pPr>
            <w:r w:rsidRPr="00635D1F">
              <w:rPr>
                <w:rFonts w:ascii="Times New Roman" w:eastAsia="Times New Roman" w:hAnsi="Times New Roman" w:cs="Times New Roman"/>
                <w:bCs/>
                <w:iCs/>
                <w:sz w:val="26"/>
                <w:szCs w:val="26"/>
              </w:rPr>
              <w:t>930</w:t>
            </w:r>
          </w:p>
        </w:tc>
        <w:tc>
          <w:tcPr>
            <w:tcW w:w="1539" w:type="dxa"/>
            <w:vAlign w:val="bottom"/>
          </w:tcPr>
          <w:p w:rsidR="00635D1F" w:rsidRPr="00635D1F" w:rsidP="00635D1F" w14:paraId="084F7097" w14:textId="77777777">
            <w:pPr>
              <w:spacing w:line="256" w:lineRule="auto"/>
              <w:jc w:val="right"/>
              <w:rPr>
                <w:rFonts w:ascii="Times New Roman" w:eastAsia="Times New Roman" w:hAnsi="Times New Roman" w:cs="Times New Roman"/>
                <w:bCs/>
                <w:iCs/>
                <w:sz w:val="26"/>
                <w:szCs w:val="26"/>
              </w:rPr>
            </w:pPr>
            <w:r w:rsidRPr="00635D1F">
              <w:rPr>
                <w:rFonts w:ascii="Times New Roman" w:eastAsia="Times New Roman" w:hAnsi="Times New Roman" w:cs="Times New Roman"/>
                <w:bCs/>
                <w:iCs/>
                <w:sz w:val="26"/>
                <w:szCs w:val="26"/>
              </w:rPr>
              <w:t xml:space="preserve">16 </w:t>
            </w:r>
            <w:r w:rsidRPr="00635D1F">
              <w:rPr>
                <w:rFonts w:ascii="Times New Roman" w:eastAsia="Times New Roman" w:hAnsi="Times New Roman" w:cs="Times New Roman"/>
                <w:bCs/>
                <w:iCs/>
                <w:sz w:val="26"/>
                <w:szCs w:val="26"/>
              </w:rPr>
              <w:t>hrs.;</w:t>
            </w:r>
          </w:p>
          <w:p w:rsidR="00635D1F" w:rsidRPr="00635D1F" w:rsidP="00635D1F" w14:paraId="6A9EFD23" w14:textId="77777777">
            <w:pPr>
              <w:jc w:val="right"/>
              <w:rPr>
                <w:rFonts w:ascii="Times New Roman" w:eastAsia="Times New Roman" w:hAnsi="Times New Roman" w:cs="Times New Roman"/>
                <w:sz w:val="26"/>
                <w:szCs w:val="24"/>
              </w:rPr>
            </w:pPr>
            <w:r w:rsidRPr="00635D1F">
              <w:rPr>
                <w:rFonts w:ascii="Times New Roman" w:eastAsia="Times New Roman" w:hAnsi="Times New Roman" w:cs="Times New Roman"/>
                <w:bCs/>
                <w:iCs/>
                <w:sz w:val="26"/>
                <w:szCs w:val="26"/>
              </w:rPr>
              <w:t>$1,130.72</w:t>
            </w:r>
          </w:p>
        </w:tc>
        <w:tc>
          <w:tcPr>
            <w:tcW w:w="1527" w:type="dxa"/>
            <w:vAlign w:val="bottom"/>
          </w:tcPr>
          <w:p w:rsidR="00635D1F" w:rsidRPr="00635D1F" w:rsidP="00635D1F" w14:paraId="70620EF7" w14:textId="77777777">
            <w:pPr>
              <w:spacing w:line="256" w:lineRule="auto"/>
              <w:jc w:val="right"/>
              <w:rPr>
                <w:rFonts w:ascii="Times New Roman" w:eastAsia="Times New Roman" w:hAnsi="Times New Roman" w:cs="Times New Roman"/>
                <w:bCs/>
                <w:iCs/>
                <w:sz w:val="26"/>
                <w:szCs w:val="26"/>
              </w:rPr>
            </w:pPr>
            <w:r w:rsidRPr="00635D1F">
              <w:rPr>
                <w:rFonts w:ascii="Times New Roman" w:eastAsia="Times New Roman" w:hAnsi="Times New Roman" w:cs="Times New Roman"/>
                <w:bCs/>
                <w:iCs/>
                <w:sz w:val="26"/>
                <w:szCs w:val="26"/>
              </w:rPr>
              <w:t xml:space="preserve">14,880 </w:t>
            </w:r>
            <w:r w:rsidRPr="00635D1F">
              <w:rPr>
                <w:rFonts w:ascii="Times New Roman" w:eastAsia="Times New Roman" w:hAnsi="Times New Roman" w:cs="Times New Roman"/>
                <w:bCs/>
                <w:iCs/>
                <w:sz w:val="26"/>
                <w:szCs w:val="26"/>
              </w:rPr>
              <w:t>hrs.;</w:t>
            </w:r>
          </w:p>
          <w:p w:rsidR="00635D1F" w:rsidRPr="00635D1F" w:rsidP="00635D1F" w14:paraId="7CE4FF1B" w14:textId="77777777">
            <w:pPr>
              <w:spacing w:line="256" w:lineRule="auto"/>
              <w:jc w:val="right"/>
              <w:rPr>
                <w:rFonts w:ascii="Times New Roman" w:eastAsia="Times New Roman" w:hAnsi="Times New Roman" w:cs="Times New Roman"/>
                <w:bCs/>
                <w:iCs/>
                <w:sz w:val="26"/>
                <w:szCs w:val="26"/>
              </w:rPr>
            </w:pPr>
            <w:r w:rsidRPr="00635D1F">
              <w:rPr>
                <w:rFonts w:ascii="Times New Roman" w:eastAsia="Times New Roman" w:hAnsi="Times New Roman" w:cs="Times New Roman"/>
                <w:bCs/>
                <w:iCs/>
                <w:sz w:val="26"/>
                <w:szCs w:val="26"/>
              </w:rPr>
              <w:t>$1,051,570</w:t>
            </w:r>
          </w:p>
          <w:p w:rsidR="00635D1F" w:rsidRPr="00635D1F" w:rsidP="00635D1F" w14:paraId="781BA5DE" w14:textId="77777777">
            <w:pPr>
              <w:jc w:val="right"/>
              <w:rPr>
                <w:rFonts w:ascii="Times New Roman" w:eastAsia="Times New Roman" w:hAnsi="Times New Roman" w:cs="Times New Roman"/>
                <w:sz w:val="26"/>
                <w:szCs w:val="24"/>
              </w:rPr>
            </w:pPr>
            <w:r w:rsidRPr="00635D1F">
              <w:rPr>
                <w:rFonts w:ascii="Times New Roman" w:eastAsia="Times New Roman" w:hAnsi="Times New Roman" w:cs="Times New Roman"/>
                <w:bCs/>
                <w:iCs/>
                <w:sz w:val="26"/>
                <w:szCs w:val="26"/>
              </w:rPr>
              <w:t>(rounded)</w:t>
            </w:r>
          </w:p>
        </w:tc>
        <w:tc>
          <w:tcPr>
            <w:tcW w:w="1557" w:type="dxa"/>
            <w:vAlign w:val="bottom"/>
          </w:tcPr>
          <w:p w:rsidR="00635D1F" w:rsidRPr="00635D1F" w:rsidP="00635D1F" w14:paraId="57B7279D" w14:textId="77777777">
            <w:pPr>
              <w:spacing w:line="480" w:lineRule="auto"/>
              <w:jc w:val="right"/>
              <w:rPr>
                <w:rFonts w:ascii="Times New Roman" w:eastAsia="Times New Roman" w:hAnsi="Times New Roman" w:cs="Times New Roman"/>
                <w:sz w:val="26"/>
                <w:szCs w:val="24"/>
              </w:rPr>
            </w:pPr>
            <w:r w:rsidRPr="00635D1F">
              <w:rPr>
                <w:rFonts w:ascii="Times New Roman" w:eastAsia="Times New Roman" w:hAnsi="Times New Roman" w:cs="Times New Roman"/>
                <w:bCs/>
                <w:iCs/>
                <w:sz w:val="26"/>
                <w:szCs w:val="26"/>
              </w:rPr>
              <w:t>$1,130.72</w:t>
            </w:r>
          </w:p>
        </w:tc>
      </w:tr>
      <w:bookmarkEnd w:id="3"/>
    </w:tbl>
    <w:p w:rsidR="009B66B9" w:rsidP="000B09AE" w14:paraId="732BFF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8A354F" w:rsidRPr="008A354F" w:rsidP="008A354F" w14:paraId="29F798D8" w14:textId="77777777">
      <w:pPr>
        <w:spacing w:after="0" w:line="240" w:lineRule="auto"/>
        <w:rPr>
          <w:rFonts w:ascii="Times New Roman" w:eastAsia="Times New Roman" w:hAnsi="Times New Roman" w:cs="Times New Roman"/>
          <w:sz w:val="26"/>
          <w:szCs w:val="26"/>
        </w:rPr>
      </w:pPr>
      <w:r w:rsidRPr="008A354F">
        <w:rPr>
          <w:rFonts w:ascii="Times New Roman" w:eastAsia="Times New Roman" w:hAnsi="Times New Roman" w:cs="Times New Roman"/>
          <w:i/>
          <w:iCs/>
          <w:sz w:val="26"/>
          <w:szCs w:val="26"/>
        </w:rPr>
        <w:t>Estimate of Annual Burden</w:t>
      </w:r>
      <w:r w:rsidRPr="008A354F">
        <w:rPr>
          <w:rFonts w:ascii="Times New Roman" w:eastAsia="Times New Roman" w:hAnsi="Times New Roman" w:cs="Times New Roman"/>
          <w:sz w:val="26"/>
          <w:szCs w:val="26"/>
        </w:rPr>
        <w:t>:  The Commission estimates 25 responses annually, and per-response burdens of 48 hours and $4,176.</w:t>
      </w:r>
      <w:r>
        <w:rPr>
          <w:rFonts w:ascii="Times New Roman" w:eastAsia="Times New Roman" w:hAnsi="Times New Roman" w:cs="Times New Roman"/>
          <w:b/>
          <w:sz w:val="26"/>
          <w:szCs w:val="26"/>
          <w:vertAlign w:val="superscript"/>
        </w:rPr>
        <w:footnoteReference w:id="24"/>
      </w:r>
      <w:r w:rsidRPr="008A354F">
        <w:rPr>
          <w:rFonts w:ascii="Times New Roman" w:eastAsia="Times New Roman" w:hAnsi="Times New Roman" w:cs="Times New Roman"/>
          <w:sz w:val="26"/>
          <w:szCs w:val="26"/>
        </w:rPr>
        <w:t xml:space="preserve">  The total estimated burdens per year are 25 responses, 1,200 hours, and </w:t>
      </w:r>
      <w:r w:rsidRPr="008A354F">
        <w:rPr>
          <w:rFonts w:ascii="Times New Roman" w:eastAsia="Times New Roman" w:hAnsi="Times New Roman" w:cs="Times New Roman"/>
          <w:bCs/>
          <w:sz w:val="26"/>
          <w:szCs w:val="26"/>
        </w:rPr>
        <w:t>$104,400</w:t>
      </w:r>
      <w:r w:rsidRPr="008A354F">
        <w:rPr>
          <w:rFonts w:ascii="Times New Roman" w:eastAsia="Times New Roman" w:hAnsi="Times New Roman" w:cs="Times New Roman"/>
          <w:sz w:val="26"/>
          <w:szCs w:val="26"/>
        </w:rPr>
        <w:t>.  These burdens are itemized in the following table:</w:t>
      </w:r>
    </w:p>
    <w:p w:rsidR="008A354F" w:rsidRPr="008A354F" w:rsidP="008A354F" w14:paraId="1AAF6D9D" w14:textId="77777777">
      <w:pPr>
        <w:spacing w:after="0" w:line="240" w:lineRule="auto"/>
        <w:rPr>
          <w:rFonts w:ascii="Times New Roman" w:eastAsia="Times New Roman" w:hAnsi="Times New Roman" w:cs="Times New Roman"/>
          <w:sz w:val="26"/>
          <w:szCs w:val="26"/>
        </w:rPr>
      </w:pPr>
    </w:p>
    <w:tbl>
      <w:tblPr>
        <w:tblStyle w:val="TableGrid2"/>
        <w:tblW w:w="0" w:type="auto"/>
        <w:tblLook w:val="04A0"/>
      </w:tblPr>
      <w:tblGrid>
        <w:gridCol w:w="1632"/>
        <w:gridCol w:w="1553"/>
        <w:gridCol w:w="1524"/>
        <w:gridCol w:w="1535"/>
        <w:gridCol w:w="1552"/>
        <w:gridCol w:w="1554"/>
      </w:tblGrid>
      <w:tr w14:paraId="39B9DDD8" w14:textId="77777777" w:rsidTr="00EE524B">
        <w:tblPrEx>
          <w:tblW w:w="0" w:type="auto"/>
          <w:tblLook w:val="04A0"/>
        </w:tblPrEx>
        <w:tc>
          <w:tcPr>
            <w:tcW w:w="9350" w:type="dxa"/>
            <w:gridSpan w:val="6"/>
          </w:tcPr>
          <w:p w:rsidR="008A354F" w:rsidRPr="008A354F" w:rsidP="008A354F" w14:paraId="570CDD07" w14:textId="77777777">
            <w:pPr>
              <w:jc w:val="center"/>
              <w:rPr>
                <w:rFonts w:ascii="Times New Roman" w:eastAsia="Times New Roman" w:hAnsi="Times New Roman" w:cs="Times New Roman"/>
                <w:b/>
                <w:bCs/>
                <w:sz w:val="26"/>
                <w:szCs w:val="24"/>
              </w:rPr>
            </w:pPr>
            <w:r w:rsidRPr="008A354F">
              <w:rPr>
                <w:rFonts w:ascii="Times New Roman" w:eastAsia="Times New Roman" w:hAnsi="Times New Roman" w:cs="Times New Roman"/>
                <w:b/>
                <w:bCs/>
                <w:iCs/>
                <w:sz w:val="26"/>
                <w:szCs w:val="24"/>
              </w:rPr>
              <w:t>Mandatory Reliability Standards:  Reliability Standard PRC-010-2 (Under Voltage Load Shedding) (</w:t>
            </w:r>
            <w:r w:rsidRPr="008A354F">
              <w:rPr>
                <w:rFonts w:ascii="Times New Roman" w:eastAsia="Times New Roman" w:hAnsi="Times New Roman" w:cs="Times New Roman"/>
                <w:b/>
                <w:bCs/>
                <w:sz w:val="26"/>
                <w:szCs w:val="24"/>
              </w:rPr>
              <w:t>FERC-725G4)</w:t>
            </w:r>
          </w:p>
          <w:p w:rsidR="008A354F" w:rsidRPr="008A354F" w:rsidP="008A354F" w14:paraId="238829D7" w14:textId="77777777">
            <w:pPr>
              <w:jc w:val="center"/>
              <w:rPr>
                <w:rFonts w:ascii="Times New Roman" w:eastAsia="Times New Roman" w:hAnsi="Times New Roman" w:cs="Times New Roman"/>
                <w:sz w:val="26"/>
                <w:szCs w:val="24"/>
              </w:rPr>
            </w:pPr>
            <w:r w:rsidRPr="008A354F">
              <w:rPr>
                <w:rFonts w:ascii="Times New Roman" w:eastAsia="Times New Roman" w:hAnsi="Times New Roman" w:cs="Times New Roman"/>
                <w:b/>
                <w:sz w:val="26"/>
                <w:szCs w:val="24"/>
              </w:rPr>
              <w:t>Annual Estimates of Respondents’ Burdens</w:t>
            </w:r>
          </w:p>
        </w:tc>
      </w:tr>
      <w:tr w14:paraId="778D272B" w14:textId="77777777" w:rsidTr="00EE524B">
        <w:tblPrEx>
          <w:tblW w:w="0" w:type="auto"/>
          <w:tblLook w:val="04A0"/>
        </w:tblPrEx>
        <w:tc>
          <w:tcPr>
            <w:tcW w:w="1558" w:type="dxa"/>
            <w:vAlign w:val="center"/>
          </w:tcPr>
          <w:p w:rsidR="008A354F" w:rsidRPr="008A354F" w:rsidP="008A354F" w14:paraId="2A807EE9"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A.</w:t>
            </w:r>
          </w:p>
          <w:p w:rsidR="008A354F" w:rsidRPr="008A354F" w:rsidP="008A354F" w14:paraId="1E918983" w14:textId="77777777">
            <w:pPr>
              <w:jc w:val="center"/>
              <w:rPr>
                <w:rFonts w:ascii="Times New Roman" w:eastAsia="Times New Roman" w:hAnsi="Times New Roman" w:cs="Times New Roman"/>
                <w:sz w:val="26"/>
                <w:szCs w:val="24"/>
              </w:rPr>
            </w:pPr>
            <w:r w:rsidRPr="008A354F">
              <w:rPr>
                <w:rFonts w:ascii="Times New Roman" w:eastAsia="Times New Roman" w:hAnsi="Times New Roman" w:cs="Times New Roman"/>
                <w:b/>
                <w:sz w:val="26"/>
                <w:szCs w:val="26"/>
              </w:rPr>
              <w:t>Number of Respondents</w:t>
            </w:r>
            <w:r w:rsidRPr="008A354F">
              <w:rPr>
                <w:rFonts w:ascii="Times New Roman" w:eastAsia="Times New Roman" w:hAnsi="Times New Roman" w:cs="Times New Roman"/>
                <w:b/>
                <w:sz w:val="26"/>
                <w:szCs w:val="26"/>
              </w:rPr>
              <w:br/>
            </w:r>
          </w:p>
        </w:tc>
        <w:tc>
          <w:tcPr>
            <w:tcW w:w="1558" w:type="dxa"/>
            <w:vAlign w:val="center"/>
          </w:tcPr>
          <w:p w:rsidR="008A354F" w:rsidRPr="008A354F" w:rsidP="008A354F" w14:paraId="50552A66"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B.</w:t>
            </w:r>
          </w:p>
          <w:p w:rsidR="008A354F" w:rsidRPr="008A354F" w:rsidP="008A354F" w14:paraId="6E4873A7"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Annual Number of Responses per Respondent</w:t>
            </w:r>
          </w:p>
          <w:p w:rsidR="008A354F" w:rsidRPr="008A354F" w:rsidP="008A354F" w14:paraId="6C89BD62" w14:textId="77777777">
            <w:pPr>
              <w:rPr>
                <w:rFonts w:ascii="Times New Roman" w:eastAsia="Times New Roman" w:hAnsi="Times New Roman" w:cs="Times New Roman"/>
                <w:sz w:val="26"/>
                <w:szCs w:val="24"/>
              </w:rPr>
            </w:pPr>
          </w:p>
        </w:tc>
        <w:tc>
          <w:tcPr>
            <w:tcW w:w="1558" w:type="dxa"/>
            <w:vAlign w:val="center"/>
          </w:tcPr>
          <w:p w:rsidR="008A354F" w:rsidRPr="008A354F" w:rsidP="008A354F" w14:paraId="7B335235"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C.</w:t>
            </w:r>
          </w:p>
          <w:p w:rsidR="008A354F" w:rsidRPr="008A354F" w:rsidP="008A354F" w14:paraId="7AE5B3F6" w14:textId="77777777">
            <w:pPr>
              <w:rPr>
                <w:rFonts w:ascii="Times New Roman" w:eastAsia="Times New Roman" w:hAnsi="Times New Roman" w:cs="Times New Roman"/>
                <w:sz w:val="26"/>
                <w:szCs w:val="24"/>
              </w:rPr>
            </w:pPr>
            <w:r w:rsidRPr="008A354F">
              <w:rPr>
                <w:rFonts w:ascii="Times New Roman" w:eastAsia="Times New Roman" w:hAnsi="Times New Roman" w:cs="Times New Roman"/>
                <w:b/>
                <w:sz w:val="26"/>
                <w:szCs w:val="26"/>
              </w:rPr>
              <w:t>Total Number of Responses (Column A x Column B)</w:t>
            </w:r>
          </w:p>
        </w:tc>
        <w:tc>
          <w:tcPr>
            <w:tcW w:w="1558" w:type="dxa"/>
            <w:vAlign w:val="center"/>
          </w:tcPr>
          <w:p w:rsidR="008A354F" w:rsidRPr="008A354F" w:rsidP="008A354F" w14:paraId="5935D62F"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D.</w:t>
            </w:r>
          </w:p>
          <w:p w:rsidR="008A354F" w:rsidRPr="008A354F" w:rsidP="008A354F" w14:paraId="01669F9F" w14:textId="77777777">
            <w:pPr>
              <w:rPr>
                <w:rFonts w:ascii="Times New Roman" w:eastAsia="Times New Roman" w:hAnsi="Times New Roman" w:cs="Times New Roman"/>
                <w:sz w:val="26"/>
                <w:szCs w:val="24"/>
              </w:rPr>
            </w:pPr>
            <w:r w:rsidRPr="008A354F">
              <w:rPr>
                <w:rFonts w:ascii="Times New Roman" w:eastAsia="Times New Roman" w:hAnsi="Times New Roman" w:cs="Times New Roman"/>
                <w:b/>
                <w:sz w:val="26"/>
                <w:szCs w:val="26"/>
              </w:rPr>
              <w:t>Average Burden &amp; Cost Per Response</w:t>
            </w:r>
            <w:r>
              <w:rPr>
                <w:rFonts w:ascii="Times New Roman" w:eastAsia="Times New Roman" w:hAnsi="Times New Roman" w:cs="Times New Roman"/>
                <w:sz w:val="26"/>
                <w:szCs w:val="26"/>
                <w:vertAlign w:val="superscript"/>
              </w:rPr>
              <w:footnoteReference w:id="25"/>
            </w:r>
          </w:p>
        </w:tc>
        <w:tc>
          <w:tcPr>
            <w:tcW w:w="1559" w:type="dxa"/>
            <w:vAlign w:val="center"/>
          </w:tcPr>
          <w:p w:rsidR="008A354F" w:rsidRPr="008A354F" w:rsidP="008A354F" w14:paraId="5906425E"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E.</w:t>
            </w:r>
          </w:p>
          <w:p w:rsidR="008A354F" w:rsidRPr="008A354F" w:rsidP="008A354F" w14:paraId="602D0569"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Total Annual Burden Hours &amp; Total Annual Cost</w:t>
            </w:r>
          </w:p>
          <w:p w:rsidR="008A354F" w:rsidRPr="008A354F" w:rsidP="008A354F" w14:paraId="3A357CB7" w14:textId="77777777">
            <w:pPr>
              <w:rPr>
                <w:rFonts w:ascii="Times New Roman" w:eastAsia="Times New Roman" w:hAnsi="Times New Roman" w:cs="Times New Roman"/>
                <w:sz w:val="26"/>
                <w:szCs w:val="24"/>
              </w:rPr>
            </w:pPr>
            <w:r w:rsidRPr="008A354F">
              <w:rPr>
                <w:rFonts w:ascii="Times New Roman" w:eastAsia="Times New Roman" w:hAnsi="Times New Roman" w:cs="Times New Roman"/>
                <w:b/>
                <w:sz w:val="26"/>
                <w:szCs w:val="26"/>
              </w:rPr>
              <w:t>(Column C x Column D)</w:t>
            </w:r>
          </w:p>
        </w:tc>
        <w:tc>
          <w:tcPr>
            <w:tcW w:w="1559" w:type="dxa"/>
            <w:vAlign w:val="center"/>
          </w:tcPr>
          <w:p w:rsidR="008A354F" w:rsidRPr="008A354F" w:rsidP="008A354F" w14:paraId="30FE3DB7"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F.</w:t>
            </w:r>
          </w:p>
          <w:p w:rsidR="008A354F" w:rsidRPr="008A354F" w:rsidP="008A354F" w14:paraId="24926907"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Cost per Respondent</w:t>
            </w:r>
          </w:p>
          <w:p w:rsidR="008A354F" w:rsidRPr="008A354F" w:rsidP="008A354F" w14:paraId="1FD3F954" w14:textId="77777777">
            <w:pPr>
              <w:spacing w:line="256" w:lineRule="auto"/>
              <w:jc w:val="center"/>
              <w:rPr>
                <w:rFonts w:ascii="Times New Roman" w:eastAsia="Times New Roman" w:hAnsi="Times New Roman" w:cs="Times New Roman"/>
                <w:b/>
                <w:sz w:val="26"/>
                <w:szCs w:val="26"/>
              </w:rPr>
            </w:pPr>
            <w:r w:rsidRPr="008A354F">
              <w:rPr>
                <w:rFonts w:ascii="Times New Roman" w:eastAsia="Times New Roman" w:hAnsi="Times New Roman" w:cs="Times New Roman"/>
                <w:b/>
                <w:sz w:val="26"/>
                <w:szCs w:val="26"/>
              </w:rPr>
              <w:t>($)</w:t>
            </w:r>
          </w:p>
          <w:p w:rsidR="008A354F" w:rsidRPr="008A354F" w:rsidP="008A354F" w14:paraId="2210BF71" w14:textId="77777777">
            <w:pPr>
              <w:rPr>
                <w:rFonts w:ascii="Times New Roman" w:eastAsia="Times New Roman" w:hAnsi="Times New Roman" w:cs="Times New Roman"/>
                <w:sz w:val="26"/>
                <w:szCs w:val="24"/>
              </w:rPr>
            </w:pPr>
            <w:r w:rsidRPr="008A354F">
              <w:rPr>
                <w:rFonts w:ascii="Times New Roman" w:eastAsia="Times New Roman" w:hAnsi="Times New Roman" w:cs="Times New Roman"/>
                <w:b/>
                <w:sz w:val="26"/>
                <w:szCs w:val="26"/>
              </w:rPr>
              <w:t>(Column E ÷ Column A)</w:t>
            </w:r>
          </w:p>
        </w:tc>
      </w:tr>
      <w:tr w14:paraId="2D5B810A" w14:textId="77777777" w:rsidTr="00EE524B">
        <w:tblPrEx>
          <w:tblW w:w="0" w:type="auto"/>
          <w:tblLook w:val="04A0"/>
        </w:tblPrEx>
        <w:tc>
          <w:tcPr>
            <w:tcW w:w="1558" w:type="dxa"/>
            <w:vAlign w:val="bottom"/>
          </w:tcPr>
          <w:p w:rsidR="008A354F" w:rsidRPr="008A354F" w:rsidP="008A354F" w14:paraId="7D2483A5" w14:textId="77777777">
            <w:pPr>
              <w:jc w:val="center"/>
              <w:rPr>
                <w:rFonts w:ascii="Times New Roman" w:eastAsia="Times New Roman" w:hAnsi="Times New Roman" w:cs="Times New Roman"/>
                <w:sz w:val="26"/>
                <w:szCs w:val="24"/>
              </w:rPr>
            </w:pPr>
            <w:bookmarkStart w:id="4" w:name="_Hlk185596242"/>
            <w:r w:rsidRPr="008A354F">
              <w:rPr>
                <w:rFonts w:ascii="Times New Roman" w:eastAsia="Times New Roman" w:hAnsi="Times New Roman" w:cs="Times New Roman"/>
                <w:bCs/>
                <w:sz w:val="26"/>
                <w:szCs w:val="26"/>
              </w:rPr>
              <w:t>31</w:t>
            </w:r>
          </w:p>
        </w:tc>
        <w:tc>
          <w:tcPr>
            <w:tcW w:w="1558" w:type="dxa"/>
            <w:vAlign w:val="bottom"/>
          </w:tcPr>
          <w:p w:rsidR="008A354F" w:rsidRPr="008A354F" w:rsidP="008A354F" w14:paraId="7CDB47D9" w14:textId="77777777">
            <w:pPr>
              <w:jc w:val="center"/>
              <w:rPr>
                <w:rFonts w:ascii="Times New Roman" w:eastAsia="Times New Roman" w:hAnsi="Times New Roman" w:cs="Times New Roman"/>
                <w:sz w:val="26"/>
                <w:szCs w:val="24"/>
              </w:rPr>
            </w:pPr>
            <w:r w:rsidRPr="008A354F">
              <w:rPr>
                <w:rFonts w:ascii="Times New Roman" w:eastAsia="Times New Roman" w:hAnsi="Times New Roman" w:cs="Times New Roman"/>
                <w:bCs/>
                <w:sz w:val="26"/>
                <w:szCs w:val="26"/>
              </w:rPr>
              <w:t>1</w:t>
            </w:r>
          </w:p>
        </w:tc>
        <w:tc>
          <w:tcPr>
            <w:tcW w:w="1558" w:type="dxa"/>
            <w:vAlign w:val="bottom"/>
          </w:tcPr>
          <w:p w:rsidR="008A354F" w:rsidRPr="008A354F" w:rsidP="008A354F" w14:paraId="03605A3B" w14:textId="77777777">
            <w:pPr>
              <w:jc w:val="center"/>
              <w:rPr>
                <w:rFonts w:ascii="Times New Roman" w:eastAsia="Times New Roman" w:hAnsi="Times New Roman" w:cs="Times New Roman"/>
                <w:sz w:val="26"/>
                <w:szCs w:val="24"/>
              </w:rPr>
            </w:pPr>
            <w:r w:rsidRPr="008A354F">
              <w:rPr>
                <w:rFonts w:ascii="Times New Roman" w:eastAsia="Times New Roman" w:hAnsi="Times New Roman" w:cs="Times New Roman"/>
                <w:bCs/>
                <w:sz w:val="26"/>
                <w:szCs w:val="26"/>
              </w:rPr>
              <w:t>31</w:t>
            </w:r>
          </w:p>
        </w:tc>
        <w:tc>
          <w:tcPr>
            <w:tcW w:w="1558" w:type="dxa"/>
            <w:vAlign w:val="bottom"/>
          </w:tcPr>
          <w:p w:rsidR="008A354F" w:rsidRPr="008A354F" w:rsidP="008A354F" w14:paraId="2272296E" w14:textId="77777777">
            <w:pPr>
              <w:spacing w:line="256" w:lineRule="auto"/>
              <w:jc w:val="right"/>
              <w:rPr>
                <w:rFonts w:ascii="Times New Roman" w:eastAsia="Times New Roman" w:hAnsi="Times New Roman" w:cs="Times New Roman"/>
                <w:bCs/>
                <w:sz w:val="26"/>
                <w:szCs w:val="26"/>
              </w:rPr>
            </w:pPr>
            <w:r w:rsidRPr="008A354F">
              <w:rPr>
                <w:rFonts w:ascii="Times New Roman" w:eastAsia="Times New Roman" w:hAnsi="Times New Roman" w:cs="Times New Roman"/>
                <w:bCs/>
                <w:sz w:val="26"/>
                <w:szCs w:val="26"/>
              </w:rPr>
              <w:t xml:space="preserve">48 </w:t>
            </w:r>
            <w:r w:rsidRPr="008A354F">
              <w:rPr>
                <w:rFonts w:ascii="Times New Roman" w:eastAsia="Times New Roman" w:hAnsi="Times New Roman" w:cs="Times New Roman"/>
                <w:bCs/>
                <w:sz w:val="26"/>
                <w:szCs w:val="26"/>
              </w:rPr>
              <w:t>hrs.;</w:t>
            </w:r>
          </w:p>
          <w:p w:rsidR="008A354F" w:rsidRPr="008A354F" w:rsidP="008A354F" w14:paraId="10AC29F2" w14:textId="77777777">
            <w:pPr>
              <w:jc w:val="right"/>
              <w:rPr>
                <w:rFonts w:ascii="Times New Roman" w:eastAsia="Times New Roman" w:hAnsi="Times New Roman" w:cs="Times New Roman"/>
                <w:sz w:val="26"/>
                <w:szCs w:val="24"/>
              </w:rPr>
            </w:pPr>
            <w:r w:rsidRPr="008A354F">
              <w:rPr>
                <w:rFonts w:ascii="Times New Roman" w:eastAsia="Times New Roman" w:hAnsi="Times New Roman" w:cs="Times New Roman"/>
                <w:bCs/>
                <w:sz w:val="26"/>
                <w:szCs w:val="26"/>
              </w:rPr>
              <w:t>$3,392.16</w:t>
            </w:r>
          </w:p>
        </w:tc>
        <w:tc>
          <w:tcPr>
            <w:tcW w:w="1559" w:type="dxa"/>
            <w:vAlign w:val="bottom"/>
          </w:tcPr>
          <w:p w:rsidR="008A354F" w:rsidRPr="008A354F" w:rsidP="008A354F" w14:paraId="37D1D93E" w14:textId="77777777">
            <w:pPr>
              <w:spacing w:line="256" w:lineRule="auto"/>
              <w:jc w:val="right"/>
              <w:rPr>
                <w:rFonts w:ascii="Times New Roman" w:eastAsia="Times New Roman" w:hAnsi="Times New Roman" w:cs="Times New Roman"/>
                <w:bCs/>
                <w:sz w:val="26"/>
                <w:szCs w:val="26"/>
              </w:rPr>
            </w:pPr>
            <w:r w:rsidRPr="008A354F">
              <w:rPr>
                <w:rFonts w:ascii="Times New Roman" w:eastAsia="Times New Roman" w:hAnsi="Times New Roman" w:cs="Times New Roman"/>
                <w:bCs/>
                <w:sz w:val="26"/>
                <w:szCs w:val="26"/>
              </w:rPr>
              <w:t xml:space="preserve">1,488 </w:t>
            </w:r>
            <w:r w:rsidRPr="008A354F">
              <w:rPr>
                <w:rFonts w:ascii="Times New Roman" w:eastAsia="Times New Roman" w:hAnsi="Times New Roman" w:cs="Times New Roman"/>
                <w:bCs/>
                <w:sz w:val="26"/>
                <w:szCs w:val="26"/>
              </w:rPr>
              <w:t>hrs.;</w:t>
            </w:r>
          </w:p>
          <w:p w:rsidR="008A354F" w:rsidRPr="008A354F" w:rsidP="008A354F" w14:paraId="0887FF6F" w14:textId="77777777">
            <w:pPr>
              <w:jc w:val="right"/>
              <w:rPr>
                <w:rFonts w:ascii="Times New Roman" w:eastAsia="Times New Roman" w:hAnsi="Times New Roman" w:cs="Times New Roman"/>
                <w:sz w:val="26"/>
                <w:szCs w:val="24"/>
              </w:rPr>
            </w:pPr>
            <w:r w:rsidRPr="008A354F">
              <w:rPr>
                <w:rFonts w:ascii="Times New Roman" w:eastAsia="Times New Roman" w:hAnsi="Times New Roman" w:cs="Times New Roman"/>
                <w:bCs/>
                <w:sz w:val="26"/>
                <w:szCs w:val="26"/>
              </w:rPr>
              <w:t>$105,156.96</w:t>
            </w:r>
          </w:p>
        </w:tc>
        <w:tc>
          <w:tcPr>
            <w:tcW w:w="1559" w:type="dxa"/>
            <w:vAlign w:val="bottom"/>
          </w:tcPr>
          <w:p w:rsidR="008A354F" w:rsidRPr="008A354F" w:rsidP="008A354F" w14:paraId="645F0BFB" w14:textId="77777777">
            <w:pPr>
              <w:jc w:val="right"/>
              <w:rPr>
                <w:rFonts w:ascii="Times New Roman" w:eastAsia="Times New Roman" w:hAnsi="Times New Roman" w:cs="Times New Roman"/>
                <w:sz w:val="26"/>
                <w:szCs w:val="24"/>
              </w:rPr>
            </w:pPr>
            <w:r w:rsidRPr="008A354F">
              <w:rPr>
                <w:rFonts w:ascii="Times New Roman" w:eastAsia="Times New Roman" w:hAnsi="Times New Roman" w:cs="Times New Roman"/>
                <w:bCs/>
                <w:sz w:val="26"/>
                <w:szCs w:val="26"/>
              </w:rPr>
              <w:t>$3,392.16</w:t>
            </w:r>
          </w:p>
        </w:tc>
      </w:tr>
      <w:bookmarkEnd w:id="4"/>
    </w:tbl>
    <w:p w:rsidR="008A354F" w:rsidRPr="008A354F" w:rsidP="008A354F" w14:paraId="2A7222D8" w14:textId="77777777">
      <w:pPr>
        <w:spacing w:after="0" w:line="240" w:lineRule="auto"/>
        <w:rPr>
          <w:rFonts w:ascii="Times New Roman" w:eastAsia="Times New Roman" w:hAnsi="Times New Roman" w:cs="Times New Roman"/>
          <w:sz w:val="26"/>
          <w:szCs w:val="24"/>
        </w:rPr>
      </w:pPr>
    </w:p>
    <w:p w:rsidR="001316AC" w:rsidRPr="001316AC" w:rsidP="001316AC" w14:paraId="645CE48E" w14:textId="77777777">
      <w:pPr>
        <w:spacing w:after="0" w:line="240" w:lineRule="auto"/>
        <w:rPr>
          <w:rFonts w:ascii="Times New Roman" w:eastAsia="Times New Roman" w:hAnsi="Times New Roman" w:cs="Times New Roman"/>
          <w:sz w:val="26"/>
          <w:szCs w:val="26"/>
        </w:rPr>
      </w:pPr>
      <w:r w:rsidRPr="001316AC">
        <w:rPr>
          <w:rFonts w:ascii="Times New Roman" w:eastAsia="Times New Roman" w:hAnsi="Times New Roman" w:cs="Times New Roman"/>
          <w:i/>
          <w:iCs/>
          <w:sz w:val="26"/>
          <w:szCs w:val="26"/>
        </w:rPr>
        <w:t>Estimate of Annual Burden</w:t>
      </w:r>
      <w:r w:rsidRPr="001316AC">
        <w:rPr>
          <w:rFonts w:ascii="Times New Roman" w:eastAsia="Times New Roman" w:hAnsi="Times New Roman" w:cs="Times New Roman"/>
          <w:sz w:val="26"/>
          <w:szCs w:val="26"/>
        </w:rPr>
        <w:t>:  The Commission estimates 1,861 responses annually, and per-response burdens of 2 hours and $141.34.</w:t>
      </w:r>
      <w:r>
        <w:rPr>
          <w:rFonts w:ascii="Times New Roman" w:eastAsia="Times New Roman" w:hAnsi="Times New Roman" w:cs="Times New Roman"/>
          <w:b/>
          <w:sz w:val="26"/>
          <w:szCs w:val="26"/>
          <w:vertAlign w:val="superscript"/>
        </w:rPr>
        <w:footnoteReference w:id="26"/>
      </w:r>
      <w:r w:rsidRPr="001316AC">
        <w:rPr>
          <w:rFonts w:ascii="Times New Roman" w:eastAsia="Times New Roman" w:hAnsi="Times New Roman" w:cs="Times New Roman"/>
          <w:sz w:val="26"/>
          <w:szCs w:val="26"/>
        </w:rPr>
        <w:t xml:space="preserve">  The total estimated burdens per year are </w:t>
      </w:r>
      <w:r w:rsidRPr="001316AC">
        <w:rPr>
          <w:rFonts w:ascii="Times New Roman" w:eastAsia="Times New Roman" w:hAnsi="Times New Roman" w:cs="Times New Roman"/>
          <w:sz w:val="26"/>
          <w:szCs w:val="26"/>
        </w:rPr>
        <w:t xml:space="preserve">1,861 responses, 3,722 hours, and </w:t>
      </w:r>
      <w:r w:rsidRPr="001316AC">
        <w:rPr>
          <w:rFonts w:ascii="Times New Roman" w:eastAsia="Times New Roman" w:hAnsi="Times New Roman" w:cs="Times New Roman"/>
          <w:bCs/>
          <w:sz w:val="26"/>
          <w:szCs w:val="26"/>
        </w:rPr>
        <w:t>$263,033.74</w:t>
      </w:r>
      <w:r w:rsidRPr="001316AC">
        <w:rPr>
          <w:rFonts w:ascii="Times New Roman" w:eastAsia="Times New Roman" w:hAnsi="Times New Roman" w:cs="Times New Roman"/>
          <w:sz w:val="26"/>
          <w:szCs w:val="26"/>
        </w:rPr>
        <w:t xml:space="preserve">.  These burdens are itemized in the following table: </w:t>
      </w:r>
    </w:p>
    <w:p w:rsidR="001316AC" w:rsidRPr="001316AC" w:rsidP="001316AC" w14:paraId="5AB8FAD2" w14:textId="77777777">
      <w:pPr>
        <w:spacing w:after="0" w:line="240" w:lineRule="auto"/>
        <w:rPr>
          <w:rFonts w:ascii="Times New Roman" w:eastAsia="Times New Roman" w:hAnsi="Times New Roman" w:cs="Times New Roman"/>
          <w:sz w:val="26"/>
          <w:szCs w:val="24"/>
        </w:rPr>
      </w:pPr>
    </w:p>
    <w:p w:rsidR="001316AC" w:rsidRPr="001316AC" w:rsidP="001316AC" w14:paraId="057B1EF6" w14:textId="77777777">
      <w:pPr>
        <w:spacing w:after="0" w:line="240" w:lineRule="auto"/>
        <w:rPr>
          <w:rFonts w:ascii="Times New Roman" w:eastAsia="Times New Roman" w:hAnsi="Times New Roman" w:cs="Times New Roman"/>
          <w:sz w:val="26"/>
          <w:szCs w:val="24"/>
        </w:rPr>
      </w:pPr>
    </w:p>
    <w:tbl>
      <w:tblPr>
        <w:tblStyle w:val="TableGrid3"/>
        <w:tblW w:w="0" w:type="auto"/>
        <w:tblLook w:val="04A0"/>
      </w:tblPr>
      <w:tblGrid>
        <w:gridCol w:w="1632"/>
        <w:gridCol w:w="1553"/>
        <w:gridCol w:w="1524"/>
        <w:gridCol w:w="1535"/>
        <w:gridCol w:w="1552"/>
        <w:gridCol w:w="1554"/>
      </w:tblGrid>
      <w:tr w14:paraId="15701A42" w14:textId="77777777" w:rsidTr="00EE524B">
        <w:tblPrEx>
          <w:tblW w:w="0" w:type="auto"/>
          <w:tblLook w:val="04A0"/>
        </w:tblPrEx>
        <w:tc>
          <w:tcPr>
            <w:tcW w:w="9350" w:type="dxa"/>
            <w:gridSpan w:val="6"/>
          </w:tcPr>
          <w:p w:rsidR="001316AC" w:rsidRPr="001316AC" w:rsidP="001316AC" w14:paraId="5F5F8095" w14:textId="77777777">
            <w:pPr>
              <w:jc w:val="center"/>
              <w:rPr>
                <w:rFonts w:ascii="Times New Roman" w:eastAsia="Times New Roman" w:hAnsi="Times New Roman" w:cs="Times New Roman"/>
                <w:b/>
                <w:bCs/>
                <w:sz w:val="26"/>
                <w:szCs w:val="24"/>
              </w:rPr>
            </w:pPr>
            <w:bookmarkStart w:id="5" w:name="_Hlk185595530"/>
            <w:r w:rsidRPr="001316AC">
              <w:rPr>
                <w:rFonts w:ascii="Times New Roman" w:eastAsia="Times New Roman" w:hAnsi="Times New Roman" w:cs="Times New Roman"/>
                <w:b/>
                <w:bCs/>
                <w:iCs/>
                <w:sz w:val="26"/>
                <w:szCs w:val="24"/>
              </w:rPr>
              <w:t>Mandatory Reliability Standards:  Reliability Standard PRC-005-6 (Protection System, Automatic Reclosing, and Sudden Pressure Relaying Maintenance) (</w:t>
            </w:r>
            <w:r w:rsidRPr="001316AC">
              <w:rPr>
                <w:rFonts w:ascii="Times New Roman" w:eastAsia="Times New Roman" w:hAnsi="Times New Roman" w:cs="Times New Roman"/>
                <w:b/>
                <w:bCs/>
                <w:sz w:val="26"/>
                <w:szCs w:val="24"/>
              </w:rPr>
              <w:t>FERC-725P1)</w:t>
            </w:r>
          </w:p>
          <w:p w:rsidR="001316AC" w:rsidRPr="001316AC" w:rsidP="001316AC" w14:paraId="6DD4BD53"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
                <w:sz w:val="26"/>
                <w:szCs w:val="24"/>
              </w:rPr>
              <w:t>Annual Estimates of Respondents’ Burdens</w:t>
            </w:r>
          </w:p>
        </w:tc>
      </w:tr>
      <w:tr w14:paraId="7363EA5A" w14:textId="77777777" w:rsidTr="00EE524B">
        <w:tblPrEx>
          <w:tblW w:w="0" w:type="auto"/>
          <w:tblLook w:val="04A0"/>
        </w:tblPrEx>
        <w:tc>
          <w:tcPr>
            <w:tcW w:w="1558" w:type="dxa"/>
            <w:vAlign w:val="center"/>
          </w:tcPr>
          <w:p w:rsidR="001316AC" w:rsidRPr="001316AC" w:rsidP="001316AC" w14:paraId="08AC0842"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A.</w:t>
            </w:r>
          </w:p>
          <w:p w:rsidR="001316AC" w:rsidRPr="001316AC" w:rsidP="001316AC" w14:paraId="4AC57AE2" w14:textId="77777777">
            <w:pPr>
              <w:rPr>
                <w:rFonts w:ascii="Times New Roman" w:eastAsia="Times New Roman" w:hAnsi="Times New Roman" w:cs="Times New Roman"/>
                <w:sz w:val="26"/>
                <w:szCs w:val="24"/>
              </w:rPr>
            </w:pPr>
            <w:r w:rsidRPr="001316AC">
              <w:rPr>
                <w:rFonts w:ascii="Times New Roman" w:eastAsia="Times New Roman" w:hAnsi="Times New Roman" w:cs="Times New Roman"/>
                <w:b/>
                <w:sz w:val="26"/>
                <w:szCs w:val="26"/>
              </w:rPr>
              <w:t>Number of Respondents</w:t>
            </w:r>
            <w:r w:rsidRPr="001316AC">
              <w:rPr>
                <w:rFonts w:ascii="Times New Roman" w:eastAsia="Times New Roman" w:hAnsi="Times New Roman" w:cs="Times New Roman"/>
                <w:b/>
                <w:sz w:val="26"/>
                <w:szCs w:val="26"/>
              </w:rPr>
              <w:br/>
            </w:r>
          </w:p>
        </w:tc>
        <w:tc>
          <w:tcPr>
            <w:tcW w:w="1558" w:type="dxa"/>
            <w:vAlign w:val="center"/>
          </w:tcPr>
          <w:p w:rsidR="001316AC" w:rsidRPr="001316AC" w:rsidP="001316AC" w14:paraId="1507FEB4"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B.</w:t>
            </w:r>
          </w:p>
          <w:p w:rsidR="001316AC" w:rsidRPr="001316AC" w:rsidP="001316AC" w14:paraId="6EC3079E"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Annual Number of Responses per Respondent</w:t>
            </w:r>
          </w:p>
          <w:p w:rsidR="001316AC" w:rsidRPr="001316AC" w:rsidP="001316AC" w14:paraId="4B083C7F" w14:textId="77777777">
            <w:pPr>
              <w:rPr>
                <w:rFonts w:ascii="Times New Roman" w:eastAsia="Times New Roman" w:hAnsi="Times New Roman" w:cs="Times New Roman"/>
                <w:sz w:val="26"/>
                <w:szCs w:val="24"/>
              </w:rPr>
            </w:pPr>
          </w:p>
        </w:tc>
        <w:tc>
          <w:tcPr>
            <w:tcW w:w="1558" w:type="dxa"/>
            <w:vAlign w:val="center"/>
          </w:tcPr>
          <w:p w:rsidR="001316AC" w:rsidRPr="001316AC" w:rsidP="001316AC" w14:paraId="1605B6F8"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C.</w:t>
            </w:r>
          </w:p>
          <w:p w:rsidR="001316AC" w:rsidRPr="001316AC" w:rsidP="001316AC" w14:paraId="744911F8" w14:textId="77777777">
            <w:pPr>
              <w:rPr>
                <w:rFonts w:ascii="Times New Roman" w:eastAsia="Times New Roman" w:hAnsi="Times New Roman" w:cs="Times New Roman"/>
                <w:sz w:val="26"/>
                <w:szCs w:val="24"/>
              </w:rPr>
            </w:pPr>
            <w:r w:rsidRPr="001316AC">
              <w:rPr>
                <w:rFonts w:ascii="Times New Roman" w:eastAsia="Times New Roman" w:hAnsi="Times New Roman" w:cs="Times New Roman"/>
                <w:b/>
                <w:sz w:val="26"/>
                <w:szCs w:val="26"/>
              </w:rPr>
              <w:t>Total Number of Responses (Column A x Column B)</w:t>
            </w:r>
          </w:p>
        </w:tc>
        <w:tc>
          <w:tcPr>
            <w:tcW w:w="1558" w:type="dxa"/>
            <w:vAlign w:val="center"/>
          </w:tcPr>
          <w:p w:rsidR="001316AC" w:rsidRPr="001316AC" w:rsidP="001316AC" w14:paraId="32435B0B"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D.</w:t>
            </w:r>
          </w:p>
          <w:p w:rsidR="001316AC" w:rsidRPr="001316AC" w:rsidP="001316AC" w14:paraId="5D0889E3" w14:textId="77777777">
            <w:pPr>
              <w:rPr>
                <w:rFonts w:ascii="Times New Roman" w:eastAsia="Times New Roman" w:hAnsi="Times New Roman" w:cs="Times New Roman"/>
                <w:sz w:val="26"/>
                <w:szCs w:val="24"/>
              </w:rPr>
            </w:pPr>
            <w:r w:rsidRPr="001316AC">
              <w:rPr>
                <w:rFonts w:ascii="Times New Roman" w:eastAsia="Times New Roman" w:hAnsi="Times New Roman" w:cs="Times New Roman"/>
                <w:b/>
                <w:sz w:val="26"/>
                <w:szCs w:val="26"/>
              </w:rPr>
              <w:t>Average Burden &amp; Cost Per Response</w:t>
            </w:r>
            <w:r>
              <w:rPr>
                <w:rFonts w:ascii="Times New Roman" w:eastAsia="Times New Roman" w:hAnsi="Times New Roman" w:cs="Times New Roman"/>
                <w:sz w:val="26"/>
                <w:szCs w:val="26"/>
                <w:vertAlign w:val="superscript"/>
              </w:rPr>
              <w:footnoteReference w:id="27"/>
            </w:r>
          </w:p>
        </w:tc>
        <w:tc>
          <w:tcPr>
            <w:tcW w:w="1559" w:type="dxa"/>
            <w:vAlign w:val="center"/>
          </w:tcPr>
          <w:p w:rsidR="001316AC" w:rsidRPr="001316AC" w:rsidP="001316AC" w14:paraId="2B9EC1F3"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E.</w:t>
            </w:r>
          </w:p>
          <w:p w:rsidR="001316AC" w:rsidRPr="001316AC" w:rsidP="001316AC" w14:paraId="0483641E"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Total Annual Burden Hours &amp; Total Annual Cost</w:t>
            </w:r>
          </w:p>
          <w:p w:rsidR="001316AC" w:rsidRPr="001316AC" w:rsidP="001316AC" w14:paraId="3FA48866" w14:textId="77777777">
            <w:pPr>
              <w:rPr>
                <w:rFonts w:ascii="Times New Roman" w:eastAsia="Times New Roman" w:hAnsi="Times New Roman" w:cs="Times New Roman"/>
                <w:sz w:val="26"/>
                <w:szCs w:val="24"/>
              </w:rPr>
            </w:pPr>
            <w:r w:rsidRPr="001316AC">
              <w:rPr>
                <w:rFonts w:ascii="Times New Roman" w:eastAsia="Times New Roman" w:hAnsi="Times New Roman" w:cs="Times New Roman"/>
                <w:b/>
                <w:sz w:val="26"/>
                <w:szCs w:val="26"/>
              </w:rPr>
              <w:t>(Column C x Column D)</w:t>
            </w:r>
          </w:p>
        </w:tc>
        <w:tc>
          <w:tcPr>
            <w:tcW w:w="1559" w:type="dxa"/>
            <w:vAlign w:val="center"/>
          </w:tcPr>
          <w:p w:rsidR="001316AC" w:rsidRPr="001316AC" w:rsidP="001316AC" w14:paraId="26117F0F"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F.</w:t>
            </w:r>
          </w:p>
          <w:p w:rsidR="001316AC" w:rsidRPr="001316AC" w:rsidP="001316AC" w14:paraId="0844194D"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Cost per Respondent</w:t>
            </w:r>
          </w:p>
          <w:p w:rsidR="001316AC" w:rsidRPr="001316AC" w:rsidP="001316AC" w14:paraId="378B50F3" w14:textId="77777777">
            <w:pPr>
              <w:spacing w:line="256" w:lineRule="auto"/>
              <w:jc w:val="center"/>
              <w:rPr>
                <w:rFonts w:ascii="Times New Roman" w:eastAsia="Times New Roman" w:hAnsi="Times New Roman" w:cs="Times New Roman"/>
                <w:b/>
                <w:sz w:val="26"/>
                <w:szCs w:val="26"/>
              </w:rPr>
            </w:pPr>
            <w:r w:rsidRPr="001316AC">
              <w:rPr>
                <w:rFonts w:ascii="Times New Roman" w:eastAsia="Times New Roman" w:hAnsi="Times New Roman" w:cs="Times New Roman"/>
                <w:b/>
                <w:sz w:val="26"/>
                <w:szCs w:val="26"/>
              </w:rPr>
              <w:t>($)</w:t>
            </w:r>
          </w:p>
          <w:p w:rsidR="001316AC" w:rsidRPr="001316AC" w:rsidP="001316AC" w14:paraId="76AD5A08" w14:textId="77777777">
            <w:pPr>
              <w:rPr>
                <w:rFonts w:ascii="Times New Roman" w:eastAsia="Times New Roman" w:hAnsi="Times New Roman" w:cs="Times New Roman"/>
                <w:sz w:val="26"/>
                <w:szCs w:val="24"/>
              </w:rPr>
            </w:pPr>
            <w:r w:rsidRPr="001316AC">
              <w:rPr>
                <w:rFonts w:ascii="Times New Roman" w:eastAsia="Times New Roman" w:hAnsi="Times New Roman" w:cs="Times New Roman"/>
                <w:b/>
                <w:sz w:val="26"/>
                <w:szCs w:val="26"/>
              </w:rPr>
              <w:t>(Column E ÷ Column A)</w:t>
            </w:r>
          </w:p>
        </w:tc>
      </w:tr>
      <w:tr w14:paraId="70A84F6B" w14:textId="77777777" w:rsidTr="00EE524B">
        <w:tblPrEx>
          <w:tblW w:w="0" w:type="auto"/>
          <w:tblLook w:val="04A0"/>
        </w:tblPrEx>
        <w:tc>
          <w:tcPr>
            <w:tcW w:w="1558" w:type="dxa"/>
            <w:vAlign w:val="bottom"/>
          </w:tcPr>
          <w:p w:rsidR="001316AC" w:rsidRPr="001316AC" w:rsidP="001316AC" w14:paraId="5B226BDD"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325 (TO)</w:t>
            </w:r>
          </w:p>
        </w:tc>
        <w:tc>
          <w:tcPr>
            <w:tcW w:w="1558" w:type="dxa"/>
            <w:vAlign w:val="bottom"/>
          </w:tcPr>
          <w:p w:rsidR="001316AC" w:rsidRPr="001316AC" w:rsidP="001316AC" w14:paraId="5290F026"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w:t>
            </w:r>
          </w:p>
        </w:tc>
        <w:tc>
          <w:tcPr>
            <w:tcW w:w="1558" w:type="dxa"/>
            <w:vAlign w:val="bottom"/>
          </w:tcPr>
          <w:p w:rsidR="001316AC" w:rsidRPr="001316AC" w:rsidP="001316AC" w14:paraId="1D59CD1B"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325</w:t>
            </w:r>
          </w:p>
        </w:tc>
        <w:tc>
          <w:tcPr>
            <w:tcW w:w="1558" w:type="dxa"/>
            <w:vAlign w:val="bottom"/>
          </w:tcPr>
          <w:p w:rsidR="001316AC" w:rsidRPr="001316AC" w:rsidP="001316AC" w14:paraId="191E3C7C" w14:textId="77777777">
            <w:pPr>
              <w:spacing w:line="256" w:lineRule="auto"/>
              <w:jc w:val="right"/>
              <w:rPr>
                <w:rFonts w:ascii="Times New Roman" w:eastAsia="Times New Roman" w:hAnsi="Times New Roman" w:cs="Times New Roman"/>
                <w:bCs/>
                <w:sz w:val="26"/>
                <w:szCs w:val="26"/>
              </w:rPr>
            </w:pPr>
            <w:r w:rsidRPr="001316AC">
              <w:rPr>
                <w:rFonts w:ascii="Times New Roman" w:eastAsia="Times New Roman" w:hAnsi="Times New Roman" w:cs="Times New Roman"/>
                <w:bCs/>
                <w:sz w:val="26"/>
                <w:szCs w:val="26"/>
              </w:rPr>
              <w:t xml:space="preserve">2 </w:t>
            </w:r>
            <w:r w:rsidRPr="001316AC">
              <w:rPr>
                <w:rFonts w:ascii="Times New Roman" w:eastAsia="Times New Roman" w:hAnsi="Times New Roman" w:cs="Times New Roman"/>
                <w:bCs/>
                <w:sz w:val="26"/>
                <w:szCs w:val="26"/>
              </w:rPr>
              <w:t>hrs.;</w:t>
            </w:r>
          </w:p>
          <w:p w:rsidR="001316AC" w:rsidRPr="001316AC" w:rsidP="001316AC" w14:paraId="380312F3"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$141.34</w:t>
            </w:r>
          </w:p>
        </w:tc>
        <w:tc>
          <w:tcPr>
            <w:tcW w:w="1559" w:type="dxa"/>
            <w:vAlign w:val="bottom"/>
          </w:tcPr>
          <w:p w:rsidR="001316AC" w:rsidRPr="001316AC" w:rsidP="001316AC" w14:paraId="68FACD11" w14:textId="77777777">
            <w:pPr>
              <w:spacing w:line="256" w:lineRule="auto"/>
              <w:jc w:val="right"/>
              <w:rPr>
                <w:rFonts w:ascii="Times New Roman" w:eastAsia="Times New Roman" w:hAnsi="Times New Roman" w:cs="Times New Roman"/>
                <w:bCs/>
                <w:sz w:val="26"/>
                <w:szCs w:val="26"/>
              </w:rPr>
            </w:pPr>
            <w:r w:rsidRPr="001316AC">
              <w:rPr>
                <w:rFonts w:ascii="Times New Roman" w:eastAsia="Times New Roman" w:hAnsi="Times New Roman" w:cs="Times New Roman"/>
                <w:bCs/>
                <w:sz w:val="26"/>
                <w:szCs w:val="26"/>
              </w:rPr>
              <w:t xml:space="preserve">650 </w:t>
            </w:r>
            <w:r w:rsidRPr="001316AC">
              <w:rPr>
                <w:rFonts w:ascii="Times New Roman" w:eastAsia="Times New Roman" w:hAnsi="Times New Roman" w:cs="Times New Roman"/>
                <w:bCs/>
                <w:sz w:val="26"/>
                <w:szCs w:val="26"/>
              </w:rPr>
              <w:t>hrs.;</w:t>
            </w:r>
          </w:p>
          <w:p w:rsidR="001316AC" w:rsidRPr="001316AC" w:rsidP="001316AC" w14:paraId="7899E861"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$45,935.50</w:t>
            </w:r>
          </w:p>
        </w:tc>
        <w:tc>
          <w:tcPr>
            <w:tcW w:w="1559" w:type="dxa"/>
            <w:vAlign w:val="bottom"/>
          </w:tcPr>
          <w:p w:rsidR="001316AC" w:rsidRPr="001316AC" w:rsidP="001316AC" w14:paraId="4374BDF6"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$141.34</w:t>
            </w:r>
          </w:p>
        </w:tc>
      </w:tr>
      <w:tr w14:paraId="75CADC6F" w14:textId="77777777" w:rsidTr="00EE524B">
        <w:tblPrEx>
          <w:tblW w:w="0" w:type="auto"/>
          <w:tblLook w:val="04A0"/>
        </w:tblPrEx>
        <w:tc>
          <w:tcPr>
            <w:tcW w:w="1558" w:type="dxa"/>
            <w:vAlign w:val="bottom"/>
          </w:tcPr>
          <w:p w:rsidR="001316AC" w:rsidRPr="001316AC" w:rsidP="001316AC" w14:paraId="03FBBFE6"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1,238 (GO)</w:t>
            </w:r>
          </w:p>
        </w:tc>
        <w:tc>
          <w:tcPr>
            <w:tcW w:w="1558" w:type="dxa"/>
            <w:vAlign w:val="bottom"/>
          </w:tcPr>
          <w:p w:rsidR="001316AC" w:rsidRPr="001316AC" w:rsidP="001316AC" w14:paraId="6BFD9020"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w:t>
            </w:r>
          </w:p>
        </w:tc>
        <w:tc>
          <w:tcPr>
            <w:tcW w:w="1558" w:type="dxa"/>
            <w:vAlign w:val="bottom"/>
          </w:tcPr>
          <w:p w:rsidR="001316AC" w:rsidRPr="001316AC" w:rsidP="001316AC" w14:paraId="798F16F4"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1,238</w:t>
            </w:r>
          </w:p>
        </w:tc>
        <w:tc>
          <w:tcPr>
            <w:tcW w:w="1558" w:type="dxa"/>
            <w:vAlign w:val="bottom"/>
          </w:tcPr>
          <w:p w:rsidR="001316AC" w:rsidRPr="001316AC" w:rsidP="001316AC" w14:paraId="01708E3F" w14:textId="77777777">
            <w:pPr>
              <w:spacing w:line="256" w:lineRule="auto"/>
              <w:jc w:val="right"/>
              <w:rPr>
                <w:rFonts w:ascii="Times New Roman" w:eastAsia="Times New Roman" w:hAnsi="Times New Roman" w:cs="Times New Roman"/>
                <w:bCs/>
                <w:sz w:val="26"/>
                <w:szCs w:val="26"/>
              </w:rPr>
            </w:pPr>
            <w:r w:rsidRPr="001316AC">
              <w:rPr>
                <w:rFonts w:ascii="Times New Roman" w:eastAsia="Times New Roman" w:hAnsi="Times New Roman" w:cs="Times New Roman"/>
                <w:bCs/>
                <w:sz w:val="26"/>
                <w:szCs w:val="26"/>
              </w:rPr>
              <w:t xml:space="preserve">2 </w:t>
            </w:r>
            <w:r w:rsidRPr="001316AC">
              <w:rPr>
                <w:rFonts w:ascii="Times New Roman" w:eastAsia="Times New Roman" w:hAnsi="Times New Roman" w:cs="Times New Roman"/>
                <w:bCs/>
                <w:sz w:val="26"/>
                <w:szCs w:val="26"/>
              </w:rPr>
              <w:t>hrs.;</w:t>
            </w:r>
          </w:p>
          <w:p w:rsidR="001316AC" w:rsidRPr="001316AC" w:rsidP="001316AC" w14:paraId="560DC740"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$141.34</w:t>
            </w:r>
          </w:p>
        </w:tc>
        <w:tc>
          <w:tcPr>
            <w:tcW w:w="1559" w:type="dxa"/>
            <w:vAlign w:val="bottom"/>
          </w:tcPr>
          <w:p w:rsidR="001316AC" w:rsidRPr="001316AC" w:rsidP="001316AC" w14:paraId="69A1BD36" w14:textId="77777777">
            <w:pPr>
              <w:spacing w:line="256" w:lineRule="auto"/>
              <w:jc w:val="right"/>
              <w:rPr>
                <w:rFonts w:ascii="Times New Roman" w:eastAsia="Times New Roman" w:hAnsi="Times New Roman" w:cs="Times New Roman"/>
                <w:bCs/>
                <w:sz w:val="26"/>
                <w:szCs w:val="26"/>
              </w:rPr>
            </w:pPr>
            <w:r w:rsidRPr="001316AC">
              <w:rPr>
                <w:rFonts w:ascii="Times New Roman" w:eastAsia="Times New Roman" w:hAnsi="Times New Roman" w:cs="Times New Roman"/>
                <w:bCs/>
                <w:sz w:val="26"/>
                <w:szCs w:val="26"/>
              </w:rPr>
              <w:t xml:space="preserve">2,476 </w:t>
            </w:r>
            <w:r w:rsidRPr="001316AC">
              <w:rPr>
                <w:rFonts w:ascii="Times New Roman" w:eastAsia="Times New Roman" w:hAnsi="Times New Roman" w:cs="Times New Roman"/>
                <w:bCs/>
                <w:sz w:val="26"/>
                <w:szCs w:val="26"/>
              </w:rPr>
              <w:t>hrs.;</w:t>
            </w:r>
          </w:p>
          <w:p w:rsidR="001316AC" w:rsidRPr="001316AC" w:rsidP="001316AC" w14:paraId="7CE4B98C"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$174,978.92</w:t>
            </w:r>
          </w:p>
        </w:tc>
        <w:tc>
          <w:tcPr>
            <w:tcW w:w="1559" w:type="dxa"/>
            <w:vAlign w:val="bottom"/>
          </w:tcPr>
          <w:p w:rsidR="001316AC" w:rsidRPr="001316AC" w:rsidP="001316AC" w14:paraId="6DAF3681"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$141.34</w:t>
            </w:r>
          </w:p>
        </w:tc>
      </w:tr>
      <w:tr w14:paraId="22C7B367" w14:textId="77777777" w:rsidTr="00EE524B">
        <w:tblPrEx>
          <w:tblW w:w="0" w:type="auto"/>
          <w:tblLook w:val="04A0"/>
        </w:tblPrEx>
        <w:tc>
          <w:tcPr>
            <w:tcW w:w="1558" w:type="dxa"/>
            <w:vAlign w:val="bottom"/>
          </w:tcPr>
          <w:p w:rsidR="001316AC" w:rsidRPr="001316AC" w:rsidP="001316AC" w14:paraId="02778BFC"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298 (DP)</w:t>
            </w:r>
          </w:p>
        </w:tc>
        <w:tc>
          <w:tcPr>
            <w:tcW w:w="1558" w:type="dxa"/>
            <w:vAlign w:val="bottom"/>
          </w:tcPr>
          <w:p w:rsidR="001316AC" w:rsidRPr="001316AC" w:rsidP="001316AC" w14:paraId="3F41E730"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w:t>
            </w:r>
          </w:p>
        </w:tc>
        <w:tc>
          <w:tcPr>
            <w:tcW w:w="1558" w:type="dxa"/>
            <w:vAlign w:val="bottom"/>
          </w:tcPr>
          <w:p w:rsidR="001316AC" w:rsidRPr="001316AC" w:rsidP="001316AC" w14:paraId="5E4EEF75"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298</w:t>
            </w:r>
          </w:p>
        </w:tc>
        <w:tc>
          <w:tcPr>
            <w:tcW w:w="1558" w:type="dxa"/>
            <w:vAlign w:val="bottom"/>
          </w:tcPr>
          <w:p w:rsidR="001316AC" w:rsidRPr="001316AC" w:rsidP="001316AC" w14:paraId="1545563D" w14:textId="77777777">
            <w:pPr>
              <w:spacing w:line="256" w:lineRule="auto"/>
              <w:jc w:val="right"/>
              <w:rPr>
                <w:rFonts w:ascii="Times New Roman" w:eastAsia="Times New Roman" w:hAnsi="Times New Roman" w:cs="Times New Roman"/>
                <w:bCs/>
                <w:sz w:val="26"/>
                <w:szCs w:val="26"/>
              </w:rPr>
            </w:pPr>
            <w:r w:rsidRPr="001316AC">
              <w:rPr>
                <w:rFonts w:ascii="Times New Roman" w:eastAsia="Times New Roman" w:hAnsi="Times New Roman" w:cs="Times New Roman"/>
                <w:bCs/>
                <w:sz w:val="26"/>
                <w:szCs w:val="26"/>
              </w:rPr>
              <w:t xml:space="preserve">2 </w:t>
            </w:r>
            <w:r w:rsidRPr="001316AC">
              <w:rPr>
                <w:rFonts w:ascii="Times New Roman" w:eastAsia="Times New Roman" w:hAnsi="Times New Roman" w:cs="Times New Roman"/>
                <w:bCs/>
                <w:sz w:val="26"/>
                <w:szCs w:val="26"/>
              </w:rPr>
              <w:t>hrs.;</w:t>
            </w:r>
          </w:p>
          <w:p w:rsidR="001316AC" w:rsidRPr="001316AC" w:rsidP="001316AC" w14:paraId="200A29DE"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$141.34</w:t>
            </w:r>
          </w:p>
        </w:tc>
        <w:tc>
          <w:tcPr>
            <w:tcW w:w="1559" w:type="dxa"/>
            <w:vAlign w:val="bottom"/>
          </w:tcPr>
          <w:p w:rsidR="001316AC" w:rsidRPr="001316AC" w:rsidP="001316AC" w14:paraId="40F4FCF8" w14:textId="77777777">
            <w:pPr>
              <w:spacing w:line="256" w:lineRule="auto"/>
              <w:jc w:val="right"/>
              <w:rPr>
                <w:rFonts w:ascii="Times New Roman" w:eastAsia="Times New Roman" w:hAnsi="Times New Roman" w:cs="Times New Roman"/>
                <w:bCs/>
                <w:sz w:val="26"/>
                <w:szCs w:val="26"/>
              </w:rPr>
            </w:pPr>
            <w:r w:rsidRPr="001316AC">
              <w:rPr>
                <w:rFonts w:ascii="Times New Roman" w:eastAsia="Times New Roman" w:hAnsi="Times New Roman" w:cs="Times New Roman"/>
                <w:bCs/>
                <w:sz w:val="26"/>
                <w:szCs w:val="26"/>
              </w:rPr>
              <w:t xml:space="preserve">596 </w:t>
            </w:r>
            <w:r w:rsidRPr="001316AC">
              <w:rPr>
                <w:rFonts w:ascii="Times New Roman" w:eastAsia="Times New Roman" w:hAnsi="Times New Roman" w:cs="Times New Roman"/>
                <w:bCs/>
                <w:sz w:val="26"/>
                <w:szCs w:val="26"/>
              </w:rPr>
              <w:t>hrs.;</w:t>
            </w:r>
          </w:p>
          <w:p w:rsidR="001316AC" w:rsidRPr="001316AC" w:rsidP="001316AC" w14:paraId="11998F56"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$42,119.32</w:t>
            </w:r>
          </w:p>
        </w:tc>
        <w:tc>
          <w:tcPr>
            <w:tcW w:w="1559" w:type="dxa"/>
            <w:vAlign w:val="bottom"/>
          </w:tcPr>
          <w:p w:rsidR="001316AC" w:rsidRPr="001316AC" w:rsidP="001316AC" w14:paraId="4B1C9688"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$141.34</w:t>
            </w:r>
          </w:p>
        </w:tc>
      </w:tr>
      <w:tr w14:paraId="7ACE178D" w14:textId="77777777" w:rsidTr="00EE524B">
        <w:tblPrEx>
          <w:tblW w:w="0" w:type="auto"/>
          <w:tblLook w:val="04A0"/>
        </w:tblPrEx>
        <w:tc>
          <w:tcPr>
            <w:tcW w:w="1558" w:type="dxa"/>
            <w:vAlign w:val="bottom"/>
          </w:tcPr>
          <w:p w:rsidR="001316AC" w:rsidRPr="001316AC" w:rsidP="001316AC" w14:paraId="623A41A5" w14:textId="77777777">
            <w:pPr>
              <w:jc w:val="center"/>
              <w:rPr>
                <w:rFonts w:ascii="Times New Roman" w:eastAsia="Times New Roman" w:hAnsi="Times New Roman" w:cs="Times New Roman"/>
                <w:sz w:val="26"/>
                <w:szCs w:val="24"/>
              </w:rPr>
            </w:pPr>
            <w:bookmarkStart w:id="6" w:name="_Hlk185596573"/>
            <w:r w:rsidRPr="001316AC">
              <w:rPr>
                <w:rFonts w:ascii="Times New Roman" w:eastAsia="Times New Roman" w:hAnsi="Times New Roman" w:cs="Times New Roman"/>
                <w:bCs/>
                <w:sz w:val="26"/>
                <w:szCs w:val="26"/>
              </w:rPr>
              <w:t>Total</w:t>
            </w:r>
          </w:p>
        </w:tc>
        <w:tc>
          <w:tcPr>
            <w:tcW w:w="1558" w:type="dxa"/>
            <w:vAlign w:val="bottom"/>
          </w:tcPr>
          <w:p w:rsidR="001316AC" w:rsidRPr="001316AC" w:rsidP="001316AC" w14:paraId="6FF53EDD" w14:textId="77777777">
            <w:pPr>
              <w:jc w:val="center"/>
              <w:rPr>
                <w:rFonts w:ascii="Times New Roman" w:eastAsia="Times New Roman" w:hAnsi="Times New Roman" w:cs="Times New Roman"/>
                <w:sz w:val="26"/>
                <w:szCs w:val="24"/>
              </w:rPr>
            </w:pPr>
          </w:p>
        </w:tc>
        <w:tc>
          <w:tcPr>
            <w:tcW w:w="1558" w:type="dxa"/>
            <w:vAlign w:val="bottom"/>
          </w:tcPr>
          <w:p w:rsidR="001316AC" w:rsidRPr="001316AC" w:rsidP="001316AC" w14:paraId="2E79A204" w14:textId="77777777">
            <w:pPr>
              <w:jc w:val="center"/>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1,861</w:t>
            </w:r>
          </w:p>
        </w:tc>
        <w:tc>
          <w:tcPr>
            <w:tcW w:w="1558" w:type="dxa"/>
            <w:vAlign w:val="bottom"/>
          </w:tcPr>
          <w:p w:rsidR="001316AC" w:rsidRPr="001316AC" w:rsidP="001316AC" w14:paraId="0B494581" w14:textId="77777777">
            <w:pPr>
              <w:jc w:val="right"/>
              <w:rPr>
                <w:rFonts w:ascii="Times New Roman" w:eastAsia="Times New Roman" w:hAnsi="Times New Roman" w:cs="Times New Roman"/>
                <w:sz w:val="26"/>
                <w:szCs w:val="24"/>
              </w:rPr>
            </w:pPr>
          </w:p>
        </w:tc>
        <w:tc>
          <w:tcPr>
            <w:tcW w:w="1559" w:type="dxa"/>
            <w:vAlign w:val="bottom"/>
          </w:tcPr>
          <w:p w:rsidR="001316AC" w:rsidRPr="001316AC" w:rsidP="001316AC" w14:paraId="14FC155F" w14:textId="77777777">
            <w:pPr>
              <w:spacing w:line="256" w:lineRule="auto"/>
              <w:jc w:val="right"/>
              <w:rPr>
                <w:rFonts w:ascii="Times New Roman" w:eastAsia="Times New Roman" w:hAnsi="Times New Roman" w:cs="Times New Roman"/>
                <w:bCs/>
                <w:sz w:val="26"/>
                <w:szCs w:val="26"/>
              </w:rPr>
            </w:pPr>
            <w:r w:rsidRPr="001316AC">
              <w:rPr>
                <w:rFonts w:ascii="Times New Roman" w:eastAsia="Times New Roman" w:hAnsi="Times New Roman" w:cs="Times New Roman"/>
                <w:bCs/>
                <w:sz w:val="26"/>
                <w:szCs w:val="26"/>
              </w:rPr>
              <w:t>3,722 hr.,</w:t>
            </w:r>
          </w:p>
          <w:p w:rsidR="001316AC" w:rsidRPr="001316AC" w:rsidP="001316AC" w14:paraId="25CC9722" w14:textId="77777777">
            <w:pPr>
              <w:jc w:val="right"/>
              <w:rPr>
                <w:rFonts w:ascii="Times New Roman" w:eastAsia="Times New Roman" w:hAnsi="Times New Roman" w:cs="Times New Roman"/>
                <w:sz w:val="26"/>
                <w:szCs w:val="24"/>
              </w:rPr>
            </w:pPr>
            <w:r w:rsidRPr="001316AC">
              <w:rPr>
                <w:rFonts w:ascii="Times New Roman" w:eastAsia="Times New Roman" w:hAnsi="Times New Roman" w:cs="Times New Roman"/>
                <w:bCs/>
                <w:sz w:val="26"/>
                <w:szCs w:val="26"/>
              </w:rPr>
              <w:t>263,033.74</w:t>
            </w:r>
          </w:p>
        </w:tc>
        <w:tc>
          <w:tcPr>
            <w:tcW w:w="1559" w:type="dxa"/>
            <w:vAlign w:val="bottom"/>
          </w:tcPr>
          <w:p w:rsidR="001316AC" w:rsidRPr="001316AC" w:rsidP="001316AC" w14:paraId="34CEC0FA" w14:textId="77777777">
            <w:pPr>
              <w:jc w:val="right"/>
              <w:rPr>
                <w:rFonts w:ascii="Times New Roman" w:eastAsia="Times New Roman" w:hAnsi="Times New Roman" w:cs="Times New Roman"/>
                <w:sz w:val="26"/>
                <w:szCs w:val="24"/>
              </w:rPr>
            </w:pPr>
          </w:p>
        </w:tc>
      </w:tr>
      <w:bookmarkEnd w:id="5"/>
      <w:bookmarkEnd w:id="6"/>
    </w:tbl>
    <w:p w:rsidR="001316AC" w:rsidP="001316AC" w14:paraId="4F6A692B" w14:textId="77777777">
      <w:pPr>
        <w:spacing w:after="0" w:line="240" w:lineRule="auto"/>
        <w:rPr>
          <w:rFonts w:ascii="Times New Roman" w:eastAsia="Times New Roman" w:hAnsi="Times New Roman" w:cs="Times New Roman"/>
          <w:sz w:val="26"/>
          <w:szCs w:val="24"/>
        </w:rPr>
      </w:pPr>
    </w:p>
    <w:tbl>
      <w:tblPr>
        <w:tblStyle w:val="TableGrid4"/>
        <w:tblW w:w="0" w:type="auto"/>
        <w:tblLook w:val="04A0"/>
      </w:tblPr>
      <w:tblGrid>
        <w:gridCol w:w="2988"/>
        <w:gridCol w:w="1545"/>
        <w:gridCol w:w="1549"/>
        <w:gridCol w:w="1711"/>
        <w:gridCol w:w="1557"/>
      </w:tblGrid>
      <w:tr w14:paraId="24F2314A" w14:textId="77777777" w:rsidTr="00EE524B">
        <w:tblPrEx>
          <w:tblW w:w="0" w:type="auto"/>
          <w:tblLook w:val="04A0"/>
        </w:tblPrEx>
        <w:tc>
          <w:tcPr>
            <w:tcW w:w="9350" w:type="dxa"/>
            <w:gridSpan w:val="5"/>
          </w:tcPr>
          <w:p w:rsidR="0045198A" w:rsidRPr="0045198A" w:rsidP="0045198A" w14:paraId="19AE10FE" w14:textId="77777777">
            <w:pPr>
              <w:jc w:val="center"/>
              <w:rPr>
                <w:rFonts w:ascii="Times New Roman" w:eastAsia="Times New Roman" w:hAnsi="Times New Roman" w:cs="Times New Roman"/>
                <w:b/>
                <w:bCs/>
                <w:sz w:val="26"/>
                <w:szCs w:val="24"/>
              </w:rPr>
            </w:pPr>
            <w:r w:rsidRPr="0045198A">
              <w:rPr>
                <w:rFonts w:ascii="Times New Roman" w:eastAsia="Times New Roman" w:hAnsi="Times New Roman" w:cs="Times New Roman"/>
                <w:b/>
                <w:bCs/>
                <w:iCs/>
                <w:sz w:val="26"/>
                <w:szCs w:val="24"/>
              </w:rPr>
              <w:t>Mandatory Reliability Standards:  Reliability Standard for FERC-725G (1902-0252)</w:t>
            </w:r>
          </w:p>
          <w:p w:rsidR="0045198A" w:rsidRPr="0045198A" w:rsidP="0045198A" w14:paraId="45CEADE6"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b/>
                <w:sz w:val="26"/>
                <w:szCs w:val="24"/>
              </w:rPr>
              <w:t>Annual Estimates of Respondents’ Burdens</w:t>
            </w:r>
          </w:p>
        </w:tc>
      </w:tr>
      <w:tr w14:paraId="5DBC50C1" w14:textId="77777777" w:rsidTr="00EE524B">
        <w:tblPrEx>
          <w:tblW w:w="0" w:type="auto"/>
          <w:tblLook w:val="04A0"/>
        </w:tblPrEx>
        <w:tc>
          <w:tcPr>
            <w:tcW w:w="2988" w:type="dxa"/>
            <w:vAlign w:val="center"/>
          </w:tcPr>
          <w:p w:rsidR="0045198A" w:rsidRPr="0045198A" w:rsidP="0045198A" w14:paraId="7A59AA76" w14:textId="77777777">
            <w:pPr>
              <w:rPr>
                <w:rFonts w:ascii="Times New Roman" w:eastAsia="Times New Roman" w:hAnsi="Times New Roman" w:cs="Times New Roman"/>
                <w:b/>
                <w:bCs/>
                <w:sz w:val="26"/>
                <w:szCs w:val="24"/>
              </w:rPr>
            </w:pPr>
            <w:r w:rsidRPr="0045198A">
              <w:rPr>
                <w:rFonts w:ascii="Times New Roman" w:eastAsia="Times New Roman" w:hAnsi="Times New Roman" w:cs="Times New Roman"/>
                <w:b/>
                <w:bCs/>
                <w:sz w:val="26"/>
                <w:szCs w:val="24"/>
              </w:rPr>
              <w:t>FERC-725G</w:t>
            </w:r>
          </w:p>
        </w:tc>
        <w:tc>
          <w:tcPr>
            <w:tcW w:w="1545" w:type="dxa"/>
            <w:vAlign w:val="center"/>
          </w:tcPr>
          <w:p w:rsidR="0045198A" w:rsidRPr="0045198A" w:rsidP="0045198A" w14:paraId="5CED751D" w14:textId="77777777">
            <w:pPr>
              <w:spacing w:line="256" w:lineRule="auto"/>
              <w:jc w:val="center"/>
              <w:rPr>
                <w:rFonts w:ascii="Times New Roman" w:eastAsia="Times New Roman" w:hAnsi="Times New Roman" w:cs="Times New Roman"/>
                <w:b/>
                <w:sz w:val="26"/>
                <w:szCs w:val="26"/>
              </w:rPr>
            </w:pPr>
            <w:r w:rsidRPr="0045198A">
              <w:rPr>
                <w:rFonts w:ascii="Times New Roman" w:eastAsia="Times New Roman" w:hAnsi="Times New Roman" w:cs="Times New Roman"/>
                <w:b/>
                <w:sz w:val="26"/>
                <w:szCs w:val="26"/>
              </w:rPr>
              <w:t>C.</w:t>
            </w:r>
          </w:p>
          <w:p w:rsidR="0045198A" w:rsidRPr="0045198A" w:rsidP="0045198A" w14:paraId="1CB2CA4E" w14:textId="77777777">
            <w:pPr>
              <w:rPr>
                <w:rFonts w:ascii="Times New Roman" w:eastAsia="Times New Roman" w:hAnsi="Times New Roman" w:cs="Times New Roman"/>
                <w:sz w:val="26"/>
                <w:szCs w:val="24"/>
              </w:rPr>
            </w:pPr>
            <w:r w:rsidRPr="0045198A">
              <w:rPr>
                <w:rFonts w:ascii="Times New Roman" w:eastAsia="Times New Roman" w:hAnsi="Times New Roman" w:cs="Times New Roman"/>
                <w:b/>
                <w:sz w:val="26"/>
                <w:szCs w:val="26"/>
              </w:rPr>
              <w:t>Total Annual Responses (Column A x Column B)</w:t>
            </w:r>
          </w:p>
        </w:tc>
        <w:tc>
          <w:tcPr>
            <w:tcW w:w="1549" w:type="dxa"/>
            <w:vAlign w:val="center"/>
          </w:tcPr>
          <w:p w:rsidR="0045198A" w:rsidRPr="0045198A" w:rsidP="0045198A" w14:paraId="1207D3FA" w14:textId="77777777">
            <w:pPr>
              <w:spacing w:line="256" w:lineRule="auto"/>
              <w:jc w:val="center"/>
              <w:rPr>
                <w:rFonts w:ascii="Times New Roman" w:eastAsia="Times New Roman" w:hAnsi="Times New Roman" w:cs="Times New Roman"/>
                <w:b/>
                <w:sz w:val="26"/>
                <w:szCs w:val="26"/>
              </w:rPr>
            </w:pPr>
            <w:r w:rsidRPr="0045198A">
              <w:rPr>
                <w:rFonts w:ascii="Times New Roman" w:eastAsia="Times New Roman" w:hAnsi="Times New Roman" w:cs="Times New Roman"/>
                <w:b/>
                <w:sz w:val="26"/>
                <w:szCs w:val="26"/>
              </w:rPr>
              <w:t>D.</w:t>
            </w:r>
          </w:p>
          <w:p w:rsidR="0045198A" w:rsidRPr="0045198A" w:rsidP="0045198A" w14:paraId="515BD5CB" w14:textId="77777777">
            <w:pPr>
              <w:rPr>
                <w:rFonts w:ascii="Times New Roman" w:eastAsia="Times New Roman" w:hAnsi="Times New Roman" w:cs="Times New Roman"/>
                <w:sz w:val="26"/>
                <w:szCs w:val="24"/>
              </w:rPr>
            </w:pPr>
            <w:r w:rsidRPr="0045198A">
              <w:rPr>
                <w:rFonts w:ascii="Times New Roman" w:eastAsia="Times New Roman" w:hAnsi="Times New Roman" w:cs="Times New Roman"/>
                <w:b/>
                <w:sz w:val="26"/>
                <w:szCs w:val="26"/>
              </w:rPr>
              <w:t>Total Average Burden &amp; Cost Per Response</w:t>
            </w:r>
            <w:r>
              <w:rPr>
                <w:rFonts w:ascii="Times New Roman" w:eastAsia="Times New Roman" w:hAnsi="Times New Roman" w:cs="Times New Roman"/>
                <w:sz w:val="26"/>
                <w:szCs w:val="26"/>
                <w:vertAlign w:val="superscript"/>
              </w:rPr>
              <w:footnoteReference w:id="28"/>
            </w:r>
          </w:p>
        </w:tc>
        <w:tc>
          <w:tcPr>
            <w:tcW w:w="1711" w:type="dxa"/>
            <w:vAlign w:val="center"/>
          </w:tcPr>
          <w:p w:rsidR="0045198A" w:rsidRPr="0045198A" w:rsidP="0045198A" w14:paraId="4B259A85" w14:textId="77777777">
            <w:pPr>
              <w:spacing w:line="256" w:lineRule="auto"/>
              <w:jc w:val="center"/>
              <w:rPr>
                <w:rFonts w:ascii="Times New Roman" w:eastAsia="Times New Roman" w:hAnsi="Times New Roman" w:cs="Times New Roman"/>
                <w:b/>
                <w:sz w:val="26"/>
                <w:szCs w:val="26"/>
              </w:rPr>
            </w:pPr>
            <w:r w:rsidRPr="0045198A">
              <w:rPr>
                <w:rFonts w:ascii="Times New Roman" w:eastAsia="Times New Roman" w:hAnsi="Times New Roman" w:cs="Times New Roman"/>
                <w:b/>
                <w:sz w:val="26"/>
                <w:szCs w:val="26"/>
              </w:rPr>
              <w:t>E.</w:t>
            </w:r>
          </w:p>
          <w:p w:rsidR="0045198A" w:rsidRPr="0045198A" w:rsidP="0045198A" w14:paraId="7CA5CEFB" w14:textId="77777777">
            <w:pPr>
              <w:spacing w:line="256" w:lineRule="auto"/>
              <w:jc w:val="center"/>
              <w:rPr>
                <w:rFonts w:ascii="Times New Roman" w:eastAsia="Times New Roman" w:hAnsi="Times New Roman" w:cs="Times New Roman"/>
                <w:b/>
                <w:sz w:val="26"/>
                <w:szCs w:val="26"/>
              </w:rPr>
            </w:pPr>
            <w:r w:rsidRPr="0045198A">
              <w:rPr>
                <w:rFonts w:ascii="Times New Roman" w:eastAsia="Times New Roman" w:hAnsi="Times New Roman" w:cs="Times New Roman"/>
                <w:b/>
                <w:sz w:val="26"/>
                <w:szCs w:val="26"/>
              </w:rPr>
              <w:t>Total Annual Burden Hours &amp; Total Annual Cost</w:t>
            </w:r>
          </w:p>
          <w:p w:rsidR="0045198A" w:rsidRPr="0045198A" w:rsidP="0045198A" w14:paraId="00027E41" w14:textId="77777777">
            <w:pPr>
              <w:rPr>
                <w:rFonts w:ascii="Times New Roman" w:eastAsia="Times New Roman" w:hAnsi="Times New Roman" w:cs="Times New Roman"/>
                <w:sz w:val="26"/>
                <w:szCs w:val="24"/>
              </w:rPr>
            </w:pPr>
            <w:r w:rsidRPr="0045198A">
              <w:rPr>
                <w:rFonts w:ascii="Times New Roman" w:eastAsia="Times New Roman" w:hAnsi="Times New Roman" w:cs="Times New Roman"/>
                <w:b/>
                <w:sz w:val="26"/>
                <w:szCs w:val="26"/>
              </w:rPr>
              <w:t>(Column C x Column D)</w:t>
            </w:r>
          </w:p>
        </w:tc>
        <w:tc>
          <w:tcPr>
            <w:tcW w:w="1557" w:type="dxa"/>
            <w:vAlign w:val="center"/>
          </w:tcPr>
          <w:p w:rsidR="0045198A" w:rsidRPr="0045198A" w:rsidP="0045198A" w14:paraId="7AB23BE2" w14:textId="77777777">
            <w:pPr>
              <w:spacing w:line="256" w:lineRule="auto"/>
              <w:jc w:val="center"/>
              <w:rPr>
                <w:rFonts w:ascii="Times New Roman" w:eastAsia="Times New Roman" w:hAnsi="Times New Roman" w:cs="Times New Roman"/>
                <w:b/>
                <w:sz w:val="26"/>
                <w:szCs w:val="26"/>
              </w:rPr>
            </w:pPr>
            <w:r w:rsidRPr="0045198A">
              <w:rPr>
                <w:rFonts w:ascii="Times New Roman" w:eastAsia="Times New Roman" w:hAnsi="Times New Roman" w:cs="Times New Roman"/>
                <w:b/>
                <w:sz w:val="26"/>
                <w:szCs w:val="26"/>
              </w:rPr>
              <w:t>F.</w:t>
            </w:r>
          </w:p>
          <w:p w:rsidR="0045198A" w:rsidRPr="0045198A" w:rsidP="0045198A" w14:paraId="22B036C1" w14:textId="77777777">
            <w:pPr>
              <w:spacing w:line="256" w:lineRule="auto"/>
              <w:jc w:val="center"/>
              <w:rPr>
                <w:rFonts w:ascii="Times New Roman" w:eastAsia="Times New Roman" w:hAnsi="Times New Roman" w:cs="Times New Roman"/>
                <w:b/>
                <w:sz w:val="26"/>
                <w:szCs w:val="26"/>
              </w:rPr>
            </w:pPr>
            <w:r w:rsidRPr="0045198A">
              <w:rPr>
                <w:rFonts w:ascii="Times New Roman" w:eastAsia="Times New Roman" w:hAnsi="Times New Roman" w:cs="Times New Roman"/>
                <w:b/>
                <w:sz w:val="26"/>
                <w:szCs w:val="26"/>
              </w:rPr>
              <w:t>Cost per Respondent</w:t>
            </w:r>
          </w:p>
          <w:p w:rsidR="0045198A" w:rsidRPr="0045198A" w:rsidP="0045198A" w14:paraId="5D314FDF" w14:textId="77777777">
            <w:pPr>
              <w:spacing w:line="256" w:lineRule="auto"/>
              <w:jc w:val="center"/>
              <w:rPr>
                <w:rFonts w:ascii="Times New Roman" w:eastAsia="Times New Roman" w:hAnsi="Times New Roman" w:cs="Times New Roman"/>
                <w:b/>
                <w:sz w:val="26"/>
                <w:szCs w:val="26"/>
              </w:rPr>
            </w:pPr>
            <w:r w:rsidRPr="0045198A">
              <w:rPr>
                <w:rFonts w:ascii="Times New Roman" w:eastAsia="Times New Roman" w:hAnsi="Times New Roman" w:cs="Times New Roman"/>
                <w:b/>
                <w:sz w:val="26"/>
                <w:szCs w:val="26"/>
              </w:rPr>
              <w:t>($)</w:t>
            </w:r>
          </w:p>
          <w:p w:rsidR="0045198A" w:rsidRPr="0045198A" w:rsidP="0045198A" w14:paraId="47D1FBF9" w14:textId="77777777">
            <w:pPr>
              <w:rPr>
                <w:rFonts w:ascii="Times New Roman" w:eastAsia="Times New Roman" w:hAnsi="Times New Roman" w:cs="Times New Roman"/>
                <w:sz w:val="26"/>
                <w:szCs w:val="24"/>
              </w:rPr>
            </w:pPr>
            <w:r w:rsidRPr="0045198A">
              <w:rPr>
                <w:rFonts w:ascii="Times New Roman" w:eastAsia="Times New Roman" w:hAnsi="Times New Roman" w:cs="Times New Roman"/>
                <w:b/>
                <w:sz w:val="26"/>
                <w:szCs w:val="26"/>
              </w:rPr>
              <w:t>(Column E ÷ Column A)</w:t>
            </w:r>
          </w:p>
        </w:tc>
      </w:tr>
      <w:tr w14:paraId="141B04DB" w14:textId="77777777" w:rsidTr="00EE524B">
        <w:tblPrEx>
          <w:tblW w:w="0" w:type="auto"/>
          <w:tblLook w:val="04A0"/>
        </w:tblPrEx>
        <w:tc>
          <w:tcPr>
            <w:tcW w:w="2988" w:type="dxa"/>
            <w:vAlign w:val="bottom"/>
          </w:tcPr>
          <w:p w:rsidR="0045198A" w:rsidRPr="0045198A" w:rsidP="0045198A" w14:paraId="1C72D907"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FERC-725-G1</w:t>
            </w:r>
          </w:p>
          <w:p w:rsidR="0045198A" w:rsidRPr="0045198A" w:rsidP="0045198A" w14:paraId="7CFC9E02"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Total PRC-004-6</w:t>
            </w:r>
          </w:p>
        </w:tc>
        <w:tc>
          <w:tcPr>
            <w:tcW w:w="1545" w:type="dxa"/>
            <w:vAlign w:val="bottom"/>
          </w:tcPr>
          <w:p w:rsidR="0045198A" w:rsidRPr="0045198A" w:rsidP="0045198A" w14:paraId="0246A2F9"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bCs/>
                <w:iCs/>
                <w:sz w:val="26"/>
                <w:szCs w:val="26"/>
              </w:rPr>
              <w:t>930</w:t>
            </w:r>
          </w:p>
        </w:tc>
        <w:tc>
          <w:tcPr>
            <w:tcW w:w="1549" w:type="dxa"/>
            <w:vAlign w:val="bottom"/>
          </w:tcPr>
          <w:p w:rsidR="0045198A" w:rsidRPr="0045198A" w:rsidP="0045198A" w14:paraId="6AE6E1D4" w14:textId="77777777">
            <w:pPr>
              <w:spacing w:line="256" w:lineRule="auto"/>
              <w:jc w:val="right"/>
              <w:rPr>
                <w:rFonts w:ascii="Times New Roman" w:eastAsia="Times New Roman" w:hAnsi="Times New Roman" w:cs="Times New Roman"/>
                <w:bCs/>
                <w:iCs/>
                <w:sz w:val="26"/>
                <w:szCs w:val="26"/>
              </w:rPr>
            </w:pPr>
            <w:r w:rsidRPr="0045198A">
              <w:rPr>
                <w:rFonts w:ascii="Times New Roman" w:eastAsia="Times New Roman" w:hAnsi="Times New Roman" w:cs="Times New Roman"/>
                <w:bCs/>
                <w:iCs/>
                <w:sz w:val="26"/>
                <w:szCs w:val="26"/>
              </w:rPr>
              <w:t xml:space="preserve">16 </w:t>
            </w:r>
            <w:r w:rsidRPr="0045198A">
              <w:rPr>
                <w:rFonts w:ascii="Times New Roman" w:eastAsia="Times New Roman" w:hAnsi="Times New Roman" w:cs="Times New Roman"/>
                <w:bCs/>
                <w:iCs/>
                <w:sz w:val="26"/>
                <w:szCs w:val="26"/>
              </w:rPr>
              <w:t>hrs.;</w:t>
            </w:r>
          </w:p>
          <w:p w:rsidR="0045198A" w:rsidRPr="0045198A" w:rsidP="0045198A" w14:paraId="367264C6"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bCs/>
                <w:iCs/>
                <w:sz w:val="26"/>
                <w:szCs w:val="26"/>
              </w:rPr>
              <w:t>$1,130.72</w:t>
            </w:r>
          </w:p>
        </w:tc>
        <w:tc>
          <w:tcPr>
            <w:tcW w:w="1711" w:type="dxa"/>
            <w:vAlign w:val="bottom"/>
          </w:tcPr>
          <w:p w:rsidR="0045198A" w:rsidRPr="0045198A" w:rsidP="0045198A" w14:paraId="5D90D9EB" w14:textId="77777777">
            <w:pPr>
              <w:spacing w:line="256" w:lineRule="auto"/>
              <w:jc w:val="right"/>
              <w:rPr>
                <w:rFonts w:ascii="Times New Roman" w:eastAsia="Times New Roman" w:hAnsi="Times New Roman" w:cs="Times New Roman"/>
                <w:bCs/>
                <w:iCs/>
                <w:sz w:val="26"/>
                <w:szCs w:val="26"/>
              </w:rPr>
            </w:pPr>
            <w:r w:rsidRPr="0045198A">
              <w:rPr>
                <w:rFonts w:ascii="Times New Roman" w:eastAsia="Times New Roman" w:hAnsi="Times New Roman" w:cs="Times New Roman"/>
                <w:bCs/>
                <w:iCs/>
                <w:sz w:val="26"/>
                <w:szCs w:val="26"/>
              </w:rPr>
              <w:t xml:space="preserve">14,880 </w:t>
            </w:r>
            <w:r w:rsidRPr="0045198A">
              <w:rPr>
                <w:rFonts w:ascii="Times New Roman" w:eastAsia="Times New Roman" w:hAnsi="Times New Roman" w:cs="Times New Roman"/>
                <w:bCs/>
                <w:iCs/>
                <w:sz w:val="26"/>
                <w:szCs w:val="26"/>
              </w:rPr>
              <w:t>hrs.;</w:t>
            </w:r>
          </w:p>
          <w:p w:rsidR="0045198A" w:rsidRPr="0045198A" w:rsidP="0045198A" w14:paraId="1904EBFB" w14:textId="77777777">
            <w:pPr>
              <w:spacing w:line="256" w:lineRule="auto"/>
              <w:jc w:val="right"/>
              <w:rPr>
                <w:rFonts w:ascii="Times New Roman" w:eastAsia="Times New Roman" w:hAnsi="Times New Roman" w:cs="Times New Roman"/>
                <w:bCs/>
                <w:iCs/>
                <w:sz w:val="26"/>
                <w:szCs w:val="26"/>
              </w:rPr>
            </w:pPr>
            <w:r w:rsidRPr="0045198A">
              <w:rPr>
                <w:rFonts w:ascii="Times New Roman" w:eastAsia="Times New Roman" w:hAnsi="Times New Roman" w:cs="Times New Roman"/>
                <w:bCs/>
                <w:iCs/>
                <w:sz w:val="26"/>
                <w:szCs w:val="26"/>
              </w:rPr>
              <w:t>$1,051,569.60</w:t>
            </w:r>
          </w:p>
        </w:tc>
        <w:tc>
          <w:tcPr>
            <w:tcW w:w="1557" w:type="dxa"/>
            <w:vAlign w:val="bottom"/>
          </w:tcPr>
          <w:p w:rsidR="0045198A" w:rsidRPr="0045198A" w:rsidP="0045198A" w14:paraId="6CDDCD54"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bCs/>
                <w:iCs/>
                <w:sz w:val="26"/>
                <w:szCs w:val="26"/>
              </w:rPr>
              <w:t>$1,130.72</w:t>
            </w:r>
          </w:p>
        </w:tc>
      </w:tr>
      <w:tr w14:paraId="25FDD6C4" w14:textId="77777777" w:rsidTr="00EE524B">
        <w:tblPrEx>
          <w:tblW w:w="0" w:type="auto"/>
          <w:tblLook w:val="04A0"/>
        </w:tblPrEx>
        <w:tc>
          <w:tcPr>
            <w:tcW w:w="2988" w:type="dxa"/>
            <w:vAlign w:val="bottom"/>
          </w:tcPr>
          <w:p w:rsidR="0045198A" w:rsidRPr="0045198A" w:rsidP="0045198A" w14:paraId="6B960A6A"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FERC-725-G4</w:t>
            </w:r>
          </w:p>
          <w:p w:rsidR="0045198A" w:rsidRPr="0045198A" w:rsidP="0045198A" w14:paraId="761A81EF"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Total PRC-010-2</w:t>
            </w:r>
          </w:p>
        </w:tc>
        <w:tc>
          <w:tcPr>
            <w:tcW w:w="1545" w:type="dxa"/>
            <w:vAlign w:val="bottom"/>
          </w:tcPr>
          <w:p w:rsidR="0045198A" w:rsidRPr="0045198A" w:rsidP="0045198A" w14:paraId="71F7B0B9"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bCs/>
                <w:sz w:val="26"/>
                <w:szCs w:val="26"/>
              </w:rPr>
              <w:t>31</w:t>
            </w:r>
          </w:p>
        </w:tc>
        <w:tc>
          <w:tcPr>
            <w:tcW w:w="1549" w:type="dxa"/>
            <w:vAlign w:val="bottom"/>
          </w:tcPr>
          <w:p w:rsidR="0045198A" w:rsidRPr="0045198A" w:rsidP="0045198A" w14:paraId="46438FA2" w14:textId="77777777">
            <w:pPr>
              <w:spacing w:line="256" w:lineRule="auto"/>
              <w:jc w:val="right"/>
              <w:rPr>
                <w:rFonts w:ascii="Times New Roman" w:eastAsia="Times New Roman" w:hAnsi="Times New Roman" w:cs="Times New Roman"/>
                <w:bCs/>
                <w:sz w:val="26"/>
                <w:szCs w:val="26"/>
              </w:rPr>
            </w:pPr>
            <w:r w:rsidRPr="0045198A">
              <w:rPr>
                <w:rFonts w:ascii="Times New Roman" w:eastAsia="Times New Roman" w:hAnsi="Times New Roman" w:cs="Times New Roman"/>
                <w:bCs/>
                <w:sz w:val="26"/>
                <w:szCs w:val="26"/>
              </w:rPr>
              <w:t xml:space="preserve">48 </w:t>
            </w:r>
            <w:r w:rsidRPr="0045198A">
              <w:rPr>
                <w:rFonts w:ascii="Times New Roman" w:eastAsia="Times New Roman" w:hAnsi="Times New Roman" w:cs="Times New Roman"/>
                <w:bCs/>
                <w:sz w:val="26"/>
                <w:szCs w:val="26"/>
              </w:rPr>
              <w:t>hrs.;</w:t>
            </w:r>
          </w:p>
          <w:p w:rsidR="0045198A" w:rsidRPr="0045198A" w:rsidP="0045198A" w14:paraId="28EA1F62"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bCs/>
                <w:sz w:val="26"/>
                <w:szCs w:val="26"/>
              </w:rPr>
              <w:t>$3,392.16</w:t>
            </w:r>
          </w:p>
        </w:tc>
        <w:tc>
          <w:tcPr>
            <w:tcW w:w="1711" w:type="dxa"/>
            <w:vAlign w:val="bottom"/>
          </w:tcPr>
          <w:p w:rsidR="0045198A" w:rsidRPr="0045198A" w:rsidP="0045198A" w14:paraId="38C2AACC" w14:textId="77777777">
            <w:pPr>
              <w:spacing w:line="256" w:lineRule="auto"/>
              <w:jc w:val="right"/>
              <w:rPr>
                <w:rFonts w:ascii="Times New Roman" w:eastAsia="Times New Roman" w:hAnsi="Times New Roman" w:cs="Times New Roman"/>
                <w:bCs/>
                <w:sz w:val="26"/>
                <w:szCs w:val="26"/>
              </w:rPr>
            </w:pPr>
            <w:r w:rsidRPr="0045198A">
              <w:rPr>
                <w:rFonts w:ascii="Times New Roman" w:eastAsia="Times New Roman" w:hAnsi="Times New Roman" w:cs="Times New Roman"/>
                <w:bCs/>
                <w:sz w:val="26"/>
                <w:szCs w:val="26"/>
              </w:rPr>
              <w:t xml:space="preserve">1,488 </w:t>
            </w:r>
            <w:r w:rsidRPr="0045198A">
              <w:rPr>
                <w:rFonts w:ascii="Times New Roman" w:eastAsia="Times New Roman" w:hAnsi="Times New Roman" w:cs="Times New Roman"/>
                <w:bCs/>
                <w:sz w:val="26"/>
                <w:szCs w:val="26"/>
              </w:rPr>
              <w:t>hrs.;</w:t>
            </w:r>
          </w:p>
          <w:p w:rsidR="0045198A" w:rsidRPr="0045198A" w:rsidP="0045198A" w14:paraId="1F1F36CB"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bCs/>
                <w:sz w:val="26"/>
                <w:szCs w:val="26"/>
              </w:rPr>
              <w:t>$105,156.96</w:t>
            </w:r>
          </w:p>
        </w:tc>
        <w:tc>
          <w:tcPr>
            <w:tcW w:w="1557" w:type="dxa"/>
            <w:vAlign w:val="bottom"/>
          </w:tcPr>
          <w:p w:rsidR="0045198A" w:rsidRPr="0045198A" w:rsidP="0045198A" w14:paraId="0B85C5B1"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bCs/>
                <w:sz w:val="26"/>
                <w:szCs w:val="26"/>
              </w:rPr>
              <w:t>$3,392.16</w:t>
            </w:r>
          </w:p>
        </w:tc>
      </w:tr>
      <w:tr w14:paraId="6F9D4BFB" w14:textId="77777777" w:rsidTr="00EE524B">
        <w:tblPrEx>
          <w:tblW w:w="0" w:type="auto"/>
          <w:tblLook w:val="04A0"/>
        </w:tblPrEx>
        <w:tc>
          <w:tcPr>
            <w:tcW w:w="2988" w:type="dxa"/>
            <w:vAlign w:val="bottom"/>
          </w:tcPr>
          <w:p w:rsidR="0045198A" w:rsidRPr="0045198A" w:rsidP="0045198A" w14:paraId="1624F147"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FERC-725-P1</w:t>
            </w:r>
          </w:p>
          <w:p w:rsidR="0045198A" w:rsidRPr="0045198A" w:rsidP="0045198A" w14:paraId="2248DCA1"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Total PRC-005-6</w:t>
            </w:r>
          </w:p>
        </w:tc>
        <w:tc>
          <w:tcPr>
            <w:tcW w:w="1545" w:type="dxa"/>
            <w:vAlign w:val="bottom"/>
          </w:tcPr>
          <w:p w:rsidR="0045198A" w:rsidRPr="0045198A" w:rsidP="0045198A" w14:paraId="6044C9EE"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bCs/>
                <w:sz w:val="26"/>
                <w:szCs w:val="26"/>
              </w:rPr>
              <w:t>1,861</w:t>
            </w:r>
          </w:p>
        </w:tc>
        <w:tc>
          <w:tcPr>
            <w:tcW w:w="1549" w:type="dxa"/>
            <w:vAlign w:val="bottom"/>
          </w:tcPr>
          <w:p w:rsidR="0045198A" w:rsidRPr="0045198A" w:rsidP="0045198A" w14:paraId="4A038734"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 xml:space="preserve">2 </w:t>
            </w:r>
            <w:r w:rsidRPr="0045198A">
              <w:rPr>
                <w:rFonts w:ascii="Times New Roman" w:eastAsia="Times New Roman" w:hAnsi="Times New Roman" w:cs="Times New Roman"/>
                <w:sz w:val="26"/>
                <w:szCs w:val="24"/>
              </w:rPr>
              <w:t>hrs.;</w:t>
            </w:r>
          </w:p>
          <w:p w:rsidR="0045198A" w:rsidRPr="0045198A" w:rsidP="0045198A" w14:paraId="0466A445"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$141.34</w:t>
            </w:r>
          </w:p>
        </w:tc>
        <w:tc>
          <w:tcPr>
            <w:tcW w:w="1711" w:type="dxa"/>
            <w:vAlign w:val="bottom"/>
          </w:tcPr>
          <w:p w:rsidR="0045198A" w:rsidRPr="0045198A" w:rsidP="0045198A" w14:paraId="70B89E64" w14:textId="12A8FF58">
            <w:pPr>
              <w:spacing w:line="256" w:lineRule="auto"/>
              <w:jc w:val="right"/>
              <w:rPr>
                <w:rFonts w:ascii="Times New Roman" w:eastAsia="Times New Roman" w:hAnsi="Times New Roman" w:cs="Times New Roman"/>
                <w:bCs/>
                <w:sz w:val="26"/>
                <w:szCs w:val="26"/>
              </w:rPr>
            </w:pPr>
            <w:r w:rsidRPr="0045198A">
              <w:rPr>
                <w:rFonts w:ascii="Times New Roman" w:eastAsia="Times New Roman" w:hAnsi="Times New Roman" w:cs="Times New Roman"/>
                <w:bCs/>
                <w:sz w:val="26"/>
                <w:szCs w:val="26"/>
              </w:rPr>
              <w:t xml:space="preserve">3,722 </w:t>
            </w:r>
            <w:r w:rsidRPr="0045198A">
              <w:rPr>
                <w:rFonts w:ascii="Times New Roman" w:eastAsia="Times New Roman" w:hAnsi="Times New Roman" w:cs="Times New Roman"/>
                <w:bCs/>
                <w:sz w:val="26"/>
                <w:szCs w:val="26"/>
              </w:rPr>
              <w:t>hr</w:t>
            </w:r>
            <w:r w:rsidR="007162BA">
              <w:rPr>
                <w:rFonts w:ascii="Times New Roman" w:eastAsia="Times New Roman" w:hAnsi="Times New Roman" w:cs="Times New Roman"/>
                <w:bCs/>
                <w:sz w:val="26"/>
                <w:szCs w:val="26"/>
              </w:rPr>
              <w:t>s</w:t>
            </w:r>
            <w:r w:rsidRPr="0045198A">
              <w:rPr>
                <w:rFonts w:ascii="Times New Roman" w:eastAsia="Times New Roman" w:hAnsi="Times New Roman" w:cs="Times New Roman"/>
                <w:bCs/>
                <w:sz w:val="26"/>
                <w:szCs w:val="26"/>
              </w:rPr>
              <w:t>.</w:t>
            </w:r>
            <w:r w:rsidR="007162BA">
              <w:rPr>
                <w:rFonts w:ascii="Times New Roman" w:eastAsia="Times New Roman" w:hAnsi="Times New Roman" w:cs="Times New Roman"/>
                <w:bCs/>
                <w:sz w:val="26"/>
                <w:szCs w:val="26"/>
              </w:rPr>
              <w:t>;</w:t>
            </w:r>
          </w:p>
          <w:p w:rsidR="0045198A" w:rsidRPr="0045198A" w:rsidP="0045198A" w14:paraId="75A14C6C" w14:textId="1CED5FB7">
            <w:pPr>
              <w:jc w:val="right"/>
              <w:rPr>
                <w:rFonts w:ascii="Times New Roman" w:eastAsia="Times New Roman" w:hAnsi="Times New Roman" w:cs="Times New Roman"/>
                <w:sz w:val="26"/>
                <w:szCs w:val="24"/>
              </w:rPr>
            </w:pPr>
            <w:r>
              <w:rPr>
                <w:rFonts w:ascii="Times New Roman" w:eastAsia="Times New Roman" w:hAnsi="Times New Roman" w:cs="Times New Roman"/>
                <w:bCs/>
                <w:sz w:val="26"/>
                <w:szCs w:val="26"/>
              </w:rPr>
              <w:t>$</w:t>
            </w:r>
            <w:r w:rsidRPr="0045198A">
              <w:rPr>
                <w:rFonts w:ascii="Times New Roman" w:eastAsia="Times New Roman" w:hAnsi="Times New Roman" w:cs="Times New Roman"/>
                <w:bCs/>
                <w:sz w:val="26"/>
                <w:szCs w:val="26"/>
              </w:rPr>
              <w:t>263,033.74</w:t>
            </w:r>
          </w:p>
        </w:tc>
        <w:tc>
          <w:tcPr>
            <w:tcW w:w="1557" w:type="dxa"/>
            <w:vAlign w:val="bottom"/>
          </w:tcPr>
          <w:p w:rsidR="0045198A" w:rsidRPr="0045198A" w:rsidP="0045198A" w14:paraId="47FDD33B" w14:textId="77777777">
            <w:pPr>
              <w:jc w:val="right"/>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$141.34</w:t>
            </w:r>
          </w:p>
        </w:tc>
      </w:tr>
      <w:tr w14:paraId="397C104E" w14:textId="77777777" w:rsidTr="00EE524B">
        <w:tblPrEx>
          <w:tblW w:w="0" w:type="auto"/>
          <w:tblLook w:val="04A0"/>
        </w:tblPrEx>
        <w:tc>
          <w:tcPr>
            <w:tcW w:w="2988" w:type="dxa"/>
            <w:vAlign w:val="bottom"/>
          </w:tcPr>
          <w:p w:rsidR="003B2ED0" w:rsidP="0045198A" w14:paraId="648AC554" w14:textId="77777777">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FERC</w:t>
            </w:r>
            <w:r>
              <w:rPr>
                <w:rFonts w:ascii="Times New Roman" w:eastAsia="Times New Roman" w:hAnsi="Times New Roman" w:cs="Times New Roman"/>
                <w:sz w:val="26"/>
                <w:szCs w:val="24"/>
              </w:rPr>
              <w:t>-725A</w:t>
            </w:r>
          </w:p>
          <w:p w:rsidR="002F3603" w:rsidRPr="0045198A" w:rsidP="0045198A" w14:paraId="5C8C6FE2" w14:textId="0E743557">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Total PRC-008-0</w:t>
            </w:r>
          </w:p>
        </w:tc>
        <w:tc>
          <w:tcPr>
            <w:tcW w:w="1545" w:type="dxa"/>
            <w:vAlign w:val="bottom"/>
          </w:tcPr>
          <w:p w:rsidR="002F3603" w:rsidRPr="0045198A" w:rsidP="0045198A" w14:paraId="12AD1309" w14:textId="05FA7C0E">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695</w:t>
            </w:r>
          </w:p>
        </w:tc>
        <w:tc>
          <w:tcPr>
            <w:tcW w:w="1549" w:type="dxa"/>
            <w:vAlign w:val="bottom"/>
          </w:tcPr>
          <w:p w:rsidR="002F3603" w:rsidP="0045198A" w14:paraId="0A0B44E9" w14:textId="77777777">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24 </w:t>
            </w:r>
            <w:r>
              <w:rPr>
                <w:rFonts w:ascii="Times New Roman" w:eastAsia="Times New Roman" w:hAnsi="Times New Roman" w:cs="Times New Roman"/>
                <w:sz w:val="26"/>
                <w:szCs w:val="24"/>
              </w:rPr>
              <w:t>hrs.</w:t>
            </w:r>
            <w:r w:rsidR="00156912">
              <w:rPr>
                <w:rFonts w:ascii="Times New Roman" w:eastAsia="Times New Roman" w:hAnsi="Times New Roman" w:cs="Times New Roman"/>
                <w:sz w:val="26"/>
                <w:szCs w:val="24"/>
              </w:rPr>
              <w:t>;</w:t>
            </w:r>
          </w:p>
          <w:p w:rsidR="00B426C5" w:rsidRPr="0045198A" w:rsidP="0045198A" w14:paraId="14C00342" w14:textId="491A37D0">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$1,696.08</w:t>
            </w:r>
          </w:p>
        </w:tc>
        <w:tc>
          <w:tcPr>
            <w:tcW w:w="1711" w:type="dxa"/>
            <w:vAlign w:val="bottom"/>
          </w:tcPr>
          <w:p w:rsidR="002F3603" w:rsidP="0045198A" w14:paraId="2AC987A6" w14:textId="77777777">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16,680 </w:t>
            </w:r>
            <w:r>
              <w:rPr>
                <w:rFonts w:ascii="Times New Roman" w:eastAsia="Times New Roman" w:hAnsi="Times New Roman" w:cs="Times New Roman"/>
                <w:bCs/>
                <w:sz w:val="26"/>
                <w:szCs w:val="26"/>
              </w:rPr>
              <w:t>hr</w:t>
            </w:r>
            <w:r w:rsidR="007162BA">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w:t>
            </w:r>
            <w:r w:rsidR="007162BA">
              <w:rPr>
                <w:rFonts w:ascii="Times New Roman" w:eastAsia="Times New Roman" w:hAnsi="Times New Roman" w:cs="Times New Roman"/>
                <w:bCs/>
                <w:sz w:val="26"/>
                <w:szCs w:val="26"/>
              </w:rPr>
              <w:t>;</w:t>
            </w:r>
          </w:p>
          <w:p w:rsidR="00D33BBF" w:rsidRPr="0045198A" w:rsidP="0045198A" w14:paraId="2549BD4A" w14:textId="71617AE2">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$1,178,775.60</w:t>
            </w:r>
          </w:p>
        </w:tc>
        <w:tc>
          <w:tcPr>
            <w:tcW w:w="1557" w:type="dxa"/>
            <w:vAlign w:val="bottom"/>
          </w:tcPr>
          <w:p w:rsidR="002F3603" w:rsidRPr="0045198A" w:rsidP="0045198A" w14:paraId="18EF9035" w14:textId="55AA2940">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$1,696.08</w:t>
            </w:r>
          </w:p>
        </w:tc>
      </w:tr>
      <w:tr w14:paraId="7D35B21C" w14:textId="77777777" w:rsidTr="00EE524B">
        <w:tblPrEx>
          <w:tblW w:w="0" w:type="auto"/>
          <w:tblLook w:val="04A0"/>
        </w:tblPrEx>
        <w:tc>
          <w:tcPr>
            <w:tcW w:w="2988" w:type="dxa"/>
            <w:vAlign w:val="bottom"/>
          </w:tcPr>
          <w:p w:rsidR="00F769EE" w:rsidP="0045198A" w14:paraId="12874B96" w14:textId="77777777">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FERC-725A </w:t>
            </w:r>
          </w:p>
          <w:p w:rsidR="002F3603" w:rsidP="0045198A" w14:paraId="4797B66A" w14:textId="509F8392">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Total PRC-011-</w:t>
            </w:r>
            <w:r w:rsidR="00F769EE">
              <w:rPr>
                <w:rFonts w:ascii="Times New Roman" w:eastAsia="Times New Roman" w:hAnsi="Times New Roman" w:cs="Times New Roman"/>
                <w:sz w:val="26"/>
                <w:szCs w:val="24"/>
              </w:rPr>
              <w:t>0</w:t>
            </w:r>
          </w:p>
        </w:tc>
        <w:tc>
          <w:tcPr>
            <w:tcW w:w="1545" w:type="dxa"/>
            <w:vAlign w:val="bottom"/>
          </w:tcPr>
          <w:p w:rsidR="002F3603" w:rsidRPr="0045198A" w:rsidP="0045198A" w14:paraId="223DE3A4" w14:textId="1B6EDD4A">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r w:rsidR="00156912">
              <w:rPr>
                <w:rFonts w:ascii="Times New Roman" w:eastAsia="Times New Roman" w:hAnsi="Times New Roman" w:cs="Times New Roman"/>
                <w:bCs/>
                <w:sz w:val="26"/>
                <w:szCs w:val="26"/>
              </w:rPr>
              <w:t>43</w:t>
            </w:r>
          </w:p>
        </w:tc>
        <w:tc>
          <w:tcPr>
            <w:tcW w:w="1549" w:type="dxa"/>
            <w:vAlign w:val="bottom"/>
          </w:tcPr>
          <w:p w:rsidR="002F3603" w:rsidP="0045198A" w14:paraId="4E4CE6F7" w14:textId="77777777">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24 </w:t>
            </w:r>
            <w:r>
              <w:rPr>
                <w:rFonts w:ascii="Times New Roman" w:eastAsia="Times New Roman" w:hAnsi="Times New Roman" w:cs="Times New Roman"/>
                <w:sz w:val="26"/>
                <w:szCs w:val="24"/>
              </w:rPr>
              <w:t>hrs.;</w:t>
            </w:r>
          </w:p>
          <w:p w:rsidR="00B426C5" w:rsidRPr="0045198A" w:rsidP="0045198A" w14:paraId="3B52C9F8" w14:textId="44514039">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$1,696.08</w:t>
            </w:r>
          </w:p>
        </w:tc>
        <w:tc>
          <w:tcPr>
            <w:tcW w:w="1711" w:type="dxa"/>
            <w:vAlign w:val="bottom"/>
          </w:tcPr>
          <w:p w:rsidR="002F3603" w:rsidP="0045198A" w14:paraId="7140E26E" w14:textId="77777777">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5,832 </w:t>
            </w:r>
            <w:r>
              <w:rPr>
                <w:rFonts w:ascii="Times New Roman" w:eastAsia="Times New Roman" w:hAnsi="Times New Roman" w:cs="Times New Roman"/>
                <w:bCs/>
                <w:sz w:val="26"/>
                <w:szCs w:val="26"/>
              </w:rPr>
              <w:t>hrs.;</w:t>
            </w:r>
          </w:p>
          <w:p w:rsidR="00D33BBF" w:rsidRPr="0045198A" w:rsidP="0045198A" w14:paraId="721AFC31" w14:textId="5197248C">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$412,147.44</w:t>
            </w:r>
          </w:p>
        </w:tc>
        <w:tc>
          <w:tcPr>
            <w:tcW w:w="1557" w:type="dxa"/>
            <w:vAlign w:val="bottom"/>
          </w:tcPr>
          <w:p w:rsidR="002F3603" w:rsidP="0045198A" w14:paraId="1049E07C" w14:textId="6C4401BC">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$1,696.08</w:t>
            </w:r>
          </w:p>
        </w:tc>
      </w:tr>
      <w:tr w14:paraId="513EA92E" w14:textId="77777777" w:rsidTr="00EE524B">
        <w:tblPrEx>
          <w:tblW w:w="0" w:type="auto"/>
          <w:tblLook w:val="04A0"/>
        </w:tblPrEx>
        <w:tc>
          <w:tcPr>
            <w:tcW w:w="2988" w:type="dxa"/>
            <w:vAlign w:val="bottom"/>
          </w:tcPr>
          <w:p w:rsidR="00F769EE" w:rsidP="0045198A" w14:paraId="3D91182A" w14:textId="76082365">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FERC-725A</w:t>
            </w:r>
            <w:r w:rsidR="00C927B3">
              <w:rPr>
                <w:rFonts w:ascii="Times New Roman" w:eastAsia="Times New Roman" w:hAnsi="Times New Roman" w:cs="Times New Roman"/>
                <w:sz w:val="26"/>
                <w:szCs w:val="24"/>
              </w:rPr>
              <w:t xml:space="preserve"> </w:t>
            </w:r>
            <w:r w:rsidR="00470CCF">
              <w:rPr>
                <w:rFonts w:ascii="Times New Roman" w:eastAsia="Times New Roman" w:hAnsi="Times New Roman" w:cs="Times New Roman"/>
                <w:sz w:val="26"/>
                <w:szCs w:val="24"/>
              </w:rPr>
              <w:t xml:space="preserve">(DP </w:t>
            </w:r>
            <w:r w:rsidR="00C927B3">
              <w:rPr>
                <w:rFonts w:ascii="Times New Roman" w:eastAsia="Times New Roman" w:hAnsi="Times New Roman" w:cs="Times New Roman"/>
                <w:sz w:val="26"/>
                <w:szCs w:val="24"/>
              </w:rPr>
              <w:t>and GO</w:t>
            </w:r>
            <w:r w:rsidR="00470CCF">
              <w:rPr>
                <w:rFonts w:ascii="Times New Roman" w:eastAsia="Times New Roman" w:hAnsi="Times New Roman" w:cs="Times New Roman"/>
                <w:sz w:val="26"/>
                <w:szCs w:val="24"/>
              </w:rPr>
              <w:t>)</w:t>
            </w:r>
          </w:p>
          <w:p w:rsidR="002F3603" w:rsidP="0045198A" w14:paraId="69EAC328" w14:textId="094A6D91">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Total PRC-</w:t>
            </w:r>
            <w:r w:rsidR="00DE7E23">
              <w:rPr>
                <w:rFonts w:ascii="Times New Roman" w:eastAsia="Times New Roman" w:hAnsi="Times New Roman" w:cs="Times New Roman"/>
                <w:sz w:val="26"/>
                <w:szCs w:val="24"/>
              </w:rPr>
              <w:t>017-1</w:t>
            </w:r>
          </w:p>
        </w:tc>
        <w:tc>
          <w:tcPr>
            <w:tcW w:w="1545" w:type="dxa"/>
            <w:vAlign w:val="bottom"/>
          </w:tcPr>
          <w:p w:rsidR="002F3603" w:rsidRPr="0045198A" w:rsidP="0045198A" w14:paraId="6E4DC1CD" w14:textId="4C6FD485">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1,581</w:t>
            </w:r>
          </w:p>
        </w:tc>
        <w:tc>
          <w:tcPr>
            <w:tcW w:w="1549" w:type="dxa"/>
            <w:vAlign w:val="bottom"/>
          </w:tcPr>
          <w:p w:rsidR="002F3603" w:rsidP="0045198A" w14:paraId="32247DBB" w14:textId="77777777">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24 </w:t>
            </w:r>
            <w:r>
              <w:rPr>
                <w:rFonts w:ascii="Times New Roman" w:eastAsia="Times New Roman" w:hAnsi="Times New Roman" w:cs="Times New Roman"/>
                <w:sz w:val="26"/>
                <w:szCs w:val="24"/>
              </w:rPr>
              <w:t>hrs.;</w:t>
            </w:r>
          </w:p>
          <w:p w:rsidR="00BE6364" w:rsidRPr="0045198A" w:rsidP="0045198A" w14:paraId="3810C15F" w14:textId="5B3F0308">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$1,696.08</w:t>
            </w:r>
          </w:p>
        </w:tc>
        <w:tc>
          <w:tcPr>
            <w:tcW w:w="1711" w:type="dxa"/>
            <w:vAlign w:val="bottom"/>
          </w:tcPr>
          <w:p w:rsidR="005A0CC0" w:rsidP="0045198A" w14:paraId="3B4E0DA1" w14:textId="77777777">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37,944</w:t>
            </w:r>
            <w:r>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hrs.;</w:t>
            </w:r>
          </w:p>
          <w:p w:rsidR="002F3603" w:rsidRPr="0045198A" w:rsidP="0045198A" w14:paraId="75D72290" w14:textId="520D6EAC">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$2,681,502.48</w:t>
            </w:r>
          </w:p>
        </w:tc>
        <w:tc>
          <w:tcPr>
            <w:tcW w:w="1557" w:type="dxa"/>
            <w:vAlign w:val="bottom"/>
          </w:tcPr>
          <w:p w:rsidR="002F3603" w:rsidP="0045198A" w14:paraId="5955F256" w14:textId="4F5DFAFA">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$1,696.08</w:t>
            </w:r>
          </w:p>
        </w:tc>
      </w:tr>
      <w:tr w14:paraId="315BD096" w14:textId="77777777" w:rsidTr="00EE524B">
        <w:tblPrEx>
          <w:tblW w:w="0" w:type="auto"/>
          <w:tblLook w:val="04A0"/>
        </w:tblPrEx>
        <w:tc>
          <w:tcPr>
            <w:tcW w:w="2988" w:type="dxa"/>
            <w:vAlign w:val="bottom"/>
          </w:tcPr>
          <w:p w:rsidR="00F516BE" w:rsidP="0045198A" w14:paraId="63C43F7B" w14:textId="77777777">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FERC-725</w:t>
            </w:r>
            <w:r w:rsidR="0054676B">
              <w:rPr>
                <w:rFonts w:ascii="Times New Roman" w:eastAsia="Times New Roman" w:hAnsi="Times New Roman" w:cs="Times New Roman"/>
                <w:sz w:val="26"/>
                <w:szCs w:val="24"/>
              </w:rPr>
              <w:t xml:space="preserve">A </w:t>
            </w:r>
            <w:r w:rsidR="00470CCF">
              <w:rPr>
                <w:rFonts w:ascii="Times New Roman" w:eastAsia="Times New Roman" w:hAnsi="Times New Roman" w:cs="Times New Roman"/>
                <w:sz w:val="26"/>
                <w:szCs w:val="24"/>
              </w:rPr>
              <w:t>(TO)</w:t>
            </w:r>
          </w:p>
          <w:p w:rsidR="00670192" w:rsidP="0045198A" w14:paraId="458D1A40" w14:textId="33C70045">
            <w:pPr>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Total PRC-017-1</w:t>
            </w:r>
          </w:p>
        </w:tc>
        <w:tc>
          <w:tcPr>
            <w:tcW w:w="1545" w:type="dxa"/>
            <w:vAlign w:val="bottom"/>
          </w:tcPr>
          <w:p w:rsidR="00F516BE" w:rsidP="0045198A" w14:paraId="5134DD05" w14:textId="627A8C4E">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324</w:t>
            </w:r>
          </w:p>
        </w:tc>
        <w:tc>
          <w:tcPr>
            <w:tcW w:w="1549" w:type="dxa"/>
            <w:vAlign w:val="bottom"/>
          </w:tcPr>
          <w:p w:rsidR="00670192" w:rsidP="0045198A" w14:paraId="36C4A7C9" w14:textId="77777777">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80 </w:t>
            </w:r>
            <w:r>
              <w:rPr>
                <w:rFonts w:ascii="Times New Roman" w:eastAsia="Times New Roman" w:hAnsi="Times New Roman" w:cs="Times New Roman"/>
                <w:sz w:val="26"/>
                <w:szCs w:val="24"/>
              </w:rPr>
              <w:t>hrs.;</w:t>
            </w:r>
          </w:p>
          <w:p w:rsidR="00F516BE" w:rsidP="0045198A" w14:paraId="740FE580" w14:textId="4B9A8234">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$5,653.60</w:t>
            </w:r>
          </w:p>
        </w:tc>
        <w:tc>
          <w:tcPr>
            <w:tcW w:w="1711" w:type="dxa"/>
            <w:vAlign w:val="bottom"/>
          </w:tcPr>
          <w:p w:rsidR="000215F5" w:rsidP="0045198A" w14:paraId="4597C9CD" w14:textId="77777777">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25,920 </w:t>
            </w:r>
            <w:r>
              <w:rPr>
                <w:rFonts w:ascii="Times New Roman" w:eastAsia="Times New Roman" w:hAnsi="Times New Roman" w:cs="Times New Roman"/>
                <w:bCs/>
                <w:sz w:val="26"/>
                <w:szCs w:val="26"/>
              </w:rPr>
              <w:t>hrs.;</w:t>
            </w:r>
          </w:p>
          <w:p w:rsidR="00F516BE" w:rsidRPr="0045198A" w:rsidP="0045198A" w14:paraId="20E453CA" w14:textId="1D4F6E90">
            <w:pPr>
              <w:spacing w:line="256"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$1,831,766.40</w:t>
            </w:r>
          </w:p>
        </w:tc>
        <w:tc>
          <w:tcPr>
            <w:tcW w:w="1557" w:type="dxa"/>
            <w:vAlign w:val="bottom"/>
          </w:tcPr>
          <w:p w:rsidR="00F516BE" w:rsidP="0045198A" w14:paraId="726F429F" w14:textId="35AEEEBC">
            <w:pPr>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$5,653.60</w:t>
            </w:r>
          </w:p>
        </w:tc>
      </w:tr>
      <w:tr w14:paraId="2A5365C3" w14:textId="77777777" w:rsidTr="0045198A">
        <w:tblPrEx>
          <w:tblW w:w="0" w:type="auto"/>
          <w:tblLook w:val="04A0"/>
        </w:tblPrEx>
        <w:tc>
          <w:tcPr>
            <w:tcW w:w="2988" w:type="dxa"/>
            <w:vAlign w:val="bottom"/>
          </w:tcPr>
          <w:p w:rsidR="0045198A" w:rsidRPr="0045198A" w:rsidP="0045198A" w14:paraId="0078DC51" w14:textId="77777777">
            <w:pPr>
              <w:jc w:val="center"/>
              <w:rPr>
                <w:rFonts w:ascii="Times New Roman" w:eastAsia="Times New Roman" w:hAnsi="Times New Roman" w:cs="Times New Roman"/>
                <w:sz w:val="26"/>
                <w:szCs w:val="24"/>
              </w:rPr>
            </w:pPr>
            <w:r w:rsidRPr="0045198A">
              <w:rPr>
                <w:rFonts w:ascii="Times New Roman" w:eastAsia="Times New Roman" w:hAnsi="Times New Roman" w:cs="Times New Roman"/>
                <w:sz w:val="26"/>
                <w:szCs w:val="24"/>
              </w:rPr>
              <w:t>Currently approved FERC-725G Totals</w:t>
            </w:r>
          </w:p>
        </w:tc>
        <w:tc>
          <w:tcPr>
            <w:tcW w:w="1545" w:type="dxa"/>
            <w:vAlign w:val="bottom"/>
          </w:tcPr>
          <w:p w:rsidR="0045198A" w:rsidRPr="0045198A" w:rsidP="0045198A" w14:paraId="37A8B3EB" w14:textId="77777777">
            <w:pPr>
              <w:jc w:val="center"/>
              <w:rPr>
                <w:rFonts w:ascii="Times New Roman" w:eastAsia="Times New Roman" w:hAnsi="Times New Roman" w:cs="Times New Roman"/>
                <w:bCs/>
                <w:sz w:val="26"/>
                <w:szCs w:val="26"/>
              </w:rPr>
            </w:pPr>
            <w:r w:rsidRPr="0045198A">
              <w:rPr>
                <w:rFonts w:ascii="Times New Roman" w:eastAsia="Times New Roman" w:hAnsi="Times New Roman" w:cs="Times New Roman"/>
                <w:bCs/>
                <w:sz w:val="26"/>
                <w:szCs w:val="26"/>
              </w:rPr>
              <w:t>11,367</w:t>
            </w:r>
          </w:p>
        </w:tc>
        <w:tc>
          <w:tcPr>
            <w:tcW w:w="1549" w:type="dxa"/>
            <w:vMerge w:val="restart"/>
            <w:shd w:val="clear" w:color="auto" w:fill="BFBFBF"/>
            <w:vAlign w:val="bottom"/>
          </w:tcPr>
          <w:p w:rsidR="0045198A" w:rsidRPr="0045198A" w:rsidP="0045198A" w14:paraId="5E0B0374" w14:textId="77777777">
            <w:pPr>
              <w:jc w:val="right"/>
              <w:rPr>
                <w:rFonts w:ascii="Times New Roman" w:eastAsia="Times New Roman" w:hAnsi="Times New Roman" w:cs="Times New Roman"/>
                <w:sz w:val="26"/>
                <w:szCs w:val="24"/>
              </w:rPr>
            </w:pPr>
          </w:p>
        </w:tc>
        <w:tc>
          <w:tcPr>
            <w:tcW w:w="1711" w:type="dxa"/>
            <w:vAlign w:val="bottom"/>
          </w:tcPr>
          <w:p w:rsidR="0045198A" w:rsidRPr="0045198A" w:rsidP="0045198A" w14:paraId="67907093" w14:textId="0F651F49">
            <w:pPr>
              <w:spacing w:line="256" w:lineRule="auto"/>
              <w:jc w:val="right"/>
              <w:rPr>
                <w:rFonts w:ascii="Times New Roman" w:eastAsia="Times New Roman" w:hAnsi="Times New Roman" w:cs="Times New Roman"/>
                <w:bCs/>
                <w:sz w:val="26"/>
                <w:szCs w:val="26"/>
              </w:rPr>
            </w:pPr>
            <w:r w:rsidRPr="0045198A">
              <w:rPr>
                <w:rFonts w:ascii="Times New Roman" w:eastAsia="Times New Roman" w:hAnsi="Times New Roman" w:cs="Times New Roman"/>
                <w:bCs/>
                <w:sz w:val="26"/>
                <w:szCs w:val="26"/>
              </w:rPr>
              <w:t>7</w:t>
            </w:r>
            <w:r w:rsidR="00C76C3F">
              <w:rPr>
                <w:rFonts w:ascii="Times New Roman" w:eastAsia="Times New Roman" w:hAnsi="Times New Roman" w:cs="Times New Roman"/>
                <w:bCs/>
                <w:sz w:val="26"/>
                <w:szCs w:val="26"/>
              </w:rPr>
              <w:t>26</w:t>
            </w:r>
            <w:r w:rsidRPr="0045198A">
              <w:rPr>
                <w:rFonts w:ascii="Times New Roman" w:eastAsia="Times New Roman" w:hAnsi="Times New Roman" w:cs="Times New Roman"/>
                <w:bCs/>
                <w:sz w:val="26"/>
                <w:szCs w:val="26"/>
              </w:rPr>
              <w:t>,718</w:t>
            </w:r>
          </w:p>
        </w:tc>
        <w:tc>
          <w:tcPr>
            <w:tcW w:w="1557" w:type="dxa"/>
            <w:vMerge w:val="restart"/>
            <w:shd w:val="clear" w:color="auto" w:fill="BFBFBF"/>
            <w:vAlign w:val="bottom"/>
          </w:tcPr>
          <w:p w:rsidR="0045198A" w:rsidRPr="0045198A" w:rsidP="0045198A" w14:paraId="2B3BA5C6" w14:textId="77777777">
            <w:pPr>
              <w:jc w:val="right"/>
              <w:rPr>
                <w:rFonts w:ascii="Times New Roman" w:eastAsia="Times New Roman" w:hAnsi="Times New Roman" w:cs="Times New Roman"/>
                <w:sz w:val="26"/>
                <w:szCs w:val="24"/>
              </w:rPr>
            </w:pPr>
          </w:p>
        </w:tc>
      </w:tr>
      <w:tr w14:paraId="2B6C4E6C" w14:textId="77777777" w:rsidTr="0045198A">
        <w:tblPrEx>
          <w:tblW w:w="0" w:type="auto"/>
          <w:tblLook w:val="04A0"/>
        </w:tblPrEx>
        <w:tc>
          <w:tcPr>
            <w:tcW w:w="2988" w:type="dxa"/>
            <w:vAlign w:val="bottom"/>
          </w:tcPr>
          <w:p w:rsidR="0045198A" w:rsidRPr="0045198A" w:rsidP="0045198A" w14:paraId="5C73B298" w14:textId="77777777">
            <w:pPr>
              <w:jc w:val="center"/>
              <w:rPr>
                <w:rFonts w:ascii="Times New Roman" w:eastAsia="Times New Roman" w:hAnsi="Times New Roman" w:cs="Times New Roman"/>
                <w:b/>
                <w:sz w:val="26"/>
                <w:szCs w:val="24"/>
              </w:rPr>
            </w:pPr>
            <w:r w:rsidRPr="0045198A">
              <w:rPr>
                <w:rFonts w:ascii="Times New Roman" w:eastAsia="Times New Roman" w:hAnsi="Times New Roman" w:cs="Times New Roman"/>
                <w:b/>
                <w:sz w:val="26"/>
                <w:szCs w:val="26"/>
              </w:rPr>
              <w:t xml:space="preserve">FERC-725-G New Total </w:t>
            </w:r>
          </w:p>
        </w:tc>
        <w:tc>
          <w:tcPr>
            <w:tcW w:w="1545" w:type="dxa"/>
            <w:vAlign w:val="bottom"/>
          </w:tcPr>
          <w:p w:rsidR="0045198A" w:rsidRPr="0045198A" w:rsidP="0045198A" w14:paraId="5D97595E" w14:textId="5F25B737">
            <w:pPr>
              <w:jc w:val="center"/>
              <w:rPr>
                <w:rFonts w:ascii="Times New Roman" w:eastAsia="Times New Roman" w:hAnsi="Times New Roman" w:cs="Times New Roman"/>
                <w:b/>
                <w:bCs/>
                <w:sz w:val="26"/>
                <w:szCs w:val="24"/>
              </w:rPr>
            </w:pPr>
            <w:r w:rsidRPr="0045198A">
              <w:rPr>
                <w:rFonts w:ascii="Times New Roman" w:eastAsia="Times New Roman" w:hAnsi="Times New Roman" w:cs="Times New Roman"/>
                <w:b/>
                <w:bCs/>
                <w:sz w:val="26"/>
                <w:szCs w:val="24"/>
              </w:rPr>
              <w:t>1</w:t>
            </w:r>
            <w:r w:rsidR="00DC3B67">
              <w:rPr>
                <w:rFonts w:ascii="Times New Roman" w:eastAsia="Times New Roman" w:hAnsi="Times New Roman" w:cs="Times New Roman"/>
                <w:b/>
                <w:bCs/>
                <w:sz w:val="26"/>
                <w:szCs w:val="24"/>
              </w:rPr>
              <w:t>5,127</w:t>
            </w:r>
          </w:p>
        </w:tc>
        <w:tc>
          <w:tcPr>
            <w:tcW w:w="1549" w:type="dxa"/>
            <w:vMerge/>
            <w:shd w:val="clear" w:color="auto" w:fill="BFBFBF"/>
            <w:vAlign w:val="bottom"/>
          </w:tcPr>
          <w:p w:rsidR="0045198A" w:rsidRPr="0045198A" w:rsidP="0045198A" w14:paraId="124C576C" w14:textId="77777777">
            <w:pPr>
              <w:jc w:val="right"/>
              <w:rPr>
                <w:rFonts w:ascii="Times New Roman" w:eastAsia="Times New Roman" w:hAnsi="Times New Roman" w:cs="Times New Roman"/>
                <w:b/>
                <w:bCs/>
                <w:sz w:val="26"/>
                <w:szCs w:val="24"/>
              </w:rPr>
            </w:pPr>
          </w:p>
        </w:tc>
        <w:tc>
          <w:tcPr>
            <w:tcW w:w="1711" w:type="dxa"/>
            <w:vAlign w:val="bottom"/>
          </w:tcPr>
          <w:p w:rsidR="0045198A" w:rsidRPr="0045198A" w:rsidP="0045198A" w14:paraId="15C28FC5" w14:textId="504E3542">
            <w:pPr>
              <w:jc w:val="right"/>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833,184</w:t>
            </w:r>
          </w:p>
        </w:tc>
        <w:tc>
          <w:tcPr>
            <w:tcW w:w="1557" w:type="dxa"/>
            <w:vMerge/>
            <w:shd w:val="clear" w:color="auto" w:fill="BFBFBF"/>
            <w:vAlign w:val="bottom"/>
          </w:tcPr>
          <w:p w:rsidR="0045198A" w:rsidRPr="0045198A" w:rsidP="0045198A" w14:paraId="6412419F" w14:textId="77777777">
            <w:pPr>
              <w:jc w:val="right"/>
              <w:rPr>
                <w:rFonts w:ascii="Times New Roman" w:eastAsia="Times New Roman" w:hAnsi="Times New Roman" w:cs="Times New Roman"/>
                <w:b/>
                <w:bCs/>
                <w:sz w:val="26"/>
                <w:szCs w:val="24"/>
              </w:rPr>
            </w:pPr>
          </w:p>
        </w:tc>
      </w:tr>
    </w:tbl>
    <w:p w:rsidR="0045198A" w:rsidRPr="001316AC" w:rsidP="001316AC" w14:paraId="4F2945BB" w14:textId="77777777">
      <w:pPr>
        <w:spacing w:after="0" w:line="240" w:lineRule="auto"/>
        <w:rPr>
          <w:rFonts w:ascii="Times New Roman" w:eastAsia="Times New Roman" w:hAnsi="Times New Roman" w:cs="Times New Roman"/>
          <w:sz w:val="26"/>
          <w:szCs w:val="24"/>
        </w:rPr>
      </w:pPr>
    </w:p>
    <w:p w:rsidR="008A354F" w:rsidRPr="009B66B9" w:rsidP="000B09AE" w14:paraId="5839B6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D20809" w14:paraId="5220FA08"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D20809" w14:paraId="5624F539" w14:textId="77777777">
      <w:pPr>
        <w:spacing w:after="0" w:line="240" w:lineRule="auto"/>
        <w:ind w:left="360"/>
        <w:rPr>
          <w:rFonts w:ascii="Times New Roman" w:hAnsi="Times New Roman" w:cs="Times New Roman"/>
          <w:sz w:val="26"/>
          <w:szCs w:val="26"/>
        </w:rPr>
      </w:pPr>
    </w:p>
    <w:p w:rsidR="00D20809" w14:paraId="62E07042" w14:textId="529517B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There is no start-up, capital, or other non-labor hour cost associated with the PRA </w:t>
      </w:r>
      <w:r w:rsidR="00B22694">
        <w:rPr>
          <w:rFonts w:ascii="Times New Roman" w:hAnsi="Times New Roman" w:cs="Times New Roman"/>
          <w:sz w:val="26"/>
          <w:szCs w:val="26"/>
        </w:rPr>
        <w:t>collection</w:t>
      </w:r>
      <w:r>
        <w:rPr>
          <w:rFonts w:ascii="Times New Roman" w:hAnsi="Times New Roman" w:cs="Times New Roman"/>
          <w:sz w:val="26"/>
          <w:szCs w:val="26"/>
        </w:rPr>
        <w:t xml:space="preserve">. All costs are associated with burden hours and are addressed in Questions 12 and 15.  </w:t>
      </w:r>
    </w:p>
    <w:p w:rsidR="00D20809" w14:paraId="573F8B09" w14:textId="77777777">
      <w:pPr>
        <w:spacing w:after="0" w:line="240" w:lineRule="auto"/>
        <w:rPr>
          <w:rFonts w:ascii="Times New Roman" w:hAnsi="Times New Roman" w:cs="Times New Roman"/>
          <w:sz w:val="26"/>
          <w:szCs w:val="26"/>
        </w:rPr>
      </w:pPr>
    </w:p>
    <w:p w:rsidR="00D20809" w14:paraId="3BC5CA2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D20809" w14:paraId="2DE96455" w14:textId="77777777">
      <w:pPr>
        <w:spacing w:after="0" w:line="240" w:lineRule="auto"/>
        <w:rPr>
          <w:rFonts w:ascii="Times New Roman" w:hAnsi="Times New Roman" w:cs="Times New Roman"/>
          <w:sz w:val="26"/>
          <w:szCs w:val="26"/>
        </w:rPr>
      </w:pPr>
    </w:p>
    <w:p w:rsidR="00D20809" w14:paraId="6DBAD7C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rsidR="00D20809" w14:paraId="33F4273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D20809" w14:paraId="38920915" w14:textId="2DBDF6DE">
      <w:pPr>
        <w:spacing w:after="0" w:line="240" w:lineRule="auto"/>
        <w:rPr>
          <w:rFonts w:ascii="Times New Roman" w:hAnsi="Times New Roman" w:cs="Times New Roman"/>
          <w:sz w:val="26"/>
          <w:szCs w:val="26"/>
        </w:rPr>
      </w:pPr>
      <w:r>
        <w:rPr>
          <w:rFonts w:ascii="Times New Roman" w:hAnsi="Times New Roman" w:cs="Times New Roman"/>
          <w:sz w:val="26"/>
          <w:szCs w:val="26"/>
        </w:rPr>
        <w:t>The PRA Administrative Cost (estimate of $</w:t>
      </w:r>
      <w:r w:rsidR="00E13933">
        <w:rPr>
          <w:rFonts w:ascii="Times New Roman" w:hAnsi="Times New Roman" w:cs="Times New Roman"/>
          <w:sz w:val="26"/>
          <w:szCs w:val="26"/>
        </w:rPr>
        <w:t>8,396</w:t>
      </w:r>
      <w:r>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 as well as necessary publications in the Federal Register. </w:t>
      </w:r>
    </w:p>
    <w:p w:rsidR="00D20809" w14:paraId="55732DC4"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69C93EF"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D20809" w14:paraId="3EAF8874" w14:textId="77777777">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D20809" w14:paraId="6F129238"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D20809" w14:paraId="3680648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Estimated Annual Federal Cost</w:t>
            </w:r>
          </w:p>
        </w:tc>
      </w:tr>
      <w:tr w14:paraId="73B5CE63"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6FE42751" w14:textId="77777777">
            <w:pPr>
              <w:spacing w:line="240" w:lineRule="auto"/>
              <w:rPr>
                <w:rFonts w:ascii="Times New Roman" w:hAnsi="Times New Roman" w:cs="Times New Roman"/>
                <w:sz w:val="26"/>
                <w:szCs w:val="26"/>
              </w:rPr>
            </w:pPr>
            <w:r>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29"/>
            </w:r>
          </w:p>
        </w:tc>
        <w:tc>
          <w:tcPr>
            <w:tcW w:w="3201" w:type="dxa"/>
            <w:tcBorders>
              <w:top w:val="single" w:sz="4" w:space="0" w:color="auto"/>
              <w:left w:val="single" w:sz="4" w:space="0" w:color="auto"/>
              <w:bottom w:val="single" w:sz="4" w:space="0" w:color="auto"/>
              <w:right w:val="single" w:sz="4" w:space="0" w:color="auto"/>
            </w:tcBorders>
            <w:vAlign w:val="bottom"/>
            <w:hideMark/>
          </w:tcPr>
          <w:p w:rsidR="00D20809" w14:paraId="1EC5330F"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0E4477D5"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 xml:space="preserve">0  </w:t>
            </w:r>
          </w:p>
        </w:tc>
      </w:tr>
      <w:tr w14:paraId="6B77F9EC"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20BBAC05" w14:textId="77777777">
            <w:pPr>
              <w:spacing w:line="240" w:lineRule="auto"/>
              <w:rPr>
                <w:rFonts w:ascii="Times New Roman" w:hAnsi="Times New Roman" w:cs="Times New Roman"/>
                <w:sz w:val="26"/>
                <w:szCs w:val="26"/>
              </w:rPr>
            </w:pPr>
            <w:r>
              <w:rPr>
                <w:rFonts w:ascii="Times New Roman" w:hAnsi="Times New Roman" w:cs="Times New Roman"/>
                <w:sz w:val="26"/>
                <w:szCs w:val="26"/>
              </w:rPr>
              <w:t xml:space="preserve">PRA Administrative Cost </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D20809" w14:paraId="5AC2FFA0"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05D585BB" w14:textId="652971DF">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E13933">
              <w:rPr>
                <w:rFonts w:ascii="Times New Roman" w:hAnsi="Times New Roman" w:cs="Times New Roman"/>
                <w:sz w:val="26"/>
                <w:szCs w:val="26"/>
              </w:rPr>
              <w:t>8,396</w:t>
            </w:r>
          </w:p>
        </w:tc>
      </w:tr>
      <w:tr w14:paraId="2D7BABE5"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74BBCC44"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63983E84"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62A34ADB" w14:textId="2DD0ED44">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E13933">
              <w:rPr>
                <w:rFonts w:ascii="Times New Roman" w:hAnsi="Times New Roman" w:cs="Times New Roman"/>
                <w:sz w:val="26"/>
                <w:szCs w:val="26"/>
              </w:rPr>
              <w:t>8,396</w:t>
            </w:r>
          </w:p>
        </w:tc>
      </w:tr>
    </w:tbl>
    <w:p w:rsidR="00D20809" w14:paraId="7C7E3F16" w14:textId="77777777">
      <w:pPr>
        <w:spacing w:after="0" w:line="240" w:lineRule="auto"/>
        <w:rPr>
          <w:rFonts w:ascii="Times New Roman" w:hAnsi="Times New Roman" w:cs="Times New Roman"/>
          <w:sz w:val="26"/>
          <w:szCs w:val="26"/>
        </w:rPr>
      </w:pPr>
    </w:p>
    <w:p w:rsidR="00D20809" w14:paraId="12473976"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D20809" w14:paraId="5174311E" w14:textId="77777777">
      <w:pPr>
        <w:spacing w:after="0" w:line="240" w:lineRule="auto"/>
        <w:rPr>
          <w:rFonts w:ascii="Times New Roman" w:hAnsi="Times New Roman" w:cs="Times New Roman"/>
          <w:b/>
          <w:sz w:val="26"/>
          <w:szCs w:val="26"/>
        </w:rPr>
      </w:pPr>
    </w:p>
    <w:p w:rsidR="00D20809" w:rsidP="00BD762F" w14:paraId="14A40C5A" w14:textId="1C5B7025">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following changes reflect the transfer of the </w:t>
      </w:r>
      <w:r w:rsidR="00846854">
        <w:rPr>
          <w:rFonts w:ascii="Times New Roman" w:hAnsi="Times New Roman" w:cs="Times New Roman"/>
          <w:sz w:val="26"/>
          <w:szCs w:val="26"/>
        </w:rPr>
        <w:t>3 reliability standards and the merge of 725G1, 725G4, and 725P1</w:t>
      </w:r>
      <w:r w:rsidR="00080541">
        <w:rPr>
          <w:rFonts w:ascii="Times New Roman" w:hAnsi="Times New Roman" w:cs="Times New Roman"/>
          <w:sz w:val="26"/>
          <w:szCs w:val="26"/>
        </w:rPr>
        <w:t xml:space="preserve"> into 725G.</w:t>
      </w:r>
      <w:r w:rsidR="007C6B1E">
        <w:rPr>
          <w:rFonts w:ascii="Times New Roman" w:hAnsi="Times New Roman" w:cs="Times New Roman"/>
          <w:sz w:val="26"/>
          <w:szCs w:val="26"/>
        </w:rPr>
        <w:t xml:space="preserve"> </w:t>
      </w:r>
      <w:r w:rsidR="00331D33">
        <w:rPr>
          <w:rFonts w:ascii="Times New Roman" w:hAnsi="Times New Roman" w:cs="Times New Roman"/>
          <w:sz w:val="26"/>
          <w:szCs w:val="26"/>
        </w:rPr>
        <w:t xml:space="preserve">The was no changes to </w:t>
      </w:r>
      <w:r w:rsidR="0087058F">
        <w:rPr>
          <w:rFonts w:ascii="Times New Roman" w:hAnsi="Times New Roman" w:cs="Times New Roman"/>
          <w:sz w:val="26"/>
          <w:szCs w:val="26"/>
        </w:rPr>
        <w:t>any other remaining collections.</w:t>
      </w:r>
    </w:p>
    <w:p w:rsidR="00080541" w:rsidP="00BD762F" w14:paraId="2D5BF5DB" w14:textId="77777777">
      <w:pPr>
        <w:tabs>
          <w:tab w:val="left" w:pos="0"/>
        </w:tabs>
        <w:spacing w:after="0" w:line="240" w:lineRule="auto"/>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2505"/>
        <w:gridCol w:w="1386"/>
        <w:gridCol w:w="1747"/>
        <w:gridCol w:w="2398"/>
      </w:tblGrid>
      <w:tr w14:paraId="3A514D5F" w14:textId="77777777" w:rsidTr="00BD762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5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747A832D"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FERC-725G</w:t>
            </w:r>
          </w:p>
        </w:tc>
        <w:tc>
          <w:tcPr>
            <w:tcW w:w="14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1B07552E"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Total Request</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035B74B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Previously Approved</w:t>
            </w:r>
          </w:p>
        </w:tc>
        <w:tc>
          <w:tcPr>
            <w:tcW w:w="10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66987FDE" w14:textId="77777777">
            <w:pPr>
              <w:spacing w:line="240" w:lineRule="auto"/>
              <w:rPr>
                <w:rFonts w:ascii="Times New Roman" w:hAnsi="Times New Roman" w:cs="Times New Roman"/>
                <w:b/>
                <w:sz w:val="26"/>
                <w:szCs w:val="26"/>
                <w:highlight w:val="yellow"/>
              </w:rPr>
            </w:pPr>
            <w:r>
              <w:rPr>
                <w:rFonts w:ascii="Times New Roman" w:hAnsi="Times New Roman" w:cs="Times New Roman"/>
                <w:b/>
                <w:sz w:val="26"/>
                <w:szCs w:val="26"/>
              </w:rPr>
              <w:t>Change due to Adjustment in Estimate</w:t>
            </w:r>
          </w:p>
        </w:tc>
        <w:tc>
          <w:tcPr>
            <w:tcW w:w="138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036E5220"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14:paraId="03491498" w14:textId="77777777" w:rsidTr="00BD762F">
        <w:tblPrEx>
          <w:tblW w:w="5000" w:type="pct"/>
          <w:tblLook w:val="01E0"/>
        </w:tblPrEx>
        <w:trPr>
          <w:trHeight w:val="591"/>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5C1214BF" w14:textId="77777777">
            <w:pPr>
              <w:spacing w:line="240" w:lineRule="auto"/>
              <w:rPr>
                <w:rFonts w:ascii="Times New Roman" w:hAnsi="Times New Roman" w:cs="Times New Roman"/>
                <w:sz w:val="26"/>
                <w:szCs w:val="26"/>
              </w:rPr>
            </w:pPr>
            <w:r>
              <w:rPr>
                <w:rFonts w:ascii="Times New Roman" w:hAnsi="Times New Roman" w:cs="Times New Roman"/>
                <w:sz w:val="26"/>
                <w:szCs w:val="26"/>
              </w:rPr>
              <w:t xml:space="preserve">Annual Number </w:t>
            </w:r>
            <w:r>
              <w:rPr>
                <w:rFonts w:ascii="Times New Roman" w:hAnsi="Times New Roman" w:cs="Times New Roman"/>
                <w:sz w:val="26"/>
                <w:szCs w:val="26"/>
              </w:rPr>
              <w:t>of Responses</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3CB2B80E" w14:textId="118AFD6D">
            <w:pPr>
              <w:spacing w:line="240" w:lineRule="auto"/>
              <w:jc w:val="right"/>
              <w:rPr>
                <w:rFonts w:ascii="Times New Roman" w:hAnsi="Times New Roman" w:cs="Times New Roman"/>
                <w:sz w:val="26"/>
                <w:szCs w:val="26"/>
              </w:rPr>
            </w:pPr>
            <w:r>
              <w:rPr>
                <w:rFonts w:ascii="Times New Roman" w:hAnsi="Times New Roman" w:cs="Times New Roman"/>
                <w:sz w:val="26"/>
                <w:szCs w:val="26"/>
              </w:rPr>
              <w:t>1</w:t>
            </w:r>
            <w:r w:rsidR="005D5FE8">
              <w:rPr>
                <w:rFonts w:ascii="Times New Roman" w:hAnsi="Times New Roman" w:cs="Times New Roman"/>
                <w:sz w:val="26"/>
                <w:szCs w:val="26"/>
              </w:rPr>
              <w:t>7,032</w:t>
            </w:r>
          </w:p>
        </w:tc>
        <w:tc>
          <w:tcPr>
            <w:tcW w:w="579" w:type="pct"/>
            <w:tcBorders>
              <w:top w:val="single" w:sz="4" w:space="0" w:color="auto"/>
              <w:left w:val="single" w:sz="4" w:space="0" w:color="auto"/>
              <w:bottom w:val="single" w:sz="4" w:space="0" w:color="auto"/>
              <w:right w:val="single" w:sz="4" w:space="0" w:color="auto"/>
            </w:tcBorders>
            <w:vAlign w:val="bottom"/>
            <w:hideMark/>
          </w:tcPr>
          <w:p w:rsidR="00D20809" w14:paraId="2F4BD4AB" w14:textId="17DE2F6F">
            <w:pPr>
              <w:spacing w:line="240" w:lineRule="auto"/>
              <w:jc w:val="right"/>
              <w:rPr>
                <w:rFonts w:ascii="Times New Roman" w:hAnsi="Times New Roman" w:cs="Times New Roman"/>
                <w:sz w:val="26"/>
                <w:szCs w:val="26"/>
              </w:rPr>
            </w:pPr>
            <w:r>
              <w:rPr>
                <w:rFonts w:ascii="Times New Roman" w:hAnsi="Times New Roman" w:cs="Times New Roman"/>
                <w:sz w:val="26"/>
                <w:szCs w:val="26"/>
              </w:rPr>
              <w:t>1</w:t>
            </w:r>
            <w:r w:rsidR="00A80289">
              <w:rPr>
                <w:rFonts w:ascii="Times New Roman" w:hAnsi="Times New Roman" w:cs="Times New Roman"/>
                <w:sz w:val="26"/>
                <w:szCs w:val="26"/>
              </w:rPr>
              <w:t>1,367</w:t>
            </w:r>
          </w:p>
        </w:tc>
        <w:tc>
          <w:tcPr>
            <w:tcW w:w="1039" w:type="pct"/>
            <w:tcBorders>
              <w:top w:val="single" w:sz="4" w:space="0" w:color="auto"/>
              <w:left w:val="single" w:sz="4" w:space="0" w:color="auto"/>
              <w:bottom w:val="single" w:sz="4" w:space="0" w:color="auto"/>
              <w:right w:val="single" w:sz="4" w:space="0" w:color="auto"/>
            </w:tcBorders>
            <w:vAlign w:val="bottom"/>
            <w:hideMark/>
          </w:tcPr>
          <w:p w:rsidR="00D20809" w14:paraId="0B2A66F6" w14:textId="1177AC80">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387" w:type="pct"/>
            <w:tcBorders>
              <w:top w:val="single" w:sz="4" w:space="0" w:color="auto"/>
              <w:left w:val="single" w:sz="4" w:space="0" w:color="auto"/>
              <w:bottom w:val="single" w:sz="4" w:space="0" w:color="auto"/>
              <w:right w:val="single" w:sz="4" w:space="0" w:color="auto"/>
            </w:tcBorders>
            <w:vAlign w:val="bottom"/>
          </w:tcPr>
          <w:p w:rsidR="00D20809" w14:paraId="74BC9FBD" w14:textId="05BC0893">
            <w:pPr>
              <w:spacing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5,665</w:t>
            </w:r>
          </w:p>
        </w:tc>
      </w:tr>
      <w:tr w14:paraId="307AAC44" w14:textId="77777777" w:rsidTr="00BD762F">
        <w:tblPrEx>
          <w:tblW w:w="5000" w:type="pct"/>
          <w:tblLook w:val="01E0"/>
        </w:tblPrEx>
        <w:trPr>
          <w:trHeight w:val="674"/>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25A7B34F"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Time Burden (Hr.)</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2D9697FF" w14:textId="475E469B">
            <w:pPr>
              <w:spacing w:line="240" w:lineRule="auto"/>
              <w:jc w:val="right"/>
              <w:rPr>
                <w:rFonts w:ascii="Times New Roman" w:hAnsi="Times New Roman" w:cs="Times New Roman"/>
                <w:sz w:val="26"/>
                <w:szCs w:val="26"/>
              </w:rPr>
            </w:pPr>
            <w:r>
              <w:rPr>
                <w:rFonts w:ascii="Times New Roman" w:hAnsi="Times New Roman" w:cs="Times New Roman"/>
                <w:sz w:val="26"/>
                <w:szCs w:val="26"/>
              </w:rPr>
              <w:t>8</w:t>
            </w:r>
            <w:r w:rsidR="005D5FE8">
              <w:rPr>
                <w:rFonts w:ascii="Times New Roman" w:hAnsi="Times New Roman" w:cs="Times New Roman"/>
                <w:sz w:val="26"/>
                <w:szCs w:val="26"/>
              </w:rPr>
              <w:t>33,184</w:t>
            </w:r>
          </w:p>
        </w:tc>
        <w:tc>
          <w:tcPr>
            <w:tcW w:w="579" w:type="pct"/>
            <w:tcBorders>
              <w:top w:val="single" w:sz="4" w:space="0" w:color="auto"/>
              <w:left w:val="single" w:sz="4" w:space="0" w:color="auto"/>
              <w:bottom w:val="single" w:sz="4" w:space="0" w:color="auto"/>
              <w:right w:val="single" w:sz="4" w:space="0" w:color="auto"/>
            </w:tcBorders>
            <w:vAlign w:val="bottom"/>
          </w:tcPr>
          <w:p w:rsidR="00D20809" w14:paraId="0551E842" w14:textId="32CE15FE">
            <w:pPr>
              <w:spacing w:line="240" w:lineRule="auto"/>
              <w:jc w:val="right"/>
              <w:rPr>
                <w:rFonts w:ascii="Times New Roman" w:hAnsi="Times New Roman" w:cs="Times New Roman"/>
                <w:sz w:val="26"/>
                <w:szCs w:val="26"/>
              </w:rPr>
            </w:pPr>
            <w:r>
              <w:rPr>
                <w:rFonts w:ascii="Times New Roman" w:hAnsi="Times New Roman" w:cs="Times New Roman"/>
                <w:sz w:val="26"/>
                <w:szCs w:val="26"/>
              </w:rPr>
              <w:t>7</w:t>
            </w:r>
            <w:r w:rsidR="00A80289">
              <w:rPr>
                <w:rFonts w:ascii="Times New Roman" w:hAnsi="Times New Roman" w:cs="Times New Roman"/>
                <w:sz w:val="26"/>
                <w:szCs w:val="26"/>
              </w:rPr>
              <w:t>26,718</w:t>
            </w:r>
          </w:p>
        </w:tc>
        <w:tc>
          <w:tcPr>
            <w:tcW w:w="1039" w:type="pct"/>
            <w:tcBorders>
              <w:top w:val="single" w:sz="4" w:space="0" w:color="auto"/>
              <w:left w:val="single" w:sz="4" w:space="0" w:color="auto"/>
              <w:bottom w:val="single" w:sz="4" w:space="0" w:color="auto"/>
              <w:right w:val="single" w:sz="4" w:space="0" w:color="auto"/>
            </w:tcBorders>
            <w:vAlign w:val="bottom"/>
          </w:tcPr>
          <w:p w:rsidR="00D20809" w14:paraId="3247DE8E" w14:textId="193B78F3">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387" w:type="pct"/>
            <w:tcBorders>
              <w:top w:val="single" w:sz="4" w:space="0" w:color="auto"/>
              <w:left w:val="single" w:sz="4" w:space="0" w:color="auto"/>
              <w:bottom w:val="single" w:sz="4" w:space="0" w:color="auto"/>
              <w:right w:val="single" w:sz="4" w:space="0" w:color="auto"/>
            </w:tcBorders>
            <w:vAlign w:val="bottom"/>
            <w:hideMark/>
          </w:tcPr>
          <w:p w:rsidR="00D20809" w14:paraId="0A31B85E" w14:textId="55FD39DE">
            <w:pPr>
              <w:spacing w:line="240" w:lineRule="auto"/>
              <w:jc w:val="right"/>
              <w:rPr>
                <w:rFonts w:ascii="Times New Roman" w:hAnsi="Times New Roman" w:cs="Times New Roman"/>
                <w:sz w:val="26"/>
                <w:szCs w:val="26"/>
              </w:rPr>
            </w:pPr>
            <w:r>
              <w:rPr>
                <w:rFonts w:ascii="Times New Roman" w:hAnsi="Times New Roman" w:cs="Times New Roman"/>
                <w:sz w:val="26"/>
                <w:szCs w:val="26"/>
              </w:rPr>
              <w:t>106,466</w:t>
            </w:r>
          </w:p>
        </w:tc>
      </w:tr>
      <w:tr w14:paraId="4C0DB701" w14:textId="77777777" w:rsidTr="00BD762F">
        <w:tblPrEx>
          <w:tblW w:w="5000" w:type="pct"/>
          <w:tblLook w:val="01E0"/>
        </w:tblPrEx>
        <w:trPr>
          <w:trHeight w:val="295"/>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6D2F766E"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Cost Burden ($)</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50DF4FF9"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579" w:type="pct"/>
            <w:tcBorders>
              <w:top w:val="single" w:sz="4" w:space="0" w:color="auto"/>
              <w:left w:val="single" w:sz="4" w:space="0" w:color="auto"/>
              <w:bottom w:val="single" w:sz="4" w:space="0" w:color="auto"/>
              <w:right w:val="single" w:sz="4" w:space="0" w:color="auto"/>
            </w:tcBorders>
            <w:vAlign w:val="bottom"/>
            <w:hideMark/>
          </w:tcPr>
          <w:p w:rsidR="00D20809" w14:paraId="220BE098"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039" w:type="pct"/>
            <w:tcBorders>
              <w:top w:val="single" w:sz="4" w:space="0" w:color="auto"/>
              <w:left w:val="single" w:sz="4" w:space="0" w:color="auto"/>
              <w:bottom w:val="single" w:sz="4" w:space="0" w:color="auto"/>
              <w:right w:val="single" w:sz="4" w:space="0" w:color="auto"/>
            </w:tcBorders>
            <w:vAlign w:val="bottom"/>
            <w:hideMark/>
          </w:tcPr>
          <w:p w:rsidR="00D20809" w14:paraId="3CB3F897"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387" w:type="pct"/>
            <w:tcBorders>
              <w:top w:val="single" w:sz="4" w:space="0" w:color="auto"/>
              <w:left w:val="single" w:sz="4" w:space="0" w:color="auto"/>
              <w:bottom w:val="single" w:sz="4" w:space="0" w:color="auto"/>
              <w:right w:val="single" w:sz="4" w:space="0" w:color="auto"/>
            </w:tcBorders>
            <w:vAlign w:val="bottom"/>
            <w:hideMark/>
          </w:tcPr>
          <w:p w:rsidR="00D20809" w14:paraId="5F549CBC"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D20809" w14:paraId="453291FB" w14:textId="77777777">
      <w:pPr>
        <w:spacing w:after="0" w:line="240" w:lineRule="auto"/>
        <w:rPr>
          <w:rFonts w:ascii="Times New Roman" w:hAnsi="Times New Roman" w:cs="Times New Roman"/>
          <w:sz w:val="26"/>
          <w:szCs w:val="26"/>
        </w:rPr>
      </w:pPr>
    </w:p>
    <w:p w:rsidR="00D20809" w14:paraId="4017243F"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D20809" w:rsidP="00BD762F" w14:paraId="52D66B76" w14:textId="77777777">
      <w:pPr>
        <w:spacing w:after="0" w:line="240" w:lineRule="auto"/>
        <w:jc w:val="right"/>
        <w:rPr>
          <w:rFonts w:ascii="Times New Roman" w:hAnsi="Times New Roman" w:cs="Times New Roman"/>
          <w:sz w:val="26"/>
          <w:szCs w:val="26"/>
        </w:rPr>
      </w:pPr>
    </w:p>
    <w:p w:rsidR="00D20809" w14:paraId="06E581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data publications.</w:t>
      </w:r>
    </w:p>
    <w:p w:rsidR="00D20809" w14:paraId="2D9C9054" w14:textId="77777777">
      <w:pPr>
        <w:spacing w:after="0" w:line="240" w:lineRule="auto"/>
        <w:rPr>
          <w:rFonts w:ascii="Times New Roman" w:hAnsi="Times New Roman" w:cs="Times New Roman"/>
          <w:sz w:val="26"/>
          <w:szCs w:val="26"/>
        </w:rPr>
      </w:pPr>
    </w:p>
    <w:p w:rsidR="00D20809" w14:paraId="6A59A7B3"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DISPLAY OF EXPIRATION DATE</w:t>
      </w:r>
    </w:p>
    <w:p w:rsidR="00D20809" w14:paraId="0C837F48" w14:textId="77777777">
      <w:pPr>
        <w:spacing w:after="0" w:line="240" w:lineRule="auto"/>
        <w:rPr>
          <w:rFonts w:ascii="Times New Roman" w:hAnsi="Times New Roman" w:cs="Times New Roman"/>
          <w:sz w:val="26"/>
          <w:szCs w:val="26"/>
        </w:rPr>
      </w:pPr>
    </w:p>
    <w:p w:rsidR="00D20809" w:rsidRPr="007736BF" w14:paraId="2BB6AD4C" w14:textId="2E72764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 is posted at </w:t>
      </w:r>
      <w:hyperlink r:id="rId11" w:history="1">
        <w:r w:rsidRPr="005453BF" w:rsidR="00814B40">
          <w:rPr>
            <w:rStyle w:val="Hyperlink"/>
            <w:sz w:val="26"/>
            <w:szCs w:val="26"/>
          </w:rPr>
          <w:t>https://www.ferc.gov/enforcement-legal/legal/information-collections</w:t>
        </w:r>
      </w:hyperlink>
      <w:r w:rsidR="00814B40">
        <w:rPr>
          <w:rFonts w:ascii="Times New Roman" w:hAnsi="Times New Roman" w:cs="Times New Roman"/>
          <w:sz w:val="26"/>
          <w:szCs w:val="26"/>
        </w:rPr>
        <w:t xml:space="preserve"> </w:t>
      </w:r>
      <w:r w:rsidR="00291D85">
        <w:rPr>
          <w:rFonts w:ascii="Times New Roman" w:hAnsi="Times New Roman" w:cs="Times New Roman"/>
          <w:sz w:val="26"/>
          <w:szCs w:val="26"/>
        </w:rPr>
        <w:t>.</w:t>
      </w:r>
    </w:p>
    <w:p w:rsidR="00D20809" w14:paraId="1A2302AC" w14:textId="77777777">
      <w:pPr>
        <w:spacing w:after="0" w:line="240" w:lineRule="auto"/>
        <w:rPr>
          <w:rFonts w:ascii="Times New Roman" w:hAnsi="Times New Roman" w:cs="Times New Roman"/>
          <w:sz w:val="26"/>
          <w:szCs w:val="26"/>
        </w:rPr>
      </w:pPr>
    </w:p>
    <w:p w:rsidR="00D20809" w14:paraId="4C2A2D97"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D20809" w14:paraId="0923E109" w14:textId="77777777">
      <w:pPr>
        <w:spacing w:after="0" w:line="240" w:lineRule="auto"/>
        <w:rPr>
          <w:rFonts w:ascii="Times New Roman" w:hAnsi="Times New Roman" w:cs="Times New Roman"/>
          <w:b/>
          <w:sz w:val="26"/>
          <w:szCs w:val="26"/>
        </w:rPr>
      </w:pPr>
    </w:p>
    <w:p w:rsidR="00D20809" w14:paraId="407CCE5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use statistical methods for these collections.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652269"/>
      <w:docPartObj>
        <w:docPartGallery w:val="Page Numbers (Bottom of Page)"/>
        <w:docPartUnique/>
      </w:docPartObj>
    </w:sdtPr>
    <w:sdtEndPr>
      <w:rPr>
        <w:noProof/>
      </w:rPr>
    </w:sdtEndPr>
    <w:sdtContent>
      <w:p w:rsidR="00E51F85" w14:paraId="4EBB32DA" w14:textId="77777777">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E51F85" w14:paraId="7E9AB3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760A" w14:paraId="1FDFA55F" w14:textId="77777777">
      <w:pPr>
        <w:spacing w:after="0" w:line="240" w:lineRule="auto"/>
      </w:pPr>
      <w:r>
        <w:separator/>
      </w:r>
    </w:p>
  </w:footnote>
  <w:footnote w:type="continuationSeparator" w:id="1">
    <w:p w:rsidR="0072760A" w14:paraId="34298133" w14:textId="77777777">
      <w:pPr>
        <w:spacing w:after="0" w:line="240" w:lineRule="auto"/>
      </w:pPr>
      <w:r>
        <w:continuationSeparator/>
      </w:r>
    </w:p>
  </w:footnote>
  <w:footnote w:type="continuationNotice" w:id="2">
    <w:p w:rsidR="0072760A" w14:paraId="548131E8" w14:textId="77777777">
      <w:pPr>
        <w:spacing w:after="0" w:line="240" w:lineRule="auto"/>
      </w:pPr>
    </w:p>
  </w:footnote>
  <w:footnote w:id="3">
    <w:p w:rsidR="00E51F85" w:rsidRPr="00617ACD" w:rsidP="001970D4" w14:paraId="3E87E478" w14:textId="6C9C5617">
      <w:pPr>
        <w:pStyle w:val="FootnoteText"/>
        <w:rPr>
          <w:sz w:val="26"/>
          <w:szCs w:val="26"/>
        </w:rPr>
      </w:pPr>
      <w:r w:rsidRPr="00617ACD">
        <w:rPr>
          <w:rStyle w:val="FootnoteReference"/>
          <w:sz w:val="26"/>
          <w:szCs w:val="26"/>
        </w:rPr>
        <w:footnoteRef/>
      </w:r>
      <w:r w:rsidRPr="00617ACD">
        <w:rPr>
          <w:sz w:val="26"/>
          <w:szCs w:val="26"/>
        </w:rPr>
        <w:t xml:space="preserve"> </w:t>
      </w:r>
      <w:r w:rsidRPr="00617ACD">
        <w:rPr>
          <w:sz w:val="26"/>
          <w:szCs w:val="26"/>
        </w:rPr>
        <w:tab/>
        <w:t>The Energy Policy Act of 2005, Pub. L. No 109-58, Title XII, Subtitle A, 119 Stat. 594, 941 (2005), codified at 16 U.S.C. 824o (2006).</w:t>
      </w:r>
    </w:p>
  </w:footnote>
  <w:footnote w:id="4">
    <w:p w:rsidR="00E51F85" w:rsidRPr="00617ACD" w:rsidP="001970D4" w14:paraId="7E549D5E" w14:textId="449F9CA0">
      <w:pPr>
        <w:pStyle w:val="FootnoteText"/>
        <w:rPr>
          <w:sz w:val="26"/>
          <w:szCs w:val="26"/>
        </w:rPr>
      </w:pPr>
      <w:r w:rsidRPr="00617ACD">
        <w:rPr>
          <w:rStyle w:val="FootnoteReference"/>
          <w:sz w:val="26"/>
          <w:szCs w:val="26"/>
        </w:rPr>
        <w:footnoteRef/>
      </w:r>
      <w:r w:rsidRPr="00617ACD">
        <w:rPr>
          <w:sz w:val="26"/>
          <w:szCs w:val="26"/>
        </w:rPr>
        <w:t xml:space="preserve"> </w:t>
      </w:r>
      <w:r w:rsidRPr="00617ACD">
        <w:rPr>
          <w:sz w:val="26"/>
          <w:szCs w:val="26"/>
        </w:rPr>
        <w:tab/>
        <w:t>Id. 824o(c), (d).</w:t>
      </w:r>
    </w:p>
  </w:footnote>
  <w:footnote w:id="5">
    <w:p w:rsidR="00E51F85" w:rsidRPr="00617ACD" w:rsidP="001970D4" w14:paraId="0F260DD2" w14:textId="3A489219">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vertAlign w:val="superscript"/>
        </w:rPr>
        <w:tab/>
      </w:r>
      <w:r w:rsidRPr="00617ACD">
        <w:rPr>
          <w:sz w:val="26"/>
          <w:szCs w:val="26"/>
        </w:rPr>
        <w:t>Id. 824o(e).</w:t>
      </w:r>
    </w:p>
  </w:footnote>
  <w:footnote w:id="6">
    <w:p w:rsidR="00E51F85" w:rsidRPr="00617ACD" w:rsidP="001970D4" w14:paraId="41ECEFB4" w14:textId="0D19991C">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vertAlign w:val="superscript"/>
        </w:rPr>
        <w:tab/>
      </w:r>
      <w:r w:rsidRPr="00617ACD">
        <w:rPr>
          <w:sz w:val="26"/>
          <w:szCs w:val="26"/>
        </w:rPr>
        <w:t>“Electric Reliability Organization” or “ERO” means the organization certified by the Commission the purpose of which is to establish and enforce Reliability Standards for the Bulk-Power System, subject to Commission review.</w:t>
      </w:r>
    </w:p>
  </w:footnote>
  <w:footnote w:id="7">
    <w:p w:rsidR="00E51F85" w:rsidRPr="00617ACD" w:rsidP="001970D4" w14:paraId="39B4B1FE" w14:textId="2A137A59">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vertAlign w:val="superscript"/>
        </w:rPr>
        <w:tab/>
      </w:r>
      <w:r w:rsidRPr="00617ACD">
        <w:rPr>
          <w:sz w:val="26"/>
          <w:szCs w:val="26"/>
        </w:rPr>
        <w:t xml:space="preserve">North American Electric Reliability Corp., 116 FERC ¶ 61,062, order on reh’g and compliance, 117 FERC ¶ 61,126 (2006), order on compliance, 118 FERC ¶ 61,190, </w:t>
      </w:r>
      <w:r w:rsidRPr="00617ACD">
        <w:rPr>
          <w:i/>
          <w:sz w:val="26"/>
          <w:szCs w:val="26"/>
        </w:rPr>
        <w:t>order on reh’g</w:t>
      </w:r>
      <w:r w:rsidRPr="00617ACD">
        <w:rPr>
          <w:sz w:val="26"/>
          <w:szCs w:val="26"/>
        </w:rPr>
        <w:t xml:space="preserve">, 119 FERC ¶ 61,046 (2007), </w:t>
      </w:r>
      <w:r w:rsidRPr="00617ACD">
        <w:rPr>
          <w:i/>
          <w:sz w:val="26"/>
          <w:szCs w:val="26"/>
        </w:rPr>
        <w:t>aff’d sub nom. Alcoa Inc. v. FERC</w:t>
      </w:r>
      <w:r w:rsidRPr="00617ACD">
        <w:rPr>
          <w:sz w:val="26"/>
          <w:szCs w:val="26"/>
        </w:rPr>
        <w:t>, 564 F.3d 1342 (D.C. Cir. 2009).</w:t>
      </w:r>
    </w:p>
  </w:footnote>
  <w:footnote w:id="8">
    <w:p w:rsidR="008A4992" w:rsidRPr="00617ACD" w:rsidP="008A4992" w14:paraId="68B28322" w14:textId="77777777">
      <w:pPr>
        <w:pStyle w:val="FootnoteText"/>
        <w:rPr>
          <w:rFonts w:cs="Times New Roman"/>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rPr>
        <w:t>16 U.S.C. 824o</w:t>
      </w:r>
    </w:p>
  </w:footnote>
  <w:footnote w:id="9">
    <w:p w:rsidR="008A4992" w:rsidRPr="00617ACD" w:rsidP="008A4992" w14:paraId="235D90D6" w14:textId="77777777">
      <w:pPr>
        <w:pStyle w:val="FootnoteText"/>
        <w:rPr>
          <w:sz w:val="26"/>
          <w:szCs w:val="26"/>
          <w:lang w:val="pt-BR"/>
        </w:rPr>
      </w:pPr>
      <w:r w:rsidRPr="00617ACD">
        <w:rPr>
          <w:rStyle w:val="FootnoteReference"/>
          <w:sz w:val="26"/>
          <w:szCs w:val="26"/>
        </w:rPr>
        <w:footnoteRef/>
      </w:r>
      <w:r w:rsidRPr="00617ACD">
        <w:rPr>
          <w:sz w:val="26"/>
          <w:szCs w:val="26"/>
          <w:vertAlign w:val="superscript"/>
          <w:lang w:val="pt-BR"/>
        </w:rPr>
        <w:t xml:space="preserve"> </w:t>
      </w:r>
      <w:r w:rsidRPr="00617ACD">
        <w:rPr>
          <w:sz w:val="26"/>
          <w:szCs w:val="26"/>
          <w:lang w:val="pt-BR"/>
        </w:rPr>
        <w:t xml:space="preserve">16 U.S.C. </w:t>
      </w:r>
      <w:r w:rsidRPr="00617ACD">
        <w:rPr>
          <w:sz w:val="26"/>
          <w:szCs w:val="26"/>
          <w:lang w:val="es-ES"/>
        </w:rPr>
        <w:t xml:space="preserve">§ </w:t>
      </w:r>
      <w:r w:rsidRPr="00617ACD">
        <w:rPr>
          <w:sz w:val="26"/>
          <w:szCs w:val="26"/>
          <w:lang w:val="pt-BR"/>
        </w:rPr>
        <w:t xml:space="preserve">824o(e)(4).  </w:t>
      </w:r>
      <w:r w:rsidRPr="00617ACD">
        <w:rPr>
          <w:sz w:val="26"/>
          <w:szCs w:val="26"/>
        </w:rPr>
        <w:t xml:space="preserve">A Regional Entity is an entity that has been approved by the Commission to enforce Reliability Standards under delegated authority from the ERO.  </w:t>
      </w:r>
      <w:r w:rsidRPr="00617ACD">
        <w:rPr>
          <w:i/>
          <w:sz w:val="26"/>
          <w:szCs w:val="26"/>
          <w:lang w:val="pt-BR"/>
        </w:rPr>
        <w:t>See</w:t>
      </w:r>
      <w:r w:rsidRPr="00617ACD">
        <w:rPr>
          <w:sz w:val="26"/>
          <w:szCs w:val="26"/>
          <w:lang w:val="pt-BR"/>
        </w:rPr>
        <w:t xml:space="preserve"> 16 U.S.C. </w:t>
      </w:r>
      <w:r w:rsidRPr="00617ACD">
        <w:rPr>
          <w:sz w:val="26"/>
          <w:szCs w:val="26"/>
          <w:lang w:val="es-ES"/>
        </w:rPr>
        <w:t xml:space="preserve">§ </w:t>
      </w:r>
      <w:r w:rsidRPr="00617ACD">
        <w:rPr>
          <w:sz w:val="26"/>
          <w:szCs w:val="26"/>
          <w:lang w:val="pt-BR"/>
        </w:rPr>
        <w:t>824o(a)(7) and (e)(4).</w:t>
      </w:r>
    </w:p>
  </w:footnote>
  <w:footnote w:id="10">
    <w:p w:rsidR="00895EC4" w:rsidRPr="00617ACD" w:rsidP="00895EC4" w14:paraId="60BBB65A" w14:textId="77777777">
      <w:pPr>
        <w:pStyle w:val="FootnoteText"/>
        <w:rPr>
          <w:sz w:val="26"/>
          <w:szCs w:val="26"/>
        </w:rPr>
      </w:pPr>
      <w:r w:rsidRPr="00617ACD">
        <w:rPr>
          <w:rStyle w:val="FootnoteReference"/>
          <w:sz w:val="26"/>
          <w:szCs w:val="26"/>
        </w:rPr>
        <w:footnoteRef/>
      </w:r>
      <w:r w:rsidRPr="00617ACD">
        <w:rPr>
          <w:sz w:val="26"/>
          <w:szCs w:val="26"/>
        </w:rPr>
        <w:t xml:space="preserve"> 16 U.S.C.824</w:t>
      </w:r>
      <w:r w:rsidRPr="00617ACD">
        <w:rPr>
          <w:i/>
          <w:iCs/>
          <w:sz w:val="26"/>
          <w:szCs w:val="26"/>
        </w:rPr>
        <w:t>o</w:t>
      </w:r>
      <w:r w:rsidRPr="00617ACD">
        <w:rPr>
          <w:sz w:val="26"/>
          <w:szCs w:val="26"/>
        </w:rPr>
        <w:t>.</w:t>
      </w:r>
    </w:p>
  </w:footnote>
  <w:footnote w:id="11">
    <w:p w:rsidR="00895EC4" w:rsidRPr="00617ACD" w:rsidP="00895EC4" w14:paraId="1C4F8A91" w14:textId="77777777">
      <w:pPr>
        <w:pStyle w:val="FootnoteText"/>
        <w:rPr>
          <w:sz w:val="26"/>
          <w:szCs w:val="26"/>
        </w:rPr>
      </w:pPr>
      <w:r w:rsidRPr="00617ACD">
        <w:rPr>
          <w:rStyle w:val="FootnoteReference"/>
          <w:sz w:val="26"/>
          <w:szCs w:val="26"/>
        </w:rPr>
        <w:footnoteRef/>
      </w:r>
      <w:r w:rsidRPr="00617ACD">
        <w:rPr>
          <w:sz w:val="26"/>
          <w:szCs w:val="26"/>
        </w:rPr>
        <w:t xml:space="preserve"> As defined at 16 U.S.C. 824</w:t>
      </w:r>
      <w:r w:rsidRPr="00617ACD">
        <w:rPr>
          <w:i/>
          <w:iCs/>
          <w:sz w:val="26"/>
          <w:szCs w:val="26"/>
        </w:rPr>
        <w:t>o</w:t>
      </w:r>
      <w:r w:rsidRPr="00617ACD">
        <w:rPr>
          <w:sz w:val="26"/>
          <w:szCs w:val="26"/>
        </w:rPr>
        <w:t>(a)(1) and 18 CFR 39.1, the term “bulk-power system” means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w:t>
      </w:r>
    </w:p>
  </w:footnote>
  <w:footnote w:id="12">
    <w:p w:rsidR="00895EC4" w:rsidP="00895EC4" w14:paraId="3283976C" w14:textId="77777777">
      <w:pPr>
        <w:pStyle w:val="FootnoteText"/>
        <w:rPr>
          <w:sz w:val="26"/>
          <w:szCs w:val="26"/>
        </w:rPr>
      </w:pPr>
      <w:r>
        <w:rPr>
          <w:rStyle w:val="FootnoteReference"/>
        </w:rPr>
        <w:footnoteRef/>
      </w:r>
      <w:r>
        <w:rPr>
          <w:sz w:val="26"/>
          <w:szCs w:val="26"/>
        </w:rPr>
        <w:t xml:space="preserve"> 16 U.S.C. 824</w:t>
      </w:r>
      <w:r>
        <w:rPr>
          <w:i/>
          <w:iCs/>
          <w:sz w:val="26"/>
          <w:szCs w:val="26"/>
        </w:rPr>
        <w:t>o</w:t>
      </w:r>
      <w:r>
        <w:rPr>
          <w:sz w:val="26"/>
          <w:szCs w:val="26"/>
        </w:rPr>
        <w:t>(e).</w:t>
      </w:r>
    </w:p>
  </w:footnote>
  <w:footnote w:id="13">
    <w:p w:rsidR="00C9736D" w:rsidP="00C9736D" w14:paraId="19B7C6C0" w14:textId="77777777">
      <w:pPr>
        <w:pStyle w:val="FootnoteText"/>
        <w:rPr>
          <w:sz w:val="26"/>
        </w:rPr>
      </w:pPr>
      <w:r>
        <w:rPr>
          <w:rStyle w:val="FootnoteReference"/>
        </w:rPr>
        <w:footnoteRef/>
      </w:r>
      <w:r>
        <w:rPr>
          <w:sz w:val="26"/>
        </w:rPr>
        <w:t xml:space="preserve"> “Load shedding” means disconnecting consumers from the grid to prevent demand from exceeding supply, which can cause widespread grid collapse.  A “UVLS Program” provides for automatic load shedding, utilizing voltage inputs, in specific circumstances and locations.</w:t>
      </w:r>
    </w:p>
  </w:footnote>
  <w:footnote w:id="14">
    <w:p w:rsidR="00E51F85" w14:paraId="641D42CD" w14:textId="3DEBCADA">
      <w:pPr>
        <w:pStyle w:val="FootnoteText"/>
        <w:rPr>
          <w:rFonts w:cs="Times New Roman"/>
          <w:sz w:val="26"/>
          <w:szCs w:val="26"/>
        </w:rPr>
      </w:pPr>
      <w:r w:rsidRPr="001970D4">
        <w:rPr>
          <w:vertAlign w:val="superscript"/>
        </w:rPr>
        <w:footnoteRef/>
      </w:r>
      <w:r w:rsidRPr="001970D4">
        <w:rPr>
          <w:vertAlign w:val="superscript"/>
        </w:rPr>
        <w:t xml:space="preserve"> </w:t>
      </w:r>
      <w:r w:rsidRPr="001970D4">
        <w:rPr>
          <w:vertAlign w:val="superscript"/>
        </w:rPr>
        <w:tab/>
      </w:r>
      <w:r w:rsidRPr="001970D4">
        <w:t xml:space="preserve">Details of the current ERO Reliability Standard processes are available on the NERC website at </w:t>
      </w:r>
      <w:hyperlink r:id="rId1" w:history="1">
        <w:r w:rsidRPr="001970D4">
          <w:t>http://www.nerc.com/FilingsOrders/us/RuleOfProcedureDL/Appendix_3A_StandardProcessesManual_20130626.pdf</w:t>
        </w:r>
      </w:hyperlink>
      <w:r w:rsidRPr="001970D4">
        <w:t>.</w:t>
      </w:r>
      <w:r>
        <w:t xml:space="preserve"> </w:t>
      </w:r>
    </w:p>
  </w:footnote>
  <w:footnote w:id="15">
    <w:p w:rsidR="00BE6612" w:rsidRPr="00617ACD" w:rsidP="00BE6612" w14:paraId="0D4C4806" w14:textId="77777777">
      <w:pPr>
        <w:pStyle w:val="FootnoteText"/>
        <w:rPr>
          <w:rFonts w:eastAsia="Times New Roman"/>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rPr>
        <w:t>These values were derived from the NERC Compliance data of April 16, 2024, using only unique United States registered entities.</w:t>
      </w:r>
    </w:p>
  </w:footnote>
  <w:footnote w:id="16">
    <w:p w:rsidR="00BE6612" w:rsidRPr="00617ACD" w:rsidP="00BE6612" w14:paraId="4273CBC5" w14:textId="77777777">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BE6612" w:rsidRPr="00617ACD" w:rsidP="00BE6612" w14:paraId="6F5D2A3E" w14:textId="77777777">
      <w:pPr>
        <w:pStyle w:val="FootnoteText"/>
        <w:rPr>
          <w:sz w:val="26"/>
          <w:szCs w:val="26"/>
        </w:rPr>
      </w:pPr>
    </w:p>
  </w:footnote>
  <w:footnote w:id="17">
    <w:p w:rsidR="00BE6612" w:rsidRPr="00617ACD" w:rsidP="00BE6612" w14:paraId="642A7905" w14:textId="77777777">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rPr>
        <w:t xml:space="preserve">For PRC-011-0 (Undervoltage Load Shedding System Maintenance and Testing) Reliability Standard, not ever applicable TO (324) and DP (371) have UVLS programs.  Staff estimates that fifty percent of the TOs and DPs need to follow PRC-011-0, so the number of entities will be TO (162) and DP (181). </w:t>
      </w:r>
    </w:p>
  </w:footnote>
  <w:footnote w:id="18">
    <w:p w:rsidR="00BE6612" w:rsidRPr="00617ACD" w:rsidP="00BE6612" w14:paraId="4C718F41" w14:textId="77777777">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rPr>
        <w:t>These values were derived from the NERC Compliance data of April 16, 2024, using only unique United States registered entities.  For PRC-011-0 only half of the TO = Transmission Owner (324/2 = 162) and DP = Distribution Provider (371/2 = 180.5, rounded to 181).</w:t>
      </w:r>
    </w:p>
  </w:footnote>
  <w:footnote w:id="19">
    <w:p w:rsidR="00BE6612" w:rsidRPr="00617ACD" w:rsidP="00BE6612" w14:paraId="3B9193AB" w14:textId="77777777">
      <w:pPr>
        <w:pStyle w:val="FootnoteText"/>
        <w:rPr>
          <w:sz w:val="26"/>
          <w:szCs w:val="26"/>
        </w:rPr>
      </w:pPr>
      <w:r w:rsidRPr="00617ACD">
        <w:rPr>
          <w:rStyle w:val="FootnoteReference"/>
          <w:sz w:val="26"/>
          <w:szCs w:val="26"/>
        </w:rPr>
        <w:footnoteRef/>
      </w:r>
      <w:r w:rsidRPr="00617ACD">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BE6612" w:rsidRPr="00617ACD" w:rsidP="00BE6612" w14:paraId="5ADAE5E7" w14:textId="77777777">
      <w:pPr>
        <w:pStyle w:val="FootnoteText"/>
        <w:ind w:firstLine="720"/>
        <w:rPr>
          <w:sz w:val="26"/>
          <w:szCs w:val="26"/>
        </w:rPr>
      </w:pPr>
    </w:p>
  </w:footnote>
  <w:footnote w:id="20">
    <w:p w:rsidR="00BE6612" w:rsidRPr="00617ACD" w:rsidP="00BE6612" w14:paraId="1AB2C682" w14:textId="77777777">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rPr>
        <w:t>These values were derived from the NERC Compliance data of April 16, 2024, using only unique United States registered entities.</w:t>
      </w:r>
    </w:p>
    <w:p w:rsidR="00BE6612" w:rsidRPr="00617ACD" w:rsidP="00BE6612" w14:paraId="577618CE" w14:textId="77777777">
      <w:pPr>
        <w:pStyle w:val="FootnoteText"/>
        <w:rPr>
          <w:sz w:val="26"/>
          <w:szCs w:val="26"/>
        </w:rPr>
      </w:pPr>
    </w:p>
  </w:footnote>
  <w:footnote w:id="21">
    <w:p w:rsidR="00BE6612" w:rsidRPr="00617ACD" w:rsidP="00BE6612" w14:paraId="68A27DC9" w14:textId="77777777">
      <w:pPr>
        <w:pStyle w:val="FootnoteText"/>
        <w:rPr>
          <w:sz w:val="26"/>
          <w:szCs w:val="26"/>
        </w:rPr>
      </w:pPr>
      <w:r w:rsidRPr="00617ACD">
        <w:rPr>
          <w:rStyle w:val="FootnoteReference"/>
          <w:sz w:val="26"/>
          <w:szCs w:val="26"/>
        </w:rPr>
        <w:footnoteRef/>
      </w:r>
      <w:r w:rsidRPr="00617ACD">
        <w:rPr>
          <w:sz w:val="26"/>
          <w:szCs w:val="26"/>
          <w:vertAlign w:val="superscript"/>
        </w:rPr>
        <w:t xml:space="preserve"> </w:t>
      </w:r>
      <w:r w:rsidRPr="00617ACD">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BE6612" w:rsidRPr="00617ACD" w:rsidP="00BE6612" w14:paraId="3CC077E3" w14:textId="77777777">
      <w:pPr>
        <w:pStyle w:val="FootnoteText"/>
        <w:rPr>
          <w:sz w:val="26"/>
          <w:szCs w:val="26"/>
        </w:rPr>
      </w:pPr>
    </w:p>
  </w:footnote>
  <w:footnote w:id="22">
    <w:p w:rsidR="00635D1F" w:rsidP="00635D1F" w14:paraId="0ED60FB0" w14:textId="77777777">
      <w:pPr>
        <w:pStyle w:val="FootnoteText"/>
      </w:pPr>
      <w:r>
        <w:rPr>
          <w:rStyle w:val="FootnoteReference"/>
        </w:rPr>
        <w:footnoteRef/>
      </w:r>
      <w:r>
        <w:t xml:space="preserve"> </w:t>
      </w:r>
      <w:r>
        <w:rPr>
          <w:sz w:val="26"/>
          <w:szCs w:val="26"/>
        </w:rPr>
        <w:t xml:space="preserve">Using the November 20, 2024, NERC compliance registration information for entities that are Generator Owners, Transmission Owners, and Distribution Providers (in the US), the number of potential respondents is 1,861.  However, not every entity will have a </w:t>
      </w:r>
      <w:r>
        <w:rPr>
          <w:sz w:val="26"/>
          <w:szCs w:val="26"/>
        </w:rPr>
        <w:t>misoperation</w:t>
      </w:r>
      <w:r>
        <w:rPr>
          <w:sz w:val="26"/>
          <w:szCs w:val="26"/>
        </w:rPr>
        <w:t xml:space="preserve"> event during a year.  Based on our previous experience with this information collection, we are estimating that approximately half of the 1,861 potential respondents annually will have a reportable </w:t>
      </w:r>
      <w:r>
        <w:rPr>
          <w:sz w:val="26"/>
          <w:szCs w:val="26"/>
        </w:rPr>
        <w:t>misoperation</w:t>
      </w:r>
      <w:r>
        <w:rPr>
          <w:sz w:val="26"/>
          <w:szCs w:val="26"/>
        </w:rPr>
        <w:t>, i.e., 930 (rounded) responses per year for FERC-725G1.</w:t>
      </w:r>
    </w:p>
  </w:footnote>
  <w:footnote w:id="23">
    <w:p w:rsidR="00635D1F" w:rsidP="00635D1F" w14:paraId="45247C39"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24">
    <w:p w:rsidR="008A354F" w:rsidP="008A354F" w14:paraId="77AF7382" w14:textId="77777777">
      <w:pPr>
        <w:pStyle w:val="FootnoteText"/>
      </w:pPr>
      <w:r>
        <w:rPr>
          <w:rStyle w:val="FootnoteReference"/>
        </w:rPr>
        <w:footnoteRef/>
      </w:r>
      <w:r>
        <w:t xml:space="preserve"> </w:t>
      </w:r>
      <w:r>
        <w:rPr>
          <w:sz w:val="26"/>
          <w:szCs w:val="26"/>
        </w:rPr>
        <w:t>Using the November 20, 2024, NERC compliance registration information for only unique US entities that are Transmission Owners (325) and Distribution Providers (298), the number of potential respondents is 623, considering overlap between functions.  However, not every entity has an under-voltage load shedding program.  Approximately five percent of the potential respondents have such a program.  Therefore, we estimate 31 (rounded) responses per year for FERC-725G4.</w:t>
      </w:r>
    </w:p>
  </w:footnote>
  <w:footnote w:id="25">
    <w:p w:rsidR="008A354F" w:rsidP="008A354F" w14:paraId="20EF4787"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26">
    <w:p w:rsidR="001316AC" w:rsidP="001316AC" w14:paraId="405174A8" w14:textId="77777777">
      <w:pPr>
        <w:pStyle w:val="FootnoteText"/>
      </w:pPr>
      <w:r>
        <w:rPr>
          <w:rStyle w:val="FootnoteReference"/>
        </w:rPr>
        <w:footnoteRef/>
      </w:r>
      <w:r>
        <w:t xml:space="preserve"> </w:t>
      </w:r>
      <w:r>
        <w:rPr>
          <w:sz w:val="26"/>
          <w:szCs w:val="26"/>
        </w:rPr>
        <w:t>Using the November 20, 2024, NERC compliance registration information for only unique US entities that are Distribution Providers (298), generator owners (1,238) and transmission owners (325).  Therefore, we estimate 1,861 (rounded) responses per year for FERC-725P1.</w:t>
      </w:r>
    </w:p>
  </w:footnote>
  <w:footnote w:id="27">
    <w:p w:rsidR="001316AC" w:rsidP="001316AC" w14:paraId="0FF5294D"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28">
    <w:p w:rsidR="0045198A" w:rsidP="0045198A" w14:paraId="75096105"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29">
    <w:p w:rsidR="00E51F85" w:rsidRPr="00617ACD" w:rsidP="00B47F3A" w14:paraId="710463C8" w14:textId="62EE8FAA">
      <w:pPr>
        <w:pStyle w:val="FootnoteText"/>
        <w:rPr>
          <w:rFonts w:cs="Times New Roman"/>
          <w:sz w:val="26"/>
          <w:szCs w:val="26"/>
        </w:rPr>
      </w:pPr>
      <w:r w:rsidRPr="00617ACD">
        <w:rPr>
          <w:sz w:val="26"/>
          <w:szCs w:val="26"/>
          <w:vertAlign w:val="superscript"/>
        </w:rPr>
        <w:footnoteRef/>
      </w:r>
      <w:r w:rsidRPr="00617ACD">
        <w:rPr>
          <w:sz w:val="26"/>
          <w:szCs w:val="26"/>
          <w:vertAlign w:val="superscript"/>
        </w:rPr>
        <w:t xml:space="preserve"> </w:t>
      </w:r>
      <w:r w:rsidRPr="00617ACD">
        <w:rPr>
          <w:sz w:val="26"/>
          <w:szCs w:val="26"/>
          <w:vertAlign w:val="superscript"/>
        </w:rPr>
        <w:tab/>
      </w:r>
      <w:r w:rsidRPr="00617ACD">
        <w:rPr>
          <w:sz w:val="26"/>
          <w:szCs w:val="26"/>
        </w:rPr>
        <w:t>Based on the Commission’s FY (Fiscal Year) 2020 average cost (for wages plus benefits), $83.00/hour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C0C" w:rsidP="001D6A5A" w14:paraId="1632B5B5" w14:textId="77777777">
    <w:pPr>
      <w:pStyle w:val="Header"/>
      <w:rPr>
        <w:rFonts w:ascii="Times New Roman" w:hAnsi="Times New Roman" w:cs="Times New Roman"/>
        <w:sz w:val="26"/>
        <w:szCs w:val="26"/>
      </w:rPr>
    </w:pPr>
    <w:bookmarkStart w:id="7" w:name="_Hlk83646238"/>
    <w:r>
      <w:rPr>
        <w:rFonts w:ascii="Times New Roman" w:hAnsi="Times New Roman" w:cs="Times New Roman"/>
        <w:sz w:val="26"/>
        <w:szCs w:val="26"/>
      </w:rPr>
      <w:t>FERC-725G (OMB Control No. 1902-0252)</w:t>
    </w:r>
  </w:p>
  <w:p w:rsidR="00736876" w:rsidP="001D6A5A" w14:paraId="5C6A36B5" w14:textId="3539EC3F">
    <w:pPr>
      <w:pStyle w:val="Header"/>
      <w:rPr>
        <w:rFonts w:ascii="Times New Roman" w:hAnsi="Times New Roman" w:cs="Times New Roman"/>
        <w:sz w:val="26"/>
        <w:szCs w:val="26"/>
      </w:rPr>
    </w:pPr>
    <w:r>
      <w:rPr>
        <w:rFonts w:ascii="Times New Roman" w:hAnsi="Times New Roman" w:cs="Times New Roman"/>
        <w:sz w:val="26"/>
        <w:szCs w:val="26"/>
      </w:rPr>
      <w:t>R</w:t>
    </w:r>
    <w:r w:rsidRPr="00736876">
      <w:rPr>
        <w:rFonts w:ascii="Times New Roman" w:hAnsi="Times New Roman" w:cs="Times New Roman"/>
        <w:sz w:val="26"/>
        <w:szCs w:val="26"/>
      </w:rPr>
      <w:t xml:space="preserve">enewal request </w:t>
    </w:r>
    <w:r>
      <w:rPr>
        <w:rFonts w:ascii="Times New Roman" w:hAnsi="Times New Roman" w:cs="Times New Roman"/>
        <w:sz w:val="26"/>
        <w:szCs w:val="26"/>
      </w:rPr>
      <w:t>and</w:t>
    </w:r>
    <w:r w:rsidRPr="00736876">
      <w:rPr>
        <w:rFonts w:ascii="Times New Roman" w:hAnsi="Times New Roman" w:cs="Times New Roman"/>
        <w:sz w:val="26"/>
        <w:szCs w:val="26"/>
      </w:rPr>
      <w:t xml:space="preserve"> updating the transfer of 725G1, 725G4, 725P1and 725A’s (PRC-008, PRC-011, and PRC-017)</w:t>
    </w:r>
  </w:p>
  <w:bookmarkEnd w:id="7"/>
  <w:p w:rsidR="00E51F85" w14:paraId="42BD040C" w14:textId="55C1072B">
    <w:pPr>
      <w:pStyle w:val="Header"/>
      <w:rPr>
        <w:rFonts w:ascii="Times New Roman" w:hAnsi="Times New Roman" w:cs="Times New Roman"/>
        <w:sz w:val="26"/>
        <w:szCs w:val="26"/>
      </w:rPr>
    </w:pPr>
  </w:p>
  <w:p w:rsidR="00E51F85" w14:paraId="685112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D4774B"/>
    <w:multiLevelType w:val="hybridMultilevel"/>
    <w:tmpl w:val="2FAE9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B34444"/>
    <w:multiLevelType w:val="hybridMultilevel"/>
    <w:tmpl w:val="67F20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E0459"/>
    <w:multiLevelType w:val="hybridMultilevel"/>
    <w:tmpl w:val="F33C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247988"/>
    <w:multiLevelType w:val="hybridMultilevel"/>
    <w:tmpl w:val="A8E26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977DE"/>
    <w:multiLevelType w:val="hybridMultilevel"/>
    <w:tmpl w:val="90A0E1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F0F7C40"/>
    <w:multiLevelType w:val="hybridMultilevel"/>
    <w:tmpl w:val="EC4A5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B663B2B"/>
    <w:multiLevelType w:val="hybridMultilevel"/>
    <w:tmpl w:val="2E98E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D3B09D3"/>
    <w:multiLevelType w:val="hybridMultilevel"/>
    <w:tmpl w:val="F77841C6"/>
    <w:lvl w:ilvl="0">
      <w:start w:val="1"/>
      <w:numFmt w:val="decimal"/>
      <w:pStyle w:val="FERCparanumber"/>
      <w:lvlText w:val="%1."/>
      <w:lvlJc w:val="left"/>
      <w:pPr>
        <w:tabs>
          <w:tab w:val="num" w:pos="720"/>
        </w:tabs>
        <w:ind w:left="0" w:firstLine="0"/>
      </w:pPr>
      <w:rPr>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CD3C3F"/>
    <w:multiLevelType w:val="hybridMultilevel"/>
    <w:tmpl w:val="E214C7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147777">
    <w:abstractNumId w:val="4"/>
  </w:num>
  <w:num w:numId="2" w16cid:durableId="582839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519336">
    <w:abstractNumId w:val="0"/>
  </w:num>
  <w:num w:numId="4" w16cid:durableId="218516992">
    <w:abstractNumId w:val="7"/>
  </w:num>
  <w:num w:numId="5" w16cid:durableId="1414889441">
    <w:abstractNumId w:val="8"/>
  </w:num>
  <w:num w:numId="6" w16cid:durableId="799693729">
    <w:abstractNumId w:val="4"/>
  </w:num>
  <w:num w:numId="7" w16cid:durableId="1509562431">
    <w:abstractNumId w:val="13"/>
  </w:num>
  <w:num w:numId="8" w16cid:durableId="1619141766">
    <w:abstractNumId w:val="9"/>
  </w:num>
  <w:num w:numId="9" w16cid:durableId="943925402">
    <w:abstractNumId w:val="5"/>
  </w:num>
  <w:num w:numId="10" w16cid:durableId="2111199326">
    <w:abstractNumId w:val="10"/>
  </w:num>
  <w:num w:numId="11" w16cid:durableId="2020934438">
    <w:abstractNumId w:val="12"/>
  </w:num>
  <w:num w:numId="12" w16cid:durableId="1126851000">
    <w:abstractNumId w:val="11"/>
  </w:num>
  <w:num w:numId="13" w16cid:durableId="13584001">
    <w:abstractNumId w:val="3"/>
  </w:num>
  <w:num w:numId="14" w16cid:durableId="1039628176">
    <w:abstractNumId w:val="2"/>
  </w:num>
  <w:num w:numId="15" w16cid:durableId="33550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09"/>
    <w:rsid w:val="00021039"/>
    <w:rsid w:val="000215F5"/>
    <w:rsid w:val="000226C5"/>
    <w:rsid w:val="00030E40"/>
    <w:rsid w:val="000350D8"/>
    <w:rsid w:val="000444E5"/>
    <w:rsid w:val="00051295"/>
    <w:rsid w:val="00080541"/>
    <w:rsid w:val="00082A11"/>
    <w:rsid w:val="000A29B2"/>
    <w:rsid w:val="000A3605"/>
    <w:rsid w:val="000B09AE"/>
    <w:rsid w:val="000C200B"/>
    <w:rsid w:val="000C3D10"/>
    <w:rsid w:val="000C5B66"/>
    <w:rsid w:val="000C7A17"/>
    <w:rsid w:val="000D60C4"/>
    <w:rsid w:val="00102301"/>
    <w:rsid w:val="0011717D"/>
    <w:rsid w:val="001316AC"/>
    <w:rsid w:val="00134CF7"/>
    <w:rsid w:val="001402E7"/>
    <w:rsid w:val="001416EF"/>
    <w:rsid w:val="00151CB0"/>
    <w:rsid w:val="0015219E"/>
    <w:rsid w:val="00156912"/>
    <w:rsid w:val="001900EF"/>
    <w:rsid w:val="0019164C"/>
    <w:rsid w:val="001970D4"/>
    <w:rsid w:val="001C5A32"/>
    <w:rsid w:val="001C74FF"/>
    <w:rsid w:val="001D6A5A"/>
    <w:rsid w:val="001E33AC"/>
    <w:rsid w:val="001F6D20"/>
    <w:rsid w:val="00217952"/>
    <w:rsid w:val="00222CD0"/>
    <w:rsid w:val="00250667"/>
    <w:rsid w:val="00250D74"/>
    <w:rsid w:val="00252516"/>
    <w:rsid w:val="00271D2D"/>
    <w:rsid w:val="00274585"/>
    <w:rsid w:val="00291D85"/>
    <w:rsid w:val="002A006D"/>
    <w:rsid w:val="002A04DE"/>
    <w:rsid w:val="002A115D"/>
    <w:rsid w:val="002B5A6C"/>
    <w:rsid w:val="002B737B"/>
    <w:rsid w:val="002C2882"/>
    <w:rsid w:val="002C4012"/>
    <w:rsid w:val="002D3D7C"/>
    <w:rsid w:val="002D6CEA"/>
    <w:rsid w:val="002D752A"/>
    <w:rsid w:val="002F3603"/>
    <w:rsid w:val="002F402D"/>
    <w:rsid w:val="00306A69"/>
    <w:rsid w:val="00331D33"/>
    <w:rsid w:val="00346547"/>
    <w:rsid w:val="0034737A"/>
    <w:rsid w:val="003475B2"/>
    <w:rsid w:val="0036430B"/>
    <w:rsid w:val="00370B82"/>
    <w:rsid w:val="00384B68"/>
    <w:rsid w:val="00397C2E"/>
    <w:rsid w:val="003A5F75"/>
    <w:rsid w:val="003B2ED0"/>
    <w:rsid w:val="003B7608"/>
    <w:rsid w:val="003C4D6A"/>
    <w:rsid w:val="003C6BB8"/>
    <w:rsid w:val="003E0A00"/>
    <w:rsid w:val="003F18BF"/>
    <w:rsid w:val="0040657A"/>
    <w:rsid w:val="0040701B"/>
    <w:rsid w:val="00414A30"/>
    <w:rsid w:val="00450717"/>
    <w:rsid w:val="0045198A"/>
    <w:rsid w:val="00453D67"/>
    <w:rsid w:val="00463E80"/>
    <w:rsid w:val="00470CCF"/>
    <w:rsid w:val="004A28D4"/>
    <w:rsid w:val="004B36BC"/>
    <w:rsid w:val="004C2CD0"/>
    <w:rsid w:val="004D3A97"/>
    <w:rsid w:val="004E7A85"/>
    <w:rsid w:val="00500948"/>
    <w:rsid w:val="005108D3"/>
    <w:rsid w:val="00540CDD"/>
    <w:rsid w:val="005453BF"/>
    <w:rsid w:val="0054676B"/>
    <w:rsid w:val="00550796"/>
    <w:rsid w:val="00553228"/>
    <w:rsid w:val="00576231"/>
    <w:rsid w:val="00577A79"/>
    <w:rsid w:val="005947DE"/>
    <w:rsid w:val="00594DD5"/>
    <w:rsid w:val="00597DBF"/>
    <w:rsid w:val="005A0CC0"/>
    <w:rsid w:val="005A2281"/>
    <w:rsid w:val="005A31E2"/>
    <w:rsid w:val="005D0329"/>
    <w:rsid w:val="005D5803"/>
    <w:rsid w:val="005D5FE8"/>
    <w:rsid w:val="005D6E54"/>
    <w:rsid w:val="005E535F"/>
    <w:rsid w:val="005F37DC"/>
    <w:rsid w:val="005F3A2E"/>
    <w:rsid w:val="005F44C0"/>
    <w:rsid w:val="005F4A0D"/>
    <w:rsid w:val="00604C43"/>
    <w:rsid w:val="00617ACD"/>
    <w:rsid w:val="00635D1F"/>
    <w:rsid w:val="00644162"/>
    <w:rsid w:val="00670192"/>
    <w:rsid w:val="006739F4"/>
    <w:rsid w:val="00675EFF"/>
    <w:rsid w:val="0069066D"/>
    <w:rsid w:val="0071100D"/>
    <w:rsid w:val="00715D4E"/>
    <w:rsid w:val="007162BA"/>
    <w:rsid w:val="0072760A"/>
    <w:rsid w:val="00736876"/>
    <w:rsid w:val="00756765"/>
    <w:rsid w:val="00764155"/>
    <w:rsid w:val="00770940"/>
    <w:rsid w:val="007736BF"/>
    <w:rsid w:val="00775BFB"/>
    <w:rsid w:val="00787AAD"/>
    <w:rsid w:val="0079268D"/>
    <w:rsid w:val="007A2DBC"/>
    <w:rsid w:val="007C0F1B"/>
    <w:rsid w:val="007C6B1E"/>
    <w:rsid w:val="007C756A"/>
    <w:rsid w:val="007E223B"/>
    <w:rsid w:val="007E7DDD"/>
    <w:rsid w:val="007F10FC"/>
    <w:rsid w:val="007F12FF"/>
    <w:rsid w:val="007F4AB7"/>
    <w:rsid w:val="007F6920"/>
    <w:rsid w:val="00813951"/>
    <w:rsid w:val="008141EE"/>
    <w:rsid w:val="00814B40"/>
    <w:rsid w:val="00832D4D"/>
    <w:rsid w:val="00836EDF"/>
    <w:rsid w:val="008428C4"/>
    <w:rsid w:val="00846854"/>
    <w:rsid w:val="00851F60"/>
    <w:rsid w:val="00852DC0"/>
    <w:rsid w:val="0087058F"/>
    <w:rsid w:val="00874F9D"/>
    <w:rsid w:val="008833C4"/>
    <w:rsid w:val="008912F5"/>
    <w:rsid w:val="00892575"/>
    <w:rsid w:val="00895EC4"/>
    <w:rsid w:val="008A354F"/>
    <w:rsid w:val="008A4992"/>
    <w:rsid w:val="008B6D92"/>
    <w:rsid w:val="008C1605"/>
    <w:rsid w:val="008C6A78"/>
    <w:rsid w:val="008D3E58"/>
    <w:rsid w:val="008E0F3A"/>
    <w:rsid w:val="008F2841"/>
    <w:rsid w:val="008F7866"/>
    <w:rsid w:val="00900953"/>
    <w:rsid w:val="00957917"/>
    <w:rsid w:val="0096080F"/>
    <w:rsid w:val="00965CC8"/>
    <w:rsid w:val="00973AE4"/>
    <w:rsid w:val="00975B16"/>
    <w:rsid w:val="00990AEE"/>
    <w:rsid w:val="009A154E"/>
    <w:rsid w:val="009A6633"/>
    <w:rsid w:val="009B66B9"/>
    <w:rsid w:val="009B6819"/>
    <w:rsid w:val="009C24E0"/>
    <w:rsid w:val="009D5233"/>
    <w:rsid w:val="009D62F6"/>
    <w:rsid w:val="009F47B7"/>
    <w:rsid w:val="00A015B3"/>
    <w:rsid w:val="00A171CA"/>
    <w:rsid w:val="00A34EB5"/>
    <w:rsid w:val="00A34FBA"/>
    <w:rsid w:val="00A3539C"/>
    <w:rsid w:val="00A35747"/>
    <w:rsid w:val="00A558AD"/>
    <w:rsid w:val="00A70BD1"/>
    <w:rsid w:val="00A80289"/>
    <w:rsid w:val="00A8093F"/>
    <w:rsid w:val="00A851C7"/>
    <w:rsid w:val="00A90F37"/>
    <w:rsid w:val="00A91402"/>
    <w:rsid w:val="00AB3A0E"/>
    <w:rsid w:val="00AD5670"/>
    <w:rsid w:val="00AE1BB6"/>
    <w:rsid w:val="00AF48D3"/>
    <w:rsid w:val="00B22060"/>
    <w:rsid w:val="00B22694"/>
    <w:rsid w:val="00B25AFA"/>
    <w:rsid w:val="00B357DC"/>
    <w:rsid w:val="00B426C5"/>
    <w:rsid w:val="00B4660C"/>
    <w:rsid w:val="00B470B1"/>
    <w:rsid w:val="00B47F3A"/>
    <w:rsid w:val="00B62FAC"/>
    <w:rsid w:val="00B72977"/>
    <w:rsid w:val="00B83708"/>
    <w:rsid w:val="00BA7C8D"/>
    <w:rsid w:val="00BB640B"/>
    <w:rsid w:val="00BC508A"/>
    <w:rsid w:val="00BD123C"/>
    <w:rsid w:val="00BD3546"/>
    <w:rsid w:val="00BD6FC6"/>
    <w:rsid w:val="00BD762F"/>
    <w:rsid w:val="00BE6364"/>
    <w:rsid w:val="00BE6612"/>
    <w:rsid w:val="00BF0842"/>
    <w:rsid w:val="00BF3E5B"/>
    <w:rsid w:val="00C07EA9"/>
    <w:rsid w:val="00C21B93"/>
    <w:rsid w:val="00C73090"/>
    <w:rsid w:val="00C76C3F"/>
    <w:rsid w:val="00C77612"/>
    <w:rsid w:val="00C862EF"/>
    <w:rsid w:val="00C90C0C"/>
    <w:rsid w:val="00C927B3"/>
    <w:rsid w:val="00C9323B"/>
    <w:rsid w:val="00C93516"/>
    <w:rsid w:val="00C93A80"/>
    <w:rsid w:val="00C9736D"/>
    <w:rsid w:val="00CB6FA9"/>
    <w:rsid w:val="00CC6F4B"/>
    <w:rsid w:val="00CD0DC0"/>
    <w:rsid w:val="00CD1C42"/>
    <w:rsid w:val="00CD29BC"/>
    <w:rsid w:val="00CE0CA0"/>
    <w:rsid w:val="00CE727A"/>
    <w:rsid w:val="00CF5B1F"/>
    <w:rsid w:val="00D1050F"/>
    <w:rsid w:val="00D133CB"/>
    <w:rsid w:val="00D171C8"/>
    <w:rsid w:val="00D1755A"/>
    <w:rsid w:val="00D20809"/>
    <w:rsid w:val="00D2553B"/>
    <w:rsid w:val="00D27201"/>
    <w:rsid w:val="00D33BBF"/>
    <w:rsid w:val="00D35BE7"/>
    <w:rsid w:val="00D5139A"/>
    <w:rsid w:val="00D710D0"/>
    <w:rsid w:val="00D801C8"/>
    <w:rsid w:val="00DC25F8"/>
    <w:rsid w:val="00DC3B67"/>
    <w:rsid w:val="00DC4335"/>
    <w:rsid w:val="00DD0FA9"/>
    <w:rsid w:val="00DE5D5A"/>
    <w:rsid w:val="00DE7756"/>
    <w:rsid w:val="00DE7E23"/>
    <w:rsid w:val="00E0071C"/>
    <w:rsid w:val="00E115B9"/>
    <w:rsid w:val="00E13933"/>
    <w:rsid w:val="00E30717"/>
    <w:rsid w:val="00E51EB8"/>
    <w:rsid w:val="00E51F85"/>
    <w:rsid w:val="00E54EDD"/>
    <w:rsid w:val="00E66C07"/>
    <w:rsid w:val="00E74C7C"/>
    <w:rsid w:val="00E83403"/>
    <w:rsid w:val="00E8471E"/>
    <w:rsid w:val="00E868A7"/>
    <w:rsid w:val="00EC3936"/>
    <w:rsid w:val="00EC7428"/>
    <w:rsid w:val="00EE3D39"/>
    <w:rsid w:val="00EF328B"/>
    <w:rsid w:val="00EF5913"/>
    <w:rsid w:val="00F21BBE"/>
    <w:rsid w:val="00F26D65"/>
    <w:rsid w:val="00F3460C"/>
    <w:rsid w:val="00F516BE"/>
    <w:rsid w:val="00F72D86"/>
    <w:rsid w:val="00F769EE"/>
    <w:rsid w:val="00F87521"/>
    <w:rsid w:val="00F90249"/>
    <w:rsid w:val="00FA5839"/>
    <w:rsid w:val="00FB21EF"/>
    <w:rsid w:val="00FD21DA"/>
    <w:rsid w:val="00FD610C"/>
    <w:rsid w:val="00FE4195"/>
    <w:rsid w:val="00FF42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B3226"/>
  <w15:docId w15:val="{2F76F334-A293-4BB4-9D83-F592B37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1970D4"/>
    <w:pPr>
      <w:spacing w:after="0" w:line="240" w:lineRule="auto"/>
      <w:ind w:left="245" w:hanging="245"/>
    </w:pPr>
    <w:rPr>
      <w:rFonts w:ascii="Times New Roman" w:hAnsi="Times New Roman"/>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1970D4"/>
    <w:rPr>
      <w:rFonts w:ascii="Times New Roman" w:hAnsi="Times New Roman"/>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Pr>
      <w:vertAlign w:val="superscript"/>
    </w:rPr>
  </w:style>
  <w:style w:type="character" w:styleId="Hyperlink">
    <w:name w:val="Hyperlink"/>
    <w:basedOn w:val="DefaultParagraphFont"/>
    <w:uiPriority w:val="99"/>
    <w:unhideWhenUsed/>
    <w:rPr>
      <w:rFonts w:ascii="Times New Roman" w:hAnsi="Times New Roman" w:cs="Times New Roman" w:hint="default"/>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970D4"/>
    <w:rPr>
      <w:color w:val="605E5C"/>
      <w:shd w:val="clear" w:color="auto" w:fill="E1DFDD"/>
    </w:rPr>
  </w:style>
  <w:style w:type="paragraph" w:customStyle="1" w:styleId="FERCparanumber">
    <w:name w:val="FERC paranumber"/>
    <w:basedOn w:val="Normal"/>
    <w:qFormat/>
    <w:rsid w:val="004D3A97"/>
    <w:pPr>
      <w:numPr>
        <w:numId w:val="11"/>
      </w:numPr>
      <w:spacing w:after="0" w:line="480" w:lineRule="auto"/>
    </w:pPr>
    <w:rPr>
      <w:rFonts w:ascii="Times New Roman" w:hAnsi="Times New Roman" w:cs="Times New Roman"/>
      <w:sz w:val="26"/>
    </w:rPr>
  </w:style>
  <w:style w:type="table" w:styleId="TableGrid">
    <w:name w:val="Table Grid"/>
    <w:basedOn w:val="TableNormal"/>
    <w:rsid w:val="000B09A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35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enforcement-legal/legal/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erc.com/FilingsOrders/us/RuleOfProcedureDL/Appendix_3A_StandardProcessesManual_2013062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IC21-30</_x0033__x002e__x0020_Docket_x0020_Number>
    <_x0031__x002e__x0020_Collection_x0020_Number xmlns="d6eefc7d-9817-4fa6-84d5-3bc009be21b8">725G</_x0031__x002e__x0020_Collection_x0020_Number>
    <Date xmlns="d6eefc7d-9817-4fa6-84d5-3bc009be21b8">2021-09-27T04:00:00+00:00</Date>
    <Status xmlns="d6eefc7d-9817-4fa6-84d5-3bc009be21b8">Draft</Status>
    <_x0032__x002e__x0020_Docket_x0020_Number xmlns="d6eefc7d-9817-4fa6-84d5-3bc009be21b8">RD20-4</_x0032__x002e__x0020_Docket_x0020_Number>
    <_x0032__x002e__x0020_Collection_x0020_Number xmlns="d6eefc7d-9817-4fa6-84d5-3bc009be21b8">725G2</_x0032__x002e__x0020_Collection_x0020_Number>
    <_x0031__x002e__x0020_Docket_x0020_Number xmlns="d6eefc7d-9817-4fa6-84d5-3bc009be21b8">RD20-1</_x0031__x002e__x0020_Docket_x0020_Number>
    <_x0033__x002e__x0020_Collection_x0020_Number xmlns="d6eefc7d-9817-4fa6-84d5-3bc009be21b8" xmlns:xsi="http://www.w3.org/2001/XMLSchema-instan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2.xml><?xml version="1.0" encoding="utf-8"?>
<ds:datastoreItem xmlns:ds="http://schemas.openxmlformats.org/officeDocument/2006/customXml" ds:itemID="{C00AB49F-ABA3-4521-9FCC-368CF8223647}">
  <ds:schemaRefs>
    <ds:schemaRef ds:uri="http://schemas.openxmlformats.org/officeDocument/2006/bibliography"/>
  </ds:schemaRefs>
</ds:datastoreItem>
</file>

<file path=customXml/itemProps3.xml><?xml version="1.0" encoding="utf-8"?>
<ds:datastoreItem xmlns:ds="http://schemas.openxmlformats.org/officeDocument/2006/customXml" ds:itemID="{2CE5995B-DA6B-4E16-A395-CABD895ECCE6}">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5.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D6099D-82FD-476B-B199-9626F5C7DC5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16</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RD20-1Supporting Statement</vt:lpstr>
    </vt:vector>
  </TitlesOfParts>
  <Company>FERC</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725G Supporting Statement</dc:title>
  <dc:creator>Michele Chambers</dc:creator>
  <cp:lastModifiedBy>Kayla Williams</cp:lastModifiedBy>
  <cp:revision>104</cp:revision>
  <cp:lastPrinted>2018-06-21T12:21:00Z</cp:lastPrinted>
  <dcterms:created xsi:type="dcterms:W3CDTF">2025-02-27T19:38:00Z</dcterms:created>
  <dcterms:modified xsi:type="dcterms:W3CDTF">2025-03-19T21:08:00Z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ee7ba9ae-f768-4f61-86a1-a2f9d397224a</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2025-01-16T19:52:00Z</vt:lpwstr>
  </property>
  <property fmtid="{D5CDD505-2E9C-101B-9397-08002B2CF9AE}" pid="9" name="MSIP_Label_bd24d06a-0e85-4d57-b1e0-ba34b1abc708_SiteId">
    <vt:lpwstr>19caa9e9-04ff-43fa-885f-d77fac387903</vt:lpwstr>
  </property>
</Properties>
</file>