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4FF7" w:rsidRPr="002338ED" w:rsidP="00CB4FF7" w14:paraId="5474DFF5" w14:textId="77777777">
      <w:pPr>
        <w:jc w:val="center"/>
        <w:rPr>
          <w:b/>
          <w:bCs/>
        </w:rPr>
      </w:pPr>
      <w:r w:rsidRPr="002338ED">
        <w:rPr>
          <w:b/>
          <w:bCs/>
        </w:rPr>
        <w:t>UNITED STATES OF AMERICA</w:t>
      </w:r>
    </w:p>
    <w:p w:rsidR="00CB4FF7" w:rsidRPr="002338ED" w:rsidP="00CB4FF7" w14:paraId="22C097F7" w14:textId="77777777">
      <w:pPr>
        <w:jc w:val="center"/>
        <w:rPr>
          <w:b/>
          <w:bCs/>
        </w:rPr>
      </w:pPr>
      <w:r w:rsidRPr="002338ED">
        <w:rPr>
          <w:b/>
          <w:bCs/>
        </w:rPr>
        <w:t>FEDERAL ENERGY REGULATORY COMMISSION</w:t>
      </w:r>
    </w:p>
    <w:p w:rsidR="00CB4FF7" w:rsidRPr="002338ED" w:rsidP="00CB4FF7" w14:paraId="5192B007" w14:textId="77777777">
      <w:pPr>
        <w:rPr>
          <w:b/>
          <w:bCs/>
        </w:rPr>
      </w:pPr>
    </w:p>
    <w:p w:rsidR="00CB4FF7" w:rsidRPr="002338ED" w:rsidP="00CB4FF7" w14:paraId="0377D975" w14:textId="77777777">
      <w:pPr>
        <w:jc w:val="center"/>
        <w:rPr>
          <w:b/>
          <w:bCs/>
        </w:rPr>
      </w:pPr>
      <w:r w:rsidRPr="002338ED">
        <w:rPr>
          <w:b/>
          <w:bCs/>
        </w:rPr>
        <w:t>[Docket No. IC2</w:t>
      </w:r>
      <w:r>
        <w:rPr>
          <w:b/>
          <w:bCs/>
        </w:rPr>
        <w:t>5</w:t>
      </w:r>
      <w:r w:rsidRPr="002338ED">
        <w:rPr>
          <w:b/>
          <w:bCs/>
        </w:rPr>
        <w:t>-</w:t>
      </w:r>
      <w:r>
        <w:rPr>
          <w:b/>
          <w:bCs/>
        </w:rPr>
        <w:t>4</w:t>
      </w:r>
      <w:r w:rsidRPr="002338ED">
        <w:rPr>
          <w:b/>
          <w:bCs/>
        </w:rPr>
        <w:t>-000]</w:t>
      </w:r>
    </w:p>
    <w:p w:rsidR="00CB4FF7" w:rsidRPr="002338ED" w:rsidP="00CB4FF7" w14:paraId="27DE19F9" w14:textId="77777777">
      <w:pPr>
        <w:rPr>
          <w:b/>
          <w:bCs/>
        </w:rPr>
      </w:pPr>
    </w:p>
    <w:p w:rsidR="00CB4FF7" w:rsidRPr="002338ED" w:rsidP="00CB4FF7" w14:paraId="0E972F57" w14:textId="77777777">
      <w:pPr>
        <w:jc w:val="center"/>
        <w:rPr>
          <w:b/>
          <w:bCs/>
        </w:rPr>
      </w:pPr>
      <w:r w:rsidRPr="002338ED">
        <w:rPr>
          <w:b/>
          <w:bCs/>
        </w:rPr>
        <w:t>COMMISSION INFORMATION COLLECTION ACTIVITIES (FERC-725</w:t>
      </w:r>
      <w:r>
        <w:rPr>
          <w:b/>
          <w:bCs/>
        </w:rPr>
        <w:t>G</w:t>
      </w:r>
      <w:r w:rsidRPr="002338ED">
        <w:rPr>
          <w:b/>
          <w:bCs/>
        </w:rPr>
        <w:t>);</w:t>
      </w:r>
    </w:p>
    <w:p w:rsidR="00CB4FF7" w:rsidRPr="002338ED" w:rsidP="00CB4FF7" w14:paraId="58FFD3D4" w14:textId="77777777">
      <w:pPr>
        <w:jc w:val="center"/>
        <w:rPr>
          <w:b/>
          <w:bCs/>
        </w:rPr>
      </w:pPr>
      <w:r w:rsidRPr="002338ED">
        <w:rPr>
          <w:b/>
          <w:bCs/>
        </w:rPr>
        <w:t>COMMENT REQUEST; EXTENSION</w:t>
      </w:r>
    </w:p>
    <w:p w:rsidR="00CB4FF7" w:rsidRPr="002338ED" w:rsidP="00CB4FF7" w14:paraId="696E40D5" w14:textId="77777777">
      <w:pPr>
        <w:jc w:val="center"/>
        <w:rPr>
          <w:b/>
          <w:bCs/>
        </w:rPr>
      </w:pPr>
    </w:p>
    <w:p w:rsidR="00CB4FF7" w:rsidP="00CF443C" w14:paraId="0FF35E27" w14:textId="1CE1E41B">
      <w:pPr>
        <w:jc w:val="center"/>
        <w:rPr>
          <w:b/>
          <w:bCs/>
        </w:rPr>
      </w:pPr>
      <w:r w:rsidRPr="00CF443C">
        <w:rPr>
          <w:b/>
          <w:bCs/>
        </w:rPr>
        <w:t>(December 23, 2024)</w:t>
      </w:r>
    </w:p>
    <w:p w:rsidR="00CF443C" w:rsidRPr="00CF443C" w:rsidP="00CF443C" w14:paraId="7DB26C9B" w14:textId="77777777"/>
    <w:p w:rsidR="00CB4FF7" w:rsidP="00CB4FF7" w14:paraId="066FB34C" w14:textId="77777777">
      <w:r w:rsidRPr="00AB4DBF">
        <w:rPr>
          <w:b/>
        </w:rPr>
        <w:t>AGENCY:</w:t>
      </w:r>
      <w:r w:rsidRPr="00AB4DBF">
        <w:t xml:space="preserve">  Federal Energy Regulatory Commission.</w:t>
      </w:r>
    </w:p>
    <w:p w:rsidR="00CB4FF7" w:rsidRPr="00AB4DBF" w:rsidP="00CB4FF7" w14:paraId="063E15C6" w14:textId="77777777"/>
    <w:p w:rsidR="00CB4FF7" w:rsidP="00CB4FF7" w14:paraId="16D5F206"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CB4FF7" w:rsidP="00CB4FF7" w14:paraId="28B28049" w14:textId="0B04E479">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007A3E0D">
        <w:t>s</w:t>
      </w:r>
      <w:r>
        <w:t>,</w:t>
      </w:r>
      <w:r w:rsidRPr="00BB0C97">
        <w:t xml:space="preserve"> </w:t>
      </w:r>
      <w:r w:rsidRPr="00C45F17">
        <w:t>FERC 725</w:t>
      </w:r>
      <w:r>
        <w:t>G</w:t>
      </w:r>
      <w:r>
        <w:rPr>
          <w:szCs w:val="26"/>
        </w:rPr>
        <w:t xml:space="preserve">, </w:t>
      </w:r>
      <w:r w:rsidRPr="0028245F">
        <w:t xml:space="preserve">Mandatory Reliability Standards for the Bulk-Power System:  </w:t>
      </w:r>
      <w:r w:rsidRPr="0028245F">
        <w:rPr>
          <w:bCs/>
        </w:rPr>
        <w:t>Regional Reliability Standard PRC standards</w:t>
      </w:r>
      <w:r>
        <w:t xml:space="preserve">; FERC-725G1, Mandatory Reliability Standards for the Bulk-Power System: Reliability Standard PRC-004-6 (Protection System </w:t>
      </w:r>
      <w:r w:rsidR="001B3181">
        <w:t>Misoperation</w:t>
      </w:r>
      <w:r>
        <w:t xml:space="preserve"> Identification and Correction), FERC-725G4, Mandatory Reliability Standards:  Reliability Standard PRC-010-2 (Under Voltage Load Shedding) and 725P1, PRC-005-6 (</w:t>
      </w:r>
      <w:r w:rsidRPr="00530094">
        <w:t>Protection System, Automatic Reclosing, and Sudden Pressure Relaying Maintenance</w:t>
      </w:r>
      <w:r>
        <w:t xml:space="preserve">). There </w:t>
      </w:r>
      <w:r w:rsidR="00946B4E">
        <w:t>are</w:t>
      </w:r>
      <w:r>
        <w:t xml:space="preserve"> no changes made to the reporting requirements for this information collection.</w:t>
      </w:r>
    </w:p>
    <w:p w:rsidR="00CB4FF7" w:rsidRPr="00524164" w:rsidP="00CB4FF7" w14:paraId="62F03B85" w14:textId="77777777">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Pr>
          <w:b/>
        </w:rPr>
        <w:t>INSERT DATE 60 DAYS AFTER DATE OF PUBLICATION IN THE FEDERAL REGISTER</w:t>
      </w:r>
      <w:r w:rsidRPr="000F36DF">
        <w:rPr>
          <w:b/>
          <w:bCs/>
        </w:rPr>
        <w:t>]</w:t>
      </w:r>
      <w:r w:rsidRPr="00524164">
        <w:t xml:space="preserve">. </w:t>
      </w:r>
    </w:p>
    <w:p w:rsidR="00CB4FF7" w:rsidRPr="0042765E" w:rsidP="00CB4FF7" w14:paraId="352856B4" w14:textId="77777777">
      <w:pPr>
        <w:spacing w:line="480" w:lineRule="auto"/>
      </w:pPr>
      <w:r w:rsidRPr="00524164">
        <w:rPr>
          <w:b/>
        </w:rPr>
        <w:t>ADDRESSES:</w:t>
      </w:r>
      <w:r w:rsidRPr="00524164">
        <w:t xml:space="preserve">  </w:t>
      </w:r>
      <w:bookmarkStart w:id="1" w:name="OLE_LINK1"/>
      <w:r w:rsidRPr="0042765E">
        <w:t>You may submit copies of your comments (identified by Docket No. IC2</w:t>
      </w:r>
      <w:r>
        <w:t>5</w:t>
      </w:r>
      <w:r w:rsidRPr="0042765E">
        <w:t>-</w:t>
      </w:r>
      <w:r>
        <w:t>4</w:t>
      </w:r>
      <w:r w:rsidRPr="0042765E">
        <w:t>-000) by one of the following methods:</w:t>
      </w:r>
    </w:p>
    <w:bookmarkEnd w:id="1"/>
    <w:p w:rsidR="00CB4FF7" w:rsidRPr="0042765E" w:rsidP="00CB4FF7" w14:paraId="6792F4C1" w14:textId="77777777">
      <w:pPr>
        <w:spacing w:line="480" w:lineRule="auto"/>
      </w:pPr>
      <w:r w:rsidRPr="0042765E">
        <w:t xml:space="preserve">Electronic filing through </w:t>
      </w:r>
      <w:r>
        <w:fldChar w:fldCharType="begin"/>
      </w:r>
      <w:r w:rsidRPr="000134BB">
        <w:rPr>
          <w:rStyle w:val="Hyperlink"/>
        </w:rPr>
        <w:instrText xml:space="preserve"> HYPERLINK "https://www.ferc.gov" </w:instrText>
      </w:r>
      <w:r>
        <w:fldChar w:fldCharType="separate"/>
      </w:r>
      <w:r w:rsidRPr="000134BB">
        <w:rPr>
          <w:rStyle w:val="Hyperlink"/>
        </w:rPr>
        <w:t>https://www.ferc.gov</w:t>
      </w:r>
      <w:r>
        <w:fldChar w:fldCharType="end"/>
      </w:r>
      <w:r w:rsidRPr="0042765E">
        <w:t>, is preferred.</w:t>
      </w:r>
    </w:p>
    <w:p w:rsidR="00CB4FF7" w:rsidRPr="0042765E" w:rsidP="00CB4FF7" w14:paraId="0BC48741" w14:textId="77777777">
      <w:pPr>
        <w:numPr>
          <w:ilvl w:val="0"/>
          <w:numId w:val="1"/>
        </w:numPr>
        <w:spacing w:line="480" w:lineRule="auto"/>
      </w:pPr>
      <w:r w:rsidRPr="0042765E">
        <w:t xml:space="preserve">Electronic Filing: Documents must be filed in acceptable native applications and print-to-PDF, not in scanned or picture format. </w:t>
      </w:r>
    </w:p>
    <w:p w:rsidR="00CB4FF7" w:rsidRPr="0042765E" w:rsidP="00CB4FF7" w14:paraId="0D8574C0" w14:textId="77777777">
      <w:pPr>
        <w:numPr>
          <w:ilvl w:val="0"/>
          <w:numId w:val="1"/>
        </w:numPr>
        <w:spacing w:line="480" w:lineRule="auto"/>
      </w:pPr>
      <w:r w:rsidRPr="0042765E">
        <w:t xml:space="preserve">For those unable to file electronically, comments may be filed by USPS mail or by </w:t>
      </w:r>
      <w:r>
        <w:t>other</w:t>
      </w:r>
      <w:r w:rsidRPr="0042765E">
        <w:t xml:space="preserve"> delivery</w:t>
      </w:r>
      <w:r>
        <w:t xml:space="preserve"> methods:</w:t>
      </w:r>
    </w:p>
    <w:p w:rsidR="00CB4FF7" w:rsidRPr="0042765E" w:rsidP="00CB4FF7" w14:paraId="53DC9CB3" w14:textId="77777777">
      <w:pPr>
        <w:numPr>
          <w:ilvl w:val="1"/>
          <w:numId w:val="1"/>
        </w:numPr>
        <w:spacing w:line="480" w:lineRule="auto"/>
      </w:pPr>
      <w:r w:rsidRPr="0042765E">
        <w:t>Mail via U.S. Postal Service Only:</w:t>
      </w:r>
      <w:r>
        <w:t xml:space="preserve">  </w:t>
      </w:r>
      <w:r w:rsidRPr="0042765E">
        <w:t>Federal Energy Regulatory Commission, Secretary of the Commission, 888 First Street, N.E., Washington, DC 20426.</w:t>
      </w:r>
    </w:p>
    <w:p w:rsidR="00CB4FF7" w:rsidRPr="0042765E" w:rsidP="00CB4FF7" w14:paraId="51746CA6" w14:textId="77777777">
      <w:pPr>
        <w:pStyle w:val="ListParagraph"/>
        <w:numPr>
          <w:ilvl w:val="1"/>
          <w:numId w:val="1"/>
        </w:numPr>
        <w:spacing w:line="480" w:lineRule="auto"/>
      </w:pPr>
      <w:r>
        <w:t>All other delivery services:</w:t>
      </w:r>
      <w:r w:rsidRPr="0042765E">
        <w:t xml:space="preserve"> </w:t>
      </w:r>
      <w:r>
        <w:t xml:space="preserve"> </w:t>
      </w:r>
      <w:r w:rsidRPr="0042765E">
        <w:t xml:space="preserve">Federal Energy Regulatory Commission, </w:t>
      </w:r>
      <w:r>
        <w:t xml:space="preserve">Office of the Secretary, </w:t>
      </w:r>
      <w:r w:rsidRPr="0042765E">
        <w:t>12225 Wilkins Avenue, Rockville, MD 20852.</w:t>
      </w:r>
    </w:p>
    <w:p w:rsidR="00CB4FF7" w:rsidP="00CB4FF7" w14:paraId="7A78EC2D" w14:textId="77777777">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Pr>
            <w:rStyle w:val="Hyperlink"/>
          </w:rPr>
          <w:t>https://www.ferc.gov</w:t>
        </w:r>
      </w:hyperlink>
      <w:r>
        <w:t>.  For user assistance, contact FERC Online Support by e-mail at ferconlinesupport@ferc.gov, or by phone at (866) 208-3676 (toll-free).</w:t>
      </w:r>
    </w:p>
    <w:p w:rsidR="00CB4FF7" w:rsidP="00CB4FF7" w14:paraId="0C096C51"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Pr>
            <w:rStyle w:val="Hyperlink"/>
          </w:rPr>
          <w:t>https://www.ferc.gov</w:t>
        </w:r>
      </w:hyperlink>
      <w:r>
        <w:t xml:space="preserve">. </w:t>
      </w:r>
    </w:p>
    <w:p w:rsidR="00CB4FF7" w:rsidRPr="0086175B" w:rsidP="00CB4FF7" w14:paraId="608D1D8A" w14:textId="77777777">
      <w:pPr>
        <w:spacing w:line="480" w:lineRule="auto"/>
        <w:rPr>
          <w:szCs w:val="26"/>
        </w:rPr>
      </w:pPr>
      <w:r w:rsidRPr="003B29FB">
        <w:rPr>
          <w:b/>
          <w:szCs w:val="26"/>
        </w:rPr>
        <w:t>FOR FURTHER INFORMATION:</w:t>
      </w:r>
      <w:r w:rsidRPr="003B29FB">
        <w:rPr>
          <w:szCs w:val="26"/>
        </w:rPr>
        <w:t xml:space="preserve">  </w:t>
      </w:r>
      <w:r>
        <w:rPr>
          <w:szCs w:val="26"/>
        </w:rPr>
        <w:t xml:space="preserve">Kayla Williams </w:t>
      </w:r>
      <w:r w:rsidRPr="003B29FB">
        <w:rPr>
          <w:szCs w:val="26"/>
        </w:rPr>
        <w:t xml:space="preserve">may be reached by e-mail at </w:t>
      </w:r>
      <w:hyperlink r:id="rId11" w:history="1">
        <w:r w:rsidRPr="003B29FB">
          <w:rPr>
            <w:rStyle w:val="Hyperlink"/>
          </w:rPr>
          <w:t>DataClearance@FERC.gov</w:t>
        </w:r>
      </w:hyperlink>
      <w:r w:rsidRPr="003B29FB">
        <w:rPr>
          <w:szCs w:val="26"/>
        </w:rPr>
        <w:t>, telephone at (202) 502-</w:t>
      </w:r>
      <w:r>
        <w:rPr>
          <w:szCs w:val="26"/>
        </w:rPr>
        <w:t>6468</w:t>
      </w:r>
      <w:r w:rsidRPr="003B29FB">
        <w:rPr>
          <w:szCs w:val="26"/>
        </w:rPr>
        <w:t>.</w:t>
      </w:r>
    </w:p>
    <w:p w:rsidR="00CB4FF7" w:rsidP="00CB4FF7" w14:paraId="20B3273A" w14:textId="77777777">
      <w:pPr>
        <w:spacing w:line="480" w:lineRule="auto"/>
      </w:pPr>
      <w:r w:rsidRPr="008212DA">
        <w:rPr>
          <w:b/>
        </w:rPr>
        <w:t>SUPPLEMENTARY INFORMATION:</w:t>
      </w:r>
      <w:r w:rsidRPr="008212DA">
        <w:t xml:space="preserve">  </w:t>
      </w:r>
    </w:p>
    <w:p w:rsidR="00041BAB" w:rsidRPr="00041BAB" w:rsidP="00CB4FF7" w14:paraId="369B9A5D" w14:textId="493738CD">
      <w:pPr>
        <w:spacing w:line="480" w:lineRule="auto"/>
      </w:pPr>
      <w:r>
        <w:t>In this information collection request, the Commission is m</w:t>
      </w:r>
      <w:r w:rsidR="00CB4FF7">
        <w:t>erg</w:t>
      </w:r>
      <w:r>
        <w:t xml:space="preserve">ing the </w:t>
      </w:r>
      <w:r w:rsidRPr="007A3E0D">
        <w:t xml:space="preserve">FERC-725G1 (OMB Control No. 1902-0284), FERC-725G4 (OMB Control No. 1902-0282) and FERC-725P1(OMB Control No. 1902-0280) </w:t>
      </w:r>
      <w:r w:rsidR="00CB4FF7">
        <w:t xml:space="preserve">into </w:t>
      </w:r>
      <w:r>
        <w:t>the FERC-</w:t>
      </w:r>
      <w:r w:rsidR="00CB4FF7">
        <w:t>725G (</w:t>
      </w:r>
      <w:r w:rsidR="001B3181">
        <w:t xml:space="preserve">OMB Control No. </w:t>
      </w:r>
      <w:r w:rsidRPr="001B3181" w:rsidR="00CB4FF7">
        <w:t>1902-0252</w:t>
      </w:r>
      <w:r w:rsidR="00CB4FF7">
        <w:t>)</w:t>
      </w:r>
      <w:r>
        <w:t xml:space="preserve">. </w:t>
      </w:r>
    </w:p>
    <w:p w:rsidR="00CB4FF7" w:rsidRPr="00B41928" w:rsidP="00CB4FF7" w14:paraId="2C6C8EE8" w14:textId="1423A5C8">
      <w:pPr>
        <w:spacing w:line="480" w:lineRule="auto"/>
        <w:rPr>
          <w:b/>
          <w:bCs/>
          <w:iCs/>
          <w:szCs w:val="26"/>
        </w:rPr>
      </w:pPr>
      <w:r w:rsidRPr="00B41928">
        <w:rPr>
          <w:b/>
          <w:bCs/>
          <w:iCs/>
          <w:szCs w:val="26"/>
        </w:rPr>
        <w:t>FERC-725G1</w:t>
      </w:r>
      <w:r w:rsidRPr="00B41928">
        <w:rPr>
          <w:iCs/>
          <w:szCs w:val="26"/>
        </w:rPr>
        <w:t>:</w:t>
      </w:r>
      <w:r w:rsidRPr="00B41928">
        <w:rPr>
          <w:b/>
          <w:bCs/>
          <w:iCs/>
          <w:szCs w:val="26"/>
        </w:rPr>
        <w:t xml:space="preserve"> </w:t>
      </w:r>
    </w:p>
    <w:p w:rsidR="00CB4FF7" w:rsidRPr="00B41928" w:rsidP="00CB4FF7" w14:paraId="5BB324AF" w14:textId="77777777">
      <w:pPr>
        <w:spacing w:line="480" w:lineRule="auto"/>
        <w:rPr>
          <w:i/>
          <w:szCs w:val="26"/>
        </w:rPr>
      </w:pPr>
      <w:r w:rsidRPr="00B41928">
        <w:rPr>
          <w:i/>
          <w:iCs/>
          <w:szCs w:val="26"/>
        </w:rPr>
        <w:t>Title</w:t>
      </w:r>
      <w:r w:rsidRPr="00B41928">
        <w:rPr>
          <w:iCs/>
          <w:szCs w:val="26"/>
        </w:rPr>
        <w:t>: Mandatory Reliability Standards for the Bulk-Power System: Reliability Standard PRC-004-6.</w:t>
      </w:r>
    </w:p>
    <w:p w:rsidR="00CB4FF7" w:rsidRPr="00B41928" w:rsidP="00CB4FF7" w14:paraId="02933594" w14:textId="77777777">
      <w:pPr>
        <w:spacing w:line="480" w:lineRule="auto"/>
        <w:rPr>
          <w:i/>
          <w:szCs w:val="26"/>
        </w:rPr>
      </w:pPr>
      <w:r w:rsidRPr="00B41928">
        <w:rPr>
          <w:i/>
          <w:iCs/>
          <w:szCs w:val="26"/>
        </w:rPr>
        <w:t>OMB Control No</w:t>
      </w:r>
      <w:r w:rsidRPr="00B41928">
        <w:rPr>
          <w:szCs w:val="26"/>
        </w:rPr>
        <w:t xml:space="preserve">.: </w:t>
      </w:r>
      <w:r w:rsidRPr="00383B72">
        <w:rPr>
          <w:szCs w:val="26"/>
        </w:rPr>
        <w:t>1902-0284.</w:t>
      </w:r>
    </w:p>
    <w:p w:rsidR="00CB4FF7" w:rsidRPr="00B41928" w:rsidP="00CB4FF7" w14:paraId="647B26BC" w14:textId="77777777">
      <w:pPr>
        <w:spacing w:line="480" w:lineRule="auto"/>
        <w:rPr>
          <w:iCs/>
          <w:szCs w:val="26"/>
        </w:rPr>
      </w:pPr>
      <w:r w:rsidRPr="00B41928">
        <w:rPr>
          <w:i/>
          <w:iCs/>
          <w:szCs w:val="26"/>
        </w:rPr>
        <w:t>Type of Request</w:t>
      </w:r>
      <w:r w:rsidRPr="00B41928">
        <w:rPr>
          <w:iCs/>
          <w:szCs w:val="26"/>
        </w:rPr>
        <w:t>: Three-year extension of the FERC-725G1 information collection requirements.</w:t>
      </w:r>
    </w:p>
    <w:p w:rsidR="00CB4FF7" w:rsidRPr="00B41928" w:rsidP="00CB4FF7" w14:paraId="6389EE70" w14:textId="77777777">
      <w:pPr>
        <w:spacing w:line="480" w:lineRule="auto"/>
        <w:rPr>
          <w:iCs/>
          <w:szCs w:val="26"/>
        </w:rPr>
      </w:pPr>
      <w:r w:rsidRPr="00B41928">
        <w:rPr>
          <w:i/>
          <w:iCs/>
          <w:szCs w:val="26"/>
        </w:rPr>
        <w:t>Abstract</w:t>
      </w:r>
      <w:r w:rsidRPr="00B41928">
        <w:rPr>
          <w:iCs/>
          <w:szCs w:val="26"/>
        </w:rPr>
        <w:t>:  The Commission collects information under FERC-725G1 in accordance with section 215 of the Federal Power Act (FPA)</w:t>
      </w:r>
      <w:r>
        <w:rPr>
          <w:b/>
          <w:iCs/>
          <w:szCs w:val="26"/>
          <w:vertAlign w:val="superscript"/>
        </w:rPr>
        <w:footnoteReference w:id="2"/>
      </w:r>
      <w:r w:rsidRPr="00B41928">
        <w:rPr>
          <w:iCs/>
          <w:szCs w:val="26"/>
        </w:rPr>
        <w:t xml:space="preserve">  and 18 CFR Parts 39 and 40.  Section 215 of the FPA gives the Commission and the North American Electric Reliability Corporation (as the Commission-approved Electric Reliability Organization) to establish and enforce reliability standards for all users, owners, and operators of the bulk-power system.</w:t>
      </w:r>
      <w:r>
        <w:rPr>
          <w:b/>
          <w:iCs/>
          <w:szCs w:val="26"/>
          <w:vertAlign w:val="superscript"/>
        </w:rPr>
        <w:footnoteReference w:id="3"/>
      </w:r>
      <w:r w:rsidRPr="00B41928">
        <w:rPr>
          <w:iCs/>
          <w:szCs w:val="26"/>
        </w:rPr>
        <w:t xml:space="preserve">  Once approved, the Reliability Standards may be enforced by the Electric Reliability Organization subject to Commission oversight, or by the Commission independently.</w:t>
      </w:r>
      <w:r>
        <w:rPr>
          <w:b/>
          <w:iCs/>
          <w:szCs w:val="26"/>
          <w:vertAlign w:val="superscript"/>
        </w:rPr>
        <w:footnoteReference w:id="4"/>
      </w:r>
    </w:p>
    <w:p w:rsidR="00CB4FF7" w:rsidRPr="00B41928" w:rsidP="00CB4FF7" w14:paraId="3D8D1DFF" w14:textId="54343CEA">
      <w:pPr>
        <w:spacing w:line="480" w:lineRule="auto"/>
        <w:rPr>
          <w:iCs/>
          <w:szCs w:val="26"/>
        </w:rPr>
      </w:pPr>
      <w:r w:rsidRPr="00B41928">
        <w:rPr>
          <w:iCs/>
          <w:szCs w:val="26"/>
        </w:rPr>
        <w:t xml:space="preserve">Reliability Standard PRC-004-6 requires transmission owners, generator owners, and distribution providers to identify and correct causes of </w:t>
      </w:r>
      <w:r w:rsidRPr="00B41928" w:rsidR="00CF443C">
        <w:rPr>
          <w:iCs/>
          <w:szCs w:val="26"/>
        </w:rPr>
        <w:t>mis</w:t>
      </w:r>
      <w:r w:rsidR="00CF443C">
        <w:rPr>
          <w:iCs/>
          <w:szCs w:val="26"/>
        </w:rPr>
        <w:t>-</w:t>
      </w:r>
      <w:r w:rsidRPr="00B41928" w:rsidR="00CF443C">
        <w:rPr>
          <w:iCs/>
          <w:szCs w:val="26"/>
        </w:rPr>
        <w:t>operations</w:t>
      </w:r>
      <w:r w:rsidRPr="00B41928">
        <w:rPr>
          <w:iCs/>
          <w:szCs w:val="26"/>
        </w:rPr>
        <w:t xml:space="preserve"> of certain </w:t>
      </w:r>
      <w:r w:rsidRPr="00B41928">
        <w:rPr>
          <w:iCs/>
          <w:szCs w:val="26"/>
        </w:rPr>
        <w:t xml:space="preserve">protection systems for bulk-power system elements.  It also requires retention of evidence of </w:t>
      </w:r>
      <w:r w:rsidRPr="00B41928" w:rsidR="001B3181">
        <w:rPr>
          <w:iCs/>
          <w:szCs w:val="26"/>
        </w:rPr>
        <w:t>misoperations</w:t>
      </w:r>
      <w:r w:rsidRPr="00B41928">
        <w:rPr>
          <w:iCs/>
          <w:szCs w:val="26"/>
        </w:rPr>
        <w:t xml:space="preserve"> for a minimum of 12 calendar months.</w:t>
      </w:r>
    </w:p>
    <w:p w:rsidR="00CB4FF7" w:rsidRPr="00B41928" w:rsidP="00CB4FF7" w14:paraId="69C49B46" w14:textId="77777777">
      <w:pPr>
        <w:spacing w:line="480" w:lineRule="auto"/>
        <w:rPr>
          <w:szCs w:val="26"/>
        </w:rPr>
      </w:pPr>
      <w:r w:rsidRPr="00B41928">
        <w:rPr>
          <w:i/>
          <w:iCs/>
          <w:szCs w:val="26"/>
        </w:rPr>
        <w:t>Types of Respondent</w:t>
      </w:r>
      <w:r w:rsidRPr="00B41928">
        <w:rPr>
          <w:szCs w:val="26"/>
        </w:rPr>
        <w:t xml:space="preserve">s: Transmission Owners, Generator Owners, and Distribution Providers. </w:t>
      </w:r>
    </w:p>
    <w:p w:rsidR="00CB4FF7" w:rsidRPr="00B41928" w:rsidP="00CB4FF7" w14:paraId="3685ABE4" w14:textId="77777777">
      <w:pPr>
        <w:spacing w:line="480" w:lineRule="auto"/>
        <w:rPr>
          <w:b/>
          <w:bCs/>
          <w:i/>
          <w:szCs w:val="26"/>
        </w:rPr>
      </w:pPr>
      <w:r w:rsidRPr="00B41928">
        <w:rPr>
          <w:i/>
          <w:iCs/>
          <w:szCs w:val="26"/>
        </w:rPr>
        <w:t>Frequency of Response</w:t>
      </w:r>
      <w:r w:rsidRPr="00B41928">
        <w:rPr>
          <w:iCs/>
          <w:szCs w:val="26"/>
        </w:rPr>
        <w:t>:  On occasion.</w:t>
      </w:r>
    </w:p>
    <w:p w:rsidR="004F6F8D" w:rsidP="00CB4FF7" w14:paraId="7594AA65" w14:textId="3BFDCBB7">
      <w:pPr>
        <w:rPr>
          <w:szCs w:val="26"/>
        </w:rPr>
      </w:pPr>
      <w:r w:rsidRPr="00B41928">
        <w:rPr>
          <w:i/>
          <w:iCs/>
          <w:szCs w:val="26"/>
        </w:rPr>
        <w:t>Estimate of Annual Burden</w:t>
      </w:r>
      <w:r w:rsidRPr="00B41928">
        <w:rPr>
          <w:szCs w:val="26"/>
        </w:rPr>
        <w:t xml:space="preserve">:  The Commission estimates </w:t>
      </w:r>
      <w:r>
        <w:rPr>
          <w:szCs w:val="26"/>
        </w:rPr>
        <w:t>930</w:t>
      </w:r>
      <w:r w:rsidRPr="00B41928">
        <w:rPr>
          <w:szCs w:val="26"/>
        </w:rPr>
        <w:t xml:space="preserve"> responses annually, and per-response burdens of 16 hours and $</w:t>
      </w:r>
      <w:r>
        <w:rPr>
          <w:bCs/>
          <w:iCs/>
          <w:szCs w:val="26"/>
        </w:rPr>
        <w:t>1,130.72</w:t>
      </w:r>
      <w:r w:rsidRPr="00B41928">
        <w:rPr>
          <w:szCs w:val="26"/>
        </w:rPr>
        <w:t>.</w:t>
      </w:r>
      <w:r>
        <w:rPr>
          <w:b/>
          <w:szCs w:val="26"/>
          <w:vertAlign w:val="superscript"/>
        </w:rPr>
        <w:footnoteReference w:id="5"/>
      </w:r>
      <w:r w:rsidRPr="00B41928">
        <w:rPr>
          <w:szCs w:val="26"/>
        </w:rPr>
        <w:t xml:space="preserve">  The total estimated burdens per year are </w:t>
      </w:r>
      <w:r>
        <w:rPr>
          <w:szCs w:val="26"/>
        </w:rPr>
        <w:t>930</w:t>
      </w:r>
      <w:r w:rsidRPr="00B41928">
        <w:rPr>
          <w:szCs w:val="26"/>
        </w:rPr>
        <w:t xml:space="preserve"> responses, </w:t>
      </w:r>
      <w:r>
        <w:rPr>
          <w:bCs/>
          <w:iCs/>
          <w:szCs w:val="26"/>
        </w:rPr>
        <w:t>14,880</w:t>
      </w:r>
      <w:r w:rsidRPr="00B41928">
        <w:rPr>
          <w:szCs w:val="26"/>
        </w:rPr>
        <w:t xml:space="preserve"> hours, and </w:t>
      </w:r>
      <w:r w:rsidRPr="00B41928">
        <w:rPr>
          <w:bCs/>
          <w:szCs w:val="26"/>
        </w:rPr>
        <w:t>$</w:t>
      </w:r>
      <w:r>
        <w:rPr>
          <w:bCs/>
          <w:iCs/>
          <w:szCs w:val="26"/>
        </w:rPr>
        <w:t>1,051,570 (rounded)</w:t>
      </w:r>
      <w:r w:rsidRPr="00B41928">
        <w:rPr>
          <w:szCs w:val="26"/>
        </w:rPr>
        <w:t>.  These burdens are itemized in the following table</w:t>
      </w:r>
      <w:r>
        <w:rPr>
          <w:szCs w:val="26"/>
        </w:rPr>
        <w:t>:</w:t>
      </w:r>
    </w:p>
    <w:p w:rsidR="00CB4FF7" w:rsidP="00CB4FF7" w14:paraId="61F70450" w14:textId="77777777">
      <w:pPr>
        <w:rPr>
          <w:szCs w:val="26"/>
        </w:rPr>
      </w:pPr>
    </w:p>
    <w:tbl>
      <w:tblPr>
        <w:tblStyle w:val="TableGrid"/>
        <w:tblW w:w="0" w:type="auto"/>
        <w:tblLook w:val="04A0"/>
      </w:tblPr>
      <w:tblGrid>
        <w:gridCol w:w="1632"/>
        <w:gridCol w:w="1555"/>
        <w:gridCol w:w="1540"/>
        <w:gridCol w:w="1539"/>
        <w:gridCol w:w="1527"/>
        <w:gridCol w:w="1557"/>
      </w:tblGrid>
      <w:tr w14:paraId="697C0D2F" w14:textId="77777777" w:rsidTr="00B25731">
        <w:tblPrEx>
          <w:tblW w:w="0" w:type="auto"/>
          <w:tblLook w:val="04A0"/>
        </w:tblPrEx>
        <w:tc>
          <w:tcPr>
            <w:tcW w:w="9350" w:type="dxa"/>
            <w:gridSpan w:val="6"/>
          </w:tcPr>
          <w:p w:rsidR="00CB4FF7" w:rsidRPr="00B41928" w:rsidP="00CB4FF7" w14:paraId="663439E4" w14:textId="77777777">
            <w:pPr>
              <w:spacing w:line="256" w:lineRule="auto"/>
              <w:jc w:val="center"/>
              <w:rPr>
                <w:b/>
                <w:iCs/>
                <w:szCs w:val="26"/>
              </w:rPr>
            </w:pPr>
            <w:r w:rsidRPr="00B41928">
              <w:rPr>
                <w:b/>
                <w:bCs/>
                <w:iCs/>
                <w:szCs w:val="26"/>
              </w:rPr>
              <w:t xml:space="preserve">Mandatory Reliability Standards for the Bulk-Power System: Reliability Standard PRC-004-6 </w:t>
            </w:r>
            <w:r w:rsidRPr="00B41928">
              <w:rPr>
                <w:iCs/>
                <w:szCs w:val="26"/>
              </w:rPr>
              <w:t>(</w:t>
            </w:r>
            <w:r w:rsidRPr="00B41928">
              <w:rPr>
                <w:b/>
                <w:iCs/>
                <w:szCs w:val="26"/>
              </w:rPr>
              <w:t>FERC-725G1)</w:t>
            </w:r>
          </w:p>
          <w:p w:rsidR="00CB4FF7" w:rsidP="00CB4FF7" w14:paraId="5137EC96" w14:textId="7C9DD9E2">
            <w:pPr>
              <w:jc w:val="center"/>
            </w:pPr>
            <w:r w:rsidRPr="00B41928">
              <w:rPr>
                <w:b/>
                <w:iCs/>
                <w:szCs w:val="26"/>
              </w:rPr>
              <w:t>Annual Estimates of Respondents’ Burdens</w:t>
            </w:r>
          </w:p>
        </w:tc>
      </w:tr>
      <w:tr w14:paraId="292AA9E2" w14:textId="77777777" w:rsidTr="00CB4FF7">
        <w:tblPrEx>
          <w:tblW w:w="0" w:type="auto"/>
          <w:tblLook w:val="04A0"/>
        </w:tblPrEx>
        <w:tc>
          <w:tcPr>
            <w:tcW w:w="1632" w:type="dxa"/>
            <w:vAlign w:val="center"/>
          </w:tcPr>
          <w:p w:rsidR="00CB4FF7" w:rsidRPr="00B41928" w:rsidP="00CB4FF7" w14:paraId="1F03C941" w14:textId="77777777">
            <w:pPr>
              <w:spacing w:line="256" w:lineRule="auto"/>
              <w:jc w:val="center"/>
              <w:rPr>
                <w:b/>
                <w:iCs/>
                <w:szCs w:val="26"/>
              </w:rPr>
            </w:pPr>
            <w:r w:rsidRPr="00B41928">
              <w:rPr>
                <w:b/>
                <w:iCs/>
                <w:szCs w:val="26"/>
              </w:rPr>
              <w:t>A.</w:t>
            </w:r>
          </w:p>
          <w:p w:rsidR="00CB4FF7" w:rsidP="00CB4FF7" w14:paraId="5712A3FB" w14:textId="6F4C7F14">
            <w:r w:rsidRPr="00B41928">
              <w:rPr>
                <w:b/>
                <w:iCs/>
                <w:szCs w:val="26"/>
              </w:rPr>
              <w:t>Number of Respondents</w:t>
            </w:r>
            <w:r w:rsidRPr="00B41928">
              <w:rPr>
                <w:b/>
                <w:iCs/>
                <w:szCs w:val="26"/>
              </w:rPr>
              <w:br/>
            </w:r>
          </w:p>
        </w:tc>
        <w:tc>
          <w:tcPr>
            <w:tcW w:w="1555" w:type="dxa"/>
            <w:vAlign w:val="center"/>
          </w:tcPr>
          <w:p w:rsidR="00CB4FF7" w:rsidRPr="00B41928" w:rsidP="00CB4FF7" w14:paraId="64B41282" w14:textId="77777777">
            <w:pPr>
              <w:spacing w:line="256" w:lineRule="auto"/>
              <w:jc w:val="center"/>
              <w:rPr>
                <w:b/>
                <w:iCs/>
                <w:szCs w:val="26"/>
              </w:rPr>
            </w:pPr>
            <w:r w:rsidRPr="00B41928">
              <w:rPr>
                <w:b/>
                <w:iCs/>
                <w:szCs w:val="26"/>
              </w:rPr>
              <w:t>B.</w:t>
            </w:r>
          </w:p>
          <w:p w:rsidR="00CB4FF7" w:rsidRPr="00B41928" w:rsidP="00CB4FF7" w14:paraId="6B36E2F6" w14:textId="77777777">
            <w:pPr>
              <w:spacing w:line="256" w:lineRule="auto"/>
              <w:jc w:val="center"/>
              <w:rPr>
                <w:b/>
                <w:iCs/>
                <w:szCs w:val="26"/>
              </w:rPr>
            </w:pPr>
            <w:r w:rsidRPr="00B41928">
              <w:rPr>
                <w:b/>
                <w:iCs/>
                <w:szCs w:val="26"/>
              </w:rPr>
              <w:t>Annual Number of Responses per Respondent</w:t>
            </w:r>
          </w:p>
          <w:p w:rsidR="00CB4FF7" w:rsidP="00CB4FF7" w14:paraId="0129C135" w14:textId="77777777"/>
        </w:tc>
        <w:tc>
          <w:tcPr>
            <w:tcW w:w="1540" w:type="dxa"/>
            <w:vAlign w:val="center"/>
          </w:tcPr>
          <w:p w:rsidR="00CB4FF7" w:rsidRPr="00B41928" w:rsidP="00CB4FF7" w14:paraId="33ADDA20" w14:textId="77777777">
            <w:pPr>
              <w:spacing w:line="256" w:lineRule="auto"/>
              <w:jc w:val="center"/>
              <w:rPr>
                <w:b/>
                <w:iCs/>
                <w:szCs w:val="26"/>
              </w:rPr>
            </w:pPr>
            <w:r w:rsidRPr="00B41928">
              <w:rPr>
                <w:b/>
                <w:iCs/>
                <w:szCs w:val="26"/>
              </w:rPr>
              <w:t>C.</w:t>
            </w:r>
          </w:p>
          <w:p w:rsidR="00CB4FF7" w:rsidP="00CB4FF7" w14:paraId="39E5CCBF" w14:textId="2F95C0B0">
            <w:r w:rsidRPr="00B41928">
              <w:rPr>
                <w:b/>
                <w:iCs/>
                <w:szCs w:val="26"/>
              </w:rPr>
              <w:t>Total Number of Responses (Column A x Column B)</w:t>
            </w:r>
          </w:p>
        </w:tc>
        <w:tc>
          <w:tcPr>
            <w:tcW w:w="1539" w:type="dxa"/>
            <w:vAlign w:val="center"/>
          </w:tcPr>
          <w:p w:rsidR="00CB4FF7" w:rsidRPr="00B41928" w:rsidP="00CB4FF7" w14:paraId="005C103A" w14:textId="77777777">
            <w:pPr>
              <w:spacing w:line="256" w:lineRule="auto"/>
              <w:jc w:val="center"/>
              <w:rPr>
                <w:b/>
                <w:iCs/>
                <w:szCs w:val="26"/>
              </w:rPr>
            </w:pPr>
            <w:r w:rsidRPr="00B41928">
              <w:rPr>
                <w:b/>
                <w:iCs/>
                <w:szCs w:val="26"/>
              </w:rPr>
              <w:t>D.</w:t>
            </w:r>
          </w:p>
          <w:p w:rsidR="00CB4FF7" w:rsidP="00CB4FF7" w14:paraId="3FEC8199" w14:textId="66E73D89">
            <w:r w:rsidRPr="00B41928">
              <w:rPr>
                <w:b/>
                <w:iCs/>
                <w:szCs w:val="26"/>
              </w:rPr>
              <w:t>Average Burden &amp; Cost Per Response</w:t>
            </w:r>
            <w:r>
              <w:rPr>
                <w:iCs/>
                <w:szCs w:val="26"/>
                <w:vertAlign w:val="superscript"/>
              </w:rPr>
              <w:footnoteReference w:id="6"/>
            </w:r>
          </w:p>
        </w:tc>
        <w:tc>
          <w:tcPr>
            <w:tcW w:w="1527" w:type="dxa"/>
            <w:vAlign w:val="center"/>
          </w:tcPr>
          <w:p w:rsidR="00CB4FF7" w:rsidRPr="00B41928" w:rsidP="00CB4FF7" w14:paraId="749DDC0F" w14:textId="77777777">
            <w:pPr>
              <w:spacing w:line="256" w:lineRule="auto"/>
              <w:jc w:val="center"/>
              <w:rPr>
                <w:b/>
                <w:iCs/>
                <w:szCs w:val="26"/>
              </w:rPr>
            </w:pPr>
            <w:r w:rsidRPr="00B41928">
              <w:rPr>
                <w:b/>
                <w:iCs/>
                <w:szCs w:val="26"/>
              </w:rPr>
              <w:t>E.</w:t>
            </w:r>
          </w:p>
          <w:p w:rsidR="00CB4FF7" w:rsidRPr="00B41928" w:rsidP="00CB4FF7" w14:paraId="671021D5" w14:textId="77777777">
            <w:pPr>
              <w:spacing w:line="256" w:lineRule="auto"/>
              <w:jc w:val="center"/>
              <w:rPr>
                <w:b/>
                <w:iCs/>
                <w:szCs w:val="26"/>
              </w:rPr>
            </w:pPr>
            <w:r w:rsidRPr="00B41928">
              <w:rPr>
                <w:b/>
                <w:iCs/>
                <w:szCs w:val="26"/>
              </w:rPr>
              <w:t>Total Annual Burden Hours &amp; Total Annual Cost</w:t>
            </w:r>
          </w:p>
          <w:p w:rsidR="00CB4FF7" w:rsidP="00CB4FF7" w14:paraId="6F349116" w14:textId="70EEE847">
            <w:r w:rsidRPr="00B41928">
              <w:rPr>
                <w:b/>
                <w:iCs/>
                <w:szCs w:val="26"/>
              </w:rPr>
              <w:t>(Column C x Column D)</w:t>
            </w:r>
          </w:p>
        </w:tc>
        <w:tc>
          <w:tcPr>
            <w:tcW w:w="1557" w:type="dxa"/>
            <w:vAlign w:val="center"/>
          </w:tcPr>
          <w:p w:rsidR="00CB4FF7" w:rsidRPr="00B41928" w:rsidP="00CB4FF7" w14:paraId="1851EE52" w14:textId="77777777">
            <w:pPr>
              <w:spacing w:line="256" w:lineRule="auto"/>
              <w:jc w:val="center"/>
              <w:rPr>
                <w:b/>
                <w:iCs/>
                <w:szCs w:val="26"/>
              </w:rPr>
            </w:pPr>
            <w:r w:rsidRPr="00B41928">
              <w:rPr>
                <w:b/>
                <w:iCs/>
                <w:szCs w:val="26"/>
              </w:rPr>
              <w:t>F.</w:t>
            </w:r>
          </w:p>
          <w:p w:rsidR="00CB4FF7" w:rsidRPr="00B41928" w:rsidP="00CB4FF7" w14:paraId="1A308374" w14:textId="77777777">
            <w:pPr>
              <w:spacing w:line="256" w:lineRule="auto"/>
              <w:jc w:val="center"/>
              <w:rPr>
                <w:b/>
                <w:iCs/>
                <w:szCs w:val="26"/>
              </w:rPr>
            </w:pPr>
            <w:r w:rsidRPr="00B41928">
              <w:rPr>
                <w:b/>
                <w:iCs/>
                <w:szCs w:val="26"/>
              </w:rPr>
              <w:t>Cost per Respondent</w:t>
            </w:r>
          </w:p>
          <w:p w:rsidR="00CB4FF7" w:rsidRPr="00B41928" w:rsidP="00CB4FF7" w14:paraId="522FAD71" w14:textId="77777777">
            <w:pPr>
              <w:spacing w:line="256" w:lineRule="auto"/>
              <w:jc w:val="center"/>
              <w:rPr>
                <w:b/>
                <w:iCs/>
                <w:szCs w:val="26"/>
              </w:rPr>
            </w:pPr>
            <w:r w:rsidRPr="00B41928">
              <w:rPr>
                <w:b/>
                <w:iCs/>
                <w:szCs w:val="26"/>
              </w:rPr>
              <w:t>($)</w:t>
            </w:r>
          </w:p>
          <w:p w:rsidR="00CB4FF7" w:rsidP="00CB4FF7" w14:paraId="4EAEF646" w14:textId="0A1D99A7">
            <w:r w:rsidRPr="00B41928">
              <w:rPr>
                <w:b/>
                <w:iCs/>
                <w:szCs w:val="26"/>
              </w:rPr>
              <w:t>(Column E ÷ Column A)</w:t>
            </w:r>
          </w:p>
        </w:tc>
      </w:tr>
      <w:tr w14:paraId="0692AAC2" w14:textId="77777777" w:rsidTr="00CB4FF7">
        <w:tblPrEx>
          <w:tblW w:w="0" w:type="auto"/>
          <w:tblLook w:val="04A0"/>
        </w:tblPrEx>
        <w:tc>
          <w:tcPr>
            <w:tcW w:w="1632" w:type="dxa"/>
            <w:vAlign w:val="bottom"/>
          </w:tcPr>
          <w:p w:rsidR="00CB4FF7" w:rsidP="00CB4FF7" w14:paraId="64C3FD65" w14:textId="01E43E2A">
            <w:pPr>
              <w:spacing w:line="480" w:lineRule="auto"/>
              <w:jc w:val="center"/>
            </w:pPr>
            <w:bookmarkStart w:id="2" w:name="_Hlk185596183"/>
            <w:r>
              <w:rPr>
                <w:bCs/>
                <w:iCs/>
                <w:szCs w:val="26"/>
              </w:rPr>
              <w:t>930</w:t>
            </w:r>
          </w:p>
        </w:tc>
        <w:tc>
          <w:tcPr>
            <w:tcW w:w="1555" w:type="dxa"/>
            <w:vAlign w:val="bottom"/>
          </w:tcPr>
          <w:p w:rsidR="00CB4FF7" w:rsidP="00CB4FF7" w14:paraId="4DDCF1AB" w14:textId="2C317EF7">
            <w:pPr>
              <w:spacing w:line="480" w:lineRule="auto"/>
              <w:jc w:val="center"/>
            </w:pPr>
            <w:r w:rsidRPr="00B41928">
              <w:rPr>
                <w:bCs/>
                <w:iCs/>
                <w:szCs w:val="26"/>
              </w:rPr>
              <w:t>1</w:t>
            </w:r>
          </w:p>
        </w:tc>
        <w:tc>
          <w:tcPr>
            <w:tcW w:w="1540" w:type="dxa"/>
            <w:vAlign w:val="bottom"/>
          </w:tcPr>
          <w:p w:rsidR="00CB4FF7" w:rsidP="00CB4FF7" w14:paraId="30300F21" w14:textId="01E09BEF">
            <w:pPr>
              <w:spacing w:line="480" w:lineRule="auto"/>
              <w:jc w:val="center"/>
            </w:pPr>
            <w:r>
              <w:rPr>
                <w:bCs/>
                <w:iCs/>
                <w:szCs w:val="26"/>
              </w:rPr>
              <w:t>930</w:t>
            </w:r>
          </w:p>
        </w:tc>
        <w:tc>
          <w:tcPr>
            <w:tcW w:w="1539" w:type="dxa"/>
            <w:vAlign w:val="bottom"/>
          </w:tcPr>
          <w:p w:rsidR="00CB4FF7" w:rsidRPr="00B41928" w:rsidP="00CB4FF7" w14:paraId="20CACDE8" w14:textId="77777777">
            <w:pPr>
              <w:spacing w:line="256" w:lineRule="auto"/>
              <w:jc w:val="right"/>
              <w:rPr>
                <w:bCs/>
                <w:iCs/>
                <w:szCs w:val="26"/>
              </w:rPr>
            </w:pPr>
            <w:r>
              <w:rPr>
                <w:bCs/>
                <w:iCs/>
                <w:szCs w:val="26"/>
              </w:rPr>
              <w:t>16</w:t>
            </w:r>
            <w:r w:rsidRPr="00B41928">
              <w:rPr>
                <w:bCs/>
                <w:iCs/>
                <w:szCs w:val="26"/>
              </w:rPr>
              <w:t xml:space="preserve"> hrs.;</w:t>
            </w:r>
          </w:p>
          <w:p w:rsidR="00CB4FF7" w:rsidP="00CB4FF7" w14:paraId="3EC12EF1" w14:textId="1F4A0BF6">
            <w:pPr>
              <w:jc w:val="right"/>
            </w:pPr>
            <w:r w:rsidRPr="00B41928">
              <w:rPr>
                <w:bCs/>
                <w:iCs/>
                <w:szCs w:val="26"/>
              </w:rPr>
              <w:t>$</w:t>
            </w:r>
            <w:r>
              <w:rPr>
                <w:bCs/>
                <w:iCs/>
                <w:szCs w:val="26"/>
              </w:rPr>
              <w:t>1,130.72</w:t>
            </w:r>
          </w:p>
        </w:tc>
        <w:tc>
          <w:tcPr>
            <w:tcW w:w="1527" w:type="dxa"/>
            <w:vAlign w:val="bottom"/>
          </w:tcPr>
          <w:p w:rsidR="00CB4FF7" w:rsidRPr="00B41928" w:rsidP="00CB4FF7" w14:paraId="76B99C34" w14:textId="77777777">
            <w:pPr>
              <w:spacing w:line="256" w:lineRule="auto"/>
              <w:jc w:val="right"/>
              <w:rPr>
                <w:bCs/>
                <w:iCs/>
                <w:szCs w:val="26"/>
              </w:rPr>
            </w:pPr>
            <w:r>
              <w:rPr>
                <w:bCs/>
                <w:iCs/>
                <w:szCs w:val="26"/>
              </w:rPr>
              <w:t>14,880</w:t>
            </w:r>
            <w:r w:rsidRPr="00B41928">
              <w:rPr>
                <w:bCs/>
                <w:iCs/>
                <w:szCs w:val="26"/>
              </w:rPr>
              <w:t xml:space="preserve"> hrs.;</w:t>
            </w:r>
          </w:p>
          <w:p w:rsidR="00CB4FF7" w:rsidRPr="00B41928" w:rsidP="00CB4FF7" w14:paraId="49AA6DCD" w14:textId="77777777">
            <w:pPr>
              <w:spacing w:line="256" w:lineRule="auto"/>
              <w:jc w:val="right"/>
              <w:rPr>
                <w:bCs/>
                <w:iCs/>
                <w:szCs w:val="26"/>
              </w:rPr>
            </w:pPr>
            <w:r w:rsidRPr="00B41928">
              <w:rPr>
                <w:bCs/>
                <w:iCs/>
                <w:szCs w:val="26"/>
              </w:rPr>
              <w:t>$</w:t>
            </w:r>
            <w:r>
              <w:rPr>
                <w:bCs/>
                <w:iCs/>
                <w:szCs w:val="26"/>
              </w:rPr>
              <w:t>1,051,570</w:t>
            </w:r>
          </w:p>
          <w:p w:rsidR="00CB4FF7" w:rsidP="00CB4FF7" w14:paraId="1432B81C" w14:textId="2A433581">
            <w:pPr>
              <w:jc w:val="right"/>
            </w:pPr>
            <w:r w:rsidRPr="00B41928">
              <w:rPr>
                <w:bCs/>
                <w:iCs/>
                <w:szCs w:val="26"/>
              </w:rPr>
              <w:t>(rounded)</w:t>
            </w:r>
          </w:p>
        </w:tc>
        <w:tc>
          <w:tcPr>
            <w:tcW w:w="1557" w:type="dxa"/>
            <w:vAlign w:val="bottom"/>
          </w:tcPr>
          <w:p w:rsidR="00CB4FF7" w:rsidP="00CB4FF7" w14:paraId="78CDB481" w14:textId="6F685C25">
            <w:pPr>
              <w:spacing w:line="480" w:lineRule="auto"/>
              <w:jc w:val="right"/>
            </w:pPr>
            <w:r w:rsidRPr="00B41928">
              <w:rPr>
                <w:bCs/>
                <w:iCs/>
                <w:szCs w:val="26"/>
              </w:rPr>
              <w:t>$1,</w:t>
            </w:r>
            <w:r>
              <w:rPr>
                <w:bCs/>
                <w:iCs/>
                <w:szCs w:val="26"/>
              </w:rPr>
              <w:t>130.72</w:t>
            </w:r>
          </w:p>
        </w:tc>
      </w:tr>
      <w:bookmarkEnd w:id="2"/>
    </w:tbl>
    <w:p w:rsidR="00CB4FF7" w:rsidP="00CB4FF7" w14:paraId="692422F9" w14:textId="77777777"/>
    <w:p w:rsidR="00CB4FF7" w:rsidP="00CB4FF7" w14:paraId="445F073D" w14:textId="77777777"/>
    <w:p w:rsidR="00CB4FF7" w:rsidRPr="00B41928" w:rsidP="00CB4FF7" w14:paraId="130E698B" w14:textId="77777777">
      <w:pPr>
        <w:spacing w:line="480" w:lineRule="auto"/>
        <w:rPr>
          <w:iCs/>
          <w:szCs w:val="26"/>
        </w:rPr>
      </w:pPr>
      <w:r w:rsidRPr="00B41928">
        <w:rPr>
          <w:b/>
          <w:bCs/>
          <w:iCs/>
          <w:szCs w:val="26"/>
        </w:rPr>
        <w:t>FERC-725G4</w:t>
      </w:r>
      <w:r w:rsidRPr="00B41928">
        <w:rPr>
          <w:iCs/>
          <w:szCs w:val="26"/>
        </w:rPr>
        <w:t>:</w:t>
      </w:r>
    </w:p>
    <w:p w:rsidR="00CB4FF7" w:rsidRPr="00B41928" w:rsidP="00CB4FF7" w14:paraId="2AF3AF99" w14:textId="77777777">
      <w:pPr>
        <w:spacing w:line="480" w:lineRule="auto"/>
        <w:rPr>
          <w:i/>
          <w:szCs w:val="26"/>
        </w:rPr>
      </w:pPr>
      <w:r w:rsidRPr="00B41928">
        <w:rPr>
          <w:i/>
          <w:iCs/>
          <w:szCs w:val="26"/>
        </w:rPr>
        <w:t>Title</w:t>
      </w:r>
      <w:r w:rsidRPr="00B41928">
        <w:rPr>
          <w:iCs/>
          <w:szCs w:val="26"/>
        </w:rPr>
        <w:t>: Mandatory Reliability Standards:  Reliability Standard PRC-010-2 (Under Voltage Load Shedding).</w:t>
      </w:r>
    </w:p>
    <w:p w:rsidR="00CB4FF7" w:rsidRPr="00B41928" w:rsidP="00CB4FF7" w14:paraId="61A4399A" w14:textId="77777777">
      <w:pPr>
        <w:spacing w:line="480" w:lineRule="auto"/>
        <w:rPr>
          <w:i/>
          <w:szCs w:val="26"/>
        </w:rPr>
      </w:pPr>
      <w:r w:rsidRPr="00B41928">
        <w:rPr>
          <w:i/>
          <w:iCs/>
          <w:szCs w:val="26"/>
        </w:rPr>
        <w:t>OMB Control No</w:t>
      </w:r>
      <w:r w:rsidRPr="00B41928">
        <w:rPr>
          <w:szCs w:val="26"/>
        </w:rPr>
        <w:t xml:space="preserve">.: </w:t>
      </w:r>
      <w:r w:rsidRPr="00751681">
        <w:rPr>
          <w:szCs w:val="26"/>
        </w:rPr>
        <w:t>1902-0282.</w:t>
      </w:r>
    </w:p>
    <w:p w:rsidR="00CB4FF7" w:rsidRPr="00B41928" w:rsidP="00CB4FF7" w14:paraId="7442AB8C" w14:textId="77777777">
      <w:pPr>
        <w:spacing w:line="480" w:lineRule="auto"/>
        <w:rPr>
          <w:iCs/>
          <w:szCs w:val="26"/>
        </w:rPr>
      </w:pPr>
      <w:r w:rsidRPr="00B41928">
        <w:rPr>
          <w:i/>
          <w:iCs/>
          <w:szCs w:val="26"/>
        </w:rPr>
        <w:t>Type of Request</w:t>
      </w:r>
      <w:r w:rsidRPr="00B41928">
        <w:rPr>
          <w:iCs/>
          <w:szCs w:val="26"/>
        </w:rPr>
        <w:t>: Three-year extension of the FERC-725G4 information collection requirements.</w:t>
      </w:r>
      <w:r>
        <w:rPr>
          <w:b/>
          <w:iCs/>
          <w:szCs w:val="26"/>
          <w:vertAlign w:val="superscript"/>
        </w:rPr>
        <w:footnoteReference w:id="7"/>
      </w:r>
    </w:p>
    <w:p w:rsidR="00CB4FF7" w:rsidRPr="00B41928" w:rsidP="00CB4FF7" w14:paraId="3CBC1B90" w14:textId="77777777">
      <w:pPr>
        <w:spacing w:line="480" w:lineRule="auto"/>
        <w:rPr>
          <w:i/>
          <w:szCs w:val="26"/>
        </w:rPr>
      </w:pPr>
      <w:r w:rsidRPr="00B41928">
        <w:rPr>
          <w:i/>
          <w:iCs/>
          <w:szCs w:val="26"/>
        </w:rPr>
        <w:t>Abstract</w:t>
      </w:r>
      <w:r w:rsidRPr="00B41928">
        <w:rPr>
          <w:iCs/>
          <w:szCs w:val="26"/>
        </w:rPr>
        <w:t>:  The Commission collects information under FERC-725G4 in accordance with section 215 of the FPA and 18 CFR Parts 39 and 40.  Reliability Standard PRC-010-2 requires respondents to submit date-stamped documentation of their compliance with the relevant UVLS Program.</w:t>
      </w:r>
      <w:r>
        <w:rPr>
          <w:b/>
          <w:iCs/>
          <w:szCs w:val="26"/>
          <w:vertAlign w:val="superscript"/>
        </w:rPr>
        <w:footnoteReference w:id="8"/>
      </w:r>
    </w:p>
    <w:p w:rsidR="00CB4FF7" w:rsidRPr="00B41928" w:rsidP="00CB4FF7" w14:paraId="177A26FA" w14:textId="77777777">
      <w:pPr>
        <w:spacing w:line="480" w:lineRule="auto"/>
        <w:rPr>
          <w:i/>
          <w:szCs w:val="26"/>
        </w:rPr>
      </w:pPr>
      <w:r w:rsidRPr="00B41928">
        <w:rPr>
          <w:i/>
          <w:iCs/>
          <w:szCs w:val="26"/>
        </w:rPr>
        <w:t>Types of Respondents</w:t>
      </w:r>
      <w:r w:rsidRPr="00B41928">
        <w:rPr>
          <w:iCs/>
          <w:szCs w:val="26"/>
        </w:rPr>
        <w:t>: UVLS Entities.</w:t>
      </w:r>
      <w:r>
        <w:rPr>
          <w:b/>
          <w:iCs/>
          <w:szCs w:val="26"/>
          <w:vertAlign w:val="superscript"/>
        </w:rPr>
        <w:footnoteReference w:id="9"/>
      </w:r>
    </w:p>
    <w:p w:rsidR="00CB4FF7" w:rsidRPr="00B41928" w:rsidP="00CB4FF7" w14:paraId="4435F91F" w14:textId="77777777">
      <w:pPr>
        <w:spacing w:line="480" w:lineRule="auto"/>
        <w:rPr>
          <w:i/>
          <w:szCs w:val="26"/>
        </w:rPr>
      </w:pPr>
      <w:r w:rsidRPr="00B41928">
        <w:rPr>
          <w:i/>
          <w:iCs/>
          <w:szCs w:val="26"/>
        </w:rPr>
        <w:t>Frequency of Response</w:t>
      </w:r>
      <w:r w:rsidRPr="00B41928">
        <w:rPr>
          <w:iCs/>
          <w:szCs w:val="26"/>
        </w:rPr>
        <w:t>:  On occasion.</w:t>
      </w:r>
    </w:p>
    <w:p w:rsidR="00CB4FF7" w:rsidP="00CB4FF7" w14:paraId="47D89BE7" w14:textId="4B48E249">
      <w:pPr>
        <w:rPr>
          <w:szCs w:val="26"/>
        </w:rPr>
      </w:pPr>
      <w:r w:rsidRPr="00B41928">
        <w:rPr>
          <w:i/>
          <w:iCs/>
          <w:szCs w:val="26"/>
        </w:rPr>
        <w:t>Estimate of Annual Burden</w:t>
      </w:r>
      <w:r w:rsidRPr="00B41928">
        <w:rPr>
          <w:szCs w:val="26"/>
        </w:rPr>
        <w:t>:  The Commission estimates 25 responses annually, and per-response burdens of 48 hours and $4,176.</w:t>
      </w:r>
      <w:r>
        <w:rPr>
          <w:b/>
          <w:szCs w:val="26"/>
          <w:vertAlign w:val="superscript"/>
        </w:rPr>
        <w:footnoteReference w:id="10"/>
      </w:r>
      <w:r w:rsidRPr="00B41928">
        <w:rPr>
          <w:szCs w:val="26"/>
        </w:rPr>
        <w:t xml:space="preserve">  The total estimated burdens per year are 25 responses, 1,200 hours, and </w:t>
      </w:r>
      <w:r w:rsidRPr="00B41928">
        <w:rPr>
          <w:bCs/>
          <w:szCs w:val="26"/>
        </w:rPr>
        <w:t>$104,400</w:t>
      </w:r>
      <w:r w:rsidRPr="00B41928">
        <w:rPr>
          <w:szCs w:val="26"/>
        </w:rPr>
        <w:t>.  These burdens are itemized in the following tabl</w:t>
      </w:r>
      <w:r>
        <w:rPr>
          <w:szCs w:val="26"/>
        </w:rPr>
        <w:t>e:</w:t>
      </w:r>
    </w:p>
    <w:p w:rsidR="00CB4FF7" w:rsidP="00CB4FF7" w14:paraId="0519003A" w14:textId="77777777">
      <w:pPr>
        <w:rPr>
          <w:szCs w:val="26"/>
        </w:rPr>
      </w:pPr>
    </w:p>
    <w:tbl>
      <w:tblPr>
        <w:tblStyle w:val="TableGrid"/>
        <w:tblW w:w="0" w:type="auto"/>
        <w:tblLook w:val="04A0"/>
      </w:tblPr>
      <w:tblGrid>
        <w:gridCol w:w="1632"/>
        <w:gridCol w:w="1553"/>
        <w:gridCol w:w="1524"/>
        <w:gridCol w:w="1535"/>
        <w:gridCol w:w="1552"/>
        <w:gridCol w:w="1554"/>
      </w:tblGrid>
      <w:tr w14:paraId="3CCE8BB3" w14:textId="77777777" w:rsidTr="00267072">
        <w:tblPrEx>
          <w:tblW w:w="0" w:type="auto"/>
          <w:tblLook w:val="04A0"/>
        </w:tblPrEx>
        <w:tc>
          <w:tcPr>
            <w:tcW w:w="9350" w:type="dxa"/>
            <w:gridSpan w:val="6"/>
          </w:tcPr>
          <w:p w:rsidR="00CB4FF7" w:rsidRPr="00CB4FF7" w:rsidP="00CB4FF7" w14:paraId="74449ABE" w14:textId="77777777">
            <w:pPr>
              <w:jc w:val="center"/>
              <w:rPr>
                <w:b/>
                <w:bCs/>
              </w:rPr>
            </w:pPr>
            <w:r w:rsidRPr="00CB4FF7">
              <w:rPr>
                <w:b/>
                <w:bCs/>
                <w:iCs/>
              </w:rPr>
              <w:t>Mandatory Reliability Standards:  Reliability Standard PRC-010-2 (Under Voltage Load Shedding) (</w:t>
            </w:r>
            <w:r w:rsidRPr="00CB4FF7">
              <w:rPr>
                <w:b/>
                <w:bCs/>
              </w:rPr>
              <w:t>FERC-725G4)</w:t>
            </w:r>
          </w:p>
          <w:p w:rsidR="00CB4FF7" w:rsidP="00CB4FF7" w14:paraId="4B8B5F29" w14:textId="06F162FD">
            <w:pPr>
              <w:jc w:val="center"/>
            </w:pPr>
            <w:r w:rsidRPr="00CB4FF7">
              <w:rPr>
                <w:b/>
              </w:rPr>
              <w:t>Annual Estimates of Respondents’ Burdens</w:t>
            </w:r>
          </w:p>
        </w:tc>
      </w:tr>
      <w:tr w14:paraId="0A0EC39B" w14:textId="77777777" w:rsidTr="0007091B">
        <w:tblPrEx>
          <w:tblW w:w="0" w:type="auto"/>
          <w:tblLook w:val="04A0"/>
        </w:tblPrEx>
        <w:tc>
          <w:tcPr>
            <w:tcW w:w="1558" w:type="dxa"/>
            <w:vAlign w:val="center"/>
          </w:tcPr>
          <w:p w:rsidR="00CB4FF7" w:rsidRPr="00B41928" w:rsidP="00CB4FF7" w14:paraId="0F4EA1DC" w14:textId="77777777">
            <w:pPr>
              <w:spacing w:line="256" w:lineRule="auto"/>
              <w:jc w:val="center"/>
              <w:rPr>
                <w:b/>
                <w:szCs w:val="26"/>
              </w:rPr>
            </w:pPr>
            <w:r w:rsidRPr="00B41928">
              <w:rPr>
                <w:b/>
                <w:szCs w:val="26"/>
              </w:rPr>
              <w:t>A.</w:t>
            </w:r>
          </w:p>
          <w:p w:rsidR="00CB4FF7" w:rsidP="00CB4FF7" w14:paraId="5AD229C4" w14:textId="56A43715">
            <w:pPr>
              <w:jc w:val="center"/>
            </w:pPr>
            <w:r w:rsidRPr="00B41928">
              <w:rPr>
                <w:b/>
                <w:szCs w:val="26"/>
              </w:rPr>
              <w:t>Number of Respondents</w:t>
            </w:r>
            <w:r w:rsidRPr="00B41928">
              <w:rPr>
                <w:b/>
                <w:szCs w:val="26"/>
              </w:rPr>
              <w:br/>
            </w:r>
          </w:p>
        </w:tc>
        <w:tc>
          <w:tcPr>
            <w:tcW w:w="1558" w:type="dxa"/>
            <w:vAlign w:val="center"/>
          </w:tcPr>
          <w:p w:rsidR="00CB4FF7" w:rsidRPr="00B41928" w:rsidP="00CB4FF7" w14:paraId="74E20960" w14:textId="77777777">
            <w:pPr>
              <w:spacing w:line="256" w:lineRule="auto"/>
              <w:jc w:val="center"/>
              <w:rPr>
                <w:b/>
                <w:szCs w:val="26"/>
              </w:rPr>
            </w:pPr>
            <w:r w:rsidRPr="00B41928">
              <w:rPr>
                <w:b/>
                <w:szCs w:val="26"/>
              </w:rPr>
              <w:t>B.</w:t>
            </w:r>
          </w:p>
          <w:p w:rsidR="00CB4FF7" w:rsidRPr="00B41928" w:rsidP="00CB4FF7" w14:paraId="1E8EA588" w14:textId="77777777">
            <w:pPr>
              <w:spacing w:line="256" w:lineRule="auto"/>
              <w:jc w:val="center"/>
              <w:rPr>
                <w:b/>
                <w:szCs w:val="26"/>
              </w:rPr>
            </w:pPr>
            <w:r w:rsidRPr="00B41928">
              <w:rPr>
                <w:b/>
                <w:szCs w:val="26"/>
              </w:rPr>
              <w:t>Annual Number of Responses per Respondent</w:t>
            </w:r>
          </w:p>
          <w:p w:rsidR="00CB4FF7" w:rsidP="00CB4FF7" w14:paraId="4B9938F1" w14:textId="77777777"/>
        </w:tc>
        <w:tc>
          <w:tcPr>
            <w:tcW w:w="1558" w:type="dxa"/>
            <w:vAlign w:val="center"/>
          </w:tcPr>
          <w:p w:rsidR="00CB4FF7" w:rsidRPr="00B41928" w:rsidP="00CB4FF7" w14:paraId="61711D68" w14:textId="77777777">
            <w:pPr>
              <w:spacing w:line="256" w:lineRule="auto"/>
              <w:jc w:val="center"/>
              <w:rPr>
                <w:b/>
                <w:szCs w:val="26"/>
              </w:rPr>
            </w:pPr>
            <w:r w:rsidRPr="00B41928">
              <w:rPr>
                <w:b/>
                <w:szCs w:val="26"/>
              </w:rPr>
              <w:t>C.</w:t>
            </w:r>
          </w:p>
          <w:p w:rsidR="00CB4FF7" w:rsidP="00CB4FF7" w14:paraId="502A4F3D" w14:textId="4B82182A">
            <w:r w:rsidRPr="00B41928">
              <w:rPr>
                <w:b/>
                <w:szCs w:val="26"/>
              </w:rPr>
              <w:t>Total Number of Responses (Column A x Column B)</w:t>
            </w:r>
          </w:p>
        </w:tc>
        <w:tc>
          <w:tcPr>
            <w:tcW w:w="1558" w:type="dxa"/>
            <w:vAlign w:val="center"/>
          </w:tcPr>
          <w:p w:rsidR="00CB4FF7" w:rsidRPr="00B41928" w:rsidP="00CB4FF7" w14:paraId="575E41DD" w14:textId="77777777">
            <w:pPr>
              <w:spacing w:line="256" w:lineRule="auto"/>
              <w:jc w:val="center"/>
              <w:rPr>
                <w:b/>
                <w:szCs w:val="26"/>
              </w:rPr>
            </w:pPr>
            <w:r w:rsidRPr="00B41928">
              <w:rPr>
                <w:b/>
                <w:szCs w:val="26"/>
              </w:rPr>
              <w:t>D.</w:t>
            </w:r>
          </w:p>
          <w:p w:rsidR="00CB4FF7" w:rsidP="00CB4FF7" w14:paraId="022EC143" w14:textId="56119978">
            <w:r w:rsidRPr="00B41928">
              <w:rPr>
                <w:b/>
                <w:szCs w:val="26"/>
              </w:rPr>
              <w:t>Average Burden &amp; Cost Per Response</w:t>
            </w:r>
            <w:r>
              <w:rPr>
                <w:szCs w:val="26"/>
                <w:vertAlign w:val="superscript"/>
              </w:rPr>
              <w:footnoteReference w:id="11"/>
            </w:r>
          </w:p>
        </w:tc>
        <w:tc>
          <w:tcPr>
            <w:tcW w:w="1559" w:type="dxa"/>
            <w:vAlign w:val="center"/>
          </w:tcPr>
          <w:p w:rsidR="00CB4FF7" w:rsidRPr="00B41928" w:rsidP="00CB4FF7" w14:paraId="438F40A8" w14:textId="77777777">
            <w:pPr>
              <w:spacing w:line="256" w:lineRule="auto"/>
              <w:jc w:val="center"/>
              <w:rPr>
                <w:b/>
                <w:szCs w:val="26"/>
              </w:rPr>
            </w:pPr>
            <w:r w:rsidRPr="00B41928">
              <w:rPr>
                <w:b/>
                <w:szCs w:val="26"/>
              </w:rPr>
              <w:t>E.</w:t>
            </w:r>
          </w:p>
          <w:p w:rsidR="00CB4FF7" w:rsidRPr="00B41928" w:rsidP="00CB4FF7" w14:paraId="69B0510F" w14:textId="77777777">
            <w:pPr>
              <w:spacing w:line="256" w:lineRule="auto"/>
              <w:jc w:val="center"/>
              <w:rPr>
                <w:b/>
                <w:szCs w:val="26"/>
              </w:rPr>
            </w:pPr>
            <w:r w:rsidRPr="00B41928">
              <w:rPr>
                <w:b/>
                <w:szCs w:val="26"/>
              </w:rPr>
              <w:t>Total Annual Burden Hours &amp; Total Annual Cost</w:t>
            </w:r>
          </w:p>
          <w:p w:rsidR="00CB4FF7" w:rsidP="00CB4FF7" w14:paraId="56B8E29B" w14:textId="2C229919">
            <w:r w:rsidRPr="00B41928">
              <w:rPr>
                <w:b/>
                <w:szCs w:val="26"/>
              </w:rPr>
              <w:t>(Column C x Column D)</w:t>
            </w:r>
          </w:p>
        </w:tc>
        <w:tc>
          <w:tcPr>
            <w:tcW w:w="1559" w:type="dxa"/>
            <w:vAlign w:val="center"/>
          </w:tcPr>
          <w:p w:rsidR="00CB4FF7" w:rsidRPr="00B41928" w:rsidP="00CB4FF7" w14:paraId="46581618" w14:textId="77777777">
            <w:pPr>
              <w:spacing w:line="256" w:lineRule="auto"/>
              <w:jc w:val="center"/>
              <w:rPr>
                <w:b/>
                <w:szCs w:val="26"/>
              </w:rPr>
            </w:pPr>
            <w:r w:rsidRPr="00B41928">
              <w:rPr>
                <w:b/>
                <w:szCs w:val="26"/>
              </w:rPr>
              <w:t>F.</w:t>
            </w:r>
          </w:p>
          <w:p w:rsidR="00CB4FF7" w:rsidRPr="00B41928" w:rsidP="00CB4FF7" w14:paraId="3C547188" w14:textId="77777777">
            <w:pPr>
              <w:spacing w:line="256" w:lineRule="auto"/>
              <w:jc w:val="center"/>
              <w:rPr>
                <w:b/>
                <w:szCs w:val="26"/>
              </w:rPr>
            </w:pPr>
            <w:r w:rsidRPr="00B41928">
              <w:rPr>
                <w:b/>
                <w:szCs w:val="26"/>
              </w:rPr>
              <w:t>Cost per Respondent</w:t>
            </w:r>
          </w:p>
          <w:p w:rsidR="00CB4FF7" w:rsidRPr="00B41928" w:rsidP="00CB4FF7" w14:paraId="0E944DF1" w14:textId="77777777">
            <w:pPr>
              <w:spacing w:line="256" w:lineRule="auto"/>
              <w:jc w:val="center"/>
              <w:rPr>
                <w:b/>
                <w:szCs w:val="26"/>
              </w:rPr>
            </w:pPr>
            <w:r w:rsidRPr="00B41928">
              <w:rPr>
                <w:b/>
                <w:szCs w:val="26"/>
              </w:rPr>
              <w:t>($)</w:t>
            </w:r>
          </w:p>
          <w:p w:rsidR="00CB4FF7" w:rsidP="00CB4FF7" w14:paraId="0DDA4827" w14:textId="6A7EE0BA">
            <w:r w:rsidRPr="00B41928">
              <w:rPr>
                <w:b/>
                <w:szCs w:val="26"/>
              </w:rPr>
              <w:t>(Column E ÷ Column A)</w:t>
            </w:r>
          </w:p>
        </w:tc>
      </w:tr>
      <w:tr w14:paraId="7761644C" w14:textId="77777777" w:rsidTr="0007091B">
        <w:tblPrEx>
          <w:tblW w:w="0" w:type="auto"/>
          <w:tblLook w:val="04A0"/>
        </w:tblPrEx>
        <w:tc>
          <w:tcPr>
            <w:tcW w:w="1558" w:type="dxa"/>
            <w:vAlign w:val="bottom"/>
          </w:tcPr>
          <w:p w:rsidR="00CB4FF7" w:rsidP="00CB4FF7" w14:paraId="7372D710" w14:textId="20803908">
            <w:pPr>
              <w:jc w:val="center"/>
            </w:pPr>
            <w:bookmarkStart w:id="3" w:name="_Hlk185596242"/>
            <w:r>
              <w:rPr>
                <w:bCs/>
                <w:szCs w:val="26"/>
              </w:rPr>
              <w:t>31</w:t>
            </w:r>
          </w:p>
        </w:tc>
        <w:tc>
          <w:tcPr>
            <w:tcW w:w="1558" w:type="dxa"/>
            <w:vAlign w:val="bottom"/>
          </w:tcPr>
          <w:p w:rsidR="00CB4FF7" w:rsidP="00CB4FF7" w14:paraId="17B18523" w14:textId="7218AC3D">
            <w:pPr>
              <w:jc w:val="center"/>
            </w:pPr>
            <w:r w:rsidRPr="00B41928">
              <w:rPr>
                <w:bCs/>
                <w:szCs w:val="26"/>
              </w:rPr>
              <w:t>1</w:t>
            </w:r>
          </w:p>
        </w:tc>
        <w:tc>
          <w:tcPr>
            <w:tcW w:w="1558" w:type="dxa"/>
            <w:vAlign w:val="bottom"/>
          </w:tcPr>
          <w:p w:rsidR="00CB4FF7" w:rsidP="00CB4FF7" w14:paraId="104D612A" w14:textId="3794932D">
            <w:pPr>
              <w:jc w:val="center"/>
            </w:pPr>
            <w:r>
              <w:rPr>
                <w:bCs/>
                <w:szCs w:val="26"/>
              </w:rPr>
              <w:t>31</w:t>
            </w:r>
          </w:p>
        </w:tc>
        <w:tc>
          <w:tcPr>
            <w:tcW w:w="1558" w:type="dxa"/>
            <w:vAlign w:val="bottom"/>
          </w:tcPr>
          <w:p w:rsidR="00CB4FF7" w:rsidRPr="00B41928" w:rsidP="00CB4FF7" w14:paraId="59DEF84B" w14:textId="77777777">
            <w:pPr>
              <w:spacing w:line="256" w:lineRule="auto"/>
              <w:jc w:val="right"/>
              <w:rPr>
                <w:bCs/>
                <w:szCs w:val="26"/>
              </w:rPr>
            </w:pPr>
            <w:r w:rsidRPr="00B41928">
              <w:rPr>
                <w:bCs/>
                <w:szCs w:val="26"/>
              </w:rPr>
              <w:t>48 hrs.;</w:t>
            </w:r>
          </w:p>
          <w:p w:rsidR="00CB4FF7" w:rsidP="00CB4FF7" w14:paraId="03954CBF" w14:textId="59E83202">
            <w:pPr>
              <w:jc w:val="right"/>
            </w:pPr>
            <w:r w:rsidRPr="00B41928">
              <w:rPr>
                <w:bCs/>
                <w:szCs w:val="26"/>
              </w:rPr>
              <w:t>$</w:t>
            </w:r>
            <w:r>
              <w:rPr>
                <w:bCs/>
                <w:szCs w:val="26"/>
              </w:rPr>
              <w:t>3,392.16</w:t>
            </w:r>
          </w:p>
        </w:tc>
        <w:tc>
          <w:tcPr>
            <w:tcW w:w="1559" w:type="dxa"/>
            <w:vAlign w:val="bottom"/>
          </w:tcPr>
          <w:p w:rsidR="00CB4FF7" w:rsidRPr="00B41928" w:rsidP="00CB4FF7" w14:paraId="3BD34B9F" w14:textId="77777777">
            <w:pPr>
              <w:spacing w:line="256" w:lineRule="auto"/>
              <w:jc w:val="right"/>
              <w:rPr>
                <w:bCs/>
                <w:szCs w:val="26"/>
              </w:rPr>
            </w:pPr>
            <w:r w:rsidRPr="00B41928">
              <w:rPr>
                <w:bCs/>
                <w:szCs w:val="26"/>
              </w:rPr>
              <w:t>1,</w:t>
            </w:r>
            <w:r>
              <w:rPr>
                <w:bCs/>
                <w:szCs w:val="26"/>
              </w:rPr>
              <w:t>488</w:t>
            </w:r>
            <w:r w:rsidRPr="00B41928">
              <w:rPr>
                <w:bCs/>
                <w:szCs w:val="26"/>
              </w:rPr>
              <w:t xml:space="preserve"> hrs.;</w:t>
            </w:r>
          </w:p>
          <w:p w:rsidR="00CB4FF7" w:rsidP="00CB4FF7" w14:paraId="11ADEF9D" w14:textId="3408E4E2">
            <w:pPr>
              <w:jc w:val="right"/>
            </w:pPr>
            <w:r w:rsidRPr="00B41928">
              <w:rPr>
                <w:bCs/>
                <w:szCs w:val="26"/>
              </w:rPr>
              <w:t>$</w:t>
            </w:r>
            <w:r>
              <w:rPr>
                <w:bCs/>
                <w:szCs w:val="26"/>
              </w:rPr>
              <w:t>105,156.96</w:t>
            </w:r>
          </w:p>
        </w:tc>
        <w:tc>
          <w:tcPr>
            <w:tcW w:w="1559" w:type="dxa"/>
            <w:vAlign w:val="bottom"/>
          </w:tcPr>
          <w:p w:rsidR="00CB4FF7" w:rsidP="00CB4FF7" w14:paraId="58CE24AA" w14:textId="54418EF0">
            <w:pPr>
              <w:jc w:val="right"/>
            </w:pPr>
            <w:r>
              <w:rPr>
                <w:bCs/>
                <w:szCs w:val="26"/>
              </w:rPr>
              <w:t>$3,392.16</w:t>
            </w:r>
          </w:p>
        </w:tc>
      </w:tr>
      <w:bookmarkEnd w:id="3"/>
    </w:tbl>
    <w:p w:rsidR="00CB4FF7" w:rsidP="00CB4FF7" w14:paraId="124698B8" w14:textId="77777777"/>
    <w:p w:rsidR="00CB4FF7" w:rsidP="00CB4FF7" w14:paraId="1FFC6E55" w14:textId="77777777"/>
    <w:p w:rsidR="00CB4FF7" w:rsidP="00CB4FF7" w14:paraId="5F43B590" w14:textId="77777777"/>
    <w:p w:rsidR="00CB4FF7" w:rsidRPr="00B41928" w:rsidP="00CB4FF7" w14:paraId="5956748B" w14:textId="77777777">
      <w:pPr>
        <w:spacing w:line="480" w:lineRule="auto"/>
        <w:rPr>
          <w:iCs/>
          <w:szCs w:val="26"/>
        </w:rPr>
      </w:pPr>
      <w:r w:rsidRPr="00B41928">
        <w:rPr>
          <w:b/>
          <w:bCs/>
          <w:iCs/>
          <w:szCs w:val="26"/>
        </w:rPr>
        <w:t>FERC-725</w:t>
      </w:r>
      <w:r>
        <w:rPr>
          <w:b/>
          <w:bCs/>
          <w:iCs/>
          <w:szCs w:val="26"/>
        </w:rPr>
        <w:t>P1</w:t>
      </w:r>
      <w:r w:rsidRPr="00B41928">
        <w:rPr>
          <w:iCs/>
          <w:szCs w:val="26"/>
        </w:rPr>
        <w:t>:</w:t>
      </w:r>
    </w:p>
    <w:p w:rsidR="00CB4FF7" w:rsidRPr="00B41928" w:rsidP="00CB4FF7" w14:paraId="64C1ECA2" w14:textId="77777777">
      <w:pPr>
        <w:spacing w:line="480" w:lineRule="auto"/>
        <w:rPr>
          <w:i/>
          <w:szCs w:val="26"/>
        </w:rPr>
      </w:pPr>
      <w:r w:rsidRPr="00B41928">
        <w:rPr>
          <w:i/>
          <w:iCs/>
          <w:szCs w:val="26"/>
        </w:rPr>
        <w:t>Title</w:t>
      </w:r>
      <w:r w:rsidRPr="00B41928">
        <w:rPr>
          <w:iCs/>
          <w:szCs w:val="26"/>
        </w:rPr>
        <w:t>: Mandatory Reliability Standards:  Reliability Standard PRC-0</w:t>
      </w:r>
      <w:r>
        <w:rPr>
          <w:iCs/>
          <w:szCs w:val="26"/>
        </w:rPr>
        <w:t>05-6</w:t>
      </w:r>
      <w:r w:rsidRPr="00B41928">
        <w:rPr>
          <w:iCs/>
          <w:szCs w:val="26"/>
        </w:rPr>
        <w:t xml:space="preserve"> (</w:t>
      </w:r>
      <w:r w:rsidRPr="00904008">
        <w:rPr>
          <w:iCs/>
          <w:szCs w:val="26"/>
        </w:rPr>
        <w:t>Protection System, Automatic Reclosing, and Sudden Pressure Relaying Maintenance</w:t>
      </w:r>
      <w:r w:rsidRPr="00B41928">
        <w:rPr>
          <w:iCs/>
          <w:szCs w:val="26"/>
        </w:rPr>
        <w:t>).</w:t>
      </w:r>
    </w:p>
    <w:p w:rsidR="00CB4FF7" w:rsidRPr="00B41928" w:rsidP="00CB4FF7" w14:paraId="7E9FF184" w14:textId="4201CB69">
      <w:pPr>
        <w:spacing w:line="480" w:lineRule="auto"/>
        <w:rPr>
          <w:i/>
          <w:szCs w:val="26"/>
        </w:rPr>
      </w:pPr>
      <w:r w:rsidRPr="00B41928">
        <w:rPr>
          <w:i/>
          <w:iCs/>
          <w:szCs w:val="26"/>
        </w:rPr>
        <w:t>OMB Control No</w:t>
      </w:r>
      <w:r w:rsidRPr="00B41928">
        <w:rPr>
          <w:szCs w:val="26"/>
        </w:rPr>
        <w:t xml:space="preserve">.: </w:t>
      </w:r>
      <w:r w:rsidRPr="00383B72">
        <w:rPr>
          <w:szCs w:val="26"/>
        </w:rPr>
        <w:t>1902-028</w:t>
      </w:r>
      <w:r w:rsidRPr="00383B72" w:rsidR="00383B72">
        <w:rPr>
          <w:szCs w:val="26"/>
        </w:rPr>
        <w:t>0</w:t>
      </w:r>
      <w:r w:rsidRPr="00383B72">
        <w:rPr>
          <w:szCs w:val="26"/>
        </w:rPr>
        <w:t>.</w:t>
      </w:r>
    </w:p>
    <w:p w:rsidR="00CB4FF7" w:rsidRPr="00B41928" w:rsidP="00CB4FF7" w14:paraId="59016005" w14:textId="77777777">
      <w:pPr>
        <w:spacing w:line="480" w:lineRule="auto"/>
        <w:rPr>
          <w:iCs/>
          <w:szCs w:val="26"/>
        </w:rPr>
      </w:pPr>
      <w:r w:rsidRPr="00B41928">
        <w:rPr>
          <w:i/>
          <w:iCs/>
          <w:szCs w:val="26"/>
        </w:rPr>
        <w:t>Type of Request</w:t>
      </w:r>
      <w:r w:rsidRPr="00B41928">
        <w:rPr>
          <w:iCs/>
          <w:szCs w:val="26"/>
        </w:rPr>
        <w:t>: Three-year extension of the FERC-725</w:t>
      </w:r>
      <w:r>
        <w:rPr>
          <w:iCs/>
          <w:szCs w:val="26"/>
        </w:rPr>
        <w:t>P1</w:t>
      </w:r>
      <w:r w:rsidRPr="00B41928">
        <w:rPr>
          <w:iCs/>
          <w:szCs w:val="26"/>
        </w:rPr>
        <w:t xml:space="preserve"> information collection requirements.</w:t>
      </w:r>
      <w:r>
        <w:rPr>
          <w:b/>
          <w:iCs/>
          <w:szCs w:val="26"/>
          <w:vertAlign w:val="superscript"/>
        </w:rPr>
        <w:footnoteReference w:id="12"/>
      </w:r>
    </w:p>
    <w:p w:rsidR="00CB4FF7" w:rsidRPr="00B41928" w:rsidP="00CB4FF7" w14:paraId="24CD7E74" w14:textId="77777777">
      <w:pPr>
        <w:spacing w:line="480" w:lineRule="auto"/>
        <w:rPr>
          <w:i/>
          <w:szCs w:val="26"/>
        </w:rPr>
      </w:pPr>
      <w:r w:rsidRPr="00B41928">
        <w:rPr>
          <w:i/>
          <w:iCs/>
          <w:szCs w:val="26"/>
        </w:rPr>
        <w:t>Abstract</w:t>
      </w:r>
      <w:r w:rsidRPr="00B41928">
        <w:rPr>
          <w:iCs/>
          <w:szCs w:val="26"/>
        </w:rPr>
        <w:t>:  The Commission collects information under FERC-725</w:t>
      </w:r>
      <w:r>
        <w:rPr>
          <w:iCs/>
          <w:szCs w:val="26"/>
        </w:rPr>
        <w:t>P1</w:t>
      </w:r>
      <w:r w:rsidRPr="00B41928">
        <w:rPr>
          <w:iCs/>
          <w:szCs w:val="26"/>
        </w:rPr>
        <w:t xml:space="preserve"> in accordance with section 215 of the FPA and 18 CFR Parts 39 and 40.  Reliability Standard PRC-</w:t>
      </w:r>
      <w:r>
        <w:rPr>
          <w:iCs/>
          <w:szCs w:val="26"/>
        </w:rPr>
        <w:t>005-6</w:t>
      </w:r>
      <w:r w:rsidRPr="00B41928">
        <w:rPr>
          <w:iCs/>
          <w:szCs w:val="26"/>
        </w:rPr>
        <w:t xml:space="preserve"> requires </w:t>
      </w:r>
      <w:r w:rsidRPr="00945A16">
        <w:rPr>
          <w:iCs/>
          <w:szCs w:val="26"/>
        </w:rPr>
        <w:t>that transmission and generation protection systems affecting the reliability of the Bulk-Power System are maintained and tested</w:t>
      </w:r>
      <w:r w:rsidRPr="00B41928">
        <w:rPr>
          <w:iCs/>
          <w:szCs w:val="26"/>
        </w:rPr>
        <w:t>.</w:t>
      </w:r>
      <w:r>
        <w:rPr>
          <w:iCs/>
          <w:szCs w:val="26"/>
        </w:rPr>
        <w:t xml:space="preserve"> </w:t>
      </w:r>
    </w:p>
    <w:p w:rsidR="00CB4FF7" w:rsidRPr="00B41928" w:rsidP="00CB4FF7" w14:paraId="7A78EB6C" w14:textId="77777777">
      <w:pPr>
        <w:spacing w:line="480" w:lineRule="auto"/>
        <w:rPr>
          <w:i/>
          <w:szCs w:val="26"/>
        </w:rPr>
      </w:pPr>
      <w:r w:rsidRPr="00B41928">
        <w:rPr>
          <w:i/>
          <w:iCs/>
          <w:szCs w:val="26"/>
        </w:rPr>
        <w:t>Types of Respondents</w:t>
      </w:r>
      <w:r w:rsidRPr="00B41928">
        <w:rPr>
          <w:iCs/>
          <w:szCs w:val="26"/>
        </w:rPr>
        <w:t xml:space="preserve">: </w:t>
      </w:r>
      <w:r>
        <w:rPr>
          <w:iCs/>
          <w:szCs w:val="26"/>
        </w:rPr>
        <w:t>Distribution providers, generator owners and transmission owners</w:t>
      </w:r>
      <w:r w:rsidRPr="00B41928">
        <w:rPr>
          <w:iCs/>
          <w:szCs w:val="26"/>
        </w:rPr>
        <w:t xml:space="preserve"> Entities.</w:t>
      </w:r>
      <w:r>
        <w:rPr>
          <w:iCs/>
          <w:szCs w:val="26"/>
        </w:rPr>
        <w:t xml:space="preserve"> </w:t>
      </w:r>
    </w:p>
    <w:p w:rsidR="00CB4FF7" w:rsidRPr="00B41928" w:rsidP="00CB4FF7" w14:paraId="0BEC92C9" w14:textId="77777777">
      <w:pPr>
        <w:spacing w:line="480" w:lineRule="auto"/>
        <w:rPr>
          <w:i/>
          <w:szCs w:val="26"/>
        </w:rPr>
      </w:pPr>
      <w:r w:rsidRPr="00B41928">
        <w:rPr>
          <w:i/>
          <w:iCs/>
          <w:szCs w:val="26"/>
        </w:rPr>
        <w:t>Frequency of Response</w:t>
      </w:r>
      <w:r w:rsidRPr="00B41928">
        <w:rPr>
          <w:iCs/>
          <w:szCs w:val="26"/>
        </w:rPr>
        <w:t>:  On occasion.</w:t>
      </w:r>
    </w:p>
    <w:p w:rsidR="00CB4FF7" w:rsidP="00CB4FF7" w14:paraId="5ED23708" w14:textId="77777777">
      <w:pPr>
        <w:rPr>
          <w:szCs w:val="26"/>
        </w:rPr>
      </w:pPr>
      <w:r w:rsidRPr="00B41928">
        <w:rPr>
          <w:i/>
          <w:iCs/>
          <w:szCs w:val="26"/>
        </w:rPr>
        <w:t>Estimate of Annual Burden</w:t>
      </w:r>
      <w:r w:rsidRPr="00B41928">
        <w:rPr>
          <w:szCs w:val="26"/>
        </w:rPr>
        <w:t xml:space="preserve">:  The Commission estimates </w:t>
      </w:r>
      <w:r>
        <w:rPr>
          <w:szCs w:val="26"/>
        </w:rPr>
        <w:t>1,861</w:t>
      </w:r>
      <w:r w:rsidRPr="00B41928">
        <w:rPr>
          <w:szCs w:val="26"/>
        </w:rPr>
        <w:t xml:space="preserve"> responses annually, and per-response burdens of </w:t>
      </w:r>
      <w:r>
        <w:rPr>
          <w:szCs w:val="26"/>
        </w:rPr>
        <w:t>2</w:t>
      </w:r>
      <w:r w:rsidRPr="00B41928">
        <w:rPr>
          <w:szCs w:val="26"/>
        </w:rPr>
        <w:t xml:space="preserve"> hours and $</w:t>
      </w:r>
      <w:r>
        <w:rPr>
          <w:szCs w:val="26"/>
        </w:rPr>
        <w:t>141.34</w:t>
      </w:r>
      <w:r w:rsidRPr="00B41928">
        <w:rPr>
          <w:szCs w:val="26"/>
        </w:rPr>
        <w:t>.</w:t>
      </w:r>
      <w:r>
        <w:rPr>
          <w:b/>
          <w:szCs w:val="26"/>
          <w:vertAlign w:val="superscript"/>
        </w:rPr>
        <w:footnoteReference w:id="13"/>
      </w:r>
      <w:r w:rsidRPr="00B41928">
        <w:rPr>
          <w:szCs w:val="26"/>
        </w:rPr>
        <w:t xml:space="preserve">  The total estimated burdens per year are </w:t>
      </w:r>
      <w:r>
        <w:rPr>
          <w:szCs w:val="26"/>
        </w:rPr>
        <w:t>1,861</w:t>
      </w:r>
      <w:r w:rsidRPr="00B41928">
        <w:rPr>
          <w:szCs w:val="26"/>
        </w:rPr>
        <w:t xml:space="preserve"> responses, </w:t>
      </w:r>
      <w:r>
        <w:rPr>
          <w:szCs w:val="26"/>
        </w:rPr>
        <w:t xml:space="preserve">3,722 </w:t>
      </w:r>
      <w:r w:rsidRPr="00B41928">
        <w:rPr>
          <w:szCs w:val="26"/>
        </w:rPr>
        <w:t xml:space="preserve">hours, and </w:t>
      </w:r>
      <w:r w:rsidRPr="00B41928">
        <w:rPr>
          <w:bCs/>
          <w:szCs w:val="26"/>
        </w:rPr>
        <w:t>$</w:t>
      </w:r>
      <w:r w:rsidRPr="00CF2C21">
        <w:rPr>
          <w:bCs/>
          <w:szCs w:val="26"/>
        </w:rPr>
        <w:t>263,033.74</w:t>
      </w:r>
      <w:r w:rsidRPr="00B41928">
        <w:rPr>
          <w:szCs w:val="26"/>
        </w:rPr>
        <w:t>.  These burdens are itemized in the following table</w:t>
      </w:r>
      <w:r>
        <w:rPr>
          <w:szCs w:val="26"/>
        </w:rPr>
        <w:t xml:space="preserve">: </w:t>
      </w:r>
    </w:p>
    <w:p w:rsidR="00CB4FF7" w:rsidP="00CB4FF7" w14:paraId="2153D294" w14:textId="77777777"/>
    <w:p w:rsidR="00CB4FF7" w:rsidP="00CB4FF7" w14:paraId="6043ACB6" w14:textId="77777777"/>
    <w:tbl>
      <w:tblPr>
        <w:tblStyle w:val="TableGrid"/>
        <w:tblW w:w="0" w:type="auto"/>
        <w:tblLook w:val="04A0"/>
      </w:tblPr>
      <w:tblGrid>
        <w:gridCol w:w="1632"/>
        <w:gridCol w:w="1553"/>
        <w:gridCol w:w="1524"/>
        <w:gridCol w:w="1535"/>
        <w:gridCol w:w="1552"/>
        <w:gridCol w:w="1554"/>
      </w:tblGrid>
      <w:tr w14:paraId="26E3C9B1" w14:textId="77777777" w:rsidTr="005C12C0">
        <w:tblPrEx>
          <w:tblW w:w="0" w:type="auto"/>
          <w:tblLook w:val="04A0"/>
        </w:tblPrEx>
        <w:tc>
          <w:tcPr>
            <w:tcW w:w="9350" w:type="dxa"/>
            <w:gridSpan w:val="6"/>
          </w:tcPr>
          <w:p w:rsidR="00CB4FF7" w:rsidRPr="00CB4FF7" w:rsidP="00CB4FF7" w14:paraId="542810CA" w14:textId="77777777">
            <w:pPr>
              <w:jc w:val="center"/>
              <w:rPr>
                <w:b/>
                <w:bCs/>
              </w:rPr>
            </w:pPr>
            <w:bookmarkStart w:id="4" w:name="_Hlk185595530"/>
            <w:r w:rsidRPr="00CB4FF7">
              <w:rPr>
                <w:b/>
                <w:bCs/>
                <w:iCs/>
              </w:rPr>
              <w:t>Mandatory Reliability Standards:  Reliability Standard PRC-005-6 (Protection System, Automatic Reclosing, and Sudden Pressure Relaying Maintenance) (</w:t>
            </w:r>
            <w:r w:rsidRPr="00CB4FF7">
              <w:rPr>
                <w:b/>
                <w:bCs/>
              </w:rPr>
              <w:t>FERC-725P1)</w:t>
            </w:r>
          </w:p>
          <w:p w:rsidR="00CB4FF7" w:rsidP="00CB4FF7" w14:paraId="7D8D0AC9" w14:textId="2018F824">
            <w:pPr>
              <w:jc w:val="center"/>
            </w:pPr>
            <w:r w:rsidRPr="00CB4FF7">
              <w:rPr>
                <w:b/>
              </w:rPr>
              <w:t>Annual Estimates of Respondents’ Burdens</w:t>
            </w:r>
          </w:p>
        </w:tc>
      </w:tr>
      <w:tr w14:paraId="35F74299" w14:textId="77777777" w:rsidTr="00323BB3">
        <w:tblPrEx>
          <w:tblW w:w="0" w:type="auto"/>
          <w:tblLook w:val="04A0"/>
        </w:tblPrEx>
        <w:tc>
          <w:tcPr>
            <w:tcW w:w="1558" w:type="dxa"/>
            <w:vAlign w:val="center"/>
          </w:tcPr>
          <w:p w:rsidR="00CB4FF7" w:rsidRPr="00B41928" w:rsidP="00CB4FF7" w14:paraId="78FCBDDA" w14:textId="77777777">
            <w:pPr>
              <w:spacing w:line="256" w:lineRule="auto"/>
              <w:jc w:val="center"/>
              <w:rPr>
                <w:b/>
                <w:szCs w:val="26"/>
              </w:rPr>
            </w:pPr>
            <w:r w:rsidRPr="00B41928">
              <w:rPr>
                <w:b/>
                <w:szCs w:val="26"/>
              </w:rPr>
              <w:t>A.</w:t>
            </w:r>
          </w:p>
          <w:p w:rsidR="00CB4FF7" w:rsidP="00CB4FF7" w14:paraId="0BBD4AC5" w14:textId="130C5287">
            <w:r w:rsidRPr="00B41928">
              <w:rPr>
                <w:b/>
                <w:szCs w:val="26"/>
              </w:rPr>
              <w:t>Number of Respondents</w:t>
            </w:r>
            <w:r w:rsidRPr="00B41928">
              <w:rPr>
                <w:b/>
                <w:szCs w:val="26"/>
              </w:rPr>
              <w:br/>
            </w:r>
          </w:p>
        </w:tc>
        <w:tc>
          <w:tcPr>
            <w:tcW w:w="1558" w:type="dxa"/>
            <w:vAlign w:val="center"/>
          </w:tcPr>
          <w:p w:rsidR="00CB4FF7" w:rsidRPr="00B41928" w:rsidP="00CB4FF7" w14:paraId="5AC6C21C" w14:textId="77777777">
            <w:pPr>
              <w:spacing w:line="256" w:lineRule="auto"/>
              <w:jc w:val="center"/>
              <w:rPr>
                <w:b/>
                <w:szCs w:val="26"/>
              </w:rPr>
            </w:pPr>
            <w:r w:rsidRPr="00B41928">
              <w:rPr>
                <w:b/>
                <w:szCs w:val="26"/>
              </w:rPr>
              <w:t>B.</w:t>
            </w:r>
          </w:p>
          <w:p w:rsidR="00CB4FF7" w:rsidRPr="00B41928" w:rsidP="00CB4FF7" w14:paraId="16118770" w14:textId="77777777">
            <w:pPr>
              <w:spacing w:line="256" w:lineRule="auto"/>
              <w:jc w:val="center"/>
              <w:rPr>
                <w:b/>
                <w:szCs w:val="26"/>
              </w:rPr>
            </w:pPr>
            <w:r w:rsidRPr="00B41928">
              <w:rPr>
                <w:b/>
                <w:szCs w:val="26"/>
              </w:rPr>
              <w:t xml:space="preserve">Annual Number of </w:t>
            </w:r>
            <w:r w:rsidRPr="00B41928">
              <w:rPr>
                <w:b/>
                <w:szCs w:val="26"/>
              </w:rPr>
              <w:t>Responses per Respondent</w:t>
            </w:r>
          </w:p>
          <w:p w:rsidR="00CB4FF7" w:rsidP="00CB4FF7" w14:paraId="77EA1545" w14:textId="77777777"/>
        </w:tc>
        <w:tc>
          <w:tcPr>
            <w:tcW w:w="1558" w:type="dxa"/>
            <w:vAlign w:val="center"/>
          </w:tcPr>
          <w:p w:rsidR="00CB4FF7" w:rsidRPr="00B41928" w:rsidP="00CB4FF7" w14:paraId="3985904E" w14:textId="77777777">
            <w:pPr>
              <w:spacing w:line="256" w:lineRule="auto"/>
              <w:jc w:val="center"/>
              <w:rPr>
                <w:b/>
                <w:szCs w:val="26"/>
              </w:rPr>
            </w:pPr>
            <w:r w:rsidRPr="00B41928">
              <w:rPr>
                <w:b/>
                <w:szCs w:val="26"/>
              </w:rPr>
              <w:t>C.</w:t>
            </w:r>
          </w:p>
          <w:p w:rsidR="00CB4FF7" w:rsidP="00CB4FF7" w14:paraId="6A3EF0A0" w14:textId="53FDD827">
            <w:r w:rsidRPr="00B41928">
              <w:rPr>
                <w:b/>
                <w:szCs w:val="26"/>
              </w:rPr>
              <w:t xml:space="preserve">Total Number of Responses </w:t>
            </w:r>
            <w:r w:rsidRPr="00B41928">
              <w:rPr>
                <w:b/>
                <w:szCs w:val="26"/>
              </w:rPr>
              <w:t>(Column A x Column B)</w:t>
            </w:r>
          </w:p>
        </w:tc>
        <w:tc>
          <w:tcPr>
            <w:tcW w:w="1558" w:type="dxa"/>
            <w:vAlign w:val="center"/>
          </w:tcPr>
          <w:p w:rsidR="00CB4FF7" w:rsidRPr="00B41928" w:rsidP="00CB4FF7" w14:paraId="2B59EDEC" w14:textId="77777777">
            <w:pPr>
              <w:spacing w:line="256" w:lineRule="auto"/>
              <w:jc w:val="center"/>
              <w:rPr>
                <w:b/>
                <w:szCs w:val="26"/>
              </w:rPr>
            </w:pPr>
            <w:r w:rsidRPr="00B41928">
              <w:rPr>
                <w:b/>
                <w:szCs w:val="26"/>
              </w:rPr>
              <w:t>D.</w:t>
            </w:r>
          </w:p>
          <w:p w:rsidR="00CB4FF7" w:rsidP="00CB4FF7" w14:paraId="0BA20E02" w14:textId="34094F3A">
            <w:r w:rsidRPr="00B41928">
              <w:rPr>
                <w:b/>
                <w:szCs w:val="26"/>
              </w:rPr>
              <w:t xml:space="preserve">Average Burden &amp; </w:t>
            </w:r>
            <w:r w:rsidRPr="00B41928">
              <w:rPr>
                <w:b/>
                <w:szCs w:val="26"/>
              </w:rPr>
              <w:t>Cost Per Response</w:t>
            </w:r>
            <w:r>
              <w:rPr>
                <w:szCs w:val="26"/>
                <w:vertAlign w:val="superscript"/>
              </w:rPr>
              <w:footnoteReference w:id="14"/>
            </w:r>
          </w:p>
        </w:tc>
        <w:tc>
          <w:tcPr>
            <w:tcW w:w="1559" w:type="dxa"/>
            <w:vAlign w:val="center"/>
          </w:tcPr>
          <w:p w:rsidR="00CB4FF7" w:rsidRPr="00B41928" w:rsidP="00CB4FF7" w14:paraId="4D5AE542" w14:textId="77777777">
            <w:pPr>
              <w:spacing w:line="256" w:lineRule="auto"/>
              <w:jc w:val="center"/>
              <w:rPr>
                <w:b/>
                <w:szCs w:val="26"/>
              </w:rPr>
            </w:pPr>
            <w:r w:rsidRPr="00B41928">
              <w:rPr>
                <w:b/>
                <w:szCs w:val="26"/>
              </w:rPr>
              <w:t>E.</w:t>
            </w:r>
          </w:p>
          <w:p w:rsidR="00CB4FF7" w:rsidRPr="00B41928" w:rsidP="00CB4FF7" w14:paraId="331A02D3" w14:textId="77777777">
            <w:pPr>
              <w:spacing w:line="256" w:lineRule="auto"/>
              <w:jc w:val="center"/>
              <w:rPr>
                <w:b/>
                <w:szCs w:val="26"/>
              </w:rPr>
            </w:pPr>
            <w:r w:rsidRPr="00B41928">
              <w:rPr>
                <w:b/>
                <w:szCs w:val="26"/>
              </w:rPr>
              <w:t xml:space="preserve">Total Annual </w:t>
            </w:r>
            <w:r w:rsidRPr="00B41928">
              <w:rPr>
                <w:b/>
                <w:szCs w:val="26"/>
              </w:rPr>
              <w:t>Burden Hours &amp; Total Annual Cost</w:t>
            </w:r>
          </w:p>
          <w:p w:rsidR="00CB4FF7" w:rsidP="00CB4FF7" w14:paraId="63001B12" w14:textId="07EB1712">
            <w:r w:rsidRPr="00B41928">
              <w:rPr>
                <w:b/>
                <w:szCs w:val="26"/>
              </w:rPr>
              <w:t>(Column C x Column D)</w:t>
            </w:r>
          </w:p>
        </w:tc>
        <w:tc>
          <w:tcPr>
            <w:tcW w:w="1559" w:type="dxa"/>
            <w:vAlign w:val="center"/>
          </w:tcPr>
          <w:p w:rsidR="00CB4FF7" w:rsidRPr="00B41928" w:rsidP="00CB4FF7" w14:paraId="60E0CCC7" w14:textId="77777777">
            <w:pPr>
              <w:spacing w:line="256" w:lineRule="auto"/>
              <w:jc w:val="center"/>
              <w:rPr>
                <w:b/>
                <w:szCs w:val="26"/>
              </w:rPr>
            </w:pPr>
            <w:r w:rsidRPr="00B41928">
              <w:rPr>
                <w:b/>
                <w:szCs w:val="26"/>
              </w:rPr>
              <w:t>F.</w:t>
            </w:r>
          </w:p>
          <w:p w:rsidR="00CB4FF7" w:rsidRPr="00B41928" w:rsidP="00CB4FF7" w14:paraId="2B1CD3D3" w14:textId="77777777">
            <w:pPr>
              <w:spacing w:line="256" w:lineRule="auto"/>
              <w:jc w:val="center"/>
              <w:rPr>
                <w:b/>
                <w:szCs w:val="26"/>
              </w:rPr>
            </w:pPr>
            <w:r w:rsidRPr="00B41928">
              <w:rPr>
                <w:b/>
                <w:szCs w:val="26"/>
              </w:rPr>
              <w:t>Cost per Respondent</w:t>
            </w:r>
          </w:p>
          <w:p w:rsidR="00CB4FF7" w:rsidRPr="00B41928" w:rsidP="00CB4FF7" w14:paraId="0BF6FDDA" w14:textId="77777777">
            <w:pPr>
              <w:spacing w:line="256" w:lineRule="auto"/>
              <w:jc w:val="center"/>
              <w:rPr>
                <w:b/>
                <w:szCs w:val="26"/>
              </w:rPr>
            </w:pPr>
            <w:r w:rsidRPr="00B41928">
              <w:rPr>
                <w:b/>
                <w:szCs w:val="26"/>
              </w:rPr>
              <w:t>($)</w:t>
            </w:r>
          </w:p>
          <w:p w:rsidR="00CB4FF7" w:rsidP="00CB4FF7" w14:paraId="161B7229" w14:textId="1D755084">
            <w:r w:rsidRPr="00B41928">
              <w:rPr>
                <w:b/>
                <w:szCs w:val="26"/>
              </w:rPr>
              <w:t>(Column E ÷ Column A)</w:t>
            </w:r>
          </w:p>
        </w:tc>
      </w:tr>
      <w:tr w14:paraId="5FAF473F" w14:textId="77777777" w:rsidTr="00323BB3">
        <w:tblPrEx>
          <w:tblW w:w="0" w:type="auto"/>
          <w:tblLook w:val="04A0"/>
        </w:tblPrEx>
        <w:tc>
          <w:tcPr>
            <w:tcW w:w="1558" w:type="dxa"/>
            <w:vAlign w:val="bottom"/>
          </w:tcPr>
          <w:p w:rsidR="00CB4FF7" w:rsidRPr="00CB4FF7" w:rsidP="00CB4FF7" w14:paraId="69C2A7CB" w14:textId="389E93E6">
            <w:pPr>
              <w:jc w:val="center"/>
            </w:pPr>
            <w:r w:rsidRPr="00CB4FF7">
              <w:rPr>
                <w:bCs/>
                <w:szCs w:val="26"/>
              </w:rPr>
              <w:t>325 (TO)</w:t>
            </w:r>
          </w:p>
        </w:tc>
        <w:tc>
          <w:tcPr>
            <w:tcW w:w="1558" w:type="dxa"/>
            <w:vAlign w:val="bottom"/>
          </w:tcPr>
          <w:p w:rsidR="00CB4FF7" w:rsidRPr="00CB4FF7" w:rsidP="00CB4FF7" w14:paraId="6BAC0A22" w14:textId="369C9E05">
            <w:pPr>
              <w:jc w:val="center"/>
            </w:pPr>
            <w:r w:rsidRPr="00CB4FF7">
              <w:rPr>
                <w:bCs/>
                <w:szCs w:val="26"/>
              </w:rPr>
              <w:t>1</w:t>
            </w:r>
          </w:p>
        </w:tc>
        <w:tc>
          <w:tcPr>
            <w:tcW w:w="1558" w:type="dxa"/>
            <w:vAlign w:val="bottom"/>
          </w:tcPr>
          <w:p w:rsidR="00CB4FF7" w:rsidRPr="00CB4FF7" w:rsidP="00CB4FF7" w14:paraId="420DB010" w14:textId="3166F9E3">
            <w:pPr>
              <w:jc w:val="center"/>
            </w:pPr>
            <w:r w:rsidRPr="00CB4FF7">
              <w:rPr>
                <w:bCs/>
                <w:szCs w:val="26"/>
              </w:rPr>
              <w:t>325</w:t>
            </w:r>
          </w:p>
        </w:tc>
        <w:tc>
          <w:tcPr>
            <w:tcW w:w="1558" w:type="dxa"/>
            <w:vAlign w:val="bottom"/>
          </w:tcPr>
          <w:p w:rsidR="00CB4FF7" w:rsidRPr="00CB4FF7" w:rsidP="00CB4FF7" w14:paraId="568D4BA9" w14:textId="77777777">
            <w:pPr>
              <w:spacing w:line="256" w:lineRule="auto"/>
              <w:jc w:val="right"/>
              <w:rPr>
                <w:bCs/>
                <w:szCs w:val="26"/>
              </w:rPr>
            </w:pPr>
            <w:r w:rsidRPr="00CB4FF7">
              <w:rPr>
                <w:bCs/>
                <w:szCs w:val="26"/>
              </w:rPr>
              <w:t>2 hrs.;</w:t>
            </w:r>
          </w:p>
          <w:p w:rsidR="00CB4FF7" w:rsidRPr="00CB4FF7" w:rsidP="00CB4FF7" w14:paraId="22283D71" w14:textId="059C7634">
            <w:pPr>
              <w:jc w:val="right"/>
            </w:pPr>
            <w:r w:rsidRPr="00CB4FF7">
              <w:rPr>
                <w:bCs/>
                <w:szCs w:val="26"/>
              </w:rPr>
              <w:t>$141.34</w:t>
            </w:r>
          </w:p>
        </w:tc>
        <w:tc>
          <w:tcPr>
            <w:tcW w:w="1559" w:type="dxa"/>
            <w:vAlign w:val="bottom"/>
          </w:tcPr>
          <w:p w:rsidR="00CB4FF7" w:rsidRPr="00CB4FF7" w:rsidP="00CB4FF7" w14:paraId="5E6F5A44" w14:textId="77777777">
            <w:pPr>
              <w:spacing w:line="256" w:lineRule="auto"/>
              <w:jc w:val="right"/>
              <w:rPr>
                <w:bCs/>
                <w:szCs w:val="26"/>
              </w:rPr>
            </w:pPr>
            <w:r w:rsidRPr="00CB4FF7">
              <w:rPr>
                <w:bCs/>
                <w:szCs w:val="26"/>
              </w:rPr>
              <w:t>650 hrs.;</w:t>
            </w:r>
          </w:p>
          <w:p w:rsidR="00CB4FF7" w:rsidRPr="00CB4FF7" w:rsidP="00CB4FF7" w14:paraId="7CC9D38A" w14:textId="70E6D770">
            <w:pPr>
              <w:jc w:val="right"/>
            </w:pPr>
            <w:r w:rsidRPr="00CB4FF7">
              <w:rPr>
                <w:bCs/>
                <w:szCs w:val="26"/>
              </w:rPr>
              <w:t>$45,935.50</w:t>
            </w:r>
          </w:p>
        </w:tc>
        <w:tc>
          <w:tcPr>
            <w:tcW w:w="1559" w:type="dxa"/>
            <w:vAlign w:val="bottom"/>
          </w:tcPr>
          <w:p w:rsidR="00CB4FF7" w:rsidRPr="00CB4FF7" w:rsidP="00CB4FF7" w14:paraId="65C55DE0" w14:textId="62E3E3BD">
            <w:pPr>
              <w:jc w:val="right"/>
            </w:pPr>
            <w:r w:rsidRPr="00CB4FF7">
              <w:rPr>
                <w:bCs/>
                <w:szCs w:val="26"/>
              </w:rPr>
              <w:t>$141.34</w:t>
            </w:r>
          </w:p>
        </w:tc>
      </w:tr>
      <w:tr w14:paraId="16C06B48" w14:textId="77777777" w:rsidTr="00323BB3">
        <w:tblPrEx>
          <w:tblW w:w="0" w:type="auto"/>
          <w:tblLook w:val="04A0"/>
        </w:tblPrEx>
        <w:tc>
          <w:tcPr>
            <w:tcW w:w="1558" w:type="dxa"/>
            <w:vAlign w:val="bottom"/>
          </w:tcPr>
          <w:p w:rsidR="00CB4FF7" w:rsidRPr="00CB4FF7" w:rsidP="00CB4FF7" w14:paraId="624D12CD" w14:textId="5BA4B3D5">
            <w:pPr>
              <w:jc w:val="center"/>
            </w:pPr>
            <w:r w:rsidRPr="00CB4FF7">
              <w:rPr>
                <w:bCs/>
                <w:szCs w:val="26"/>
              </w:rPr>
              <w:t>1,238 (GO)</w:t>
            </w:r>
          </w:p>
        </w:tc>
        <w:tc>
          <w:tcPr>
            <w:tcW w:w="1558" w:type="dxa"/>
            <w:vAlign w:val="bottom"/>
          </w:tcPr>
          <w:p w:rsidR="00CB4FF7" w:rsidRPr="00CB4FF7" w:rsidP="00CB4FF7" w14:paraId="41D73749" w14:textId="5893DAFA">
            <w:pPr>
              <w:jc w:val="center"/>
            </w:pPr>
            <w:r w:rsidRPr="00CB4FF7">
              <w:rPr>
                <w:bCs/>
                <w:szCs w:val="26"/>
              </w:rPr>
              <w:t>1</w:t>
            </w:r>
          </w:p>
        </w:tc>
        <w:tc>
          <w:tcPr>
            <w:tcW w:w="1558" w:type="dxa"/>
            <w:vAlign w:val="bottom"/>
          </w:tcPr>
          <w:p w:rsidR="00CB4FF7" w:rsidRPr="00CB4FF7" w:rsidP="00CB4FF7" w14:paraId="7870CC2D" w14:textId="3B44988A">
            <w:pPr>
              <w:jc w:val="center"/>
            </w:pPr>
            <w:r w:rsidRPr="00CB4FF7">
              <w:rPr>
                <w:bCs/>
                <w:szCs w:val="26"/>
              </w:rPr>
              <w:t>1,238</w:t>
            </w:r>
          </w:p>
        </w:tc>
        <w:tc>
          <w:tcPr>
            <w:tcW w:w="1558" w:type="dxa"/>
            <w:vAlign w:val="bottom"/>
          </w:tcPr>
          <w:p w:rsidR="00CB4FF7" w:rsidRPr="00CB4FF7" w:rsidP="00CB4FF7" w14:paraId="519CB94D" w14:textId="77777777">
            <w:pPr>
              <w:spacing w:line="256" w:lineRule="auto"/>
              <w:jc w:val="right"/>
              <w:rPr>
                <w:bCs/>
                <w:szCs w:val="26"/>
              </w:rPr>
            </w:pPr>
            <w:r w:rsidRPr="00CB4FF7">
              <w:rPr>
                <w:bCs/>
                <w:szCs w:val="26"/>
              </w:rPr>
              <w:t>2 hrs.;</w:t>
            </w:r>
          </w:p>
          <w:p w:rsidR="00CB4FF7" w:rsidRPr="00CB4FF7" w:rsidP="00CB4FF7" w14:paraId="1A55C054" w14:textId="047DB0A5">
            <w:pPr>
              <w:jc w:val="right"/>
            </w:pPr>
            <w:r w:rsidRPr="00CB4FF7">
              <w:rPr>
                <w:bCs/>
                <w:szCs w:val="26"/>
              </w:rPr>
              <w:t>$141.34</w:t>
            </w:r>
          </w:p>
        </w:tc>
        <w:tc>
          <w:tcPr>
            <w:tcW w:w="1559" w:type="dxa"/>
            <w:vAlign w:val="bottom"/>
          </w:tcPr>
          <w:p w:rsidR="00CB4FF7" w:rsidRPr="00CB4FF7" w:rsidP="00CB4FF7" w14:paraId="64EE4C1B" w14:textId="77777777">
            <w:pPr>
              <w:spacing w:line="256" w:lineRule="auto"/>
              <w:jc w:val="right"/>
              <w:rPr>
                <w:bCs/>
                <w:szCs w:val="26"/>
              </w:rPr>
            </w:pPr>
            <w:r w:rsidRPr="00CB4FF7">
              <w:rPr>
                <w:bCs/>
                <w:szCs w:val="26"/>
              </w:rPr>
              <w:t>2,476 hrs.;</w:t>
            </w:r>
          </w:p>
          <w:p w:rsidR="00CB4FF7" w:rsidRPr="00CB4FF7" w:rsidP="00CB4FF7" w14:paraId="66C0123B" w14:textId="24EAA16B">
            <w:pPr>
              <w:jc w:val="right"/>
            </w:pPr>
            <w:r w:rsidRPr="00CB4FF7">
              <w:rPr>
                <w:bCs/>
                <w:szCs w:val="26"/>
              </w:rPr>
              <w:t>$174,978.92</w:t>
            </w:r>
          </w:p>
        </w:tc>
        <w:tc>
          <w:tcPr>
            <w:tcW w:w="1559" w:type="dxa"/>
            <w:vAlign w:val="bottom"/>
          </w:tcPr>
          <w:p w:rsidR="00CB4FF7" w:rsidRPr="00CB4FF7" w:rsidP="00CB4FF7" w14:paraId="718858B7" w14:textId="583F5824">
            <w:pPr>
              <w:jc w:val="right"/>
            </w:pPr>
            <w:r w:rsidRPr="00CB4FF7">
              <w:rPr>
                <w:bCs/>
                <w:szCs w:val="26"/>
              </w:rPr>
              <w:t>$141.34</w:t>
            </w:r>
          </w:p>
        </w:tc>
      </w:tr>
      <w:tr w14:paraId="4B0450E3" w14:textId="77777777" w:rsidTr="00323BB3">
        <w:tblPrEx>
          <w:tblW w:w="0" w:type="auto"/>
          <w:tblLook w:val="04A0"/>
        </w:tblPrEx>
        <w:tc>
          <w:tcPr>
            <w:tcW w:w="1558" w:type="dxa"/>
            <w:vAlign w:val="bottom"/>
          </w:tcPr>
          <w:p w:rsidR="00CB4FF7" w:rsidRPr="00CB4FF7" w:rsidP="00CB4FF7" w14:paraId="6EE053F0" w14:textId="112547DB">
            <w:pPr>
              <w:jc w:val="center"/>
            </w:pPr>
            <w:r w:rsidRPr="00CB4FF7">
              <w:rPr>
                <w:bCs/>
                <w:szCs w:val="26"/>
              </w:rPr>
              <w:t>298 (DP)</w:t>
            </w:r>
          </w:p>
        </w:tc>
        <w:tc>
          <w:tcPr>
            <w:tcW w:w="1558" w:type="dxa"/>
            <w:vAlign w:val="bottom"/>
          </w:tcPr>
          <w:p w:rsidR="00CB4FF7" w:rsidRPr="00CB4FF7" w:rsidP="00CB4FF7" w14:paraId="2F011387" w14:textId="5E4249D0">
            <w:pPr>
              <w:jc w:val="center"/>
            </w:pPr>
            <w:r w:rsidRPr="00CB4FF7">
              <w:rPr>
                <w:bCs/>
                <w:szCs w:val="26"/>
              </w:rPr>
              <w:t>1</w:t>
            </w:r>
          </w:p>
        </w:tc>
        <w:tc>
          <w:tcPr>
            <w:tcW w:w="1558" w:type="dxa"/>
            <w:vAlign w:val="bottom"/>
          </w:tcPr>
          <w:p w:rsidR="00CB4FF7" w:rsidRPr="00CB4FF7" w:rsidP="00CB4FF7" w14:paraId="5756E6E7" w14:textId="3016A5AD">
            <w:pPr>
              <w:jc w:val="center"/>
            </w:pPr>
            <w:r w:rsidRPr="00CB4FF7">
              <w:rPr>
                <w:bCs/>
                <w:szCs w:val="26"/>
              </w:rPr>
              <w:t>298</w:t>
            </w:r>
          </w:p>
        </w:tc>
        <w:tc>
          <w:tcPr>
            <w:tcW w:w="1558" w:type="dxa"/>
            <w:vAlign w:val="bottom"/>
          </w:tcPr>
          <w:p w:rsidR="00CB4FF7" w:rsidRPr="00CB4FF7" w:rsidP="00CB4FF7" w14:paraId="6FDEB403" w14:textId="77777777">
            <w:pPr>
              <w:spacing w:line="256" w:lineRule="auto"/>
              <w:jc w:val="right"/>
              <w:rPr>
                <w:bCs/>
                <w:szCs w:val="26"/>
              </w:rPr>
            </w:pPr>
            <w:r w:rsidRPr="00CB4FF7">
              <w:rPr>
                <w:bCs/>
                <w:szCs w:val="26"/>
              </w:rPr>
              <w:t>2 hrs.;</w:t>
            </w:r>
          </w:p>
          <w:p w:rsidR="00CB4FF7" w:rsidRPr="00CB4FF7" w:rsidP="00CB4FF7" w14:paraId="3BE502FC" w14:textId="4DACD2F2">
            <w:pPr>
              <w:jc w:val="right"/>
            </w:pPr>
            <w:r w:rsidRPr="00CB4FF7">
              <w:rPr>
                <w:bCs/>
                <w:szCs w:val="26"/>
              </w:rPr>
              <w:t>$141.34</w:t>
            </w:r>
          </w:p>
        </w:tc>
        <w:tc>
          <w:tcPr>
            <w:tcW w:w="1559" w:type="dxa"/>
            <w:vAlign w:val="bottom"/>
          </w:tcPr>
          <w:p w:rsidR="00CB4FF7" w:rsidRPr="00CB4FF7" w:rsidP="00CB4FF7" w14:paraId="7A25717E" w14:textId="77777777">
            <w:pPr>
              <w:spacing w:line="256" w:lineRule="auto"/>
              <w:jc w:val="right"/>
              <w:rPr>
                <w:bCs/>
                <w:szCs w:val="26"/>
              </w:rPr>
            </w:pPr>
            <w:r w:rsidRPr="00CB4FF7">
              <w:rPr>
                <w:bCs/>
                <w:szCs w:val="26"/>
              </w:rPr>
              <w:t>596 hrs.;</w:t>
            </w:r>
          </w:p>
          <w:p w:rsidR="00CB4FF7" w:rsidRPr="00CB4FF7" w:rsidP="00CB4FF7" w14:paraId="5BB059EF" w14:textId="097FD7FA">
            <w:pPr>
              <w:jc w:val="right"/>
            </w:pPr>
            <w:r w:rsidRPr="00CB4FF7">
              <w:rPr>
                <w:bCs/>
                <w:szCs w:val="26"/>
              </w:rPr>
              <w:t>$42,119.32</w:t>
            </w:r>
          </w:p>
        </w:tc>
        <w:tc>
          <w:tcPr>
            <w:tcW w:w="1559" w:type="dxa"/>
            <w:vAlign w:val="bottom"/>
          </w:tcPr>
          <w:p w:rsidR="00CB4FF7" w:rsidRPr="00CB4FF7" w:rsidP="00CB4FF7" w14:paraId="1776FE3E" w14:textId="088D4633">
            <w:pPr>
              <w:jc w:val="right"/>
            </w:pPr>
            <w:r w:rsidRPr="00CB4FF7">
              <w:rPr>
                <w:bCs/>
                <w:szCs w:val="26"/>
              </w:rPr>
              <w:t>$141.34</w:t>
            </w:r>
          </w:p>
        </w:tc>
      </w:tr>
      <w:tr w14:paraId="476EC78C" w14:textId="77777777" w:rsidTr="00323BB3">
        <w:tblPrEx>
          <w:tblW w:w="0" w:type="auto"/>
          <w:tblLook w:val="04A0"/>
        </w:tblPrEx>
        <w:tc>
          <w:tcPr>
            <w:tcW w:w="1558" w:type="dxa"/>
            <w:vAlign w:val="bottom"/>
          </w:tcPr>
          <w:p w:rsidR="00CB4FF7" w:rsidRPr="00CB4FF7" w:rsidP="00CB4FF7" w14:paraId="7F9FEF6D" w14:textId="2ECAC4BB">
            <w:pPr>
              <w:jc w:val="center"/>
            </w:pPr>
            <w:bookmarkStart w:id="5" w:name="_Hlk185596573"/>
            <w:r w:rsidRPr="00CB4FF7">
              <w:rPr>
                <w:bCs/>
                <w:szCs w:val="26"/>
              </w:rPr>
              <w:t>Total</w:t>
            </w:r>
          </w:p>
        </w:tc>
        <w:tc>
          <w:tcPr>
            <w:tcW w:w="1558" w:type="dxa"/>
            <w:vAlign w:val="bottom"/>
          </w:tcPr>
          <w:p w:rsidR="00CB4FF7" w:rsidRPr="00CB4FF7" w:rsidP="00CB4FF7" w14:paraId="35B11612" w14:textId="77777777">
            <w:pPr>
              <w:jc w:val="center"/>
            </w:pPr>
          </w:p>
        </w:tc>
        <w:tc>
          <w:tcPr>
            <w:tcW w:w="1558" w:type="dxa"/>
            <w:vAlign w:val="bottom"/>
          </w:tcPr>
          <w:p w:rsidR="00CB4FF7" w:rsidRPr="00CB4FF7" w:rsidP="00CB4FF7" w14:paraId="65A8728D" w14:textId="33EA083C">
            <w:pPr>
              <w:jc w:val="center"/>
            </w:pPr>
            <w:r w:rsidRPr="00CB4FF7">
              <w:rPr>
                <w:bCs/>
                <w:szCs w:val="26"/>
              </w:rPr>
              <w:t>1,861</w:t>
            </w:r>
          </w:p>
        </w:tc>
        <w:tc>
          <w:tcPr>
            <w:tcW w:w="1558" w:type="dxa"/>
            <w:vAlign w:val="bottom"/>
          </w:tcPr>
          <w:p w:rsidR="00CB4FF7" w:rsidRPr="00CB4FF7" w:rsidP="00CB4FF7" w14:paraId="0A3F660A" w14:textId="77777777">
            <w:pPr>
              <w:jc w:val="right"/>
            </w:pPr>
          </w:p>
        </w:tc>
        <w:tc>
          <w:tcPr>
            <w:tcW w:w="1559" w:type="dxa"/>
            <w:vAlign w:val="bottom"/>
          </w:tcPr>
          <w:p w:rsidR="00CB4FF7" w:rsidRPr="00CB4FF7" w:rsidP="00CB4FF7" w14:paraId="344AB885" w14:textId="77777777">
            <w:pPr>
              <w:spacing w:line="256" w:lineRule="auto"/>
              <w:jc w:val="right"/>
              <w:rPr>
                <w:bCs/>
                <w:szCs w:val="26"/>
              </w:rPr>
            </w:pPr>
            <w:r w:rsidRPr="00CB4FF7">
              <w:rPr>
                <w:bCs/>
                <w:szCs w:val="26"/>
              </w:rPr>
              <w:t>3,722 hr.,</w:t>
            </w:r>
          </w:p>
          <w:p w:rsidR="00CB4FF7" w:rsidRPr="00CB4FF7" w:rsidP="00CB4FF7" w14:paraId="3D3A46CE" w14:textId="31958E2D">
            <w:pPr>
              <w:jc w:val="right"/>
            </w:pPr>
            <w:r w:rsidRPr="00CB4FF7">
              <w:rPr>
                <w:bCs/>
                <w:szCs w:val="26"/>
              </w:rPr>
              <w:t>263,033.74</w:t>
            </w:r>
          </w:p>
        </w:tc>
        <w:tc>
          <w:tcPr>
            <w:tcW w:w="1559" w:type="dxa"/>
            <w:vAlign w:val="bottom"/>
          </w:tcPr>
          <w:p w:rsidR="00CB4FF7" w:rsidRPr="00CB4FF7" w:rsidP="00CB4FF7" w14:paraId="7FBB1703" w14:textId="77777777">
            <w:pPr>
              <w:jc w:val="right"/>
            </w:pPr>
          </w:p>
        </w:tc>
      </w:tr>
      <w:bookmarkEnd w:id="4"/>
      <w:bookmarkEnd w:id="5"/>
    </w:tbl>
    <w:p w:rsidR="00CB4FF7" w:rsidP="00CB4FF7" w14:paraId="5858C77E" w14:textId="7E2EA739"/>
    <w:p w:rsidR="00CB4FF7" w:rsidP="00CB4FF7" w14:paraId="4B7F47C2" w14:textId="77777777"/>
    <w:p w:rsidR="00CB4FF7" w:rsidRPr="00CB6E46" w:rsidP="00CB4FF7" w14:paraId="717DDD5F" w14:textId="77777777">
      <w:pPr>
        <w:spacing w:line="480" w:lineRule="auto"/>
        <w:rPr>
          <w:rFonts w:eastAsia="Calibri"/>
          <w:szCs w:val="26"/>
        </w:rPr>
      </w:pPr>
      <w:r w:rsidRPr="006F70E5">
        <w:rPr>
          <w:b/>
          <w:bCs/>
          <w:i/>
        </w:rPr>
        <w:t>725G1</w:t>
      </w:r>
      <w:r>
        <w:rPr>
          <w:b/>
          <w:bCs/>
          <w:i/>
        </w:rPr>
        <w:t xml:space="preserve">, </w:t>
      </w:r>
      <w:r w:rsidRPr="006F70E5">
        <w:rPr>
          <w:b/>
          <w:bCs/>
          <w:i/>
        </w:rPr>
        <w:t>725G4</w:t>
      </w:r>
      <w:r>
        <w:rPr>
          <w:b/>
          <w:bCs/>
          <w:i/>
        </w:rPr>
        <w:t xml:space="preserve"> and 725P1</w:t>
      </w:r>
      <w:r w:rsidRPr="006F70E5">
        <w:rPr>
          <w:b/>
          <w:bCs/>
          <w:i/>
        </w:rPr>
        <w:t xml:space="preserve"> </w:t>
      </w:r>
      <w:r w:rsidRPr="006F70E5">
        <w:rPr>
          <w:rFonts w:eastAsia="Calibri"/>
          <w:b/>
          <w:bCs/>
          <w:szCs w:val="26"/>
        </w:rPr>
        <w:t>Merge back into 725G</w:t>
      </w:r>
      <w:r>
        <w:rPr>
          <w:rFonts w:eastAsia="Calibri"/>
          <w:szCs w:val="26"/>
        </w:rPr>
        <w:t xml:space="preserve"> (1902-0252):</w:t>
      </w:r>
    </w:p>
    <w:p w:rsidR="00CB4FF7" w:rsidRPr="00CB6E46" w:rsidP="00CB4FF7" w14:paraId="04A27C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CB6E46">
        <w:rPr>
          <w:rFonts w:eastAsia="Calibri"/>
          <w:i/>
          <w:szCs w:val="26"/>
        </w:rPr>
        <w:t>Abstract:</w:t>
      </w:r>
      <w:r w:rsidRPr="00CB6E46">
        <w:rPr>
          <w:rFonts w:eastAsia="Calibri"/>
          <w:color w:val="000000"/>
          <w:szCs w:val="26"/>
        </w:rPr>
        <w:t xml:space="preserve">  </w:t>
      </w:r>
      <w:r w:rsidRPr="00CB6E46">
        <w:rPr>
          <w:szCs w:val="26"/>
        </w:rPr>
        <w:t>On August 8, 2005, Congress enacted into law the Electricity Modernization Act of 2005, which is Title XII, Subtitle A, of the Energy Policy Act of 2005 (EPAct 2005).</w:t>
      </w:r>
      <w:r>
        <w:rPr>
          <w:b/>
          <w:szCs w:val="26"/>
          <w:vertAlign w:val="superscript"/>
        </w:rPr>
        <w:footnoteReference w:id="15"/>
      </w:r>
      <w:r w:rsidRPr="00CB6E46">
        <w:rPr>
          <w:szCs w:val="26"/>
        </w:rPr>
        <w:t xml:space="preserve">  EPAct 2005 added a new section 215 to the FPA, which required a Commission-certified Electric Reliability Organization (ERO) to develop mandatory and enforceable Reliability Standards,</w:t>
      </w:r>
      <w:r w:rsidRPr="00797119">
        <w:rPr>
          <w:sz w:val="24"/>
        </w:rPr>
        <w:t xml:space="preserve"> </w:t>
      </w:r>
      <w:r w:rsidRPr="00CB6E46">
        <w:rPr>
          <w:szCs w:val="26"/>
        </w:rPr>
        <w:t xml:space="preserve">which are subject to Commission review and approval.  Once approved, the Reliability Standards may be enforced by the ERO subject to </w:t>
      </w:r>
      <w:r w:rsidRPr="00CB6E46">
        <w:rPr>
          <w:szCs w:val="26"/>
        </w:rPr>
        <w:t>Commission oversight, or the Commission can independently enforce Reliability Standards.</w:t>
      </w:r>
      <w:r>
        <w:rPr>
          <w:b/>
          <w:szCs w:val="26"/>
          <w:vertAlign w:val="superscript"/>
        </w:rPr>
        <w:footnoteReference w:id="16"/>
      </w:r>
    </w:p>
    <w:p w:rsidR="00CB4FF7" w:rsidP="00CB4FF7" w14:paraId="68979E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tab/>
        <w:t>The information collected by the FERC-725G is required to implement the statutory provisions of section 215 of the Federal Power Act (FPA).</w:t>
      </w:r>
      <w:hyperlink r:id="rId12" w:anchor="footnote-2-p52442" w:history="1">
        <w:r w:rsidRPr="006C675D">
          <w:rPr>
            <w:rStyle w:val="Hyperlink"/>
            <w:szCs w:val="26"/>
            <w:u w:val="none"/>
            <w:vertAlign w:val="superscript"/>
          </w:rPr>
          <w:t>2</w:t>
        </w:r>
      </w:hyperlink>
      <w:r w:rsidRPr="00CB6E46">
        <w:rPr>
          <w:szCs w:val="26"/>
          <w:vertAlign w:val="superscript"/>
        </w:rPr>
        <w:t xml:space="preserve"> </w:t>
      </w:r>
      <w:r w:rsidRPr="00CB6E46">
        <w:rPr>
          <w:szCs w:val="26"/>
        </w:rPr>
        <w:t>Section 215 of the FPA buttresses the Commission's efforts to strengthen the reliability of the interstate bulk power grid.</w:t>
      </w:r>
    </w:p>
    <w:tbl>
      <w:tblPr>
        <w:tblStyle w:val="TableGrid"/>
        <w:tblW w:w="0" w:type="auto"/>
        <w:tblLook w:val="04A0"/>
      </w:tblPr>
      <w:tblGrid>
        <w:gridCol w:w="2988"/>
        <w:gridCol w:w="1545"/>
        <w:gridCol w:w="1549"/>
        <w:gridCol w:w="1711"/>
        <w:gridCol w:w="1557"/>
      </w:tblGrid>
      <w:tr w14:paraId="595F5BB3" w14:textId="77777777" w:rsidTr="00C314F4">
        <w:tblPrEx>
          <w:tblW w:w="0" w:type="auto"/>
          <w:tblLook w:val="04A0"/>
        </w:tblPrEx>
        <w:tc>
          <w:tcPr>
            <w:tcW w:w="9350" w:type="dxa"/>
            <w:gridSpan w:val="5"/>
          </w:tcPr>
          <w:p w:rsidR="006960D3" w:rsidRPr="00CB4FF7" w:rsidP="00C314F4" w14:paraId="0C421BC6" w14:textId="6D547139">
            <w:pPr>
              <w:jc w:val="center"/>
              <w:rPr>
                <w:b/>
                <w:bCs/>
              </w:rPr>
            </w:pPr>
            <w:r w:rsidRPr="00CB4FF7">
              <w:rPr>
                <w:b/>
                <w:bCs/>
                <w:iCs/>
              </w:rPr>
              <w:t xml:space="preserve">Mandatory Reliability Standards:  Reliability Standard </w:t>
            </w:r>
            <w:r>
              <w:rPr>
                <w:b/>
                <w:bCs/>
                <w:iCs/>
              </w:rPr>
              <w:t>for FERC-725G (1902-0252)</w:t>
            </w:r>
          </w:p>
          <w:p w:rsidR="006960D3" w:rsidP="00C314F4" w14:paraId="5F3041F6" w14:textId="77777777">
            <w:pPr>
              <w:jc w:val="center"/>
            </w:pPr>
            <w:r w:rsidRPr="00CB4FF7">
              <w:rPr>
                <w:b/>
              </w:rPr>
              <w:t>Annual Estimates of Respondents’ Burdens</w:t>
            </w:r>
          </w:p>
        </w:tc>
      </w:tr>
      <w:tr w14:paraId="766EF90D" w14:textId="77777777" w:rsidTr="00B61B09">
        <w:tblPrEx>
          <w:tblW w:w="0" w:type="auto"/>
          <w:tblLook w:val="04A0"/>
        </w:tblPrEx>
        <w:tc>
          <w:tcPr>
            <w:tcW w:w="2988" w:type="dxa"/>
            <w:vAlign w:val="center"/>
          </w:tcPr>
          <w:p w:rsidR="006960D3" w:rsidRPr="001D201E" w:rsidP="00C314F4" w14:paraId="156BF8B8" w14:textId="5059B97C">
            <w:pPr>
              <w:rPr>
                <w:b/>
                <w:bCs/>
              </w:rPr>
            </w:pPr>
            <w:r w:rsidRPr="001D201E">
              <w:rPr>
                <w:b/>
                <w:bCs/>
              </w:rPr>
              <w:t>FERC-725G</w:t>
            </w:r>
          </w:p>
        </w:tc>
        <w:tc>
          <w:tcPr>
            <w:tcW w:w="1545" w:type="dxa"/>
            <w:vAlign w:val="center"/>
          </w:tcPr>
          <w:p w:rsidR="006960D3" w:rsidRPr="00B41928" w:rsidP="00C314F4" w14:paraId="6A3160DD" w14:textId="77777777">
            <w:pPr>
              <w:spacing w:line="256" w:lineRule="auto"/>
              <w:jc w:val="center"/>
              <w:rPr>
                <w:b/>
                <w:szCs w:val="26"/>
              </w:rPr>
            </w:pPr>
            <w:r w:rsidRPr="00B41928">
              <w:rPr>
                <w:b/>
                <w:szCs w:val="26"/>
              </w:rPr>
              <w:t>C.</w:t>
            </w:r>
          </w:p>
          <w:p w:rsidR="006960D3" w:rsidP="00C314F4" w14:paraId="035DFD11" w14:textId="63C1B50D">
            <w:r w:rsidRPr="00B41928">
              <w:rPr>
                <w:b/>
                <w:szCs w:val="26"/>
              </w:rPr>
              <w:t xml:space="preserve">Total </w:t>
            </w:r>
            <w:r w:rsidR="001D201E">
              <w:rPr>
                <w:b/>
                <w:szCs w:val="26"/>
              </w:rPr>
              <w:t>Annual</w:t>
            </w:r>
            <w:r w:rsidRPr="00B41928">
              <w:rPr>
                <w:b/>
                <w:szCs w:val="26"/>
              </w:rPr>
              <w:t xml:space="preserve"> Responses (Column A x Column B)</w:t>
            </w:r>
          </w:p>
        </w:tc>
        <w:tc>
          <w:tcPr>
            <w:tcW w:w="1549" w:type="dxa"/>
            <w:vAlign w:val="center"/>
          </w:tcPr>
          <w:p w:rsidR="006960D3" w:rsidRPr="00B41928" w:rsidP="00C314F4" w14:paraId="47C2358A" w14:textId="77777777">
            <w:pPr>
              <w:spacing w:line="256" w:lineRule="auto"/>
              <w:jc w:val="center"/>
              <w:rPr>
                <w:b/>
                <w:szCs w:val="26"/>
              </w:rPr>
            </w:pPr>
            <w:r w:rsidRPr="00B41928">
              <w:rPr>
                <w:b/>
                <w:szCs w:val="26"/>
              </w:rPr>
              <w:t>D.</w:t>
            </w:r>
          </w:p>
          <w:p w:rsidR="006960D3" w:rsidP="00C314F4" w14:paraId="008CCA1A" w14:textId="7AE31D3D">
            <w:r>
              <w:rPr>
                <w:b/>
                <w:szCs w:val="26"/>
              </w:rPr>
              <w:t xml:space="preserve">Total </w:t>
            </w:r>
            <w:r w:rsidRPr="00B41928">
              <w:rPr>
                <w:b/>
                <w:szCs w:val="26"/>
              </w:rPr>
              <w:t>Average Burden &amp; Cost Per Response</w:t>
            </w:r>
            <w:r>
              <w:rPr>
                <w:szCs w:val="26"/>
                <w:vertAlign w:val="superscript"/>
              </w:rPr>
              <w:footnoteReference w:id="17"/>
            </w:r>
          </w:p>
        </w:tc>
        <w:tc>
          <w:tcPr>
            <w:tcW w:w="1711" w:type="dxa"/>
            <w:vAlign w:val="center"/>
          </w:tcPr>
          <w:p w:rsidR="006960D3" w:rsidRPr="00B41928" w:rsidP="00C314F4" w14:paraId="3431E831" w14:textId="77777777">
            <w:pPr>
              <w:spacing w:line="256" w:lineRule="auto"/>
              <w:jc w:val="center"/>
              <w:rPr>
                <w:b/>
                <w:szCs w:val="26"/>
              </w:rPr>
            </w:pPr>
            <w:r w:rsidRPr="00B41928">
              <w:rPr>
                <w:b/>
                <w:szCs w:val="26"/>
              </w:rPr>
              <w:t>E.</w:t>
            </w:r>
          </w:p>
          <w:p w:rsidR="006960D3" w:rsidRPr="00B41928" w:rsidP="00C314F4" w14:paraId="79A561BC" w14:textId="77777777">
            <w:pPr>
              <w:spacing w:line="256" w:lineRule="auto"/>
              <w:jc w:val="center"/>
              <w:rPr>
                <w:b/>
                <w:szCs w:val="26"/>
              </w:rPr>
            </w:pPr>
            <w:r w:rsidRPr="00B41928">
              <w:rPr>
                <w:b/>
                <w:szCs w:val="26"/>
              </w:rPr>
              <w:t>Total Annual Burden Hours &amp; Total Annual Cost</w:t>
            </w:r>
          </w:p>
          <w:p w:rsidR="006960D3" w:rsidP="00C314F4" w14:paraId="58A36F01" w14:textId="77777777">
            <w:r w:rsidRPr="00B41928">
              <w:rPr>
                <w:b/>
                <w:szCs w:val="26"/>
              </w:rPr>
              <w:t>(Column C x Column D)</w:t>
            </w:r>
          </w:p>
        </w:tc>
        <w:tc>
          <w:tcPr>
            <w:tcW w:w="1557" w:type="dxa"/>
            <w:vAlign w:val="center"/>
          </w:tcPr>
          <w:p w:rsidR="006960D3" w:rsidRPr="00B41928" w:rsidP="00C314F4" w14:paraId="10E66BC8" w14:textId="77777777">
            <w:pPr>
              <w:spacing w:line="256" w:lineRule="auto"/>
              <w:jc w:val="center"/>
              <w:rPr>
                <w:b/>
                <w:szCs w:val="26"/>
              </w:rPr>
            </w:pPr>
            <w:r w:rsidRPr="00B41928">
              <w:rPr>
                <w:b/>
                <w:szCs w:val="26"/>
              </w:rPr>
              <w:t>F.</w:t>
            </w:r>
          </w:p>
          <w:p w:rsidR="006960D3" w:rsidRPr="00B41928" w:rsidP="00C314F4" w14:paraId="72C19924" w14:textId="77777777">
            <w:pPr>
              <w:spacing w:line="256" w:lineRule="auto"/>
              <w:jc w:val="center"/>
              <w:rPr>
                <w:b/>
                <w:szCs w:val="26"/>
              </w:rPr>
            </w:pPr>
            <w:r w:rsidRPr="00B41928">
              <w:rPr>
                <w:b/>
                <w:szCs w:val="26"/>
              </w:rPr>
              <w:t>Cost per Respondent</w:t>
            </w:r>
          </w:p>
          <w:p w:rsidR="006960D3" w:rsidRPr="00B41928" w:rsidP="00C314F4" w14:paraId="081CF0D8" w14:textId="77777777">
            <w:pPr>
              <w:spacing w:line="256" w:lineRule="auto"/>
              <w:jc w:val="center"/>
              <w:rPr>
                <w:b/>
                <w:szCs w:val="26"/>
              </w:rPr>
            </w:pPr>
            <w:r w:rsidRPr="00B41928">
              <w:rPr>
                <w:b/>
                <w:szCs w:val="26"/>
              </w:rPr>
              <w:t>($)</w:t>
            </w:r>
          </w:p>
          <w:p w:rsidR="006960D3" w:rsidP="00C314F4" w14:paraId="59503E32" w14:textId="77777777">
            <w:r w:rsidRPr="00B41928">
              <w:rPr>
                <w:b/>
                <w:szCs w:val="26"/>
              </w:rPr>
              <w:t>(Column E ÷ Column A)</w:t>
            </w:r>
          </w:p>
        </w:tc>
      </w:tr>
      <w:tr w14:paraId="7C802F14" w14:textId="77777777" w:rsidTr="00B61B09">
        <w:tblPrEx>
          <w:tblW w:w="0" w:type="auto"/>
          <w:tblLook w:val="04A0"/>
        </w:tblPrEx>
        <w:tc>
          <w:tcPr>
            <w:tcW w:w="2988" w:type="dxa"/>
            <w:vAlign w:val="bottom"/>
          </w:tcPr>
          <w:p w:rsidR="001D201E" w:rsidRPr="001D201E" w:rsidP="001D201E" w14:paraId="052863C2" w14:textId="77777777">
            <w:pPr>
              <w:jc w:val="center"/>
            </w:pPr>
            <w:r w:rsidRPr="001D201E">
              <w:t>FERC-725-G1</w:t>
            </w:r>
          </w:p>
          <w:p w:rsidR="001D201E" w:rsidRPr="001D201E" w:rsidP="001D201E" w14:paraId="55D1EB43" w14:textId="60C85335">
            <w:pPr>
              <w:jc w:val="center"/>
            </w:pPr>
            <w:r w:rsidRPr="001D201E">
              <w:t>Total</w:t>
            </w:r>
            <w:r w:rsidR="00B61B09">
              <w:t xml:space="preserve"> PRC-004-6</w:t>
            </w:r>
          </w:p>
        </w:tc>
        <w:tc>
          <w:tcPr>
            <w:tcW w:w="1545" w:type="dxa"/>
            <w:vAlign w:val="bottom"/>
          </w:tcPr>
          <w:p w:rsidR="001D201E" w:rsidRPr="00CB4FF7" w:rsidP="001D201E" w14:paraId="713B52B0" w14:textId="0AFFD4D0">
            <w:pPr>
              <w:jc w:val="center"/>
            </w:pPr>
            <w:r>
              <w:rPr>
                <w:bCs/>
                <w:iCs/>
                <w:szCs w:val="26"/>
              </w:rPr>
              <w:t>930</w:t>
            </w:r>
          </w:p>
        </w:tc>
        <w:tc>
          <w:tcPr>
            <w:tcW w:w="1549" w:type="dxa"/>
            <w:vAlign w:val="bottom"/>
          </w:tcPr>
          <w:p w:rsidR="001D201E" w:rsidRPr="00B41928" w:rsidP="001D201E" w14:paraId="1393EA89" w14:textId="77777777">
            <w:pPr>
              <w:spacing w:line="256" w:lineRule="auto"/>
              <w:jc w:val="right"/>
              <w:rPr>
                <w:bCs/>
                <w:iCs/>
                <w:szCs w:val="26"/>
              </w:rPr>
            </w:pPr>
            <w:r>
              <w:rPr>
                <w:bCs/>
                <w:iCs/>
                <w:szCs w:val="26"/>
              </w:rPr>
              <w:t>16</w:t>
            </w:r>
            <w:r w:rsidRPr="00B41928">
              <w:rPr>
                <w:bCs/>
                <w:iCs/>
                <w:szCs w:val="26"/>
              </w:rPr>
              <w:t xml:space="preserve"> hrs.;</w:t>
            </w:r>
          </w:p>
          <w:p w:rsidR="001D201E" w:rsidRPr="00CB4FF7" w:rsidP="001D201E" w14:paraId="2E36E16F" w14:textId="2C993B60">
            <w:pPr>
              <w:jc w:val="right"/>
            </w:pPr>
            <w:r w:rsidRPr="00B41928">
              <w:rPr>
                <w:bCs/>
                <w:iCs/>
                <w:szCs w:val="26"/>
              </w:rPr>
              <w:t>$</w:t>
            </w:r>
            <w:r>
              <w:rPr>
                <w:bCs/>
                <w:iCs/>
                <w:szCs w:val="26"/>
              </w:rPr>
              <w:t>1,130.72</w:t>
            </w:r>
          </w:p>
        </w:tc>
        <w:tc>
          <w:tcPr>
            <w:tcW w:w="1711" w:type="dxa"/>
            <w:vAlign w:val="bottom"/>
          </w:tcPr>
          <w:p w:rsidR="001D201E" w:rsidRPr="00B41928" w:rsidP="001D201E" w14:paraId="0D878ECC" w14:textId="77777777">
            <w:pPr>
              <w:spacing w:line="256" w:lineRule="auto"/>
              <w:jc w:val="right"/>
              <w:rPr>
                <w:bCs/>
                <w:iCs/>
                <w:szCs w:val="26"/>
              </w:rPr>
            </w:pPr>
            <w:r>
              <w:rPr>
                <w:bCs/>
                <w:iCs/>
                <w:szCs w:val="26"/>
              </w:rPr>
              <w:t>14,880</w:t>
            </w:r>
            <w:r w:rsidRPr="00B41928">
              <w:rPr>
                <w:bCs/>
                <w:iCs/>
                <w:szCs w:val="26"/>
              </w:rPr>
              <w:t xml:space="preserve"> hrs.;</w:t>
            </w:r>
          </w:p>
          <w:p w:rsidR="001D201E" w:rsidRPr="00C81212" w:rsidP="00C81212" w14:paraId="00D23888" w14:textId="44857DBB">
            <w:pPr>
              <w:spacing w:line="256" w:lineRule="auto"/>
              <w:jc w:val="right"/>
              <w:rPr>
                <w:bCs/>
                <w:iCs/>
                <w:szCs w:val="26"/>
              </w:rPr>
            </w:pPr>
            <w:r w:rsidRPr="00B41928">
              <w:rPr>
                <w:bCs/>
                <w:iCs/>
                <w:szCs w:val="26"/>
              </w:rPr>
              <w:t>$</w:t>
            </w:r>
            <w:r>
              <w:rPr>
                <w:bCs/>
                <w:iCs/>
                <w:szCs w:val="26"/>
              </w:rPr>
              <w:t>1,051,5</w:t>
            </w:r>
            <w:r w:rsidR="00C81212">
              <w:rPr>
                <w:bCs/>
                <w:iCs/>
                <w:szCs w:val="26"/>
              </w:rPr>
              <w:t>69.60</w:t>
            </w:r>
          </w:p>
        </w:tc>
        <w:tc>
          <w:tcPr>
            <w:tcW w:w="1557" w:type="dxa"/>
            <w:vAlign w:val="bottom"/>
          </w:tcPr>
          <w:p w:rsidR="001D201E" w:rsidRPr="00CB4FF7" w:rsidP="001D201E" w14:paraId="1BCF586E" w14:textId="3ABE9FE8">
            <w:pPr>
              <w:jc w:val="right"/>
            </w:pPr>
            <w:r w:rsidRPr="00B41928">
              <w:rPr>
                <w:bCs/>
                <w:iCs/>
                <w:szCs w:val="26"/>
              </w:rPr>
              <w:t>$1,</w:t>
            </w:r>
            <w:r>
              <w:rPr>
                <w:bCs/>
                <w:iCs/>
                <w:szCs w:val="26"/>
              </w:rPr>
              <w:t>130.72</w:t>
            </w:r>
          </w:p>
        </w:tc>
      </w:tr>
      <w:tr w14:paraId="10BB2F49" w14:textId="77777777" w:rsidTr="00B61B09">
        <w:tblPrEx>
          <w:tblW w:w="0" w:type="auto"/>
          <w:tblLook w:val="04A0"/>
        </w:tblPrEx>
        <w:tc>
          <w:tcPr>
            <w:tcW w:w="2988" w:type="dxa"/>
            <w:vAlign w:val="bottom"/>
          </w:tcPr>
          <w:p w:rsidR="001D201E" w:rsidRPr="001D201E" w:rsidP="001D201E" w14:paraId="45D3BCCA" w14:textId="77777777">
            <w:pPr>
              <w:jc w:val="center"/>
            </w:pPr>
            <w:r w:rsidRPr="001D201E">
              <w:t>FERC-725-G4</w:t>
            </w:r>
          </w:p>
          <w:p w:rsidR="001D201E" w:rsidRPr="001D201E" w:rsidP="001D201E" w14:paraId="41E8A0D8" w14:textId="5650F64C">
            <w:pPr>
              <w:jc w:val="center"/>
            </w:pPr>
            <w:r w:rsidRPr="001D201E">
              <w:t>Total</w:t>
            </w:r>
            <w:r w:rsidR="00B61B09">
              <w:t xml:space="preserve"> PRC-010-2</w:t>
            </w:r>
          </w:p>
        </w:tc>
        <w:tc>
          <w:tcPr>
            <w:tcW w:w="1545" w:type="dxa"/>
            <w:vAlign w:val="bottom"/>
          </w:tcPr>
          <w:p w:rsidR="001D201E" w:rsidRPr="00CB4FF7" w:rsidP="001D201E" w14:paraId="146F63A0" w14:textId="08CD6881">
            <w:pPr>
              <w:jc w:val="center"/>
            </w:pPr>
            <w:r>
              <w:rPr>
                <w:bCs/>
                <w:szCs w:val="26"/>
              </w:rPr>
              <w:t>31</w:t>
            </w:r>
          </w:p>
        </w:tc>
        <w:tc>
          <w:tcPr>
            <w:tcW w:w="1549" w:type="dxa"/>
            <w:vAlign w:val="bottom"/>
          </w:tcPr>
          <w:p w:rsidR="001D201E" w:rsidRPr="00B41928" w:rsidP="001D201E" w14:paraId="4B2EDAAE" w14:textId="77777777">
            <w:pPr>
              <w:spacing w:line="256" w:lineRule="auto"/>
              <w:jc w:val="right"/>
              <w:rPr>
                <w:bCs/>
                <w:szCs w:val="26"/>
              </w:rPr>
            </w:pPr>
            <w:r w:rsidRPr="00B41928">
              <w:rPr>
                <w:bCs/>
                <w:szCs w:val="26"/>
              </w:rPr>
              <w:t>48 hrs.;</w:t>
            </w:r>
          </w:p>
          <w:p w:rsidR="001D201E" w:rsidRPr="00CB4FF7" w:rsidP="001D201E" w14:paraId="0EECAB65" w14:textId="5F88196E">
            <w:pPr>
              <w:jc w:val="right"/>
            </w:pPr>
            <w:r w:rsidRPr="00B41928">
              <w:rPr>
                <w:bCs/>
                <w:szCs w:val="26"/>
              </w:rPr>
              <w:t>$</w:t>
            </w:r>
            <w:r>
              <w:rPr>
                <w:bCs/>
                <w:szCs w:val="26"/>
              </w:rPr>
              <w:t>3,392.16</w:t>
            </w:r>
          </w:p>
        </w:tc>
        <w:tc>
          <w:tcPr>
            <w:tcW w:w="1711" w:type="dxa"/>
            <w:vAlign w:val="bottom"/>
          </w:tcPr>
          <w:p w:rsidR="001D201E" w:rsidRPr="00B41928" w:rsidP="001D201E" w14:paraId="03447119" w14:textId="77777777">
            <w:pPr>
              <w:spacing w:line="256" w:lineRule="auto"/>
              <w:jc w:val="right"/>
              <w:rPr>
                <w:bCs/>
                <w:szCs w:val="26"/>
              </w:rPr>
            </w:pPr>
            <w:r w:rsidRPr="00B41928">
              <w:rPr>
                <w:bCs/>
                <w:szCs w:val="26"/>
              </w:rPr>
              <w:t>1,</w:t>
            </w:r>
            <w:r>
              <w:rPr>
                <w:bCs/>
                <w:szCs w:val="26"/>
              </w:rPr>
              <w:t>488</w:t>
            </w:r>
            <w:r w:rsidRPr="00B41928">
              <w:rPr>
                <w:bCs/>
                <w:szCs w:val="26"/>
              </w:rPr>
              <w:t xml:space="preserve"> hrs.;</w:t>
            </w:r>
          </w:p>
          <w:p w:rsidR="001D201E" w:rsidRPr="00CB4FF7" w:rsidP="001D201E" w14:paraId="1E0238EA" w14:textId="73B38147">
            <w:pPr>
              <w:jc w:val="right"/>
            </w:pPr>
            <w:r w:rsidRPr="00B41928">
              <w:rPr>
                <w:bCs/>
                <w:szCs w:val="26"/>
              </w:rPr>
              <w:t>$</w:t>
            </w:r>
            <w:r>
              <w:rPr>
                <w:bCs/>
                <w:szCs w:val="26"/>
              </w:rPr>
              <w:t>105,156.96</w:t>
            </w:r>
          </w:p>
        </w:tc>
        <w:tc>
          <w:tcPr>
            <w:tcW w:w="1557" w:type="dxa"/>
            <w:vAlign w:val="bottom"/>
          </w:tcPr>
          <w:p w:rsidR="001D201E" w:rsidRPr="00CB4FF7" w:rsidP="001D201E" w14:paraId="564E3103" w14:textId="48737FA6">
            <w:pPr>
              <w:jc w:val="right"/>
            </w:pPr>
            <w:r>
              <w:rPr>
                <w:bCs/>
                <w:szCs w:val="26"/>
              </w:rPr>
              <w:t>$3,392.16</w:t>
            </w:r>
          </w:p>
        </w:tc>
      </w:tr>
      <w:tr w14:paraId="63C1CD64" w14:textId="77777777" w:rsidTr="00B61B09">
        <w:tblPrEx>
          <w:tblW w:w="0" w:type="auto"/>
          <w:tblLook w:val="04A0"/>
        </w:tblPrEx>
        <w:tc>
          <w:tcPr>
            <w:tcW w:w="2988" w:type="dxa"/>
            <w:vAlign w:val="bottom"/>
          </w:tcPr>
          <w:p w:rsidR="00E16607" w:rsidRPr="001D201E" w:rsidP="00E16607" w14:paraId="263DDD14" w14:textId="77777777">
            <w:pPr>
              <w:jc w:val="center"/>
            </w:pPr>
            <w:r w:rsidRPr="001D201E">
              <w:t>FERC-725-P1</w:t>
            </w:r>
          </w:p>
          <w:p w:rsidR="00E16607" w:rsidRPr="001D201E" w:rsidP="00E16607" w14:paraId="5DD68194" w14:textId="0B39DC91">
            <w:pPr>
              <w:jc w:val="center"/>
            </w:pPr>
            <w:r w:rsidRPr="001D201E">
              <w:t>Total</w:t>
            </w:r>
            <w:r w:rsidR="00B61B09">
              <w:t xml:space="preserve"> PRC-005-6</w:t>
            </w:r>
          </w:p>
        </w:tc>
        <w:tc>
          <w:tcPr>
            <w:tcW w:w="1545" w:type="dxa"/>
            <w:vAlign w:val="bottom"/>
          </w:tcPr>
          <w:p w:rsidR="00E16607" w:rsidRPr="00CB4FF7" w:rsidP="00E16607" w14:paraId="0935F731" w14:textId="1D83F802">
            <w:pPr>
              <w:jc w:val="center"/>
            </w:pPr>
            <w:r w:rsidRPr="00CB4FF7">
              <w:rPr>
                <w:bCs/>
                <w:szCs w:val="26"/>
              </w:rPr>
              <w:t>1,861</w:t>
            </w:r>
          </w:p>
        </w:tc>
        <w:tc>
          <w:tcPr>
            <w:tcW w:w="1549" w:type="dxa"/>
            <w:vAlign w:val="bottom"/>
          </w:tcPr>
          <w:p w:rsidR="00E16607" w:rsidP="00E16607" w14:paraId="4C38D1E3" w14:textId="77777777">
            <w:pPr>
              <w:jc w:val="right"/>
            </w:pPr>
            <w:r>
              <w:t>2 hrs.;</w:t>
            </w:r>
          </w:p>
          <w:p w:rsidR="00E16607" w:rsidRPr="00CB4FF7" w:rsidP="00E16607" w14:paraId="45C70E75" w14:textId="5291FB0F">
            <w:pPr>
              <w:jc w:val="right"/>
            </w:pPr>
            <w:r>
              <w:t>$141.34</w:t>
            </w:r>
          </w:p>
        </w:tc>
        <w:tc>
          <w:tcPr>
            <w:tcW w:w="1711" w:type="dxa"/>
            <w:vAlign w:val="bottom"/>
          </w:tcPr>
          <w:p w:rsidR="00E16607" w:rsidRPr="00CB4FF7" w:rsidP="00E16607" w14:paraId="6DF89B8D" w14:textId="77777777">
            <w:pPr>
              <w:spacing w:line="256" w:lineRule="auto"/>
              <w:jc w:val="right"/>
              <w:rPr>
                <w:bCs/>
                <w:szCs w:val="26"/>
              </w:rPr>
            </w:pPr>
            <w:r w:rsidRPr="00CB4FF7">
              <w:rPr>
                <w:bCs/>
                <w:szCs w:val="26"/>
              </w:rPr>
              <w:t>3,722 hr.,</w:t>
            </w:r>
          </w:p>
          <w:p w:rsidR="00E16607" w:rsidRPr="00CB4FF7" w:rsidP="00E16607" w14:paraId="2901D1A0" w14:textId="75745646">
            <w:pPr>
              <w:jc w:val="right"/>
            </w:pPr>
            <w:r w:rsidRPr="00CB4FF7">
              <w:rPr>
                <w:bCs/>
                <w:szCs w:val="26"/>
              </w:rPr>
              <w:t>263,033.74</w:t>
            </w:r>
          </w:p>
        </w:tc>
        <w:tc>
          <w:tcPr>
            <w:tcW w:w="1557" w:type="dxa"/>
            <w:vAlign w:val="bottom"/>
          </w:tcPr>
          <w:p w:rsidR="00E16607" w:rsidRPr="00CB4FF7" w:rsidP="00E16607" w14:paraId="45D3A731" w14:textId="12785AE5">
            <w:pPr>
              <w:jc w:val="right"/>
            </w:pPr>
            <w:r>
              <w:t>$141.34</w:t>
            </w:r>
          </w:p>
        </w:tc>
      </w:tr>
      <w:tr w14:paraId="00125ABD" w14:textId="77777777" w:rsidTr="00B61B09">
        <w:tblPrEx>
          <w:tblW w:w="0" w:type="auto"/>
          <w:tblLook w:val="04A0"/>
        </w:tblPrEx>
        <w:tc>
          <w:tcPr>
            <w:tcW w:w="2988" w:type="dxa"/>
            <w:vAlign w:val="bottom"/>
          </w:tcPr>
          <w:p w:rsidR="00B61B09" w:rsidRPr="001D201E" w:rsidP="00E16607" w14:paraId="153225E2" w14:textId="3C6D3A25">
            <w:pPr>
              <w:jc w:val="center"/>
            </w:pPr>
            <w:r>
              <w:t>Currently approved FERC-725G Totals</w:t>
            </w:r>
          </w:p>
        </w:tc>
        <w:tc>
          <w:tcPr>
            <w:tcW w:w="1545" w:type="dxa"/>
            <w:vAlign w:val="bottom"/>
          </w:tcPr>
          <w:p w:rsidR="00B61B09" w:rsidRPr="00CB4FF7" w:rsidP="00E16607" w14:paraId="3FE3FB4F" w14:textId="593C5F7C">
            <w:pPr>
              <w:jc w:val="center"/>
              <w:rPr>
                <w:bCs/>
                <w:szCs w:val="26"/>
              </w:rPr>
            </w:pPr>
            <w:r>
              <w:rPr>
                <w:bCs/>
                <w:szCs w:val="26"/>
              </w:rPr>
              <w:t>11,367</w:t>
            </w:r>
          </w:p>
        </w:tc>
        <w:tc>
          <w:tcPr>
            <w:tcW w:w="1549" w:type="dxa"/>
            <w:vMerge w:val="restart"/>
            <w:shd w:val="clear" w:color="auto" w:fill="BFBFBF" w:themeFill="background1" w:themeFillShade="BF"/>
            <w:vAlign w:val="bottom"/>
          </w:tcPr>
          <w:p w:rsidR="00B61B09" w:rsidRPr="00CB4FF7" w:rsidP="00E16607" w14:paraId="282CE5FC" w14:textId="77777777">
            <w:pPr>
              <w:jc w:val="right"/>
            </w:pPr>
          </w:p>
        </w:tc>
        <w:tc>
          <w:tcPr>
            <w:tcW w:w="1711" w:type="dxa"/>
            <w:vAlign w:val="bottom"/>
          </w:tcPr>
          <w:p w:rsidR="00B61B09" w:rsidRPr="00CB4FF7" w:rsidP="00E16607" w14:paraId="5D7FB7AE" w14:textId="0073025A">
            <w:pPr>
              <w:spacing w:line="256" w:lineRule="auto"/>
              <w:jc w:val="right"/>
              <w:rPr>
                <w:bCs/>
                <w:szCs w:val="26"/>
              </w:rPr>
            </w:pPr>
            <w:r>
              <w:rPr>
                <w:bCs/>
                <w:szCs w:val="26"/>
              </w:rPr>
              <w:t>762,718</w:t>
            </w:r>
          </w:p>
        </w:tc>
        <w:tc>
          <w:tcPr>
            <w:tcW w:w="1557" w:type="dxa"/>
            <w:vMerge w:val="restart"/>
            <w:shd w:val="clear" w:color="auto" w:fill="BFBFBF" w:themeFill="background1" w:themeFillShade="BF"/>
            <w:vAlign w:val="bottom"/>
          </w:tcPr>
          <w:p w:rsidR="00B61B09" w:rsidRPr="00CB4FF7" w:rsidP="00E16607" w14:paraId="07B684D4" w14:textId="77777777">
            <w:pPr>
              <w:jc w:val="right"/>
            </w:pPr>
          </w:p>
        </w:tc>
      </w:tr>
      <w:tr w14:paraId="180613FC" w14:textId="77777777" w:rsidTr="00B61B09">
        <w:tblPrEx>
          <w:tblW w:w="0" w:type="auto"/>
          <w:tblLook w:val="04A0"/>
        </w:tblPrEx>
        <w:tc>
          <w:tcPr>
            <w:tcW w:w="2988" w:type="dxa"/>
            <w:vAlign w:val="bottom"/>
          </w:tcPr>
          <w:p w:rsidR="00B61B09" w:rsidRPr="001D201E" w:rsidP="001D201E" w14:paraId="725140F4" w14:textId="1869DEA4">
            <w:pPr>
              <w:jc w:val="center"/>
              <w:rPr>
                <w:b/>
              </w:rPr>
            </w:pPr>
            <w:r w:rsidRPr="001D201E">
              <w:rPr>
                <w:b/>
                <w:szCs w:val="26"/>
              </w:rPr>
              <w:t xml:space="preserve">FERC-725-G New Total </w:t>
            </w:r>
          </w:p>
        </w:tc>
        <w:tc>
          <w:tcPr>
            <w:tcW w:w="1545" w:type="dxa"/>
            <w:vAlign w:val="bottom"/>
          </w:tcPr>
          <w:p w:rsidR="00B61B09" w:rsidRPr="00B61B09" w:rsidP="001D201E" w14:paraId="3235B499" w14:textId="2B39C250">
            <w:pPr>
              <w:jc w:val="center"/>
              <w:rPr>
                <w:b/>
                <w:bCs/>
              </w:rPr>
            </w:pPr>
            <w:r w:rsidRPr="00B61B09">
              <w:rPr>
                <w:b/>
                <w:bCs/>
              </w:rPr>
              <w:t>14,189</w:t>
            </w:r>
          </w:p>
        </w:tc>
        <w:tc>
          <w:tcPr>
            <w:tcW w:w="1549" w:type="dxa"/>
            <w:vMerge/>
            <w:shd w:val="clear" w:color="auto" w:fill="BFBFBF" w:themeFill="background1" w:themeFillShade="BF"/>
            <w:vAlign w:val="bottom"/>
          </w:tcPr>
          <w:p w:rsidR="00B61B09" w:rsidRPr="00B61B09" w:rsidP="001D201E" w14:paraId="515E110C" w14:textId="77777777">
            <w:pPr>
              <w:jc w:val="right"/>
              <w:rPr>
                <w:b/>
                <w:bCs/>
              </w:rPr>
            </w:pPr>
          </w:p>
        </w:tc>
        <w:tc>
          <w:tcPr>
            <w:tcW w:w="1711" w:type="dxa"/>
            <w:vAlign w:val="bottom"/>
          </w:tcPr>
          <w:p w:rsidR="00B61B09" w:rsidRPr="00B61B09" w:rsidP="001D201E" w14:paraId="1F95C729" w14:textId="425F51A9">
            <w:pPr>
              <w:jc w:val="right"/>
              <w:rPr>
                <w:b/>
                <w:bCs/>
              </w:rPr>
            </w:pPr>
            <w:r>
              <w:rPr>
                <w:b/>
                <w:bCs/>
              </w:rPr>
              <w:t>782,808</w:t>
            </w:r>
          </w:p>
        </w:tc>
        <w:tc>
          <w:tcPr>
            <w:tcW w:w="1557" w:type="dxa"/>
            <w:vMerge/>
            <w:shd w:val="clear" w:color="auto" w:fill="BFBFBF" w:themeFill="background1" w:themeFillShade="BF"/>
            <w:vAlign w:val="bottom"/>
          </w:tcPr>
          <w:p w:rsidR="00B61B09" w:rsidRPr="00B61B09" w:rsidP="001D201E" w14:paraId="50062D56" w14:textId="77777777">
            <w:pPr>
              <w:jc w:val="right"/>
              <w:rPr>
                <w:b/>
                <w:bCs/>
              </w:rPr>
            </w:pPr>
          </w:p>
        </w:tc>
      </w:tr>
    </w:tbl>
    <w:p w:rsidR="006960D3" w:rsidRPr="00CB6E46" w:rsidP="00CB4FF7" w14:paraId="0949E6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rsidR="00CB4FF7" w:rsidRPr="00CB6E46" w:rsidP="00CB4FF7" w14:paraId="1BB1E18D" w14:textId="3B1E4C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CB6E46">
        <w:rPr>
          <w:szCs w:val="26"/>
        </w:rPr>
        <w:t xml:space="preserve">The FERC-725G information collection currently contains the reporting and recordkeeping requirements for the following </w:t>
      </w:r>
      <w:r w:rsidR="00196A89">
        <w:rPr>
          <w:szCs w:val="26"/>
        </w:rPr>
        <w:t xml:space="preserve">(12) </w:t>
      </w:r>
      <w:r w:rsidRPr="00CB6E46">
        <w:rPr>
          <w:szCs w:val="26"/>
        </w:rPr>
        <w:t xml:space="preserve">Reliability Standards:  </w:t>
      </w:r>
      <w:r w:rsidRPr="00CB6E46">
        <w:rPr>
          <w:bCs/>
          <w:szCs w:val="26"/>
        </w:rPr>
        <w:t>PRC-002-</w:t>
      </w:r>
      <w:r>
        <w:rPr>
          <w:bCs/>
          <w:szCs w:val="26"/>
        </w:rPr>
        <w:t>4</w:t>
      </w:r>
      <w:r w:rsidRPr="00CB6E46">
        <w:rPr>
          <w:bCs/>
          <w:szCs w:val="26"/>
        </w:rPr>
        <w:t xml:space="preserve">, </w:t>
      </w:r>
      <w:r>
        <w:rPr>
          <w:bCs/>
          <w:szCs w:val="26"/>
        </w:rPr>
        <w:t xml:space="preserve">PRC-004-6, PRC-005-6, </w:t>
      </w:r>
      <w:r w:rsidRPr="00CB6E46">
        <w:rPr>
          <w:bCs/>
          <w:szCs w:val="26"/>
        </w:rPr>
        <w:t xml:space="preserve">PRC-006-5, </w:t>
      </w:r>
      <w:r>
        <w:rPr>
          <w:bCs/>
          <w:szCs w:val="26"/>
        </w:rPr>
        <w:t xml:space="preserve">PRC-010-2, </w:t>
      </w:r>
      <w:r w:rsidRPr="00CB6E46">
        <w:rPr>
          <w:bCs/>
          <w:szCs w:val="26"/>
        </w:rPr>
        <w:t>PRC-012-2, PRC-019-2, PRC-023-</w:t>
      </w:r>
      <w:r>
        <w:rPr>
          <w:bCs/>
          <w:szCs w:val="26"/>
        </w:rPr>
        <w:t>6</w:t>
      </w:r>
      <w:r w:rsidRPr="00CB6E46">
        <w:rPr>
          <w:bCs/>
          <w:szCs w:val="26"/>
        </w:rPr>
        <w:t>, PRC-024-</w:t>
      </w:r>
      <w:r>
        <w:rPr>
          <w:bCs/>
          <w:szCs w:val="26"/>
        </w:rPr>
        <w:t>3</w:t>
      </w:r>
      <w:r w:rsidRPr="00CB6E46">
        <w:rPr>
          <w:bCs/>
          <w:szCs w:val="26"/>
        </w:rPr>
        <w:t>, PRC-025-2, PRC-026-</w:t>
      </w:r>
      <w:r>
        <w:rPr>
          <w:bCs/>
          <w:szCs w:val="26"/>
        </w:rPr>
        <w:t>2</w:t>
      </w:r>
      <w:r w:rsidRPr="00CB6E46">
        <w:rPr>
          <w:bCs/>
          <w:szCs w:val="26"/>
        </w:rPr>
        <w:t>, and PRC-027-1</w:t>
      </w:r>
      <w:r w:rsidRPr="00CB6E46">
        <w:rPr>
          <w:szCs w:val="26"/>
        </w:rPr>
        <w:t>.</w:t>
      </w:r>
    </w:p>
    <w:p w:rsidR="00CB4FF7" w:rsidRPr="00CB6E46" w:rsidP="00CB4FF7" w14:paraId="1226A1BC" w14:textId="77777777">
      <w:pPr>
        <w:pStyle w:val="ListParagraph"/>
        <w:numPr>
          <w:ilvl w:val="0"/>
          <w:numId w:val="2"/>
        </w:numPr>
        <w:spacing w:after="160" w:line="259" w:lineRule="auto"/>
        <w:rPr>
          <w:b/>
          <w:szCs w:val="26"/>
          <w:u w:val="single"/>
        </w:rPr>
      </w:pPr>
      <w:r w:rsidRPr="00CB6E46">
        <w:rPr>
          <w:b/>
          <w:szCs w:val="26"/>
          <w:u w:val="single"/>
        </w:rPr>
        <w:t>PRC-002-</w:t>
      </w:r>
      <w:r>
        <w:rPr>
          <w:b/>
          <w:szCs w:val="26"/>
          <w:u w:val="single"/>
        </w:rPr>
        <w:t>4</w:t>
      </w:r>
      <w:r w:rsidRPr="00CB6E46">
        <w:rPr>
          <w:b/>
          <w:szCs w:val="26"/>
          <w:u w:val="single"/>
        </w:rPr>
        <w:t xml:space="preserve"> Disturbance Monitoring and Reporting Requirements</w:t>
      </w:r>
    </w:p>
    <w:p w:rsidR="00CB4FF7" w:rsidRPr="00CB6E46" w:rsidP="00CB4FF7" w14:paraId="6F177605" w14:textId="77777777">
      <w:pPr>
        <w:pStyle w:val="ListParagraph"/>
        <w:spacing w:after="160" w:line="259" w:lineRule="auto"/>
        <w:rPr>
          <w:bCs/>
          <w:szCs w:val="26"/>
        </w:rPr>
      </w:pPr>
      <w:r w:rsidRPr="00CB6E46">
        <w:rPr>
          <w:bCs/>
          <w:szCs w:val="26"/>
        </w:rPr>
        <w:t xml:space="preserve">The purpose is to have adequate data available to facilitate analysis of Bulk Electric System (BES) Disturb. </w:t>
      </w:r>
    </w:p>
    <w:p w:rsidR="00CB4FF7" w:rsidRPr="00CB6E46" w:rsidP="00CB4FF7" w14:paraId="72179E04" w14:textId="77777777">
      <w:pPr>
        <w:pStyle w:val="ListParagraph"/>
        <w:spacing w:after="160" w:line="259" w:lineRule="auto"/>
        <w:rPr>
          <w:bCs/>
          <w:szCs w:val="26"/>
        </w:rPr>
      </w:pPr>
    </w:p>
    <w:p w:rsidR="00CB4FF7" w:rsidP="00CB4FF7" w14:paraId="0F15F791" w14:textId="366F23B7">
      <w:pPr>
        <w:pStyle w:val="ListParagraph"/>
        <w:numPr>
          <w:ilvl w:val="0"/>
          <w:numId w:val="2"/>
        </w:numPr>
        <w:spacing w:after="160" w:line="259" w:lineRule="auto"/>
        <w:rPr>
          <w:b/>
          <w:bCs/>
          <w:szCs w:val="26"/>
          <w:u w:val="single"/>
        </w:rPr>
      </w:pPr>
      <w:r w:rsidRPr="00CB6E46">
        <w:rPr>
          <w:b/>
          <w:szCs w:val="26"/>
          <w:u w:val="single"/>
        </w:rPr>
        <w:t>PRC-00</w:t>
      </w:r>
      <w:r w:rsidR="00383B72">
        <w:rPr>
          <w:b/>
          <w:szCs w:val="26"/>
          <w:u w:val="single"/>
        </w:rPr>
        <w:t>5</w:t>
      </w:r>
      <w:r w:rsidRPr="00CB6E46">
        <w:rPr>
          <w:b/>
          <w:szCs w:val="26"/>
          <w:u w:val="single"/>
        </w:rPr>
        <w:t>-</w:t>
      </w:r>
      <w:r w:rsidR="00383B72">
        <w:rPr>
          <w:b/>
          <w:szCs w:val="26"/>
          <w:u w:val="single"/>
        </w:rPr>
        <w:t>6</w:t>
      </w:r>
      <w:r w:rsidRPr="00CB6E46">
        <w:rPr>
          <w:rFonts w:eastAsiaTheme="minorHAnsi"/>
          <w:bCs/>
          <w:szCs w:val="26"/>
          <w:u w:val="single"/>
        </w:rPr>
        <w:t xml:space="preserve"> </w:t>
      </w:r>
      <w:r w:rsidRPr="00CB6E46">
        <w:rPr>
          <w:b/>
          <w:bCs/>
          <w:szCs w:val="26"/>
          <w:u w:val="single"/>
        </w:rPr>
        <w:t>Automatic Underfrequency Load Shedding</w:t>
      </w:r>
    </w:p>
    <w:p w:rsidR="00CB4FF7" w:rsidRPr="00CF2C21" w:rsidP="00CB4FF7" w14:paraId="58C72FBE" w14:textId="77777777">
      <w:pPr>
        <w:pStyle w:val="ListParagraph"/>
        <w:spacing w:after="160" w:line="259" w:lineRule="auto"/>
        <w:rPr>
          <w:szCs w:val="26"/>
        </w:rPr>
      </w:pPr>
      <w:r w:rsidRPr="00CF2C21">
        <w:rPr>
          <w:szCs w:val="26"/>
        </w:rPr>
        <w:t>To document and implement programs for the maintenance of all Protection Systems, Automatic Reclosing, and Sudden Pressure Relaying affecting the reliability of the Bulk Electric System (BES) so that they are kept in working order</w:t>
      </w:r>
    </w:p>
    <w:p w:rsidR="00CB4FF7" w:rsidRPr="009A38F5" w:rsidP="00CB4FF7" w14:paraId="6C7F8375" w14:textId="77777777">
      <w:pPr>
        <w:pStyle w:val="ListParagraph"/>
        <w:spacing w:after="160" w:line="259" w:lineRule="auto"/>
        <w:rPr>
          <w:b/>
          <w:bCs/>
          <w:szCs w:val="26"/>
          <w:u w:val="single"/>
        </w:rPr>
      </w:pPr>
    </w:p>
    <w:p w:rsidR="00CB4FF7" w:rsidRPr="00CB6E46" w:rsidP="00CB4FF7" w14:paraId="72E30DDF" w14:textId="77777777">
      <w:pPr>
        <w:pStyle w:val="ListParagraph"/>
        <w:numPr>
          <w:ilvl w:val="0"/>
          <w:numId w:val="2"/>
        </w:numPr>
        <w:spacing w:after="160" w:line="259" w:lineRule="auto"/>
        <w:rPr>
          <w:b/>
          <w:bCs/>
          <w:szCs w:val="26"/>
          <w:u w:val="single"/>
        </w:rPr>
      </w:pPr>
      <w:r w:rsidRPr="00CB6E46">
        <w:rPr>
          <w:b/>
          <w:szCs w:val="26"/>
          <w:u w:val="single"/>
        </w:rPr>
        <w:t>PRC-006-5</w:t>
      </w:r>
      <w:r w:rsidRPr="00CB6E46">
        <w:rPr>
          <w:rFonts w:eastAsiaTheme="minorHAnsi"/>
          <w:bCs/>
          <w:szCs w:val="26"/>
          <w:u w:val="single"/>
        </w:rPr>
        <w:t xml:space="preserve"> </w:t>
      </w:r>
      <w:r w:rsidRPr="00CB6E46">
        <w:rPr>
          <w:b/>
          <w:bCs/>
          <w:szCs w:val="26"/>
          <w:u w:val="single"/>
        </w:rPr>
        <w:t>Automatic Underfrequency Load Shedding</w:t>
      </w:r>
    </w:p>
    <w:p w:rsidR="00CB4FF7" w:rsidRPr="00CB6E46" w:rsidP="00CB4FF7" w14:paraId="0B981349" w14:textId="77777777">
      <w:pPr>
        <w:pStyle w:val="ListParagraph"/>
        <w:spacing w:after="160" w:line="259" w:lineRule="auto"/>
        <w:rPr>
          <w:bCs/>
          <w:szCs w:val="26"/>
        </w:rPr>
      </w:pPr>
      <w:r w:rsidRPr="00CB6E46">
        <w:rPr>
          <w:bCs/>
          <w:szCs w:val="26"/>
        </w:rPr>
        <w:t>To establish design and documentation requirements for automatic Underfrequency Load Shedding (UFLS) programs to arrest declining frequency, assist recovery of frequency following underfrequency events and provide last resort system preservation measures.</w:t>
      </w:r>
    </w:p>
    <w:p w:rsidR="00CB4FF7" w:rsidRPr="00CB6E46" w:rsidP="00CB4FF7" w14:paraId="642880F4" w14:textId="77777777">
      <w:pPr>
        <w:pStyle w:val="ListParagraph"/>
        <w:spacing w:after="160" w:line="259" w:lineRule="auto"/>
        <w:rPr>
          <w:bCs/>
          <w:szCs w:val="26"/>
        </w:rPr>
      </w:pPr>
    </w:p>
    <w:p w:rsidR="00CB4FF7" w:rsidRPr="00CB6E46" w:rsidP="00CB4FF7" w14:paraId="00E7FBA4" w14:textId="77777777">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Cs/>
          <w:szCs w:val="26"/>
          <w:u w:val="single"/>
        </w:rPr>
      </w:pPr>
      <w:r w:rsidRPr="00CB6E46">
        <w:rPr>
          <w:b/>
          <w:iCs/>
          <w:szCs w:val="26"/>
          <w:u w:val="single"/>
        </w:rPr>
        <w:t>PRC-012-2 Remedial Action Schemes</w:t>
      </w:r>
    </w:p>
    <w:p w:rsidR="00CB4FF7" w:rsidRPr="00CB6E46" w:rsidP="00CB4FF7" w14:paraId="5EAD84BD"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t>To ensure that Remedial Action Schemes (RAS) do not introduce unintentional or unacceptable reliability risks to the Bulk Electric System (BES).</w:t>
      </w:r>
    </w:p>
    <w:p w:rsidR="00CB4FF7" w:rsidRPr="00CB6E46" w:rsidP="00CB4FF7" w14:paraId="41CA2F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CB4FF7" w:rsidRPr="00CB6E46" w:rsidP="00CB4FF7" w14:paraId="0489B1E7" w14:textId="77777777">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6"/>
          <w:u w:val="single"/>
        </w:rPr>
      </w:pPr>
      <w:r w:rsidRPr="00CB6E46">
        <w:rPr>
          <w:b/>
          <w:iCs/>
          <w:szCs w:val="26"/>
          <w:u w:val="single"/>
        </w:rPr>
        <w:t>PRC-019-2</w:t>
      </w:r>
      <w:r w:rsidRPr="00CB6E46">
        <w:rPr>
          <w:rFonts w:eastAsiaTheme="minorHAnsi"/>
          <w:b/>
          <w:szCs w:val="26"/>
          <w:u w:val="single"/>
        </w:rPr>
        <w:t xml:space="preserve"> </w:t>
      </w:r>
      <w:r w:rsidRPr="00CB6E46">
        <w:rPr>
          <w:b/>
          <w:iCs/>
          <w:szCs w:val="26"/>
          <w:u w:val="single"/>
        </w:rPr>
        <w:t>Coordination of Generating Unit or Plant Capabilities, Voltage Regulating Controls, and Protection</w:t>
      </w:r>
    </w:p>
    <w:p w:rsidR="00CB4FF7" w:rsidRPr="00CB6E46" w:rsidP="00CB4FF7" w14:paraId="317AADD5"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t>The purpose is to verify coordination of generating unit Facility or synchronous condenser voltage regulating controls, limit functions, equipment capabilities and Protection System settings.</w:t>
      </w:r>
    </w:p>
    <w:p w:rsidR="00CB4FF7" w:rsidRPr="00CB6E46" w:rsidP="00CB4FF7" w14:paraId="4A6B7F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CB4FF7" w:rsidRPr="00CB6E46" w:rsidP="00CB4FF7" w14:paraId="190FB0A7" w14:textId="77777777">
      <w:pPr>
        <w:pStyle w:val="ListParagraph"/>
        <w:numPr>
          <w:ilvl w:val="0"/>
          <w:numId w:val="2"/>
        </w:numPr>
        <w:spacing w:after="160" w:line="259" w:lineRule="auto"/>
        <w:rPr>
          <w:b/>
          <w:szCs w:val="26"/>
          <w:u w:val="single"/>
        </w:rPr>
      </w:pPr>
      <w:bookmarkStart w:id="6" w:name="_Hlk72854876"/>
      <w:r w:rsidRPr="00CB6E46">
        <w:rPr>
          <w:b/>
          <w:szCs w:val="26"/>
          <w:u w:val="single"/>
        </w:rPr>
        <w:t xml:space="preserve">PRC-023-4 </w:t>
      </w:r>
      <w:bookmarkEnd w:id="6"/>
      <w:r w:rsidRPr="00CB6E46">
        <w:rPr>
          <w:b/>
          <w:szCs w:val="26"/>
          <w:u w:val="single"/>
        </w:rPr>
        <w:t>Transmission Relay Load-ability</w:t>
      </w:r>
      <w:r w:rsidRPr="00CB6E46">
        <w:rPr>
          <w:bCs/>
          <w:szCs w:val="26"/>
        </w:rPr>
        <w:t xml:space="preserve"> </w:t>
      </w:r>
    </w:p>
    <w:p w:rsidR="00CB4FF7" w:rsidRPr="00CB6E46" w:rsidP="00CB4FF7" w14:paraId="09F8C559" w14:textId="77777777">
      <w:pPr>
        <w:pStyle w:val="ListParagraph"/>
        <w:spacing w:after="160" w:line="259" w:lineRule="auto"/>
        <w:rPr>
          <w:bCs/>
          <w:szCs w:val="26"/>
        </w:rPr>
      </w:pPr>
      <w:r>
        <w:rPr>
          <w:bCs/>
          <w:szCs w:val="26"/>
        </w:rPr>
        <w:t>The purpose t</w:t>
      </w:r>
      <w:r w:rsidRPr="00313425">
        <w:rPr>
          <w:bCs/>
          <w:szCs w:val="26"/>
        </w:rPr>
        <w:t>o verify coordination of generating unit Facility or synchronous condenser voltage regulating controls, limit functions, equipment capabilities and Protection System settings</w:t>
      </w:r>
      <w:r w:rsidRPr="00CB6E46">
        <w:rPr>
          <w:bCs/>
          <w:szCs w:val="26"/>
        </w:rPr>
        <w:t xml:space="preserve">. </w:t>
      </w:r>
    </w:p>
    <w:p w:rsidR="00CB4FF7" w:rsidRPr="00CB6E46" w:rsidP="00CB4FF7" w14:paraId="27B7902B" w14:textId="77777777">
      <w:pPr>
        <w:pStyle w:val="ListParagraph"/>
        <w:spacing w:after="160" w:line="259" w:lineRule="auto"/>
        <w:rPr>
          <w:bCs/>
          <w:szCs w:val="26"/>
        </w:rPr>
      </w:pPr>
    </w:p>
    <w:p w:rsidR="00CB4FF7" w:rsidRPr="00CB6E46" w:rsidP="00CB4FF7" w14:paraId="48229B3C" w14:textId="77777777">
      <w:pPr>
        <w:pStyle w:val="ListParagraph"/>
        <w:numPr>
          <w:ilvl w:val="0"/>
          <w:numId w:val="2"/>
        </w:numPr>
        <w:spacing w:after="160" w:line="259" w:lineRule="auto"/>
        <w:rPr>
          <w:b/>
          <w:szCs w:val="26"/>
          <w:u w:val="single"/>
        </w:rPr>
      </w:pPr>
      <w:r w:rsidRPr="00CB6E46">
        <w:rPr>
          <w:b/>
          <w:szCs w:val="26"/>
          <w:u w:val="single"/>
        </w:rPr>
        <w:t>PRC-024-</w:t>
      </w:r>
      <w:r>
        <w:rPr>
          <w:b/>
          <w:szCs w:val="26"/>
          <w:u w:val="single"/>
        </w:rPr>
        <w:t>3</w:t>
      </w:r>
      <w:r w:rsidRPr="00CB6E46">
        <w:rPr>
          <w:rFonts w:eastAsiaTheme="minorHAnsi"/>
          <w:b/>
          <w:szCs w:val="26"/>
          <w:u w:val="single"/>
        </w:rPr>
        <w:t xml:space="preserve"> </w:t>
      </w:r>
      <w:r w:rsidRPr="00CB6E46">
        <w:rPr>
          <w:b/>
          <w:szCs w:val="26"/>
          <w:u w:val="single"/>
        </w:rPr>
        <w:t>Generator Frequency and Voltage Protective Relay Settings</w:t>
      </w:r>
    </w:p>
    <w:p w:rsidR="00CB4FF7" w:rsidRPr="00CB6E46" w:rsidP="00CB4FF7" w14:paraId="72AA2FED" w14:textId="77777777">
      <w:pPr>
        <w:pStyle w:val="ListParagraph"/>
        <w:spacing w:after="160" w:line="259" w:lineRule="auto"/>
        <w:rPr>
          <w:bCs/>
          <w:szCs w:val="26"/>
        </w:rPr>
      </w:pPr>
      <w:r w:rsidRPr="00CB6E46">
        <w:rPr>
          <w:bCs/>
          <w:szCs w:val="26"/>
        </w:rPr>
        <w:t xml:space="preserve">The purpose </w:t>
      </w:r>
      <w:r>
        <w:rPr>
          <w:bCs/>
          <w:szCs w:val="26"/>
        </w:rPr>
        <w:t>t</w:t>
      </w:r>
      <w:r w:rsidRPr="00662BC8">
        <w:rPr>
          <w:bCs/>
          <w:szCs w:val="26"/>
        </w:rPr>
        <w:t>o set protection such that generating resource(s) remain connected during defined frequency and voltage excursions in support of the Bulk Electric System (BES)</w:t>
      </w:r>
      <w:r w:rsidRPr="00CB6E46">
        <w:rPr>
          <w:bCs/>
          <w:szCs w:val="26"/>
        </w:rPr>
        <w:t>.</w:t>
      </w:r>
    </w:p>
    <w:p w:rsidR="00CB4FF7" w:rsidRPr="00CB6E46" w:rsidP="00CB4FF7" w14:paraId="05FD7CDB" w14:textId="77777777">
      <w:pPr>
        <w:pStyle w:val="ListParagraph"/>
        <w:spacing w:after="160" w:line="259" w:lineRule="auto"/>
        <w:rPr>
          <w:bCs/>
          <w:szCs w:val="26"/>
        </w:rPr>
      </w:pPr>
    </w:p>
    <w:p w:rsidR="00CB4FF7" w:rsidRPr="00CB6E46" w:rsidP="00CB4FF7" w14:paraId="68AB8472" w14:textId="77777777">
      <w:pPr>
        <w:pStyle w:val="ListParagraph"/>
        <w:numPr>
          <w:ilvl w:val="0"/>
          <w:numId w:val="2"/>
        </w:numPr>
        <w:spacing w:after="160" w:line="259" w:lineRule="auto"/>
        <w:rPr>
          <w:b/>
          <w:szCs w:val="26"/>
          <w:u w:val="single"/>
        </w:rPr>
      </w:pPr>
      <w:r w:rsidRPr="00CB6E46">
        <w:rPr>
          <w:b/>
          <w:szCs w:val="26"/>
          <w:u w:val="single"/>
        </w:rPr>
        <w:t>PRC-025-2</w:t>
      </w:r>
      <w:r w:rsidRPr="00CB6E46">
        <w:rPr>
          <w:rFonts w:eastAsiaTheme="minorHAnsi"/>
          <w:b/>
          <w:szCs w:val="26"/>
          <w:u w:val="single"/>
        </w:rPr>
        <w:t xml:space="preserve"> </w:t>
      </w:r>
      <w:r w:rsidRPr="00CB6E46">
        <w:rPr>
          <w:b/>
          <w:szCs w:val="26"/>
          <w:u w:val="single"/>
        </w:rPr>
        <w:t xml:space="preserve">Generator Relay Load-ability </w:t>
      </w:r>
    </w:p>
    <w:p w:rsidR="00CB4FF7" w:rsidRPr="00CB6E46" w:rsidP="00CB4FF7" w14:paraId="1704EDAC" w14:textId="77777777">
      <w:pPr>
        <w:pStyle w:val="ListParagraph"/>
        <w:spacing w:after="160" w:line="259" w:lineRule="auto"/>
        <w:rPr>
          <w:b/>
          <w:szCs w:val="26"/>
          <w:u w:val="single"/>
        </w:rPr>
      </w:pPr>
      <w:r w:rsidRPr="00CB6E46">
        <w:rPr>
          <w:szCs w:val="26"/>
        </w:rPr>
        <w:t>The purpose is to set load-responsive protective relays associated with generation Facilities at a level to prevent unnecessary tripping of generators during a system disturbance for conditions that do not pose a risk of damage to the associated equipment.</w:t>
      </w:r>
      <w:r w:rsidRPr="00CB6E46">
        <w:rPr>
          <w:b/>
          <w:szCs w:val="26"/>
          <w:u w:val="single"/>
        </w:rPr>
        <w:t xml:space="preserve"> </w:t>
      </w:r>
    </w:p>
    <w:p w:rsidR="00CB4FF7" w:rsidRPr="00CB6E46" w:rsidP="00CB4FF7" w14:paraId="331E944F" w14:textId="77777777">
      <w:pPr>
        <w:pStyle w:val="ListParagraph"/>
        <w:spacing w:after="160" w:line="259" w:lineRule="auto"/>
        <w:rPr>
          <w:b/>
          <w:szCs w:val="26"/>
          <w:u w:val="single"/>
        </w:rPr>
      </w:pPr>
    </w:p>
    <w:p w:rsidR="00CB4FF7" w:rsidRPr="00CB6E46" w:rsidP="00CB4FF7" w14:paraId="372C76B6" w14:textId="77777777">
      <w:pPr>
        <w:pStyle w:val="ListParagraph"/>
        <w:numPr>
          <w:ilvl w:val="0"/>
          <w:numId w:val="2"/>
        </w:numPr>
        <w:spacing w:after="160" w:line="259" w:lineRule="auto"/>
        <w:rPr>
          <w:b/>
          <w:szCs w:val="26"/>
          <w:u w:val="single"/>
        </w:rPr>
      </w:pPr>
      <w:r w:rsidRPr="00CB6E46">
        <w:rPr>
          <w:b/>
          <w:szCs w:val="26"/>
          <w:u w:val="single"/>
        </w:rPr>
        <w:t>PRC-026-</w:t>
      </w:r>
      <w:r>
        <w:rPr>
          <w:b/>
          <w:szCs w:val="26"/>
          <w:u w:val="single"/>
        </w:rPr>
        <w:t>2</w:t>
      </w:r>
      <w:r w:rsidRPr="00CB6E46">
        <w:rPr>
          <w:rFonts w:eastAsiaTheme="minorHAnsi"/>
          <w:b/>
          <w:szCs w:val="26"/>
          <w:u w:val="single"/>
        </w:rPr>
        <w:t xml:space="preserve"> </w:t>
      </w:r>
      <w:r w:rsidRPr="00CB6E46">
        <w:rPr>
          <w:b/>
          <w:szCs w:val="26"/>
          <w:u w:val="single"/>
        </w:rPr>
        <w:t>Relay Performance During Stable Power Swings</w:t>
      </w:r>
    </w:p>
    <w:p w:rsidR="00CB4FF7" w:rsidRPr="00CB6E46" w:rsidP="00CB4FF7" w14:paraId="3FD3000E" w14:textId="77777777">
      <w:pPr>
        <w:pStyle w:val="ListParagraph"/>
        <w:spacing w:after="160" w:line="259" w:lineRule="auto"/>
        <w:rPr>
          <w:szCs w:val="26"/>
        </w:rPr>
      </w:pPr>
      <w:r w:rsidRPr="00CB6E46">
        <w:rPr>
          <w:szCs w:val="26"/>
        </w:rPr>
        <w:t>The purpose is to ensure that load-responsive protective relays are expected to not trip in response to stable power swings during non-Fault conditions.</w:t>
      </w:r>
    </w:p>
    <w:p w:rsidR="00CB4FF7" w:rsidRPr="00CB6E46" w:rsidP="00CB4FF7" w14:paraId="1CB5EE0F" w14:textId="77777777">
      <w:pPr>
        <w:pStyle w:val="ListParagraph"/>
        <w:spacing w:after="160" w:line="259" w:lineRule="auto"/>
        <w:rPr>
          <w:szCs w:val="26"/>
        </w:rPr>
      </w:pPr>
    </w:p>
    <w:p w:rsidR="00CB4FF7" w:rsidRPr="00CB6E46" w:rsidP="00CB4FF7" w14:paraId="0A7A682E" w14:textId="77777777">
      <w:pPr>
        <w:pStyle w:val="ListParagraph"/>
        <w:numPr>
          <w:ilvl w:val="0"/>
          <w:numId w:val="2"/>
        </w:numPr>
        <w:spacing w:after="160" w:line="259" w:lineRule="auto"/>
        <w:rPr>
          <w:rFonts w:eastAsia="Calibri"/>
          <w:b/>
          <w:color w:val="000000"/>
          <w:szCs w:val="26"/>
          <w:u w:val="single"/>
        </w:rPr>
      </w:pPr>
      <w:r w:rsidRPr="00CB6E46">
        <w:rPr>
          <w:rFonts w:eastAsia="Calibri"/>
          <w:b/>
          <w:color w:val="000000"/>
          <w:szCs w:val="26"/>
          <w:u w:val="single"/>
        </w:rPr>
        <w:t>PRC-027-1 Coordination of Protection Systems for Performance During Faults</w:t>
      </w:r>
    </w:p>
    <w:p w:rsidR="00CB4FF7" w:rsidRPr="00CB6E46" w:rsidP="00CB4FF7" w14:paraId="14FB5F11" w14:textId="77777777">
      <w:pPr>
        <w:pStyle w:val="ListParagraph"/>
        <w:spacing w:after="160" w:line="259" w:lineRule="auto"/>
        <w:rPr>
          <w:rFonts w:eastAsia="Calibri"/>
          <w:bCs/>
          <w:color w:val="000000"/>
          <w:szCs w:val="26"/>
        </w:rPr>
      </w:pPr>
      <w:r w:rsidRPr="00CB6E46">
        <w:rPr>
          <w:rFonts w:eastAsia="Calibri"/>
          <w:color w:val="000000"/>
          <w:szCs w:val="26"/>
        </w:rPr>
        <w:t>The purpose is to</w:t>
      </w:r>
      <w:r w:rsidRPr="00CB6E46">
        <w:rPr>
          <w:rFonts w:eastAsia="Calibri"/>
          <w:bCs/>
          <w:color w:val="000000"/>
          <w:szCs w:val="26"/>
        </w:rPr>
        <w:t xml:space="preserve"> maintain the coordination of Protection Systems installed to detect and isolate Faults on Bulk Electric System (BES) Elements, such that those Protection Systems operate in the intended sequence during Faults.</w:t>
      </w:r>
    </w:p>
    <w:p w:rsidR="00CB4FF7" w:rsidRPr="00CB6E46" w:rsidP="00CB4FF7" w14:paraId="0A7AC50E" w14:textId="77777777">
      <w:pPr>
        <w:pStyle w:val="ListParagraph"/>
        <w:spacing w:after="160" w:line="259" w:lineRule="auto"/>
        <w:rPr>
          <w:rFonts w:eastAsia="Calibri"/>
          <w:color w:val="000000"/>
          <w:szCs w:val="26"/>
        </w:rPr>
      </w:pPr>
      <w:r w:rsidRPr="00CB6E46">
        <w:rPr>
          <w:rFonts w:eastAsia="Calibri"/>
          <w:color w:val="000000"/>
          <w:szCs w:val="26"/>
        </w:rPr>
        <w:tab/>
      </w:r>
    </w:p>
    <w:p w:rsidR="00CB4FF7" w:rsidRPr="00CB6E46" w:rsidP="00CB4FF7" w14:paraId="22E64E34" w14:textId="77777777">
      <w:pPr>
        <w:spacing w:after="160" w:line="259" w:lineRule="auto"/>
        <w:rPr>
          <w:rFonts w:eastAsia="Calibri"/>
          <w:bCs/>
          <w:color w:val="000000"/>
          <w:szCs w:val="26"/>
        </w:rPr>
      </w:pPr>
      <w:r w:rsidRPr="00CB6E46">
        <w:rPr>
          <w:rFonts w:eastAsia="Calibri"/>
          <w:bCs/>
          <w:color w:val="000000"/>
          <w:szCs w:val="26"/>
        </w:rPr>
        <w:t>Each of these Reliability Standards have three components that impose burden upon affected industry:</w:t>
      </w:r>
    </w:p>
    <w:p w:rsidR="00CB4FF7" w:rsidRPr="00CB6E46" w:rsidP="00CB4FF7" w14:paraId="7852E97E" w14:textId="77777777">
      <w:pPr>
        <w:spacing w:after="160" w:line="259" w:lineRule="auto"/>
        <w:rPr>
          <w:rFonts w:eastAsia="Calibri"/>
          <w:bCs/>
          <w:color w:val="000000"/>
          <w:szCs w:val="26"/>
        </w:rPr>
      </w:pPr>
      <w:r w:rsidRPr="00CB6E46">
        <w:rPr>
          <w:rFonts w:eastAsia="Calibri"/>
          <w:bCs/>
          <w:color w:val="000000"/>
          <w:szCs w:val="26"/>
        </w:rPr>
        <w:t>• Requirements (</w:t>
      </w:r>
      <w:r w:rsidRPr="00CB6E46">
        <w:rPr>
          <w:rFonts w:eastAsia="Calibri"/>
          <w:bCs/>
          <w:i/>
          <w:iCs/>
          <w:color w:val="000000"/>
          <w:szCs w:val="26"/>
        </w:rPr>
        <w:t xml:space="preserve">e.g., </w:t>
      </w:r>
      <w:r w:rsidRPr="00CB6E46">
        <w:rPr>
          <w:rFonts w:eastAsia="Calibri"/>
          <w:bCs/>
          <w:color w:val="000000"/>
          <w:szCs w:val="26"/>
        </w:rPr>
        <w:t>denoted in each</w:t>
      </w:r>
      <w:r>
        <w:rPr>
          <w:rFonts w:eastAsia="Calibri"/>
          <w:bCs/>
          <w:color w:val="000000"/>
          <w:szCs w:val="26"/>
        </w:rPr>
        <w:t xml:space="preserve"> </w:t>
      </w:r>
      <w:r w:rsidRPr="00CB6E46">
        <w:rPr>
          <w:rFonts w:eastAsia="Calibri"/>
          <w:bCs/>
          <w:color w:val="000000"/>
          <w:szCs w:val="26"/>
        </w:rPr>
        <w:t>Reliability Standard as R1, R2. . .)</w:t>
      </w:r>
    </w:p>
    <w:p w:rsidR="00CB4FF7" w:rsidRPr="00CB6E46" w:rsidP="00CB4FF7" w14:paraId="1FD4875A" w14:textId="77777777">
      <w:pPr>
        <w:spacing w:after="160" w:line="259" w:lineRule="auto"/>
        <w:rPr>
          <w:rFonts w:eastAsia="Calibri"/>
          <w:bCs/>
          <w:color w:val="000000"/>
          <w:szCs w:val="26"/>
        </w:rPr>
      </w:pPr>
      <w:r w:rsidRPr="00CB6E46">
        <w:rPr>
          <w:rFonts w:eastAsia="Calibri"/>
          <w:bCs/>
          <w:color w:val="000000"/>
          <w:szCs w:val="26"/>
        </w:rPr>
        <w:t>• Measures (</w:t>
      </w:r>
      <w:r w:rsidRPr="00CB6E46">
        <w:rPr>
          <w:rFonts w:eastAsia="Calibri"/>
          <w:bCs/>
          <w:i/>
          <w:iCs/>
          <w:color w:val="000000"/>
          <w:szCs w:val="26"/>
        </w:rPr>
        <w:t xml:space="preserve">e.g., </w:t>
      </w:r>
      <w:r w:rsidRPr="00CB6E46">
        <w:rPr>
          <w:rFonts w:eastAsia="Calibri"/>
          <w:bCs/>
          <w:color w:val="000000"/>
          <w:szCs w:val="26"/>
        </w:rPr>
        <w:t>denoted in each</w:t>
      </w:r>
      <w:r>
        <w:rPr>
          <w:rFonts w:eastAsia="Calibri"/>
          <w:bCs/>
          <w:color w:val="000000"/>
          <w:szCs w:val="26"/>
        </w:rPr>
        <w:t xml:space="preserve"> </w:t>
      </w:r>
      <w:r w:rsidRPr="00CB6E46">
        <w:rPr>
          <w:rFonts w:eastAsia="Calibri"/>
          <w:bCs/>
          <w:color w:val="000000"/>
          <w:szCs w:val="26"/>
        </w:rPr>
        <w:t>Reliability Standard as M1, M2. . .)</w:t>
      </w:r>
    </w:p>
    <w:p w:rsidR="00CB4FF7" w:rsidRPr="00CB6E46" w:rsidP="00CB4FF7" w14:paraId="375955D9" w14:textId="77777777">
      <w:pPr>
        <w:spacing w:after="160" w:line="259" w:lineRule="auto"/>
        <w:rPr>
          <w:rFonts w:eastAsia="Calibri"/>
          <w:bCs/>
          <w:color w:val="000000"/>
          <w:szCs w:val="26"/>
        </w:rPr>
      </w:pPr>
      <w:r w:rsidRPr="00CB6E46">
        <w:rPr>
          <w:rFonts w:eastAsia="Calibri"/>
          <w:bCs/>
          <w:color w:val="000000"/>
          <w:szCs w:val="26"/>
        </w:rPr>
        <w:t>• Evidence Retention</w:t>
      </w:r>
    </w:p>
    <w:p w:rsidR="00CB4FF7" w:rsidRPr="00CB6E46" w:rsidP="00CB4FF7" w14:paraId="793F2A9D" w14:textId="77777777">
      <w:pPr>
        <w:spacing w:after="160" w:line="259" w:lineRule="auto"/>
        <w:rPr>
          <w:rFonts w:eastAsia="Calibri"/>
          <w:bCs/>
          <w:color w:val="000000"/>
          <w:szCs w:val="26"/>
        </w:rPr>
      </w:pPr>
      <w:r w:rsidRPr="00CB6E46">
        <w:rPr>
          <w:rFonts w:eastAsia="Calibri"/>
          <w:bCs/>
          <w:color w:val="000000"/>
          <w:szCs w:val="26"/>
        </w:rPr>
        <w:t>These three components can be reviewed for the Reliability Standards in</w:t>
      </w:r>
      <w:r>
        <w:rPr>
          <w:rFonts w:eastAsia="Calibri"/>
          <w:bCs/>
          <w:color w:val="000000"/>
          <w:szCs w:val="26"/>
        </w:rPr>
        <w:t xml:space="preserve"> North American Electric Reliability Commission (</w:t>
      </w:r>
      <w:r w:rsidRPr="00CB6E46">
        <w:rPr>
          <w:rFonts w:eastAsia="Calibri"/>
          <w:bCs/>
          <w:color w:val="000000"/>
          <w:szCs w:val="26"/>
        </w:rPr>
        <w:t>NERC</w:t>
      </w:r>
      <w:r>
        <w:rPr>
          <w:rFonts w:eastAsia="Calibri"/>
          <w:bCs/>
          <w:color w:val="000000"/>
          <w:szCs w:val="26"/>
        </w:rPr>
        <w:t>)</w:t>
      </w:r>
      <w:r w:rsidRPr="00CB6E46">
        <w:rPr>
          <w:rFonts w:eastAsia="Calibri"/>
          <w:bCs/>
          <w:color w:val="000000"/>
          <w:szCs w:val="26"/>
        </w:rPr>
        <w:t xml:space="preserve"> petitions in FERC’s eLibrary system (</w:t>
      </w:r>
      <w:r w:rsidRPr="00CB6E46">
        <w:rPr>
          <w:rFonts w:eastAsia="Calibri"/>
          <w:bCs/>
          <w:i/>
          <w:iCs/>
          <w:color w:val="000000"/>
          <w:szCs w:val="26"/>
        </w:rPr>
        <w:t>http://www.ferc.gov/docs-filing/elibrary.asp</w:t>
      </w:r>
      <w:r w:rsidRPr="00CB6E46">
        <w:rPr>
          <w:rFonts w:eastAsia="Calibri"/>
          <w:bCs/>
          <w:color w:val="000000"/>
          <w:szCs w:val="26"/>
        </w:rPr>
        <w:t>) or on NERC’s own website (</w:t>
      </w:r>
      <w:r w:rsidRPr="00CB6E46">
        <w:rPr>
          <w:rFonts w:eastAsia="Calibri"/>
          <w:bCs/>
          <w:i/>
          <w:iCs/>
          <w:color w:val="000000"/>
          <w:szCs w:val="26"/>
        </w:rPr>
        <w:t>www.nerc.com</w:t>
      </w:r>
      <w:r w:rsidRPr="00CB6E46">
        <w:rPr>
          <w:rFonts w:eastAsia="Calibri"/>
          <w:bCs/>
          <w:color w:val="000000"/>
          <w:szCs w:val="26"/>
        </w:rPr>
        <w:t>).</w:t>
      </w:r>
    </w:p>
    <w:p w:rsidR="00CB4FF7" w:rsidRPr="00CB6E46" w:rsidP="00CB4FF7" w14:paraId="0752BF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CB6E46">
        <w:rPr>
          <w:rFonts w:eastAsia="Calibri"/>
          <w:i/>
          <w:szCs w:val="26"/>
        </w:rPr>
        <w:t xml:space="preserve">Type of Respondents: </w:t>
      </w:r>
      <w:r w:rsidRPr="00CB6E46">
        <w:rPr>
          <w:rFonts w:eastAsia="Calibri"/>
          <w:szCs w:val="26"/>
        </w:rPr>
        <w:t xml:space="preserve">Generator </w:t>
      </w:r>
      <w:r w:rsidRPr="00CB6E46">
        <w:rPr>
          <w:szCs w:val="26"/>
        </w:rPr>
        <w:t xml:space="preserve">owners, Planning coordinators, Distribution providers, </w:t>
      </w:r>
      <w:r>
        <w:rPr>
          <w:szCs w:val="26"/>
        </w:rPr>
        <w:t xml:space="preserve">and </w:t>
      </w:r>
      <w:r w:rsidRPr="00CB6E46">
        <w:rPr>
          <w:bCs/>
          <w:szCs w:val="26"/>
        </w:rPr>
        <w:t>UFLS -only Distribution Providers</w:t>
      </w:r>
      <w:r w:rsidRPr="00CB6E46">
        <w:rPr>
          <w:szCs w:val="26"/>
        </w:rPr>
        <w:t>.</w:t>
      </w:r>
    </w:p>
    <w:p w:rsidR="00CB4FF7" w:rsidRPr="00751681" w:rsidP="00751681" w14:paraId="0A2AB0DB" w14:textId="7E32C2D8">
      <w:pPr>
        <w:autoSpaceDE w:val="0"/>
        <w:autoSpaceDN w:val="0"/>
        <w:adjustRightInd w:val="0"/>
        <w:spacing w:line="480" w:lineRule="auto"/>
        <w:rPr>
          <w:szCs w:val="26"/>
        </w:rPr>
      </w:pPr>
      <w:r w:rsidRPr="00CB6E46">
        <w:rPr>
          <w:i/>
          <w:szCs w:val="26"/>
        </w:rPr>
        <w:t>Estimate of Annual Burden:</w:t>
      </w:r>
      <w:r>
        <w:rPr>
          <w:b/>
          <w:i/>
          <w:szCs w:val="26"/>
          <w:vertAlign w:val="superscript"/>
        </w:rPr>
        <w:footnoteReference w:id="18"/>
      </w:r>
      <w:r w:rsidRPr="00CB6E46">
        <w:rPr>
          <w:i/>
          <w:szCs w:val="26"/>
        </w:rPr>
        <w:t xml:space="preserve"> </w:t>
      </w:r>
      <w:r w:rsidRPr="00CB6E46">
        <w:rPr>
          <w:szCs w:val="26"/>
        </w:rPr>
        <w:t xml:space="preserve">Our estimates are based on the NERC Compliance Registry Summary of Entities as of </w:t>
      </w:r>
      <w:r>
        <w:rPr>
          <w:szCs w:val="26"/>
        </w:rPr>
        <w:t>November 20, 2024</w:t>
      </w:r>
      <w:r w:rsidRPr="00CB6E46">
        <w:rPr>
          <w:szCs w:val="26"/>
        </w:rPr>
        <w:t xml:space="preserve">.  According to the NERC compliance registry, and </w:t>
      </w:r>
      <w:r>
        <w:rPr>
          <w:szCs w:val="26"/>
        </w:rPr>
        <w:t>f</w:t>
      </w:r>
      <w:r w:rsidRPr="00CB6E46">
        <w:rPr>
          <w:szCs w:val="26"/>
        </w:rPr>
        <w:t xml:space="preserve">unctions as of, which indicates there are registered as </w:t>
      </w:r>
      <w:r w:rsidRPr="00CB4FF7">
        <w:rPr>
          <w:szCs w:val="26"/>
        </w:rPr>
        <w:t>GO, DP and TO</w:t>
      </w:r>
      <w:r w:rsidRPr="00CB6E46">
        <w:rPr>
          <w:szCs w:val="26"/>
        </w:rPr>
        <w:t xml:space="preserve"> entities.  The individual burden estimates are based on the time needed to gather data, run studies, and analyze study results to design or update the underfrequency load shedding programs.  These are consistent with estimates for similar tasks in other Commission approved standards.  </w:t>
      </w:r>
    </w:p>
    <w:p w:rsidR="00CB4FF7" w:rsidP="00CB4FF7" w14:paraId="22CF8153" w14:textId="02E0D94A">
      <w:pPr>
        <w:spacing w:line="480" w:lineRule="auto"/>
      </w:pPr>
      <w:r>
        <w:rPr>
          <w:i/>
        </w:rPr>
        <w:t xml:space="preserve">Comments:  </w:t>
      </w:r>
      <w:r>
        <w:t>Comments are invited on</w:t>
      </w:r>
      <w:r w:rsidR="00751681">
        <w:t>: (</w:t>
      </w:r>
      <w: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CB4FF7" w:rsidP="00CB4FF7" w14:paraId="0DA116BC" w14:textId="77777777">
      <w:pPr>
        <w:spacing w:line="480" w:lineRule="auto"/>
      </w:pPr>
      <w:r>
        <w:t xml:space="preserve">clarity of the information collection; and (4) ways to minimize the burden of the </w:t>
      </w:r>
    </w:p>
    <w:p w:rsidR="00CB4FF7" w:rsidP="00CB4FF7" w14:paraId="77F1EC02" w14:textId="77777777">
      <w:pPr>
        <w:spacing w:line="480" w:lineRule="auto"/>
      </w:pPr>
      <w:r>
        <w:t xml:space="preserve">collection of information on those who are to respond, including the use of automated collection techniques or other forms of information technology.  </w:t>
      </w:r>
    </w:p>
    <w:p w:rsidR="00CB4FF7" w:rsidP="00CB4FF7" w14:paraId="16F7EE08" w14:textId="77777777"/>
    <w:p w:rsidR="00CB4FF7" w:rsidP="00CB4FF7" w14:paraId="27FEC6FF" w14:textId="77777777">
      <w:pPr>
        <w:spacing w:after="160" w:line="259" w:lineRule="auto"/>
      </w:pPr>
    </w:p>
    <w:p w:rsidR="00CB4FF7" w:rsidP="00CB4FF7" w14:paraId="7424DF74" w14:textId="77777777">
      <w:pPr>
        <w:spacing w:after="160" w:line="259" w:lineRule="auto"/>
      </w:pPr>
    </w:p>
    <w:p w:rsidR="00CB4FF7" w:rsidRPr="00060E7C" w:rsidP="00CB4FF7" w14:paraId="459D5588" w14:textId="77777777">
      <w:pPr>
        <w:ind w:firstLine="2606"/>
        <w:jc w:val="center"/>
      </w:pPr>
      <w:r w:rsidRPr="00060E7C">
        <w:t>Debbie-Anne A. Reese,</w:t>
      </w:r>
    </w:p>
    <w:p w:rsidR="00CB4FF7" w:rsidRPr="00060E7C" w:rsidP="00CB4FF7" w14:paraId="3FE72DEE" w14:textId="1270CF47">
      <w:pPr>
        <w:ind w:firstLine="2606"/>
        <w:jc w:val="center"/>
      </w:pPr>
      <w:r w:rsidRPr="00060E7C">
        <w:t>Secretary.</w:t>
      </w:r>
    </w:p>
    <w:p w:rsidR="00CB4FF7" w:rsidP="00CB4FF7" w14:paraId="37BF8A1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5D50" w:rsidP="00CB4FF7" w14:paraId="1857271E" w14:textId="77777777">
      <w:r>
        <w:separator/>
      </w:r>
    </w:p>
  </w:footnote>
  <w:footnote w:type="continuationSeparator" w:id="1">
    <w:p w:rsidR="000E5D50" w:rsidP="00CB4FF7" w14:paraId="0A8642FB" w14:textId="77777777">
      <w:r>
        <w:continuationSeparator/>
      </w:r>
    </w:p>
  </w:footnote>
  <w:footnote w:id="2">
    <w:p w:rsidR="00CB4FF7" w:rsidP="00CB4FF7" w14:paraId="3B0D28DE" w14:textId="77777777">
      <w:pPr>
        <w:pStyle w:val="FootnoteText"/>
        <w:rPr>
          <w:sz w:val="26"/>
        </w:rPr>
      </w:pPr>
      <w:r>
        <w:rPr>
          <w:rStyle w:val="FootnoteReference"/>
        </w:rPr>
        <w:footnoteRef/>
      </w:r>
      <w:r>
        <w:rPr>
          <w:sz w:val="26"/>
        </w:rPr>
        <w:t xml:space="preserve"> 16 U.S.C.824</w:t>
      </w:r>
      <w:r>
        <w:rPr>
          <w:i/>
          <w:iCs/>
          <w:sz w:val="26"/>
        </w:rPr>
        <w:t>o</w:t>
      </w:r>
      <w:r>
        <w:rPr>
          <w:sz w:val="26"/>
        </w:rPr>
        <w:t>.</w:t>
      </w:r>
    </w:p>
  </w:footnote>
  <w:footnote w:id="3">
    <w:p w:rsidR="00CB4FF7" w:rsidP="00CB4FF7" w14:paraId="02E5A092" w14:textId="77777777">
      <w:pPr>
        <w:pStyle w:val="FootnoteText"/>
        <w:rPr>
          <w:sz w:val="26"/>
          <w:szCs w:val="26"/>
        </w:rPr>
      </w:pPr>
      <w:r>
        <w:rPr>
          <w:rStyle w:val="FootnoteReference"/>
        </w:rPr>
        <w:footnoteRef/>
      </w:r>
      <w:r>
        <w:rPr>
          <w:sz w:val="26"/>
          <w:szCs w:val="26"/>
        </w:rPr>
        <w:t xml:space="preserve"> As defined at 16 U.S.C. 824</w:t>
      </w:r>
      <w:r>
        <w:rPr>
          <w:i/>
          <w:iCs/>
          <w:sz w:val="26"/>
          <w:szCs w:val="26"/>
        </w:rPr>
        <w:t>o</w:t>
      </w:r>
      <w:r>
        <w:rPr>
          <w:sz w:val="26"/>
          <w:szCs w:val="26"/>
        </w:rPr>
        <w:t>(a)(1) and 18 CFR 39.1, the term “bulk-power system” means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w:t>
      </w:r>
    </w:p>
  </w:footnote>
  <w:footnote w:id="4">
    <w:p w:rsidR="00CB4FF7" w:rsidP="00CB4FF7" w14:paraId="3E4DC54D" w14:textId="77777777">
      <w:pPr>
        <w:pStyle w:val="FootnoteText"/>
        <w:rPr>
          <w:sz w:val="26"/>
          <w:szCs w:val="26"/>
        </w:rPr>
      </w:pPr>
      <w:r>
        <w:rPr>
          <w:rStyle w:val="FootnoteReference"/>
        </w:rPr>
        <w:footnoteRef/>
      </w:r>
      <w:r>
        <w:rPr>
          <w:sz w:val="26"/>
          <w:szCs w:val="26"/>
        </w:rPr>
        <w:t xml:space="preserve"> 16 U.S.C. 824</w:t>
      </w:r>
      <w:r>
        <w:rPr>
          <w:i/>
          <w:iCs/>
          <w:sz w:val="26"/>
          <w:szCs w:val="26"/>
        </w:rPr>
        <w:t>o</w:t>
      </w:r>
      <w:r>
        <w:rPr>
          <w:sz w:val="26"/>
          <w:szCs w:val="26"/>
        </w:rPr>
        <w:t>(e).</w:t>
      </w:r>
    </w:p>
  </w:footnote>
  <w:footnote w:id="5">
    <w:p w:rsidR="00CB4FF7" w:rsidP="00CB4FF7" w14:paraId="4896E0A8" w14:textId="4B940BB9">
      <w:pPr>
        <w:pStyle w:val="FootnoteText"/>
      </w:pPr>
      <w:r>
        <w:rPr>
          <w:rStyle w:val="FootnoteReference"/>
        </w:rPr>
        <w:footnoteRef/>
      </w:r>
      <w:r>
        <w:t xml:space="preserve"> </w:t>
      </w:r>
      <w:r>
        <w:rPr>
          <w:sz w:val="26"/>
          <w:szCs w:val="26"/>
        </w:rPr>
        <w:t xml:space="preserve">Using the November 20, </w:t>
      </w:r>
      <w:r w:rsidR="00751681">
        <w:rPr>
          <w:sz w:val="26"/>
          <w:szCs w:val="26"/>
        </w:rPr>
        <w:t>2024,</w:t>
      </w:r>
      <w:r>
        <w:rPr>
          <w:sz w:val="26"/>
          <w:szCs w:val="26"/>
        </w:rPr>
        <w:t xml:space="preserve"> NERC compliance registration information for entities that are Generator Owners, Transmission Owners, and Distribution Providers (in the US), the number of potential respondents is 1,861.  However, not every entity will have a misoperation event during a year.  Based on our previous experience with this information collection, we are estimating that approximately half of the 1,861 potential respondents annually will have a reportable misoperation, i.e., 930 (rounded) responses per year for FERC-725G1.</w:t>
      </w:r>
    </w:p>
  </w:footnote>
  <w:footnote w:id="6">
    <w:p w:rsidR="00CB4FF7" w:rsidP="00B41928" w14:paraId="5030A103"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7">
    <w:p w:rsidR="00CB4FF7" w:rsidP="00CB4FF7" w14:paraId="363F2958" w14:textId="77777777">
      <w:pPr>
        <w:pStyle w:val="FootnoteText"/>
        <w:rPr>
          <w:sz w:val="26"/>
        </w:rPr>
      </w:pPr>
      <w:r>
        <w:rPr>
          <w:rStyle w:val="FootnoteReference"/>
        </w:rPr>
        <w:footnoteRef/>
      </w:r>
      <w:r>
        <w:rPr>
          <w:sz w:val="26"/>
        </w:rPr>
        <w:t xml:space="preserve"> If OMB renews FERC-725G4, the Commission subsequently may consider requesting that OMB combine that information collection activity with FERC-725G1.  Such action would be administrative only and would not indicate the discontinuation of the information collection requirements in FERC-725G4.</w:t>
      </w:r>
    </w:p>
  </w:footnote>
  <w:footnote w:id="8">
    <w:p w:rsidR="00CB4FF7" w:rsidP="00CB4FF7" w14:paraId="3021E751" w14:textId="77777777">
      <w:pPr>
        <w:pStyle w:val="FootnoteText"/>
        <w:rPr>
          <w:sz w:val="26"/>
        </w:rPr>
      </w:pPr>
      <w:r>
        <w:rPr>
          <w:rStyle w:val="FootnoteReference"/>
        </w:rPr>
        <w:footnoteRef/>
      </w:r>
      <w:r>
        <w:rPr>
          <w:sz w:val="26"/>
        </w:rPr>
        <w:t xml:space="preserve"> “Load shedding” means disconnecting consumers from the grid to prevent demand from exceeding supply, which can cause widespread grid collapse.  A “UVLS Program” provides for automatic load shedding, utilizing voltage inputs, in specific circumstances and locations.</w:t>
      </w:r>
    </w:p>
  </w:footnote>
  <w:footnote w:id="9">
    <w:p w:rsidR="00CB4FF7" w:rsidP="00CB4FF7" w14:paraId="1FB3D9CE" w14:textId="77777777">
      <w:pPr>
        <w:pStyle w:val="FootnoteText"/>
        <w:rPr>
          <w:sz w:val="26"/>
        </w:rPr>
      </w:pPr>
      <w:r>
        <w:rPr>
          <w:rStyle w:val="FootnoteReference"/>
        </w:rPr>
        <w:footnoteRef/>
      </w:r>
      <w:r>
        <w:rPr>
          <w:sz w:val="26"/>
        </w:rPr>
        <w:t xml:space="preserve"> “UVLS Entities,” as defined at the NERC Website at</w:t>
      </w:r>
      <w:r>
        <w:t xml:space="preserve"> </w:t>
      </w:r>
      <w:hyperlink r:id="rId1" w:history="1">
        <w:r>
          <w:rPr>
            <w:rStyle w:val="Hyperlink"/>
          </w:rPr>
          <w:t>https://www.nerc.com/pa/Stand/Reliability%20Standards/PRC-010-2.pdf</w:t>
        </w:r>
      </w:hyperlink>
      <w:r>
        <w:rPr>
          <w:rStyle w:val="Hyperlink"/>
        </w:rPr>
        <w:t>,</w:t>
      </w:r>
      <w:r>
        <w:rPr>
          <w:sz w:val="26"/>
        </w:rPr>
        <w:t xml:space="preserve"> are distribution providers and transmission owners responsible for the ownership, operation, or control of UVLS equipment, as required by a UVLS Program.</w:t>
      </w:r>
    </w:p>
  </w:footnote>
  <w:footnote w:id="10">
    <w:p w:rsidR="00CB4FF7" w:rsidP="00CB4FF7" w14:paraId="51B78356" w14:textId="1D4FB24E">
      <w:pPr>
        <w:pStyle w:val="FootnoteText"/>
      </w:pPr>
      <w:r>
        <w:rPr>
          <w:rStyle w:val="FootnoteReference"/>
        </w:rPr>
        <w:footnoteRef/>
      </w:r>
      <w:r>
        <w:t xml:space="preserve"> </w:t>
      </w:r>
      <w:r>
        <w:rPr>
          <w:sz w:val="26"/>
          <w:szCs w:val="26"/>
        </w:rPr>
        <w:t xml:space="preserve">Using the November 20, </w:t>
      </w:r>
      <w:r w:rsidR="00751681">
        <w:rPr>
          <w:sz w:val="26"/>
          <w:szCs w:val="26"/>
        </w:rPr>
        <w:t>2024,</w:t>
      </w:r>
      <w:r>
        <w:rPr>
          <w:sz w:val="26"/>
          <w:szCs w:val="26"/>
        </w:rPr>
        <w:t xml:space="preserve"> NERC compliance registration information for only unique US entities that are Transmission Owners (325) and Distribution Providers (298), the number of potential respondents is 623, </w:t>
      </w:r>
      <w:r w:rsidR="00751681">
        <w:rPr>
          <w:sz w:val="26"/>
          <w:szCs w:val="26"/>
        </w:rPr>
        <w:t>considering</w:t>
      </w:r>
      <w:r>
        <w:rPr>
          <w:sz w:val="26"/>
          <w:szCs w:val="26"/>
        </w:rPr>
        <w:t xml:space="preserve"> overlap between functions.  However, not every entity has an under-voltage load shedding program.  Approximately five percent of the potential respondents have such a program.  Therefore, we estimate 31 (rounded) responses per year for FERC-725G4.</w:t>
      </w:r>
    </w:p>
  </w:footnote>
  <w:footnote w:id="11">
    <w:p w:rsidR="00CB4FF7" w:rsidP="00B41928" w14:paraId="7C3976CB"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12">
    <w:p w:rsidR="00CB4FF7" w:rsidP="00CB4FF7" w14:paraId="493FF057" w14:textId="77777777">
      <w:pPr>
        <w:pStyle w:val="FootnoteText"/>
        <w:rPr>
          <w:sz w:val="26"/>
        </w:rPr>
      </w:pPr>
      <w:r>
        <w:rPr>
          <w:rStyle w:val="FootnoteReference"/>
        </w:rPr>
        <w:footnoteRef/>
      </w:r>
      <w:r>
        <w:rPr>
          <w:sz w:val="26"/>
        </w:rPr>
        <w:t xml:space="preserve"> If OMB renews FERC-725P1, the Commission subsequently may consider requesting that OMB combine that information collection activity with FERC-725G.  Such action would be administrative only and would not indicate the discontinuation of the information collection requirements in FERC-725P1.</w:t>
      </w:r>
    </w:p>
  </w:footnote>
  <w:footnote w:id="13">
    <w:p w:rsidR="00CB4FF7" w:rsidP="00CB4FF7" w14:paraId="34F41971" w14:textId="544A4D3C">
      <w:pPr>
        <w:pStyle w:val="FootnoteText"/>
      </w:pPr>
      <w:r>
        <w:rPr>
          <w:rStyle w:val="FootnoteReference"/>
        </w:rPr>
        <w:footnoteRef/>
      </w:r>
      <w:r>
        <w:t xml:space="preserve"> </w:t>
      </w:r>
      <w:r>
        <w:rPr>
          <w:sz w:val="26"/>
          <w:szCs w:val="26"/>
        </w:rPr>
        <w:t xml:space="preserve">Using the November 20, </w:t>
      </w:r>
      <w:r w:rsidR="00751681">
        <w:rPr>
          <w:sz w:val="26"/>
          <w:szCs w:val="26"/>
        </w:rPr>
        <w:t>2024,</w:t>
      </w:r>
      <w:r>
        <w:rPr>
          <w:sz w:val="26"/>
          <w:szCs w:val="26"/>
        </w:rPr>
        <w:t xml:space="preserve"> NERC compliance registration information for only unique US entities that are Distribution Providers (298), generator owners (1,238) and transmission owners (325).  Therefore, we estimate </w:t>
      </w:r>
      <w:r w:rsidR="00432998">
        <w:rPr>
          <w:sz w:val="26"/>
          <w:szCs w:val="26"/>
        </w:rPr>
        <w:t>1,861</w:t>
      </w:r>
      <w:r>
        <w:rPr>
          <w:sz w:val="26"/>
          <w:szCs w:val="26"/>
        </w:rPr>
        <w:t xml:space="preserve"> (rounded) responses per year for FERC-725P1.</w:t>
      </w:r>
    </w:p>
  </w:footnote>
  <w:footnote w:id="14">
    <w:p w:rsidR="00CB4FF7" w:rsidP="00D0781E" w14:paraId="64312B66"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15">
    <w:p w:rsidR="00CB4FF7" w:rsidP="00CB4FF7" w14:paraId="74064236" w14:textId="77777777">
      <w:pPr>
        <w:pStyle w:val="FootnoteText"/>
        <w:spacing w:after="260"/>
        <w:rPr>
          <w:sz w:val="26"/>
          <w:szCs w:val="26"/>
        </w:rPr>
      </w:pPr>
      <w:r>
        <w:rPr>
          <w:rStyle w:val="FootnoteReference"/>
        </w:rPr>
        <w:footnoteRef/>
      </w:r>
      <w:r>
        <w:rPr>
          <w:sz w:val="26"/>
          <w:szCs w:val="26"/>
        </w:rPr>
        <w:t xml:space="preserve">  Energy Policy Act of 2005, Pub. L. No. 109-58, Title XII, Subtitle A, 119 Stat. 594, 941 (codified at 16 U.S.C. 824</w:t>
      </w:r>
      <w:r>
        <w:rPr>
          <w:i/>
          <w:sz w:val="26"/>
          <w:szCs w:val="26"/>
        </w:rPr>
        <w:t>o</w:t>
      </w:r>
      <w:r>
        <w:rPr>
          <w:sz w:val="26"/>
          <w:szCs w:val="26"/>
        </w:rPr>
        <w:t>).</w:t>
      </w:r>
    </w:p>
  </w:footnote>
  <w:footnote w:id="16">
    <w:p w:rsidR="00CB4FF7" w:rsidP="00CB4FF7" w14:paraId="2F270D40" w14:textId="77777777">
      <w:pPr>
        <w:pStyle w:val="FootnoteText"/>
        <w:spacing w:after="260"/>
        <w:rPr>
          <w:sz w:val="26"/>
          <w:szCs w:val="26"/>
        </w:rPr>
      </w:pPr>
      <w:r>
        <w:rPr>
          <w:rStyle w:val="FootnoteReference"/>
        </w:rPr>
        <w:footnoteRef/>
      </w:r>
      <w:r>
        <w:rPr>
          <w:sz w:val="26"/>
          <w:szCs w:val="26"/>
        </w:rPr>
        <w:t xml:space="preserve">  16 U.S.C. 824</w:t>
      </w:r>
      <w:r>
        <w:rPr>
          <w:i/>
          <w:sz w:val="26"/>
          <w:szCs w:val="26"/>
        </w:rPr>
        <w:t>o</w:t>
      </w:r>
      <w:r>
        <w:rPr>
          <w:sz w:val="26"/>
          <w:szCs w:val="26"/>
        </w:rPr>
        <w:t>(e)(3).</w:t>
      </w:r>
    </w:p>
  </w:footnote>
  <w:footnote w:id="17">
    <w:p w:rsidR="006960D3" w:rsidP="006960D3" w14:paraId="3C3978EC" w14:textId="77777777">
      <w:pPr>
        <w:pStyle w:val="FootnoteText"/>
        <w:rPr>
          <w:sz w:val="26"/>
        </w:rPr>
      </w:pPr>
      <w:r>
        <w:rPr>
          <w:rStyle w:val="FootnoteReference"/>
        </w:rPr>
        <w:footnoteRef/>
      </w:r>
      <w:r>
        <w:rPr>
          <w:sz w:val="26"/>
        </w:rPr>
        <w:t xml:space="preserve"> </w:t>
      </w:r>
      <w:r w:rsidRPr="00892575">
        <w:rPr>
          <w:sz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r>
        <w:rPr>
          <w:sz w:val="26"/>
        </w:rPr>
        <w:t>.</w:t>
      </w:r>
    </w:p>
  </w:footnote>
  <w:footnote w:id="18">
    <w:p w:rsidR="00CB4FF7" w:rsidP="00CB4FF7" w14:paraId="08341F01" w14:textId="77777777">
      <w:pPr>
        <w:pStyle w:val="FootnoteText"/>
        <w:rPr>
          <w:sz w:val="26"/>
          <w:szCs w:val="26"/>
        </w:rPr>
      </w:pPr>
      <w:r>
        <w:rPr>
          <w:rStyle w:val="FootnoteReference"/>
        </w:rPr>
        <w:footnoteRef/>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D4774B"/>
    <w:multiLevelType w:val="hybridMultilevel"/>
    <w:tmpl w:val="9FB8E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7252029">
    <w:abstractNumId w:val="0"/>
  </w:num>
  <w:num w:numId="2" w16cid:durableId="19350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F7"/>
    <w:rsid w:val="000134BB"/>
    <w:rsid w:val="00041BAB"/>
    <w:rsid w:val="00060E7C"/>
    <w:rsid w:val="000E5D50"/>
    <w:rsid w:val="000F36DF"/>
    <w:rsid w:val="00126256"/>
    <w:rsid w:val="00196A89"/>
    <w:rsid w:val="001B3181"/>
    <w:rsid w:val="001B46D2"/>
    <w:rsid w:val="001D1B3A"/>
    <w:rsid w:val="001D201E"/>
    <w:rsid w:val="002338ED"/>
    <w:rsid w:val="0028245F"/>
    <w:rsid w:val="002F3236"/>
    <w:rsid w:val="00313425"/>
    <w:rsid w:val="00354938"/>
    <w:rsid w:val="00383B72"/>
    <w:rsid w:val="003B29FB"/>
    <w:rsid w:val="0042765E"/>
    <w:rsid w:val="00432998"/>
    <w:rsid w:val="004F6F8D"/>
    <w:rsid w:val="00524164"/>
    <w:rsid w:val="00530094"/>
    <w:rsid w:val="00636503"/>
    <w:rsid w:val="00662BC8"/>
    <w:rsid w:val="006960D3"/>
    <w:rsid w:val="006A711A"/>
    <w:rsid w:val="006C675D"/>
    <w:rsid w:val="006F70E5"/>
    <w:rsid w:val="00751681"/>
    <w:rsid w:val="00797119"/>
    <w:rsid w:val="007A3E0D"/>
    <w:rsid w:val="00805B89"/>
    <w:rsid w:val="008212DA"/>
    <w:rsid w:val="0086175B"/>
    <w:rsid w:val="00892575"/>
    <w:rsid w:val="00904008"/>
    <w:rsid w:val="00945A16"/>
    <w:rsid w:val="00946B4E"/>
    <w:rsid w:val="009A38F5"/>
    <w:rsid w:val="00A22842"/>
    <w:rsid w:val="00AB4DBF"/>
    <w:rsid w:val="00B0449C"/>
    <w:rsid w:val="00B24588"/>
    <w:rsid w:val="00B41928"/>
    <w:rsid w:val="00B61B09"/>
    <w:rsid w:val="00B62D05"/>
    <w:rsid w:val="00BB0C97"/>
    <w:rsid w:val="00BE56F1"/>
    <w:rsid w:val="00C314F4"/>
    <w:rsid w:val="00C316E9"/>
    <w:rsid w:val="00C45F17"/>
    <w:rsid w:val="00C81212"/>
    <w:rsid w:val="00CB4FF7"/>
    <w:rsid w:val="00CB6E46"/>
    <w:rsid w:val="00CE64F2"/>
    <w:rsid w:val="00CF2C21"/>
    <w:rsid w:val="00CF443C"/>
    <w:rsid w:val="00D0781E"/>
    <w:rsid w:val="00DA0786"/>
    <w:rsid w:val="00E16607"/>
    <w:rsid w:val="00E8459D"/>
    <w:rsid w:val="00F1557E"/>
    <w:rsid w:val="00FE2D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39891"/>
  <w15:chartTrackingRefBased/>
  <w15:docId w15:val="{104B08E4-3662-4946-99A9-DB60E1A0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0D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CB4FF7"/>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CB4FF7"/>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CB4FF7"/>
    <w:rPr>
      <w:rFonts w:ascii="Times New Roman" w:eastAsia="Times New Roman" w:hAnsi="Times New Roman" w:cs="Times New Roman"/>
      <w:szCs w:val="20"/>
    </w:rPr>
  </w:style>
  <w:style w:type="character" w:styleId="Hyperlink">
    <w:name w:val="Hyperlink"/>
    <w:rsid w:val="00CB4FF7"/>
    <w:rPr>
      <w:color w:val="0000FF"/>
      <w:u w:val="single"/>
    </w:rPr>
  </w:style>
  <w:style w:type="character" w:styleId="CommentReference">
    <w:name w:val="annotation reference"/>
    <w:basedOn w:val="DefaultParagraphFont"/>
    <w:uiPriority w:val="99"/>
    <w:semiHidden/>
    <w:unhideWhenUsed/>
    <w:rsid w:val="00CB4FF7"/>
    <w:rPr>
      <w:sz w:val="16"/>
      <w:szCs w:val="16"/>
    </w:rPr>
  </w:style>
  <w:style w:type="paragraph" w:styleId="CommentText">
    <w:name w:val="annotation text"/>
    <w:basedOn w:val="Normal"/>
    <w:link w:val="CommentTextChar"/>
    <w:uiPriority w:val="99"/>
    <w:unhideWhenUsed/>
    <w:rsid w:val="00CB4FF7"/>
    <w:rPr>
      <w:sz w:val="20"/>
      <w:szCs w:val="20"/>
    </w:rPr>
  </w:style>
  <w:style w:type="character" w:customStyle="1" w:styleId="CommentTextChar">
    <w:name w:val="Comment Text Char"/>
    <w:basedOn w:val="DefaultParagraphFont"/>
    <w:link w:val="CommentText"/>
    <w:uiPriority w:val="99"/>
    <w:rsid w:val="00CB4FF7"/>
    <w:rPr>
      <w:rFonts w:ascii="Times New Roman" w:eastAsia="Times New Roman" w:hAnsi="Times New Roman" w:cs="Times New Roman"/>
      <w:sz w:val="20"/>
      <w:szCs w:val="20"/>
    </w:rPr>
  </w:style>
  <w:style w:type="paragraph" w:styleId="ListParagraph">
    <w:name w:val="List Paragraph"/>
    <w:basedOn w:val="Normal"/>
    <w:uiPriority w:val="34"/>
    <w:qFormat/>
    <w:rsid w:val="00CB4FF7"/>
    <w:pPr>
      <w:ind w:left="720"/>
      <w:contextualSpacing/>
    </w:pPr>
  </w:style>
  <w:style w:type="table" w:styleId="TableGrid">
    <w:name w:val="Table Grid"/>
    <w:basedOn w:val="TableNormal"/>
    <w:uiPriority w:val="39"/>
    <w:rsid w:val="00CB4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6D2"/>
    <w:pPr>
      <w:tabs>
        <w:tab w:val="center" w:pos="4680"/>
        <w:tab w:val="right" w:pos="9360"/>
      </w:tabs>
    </w:pPr>
  </w:style>
  <w:style w:type="character" w:customStyle="1" w:styleId="HeaderChar">
    <w:name w:val="Header Char"/>
    <w:basedOn w:val="DefaultParagraphFont"/>
    <w:link w:val="Header"/>
    <w:uiPriority w:val="99"/>
    <w:rsid w:val="001B46D2"/>
    <w:rPr>
      <w:rFonts w:ascii="Times New Roman" w:eastAsia="Times New Roman" w:hAnsi="Times New Roman" w:cs="Times New Roman"/>
      <w:sz w:val="26"/>
      <w:szCs w:val="24"/>
    </w:rPr>
  </w:style>
  <w:style w:type="paragraph" w:styleId="CommentSubject">
    <w:name w:val="annotation subject"/>
    <w:basedOn w:val="CommentText"/>
    <w:next w:val="CommentText"/>
    <w:link w:val="CommentSubjectChar"/>
    <w:uiPriority w:val="99"/>
    <w:semiHidden/>
    <w:unhideWhenUsed/>
    <w:rsid w:val="00E8459D"/>
    <w:rPr>
      <w:b/>
      <w:bCs/>
    </w:rPr>
  </w:style>
  <w:style w:type="character" w:customStyle="1" w:styleId="CommentSubjectChar">
    <w:name w:val="Comment Subject Char"/>
    <w:basedOn w:val="CommentTextChar"/>
    <w:link w:val="CommentSubject"/>
    <w:uiPriority w:val="99"/>
    <w:semiHidden/>
    <w:rsid w:val="00E8459D"/>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CF443C"/>
    <w:pPr>
      <w:tabs>
        <w:tab w:val="center" w:pos="4680"/>
        <w:tab w:val="right" w:pos="9360"/>
      </w:tabs>
    </w:pPr>
  </w:style>
  <w:style w:type="character" w:customStyle="1" w:styleId="FooterChar">
    <w:name w:val="Footer Char"/>
    <w:basedOn w:val="DefaultParagraphFont"/>
    <w:link w:val="Footer"/>
    <w:uiPriority w:val="99"/>
    <w:rsid w:val="00CF443C"/>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yperlink" Target="https://www.federalregister.gov/documents/2018/10/17/2018-22611/commission-information-collection-activities-ferc-725g-comment-request-extension"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pa/Stand/Reliability%20Standards/PRC-01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62974896-44B0-44F7-BFAE-5D9A9948878C}">
  <ds:schemaRefs>
    <ds:schemaRef ds:uri="http://schemas.openxmlformats.org/officeDocument/2006/bibliography"/>
  </ds:schemaRefs>
</ds:datastoreItem>
</file>

<file path=customXml/itemProps2.xml><?xml version="1.0" encoding="utf-8"?>
<ds:datastoreItem xmlns:ds="http://schemas.openxmlformats.org/officeDocument/2006/customXml" ds:itemID="{75EB314A-DB49-4382-99AA-576BFBAA83B2}">
  <ds:schemaRefs>
    <ds:schemaRef ds:uri="http://schemas.microsoft.com/sharepoint/v3/contenttype/forms"/>
  </ds:schemaRefs>
</ds:datastoreItem>
</file>

<file path=customXml/itemProps3.xml><?xml version="1.0" encoding="utf-8"?>
<ds:datastoreItem xmlns:ds="http://schemas.openxmlformats.org/officeDocument/2006/customXml" ds:itemID="{49F38981-66ED-4C7E-9500-4D5524D10B9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4C3BE9E8-507D-4197-B941-7F78B62C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305F95-570B-43F5-96C8-49061188D12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2025-03-19T12:25:00Z</dcterms:created>
  <dcterms:modified xsi:type="dcterms:W3CDTF">2025-03-19T12:25:00Z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979b7830-b8de-4ac8-882f-08150973f95e</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2025-03-19T12:24:07Z</vt:lpwstr>
  </property>
  <property fmtid="{D5CDD505-2E9C-101B-9397-08002B2CF9AE}" pid="8" name="MSIP_Label_bd24d06a-0e85-4d57-b1e0-ba34b1abc708_SiteId">
    <vt:lpwstr>19caa9e9-04ff-43fa-885f-d77fac387903</vt:lpwstr>
  </property>
</Properties>
</file>