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14:paraId="7BBA7B1D" w14:textId="77777777">
          <w:pPr>
            <w:rPr>
              <w:noProof/>
            </w:rPr>
          </w:pPr>
          <w:r>
            <w:rPr>
              <w:noProof/>
            </w:rPr>
            <w:drawing>
              <wp:anchor distT="0" distB="0" distL="114300" distR="114300" simplePos="0" relativeHeight="251673600" behindDoc="0" locked="0" layoutInCell="1" allowOverlap="1">
                <wp:simplePos x="0" y="0"/>
                <wp:positionH relativeFrom="column">
                  <wp:posOffset>-31750</wp:posOffset>
                </wp:positionH>
                <wp:positionV relativeFrom="paragraph">
                  <wp:posOffset>56515</wp:posOffset>
                </wp:positionV>
                <wp:extent cx="3315970" cy="712470"/>
                <wp:effectExtent l="0" t="0" r="0" b="0"/>
                <wp:wrapThrough wrapText="bothSides">
                  <wp:wrapPolygon>
                    <wp:start x="0" y="0"/>
                    <wp:lineTo x="0" y="20791"/>
                    <wp:lineTo x="21468" y="20791"/>
                    <wp:lineTo x="21468" y="0"/>
                    <wp:lineTo x="0" y="0"/>
                  </wp:wrapPolygon>
                </wp:wrapThrough>
                <wp:docPr id="12" name="Picture 1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door&#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15970" cy="712470"/>
                        </a:xfrm>
                        <a:prstGeom prst="rect">
                          <a:avLst/>
                        </a:prstGeom>
                      </pic:spPr>
                    </pic:pic>
                  </a:graphicData>
                </a:graphic>
                <wp14:sizeRelH relativeFrom="margin">
                  <wp14:pctWidth>0</wp14:pctWidth>
                </wp14:sizeRelH>
                <wp14:sizeRelV relativeFrom="margin">
                  <wp14:pctHeight>0</wp14:pctHeight>
                </wp14:sizeRelV>
              </wp:anchor>
            </w:drawing>
          </w:r>
          <w:r w:rsidR="00711414">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2336" strokecolor="#7e8e9a">
                    <w10:wrap type="square"/>
                  </v:shape>
                </w:pict>
              </mc:Fallback>
            </mc:AlternateContent>
          </w:r>
        </w:p>
        <w:p w:rsidR="00041909" w:rsidP="00D928FD" w14:paraId="3C11FAA0" w14:textId="77777777">
          <w:pPr>
            <w:ind w:left="1080"/>
          </w:pPr>
          <w:r>
            <w:rPr>
              <w:noProof/>
            </w:rPr>
            <w:softHyphen/>
          </w:r>
          <w:r>
            <w:rPr>
              <w:noProof/>
            </w:rPr>
            <w:softHyphen/>
          </w:r>
          <w:r>
            <w:rPr>
              <w:noProof/>
            </w:rPr>
            <w:softHyphen/>
          </w:r>
        </w:p>
      </w:sdtContent>
    </w:sdt>
    <w:p w:rsidR="00D928FD" w:rsidP="00D928FD" w14:paraId="18C8A5F7"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6493C667"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B for Residential Energy Consumption Survey</w:t>
          </w:r>
        </w:p>
      </w:sdtContent>
    </w:sdt>
    <w:p w:rsidR="0059212D" w:rsidRPr="007E53C4" w:rsidP="007E53C4" w14:paraId="142F36CF" w14:textId="77777777">
      <w:pPr>
        <w:pStyle w:val="Heading1"/>
      </w:pPr>
      <w:bookmarkStart w:id="0" w:name="_Toc160546007"/>
      <w:r w:rsidRPr="007E53C4">
        <w:t>Part B</w:t>
      </w:r>
      <w:r w:rsidRPr="007E53C4" w:rsidR="00EE2CAF">
        <w:t xml:space="preserve">: </w:t>
      </w:r>
      <w:r w:rsidRPr="007E53C4">
        <w:t>Collections of Information Employing Statistical Methods</w:t>
      </w:r>
      <w:bookmarkEnd w:id="0"/>
    </w:p>
    <w:p w:rsidR="00FE3A1E" w:rsidRPr="00711414" w:rsidP="00FE3A1E" w14:paraId="7256716C" w14:textId="77777777">
      <w:pPr>
        <w:rPr>
          <w:b/>
          <w:sz w:val="36"/>
          <w:szCs w:val="36"/>
        </w:rPr>
      </w:pPr>
      <w:r>
        <w:rPr>
          <w:rFonts w:ascii="Times New Roman" w:hAnsi="Times New Roman" w:cs="Times New Roman"/>
          <w:b/>
          <w:sz w:val="36"/>
          <w:szCs w:val="36"/>
        </w:rPr>
        <w:t>OMB No. 1905-0092</w:t>
      </w:r>
    </w:p>
    <w:p w:rsidR="00FE3A1E" w:rsidP="00FE3A1E" w14:paraId="794A2E59" w14:textId="77777777">
      <w:pPr>
        <w:rPr>
          <w:rFonts w:ascii="Times New Roman" w:hAnsi="Times New Roman" w:cs="Times New Roman"/>
          <w:b/>
          <w:sz w:val="36"/>
          <w:szCs w:val="36"/>
        </w:rPr>
      </w:pPr>
      <w:r>
        <w:rPr>
          <w:noProof/>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margin">
                  <wp:posOffset>3273103</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P="00FE3A1E" w14:textId="77777777">
                            <w:pPr>
                              <w:rPr>
                                <w:i/>
                                <w:sz w:val="28"/>
                                <w:szCs w:val="28"/>
                              </w:rPr>
                            </w:pPr>
                            <w:r w:rsidRPr="00A405B4">
                              <w:rPr>
                                <w:sz w:val="28"/>
                                <w:szCs w:val="28"/>
                              </w:rPr>
                              <w:t>Form EIA-457A</w:t>
                            </w:r>
                            <w:r>
                              <w:rPr>
                                <w:i/>
                                <w:sz w:val="28"/>
                                <w:szCs w:val="28"/>
                              </w:rPr>
                              <w:t xml:space="preserve"> Household Survey</w:t>
                            </w:r>
                          </w:p>
                          <w:p w:rsidR="00646F8C" w:rsidP="00FE3A1E" w14:textId="77777777">
                            <w:pPr>
                              <w:rPr>
                                <w:i/>
                                <w:sz w:val="28"/>
                                <w:szCs w:val="28"/>
                              </w:rPr>
                            </w:pPr>
                            <w:r w:rsidRPr="00A405B4">
                              <w:rPr>
                                <w:sz w:val="28"/>
                                <w:szCs w:val="28"/>
                              </w:rPr>
                              <w:t>Form EIA-457D</w:t>
                            </w:r>
                            <w:r>
                              <w:rPr>
                                <w:i/>
                                <w:sz w:val="28"/>
                                <w:szCs w:val="28"/>
                              </w:rPr>
                              <w:t xml:space="preserve"> Energy Supplier Survey: Household Propane Usage</w:t>
                            </w:r>
                          </w:p>
                          <w:p w:rsidR="00646F8C" w:rsidP="00FE3A1E" w14:textId="77777777">
                            <w:pPr>
                              <w:rPr>
                                <w:i/>
                                <w:sz w:val="28"/>
                                <w:szCs w:val="28"/>
                              </w:rPr>
                            </w:pPr>
                            <w:r w:rsidRPr="00A405B4">
                              <w:rPr>
                                <w:sz w:val="28"/>
                                <w:szCs w:val="28"/>
                              </w:rPr>
                              <w:t>Form EIA-457E</w:t>
                            </w:r>
                            <w:r>
                              <w:rPr>
                                <w:i/>
                                <w:sz w:val="28"/>
                                <w:szCs w:val="28"/>
                              </w:rPr>
                              <w:t xml:space="preserve"> Energy Supplier Survey: Household Electricity Usage</w:t>
                            </w:r>
                          </w:p>
                          <w:p w:rsidR="00646F8C" w:rsidP="00FE3A1E" w14:textId="77777777">
                            <w:pPr>
                              <w:rPr>
                                <w:i/>
                                <w:sz w:val="28"/>
                                <w:szCs w:val="28"/>
                              </w:rPr>
                            </w:pPr>
                            <w:r w:rsidRPr="00A405B4">
                              <w:rPr>
                                <w:sz w:val="28"/>
                                <w:szCs w:val="28"/>
                              </w:rPr>
                              <w:t>Form EIA-457F</w:t>
                            </w:r>
                            <w:r>
                              <w:rPr>
                                <w:i/>
                                <w:sz w:val="28"/>
                                <w:szCs w:val="28"/>
                              </w:rPr>
                              <w:t xml:space="preserve"> Energy Supplier Survey: Household Natural Gas Usage</w:t>
                            </w:r>
                          </w:p>
                          <w:p w:rsidR="00646F8C" w:rsidP="00FE3A1E" w14:textId="77777777">
                            <w:pPr>
                              <w:rPr>
                                <w:i/>
                                <w:sz w:val="28"/>
                                <w:szCs w:val="28"/>
                              </w:rPr>
                            </w:pPr>
                            <w:r w:rsidRPr="00A405B4">
                              <w:rPr>
                                <w:sz w:val="28"/>
                                <w:szCs w:val="28"/>
                              </w:rPr>
                              <w:t>Form EIA-457G</w:t>
                            </w:r>
                            <w:r>
                              <w:rPr>
                                <w:i/>
                                <w:sz w:val="28"/>
                                <w:szCs w:val="28"/>
                              </w:rPr>
                              <w:t xml:space="preserve"> Energy Supplier Survey: Household Fuel Oil/Kerosene Usage</w:t>
                            </w:r>
                          </w:p>
                          <w:p w:rsidR="00646F8C" w:rsidRPr="0059212D" w:rsidP="00FE3A1E"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74pt;height:267pt;margin-top:257.7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646F8C" w:rsidP="00FE3A1E" w14:paraId="3FF0B4DF" w14:textId="77777777">
                      <w:pPr>
                        <w:rPr>
                          <w:i/>
                          <w:sz w:val="28"/>
                          <w:szCs w:val="28"/>
                        </w:rPr>
                      </w:pPr>
                      <w:r w:rsidRPr="00A405B4">
                        <w:rPr>
                          <w:sz w:val="28"/>
                          <w:szCs w:val="28"/>
                        </w:rPr>
                        <w:t>Form EIA-457A</w:t>
                      </w:r>
                      <w:r>
                        <w:rPr>
                          <w:i/>
                          <w:sz w:val="28"/>
                          <w:szCs w:val="28"/>
                        </w:rPr>
                        <w:t xml:space="preserve"> Household Survey</w:t>
                      </w:r>
                    </w:p>
                    <w:p w:rsidR="00646F8C" w:rsidP="00FE3A1E" w14:paraId="1057A3AF" w14:textId="77777777">
                      <w:pPr>
                        <w:rPr>
                          <w:i/>
                          <w:sz w:val="28"/>
                          <w:szCs w:val="28"/>
                        </w:rPr>
                      </w:pPr>
                      <w:r w:rsidRPr="00A405B4">
                        <w:rPr>
                          <w:sz w:val="28"/>
                          <w:szCs w:val="28"/>
                        </w:rPr>
                        <w:t>Form EIA-457D</w:t>
                      </w:r>
                      <w:r>
                        <w:rPr>
                          <w:i/>
                          <w:sz w:val="28"/>
                          <w:szCs w:val="28"/>
                        </w:rPr>
                        <w:t xml:space="preserve"> Energy Supplier Survey: Household Propane Usage</w:t>
                      </w:r>
                    </w:p>
                    <w:p w:rsidR="00646F8C" w:rsidP="00FE3A1E" w14:paraId="0D2F2DCB" w14:textId="77777777">
                      <w:pPr>
                        <w:rPr>
                          <w:i/>
                          <w:sz w:val="28"/>
                          <w:szCs w:val="28"/>
                        </w:rPr>
                      </w:pPr>
                      <w:r w:rsidRPr="00A405B4">
                        <w:rPr>
                          <w:sz w:val="28"/>
                          <w:szCs w:val="28"/>
                        </w:rPr>
                        <w:t>Form EIA-457E</w:t>
                      </w:r>
                      <w:r>
                        <w:rPr>
                          <w:i/>
                          <w:sz w:val="28"/>
                          <w:szCs w:val="28"/>
                        </w:rPr>
                        <w:t xml:space="preserve"> Energy Supplier Survey: Household Electricity Usage</w:t>
                      </w:r>
                    </w:p>
                    <w:p w:rsidR="00646F8C" w:rsidP="00FE3A1E" w14:paraId="65FC8795" w14:textId="77777777">
                      <w:pPr>
                        <w:rPr>
                          <w:i/>
                          <w:sz w:val="28"/>
                          <w:szCs w:val="28"/>
                        </w:rPr>
                      </w:pPr>
                      <w:r w:rsidRPr="00A405B4">
                        <w:rPr>
                          <w:sz w:val="28"/>
                          <w:szCs w:val="28"/>
                        </w:rPr>
                        <w:t>Form EIA-457F</w:t>
                      </w:r>
                      <w:r>
                        <w:rPr>
                          <w:i/>
                          <w:sz w:val="28"/>
                          <w:szCs w:val="28"/>
                        </w:rPr>
                        <w:t xml:space="preserve"> Energy Supplier Survey: Household Natural Gas Usage</w:t>
                      </w:r>
                    </w:p>
                    <w:p w:rsidR="00646F8C" w:rsidP="00FE3A1E" w14:paraId="23EA39DE" w14:textId="77777777">
                      <w:pPr>
                        <w:rPr>
                          <w:i/>
                          <w:sz w:val="28"/>
                          <w:szCs w:val="28"/>
                        </w:rPr>
                      </w:pPr>
                      <w:r w:rsidRPr="00A405B4">
                        <w:rPr>
                          <w:sz w:val="28"/>
                          <w:szCs w:val="28"/>
                        </w:rPr>
                        <w:t>Form EIA-457G</w:t>
                      </w:r>
                      <w:r>
                        <w:rPr>
                          <w:i/>
                          <w:sz w:val="28"/>
                          <w:szCs w:val="28"/>
                        </w:rPr>
                        <w:t xml:space="preserve"> Energy Supplier Survey: Household Fuel Oil/Kerosene Usage</w:t>
                      </w:r>
                    </w:p>
                    <w:p w:rsidR="00646F8C" w:rsidRPr="0059212D" w:rsidP="00FE3A1E" w14:paraId="6BBAD236" w14:textId="77777777">
                      <w:pPr>
                        <w:rPr>
                          <w:i/>
                          <w:sz w:val="28"/>
                          <w:szCs w:val="28"/>
                        </w:rPr>
                      </w:pPr>
                    </w:p>
                  </w:txbxContent>
                </v:textbox>
                <w10:wrap type="square"/>
              </v:shape>
            </w:pict>
          </mc:Fallback>
        </mc:AlternateContent>
      </w:r>
    </w:p>
    <w:p w:rsidR="001F3A8F" w:rsidRPr="00711414" w:rsidP="00711414" w14:paraId="2DE0FEC0" w14:textId="77777777">
      <w:pPr>
        <w:rPr>
          <w:i/>
          <w:sz w:val="28"/>
          <w:szCs w:val="28"/>
        </w:rPr>
      </w:pPr>
      <w:r>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3279775</wp:posOffset>
                </wp:positionH>
                <wp:positionV relativeFrom="bottomMargin">
                  <wp:align>top</wp:align>
                </wp:positionV>
                <wp:extent cx="2717800" cy="609600"/>
                <wp:effectExtent l="0" t="0" r="0"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646F8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48pt;margin-top:0;margin-left:258.25pt;mso-height-percent:0;mso-height-relative:margin;mso-position-horizontal-relative:margin;mso-position-vertical:top;mso-position-vertical-relative:bottom-margin-area;mso-width-percent:0;mso-width-relative:margin;mso-wrap-distance-bottom:0;mso-wrap-distance-left:9pt;mso-wrap-distance-right:9pt;mso-wrap-distance-top:0;mso-wrap-style:square;position:absolute;visibility:visible;v-text-anchor:top;z-index:251670528" filled="f" stroked="f">
                <v:textbox inset="0">
                  <w:txbxContent>
                    <w:p w:rsidR="00646F8C" w:rsidRPr="008F4CBD" w:rsidP="002556F3" w14:paraId="423DDAF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646F8C" w:rsidRPr="008F4CBD" w:rsidP="002556F3" w14:paraId="5A05918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Pr>
          <w:noProof/>
          <w:color w:val="A6A6A6" w:themeColor="background1" w:themeShade="A6"/>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646F8C"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0;margin-left:0;mso-height-percent:0;mso-height-relative:margin;mso-position-horizontal:left;mso-position-horizontal-relative:margin;mso-position-vertical:top;mso-position-vertical-relative:bottom-margin-area;mso-width-percent:0;mso-width-relative:margin;mso-wrap-distance-bottom:0;mso-wrap-distance-left:9pt;mso-wrap-distance-right:9pt;mso-wrap-distance-top:0;mso-wrap-style:square;position:absolute;visibility:visible;v-text-anchor:top;z-index:251668480" filled="f" stroked="f">
                <v:textbox inset="0,,0">
                  <w:txbxContent>
                    <w:p w:rsidR="00646F8C" w:rsidRPr="008F4CBD" w:rsidP="00D300F4" w14:paraId="6B5FD469"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646F8C" w:rsidRPr="008F4CBD" w:rsidP="002556F3" w14:paraId="5664A466"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E53C4">
        <w:rPr>
          <w:noProof/>
        </w:rPr>
        <mc:AlternateContent>
          <mc:Choice Requires="wps">
            <w:drawing>
              <wp:anchor distT="0" distB="0" distL="114300" distR="114300" simplePos="0" relativeHeight="251665408" behindDoc="1" locked="0" layoutInCell="1" allowOverlap="1">
                <wp:simplePos x="0" y="0"/>
                <wp:positionH relativeFrom="column">
                  <wp:posOffset>-419100</wp:posOffset>
                </wp:positionH>
                <wp:positionV relativeFrom="paragraph">
                  <wp:posOffset>3925570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30" style="width:540pt;height:4.95pt;margin-top:309.1pt;margin-left:-33pt;mso-height-percent:0;mso-height-relative:page;mso-width-percent:0;mso-width-relative:page;mso-wrap-distance-bottom:0;mso-wrap-distance-left:9pt;mso-wrap-distance-right:9pt;mso-wrap-distance-top:0;mso-wrap-style:square;position:absolute;visibility:visible;v-text-anchor:top;z-index:-251650048"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3360"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RPr="009818F9" w14:textId="28BB95EF">
                            <w:pPr>
                              <w:rPr>
                                <w:color w:val="A6A6A6" w:themeColor="background1" w:themeShade="A6"/>
                                <w:sz w:val="36"/>
                              </w:rPr>
                            </w:pPr>
                            <w:r>
                              <w:rPr>
                                <w:color w:val="A6A6A6" w:themeColor="background1" w:themeShade="A6"/>
                                <w:sz w:val="36"/>
                              </w:rPr>
                              <w:t xml:space="preserve">July </w:t>
                            </w:r>
                            <w:r w:rsidR="00372575">
                              <w:rPr>
                                <w:color w:val="A6A6A6" w:themeColor="background1" w:themeShade="A6"/>
                                <w:sz w:val="36"/>
                              </w:rPr>
                              <w:t>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style="mso-fit-shape-to-text:t" inset="0">
                  <w:txbxContent>
                    <w:p w:rsidR="00646F8C" w:rsidRPr="009818F9" w14:paraId="1FC5BE47" w14:textId="28BB95EF">
                      <w:pPr>
                        <w:rPr>
                          <w:color w:val="A6A6A6" w:themeColor="background1" w:themeShade="A6"/>
                          <w:sz w:val="36"/>
                        </w:rPr>
                      </w:pPr>
                      <w:r>
                        <w:rPr>
                          <w:color w:val="A6A6A6" w:themeColor="background1" w:themeShade="A6"/>
                          <w:sz w:val="36"/>
                        </w:rPr>
                        <w:t xml:space="preserve">July </w:t>
                      </w:r>
                      <w:r w:rsidR="00372575">
                        <w:rPr>
                          <w:color w:val="A6A6A6" w:themeColor="background1" w:themeShade="A6"/>
                          <w:sz w:val="36"/>
                        </w:rPr>
                        <w:t>2024</w:t>
                      </w:r>
                    </w:p>
                  </w:txbxContent>
                </v:textbox>
                <w10:wrap type="square"/>
              </v:shape>
            </w:pict>
          </mc:Fallback>
        </mc:AlternateContent>
      </w:r>
      <w:r w:rsidR="00FB6BF3">
        <w:rPr>
          <w:noProof/>
        </w:rPr>
        <w:t xml:space="preserve"> </w: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1" cstate="print"/>
                    <a:stretch>
                      <a:fillRect/>
                    </a:stretch>
                  </pic:blipFill>
                  <pic:spPr>
                    <a:xfrm>
                      <a:off x="0" y="0"/>
                      <a:ext cx="6343650" cy="647700"/>
                    </a:xfrm>
                    <a:prstGeom prst="rect">
                      <a:avLst/>
                    </a:prstGeom>
                  </pic:spPr>
                </pic:pic>
              </a:graphicData>
            </a:graphic>
          </wp:anchor>
        </w:drawing>
      </w:r>
      <w:r w:rsidR="001F3A8F">
        <w:br w:type="page"/>
      </w:r>
    </w:p>
    <w:p w:rsidR="00755C3D" w:rsidP="00D928FD" w14:paraId="2B99CD50" w14:textId="77777777">
      <w:pPr>
        <w:sectPr w:rsidSect="001E6784">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C245DD" w:rsidRPr="00C245DD" w:rsidP="00C245DD" w14:paraId="46664D6E" w14:textId="77777777">
          <w:pPr>
            <w:pStyle w:val="TOCHeading"/>
            <w:rPr>
              <w:noProof/>
            </w:rPr>
          </w:pPr>
          <w:r>
            <w:t>Table of Contents</w:t>
          </w:r>
          <w:r>
            <w:rPr>
              <w:b w:val="0"/>
              <w:bCs w:val="0"/>
              <w:color w:val="000000" w:themeColor="text1"/>
            </w:rPr>
            <w:fldChar w:fldCharType="begin"/>
          </w:r>
          <w:r>
            <w:instrText xml:space="preserve"> TOC \o "1-3" \h \z \u </w:instrText>
          </w:r>
          <w:r>
            <w:rPr>
              <w:b w:val="0"/>
              <w:bCs w:val="0"/>
              <w:color w:val="000000" w:themeColor="text1"/>
            </w:rPr>
            <w:fldChar w:fldCharType="separate"/>
          </w:r>
        </w:p>
        <w:p w:rsidR="00C245DD" w:rsidP="00022C96" w14:paraId="5DB546DB" w14:textId="797CE27B">
          <w:pPr>
            <w:pStyle w:val="TOC2"/>
            <w:rPr>
              <w:rFonts w:eastAsiaTheme="minorEastAsia"/>
              <w:noProof/>
              <w:color w:val="auto"/>
              <w:kern w:val="2"/>
              <w:sz w:val="24"/>
              <w:szCs w:val="24"/>
              <w14:ligatures w14:val="standardContextual"/>
            </w:rPr>
          </w:pPr>
          <w:hyperlink w:anchor="_Toc160546008" w:history="1">
            <w:r w:rsidRPr="008D7D48" w:rsidR="00372575">
              <w:rPr>
                <w:rStyle w:val="Hyperlink"/>
                <w:noProof/>
              </w:rPr>
              <w:t>B.1. Respondent Universe</w:t>
            </w:r>
            <w:r w:rsidR="00372575">
              <w:rPr>
                <w:noProof/>
                <w:webHidden/>
              </w:rPr>
              <w:tab/>
            </w:r>
            <w:r w:rsidR="00372575">
              <w:rPr>
                <w:noProof/>
                <w:webHidden/>
              </w:rPr>
              <w:fldChar w:fldCharType="begin"/>
            </w:r>
            <w:r w:rsidR="00372575">
              <w:rPr>
                <w:noProof/>
                <w:webHidden/>
              </w:rPr>
              <w:instrText xml:space="preserve"> PAGEREF _Toc160546008 \h </w:instrText>
            </w:r>
            <w:r w:rsidR="00372575">
              <w:rPr>
                <w:noProof/>
                <w:webHidden/>
              </w:rPr>
              <w:fldChar w:fldCharType="separate"/>
            </w:r>
            <w:r w:rsidR="00022C96">
              <w:rPr>
                <w:noProof/>
                <w:webHidden/>
              </w:rPr>
              <w:t>1</w:t>
            </w:r>
            <w:r w:rsidR="00372575">
              <w:rPr>
                <w:noProof/>
                <w:webHidden/>
              </w:rPr>
              <w:fldChar w:fldCharType="end"/>
            </w:r>
          </w:hyperlink>
        </w:p>
        <w:p w:rsidR="00C245DD" w:rsidP="00022C96" w14:paraId="0E6C2DDB" w14:textId="3D2989C0">
          <w:pPr>
            <w:pStyle w:val="TOC2"/>
            <w:rPr>
              <w:rFonts w:eastAsiaTheme="minorEastAsia"/>
              <w:noProof/>
              <w:color w:val="auto"/>
              <w:kern w:val="2"/>
              <w:sz w:val="24"/>
              <w:szCs w:val="24"/>
              <w14:ligatures w14:val="standardContextual"/>
            </w:rPr>
          </w:pPr>
          <w:hyperlink w:anchor="_Toc160546009" w:history="1">
            <w:r w:rsidRPr="008D7D48" w:rsidR="00372575">
              <w:rPr>
                <w:rStyle w:val="Hyperlink"/>
                <w:noProof/>
              </w:rPr>
              <w:t>B.2. Statistical Methods</w:t>
            </w:r>
            <w:r w:rsidR="00372575">
              <w:rPr>
                <w:noProof/>
                <w:webHidden/>
              </w:rPr>
              <w:tab/>
            </w:r>
            <w:r w:rsidR="00372575">
              <w:rPr>
                <w:noProof/>
                <w:webHidden/>
              </w:rPr>
              <w:fldChar w:fldCharType="begin"/>
            </w:r>
            <w:r w:rsidR="00372575">
              <w:rPr>
                <w:noProof/>
                <w:webHidden/>
              </w:rPr>
              <w:instrText xml:space="preserve"> PAGEREF _Toc160546009 \h </w:instrText>
            </w:r>
            <w:r w:rsidR="00372575">
              <w:rPr>
                <w:noProof/>
                <w:webHidden/>
              </w:rPr>
              <w:fldChar w:fldCharType="separate"/>
            </w:r>
            <w:r w:rsidR="00022C96">
              <w:rPr>
                <w:noProof/>
                <w:webHidden/>
              </w:rPr>
              <w:t>1</w:t>
            </w:r>
            <w:r w:rsidR="00372575">
              <w:rPr>
                <w:noProof/>
                <w:webHidden/>
              </w:rPr>
              <w:fldChar w:fldCharType="end"/>
            </w:r>
          </w:hyperlink>
        </w:p>
        <w:p w:rsidR="00C245DD" w:rsidP="00022C96" w14:paraId="6727EC6B" w14:textId="54936448">
          <w:pPr>
            <w:pStyle w:val="TOC2"/>
            <w:rPr>
              <w:rFonts w:eastAsiaTheme="minorEastAsia"/>
              <w:noProof/>
              <w:color w:val="auto"/>
              <w:kern w:val="2"/>
              <w:sz w:val="24"/>
              <w:szCs w:val="24"/>
              <w14:ligatures w14:val="standardContextual"/>
            </w:rPr>
          </w:pPr>
          <w:hyperlink w:anchor="_Toc160546010" w:history="1">
            <w:r w:rsidRPr="008D7D48" w:rsidR="00372575">
              <w:rPr>
                <w:rStyle w:val="Hyperlink"/>
                <w:noProof/>
              </w:rPr>
              <w:t>B.3. Maximizing Response Rates</w:t>
            </w:r>
            <w:r w:rsidR="00372575">
              <w:rPr>
                <w:noProof/>
                <w:webHidden/>
              </w:rPr>
              <w:tab/>
            </w:r>
            <w:r w:rsidR="00372575">
              <w:rPr>
                <w:noProof/>
                <w:webHidden/>
              </w:rPr>
              <w:fldChar w:fldCharType="begin"/>
            </w:r>
            <w:r w:rsidR="00372575">
              <w:rPr>
                <w:noProof/>
                <w:webHidden/>
              </w:rPr>
              <w:instrText xml:space="preserve"> PAGEREF _Toc160546010 \h </w:instrText>
            </w:r>
            <w:r w:rsidR="00372575">
              <w:rPr>
                <w:noProof/>
                <w:webHidden/>
              </w:rPr>
              <w:fldChar w:fldCharType="separate"/>
            </w:r>
            <w:r w:rsidR="00022C96">
              <w:rPr>
                <w:noProof/>
                <w:webHidden/>
              </w:rPr>
              <w:t>7</w:t>
            </w:r>
            <w:r w:rsidR="00372575">
              <w:rPr>
                <w:noProof/>
                <w:webHidden/>
              </w:rPr>
              <w:fldChar w:fldCharType="end"/>
            </w:r>
          </w:hyperlink>
        </w:p>
        <w:p w:rsidR="00C245DD" w:rsidP="00022C96" w14:paraId="01A5B81D" w14:textId="10768FA4">
          <w:pPr>
            <w:pStyle w:val="TOC2"/>
            <w:rPr>
              <w:rFonts w:eastAsiaTheme="minorEastAsia"/>
              <w:noProof/>
              <w:color w:val="auto"/>
              <w:kern w:val="2"/>
              <w:sz w:val="24"/>
              <w:szCs w:val="24"/>
              <w14:ligatures w14:val="standardContextual"/>
            </w:rPr>
          </w:pPr>
          <w:hyperlink w:anchor="_Toc160546011" w:history="1">
            <w:r w:rsidRPr="008D7D48" w:rsidR="00372575">
              <w:rPr>
                <w:rStyle w:val="Hyperlink"/>
                <w:noProof/>
              </w:rPr>
              <w:t>B.4. Test Procedures and Form Consultations</w:t>
            </w:r>
            <w:r w:rsidR="00372575">
              <w:rPr>
                <w:noProof/>
                <w:webHidden/>
              </w:rPr>
              <w:tab/>
            </w:r>
            <w:r w:rsidR="00372575">
              <w:rPr>
                <w:noProof/>
                <w:webHidden/>
              </w:rPr>
              <w:fldChar w:fldCharType="begin"/>
            </w:r>
            <w:r w:rsidR="00372575">
              <w:rPr>
                <w:noProof/>
                <w:webHidden/>
              </w:rPr>
              <w:instrText xml:space="preserve"> PAGEREF _Toc160546011 \h </w:instrText>
            </w:r>
            <w:r w:rsidR="00372575">
              <w:rPr>
                <w:noProof/>
                <w:webHidden/>
              </w:rPr>
              <w:fldChar w:fldCharType="separate"/>
            </w:r>
            <w:r w:rsidR="00022C96">
              <w:rPr>
                <w:noProof/>
                <w:webHidden/>
              </w:rPr>
              <w:t>9</w:t>
            </w:r>
            <w:r w:rsidR="00372575">
              <w:rPr>
                <w:noProof/>
                <w:webHidden/>
              </w:rPr>
              <w:fldChar w:fldCharType="end"/>
            </w:r>
          </w:hyperlink>
        </w:p>
        <w:p w:rsidR="00C245DD" w:rsidP="00022C96" w14:paraId="4D94F1F2" w14:textId="6347B8C9">
          <w:pPr>
            <w:pStyle w:val="TOC2"/>
            <w:rPr>
              <w:rFonts w:eastAsiaTheme="minorEastAsia"/>
              <w:noProof/>
              <w:color w:val="auto"/>
              <w:kern w:val="2"/>
              <w:sz w:val="24"/>
              <w:szCs w:val="24"/>
              <w14:ligatures w14:val="standardContextual"/>
            </w:rPr>
          </w:pPr>
          <w:hyperlink w:anchor="_Toc160546012" w:history="1">
            <w:r w:rsidRPr="008D7D48" w:rsidR="00372575">
              <w:rPr>
                <w:rStyle w:val="Hyperlink"/>
                <w:noProof/>
              </w:rPr>
              <w:t>B.5. Statistical Consultations</w:t>
            </w:r>
            <w:r w:rsidR="00372575">
              <w:rPr>
                <w:noProof/>
                <w:webHidden/>
              </w:rPr>
              <w:tab/>
            </w:r>
            <w:r w:rsidR="00372575">
              <w:rPr>
                <w:noProof/>
                <w:webHidden/>
              </w:rPr>
              <w:fldChar w:fldCharType="begin"/>
            </w:r>
            <w:r w:rsidR="00372575">
              <w:rPr>
                <w:noProof/>
                <w:webHidden/>
              </w:rPr>
              <w:instrText xml:space="preserve"> PAGEREF _Toc160546012 \h </w:instrText>
            </w:r>
            <w:r w:rsidR="00372575">
              <w:rPr>
                <w:noProof/>
                <w:webHidden/>
              </w:rPr>
              <w:fldChar w:fldCharType="separate"/>
            </w:r>
            <w:r w:rsidR="00022C96">
              <w:rPr>
                <w:noProof/>
                <w:webHidden/>
              </w:rPr>
              <w:t>10</w:t>
            </w:r>
            <w:r w:rsidR="00372575">
              <w:rPr>
                <w:noProof/>
                <w:webHidden/>
              </w:rPr>
              <w:fldChar w:fldCharType="end"/>
            </w:r>
          </w:hyperlink>
        </w:p>
        <w:p w:rsidR="0059212D" w14:paraId="6612C0B5" w14:textId="77777777">
          <w:r>
            <w:rPr>
              <w:b/>
              <w:bCs/>
              <w:noProof/>
            </w:rPr>
            <w:fldChar w:fldCharType="end"/>
          </w:r>
        </w:p>
      </w:sdtContent>
    </w:sdt>
    <w:p w:rsidR="001F3A8F" w:rsidP="00D928FD" w14:paraId="7877C55B" w14:textId="77777777"/>
    <w:p w:rsidR="00D928FD" w:rsidP="00D928FD" w14:paraId="25DB1997" w14:textId="77777777">
      <w:pPr>
        <w:sectPr w:rsidSect="001E6784">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61716E20" w14:textId="77777777">
      <w:pPr>
        <w:spacing w:line="240" w:lineRule="auto"/>
        <w:sectPr w:rsidSect="001E6784">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rsidR="007E53C4" w:rsidP="00071527" w14:paraId="579AAB46" w14:textId="77777777">
      <w:pPr>
        <w:pStyle w:val="Heading2"/>
      </w:pPr>
      <w:bookmarkStart w:id="1" w:name="_Toc160546008"/>
      <w:r>
        <w:t>B.</w:t>
      </w:r>
      <w:r w:rsidR="47FEAC62">
        <w:t xml:space="preserve">1. </w:t>
      </w:r>
      <w:r w:rsidR="09673754">
        <w:t>Respondent Universe</w:t>
      </w:r>
      <w:bookmarkEnd w:id="1"/>
    </w:p>
    <w:p w:rsidR="00A452E0" w:rsidRPr="007E25B4" w:rsidP="00A452E0" w14:paraId="63A97A9D" w14:textId="77777777">
      <w:r>
        <w:t xml:space="preserve">The </w:t>
      </w:r>
      <w:r w:rsidR="00962F1B">
        <w:t>respondent</w:t>
      </w:r>
      <w:r>
        <w:t xml:space="preserve"> universe for the </w:t>
      </w:r>
      <w:r w:rsidR="00BC4C4A">
        <w:t xml:space="preserve">2024 </w:t>
      </w:r>
      <w:r w:rsidR="001E2233">
        <w:t>Residential Energy Consumption Survey (</w:t>
      </w:r>
      <w:r>
        <w:t>RECS</w:t>
      </w:r>
      <w:r w:rsidR="001E2233">
        <w:t>)</w:t>
      </w:r>
      <w:r>
        <w:t xml:space="preserve"> will be the population of all housing units </w:t>
      </w:r>
      <w:r w:rsidR="00225D89">
        <w:t>(HUs)</w:t>
      </w:r>
      <w:r>
        <w:t xml:space="preserve"> occupied as a primary residence in the 50 states and the District of Columbia. The definition of an occupied housing unit is the same as that used by the U.S. Census Bureau, which excludes military barracks, </w:t>
      </w:r>
      <w:r w:rsidR="7744ED59">
        <w:t xml:space="preserve">college </w:t>
      </w:r>
      <w:r>
        <w:t>dormitories, nursing homes, prisons</w:t>
      </w:r>
      <w:r w:rsidR="46DD6C93">
        <w:t>, vacant</w:t>
      </w:r>
      <w:r w:rsidR="001E2233">
        <w:t xml:space="preserve"> homes,</w:t>
      </w:r>
      <w:r w:rsidR="46DD6C93">
        <w:t xml:space="preserve"> and seasonal homes</w:t>
      </w:r>
      <w:r w:rsidR="008655CB">
        <w:t>.</w:t>
      </w:r>
      <w:r w:rsidR="00D14E23">
        <w:t xml:space="preserve"> </w:t>
      </w:r>
      <w:r w:rsidR="00E37A42">
        <w:t xml:space="preserve">According to </w:t>
      </w:r>
      <w:r w:rsidR="00C73F4F">
        <w:t>2022</w:t>
      </w:r>
      <w:r w:rsidR="00E37A42">
        <w:t xml:space="preserve"> American Community Survey (ACS) estimates, </w:t>
      </w:r>
      <w:r w:rsidR="00C73F4F">
        <w:t xml:space="preserve">the U.S. has </w:t>
      </w:r>
      <w:r w:rsidR="00AF775F">
        <w:t>approximately 1</w:t>
      </w:r>
      <w:r w:rsidR="0016787B">
        <w:t>44</w:t>
      </w:r>
      <w:r w:rsidR="00AF775F">
        <w:t xml:space="preserve"> million </w:t>
      </w:r>
      <w:r w:rsidR="00E37A42">
        <w:t>total housing units</w:t>
      </w:r>
      <w:r w:rsidR="00842AD8">
        <w:t>.</w:t>
      </w:r>
      <w:r w:rsidR="00E37A42">
        <w:t xml:space="preserve"> </w:t>
      </w:r>
      <w:r w:rsidR="00842AD8">
        <w:t>A</w:t>
      </w:r>
      <w:r w:rsidR="00E37A42">
        <w:t xml:space="preserve">pproximately </w:t>
      </w:r>
      <w:r w:rsidR="0016787B">
        <w:t>130</w:t>
      </w:r>
      <w:r w:rsidR="00E37A42">
        <w:t xml:space="preserve"> million </w:t>
      </w:r>
      <w:r w:rsidR="00842AD8">
        <w:t xml:space="preserve">of these are </w:t>
      </w:r>
      <w:r w:rsidR="00E37A42">
        <w:t>occupied, primary housing units, which is the target population for RECS.</w:t>
      </w:r>
      <w:r w:rsidR="00AF775F">
        <w:t xml:space="preserve"> </w:t>
      </w:r>
    </w:p>
    <w:p w:rsidR="00E46DF0" w:rsidP="00071527" w14:paraId="77D1BF3C" w14:textId="77777777">
      <w:pPr>
        <w:pStyle w:val="Heading2"/>
      </w:pPr>
      <w:bookmarkStart w:id="2" w:name="_Toc160546009"/>
      <w:r>
        <w:t>B.</w:t>
      </w:r>
      <w:r w:rsidRPr="00A41763" w:rsidR="00A41763">
        <w:t xml:space="preserve">2. </w:t>
      </w:r>
      <w:r w:rsidR="007E53C4">
        <w:t>Statistical Methods</w:t>
      </w:r>
      <w:bookmarkEnd w:id="2"/>
    </w:p>
    <w:p w:rsidR="00842AD8" w:rsidP="001C2C2C" w14:paraId="44A257B5" w14:textId="77777777">
      <w:r>
        <w:t>The 2024 RECS sample is designed to meet the precision requirements for key household energy consumption metrics and to produce estimates of hous</w:t>
      </w:r>
      <w:r w:rsidR="00E37A42">
        <w:t>ehold energy</w:t>
      </w:r>
      <w:r>
        <w:t xml:space="preserve"> characteristics</w:t>
      </w:r>
      <w:r w:rsidR="00E37A42">
        <w:t>,</w:t>
      </w:r>
      <w:r>
        <w:t xml:space="preserve"> consumption</w:t>
      </w:r>
      <w:r w:rsidR="00E37A42">
        <w:t>, and expenditures</w:t>
      </w:r>
      <w:r>
        <w:t xml:space="preserve"> </w:t>
      </w:r>
      <w:r w:rsidR="00D85794">
        <w:t>for various geographic levels such as</w:t>
      </w:r>
      <w:r>
        <w:t xml:space="preserve"> national, state, and </w:t>
      </w:r>
      <w:r w:rsidR="00E37A42">
        <w:t xml:space="preserve">select </w:t>
      </w:r>
      <w:r>
        <w:t>Metropolitan Statistical Area (MSA) level</w:t>
      </w:r>
      <w:r w:rsidR="00E37A42">
        <w:t>s</w:t>
      </w:r>
      <w:r>
        <w:t xml:space="preserve">. </w:t>
      </w:r>
      <w:r w:rsidR="00962F1B">
        <w:t xml:space="preserve">The 2020 RECS was the first in program history to target estimates for all 50 states and DC. The 2024 RECS will be the first to target select, large MSAs. </w:t>
      </w:r>
      <w:r w:rsidR="00510221">
        <w:t xml:space="preserve">The </w:t>
      </w:r>
      <w:r w:rsidR="00962F1B">
        <w:t xml:space="preserve">MSAs </w:t>
      </w:r>
      <w:r>
        <w:t xml:space="preserve">listed </w:t>
      </w:r>
      <w:r w:rsidR="00510221">
        <w:t xml:space="preserve">below </w:t>
      </w:r>
      <w:r>
        <w:t xml:space="preserve">were selected based on demographic and geographic diversity and, due to sampling constraints, selected from MSAs that are entirely within a single state. </w:t>
      </w:r>
    </w:p>
    <w:p w:rsidR="00842AD8" w:rsidP="00842AD8" w14:paraId="230B9EC9" w14:textId="77777777">
      <w:pPr>
        <w:pStyle w:val="ListParagraph"/>
      </w:pPr>
      <w:r>
        <w:t>Atlanta-Sandy Springs – Roswell, GA</w:t>
      </w:r>
    </w:p>
    <w:p w:rsidR="00976548" w:rsidP="00842AD8" w14:paraId="0FD74B4E" w14:textId="77777777">
      <w:pPr>
        <w:pStyle w:val="ListParagraph"/>
      </w:pPr>
      <w:r>
        <w:t>Baltimore-Columbia-Towson, MD</w:t>
      </w:r>
    </w:p>
    <w:p w:rsidR="00976548" w:rsidP="00842AD8" w14:paraId="5170B159" w14:textId="77777777">
      <w:pPr>
        <w:pStyle w:val="ListParagraph"/>
      </w:pPr>
      <w:r>
        <w:t>Birmingham, AL</w:t>
      </w:r>
    </w:p>
    <w:p w:rsidR="00976548" w:rsidP="00842AD8" w14:paraId="6B507E25" w14:textId="0ADC5334">
      <w:pPr>
        <w:pStyle w:val="ListParagraph"/>
      </w:pPr>
      <w:r>
        <w:t>Detroit-Warr</w:t>
      </w:r>
      <w:r w:rsidR="00F911AA">
        <w:t>e</w:t>
      </w:r>
      <w:r>
        <w:t>n-Dearborn, MI</w:t>
      </w:r>
    </w:p>
    <w:p w:rsidR="00976548" w:rsidP="00842AD8" w14:paraId="0A0430FB" w14:textId="77777777">
      <w:pPr>
        <w:pStyle w:val="ListParagraph"/>
      </w:pPr>
      <w:r>
        <w:t>Houston-Pasadena-The Woodlands, TX</w:t>
      </w:r>
    </w:p>
    <w:p w:rsidR="00976548" w:rsidP="00842AD8" w14:paraId="5DD7B113" w14:textId="77777777">
      <w:pPr>
        <w:pStyle w:val="ListParagraph"/>
      </w:pPr>
      <w:r>
        <w:t>Miami-Fort Lauderdale-West Palm Beach, FL</w:t>
      </w:r>
    </w:p>
    <w:p w:rsidR="00976548" w:rsidP="00842AD8" w14:paraId="36B0FFF8" w14:textId="77777777">
      <w:pPr>
        <w:pStyle w:val="ListParagraph"/>
      </w:pPr>
      <w:r>
        <w:t>Oklahoma City, OK</w:t>
      </w:r>
    </w:p>
    <w:p w:rsidR="00976548" w:rsidP="00842AD8" w14:paraId="3F588D4F" w14:textId="77777777">
      <w:pPr>
        <w:pStyle w:val="ListParagraph"/>
      </w:pPr>
      <w:r>
        <w:t>Phoenix-Mesa-Chandler, AZ</w:t>
      </w:r>
    </w:p>
    <w:p w:rsidR="00976548" w:rsidP="00842AD8" w14:paraId="4331DCBA" w14:textId="77777777">
      <w:pPr>
        <w:pStyle w:val="ListParagraph"/>
      </w:pPr>
      <w:r>
        <w:t>Riverside-San Bernardino-Ontario, CA</w:t>
      </w:r>
    </w:p>
    <w:p w:rsidR="00976548" w:rsidP="00842AD8" w14:paraId="6AED9AEB" w14:textId="77777777">
      <w:pPr>
        <w:pStyle w:val="ListParagraph"/>
      </w:pPr>
      <w:r>
        <w:t>Rochester, NY</w:t>
      </w:r>
    </w:p>
    <w:p w:rsidR="009C2069" w:rsidRPr="009C2069" w:rsidP="00DB2E02" w14:paraId="385D10EC" w14:textId="77777777">
      <w:pPr>
        <w:rPr>
          <w:b/>
        </w:rPr>
      </w:pPr>
      <w:r>
        <w:rPr>
          <w:b/>
        </w:rPr>
        <w:t>Target Number of Completes and Precision Requirements</w:t>
      </w:r>
    </w:p>
    <w:p w:rsidR="009C22AC" w:rsidRPr="009C22AC" w:rsidP="009C22AC" w14:paraId="655F08C5" w14:textId="77777777">
      <w:pPr>
        <w:rPr>
          <w:bCs/>
        </w:rPr>
      </w:pPr>
      <w:r w:rsidRPr="009C22AC">
        <w:rPr>
          <w:bCs/>
        </w:rPr>
        <w:t xml:space="preserve">EIA resources allow for up to 20,000 completed Household Survey responses and </w:t>
      </w:r>
      <w:r>
        <w:rPr>
          <w:bCs/>
        </w:rPr>
        <w:t>associate</w:t>
      </w:r>
      <w:r w:rsidR="006E2D45">
        <w:rPr>
          <w:bCs/>
        </w:rPr>
        <w:t>d</w:t>
      </w:r>
      <w:r>
        <w:rPr>
          <w:bCs/>
        </w:rPr>
        <w:t xml:space="preserve"> </w:t>
      </w:r>
      <w:r w:rsidRPr="009C22AC">
        <w:rPr>
          <w:bCs/>
        </w:rPr>
        <w:t xml:space="preserve">data collected from the follow-on </w:t>
      </w:r>
      <w:r w:rsidRPr="0023484E">
        <w:rPr>
          <w:bCs/>
          <w:i/>
          <w:iCs/>
        </w:rPr>
        <w:t>Energy Supplier Survey</w:t>
      </w:r>
      <w:r w:rsidRPr="009C22AC">
        <w:rPr>
          <w:bCs/>
        </w:rPr>
        <w:t xml:space="preserve"> operation. </w:t>
      </w:r>
      <w:r>
        <w:rPr>
          <w:bCs/>
        </w:rPr>
        <w:t xml:space="preserve">Based on the 2020 RECS results, 20,000 </w:t>
      </w:r>
      <w:r w:rsidR="006E2D45">
        <w:rPr>
          <w:bCs/>
        </w:rPr>
        <w:t xml:space="preserve">cases </w:t>
      </w:r>
      <w:r>
        <w:rPr>
          <w:bCs/>
        </w:rPr>
        <w:t>will support precise estimates of key energy-use metrics for various geographic subpopulations</w:t>
      </w:r>
      <w:r w:rsidR="006E2D45">
        <w:rPr>
          <w:bCs/>
        </w:rPr>
        <w:t xml:space="preserve">, as well as publishable estimates for key demographic subpopulations and estimates for emerging energy topics. </w:t>
      </w:r>
    </w:p>
    <w:p w:rsidR="00DB2E02" w:rsidP="00DB2E02" w14:paraId="09E06202" w14:textId="77777777">
      <w:r>
        <w:t xml:space="preserve">The </w:t>
      </w:r>
      <w:r w:rsidR="00BC4C4A">
        <w:t>2024</w:t>
      </w:r>
      <w:r>
        <w:t xml:space="preserve"> RECS sample </w:t>
      </w:r>
      <w:r w:rsidR="2875F959">
        <w:t xml:space="preserve">design </w:t>
      </w:r>
      <w:r w:rsidR="000A1EFC">
        <w:t xml:space="preserve">is </w:t>
      </w:r>
      <w:r w:rsidR="000A1EFC">
        <w:t>similar to</w:t>
      </w:r>
      <w:r w:rsidR="000A1EFC">
        <w:t xml:space="preserve"> the design used for the 2020 RECS</w:t>
      </w:r>
      <w:r w:rsidR="00E37A42">
        <w:t xml:space="preserve"> a</w:t>
      </w:r>
      <w:r w:rsidR="000A1EFC">
        <w:t xml:space="preserve">nd </w:t>
      </w:r>
      <w:r w:rsidR="00962F1B">
        <w:t>will be</w:t>
      </w:r>
      <w:r w:rsidR="008655CB">
        <w:t xml:space="preserve"> </w:t>
      </w:r>
      <w:r w:rsidR="2875F959">
        <w:t>optimize</w:t>
      </w:r>
      <w:r w:rsidR="008655CB">
        <w:t>d</w:t>
      </w:r>
      <w:r w:rsidR="2875F959">
        <w:t xml:space="preserve"> to meet precision requirements for </w:t>
      </w:r>
      <w:r w:rsidR="12C747B4">
        <w:t xml:space="preserve">key household energy </w:t>
      </w:r>
      <w:r w:rsidR="48043DAB">
        <w:t xml:space="preserve">consumption </w:t>
      </w:r>
      <w:r w:rsidR="12C747B4">
        <w:t xml:space="preserve">metrics, including total average </w:t>
      </w:r>
      <w:r w:rsidR="006E2D45">
        <w:t xml:space="preserve">site </w:t>
      </w:r>
      <w:r w:rsidR="3AB4750F">
        <w:t xml:space="preserve">energy </w:t>
      </w:r>
      <w:r w:rsidR="12C747B4">
        <w:t>consumption and average consumption for individual fuels used in the residential sector</w:t>
      </w:r>
      <w:r w:rsidR="2875F959">
        <w:t>.</w:t>
      </w:r>
      <w:r>
        <w:t xml:space="preserve"> </w:t>
      </w:r>
      <w:r w:rsidR="0D92569B">
        <w:t>The precision requirements are based on relative standard errors (RSEs), which</w:t>
      </w:r>
      <w:r w:rsidR="00DD12A9">
        <w:t xml:space="preserve"> </w:t>
      </w:r>
      <w:r w:rsidR="004712EB">
        <w:t>is defined as</w:t>
      </w:r>
      <w:r w:rsidR="0D92569B">
        <w:t xml:space="preserve"> standard error of </w:t>
      </w:r>
      <w:r w:rsidR="00976548">
        <w:t>an estimate</w:t>
      </w:r>
      <w:r w:rsidR="0D92569B">
        <w:t xml:space="preserve"> divided by the </w:t>
      </w:r>
      <w:r w:rsidR="00976548">
        <w:t>estimate itself</w:t>
      </w:r>
      <w:r w:rsidR="00434E85">
        <w:t xml:space="preserve"> (</w:t>
      </w:r>
      <w:r w:rsidR="00DD12A9">
        <w:t>for RECS, mean is the estimate</w:t>
      </w:r>
      <w:r w:rsidR="00434E85">
        <w:t>)</w:t>
      </w:r>
      <w:r w:rsidR="0D92569B">
        <w:t xml:space="preserve">, expressed as a percentage. </w:t>
      </w:r>
      <w:r w:rsidR="291E47FD">
        <w:t xml:space="preserve">Table </w:t>
      </w:r>
      <w:r w:rsidR="00512691">
        <w:t>1</w:t>
      </w:r>
      <w:r w:rsidR="291E47FD">
        <w:t xml:space="preserve"> displays the</w:t>
      </w:r>
      <w:r w:rsidR="1E9651FF">
        <w:t xml:space="preserve"> </w:t>
      </w:r>
      <w:r w:rsidR="6B6EFADB">
        <w:t>p</w:t>
      </w:r>
      <w:r w:rsidR="3AE099C5">
        <w:t>r</w:t>
      </w:r>
      <w:r w:rsidR="291E47FD">
        <w:t>ecision requirements</w:t>
      </w:r>
      <w:r w:rsidR="12C747B4">
        <w:t xml:space="preserve">, by geographic domain, </w:t>
      </w:r>
      <w:r w:rsidR="0087363A">
        <w:t xml:space="preserve">for </w:t>
      </w:r>
      <w:r w:rsidR="12C747B4">
        <w:t xml:space="preserve">the </w:t>
      </w:r>
      <w:r w:rsidR="00BC4C4A">
        <w:t xml:space="preserve">2024 </w:t>
      </w:r>
      <w:r w:rsidR="12C747B4">
        <w:t xml:space="preserve">RECS </w:t>
      </w:r>
      <w:r w:rsidR="0087363A">
        <w:t xml:space="preserve">sample </w:t>
      </w:r>
      <w:r w:rsidR="12C747B4">
        <w:t>design.</w:t>
      </w:r>
      <w:r w:rsidR="3AE099C5">
        <w:t xml:space="preserve"> </w:t>
      </w:r>
      <w:bookmarkStart w:id="3" w:name="_Toc33162728"/>
    </w:p>
    <w:tbl>
      <w:tblPr>
        <w:tblStyle w:val="TableGrid"/>
        <w:tblW w:w="0" w:type="auto"/>
        <w:tblInd w:w="1030" w:type="dxa"/>
        <w:tblLook w:val="04A0"/>
      </w:tblPr>
      <w:tblGrid>
        <w:gridCol w:w="2660"/>
        <w:gridCol w:w="3095"/>
        <w:gridCol w:w="1530"/>
      </w:tblGrid>
      <w:tr w14:paraId="65E13CB7" w14:textId="77777777" w:rsidTr="00CA749D">
        <w:tblPrEx>
          <w:tblW w:w="0" w:type="auto"/>
          <w:tblInd w:w="1030" w:type="dxa"/>
          <w:tblLook w:val="04A0"/>
        </w:tblPrEx>
        <w:tc>
          <w:tcPr>
            <w:tcW w:w="7285" w:type="dxa"/>
            <w:gridSpan w:val="3"/>
            <w:tcBorders>
              <w:bottom w:val="none" w:sz="0" w:space="0" w:color="auto"/>
            </w:tcBorders>
            <w:shd w:val="clear" w:color="auto" w:fill="auto"/>
            <w:vAlign w:val="center"/>
          </w:tcPr>
          <w:bookmarkEnd w:id="3"/>
          <w:p w:rsidR="001D327D" w:rsidRPr="00A60E35" w:rsidP="00A60E35" w14:paraId="001CA48C" w14:textId="77777777">
            <w:pPr>
              <w:jc w:val="both"/>
              <w:rPr>
                <w:bCs/>
                <w:color w:val="0070C0"/>
                <w:sz w:val="24"/>
              </w:rPr>
            </w:pPr>
            <w:r w:rsidRPr="00A60E35">
              <w:rPr>
                <w:color w:val="0070C0"/>
                <w:sz w:val="24"/>
              </w:rPr>
              <w:t xml:space="preserve">Table </w:t>
            </w:r>
            <w:r w:rsidR="00512691">
              <w:rPr>
                <w:color w:val="0070C0"/>
                <w:sz w:val="24"/>
              </w:rPr>
              <w:t>1</w:t>
            </w:r>
            <w:r w:rsidRPr="00A60E35">
              <w:rPr>
                <w:color w:val="0070C0"/>
                <w:sz w:val="24"/>
              </w:rPr>
              <w:t xml:space="preserve">. Relative Standard Error (RSE) Precision Requirements </w:t>
            </w:r>
          </w:p>
        </w:tc>
      </w:tr>
      <w:tr w14:paraId="385C6351" w14:textId="77777777" w:rsidTr="00CA749D">
        <w:tblPrEx>
          <w:tblW w:w="0" w:type="auto"/>
          <w:tblInd w:w="1030" w:type="dxa"/>
          <w:tblLook w:val="04A0"/>
        </w:tblPrEx>
        <w:tc>
          <w:tcPr>
            <w:tcW w:w="2660" w:type="dxa"/>
            <w:tcBorders>
              <w:left w:val="single" w:sz="4" w:space="0" w:color="auto"/>
              <w:bottom w:val="single" w:sz="4" w:space="0" w:color="auto"/>
              <w:right w:val="single" w:sz="4" w:space="0" w:color="auto"/>
            </w:tcBorders>
            <w:shd w:val="clear" w:color="auto" w:fill="0070C0"/>
            <w:vAlign w:val="center"/>
          </w:tcPr>
          <w:p w:rsidR="00F24A0A" w:rsidRPr="00A60E35" w:rsidP="00A60E35" w14:paraId="0CE3189E" w14:textId="77777777">
            <w:pPr>
              <w:jc w:val="center"/>
              <w:rPr>
                <w:rFonts w:ascii="Times New Roman" w:hAnsi="Times New Roman"/>
                <w:b/>
                <w:bCs/>
                <w:color w:val="FFFFFF" w:themeColor="background1"/>
                <w:sz w:val="22"/>
              </w:rPr>
            </w:pPr>
            <w:r w:rsidRPr="00A60E35">
              <w:rPr>
                <w:b/>
                <w:bCs/>
                <w:color w:val="FFFFFF" w:themeColor="background1"/>
              </w:rPr>
              <w:t>Geography</w:t>
            </w:r>
          </w:p>
        </w:tc>
        <w:tc>
          <w:tcPr>
            <w:tcW w:w="3095" w:type="dxa"/>
            <w:tcBorders>
              <w:left w:val="single" w:sz="4" w:space="0" w:color="auto"/>
              <w:bottom w:val="single" w:sz="4" w:space="0" w:color="auto"/>
              <w:right w:val="single" w:sz="4" w:space="0" w:color="auto"/>
            </w:tcBorders>
            <w:shd w:val="clear" w:color="auto" w:fill="0070C0"/>
            <w:vAlign w:val="center"/>
          </w:tcPr>
          <w:p w:rsidR="00F24A0A" w:rsidRPr="00A60E35" w:rsidP="00A60E35" w14:paraId="7F3428FB" w14:textId="77777777">
            <w:pPr>
              <w:jc w:val="center"/>
              <w:rPr>
                <w:rFonts w:ascii="Times New Roman" w:hAnsi="Times New Roman"/>
                <w:b/>
                <w:bCs/>
                <w:color w:val="FFFFFF" w:themeColor="background1"/>
                <w:sz w:val="22"/>
              </w:rPr>
            </w:pPr>
            <w:r w:rsidRPr="00A60E35">
              <w:rPr>
                <w:b/>
                <w:bCs/>
                <w:color w:val="FFFFFF" w:themeColor="background1"/>
              </w:rPr>
              <w:t>Outcome Variable</w:t>
            </w:r>
          </w:p>
        </w:tc>
        <w:tc>
          <w:tcPr>
            <w:tcW w:w="1530" w:type="dxa"/>
            <w:tcBorders>
              <w:left w:val="single" w:sz="4" w:space="0" w:color="auto"/>
              <w:bottom w:val="single" w:sz="4" w:space="0" w:color="auto"/>
              <w:right w:val="single" w:sz="4" w:space="0" w:color="auto"/>
            </w:tcBorders>
            <w:shd w:val="clear" w:color="auto" w:fill="0070C0"/>
            <w:vAlign w:val="center"/>
          </w:tcPr>
          <w:p w:rsidR="00F24A0A" w:rsidRPr="00A60E35" w:rsidP="00A60E35" w14:paraId="0F151F3F" w14:textId="77777777">
            <w:pPr>
              <w:jc w:val="center"/>
              <w:rPr>
                <w:rFonts w:ascii="Times New Roman" w:hAnsi="Times New Roman"/>
                <w:b/>
                <w:bCs/>
                <w:color w:val="FFFFFF" w:themeColor="background1"/>
                <w:sz w:val="22"/>
              </w:rPr>
            </w:pPr>
            <w:r w:rsidRPr="00A60E35">
              <w:rPr>
                <w:b/>
                <w:bCs/>
                <w:color w:val="FFFFFF" w:themeColor="background1"/>
              </w:rPr>
              <w:t>RSE of Mean</w:t>
            </w:r>
          </w:p>
        </w:tc>
      </w:tr>
      <w:tr w14:paraId="3D8DAED9" w14:textId="77777777" w:rsidTr="00CA749D">
        <w:tblPrEx>
          <w:tblW w:w="0" w:type="auto"/>
          <w:tblInd w:w="1030" w:type="dxa"/>
          <w:tblLook w:val="04A0"/>
        </w:tblPrEx>
        <w:tc>
          <w:tcPr>
            <w:tcW w:w="2660" w:type="dxa"/>
            <w:tcBorders>
              <w:top w:val="single" w:sz="4" w:space="0" w:color="auto"/>
              <w:left w:val="single" w:sz="4" w:space="0" w:color="auto"/>
            </w:tcBorders>
          </w:tcPr>
          <w:p w:rsidR="00F24A0A" w:rsidRPr="007D0544" w:rsidP="005E16AE" w14:paraId="4B5AF371" w14:textId="77777777">
            <w:pPr>
              <w:rPr>
                <w:rFonts w:ascii="Times New Roman" w:hAnsi="Times New Roman"/>
                <w:sz w:val="22"/>
              </w:rPr>
            </w:pPr>
            <w:r w:rsidRPr="007D0544">
              <w:rPr>
                <w:sz w:val="22"/>
              </w:rPr>
              <w:t>United States</w:t>
            </w:r>
          </w:p>
        </w:tc>
        <w:tc>
          <w:tcPr>
            <w:tcW w:w="3095" w:type="dxa"/>
            <w:tcBorders>
              <w:top w:val="single" w:sz="4" w:space="0" w:color="auto"/>
            </w:tcBorders>
          </w:tcPr>
          <w:p w:rsidR="00F24A0A" w:rsidRPr="007D0544" w:rsidP="005E16AE" w14:paraId="7B3A07CB" w14:textId="77777777">
            <w:pPr>
              <w:rPr>
                <w:rFonts w:ascii="Times New Roman" w:hAnsi="Times New Roman"/>
                <w:sz w:val="22"/>
              </w:rPr>
            </w:pPr>
            <w:r>
              <w:rPr>
                <w:sz w:val="22"/>
              </w:rPr>
              <w:t>Average t</w:t>
            </w:r>
            <w:r w:rsidRPr="007D0544">
              <w:rPr>
                <w:sz w:val="22"/>
              </w:rPr>
              <w:t xml:space="preserve">otal </w:t>
            </w:r>
            <w:r>
              <w:rPr>
                <w:sz w:val="22"/>
              </w:rPr>
              <w:t xml:space="preserve">site </w:t>
            </w:r>
            <w:r w:rsidRPr="007D0544">
              <w:rPr>
                <w:sz w:val="22"/>
              </w:rPr>
              <w:t>energy consumption</w:t>
            </w:r>
          </w:p>
        </w:tc>
        <w:tc>
          <w:tcPr>
            <w:tcW w:w="1530" w:type="dxa"/>
            <w:tcBorders>
              <w:top w:val="single" w:sz="4" w:space="0" w:color="auto"/>
              <w:right w:val="single" w:sz="4" w:space="0" w:color="auto"/>
            </w:tcBorders>
          </w:tcPr>
          <w:p w:rsidR="00F24A0A" w:rsidRPr="007D0544" w:rsidP="005E16AE" w14:paraId="7C49FD77" w14:textId="77777777">
            <w:pPr>
              <w:jc w:val="center"/>
              <w:rPr>
                <w:rFonts w:ascii="Times New Roman" w:hAnsi="Times New Roman"/>
                <w:sz w:val="22"/>
              </w:rPr>
            </w:pPr>
            <w:r w:rsidRPr="007D0544">
              <w:rPr>
                <w:sz w:val="22"/>
              </w:rPr>
              <w:t>1%</w:t>
            </w:r>
          </w:p>
        </w:tc>
      </w:tr>
      <w:tr w14:paraId="76AE8395" w14:textId="77777777" w:rsidTr="00CA749D">
        <w:tblPrEx>
          <w:tblW w:w="0" w:type="auto"/>
          <w:tblInd w:w="1030" w:type="dxa"/>
          <w:tblLook w:val="04A0"/>
        </w:tblPrEx>
        <w:tc>
          <w:tcPr>
            <w:tcW w:w="2660" w:type="dxa"/>
            <w:tcBorders>
              <w:left w:val="single" w:sz="4" w:space="0" w:color="auto"/>
            </w:tcBorders>
          </w:tcPr>
          <w:p w:rsidR="00F24A0A" w:rsidRPr="007D0544" w:rsidP="005E16AE" w14:paraId="7F7994F8" w14:textId="77777777">
            <w:pPr>
              <w:rPr>
                <w:rFonts w:ascii="Times New Roman" w:hAnsi="Times New Roman"/>
                <w:sz w:val="22"/>
              </w:rPr>
            </w:pPr>
          </w:p>
        </w:tc>
        <w:tc>
          <w:tcPr>
            <w:tcW w:w="3095" w:type="dxa"/>
          </w:tcPr>
          <w:p w:rsidR="00F24A0A" w:rsidRPr="007D0544" w:rsidP="005E16AE" w14:paraId="7654DBA3" w14:textId="77777777">
            <w:pPr>
              <w:rPr>
                <w:rFonts w:ascii="Times New Roman" w:hAnsi="Times New Roman"/>
                <w:sz w:val="22"/>
              </w:rPr>
            </w:pPr>
            <w:r>
              <w:rPr>
                <w:sz w:val="22"/>
              </w:rPr>
              <w:t>Average site e</w:t>
            </w:r>
            <w:r w:rsidRPr="007D0544">
              <w:rPr>
                <w:sz w:val="22"/>
              </w:rPr>
              <w:t>lectricity consumption</w:t>
            </w:r>
          </w:p>
        </w:tc>
        <w:tc>
          <w:tcPr>
            <w:tcW w:w="1530" w:type="dxa"/>
            <w:tcBorders>
              <w:right w:val="single" w:sz="4" w:space="0" w:color="auto"/>
            </w:tcBorders>
          </w:tcPr>
          <w:p w:rsidR="00F24A0A" w:rsidRPr="007D0544" w:rsidP="005E16AE" w14:paraId="307AEBA2" w14:textId="77777777">
            <w:pPr>
              <w:jc w:val="center"/>
              <w:rPr>
                <w:rFonts w:ascii="Times New Roman" w:hAnsi="Times New Roman"/>
                <w:sz w:val="22"/>
              </w:rPr>
            </w:pPr>
            <w:r w:rsidRPr="007D0544">
              <w:rPr>
                <w:sz w:val="22"/>
              </w:rPr>
              <w:t>1%</w:t>
            </w:r>
          </w:p>
        </w:tc>
      </w:tr>
      <w:tr w14:paraId="56035852" w14:textId="77777777" w:rsidTr="00CA749D">
        <w:tblPrEx>
          <w:tblW w:w="0" w:type="auto"/>
          <w:tblInd w:w="1030" w:type="dxa"/>
          <w:tblLook w:val="04A0"/>
        </w:tblPrEx>
        <w:tc>
          <w:tcPr>
            <w:tcW w:w="2660" w:type="dxa"/>
            <w:tcBorders>
              <w:left w:val="single" w:sz="4" w:space="0" w:color="auto"/>
            </w:tcBorders>
          </w:tcPr>
          <w:p w:rsidR="00F24A0A" w:rsidRPr="007D0544" w:rsidP="005E16AE" w14:paraId="1FFAF440" w14:textId="77777777">
            <w:pPr>
              <w:rPr>
                <w:rFonts w:ascii="Times New Roman" w:hAnsi="Times New Roman"/>
                <w:sz w:val="22"/>
              </w:rPr>
            </w:pPr>
          </w:p>
        </w:tc>
        <w:tc>
          <w:tcPr>
            <w:tcW w:w="3095" w:type="dxa"/>
          </w:tcPr>
          <w:p w:rsidR="00F24A0A" w:rsidRPr="007D0544" w:rsidP="005E16AE" w14:paraId="7978FE4F" w14:textId="77777777">
            <w:pPr>
              <w:rPr>
                <w:rFonts w:ascii="Times New Roman" w:hAnsi="Times New Roman"/>
                <w:sz w:val="22"/>
              </w:rPr>
            </w:pPr>
            <w:r>
              <w:rPr>
                <w:sz w:val="22"/>
              </w:rPr>
              <w:t>Average n</w:t>
            </w:r>
            <w:r w:rsidRPr="007D0544">
              <w:rPr>
                <w:sz w:val="22"/>
              </w:rPr>
              <w:t>atural gas consumption</w:t>
            </w:r>
          </w:p>
        </w:tc>
        <w:tc>
          <w:tcPr>
            <w:tcW w:w="1530" w:type="dxa"/>
            <w:tcBorders>
              <w:right w:val="single" w:sz="4" w:space="0" w:color="auto"/>
            </w:tcBorders>
          </w:tcPr>
          <w:p w:rsidR="00F24A0A" w:rsidRPr="007D0544" w:rsidP="005E16AE" w14:paraId="31C10C58" w14:textId="77777777">
            <w:pPr>
              <w:jc w:val="center"/>
              <w:rPr>
                <w:rFonts w:ascii="Times New Roman" w:hAnsi="Times New Roman"/>
                <w:sz w:val="22"/>
              </w:rPr>
            </w:pPr>
            <w:r w:rsidRPr="007D0544">
              <w:rPr>
                <w:sz w:val="22"/>
              </w:rPr>
              <w:t>1%</w:t>
            </w:r>
          </w:p>
        </w:tc>
      </w:tr>
      <w:tr w14:paraId="17594747" w14:textId="77777777" w:rsidTr="00CA749D">
        <w:tblPrEx>
          <w:tblW w:w="0" w:type="auto"/>
          <w:tblInd w:w="1030" w:type="dxa"/>
          <w:tblLook w:val="04A0"/>
        </w:tblPrEx>
        <w:tc>
          <w:tcPr>
            <w:tcW w:w="2660" w:type="dxa"/>
            <w:tcBorders>
              <w:left w:val="single" w:sz="4" w:space="0" w:color="auto"/>
            </w:tcBorders>
          </w:tcPr>
          <w:p w:rsidR="00D77E58" w:rsidRPr="007D0544" w:rsidP="005E16AE" w14:paraId="59601F26" w14:textId="77777777">
            <w:pPr>
              <w:rPr>
                <w:rFonts w:ascii="Times New Roman" w:hAnsi="Times New Roman"/>
              </w:rPr>
            </w:pPr>
          </w:p>
        </w:tc>
        <w:tc>
          <w:tcPr>
            <w:tcW w:w="3095" w:type="dxa"/>
          </w:tcPr>
          <w:p w:rsidR="00D77E58" w:rsidRPr="00C57A98" w:rsidP="00DD12A9" w14:paraId="5797DB15" w14:textId="77777777">
            <w:pPr>
              <w:jc w:val="center"/>
              <w:rPr>
                <w:sz w:val="22"/>
              </w:rPr>
            </w:pPr>
            <w:r w:rsidRPr="00DD12A9">
              <w:rPr>
                <w:sz w:val="22"/>
              </w:rPr>
              <w:t>Average propane consumption</w:t>
            </w:r>
          </w:p>
        </w:tc>
        <w:tc>
          <w:tcPr>
            <w:tcW w:w="1530" w:type="dxa"/>
            <w:tcBorders>
              <w:right w:val="single" w:sz="4" w:space="0" w:color="auto"/>
            </w:tcBorders>
          </w:tcPr>
          <w:p w:rsidR="00D77E58" w:rsidRPr="00C57A98" w:rsidP="005E16AE" w14:paraId="77BC8C24" w14:textId="77777777">
            <w:pPr>
              <w:jc w:val="center"/>
              <w:rPr>
                <w:sz w:val="22"/>
              </w:rPr>
            </w:pPr>
            <w:r w:rsidRPr="00DD12A9">
              <w:rPr>
                <w:sz w:val="22"/>
              </w:rPr>
              <w:t>4%</w:t>
            </w:r>
          </w:p>
        </w:tc>
      </w:tr>
      <w:tr w14:paraId="3C063034" w14:textId="77777777" w:rsidTr="00CA749D">
        <w:tblPrEx>
          <w:tblW w:w="0" w:type="auto"/>
          <w:tblInd w:w="1030" w:type="dxa"/>
          <w:tblLook w:val="04A0"/>
        </w:tblPrEx>
        <w:tc>
          <w:tcPr>
            <w:tcW w:w="2660" w:type="dxa"/>
            <w:tcBorders>
              <w:top w:val="dashed" w:sz="4" w:space="0" w:color="BFBFBF" w:themeColor="background1" w:themeShade="BF"/>
              <w:left w:val="single" w:sz="4" w:space="0" w:color="auto"/>
              <w:bottom w:val="single" w:sz="4" w:space="0" w:color="auto"/>
            </w:tcBorders>
          </w:tcPr>
          <w:p w:rsidR="00F24A0A" w:rsidRPr="007D0544" w:rsidP="005E16AE" w14:paraId="57102E8E" w14:textId="77777777">
            <w:pPr>
              <w:rPr>
                <w:sz w:val="22"/>
              </w:rPr>
            </w:pPr>
          </w:p>
        </w:tc>
        <w:tc>
          <w:tcPr>
            <w:tcW w:w="3095" w:type="dxa"/>
            <w:tcBorders>
              <w:top w:val="dashed" w:sz="4" w:space="0" w:color="BFBFBF" w:themeColor="background1" w:themeShade="BF"/>
              <w:bottom w:val="single" w:sz="4" w:space="0" w:color="auto"/>
            </w:tcBorders>
          </w:tcPr>
          <w:p w:rsidR="00F24A0A" w:rsidRPr="007D0544" w:rsidP="005E16AE" w14:paraId="22D6ED88" w14:textId="77777777">
            <w:pPr>
              <w:rPr>
                <w:sz w:val="22"/>
              </w:rPr>
            </w:pPr>
            <w:r>
              <w:rPr>
                <w:sz w:val="22"/>
              </w:rPr>
              <w:t>Average f</w:t>
            </w:r>
            <w:r w:rsidRPr="007D0544">
              <w:rPr>
                <w:sz w:val="22"/>
              </w:rPr>
              <w:t>uel oil consumption</w:t>
            </w:r>
          </w:p>
        </w:tc>
        <w:tc>
          <w:tcPr>
            <w:tcW w:w="1530" w:type="dxa"/>
            <w:tcBorders>
              <w:top w:val="dashed" w:sz="4" w:space="0" w:color="BFBFBF" w:themeColor="background1" w:themeShade="BF"/>
              <w:bottom w:val="single" w:sz="4" w:space="0" w:color="auto"/>
              <w:right w:val="single" w:sz="4" w:space="0" w:color="auto"/>
            </w:tcBorders>
          </w:tcPr>
          <w:p w:rsidR="00F24A0A" w:rsidRPr="007D0544" w:rsidP="005E16AE" w14:paraId="2A633C1F" w14:textId="77777777">
            <w:pPr>
              <w:jc w:val="center"/>
              <w:rPr>
                <w:sz w:val="22"/>
              </w:rPr>
            </w:pPr>
            <w:r>
              <w:rPr>
                <w:sz w:val="22"/>
              </w:rPr>
              <w:t>4</w:t>
            </w:r>
            <w:r w:rsidRPr="007D0544">
              <w:rPr>
                <w:sz w:val="22"/>
              </w:rPr>
              <w:t>%</w:t>
            </w:r>
          </w:p>
        </w:tc>
      </w:tr>
      <w:tr w14:paraId="3E610F75" w14:textId="77777777" w:rsidTr="00CA749D">
        <w:tblPrEx>
          <w:tblW w:w="0" w:type="auto"/>
          <w:tblInd w:w="1030" w:type="dxa"/>
          <w:tblLook w:val="04A0"/>
        </w:tblPrEx>
        <w:tc>
          <w:tcPr>
            <w:tcW w:w="2660" w:type="dxa"/>
            <w:tcBorders>
              <w:top w:val="single" w:sz="4" w:space="0" w:color="auto"/>
              <w:left w:val="single" w:sz="4" w:space="0" w:color="auto"/>
            </w:tcBorders>
          </w:tcPr>
          <w:p w:rsidR="00F24A0A" w:rsidRPr="007D0544" w:rsidP="005E16AE" w14:paraId="5474048B" w14:textId="77777777">
            <w:pPr>
              <w:rPr>
                <w:rFonts w:ascii="Times New Roman" w:hAnsi="Times New Roman"/>
                <w:sz w:val="22"/>
              </w:rPr>
            </w:pPr>
            <w:r>
              <w:rPr>
                <w:sz w:val="22"/>
              </w:rPr>
              <w:t xml:space="preserve">All </w:t>
            </w:r>
            <w:r w:rsidRPr="007D0544">
              <w:rPr>
                <w:sz w:val="22"/>
              </w:rPr>
              <w:t>Census Regions</w:t>
            </w:r>
          </w:p>
        </w:tc>
        <w:tc>
          <w:tcPr>
            <w:tcW w:w="3095" w:type="dxa"/>
            <w:tcBorders>
              <w:top w:val="single" w:sz="4" w:space="0" w:color="auto"/>
            </w:tcBorders>
          </w:tcPr>
          <w:p w:rsidR="00F24A0A" w:rsidRPr="007D0544" w:rsidP="005E16AE" w14:paraId="01DF378B" w14:textId="77777777">
            <w:pPr>
              <w:rPr>
                <w:rFonts w:ascii="Times New Roman" w:hAnsi="Times New Roman"/>
                <w:sz w:val="22"/>
              </w:rPr>
            </w:pPr>
            <w:r>
              <w:rPr>
                <w:sz w:val="22"/>
              </w:rPr>
              <w:t>Average t</w:t>
            </w:r>
            <w:r w:rsidRPr="007D0544">
              <w:rPr>
                <w:sz w:val="22"/>
              </w:rPr>
              <w:t>otal</w:t>
            </w:r>
            <w:r>
              <w:rPr>
                <w:sz w:val="22"/>
              </w:rPr>
              <w:t xml:space="preserve"> site</w:t>
            </w:r>
            <w:r w:rsidRPr="007D0544">
              <w:rPr>
                <w:sz w:val="22"/>
              </w:rPr>
              <w:t xml:space="preserve"> energy consumption</w:t>
            </w:r>
          </w:p>
        </w:tc>
        <w:tc>
          <w:tcPr>
            <w:tcW w:w="1530" w:type="dxa"/>
            <w:tcBorders>
              <w:top w:val="single" w:sz="4" w:space="0" w:color="auto"/>
              <w:right w:val="single" w:sz="4" w:space="0" w:color="auto"/>
            </w:tcBorders>
          </w:tcPr>
          <w:p w:rsidR="00F24A0A" w:rsidRPr="007D0544" w:rsidP="005E16AE" w14:paraId="6B628A50" w14:textId="77777777">
            <w:pPr>
              <w:jc w:val="center"/>
              <w:rPr>
                <w:rFonts w:ascii="Times New Roman" w:hAnsi="Times New Roman"/>
                <w:sz w:val="22"/>
              </w:rPr>
            </w:pPr>
            <w:r w:rsidRPr="007D0544">
              <w:rPr>
                <w:sz w:val="22"/>
              </w:rPr>
              <w:t>2%</w:t>
            </w:r>
          </w:p>
        </w:tc>
      </w:tr>
      <w:tr w14:paraId="0CF22CD0" w14:textId="77777777" w:rsidTr="00CA749D">
        <w:tblPrEx>
          <w:tblW w:w="0" w:type="auto"/>
          <w:tblInd w:w="1030" w:type="dxa"/>
          <w:tblLook w:val="04A0"/>
        </w:tblPrEx>
        <w:trPr>
          <w:trHeight w:val="314"/>
        </w:trPr>
        <w:tc>
          <w:tcPr>
            <w:tcW w:w="2660" w:type="dxa"/>
            <w:tcBorders>
              <w:left w:val="single" w:sz="4" w:space="0" w:color="auto"/>
            </w:tcBorders>
          </w:tcPr>
          <w:p w:rsidR="00F24A0A" w:rsidRPr="007D0544" w:rsidP="005E16AE" w14:paraId="2C9AD7BE" w14:textId="77777777">
            <w:pPr>
              <w:rPr>
                <w:rFonts w:ascii="Times New Roman" w:hAnsi="Times New Roman"/>
                <w:sz w:val="22"/>
              </w:rPr>
            </w:pPr>
          </w:p>
        </w:tc>
        <w:tc>
          <w:tcPr>
            <w:tcW w:w="3095" w:type="dxa"/>
          </w:tcPr>
          <w:p w:rsidR="00F24A0A" w:rsidRPr="007D0544" w:rsidP="005E16AE" w14:paraId="4B535E80" w14:textId="77777777">
            <w:pPr>
              <w:rPr>
                <w:rFonts w:ascii="Times New Roman" w:hAnsi="Times New Roman"/>
                <w:sz w:val="22"/>
              </w:rPr>
            </w:pPr>
            <w:r>
              <w:rPr>
                <w:sz w:val="22"/>
              </w:rPr>
              <w:t>Average site e</w:t>
            </w:r>
            <w:r w:rsidRPr="007D0544">
              <w:rPr>
                <w:sz w:val="22"/>
              </w:rPr>
              <w:t>lectricity consumption</w:t>
            </w:r>
          </w:p>
        </w:tc>
        <w:tc>
          <w:tcPr>
            <w:tcW w:w="1530" w:type="dxa"/>
            <w:tcBorders>
              <w:right w:val="single" w:sz="4" w:space="0" w:color="auto"/>
            </w:tcBorders>
          </w:tcPr>
          <w:p w:rsidR="00F24A0A" w:rsidRPr="007D0544" w:rsidP="005E16AE" w14:paraId="585D4378" w14:textId="77777777">
            <w:pPr>
              <w:jc w:val="center"/>
              <w:rPr>
                <w:rFonts w:ascii="Times New Roman" w:hAnsi="Times New Roman"/>
                <w:sz w:val="22"/>
              </w:rPr>
            </w:pPr>
            <w:r w:rsidRPr="007D0544">
              <w:rPr>
                <w:sz w:val="22"/>
              </w:rPr>
              <w:t>2%</w:t>
            </w:r>
          </w:p>
        </w:tc>
      </w:tr>
      <w:tr w14:paraId="706F7329" w14:textId="77777777" w:rsidTr="00CA749D">
        <w:tblPrEx>
          <w:tblW w:w="0" w:type="auto"/>
          <w:tblInd w:w="1030" w:type="dxa"/>
          <w:tblLook w:val="04A0"/>
        </w:tblPrEx>
        <w:tc>
          <w:tcPr>
            <w:tcW w:w="2660" w:type="dxa"/>
            <w:tcBorders>
              <w:left w:val="single" w:sz="4" w:space="0" w:color="auto"/>
              <w:bottom w:val="single" w:sz="4" w:space="0" w:color="auto"/>
            </w:tcBorders>
          </w:tcPr>
          <w:p w:rsidR="00F24A0A" w:rsidRPr="007D0544" w:rsidP="005E16AE" w14:paraId="41ADCF5A" w14:textId="77777777">
            <w:pPr>
              <w:rPr>
                <w:rFonts w:ascii="Times New Roman" w:hAnsi="Times New Roman"/>
                <w:sz w:val="22"/>
              </w:rPr>
            </w:pPr>
          </w:p>
        </w:tc>
        <w:tc>
          <w:tcPr>
            <w:tcW w:w="3095" w:type="dxa"/>
            <w:tcBorders>
              <w:bottom w:val="single" w:sz="4" w:space="0" w:color="auto"/>
            </w:tcBorders>
          </w:tcPr>
          <w:p w:rsidR="00F24A0A" w:rsidRPr="007D0544" w:rsidP="005E16AE" w14:paraId="43F8747B" w14:textId="77777777">
            <w:pPr>
              <w:rPr>
                <w:rFonts w:ascii="Times New Roman" w:hAnsi="Times New Roman"/>
                <w:sz w:val="22"/>
              </w:rPr>
            </w:pPr>
            <w:r>
              <w:rPr>
                <w:sz w:val="22"/>
              </w:rPr>
              <w:t>Average n</w:t>
            </w:r>
            <w:r w:rsidRPr="007D0544">
              <w:rPr>
                <w:sz w:val="22"/>
              </w:rPr>
              <w:t>atural gas consumption</w:t>
            </w:r>
          </w:p>
        </w:tc>
        <w:tc>
          <w:tcPr>
            <w:tcW w:w="1530" w:type="dxa"/>
            <w:tcBorders>
              <w:bottom w:val="single" w:sz="4" w:space="0" w:color="auto"/>
              <w:right w:val="single" w:sz="4" w:space="0" w:color="auto"/>
            </w:tcBorders>
          </w:tcPr>
          <w:p w:rsidR="00F24A0A" w:rsidRPr="007D0544" w:rsidP="005E16AE" w14:paraId="2D9962C9" w14:textId="77777777">
            <w:pPr>
              <w:jc w:val="center"/>
              <w:rPr>
                <w:rFonts w:ascii="Times New Roman" w:hAnsi="Times New Roman"/>
                <w:sz w:val="22"/>
              </w:rPr>
            </w:pPr>
            <w:r w:rsidRPr="007D0544">
              <w:rPr>
                <w:sz w:val="22"/>
              </w:rPr>
              <w:t>2%</w:t>
            </w:r>
          </w:p>
        </w:tc>
      </w:tr>
      <w:tr w14:paraId="338724FC" w14:textId="77777777" w:rsidTr="00CA749D">
        <w:tblPrEx>
          <w:tblW w:w="0" w:type="auto"/>
          <w:tblInd w:w="1030" w:type="dxa"/>
          <w:tblLook w:val="04A0"/>
        </w:tblPrEx>
        <w:tc>
          <w:tcPr>
            <w:tcW w:w="2660" w:type="dxa"/>
            <w:tcBorders>
              <w:top w:val="single" w:sz="4" w:space="0" w:color="auto"/>
              <w:left w:val="single" w:sz="4" w:space="0" w:color="auto"/>
            </w:tcBorders>
          </w:tcPr>
          <w:p w:rsidR="00F24A0A" w:rsidRPr="007D0544" w:rsidP="005E16AE" w14:paraId="7EA1EA4C" w14:textId="77777777">
            <w:pPr>
              <w:rPr>
                <w:sz w:val="22"/>
              </w:rPr>
            </w:pPr>
            <w:r w:rsidRPr="007D0544">
              <w:rPr>
                <w:sz w:val="22"/>
              </w:rPr>
              <w:t xml:space="preserve">Northeast </w:t>
            </w:r>
            <w:r w:rsidR="00945692">
              <w:rPr>
                <w:sz w:val="22"/>
              </w:rPr>
              <w:t xml:space="preserve">Census </w:t>
            </w:r>
            <w:r w:rsidRPr="007D0544">
              <w:rPr>
                <w:sz w:val="22"/>
              </w:rPr>
              <w:t>Region</w:t>
            </w:r>
            <w:r w:rsidR="000A1EFC">
              <w:rPr>
                <w:sz w:val="22"/>
              </w:rPr>
              <w:t xml:space="preserve"> only</w:t>
            </w:r>
          </w:p>
        </w:tc>
        <w:tc>
          <w:tcPr>
            <w:tcW w:w="3095" w:type="dxa"/>
            <w:tcBorders>
              <w:top w:val="single" w:sz="4" w:space="0" w:color="auto"/>
            </w:tcBorders>
          </w:tcPr>
          <w:p w:rsidR="00F24A0A" w:rsidRPr="007D0544" w:rsidP="005E16AE" w14:paraId="24A64FEF" w14:textId="77777777">
            <w:pPr>
              <w:rPr>
                <w:sz w:val="22"/>
              </w:rPr>
            </w:pPr>
            <w:r>
              <w:rPr>
                <w:sz w:val="22"/>
              </w:rPr>
              <w:t>Average f</w:t>
            </w:r>
            <w:r w:rsidRPr="007D0544">
              <w:rPr>
                <w:sz w:val="22"/>
              </w:rPr>
              <w:t>uel oil consumption</w:t>
            </w:r>
            <w:r>
              <w:rPr>
                <w:rStyle w:val="FootnoteReference"/>
                <w:sz w:val="22"/>
              </w:rPr>
              <w:footnoteReference w:id="3"/>
            </w:r>
          </w:p>
        </w:tc>
        <w:tc>
          <w:tcPr>
            <w:tcW w:w="1530" w:type="dxa"/>
            <w:tcBorders>
              <w:top w:val="single" w:sz="4" w:space="0" w:color="auto"/>
              <w:right w:val="single" w:sz="4" w:space="0" w:color="auto"/>
            </w:tcBorders>
          </w:tcPr>
          <w:p w:rsidR="00F24A0A" w:rsidRPr="007D0544" w:rsidP="005E16AE" w14:paraId="1B555413" w14:textId="77777777">
            <w:pPr>
              <w:jc w:val="center"/>
              <w:rPr>
                <w:sz w:val="22"/>
              </w:rPr>
            </w:pPr>
            <w:r>
              <w:rPr>
                <w:sz w:val="22"/>
              </w:rPr>
              <w:t>5</w:t>
            </w:r>
            <w:r w:rsidRPr="007D0544">
              <w:rPr>
                <w:sz w:val="22"/>
              </w:rPr>
              <w:t>%</w:t>
            </w:r>
          </w:p>
        </w:tc>
      </w:tr>
      <w:tr w14:paraId="7C970F5C" w14:textId="77777777" w:rsidTr="00CA749D">
        <w:tblPrEx>
          <w:tblW w:w="0" w:type="auto"/>
          <w:tblInd w:w="1030" w:type="dxa"/>
          <w:tblLook w:val="04A0"/>
        </w:tblPrEx>
        <w:tc>
          <w:tcPr>
            <w:tcW w:w="2660" w:type="dxa"/>
            <w:tcBorders>
              <w:top w:val="single" w:sz="4" w:space="0" w:color="auto"/>
              <w:left w:val="single" w:sz="4" w:space="0" w:color="auto"/>
            </w:tcBorders>
          </w:tcPr>
          <w:p w:rsidR="00F24A0A" w:rsidRPr="007D0544" w:rsidP="00A759D9" w14:paraId="62A2A758" w14:textId="77777777">
            <w:pPr>
              <w:rPr>
                <w:rFonts w:ascii="Times New Roman" w:hAnsi="Times New Roman"/>
                <w:sz w:val="22"/>
              </w:rPr>
            </w:pPr>
            <w:r>
              <w:rPr>
                <w:sz w:val="22"/>
              </w:rPr>
              <w:t xml:space="preserve">All </w:t>
            </w:r>
            <w:r w:rsidR="000A1EFC">
              <w:rPr>
                <w:sz w:val="22"/>
              </w:rPr>
              <w:t xml:space="preserve">Census </w:t>
            </w:r>
            <w:r w:rsidRPr="007D0544">
              <w:rPr>
                <w:sz w:val="22"/>
              </w:rPr>
              <w:t xml:space="preserve">Divisions </w:t>
            </w:r>
            <w:r>
              <w:rPr>
                <w:rStyle w:val="FootnoteReference"/>
                <w:rFonts w:cstheme="minorHAnsi"/>
                <w:sz w:val="22"/>
              </w:rPr>
              <w:footnoteReference w:id="4"/>
            </w:r>
          </w:p>
        </w:tc>
        <w:tc>
          <w:tcPr>
            <w:tcW w:w="3095" w:type="dxa"/>
            <w:tcBorders>
              <w:top w:val="single" w:sz="4" w:space="0" w:color="auto"/>
            </w:tcBorders>
          </w:tcPr>
          <w:p w:rsidR="00F24A0A" w:rsidRPr="007D0544" w:rsidP="005E16AE" w14:paraId="14FAC5F8" w14:textId="77777777">
            <w:pPr>
              <w:rPr>
                <w:rFonts w:ascii="Times New Roman" w:hAnsi="Times New Roman"/>
                <w:sz w:val="22"/>
              </w:rPr>
            </w:pPr>
            <w:r>
              <w:rPr>
                <w:sz w:val="22"/>
              </w:rPr>
              <w:t>Average t</w:t>
            </w:r>
            <w:r w:rsidRPr="007D0544">
              <w:rPr>
                <w:sz w:val="22"/>
              </w:rPr>
              <w:t xml:space="preserve">otal </w:t>
            </w:r>
            <w:r>
              <w:rPr>
                <w:sz w:val="22"/>
              </w:rPr>
              <w:t xml:space="preserve">site </w:t>
            </w:r>
            <w:r w:rsidRPr="007D0544">
              <w:rPr>
                <w:sz w:val="22"/>
              </w:rPr>
              <w:t>energy consumption</w:t>
            </w:r>
          </w:p>
        </w:tc>
        <w:tc>
          <w:tcPr>
            <w:tcW w:w="1530" w:type="dxa"/>
            <w:tcBorders>
              <w:top w:val="single" w:sz="4" w:space="0" w:color="auto"/>
              <w:right w:val="single" w:sz="4" w:space="0" w:color="auto"/>
            </w:tcBorders>
          </w:tcPr>
          <w:p w:rsidR="00F24A0A" w:rsidRPr="007D0544" w:rsidP="005E16AE" w14:paraId="73897D41" w14:textId="77777777">
            <w:pPr>
              <w:jc w:val="center"/>
              <w:rPr>
                <w:rFonts w:ascii="Times New Roman" w:hAnsi="Times New Roman"/>
                <w:sz w:val="22"/>
              </w:rPr>
            </w:pPr>
            <w:r w:rsidRPr="007D0544">
              <w:rPr>
                <w:sz w:val="22"/>
              </w:rPr>
              <w:t>3%</w:t>
            </w:r>
          </w:p>
        </w:tc>
      </w:tr>
      <w:tr w14:paraId="5D30CE47" w14:textId="77777777" w:rsidTr="00CA749D">
        <w:tblPrEx>
          <w:tblW w:w="0" w:type="auto"/>
          <w:tblInd w:w="1030" w:type="dxa"/>
          <w:tblLook w:val="04A0"/>
        </w:tblPrEx>
        <w:tc>
          <w:tcPr>
            <w:tcW w:w="2660" w:type="dxa"/>
            <w:tcBorders>
              <w:left w:val="single" w:sz="4" w:space="0" w:color="auto"/>
            </w:tcBorders>
          </w:tcPr>
          <w:p w:rsidR="00F24A0A" w:rsidRPr="007D0544" w:rsidP="005E16AE" w14:paraId="4A353A3A" w14:textId="77777777">
            <w:pPr>
              <w:rPr>
                <w:rFonts w:ascii="Times New Roman" w:hAnsi="Times New Roman"/>
                <w:sz w:val="22"/>
              </w:rPr>
            </w:pPr>
          </w:p>
        </w:tc>
        <w:tc>
          <w:tcPr>
            <w:tcW w:w="3095" w:type="dxa"/>
          </w:tcPr>
          <w:p w:rsidR="00F24A0A" w:rsidRPr="007D0544" w:rsidP="005E16AE" w14:paraId="77079C02" w14:textId="77777777">
            <w:pPr>
              <w:rPr>
                <w:rFonts w:ascii="Times New Roman" w:hAnsi="Times New Roman"/>
                <w:sz w:val="22"/>
              </w:rPr>
            </w:pPr>
            <w:r>
              <w:rPr>
                <w:sz w:val="22"/>
              </w:rPr>
              <w:t>Average site e</w:t>
            </w:r>
            <w:r w:rsidRPr="007D0544">
              <w:rPr>
                <w:sz w:val="22"/>
              </w:rPr>
              <w:t>lectricity consumption</w:t>
            </w:r>
          </w:p>
        </w:tc>
        <w:tc>
          <w:tcPr>
            <w:tcW w:w="1530" w:type="dxa"/>
            <w:tcBorders>
              <w:right w:val="single" w:sz="4" w:space="0" w:color="auto"/>
            </w:tcBorders>
          </w:tcPr>
          <w:p w:rsidR="00F24A0A" w:rsidRPr="007D0544" w:rsidP="005E16AE" w14:paraId="79F8E9DD" w14:textId="77777777">
            <w:pPr>
              <w:jc w:val="center"/>
              <w:rPr>
                <w:rFonts w:ascii="Times New Roman" w:hAnsi="Times New Roman"/>
                <w:sz w:val="22"/>
              </w:rPr>
            </w:pPr>
            <w:r w:rsidRPr="007D0544">
              <w:rPr>
                <w:sz w:val="22"/>
              </w:rPr>
              <w:t>3%</w:t>
            </w:r>
          </w:p>
        </w:tc>
      </w:tr>
      <w:tr w14:paraId="77B0A815" w14:textId="77777777" w:rsidTr="00CA749D">
        <w:tblPrEx>
          <w:tblW w:w="0" w:type="auto"/>
          <w:tblInd w:w="1030" w:type="dxa"/>
          <w:tblLook w:val="04A0"/>
        </w:tblPrEx>
        <w:tc>
          <w:tcPr>
            <w:tcW w:w="2660" w:type="dxa"/>
            <w:tcBorders>
              <w:left w:val="single" w:sz="4" w:space="0" w:color="auto"/>
            </w:tcBorders>
          </w:tcPr>
          <w:p w:rsidR="00F24A0A" w:rsidRPr="007D0544" w:rsidP="005E16AE" w14:paraId="34665189" w14:textId="77777777">
            <w:pPr>
              <w:rPr>
                <w:rFonts w:ascii="Times New Roman" w:hAnsi="Times New Roman"/>
                <w:sz w:val="22"/>
              </w:rPr>
            </w:pPr>
          </w:p>
        </w:tc>
        <w:tc>
          <w:tcPr>
            <w:tcW w:w="3095" w:type="dxa"/>
          </w:tcPr>
          <w:p w:rsidR="00F24A0A" w:rsidRPr="007D0544" w:rsidP="005E16AE" w14:paraId="5452C325" w14:textId="77777777">
            <w:pPr>
              <w:rPr>
                <w:rFonts w:ascii="Times New Roman" w:hAnsi="Times New Roman"/>
                <w:sz w:val="22"/>
              </w:rPr>
            </w:pPr>
            <w:r>
              <w:rPr>
                <w:sz w:val="22"/>
              </w:rPr>
              <w:t>Average n</w:t>
            </w:r>
            <w:r w:rsidRPr="007D0544">
              <w:rPr>
                <w:sz w:val="22"/>
              </w:rPr>
              <w:t>atural gas consumption</w:t>
            </w:r>
          </w:p>
        </w:tc>
        <w:tc>
          <w:tcPr>
            <w:tcW w:w="1530" w:type="dxa"/>
            <w:tcBorders>
              <w:right w:val="single" w:sz="4" w:space="0" w:color="auto"/>
            </w:tcBorders>
          </w:tcPr>
          <w:p w:rsidR="00F24A0A" w:rsidRPr="007D0544" w:rsidP="005E16AE" w14:paraId="06153C22" w14:textId="77777777">
            <w:pPr>
              <w:jc w:val="center"/>
              <w:rPr>
                <w:rFonts w:ascii="Times New Roman" w:hAnsi="Times New Roman"/>
                <w:sz w:val="22"/>
              </w:rPr>
            </w:pPr>
            <w:r w:rsidRPr="007D0544">
              <w:rPr>
                <w:sz w:val="22"/>
              </w:rPr>
              <w:t>3%</w:t>
            </w:r>
          </w:p>
        </w:tc>
      </w:tr>
      <w:tr w14:paraId="35B387BD" w14:textId="77777777" w:rsidTr="00CA749D">
        <w:tblPrEx>
          <w:tblW w:w="0" w:type="auto"/>
          <w:tblInd w:w="1030" w:type="dxa"/>
          <w:tblLook w:val="04A0"/>
        </w:tblPrEx>
        <w:tc>
          <w:tcPr>
            <w:tcW w:w="2660" w:type="dxa"/>
            <w:tcBorders>
              <w:top w:val="single" w:sz="4" w:space="0" w:color="auto"/>
              <w:left w:val="single" w:sz="4" w:space="0" w:color="auto"/>
              <w:bottom w:val="single" w:sz="4" w:space="0" w:color="auto"/>
            </w:tcBorders>
          </w:tcPr>
          <w:p w:rsidR="00F24A0A" w:rsidRPr="007D0544" w:rsidP="005E16AE" w14:paraId="4F2D35A0" w14:textId="77777777">
            <w:pPr>
              <w:rPr>
                <w:rFonts w:ascii="Times New Roman" w:hAnsi="Times New Roman"/>
                <w:sz w:val="22"/>
              </w:rPr>
            </w:pPr>
            <w:r>
              <w:rPr>
                <w:sz w:val="22"/>
              </w:rPr>
              <w:t>50 States and DC</w:t>
            </w:r>
          </w:p>
        </w:tc>
        <w:tc>
          <w:tcPr>
            <w:tcW w:w="3095" w:type="dxa"/>
            <w:tcBorders>
              <w:top w:val="single" w:sz="4" w:space="0" w:color="auto"/>
              <w:bottom w:val="single" w:sz="4" w:space="0" w:color="auto"/>
            </w:tcBorders>
          </w:tcPr>
          <w:p w:rsidR="00F24A0A" w:rsidRPr="007D0544" w:rsidP="005E16AE" w14:paraId="146F08AE" w14:textId="77777777">
            <w:pPr>
              <w:rPr>
                <w:rFonts w:ascii="Times New Roman" w:hAnsi="Times New Roman"/>
                <w:sz w:val="22"/>
              </w:rPr>
            </w:pPr>
            <w:r>
              <w:rPr>
                <w:sz w:val="22"/>
              </w:rPr>
              <w:t>Average t</w:t>
            </w:r>
            <w:r w:rsidRPr="007D0544">
              <w:rPr>
                <w:sz w:val="22"/>
              </w:rPr>
              <w:t xml:space="preserve">otal </w:t>
            </w:r>
            <w:r>
              <w:rPr>
                <w:sz w:val="22"/>
              </w:rPr>
              <w:t xml:space="preserve">site </w:t>
            </w:r>
            <w:r w:rsidRPr="007D0544">
              <w:rPr>
                <w:sz w:val="22"/>
              </w:rPr>
              <w:t>energy consumption</w:t>
            </w:r>
          </w:p>
        </w:tc>
        <w:tc>
          <w:tcPr>
            <w:tcW w:w="1530" w:type="dxa"/>
            <w:tcBorders>
              <w:top w:val="single" w:sz="4" w:space="0" w:color="auto"/>
              <w:bottom w:val="single" w:sz="4" w:space="0" w:color="auto"/>
              <w:right w:val="single" w:sz="4" w:space="0" w:color="auto"/>
            </w:tcBorders>
          </w:tcPr>
          <w:p w:rsidR="00F24A0A" w:rsidRPr="007D0544" w:rsidP="005E16AE" w14:paraId="02ACAE9E" w14:textId="77777777">
            <w:pPr>
              <w:jc w:val="center"/>
              <w:rPr>
                <w:rFonts w:ascii="Times New Roman" w:hAnsi="Times New Roman"/>
                <w:sz w:val="22"/>
              </w:rPr>
            </w:pPr>
            <w:r w:rsidRPr="007D0544">
              <w:rPr>
                <w:sz w:val="22"/>
              </w:rPr>
              <w:t>4%</w:t>
            </w:r>
          </w:p>
        </w:tc>
      </w:tr>
      <w:tr w14:paraId="092DA779" w14:textId="77777777" w:rsidTr="00CA749D">
        <w:tblPrEx>
          <w:tblW w:w="0" w:type="auto"/>
          <w:tblInd w:w="1030" w:type="dxa"/>
          <w:tblLook w:val="04A0"/>
        </w:tblPrEx>
        <w:tc>
          <w:tcPr>
            <w:tcW w:w="2660" w:type="dxa"/>
            <w:tcBorders>
              <w:top w:val="single" w:sz="4" w:space="0" w:color="auto"/>
              <w:left w:val="single" w:sz="4" w:space="0" w:color="auto"/>
              <w:bottom w:val="single" w:sz="4" w:space="0" w:color="auto"/>
            </w:tcBorders>
          </w:tcPr>
          <w:p w:rsidR="00400593" w:rsidRPr="00DD12A9" w:rsidP="00962F1B" w14:paraId="436B3B2C" w14:textId="77777777">
            <w:pPr>
              <w:rPr>
                <w:sz w:val="22"/>
              </w:rPr>
            </w:pPr>
            <w:r w:rsidRPr="00DD12A9">
              <w:rPr>
                <w:sz w:val="22"/>
              </w:rPr>
              <w:t>10 Metropolitan Statistical Areas</w:t>
            </w:r>
            <w:r w:rsidR="00C4180B">
              <w:rPr>
                <w:sz w:val="22"/>
              </w:rPr>
              <w:t>*</w:t>
            </w:r>
          </w:p>
        </w:tc>
        <w:tc>
          <w:tcPr>
            <w:tcW w:w="3095" w:type="dxa"/>
            <w:tcBorders>
              <w:top w:val="single" w:sz="4" w:space="0" w:color="auto"/>
              <w:bottom w:val="single" w:sz="4" w:space="0" w:color="auto"/>
            </w:tcBorders>
          </w:tcPr>
          <w:p w:rsidR="00400593" w:rsidRPr="00DD12A9" w:rsidP="00DD12A9" w14:paraId="03C9EBD8" w14:textId="77777777">
            <w:pPr>
              <w:rPr>
                <w:sz w:val="22"/>
              </w:rPr>
            </w:pPr>
            <w:r w:rsidRPr="00DD12A9">
              <w:rPr>
                <w:sz w:val="22"/>
              </w:rPr>
              <w:t>Average total site energy consumption</w:t>
            </w:r>
          </w:p>
        </w:tc>
        <w:tc>
          <w:tcPr>
            <w:tcW w:w="1530" w:type="dxa"/>
            <w:tcBorders>
              <w:top w:val="single" w:sz="4" w:space="0" w:color="auto"/>
              <w:bottom w:val="single" w:sz="4" w:space="0" w:color="auto"/>
              <w:right w:val="single" w:sz="4" w:space="0" w:color="auto"/>
            </w:tcBorders>
          </w:tcPr>
          <w:p w:rsidR="00400593" w:rsidRPr="00DD12A9" w:rsidP="00DD12A9" w14:paraId="74695D4F" w14:textId="77777777">
            <w:pPr>
              <w:jc w:val="center"/>
              <w:rPr>
                <w:sz w:val="22"/>
              </w:rPr>
            </w:pPr>
            <w:r w:rsidRPr="00DD12A9">
              <w:rPr>
                <w:sz w:val="22"/>
              </w:rPr>
              <w:t>5%</w:t>
            </w:r>
          </w:p>
        </w:tc>
      </w:tr>
    </w:tbl>
    <w:p w:rsidR="00DD3473" w:rsidRPr="001C2C2C" w:rsidP="00BD49DD" w14:paraId="377E8587" w14:textId="77777777">
      <w:pPr>
        <w:rPr>
          <w:bCs/>
        </w:rPr>
      </w:pPr>
      <w:r>
        <w:rPr>
          <w:b/>
        </w:rPr>
        <w:t xml:space="preserve">* </w:t>
      </w:r>
      <w:r>
        <w:rPr>
          <w:bCs/>
        </w:rPr>
        <w:t>To simplify the sample allocation process, as described below, we will apply an additional requirement of 5% RSE for Average total site energy consumption for the remainder of the areas within the states that have selected MSAs.</w:t>
      </w:r>
    </w:p>
    <w:p w:rsidR="00BD49DD" w:rsidRPr="007D0544" w:rsidP="00BD49DD" w14:paraId="0BD56B35" w14:textId="77777777">
      <w:pPr>
        <w:rPr>
          <w:b/>
        </w:rPr>
      </w:pPr>
      <w:r w:rsidRPr="007D0544">
        <w:rPr>
          <w:b/>
        </w:rPr>
        <w:t>Housing Unit Frame</w:t>
      </w:r>
    </w:p>
    <w:p w:rsidR="00BD49DD" w:rsidP="00C4180B" w14:paraId="157E7798" w14:textId="4C4DBF75">
      <w:r>
        <w:t xml:space="preserve">The </w:t>
      </w:r>
      <w:r w:rsidR="00BC4C4A">
        <w:t xml:space="preserve">2024 </w:t>
      </w:r>
      <w:r>
        <w:t xml:space="preserve">RECS </w:t>
      </w:r>
      <w:r w:rsidR="00962F1B">
        <w:t>will use</w:t>
      </w:r>
      <w:r>
        <w:t xml:space="preserve"> an address-based sampling frame that starts with a vendor address </w:t>
      </w:r>
      <w:r w:rsidR="00537BA6">
        <w:t xml:space="preserve">list </w:t>
      </w:r>
      <w:r>
        <w:t>derive</w:t>
      </w:r>
      <w:r w:rsidR="0073572D">
        <w:t>d</w:t>
      </w:r>
      <w:r>
        <w:t xml:space="preserve"> from the U.S. Postal Service’s </w:t>
      </w:r>
      <w:r w:rsidR="00537BA6">
        <w:t xml:space="preserve">(USPS) </w:t>
      </w:r>
      <w:r>
        <w:t xml:space="preserve">Computerized Delivery Sequence (CDS) </w:t>
      </w:r>
      <w:r w:rsidR="0073572D">
        <w:t>f</w:t>
      </w:r>
      <w:r>
        <w:t>ile.</w:t>
      </w:r>
      <w:r w:rsidR="00537BA6">
        <w:t xml:space="preserve"> The frame that is derived from this file </w:t>
      </w:r>
      <w:r w:rsidR="00962F1B">
        <w:t>will include</w:t>
      </w:r>
      <w:r w:rsidRPr="007D0544">
        <w:t xml:space="preserve"> all </w:t>
      </w:r>
      <w:r>
        <w:t xml:space="preserve">mailable </w:t>
      </w:r>
      <w:r w:rsidRPr="007D0544">
        <w:t xml:space="preserve">residential addresses </w:t>
      </w:r>
      <w:r w:rsidR="0073572D">
        <w:t xml:space="preserve">in </w:t>
      </w:r>
      <w:r>
        <w:t>the 50 states and DC</w:t>
      </w:r>
      <w:r w:rsidR="00962F1B">
        <w:t>. Excluded from the frame will be non-active (No-Stat)</w:t>
      </w:r>
      <w:r w:rsidR="00477E34">
        <w:t xml:space="preserve"> addresses</w:t>
      </w:r>
      <w:r w:rsidRPr="007D0544">
        <w:t>, P</w:t>
      </w:r>
      <w:r w:rsidR="006E18E4">
        <w:t>.</w:t>
      </w:r>
      <w:r w:rsidRPr="007D0544">
        <w:t>O</w:t>
      </w:r>
      <w:r w:rsidR="006E18E4">
        <w:t>.</w:t>
      </w:r>
      <w:r w:rsidRPr="007D0544">
        <w:t xml:space="preserve"> Box addresses</w:t>
      </w:r>
      <w:r>
        <w:t xml:space="preserve"> that </w:t>
      </w:r>
      <w:r w:rsidR="002C0572">
        <w:t xml:space="preserve">correspond to households that </w:t>
      </w:r>
      <w:r w:rsidR="00146803">
        <w:t>also have a street address</w:t>
      </w:r>
      <w:r w:rsidR="00477E34">
        <w:t xml:space="preserve"> for mail delivery</w:t>
      </w:r>
      <w:r w:rsidR="0084503B">
        <w:t xml:space="preserve">, and drop-point addresses that have five or </w:t>
      </w:r>
      <w:r w:rsidR="0084503B">
        <w:t>more units in a multi-family building. The frame will include P</w:t>
      </w:r>
      <w:r w:rsidR="006E18E4">
        <w:t>.</w:t>
      </w:r>
      <w:r w:rsidR="0084503B">
        <w:t>O</w:t>
      </w:r>
      <w:r w:rsidR="006E18E4">
        <w:t>.</w:t>
      </w:r>
      <w:r w:rsidR="0084503B">
        <w:t xml:space="preserve"> Box </w:t>
      </w:r>
      <w:r w:rsidR="0035580B">
        <w:t>addresses</w:t>
      </w:r>
      <w:r w:rsidR="0084503B">
        <w:t xml:space="preserve"> that are known as “Only Way to Get Mail</w:t>
      </w:r>
      <w:r w:rsidR="00F911AA">
        <w:t xml:space="preserve"> (OWGM)</w:t>
      </w:r>
      <w:r w:rsidR="0084503B">
        <w:t>” and drop-point addresses that have fewer than five units</w:t>
      </w:r>
      <w:r w:rsidR="00E37A42">
        <w:t>.</w:t>
      </w:r>
      <w:r w:rsidR="00537BA6">
        <w:t xml:space="preserve"> </w:t>
      </w:r>
      <w:r w:rsidR="00962F1B">
        <w:t>In total, the</w:t>
      </w:r>
      <w:r w:rsidR="00537BA6">
        <w:t xml:space="preserve"> USPS-based frame </w:t>
      </w:r>
      <w:r w:rsidR="00962F1B">
        <w:t>will cover</w:t>
      </w:r>
      <w:r w:rsidR="00537BA6">
        <w:t xml:space="preserve"> about 99% of all </w:t>
      </w:r>
      <w:r w:rsidR="00104A6C">
        <w:t>occupied</w:t>
      </w:r>
      <w:r w:rsidR="00962F1B">
        <w:t>,</w:t>
      </w:r>
      <w:r w:rsidR="00104A6C">
        <w:t xml:space="preserve"> primary </w:t>
      </w:r>
      <w:r w:rsidR="00537BA6">
        <w:t>housing units in the U.S.</w:t>
      </w:r>
    </w:p>
    <w:p w:rsidR="0080201B" w:rsidRPr="000E29DA" w:rsidP="00BD49DD" w14:paraId="2FBEC38F" w14:textId="77777777">
      <w:pPr>
        <w:rPr>
          <w:i/>
        </w:rPr>
      </w:pPr>
      <w:r>
        <w:rPr>
          <w:i/>
        </w:rPr>
        <w:t xml:space="preserve">Considerations for </w:t>
      </w:r>
      <w:r w:rsidR="0084503B">
        <w:rPr>
          <w:i/>
        </w:rPr>
        <w:t>Only</w:t>
      </w:r>
      <w:r w:rsidRPr="000E29DA" w:rsidR="0084503B">
        <w:rPr>
          <w:i/>
        </w:rPr>
        <w:t xml:space="preserve"> </w:t>
      </w:r>
      <w:r w:rsidRPr="000E29DA">
        <w:rPr>
          <w:i/>
        </w:rPr>
        <w:t>Way to Get Mail (OWGM) and Drop Point Addresses</w:t>
      </w:r>
    </w:p>
    <w:p w:rsidR="00CB7D4F" w:rsidP="00BD49DD" w14:paraId="44610769" w14:textId="77777777">
      <w:r>
        <w:t>A P</w:t>
      </w:r>
      <w:r w:rsidR="006E18E4">
        <w:t>.</w:t>
      </w:r>
      <w:r>
        <w:t>O</w:t>
      </w:r>
      <w:r w:rsidR="006E18E4">
        <w:t>.</w:t>
      </w:r>
      <w:r>
        <w:t xml:space="preserve"> Box is a secured, uniquely numbered box located at a U.S. Post Office or a qualified business where a USPS customer can get mail delivery. </w:t>
      </w:r>
      <w:r w:rsidR="00DA1032">
        <w:t xml:space="preserve"> Only the OWGM P</w:t>
      </w:r>
      <w:r w:rsidR="006E18E4">
        <w:t>.</w:t>
      </w:r>
      <w:r w:rsidR="00DA1032">
        <w:t>O</w:t>
      </w:r>
      <w:r w:rsidR="006E18E4">
        <w:t>.</w:t>
      </w:r>
      <w:r w:rsidR="00DA1032">
        <w:t xml:space="preserve"> Box addresses </w:t>
      </w:r>
      <w:r>
        <w:t>will be included in the frame</w:t>
      </w:r>
      <w:r w:rsidR="00962F1B">
        <w:t>,</w:t>
      </w:r>
      <w:r>
        <w:t xml:space="preserve"> because </w:t>
      </w:r>
      <w:r w:rsidR="0099498C">
        <w:t>they are the only option for the corresponding households to get mail</w:t>
      </w:r>
      <w:r w:rsidR="00962F1B">
        <w:t>.</w:t>
      </w:r>
      <w:r w:rsidR="000A0A3C">
        <w:t xml:space="preserve"> </w:t>
      </w:r>
      <w:r w:rsidR="00962F1B">
        <w:t>T</w:t>
      </w:r>
      <w:r w:rsidR="0099498C">
        <w:t>hese P</w:t>
      </w:r>
      <w:r w:rsidR="006E18E4">
        <w:t>.</w:t>
      </w:r>
      <w:r w:rsidR="0099498C">
        <w:t>O</w:t>
      </w:r>
      <w:r w:rsidR="006E18E4">
        <w:t>.</w:t>
      </w:r>
      <w:r w:rsidR="0099498C">
        <w:t xml:space="preserve"> Boxes account for about 1% of address</w:t>
      </w:r>
      <w:r w:rsidR="00A649A7">
        <w:t>es</w:t>
      </w:r>
      <w:r w:rsidR="0099498C">
        <w:t xml:space="preserve"> </w:t>
      </w:r>
      <w:r w:rsidR="000A0A3C">
        <w:t>nationally</w:t>
      </w:r>
      <w:r w:rsidR="00962F1B">
        <w:t>.</w:t>
      </w:r>
    </w:p>
    <w:p w:rsidR="002C0572" w:rsidP="000E29DA" w14:paraId="59662567" w14:textId="77777777">
      <w:r>
        <w:t xml:space="preserve">For OWGM addresses, we will mail an invitation to the </w:t>
      </w:r>
      <w:r w:rsidR="00DD3473">
        <w:t>P</w:t>
      </w:r>
      <w:r w:rsidR="006E18E4">
        <w:t>.</w:t>
      </w:r>
      <w:r w:rsidR="00DD3473">
        <w:t>O</w:t>
      </w:r>
      <w:r w:rsidR="006E18E4">
        <w:t>.</w:t>
      </w:r>
      <w:r w:rsidR="00DD3473">
        <w:t xml:space="preserve"> B</w:t>
      </w:r>
      <w:r>
        <w:t>ox, but attempt to collect the physical address for responding households via a special question on the Household Survey form</w:t>
      </w:r>
      <w:r w:rsidR="0004500F">
        <w:t>. H</w:t>
      </w:r>
      <w:r w:rsidR="00231301">
        <w:t>aving a physical address for OWGM households will allow us to better link critical weather station data to household respondent data and to include these households in the Energy Supplier Survey</w:t>
      </w:r>
      <w:r w:rsidR="00C35BBB">
        <w:t>’</w:t>
      </w:r>
      <w:r w:rsidR="00B61CA7">
        <w:t>s</w:t>
      </w:r>
      <w:r w:rsidR="00231301">
        <w:t xml:space="preserve"> data collection.</w:t>
      </w:r>
    </w:p>
    <w:p w:rsidR="00F923DA" w:rsidP="000E29DA" w14:paraId="3EB5CD97" w14:textId="77777777">
      <w:r>
        <w:t>Drop points are single</w:t>
      </w:r>
      <w:r w:rsidR="0004500F">
        <w:t>-</w:t>
      </w:r>
      <w:r>
        <w:t>mail receptacles shared by multiple housing units</w:t>
      </w:r>
      <w:r w:rsidR="00CC5B5C">
        <w:t xml:space="preserve"> and there is a variable on the CDS file that indicates which addresses are drop points. </w:t>
      </w:r>
      <w:r w:rsidR="0080201B">
        <w:t>D</w:t>
      </w:r>
      <w:r w:rsidR="000B09BC">
        <w:t>rop points</w:t>
      </w:r>
      <w:r>
        <w:t xml:space="preserve"> are found primarily in </w:t>
      </w:r>
      <w:r w:rsidR="00CC6876">
        <w:t>multifamily buildings with only 2 to 4 units</w:t>
      </w:r>
      <w:r w:rsidR="0004500F">
        <w:t>,</w:t>
      </w:r>
      <w:r>
        <w:t xml:space="preserve"> and only these units </w:t>
      </w:r>
      <w:r w:rsidR="00E009C2">
        <w:t xml:space="preserve">are </w:t>
      </w:r>
      <w:r w:rsidR="0080201B">
        <w:t xml:space="preserve">included in the </w:t>
      </w:r>
      <w:r w:rsidR="00BC4C4A">
        <w:t xml:space="preserve">2024 </w:t>
      </w:r>
      <w:r w:rsidR="002C0572">
        <w:t xml:space="preserve">RECS </w:t>
      </w:r>
      <w:r w:rsidR="0080201B">
        <w:t>frame. D</w:t>
      </w:r>
      <w:r w:rsidR="00281523">
        <w:t>rop point</w:t>
      </w:r>
      <w:r w:rsidR="0080201B">
        <w:t>s</w:t>
      </w:r>
      <w:r w:rsidR="00281523">
        <w:t xml:space="preserve"> with </w:t>
      </w:r>
      <w:r w:rsidR="00120957">
        <w:t xml:space="preserve">5 </w:t>
      </w:r>
      <w:r w:rsidR="00281523">
        <w:t xml:space="preserve">or more </w:t>
      </w:r>
      <w:r w:rsidR="002D1F4C">
        <w:t>units are a</w:t>
      </w:r>
      <w:r w:rsidR="00C4180B">
        <w:t>bout</w:t>
      </w:r>
      <w:r w:rsidR="000433A0">
        <w:t xml:space="preserve"> </w:t>
      </w:r>
      <w:r w:rsidR="003D1F12">
        <w:t>25%</w:t>
      </w:r>
      <w:r w:rsidR="002D1F4C">
        <w:t xml:space="preserve"> of </w:t>
      </w:r>
      <w:r w:rsidR="002C0572">
        <w:t xml:space="preserve">the overall </w:t>
      </w:r>
      <w:r w:rsidR="002D1F4C">
        <w:t>drop points</w:t>
      </w:r>
      <w:r w:rsidR="002C0572">
        <w:t xml:space="preserve">, </w:t>
      </w:r>
      <w:r w:rsidR="002D1F4C">
        <w:t xml:space="preserve">and are likely to be institutional units </w:t>
      </w:r>
      <w:r w:rsidR="002C0572">
        <w:t xml:space="preserve">that are </w:t>
      </w:r>
      <w:r w:rsidR="002D1F4C">
        <w:t>out of scope for RECS. For these reasons</w:t>
      </w:r>
      <w:r w:rsidR="002C0572">
        <w:t>,</w:t>
      </w:r>
      <w:r w:rsidR="002D1F4C">
        <w:t xml:space="preserve"> drop points with </w:t>
      </w:r>
      <w:r w:rsidR="0004500F">
        <w:t xml:space="preserve">5 </w:t>
      </w:r>
      <w:r w:rsidR="002D1F4C">
        <w:t xml:space="preserve">or more units </w:t>
      </w:r>
      <w:r w:rsidR="00E009C2">
        <w:t xml:space="preserve">are </w:t>
      </w:r>
      <w:r w:rsidR="002D1F4C">
        <w:t>excluded from the</w:t>
      </w:r>
      <w:r w:rsidR="002C0572">
        <w:t xml:space="preserve"> </w:t>
      </w:r>
      <w:r w:rsidR="00B61CA7">
        <w:t xml:space="preserve">2024 </w:t>
      </w:r>
      <w:r w:rsidR="002C0572">
        <w:t>RECS</w:t>
      </w:r>
      <w:r w:rsidR="002D1F4C">
        <w:t xml:space="preserve"> frame.</w:t>
      </w:r>
      <w:r w:rsidR="00120957">
        <w:t xml:space="preserve"> </w:t>
      </w:r>
    </w:p>
    <w:p w:rsidR="00BD49DD" w:rsidRPr="007D0544" w:rsidP="00BD49DD" w14:paraId="5F9CE648" w14:textId="2CA7763F">
      <w:pPr>
        <w:spacing w:before="240" w:after="240"/>
      </w:pPr>
      <w:r>
        <w:t>Drop points create operational problems such that specific households cannot be targeted for mail</w:t>
      </w:r>
      <w:r w:rsidR="003D2437">
        <w:t xml:space="preserve">ing </w:t>
      </w:r>
      <w:r>
        <w:t xml:space="preserve">reminders and incentive payments. </w:t>
      </w:r>
      <w:r w:rsidR="00CC5B5C">
        <w:t xml:space="preserve">To </w:t>
      </w:r>
      <w:r w:rsidR="00442D48">
        <w:t>eliminate</w:t>
      </w:r>
      <w:r w:rsidRPr="007D0544" w:rsidR="00442D48">
        <w:t xml:space="preserve"> the need for</w:t>
      </w:r>
      <w:r w:rsidR="00442D48">
        <w:t xml:space="preserve"> a </w:t>
      </w:r>
      <w:r w:rsidRPr="007D0544" w:rsidR="00442D48">
        <w:t>special data collection protocol</w:t>
      </w:r>
      <w:r w:rsidR="00442D48">
        <w:t xml:space="preserve"> for sampled drop point housing units, </w:t>
      </w:r>
      <w:r w:rsidR="00231301">
        <w:t xml:space="preserve">EIA and its contractor </w:t>
      </w:r>
      <w:r w:rsidR="002113C0">
        <w:t>will</w:t>
      </w:r>
      <w:r w:rsidR="00404850">
        <w:t xml:space="preserve"> statistically</w:t>
      </w:r>
      <w:r w:rsidR="002113C0">
        <w:t xml:space="preserve"> substitute </w:t>
      </w:r>
      <w:r w:rsidR="002D1F4C">
        <w:t xml:space="preserve">any </w:t>
      </w:r>
      <w:r w:rsidR="00442D48">
        <w:t xml:space="preserve">selected </w:t>
      </w:r>
      <w:r w:rsidR="002D1F4C">
        <w:t xml:space="preserve">drop point address </w:t>
      </w:r>
      <w:r w:rsidR="00775DD8">
        <w:t>with a no</w:t>
      </w:r>
      <w:r w:rsidR="00442D48">
        <w:t>n</w:t>
      </w:r>
      <w:r w:rsidR="00775DD8">
        <w:t>-drop</w:t>
      </w:r>
      <w:r w:rsidR="00576C32">
        <w:t xml:space="preserve"> </w:t>
      </w:r>
      <w:r w:rsidR="00775DD8">
        <w:t>point</w:t>
      </w:r>
      <w:r w:rsidR="00404850">
        <w:t xml:space="preserve"> multi-family</w:t>
      </w:r>
      <w:r w:rsidR="002D1F4C">
        <w:t xml:space="preserve"> (in most cases physical) neighbor</w:t>
      </w:r>
      <w:r w:rsidR="00404850">
        <w:t xml:space="preserve"> </w:t>
      </w:r>
      <w:r w:rsidR="002D1F4C">
        <w:t xml:space="preserve"> </w:t>
      </w:r>
      <w:r w:rsidR="00442D48">
        <w:t xml:space="preserve">Under </w:t>
      </w:r>
      <w:r w:rsidR="007B75D7">
        <w:t>th</w:t>
      </w:r>
      <w:r w:rsidR="00442D48">
        <w:t>is</w:t>
      </w:r>
      <w:r w:rsidR="007B75D7">
        <w:t xml:space="preserve"> substitution approach, i</w:t>
      </w:r>
      <w:r w:rsidRPr="007D0544">
        <w:t>f a drop</w:t>
      </w:r>
      <w:r w:rsidR="001409BB">
        <w:t xml:space="preserve"> </w:t>
      </w:r>
      <w:r w:rsidRPr="00B14B5F" w:rsidR="001409BB">
        <w:t>point</w:t>
      </w:r>
      <w:r w:rsidRPr="007D0544">
        <w:t xml:space="preserve"> unit </w:t>
      </w:r>
      <w:r w:rsidR="00E009C2">
        <w:t>was</w:t>
      </w:r>
      <w:r w:rsidRPr="007D0544" w:rsidR="00E009C2">
        <w:t xml:space="preserve"> </w:t>
      </w:r>
      <w:r w:rsidRPr="007D0544">
        <w:t>selected, a substitute unit in a non-drop point multi-unit building with the same number of units will be</w:t>
      </w:r>
      <w:r w:rsidR="000D09C6">
        <w:t xml:space="preserve"> randomly</w:t>
      </w:r>
      <w:r w:rsidRPr="007D0544">
        <w:t xml:space="preserve"> </w:t>
      </w:r>
      <w:r w:rsidR="0084597A">
        <w:t>sampled</w:t>
      </w:r>
      <w:r w:rsidRPr="007D0544" w:rsidR="0084597A">
        <w:t xml:space="preserve"> </w:t>
      </w:r>
      <w:r w:rsidR="00442D48">
        <w:t>instead</w:t>
      </w:r>
      <w:r w:rsidRPr="007D0544">
        <w:t xml:space="preserve">. </w:t>
      </w:r>
      <w:r w:rsidR="00404850">
        <w:t xml:space="preserve">This method was chosen because </w:t>
      </w:r>
      <w:r w:rsidRPr="007D0544" w:rsidR="00404850">
        <w:t xml:space="preserve">most drop points </w:t>
      </w:r>
      <w:r w:rsidR="00404850">
        <w:t>are</w:t>
      </w:r>
      <w:r w:rsidRPr="007D0544" w:rsidR="00404850">
        <w:t xml:space="preserve"> </w:t>
      </w:r>
      <w:r w:rsidR="00404850">
        <w:t xml:space="preserve">expected to be </w:t>
      </w:r>
      <w:r w:rsidRPr="007D0544" w:rsidR="00404850">
        <w:t>similar in</w:t>
      </w:r>
      <w:r w:rsidR="00404850">
        <w:t xml:space="preserve"> </w:t>
      </w:r>
      <w:r w:rsidRPr="007D0544" w:rsidR="00404850">
        <w:t>building structure to their</w:t>
      </w:r>
      <w:r w:rsidR="00404850">
        <w:t xml:space="preserve"> non-drop point</w:t>
      </w:r>
      <w:r w:rsidRPr="007D0544" w:rsidR="00404850">
        <w:t xml:space="preserve"> neighbors</w:t>
      </w:r>
      <w:r w:rsidR="00F911AA">
        <w:t>.</w:t>
      </w:r>
      <w:r>
        <w:rPr>
          <w:rStyle w:val="FootnoteReference"/>
        </w:rPr>
        <w:footnoteReference w:id="5"/>
      </w:r>
      <w:r w:rsidRPr="00C57A98" w:rsidR="00404850">
        <w:rPr>
          <w:vertAlign w:val="superscript"/>
        </w:rPr>
        <w:t>,</w:t>
      </w:r>
      <w:r w:rsidR="00966CA7">
        <w:rPr>
          <w:vertAlign w:val="superscript"/>
        </w:rPr>
        <w:t xml:space="preserve"> </w:t>
      </w:r>
      <w:r>
        <w:rPr>
          <w:rStyle w:val="FootnoteReference"/>
        </w:rPr>
        <w:footnoteReference w:id="6"/>
      </w:r>
    </w:p>
    <w:p w:rsidR="00DB2E02" w:rsidRPr="007D0544" w:rsidP="00DB2E02" w14:paraId="213B3C7D" w14:textId="77777777">
      <w:pPr>
        <w:rPr>
          <w:b/>
        </w:rPr>
      </w:pPr>
      <w:r>
        <w:rPr>
          <w:b/>
        </w:rPr>
        <w:t xml:space="preserve">Determining </w:t>
      </w:r>
      <w:r w:rsidR="00537BA6">
        <w:rPr>
          <w:b/>
        </w:rPr>
        <w:t>T</w:t>
      </w:r>
      <w:r w:rsidR="00FE31AF">
        <w:rPr>
          <w:b/>
        </w:rPr>
        <w:t xml:space="preserve">argeted </w:t>
      </w:r>
      <w:r w:rsidR="006C4174">
        <w:rPr>
          <w:b/>
        </w:rPr>
        <w:t>C</w:t>
      </w:r>
      <w:r w:rsidRPr="007D0544" w:rsidR="00CD2246">
        <w:rPr>
          <w:b/>
        </w:rPr>
        <w:t>omplete</w:t>
      </w:r>
      <w:r w:rsidR="00072EB4">
        <w:rPr>
          <w:b/>
        </w:rPr>
        <w:t>d</w:t>
      </w:r>
      <w:r w:rsidRPr="007D0544">
        <w:rPr>
          <w:b/>
        </w:rPr>
        <w:t xml:space="preserve"> </w:t>
      </w:r>
      <w:r w:rsidR="00E27ED1">
        <w:rPr>
          <w:b/>
        </w:rPr>
        <w:t>Cases</w:t>
      </w:r>
    </w:p>
    <w:p w:rsidR="00891B35" w:rsidP="00891B35" w14:paraId="788C4333" w14:textId="77777777">
      <w:pPr>
        <w:pStyle w:val="BodyText"/>
      </w:pPr>
      <w:r>
        <w:t xml:space="preserve">To meet the RSE requirements presented in Table </w:t>
      </w:r>
      <w:r w:rsidR="00D80001">
        <w:t>1</w:t>
      </w:r>
      <w:r>
        <w:t xml:space="preserve"> above, the 2024 RECS </w:t>
      </w:r>
      <w:r w:rsidR="00B74F78">
        <w:t>will use</w:t>
      </w:r>
      <w:r>
        <w:t xml:space="preserve"> a stratified sample design by geographic area, which consists of 61 strat</w:t>
      </w:r>
      <w:r w:rsidR="00537BA6">
        <w:t>a</w:t>
      </w:r>
      <w:r w:rsidR="006B317C">
        <w:t>.</w:t>
      </w:r>
      <w:r>
        <w:t xml:space="preserve"> The 61 strat</w:t>
      </w:r>
      <w:r w:rsidR="00537BA6">
        <w:t>a</w:t>
      </w:r>
      <w:r>
        <w:t xml:space="preserve"> include 40 states, </w:t>
      </w:r>
      <w:r w:rsidR="00537BA6">
        <w:t>DC</w:t>
      </w:r>
      <w:r>
        <w:t>, 10 MSAs</w:t>
      </w:r>
      <w:r w:rsidR="003D1F12">
        <w:t xml:space="preserve"> from the remaining 10 states,</w:t>
      </w:r>
      <w:r w:rsidR="00DE399D">
        <w:t xml:space="preserve"> </w:t>
      </w:r>
      <w:r w:rsidR="003D1F12">
        <w:t>and the remaining part of the 10 states that have MSAs</w:t>
      </w:r>
      <w:r>
        <w:t xml:space="preserve">. </w:t>
      </w:r>
      <w:r w:rsidR="003D1F12">
        <w:t xml:space="preserve">For example, GA will be divided into two strata, one for the Atlanta-Sandy Springs – Roswell MSA, and the other one for </w:t>
      </w:r>
      <w:r w:rsidR="003D1F12">
        <w:t xml:space="preserve">the rest of GA. </w:t>
      </w:r>
      <w:r w:rsidR="0050692C">
        <w:rPr>
          <w:rFonts w:eastAsia="SimSun"/>
          <w:lang w:eastAsia="zh-CN"/>
        </w:rPr>
        <w:t>To simplify the process of the sample allocation, we will also set 5% RSE targets for the remaining part of the 10 states that have MSAs.</w:t>
      </w:r>
    </w:p>
    <w:p w:rsidR="00891B35" w:rsidRPr="00797755" w:rsidP="00891B35" w14:paraId="37FAF9C8" w14:textId="77777777">
      <w:pPr>
        <w:pStyle w:val="BodyText"/>
        <w:rPr>
          <w:rFonts w:eastAsia="SimSun"/>
          <w:lang w:eastAsia="zh-CN"/>
        </w:rPr>
      </w:pPr>
      <w:r>
        <w:t xml:space="preserve">The sample allocation optimization process </w:t>
      </w:r>
      <w:r w:rsidR="00D80001">
        <w:t>will rely</w:t>
      </w:r>
      <w:r>
        <w:t xml:space="preserve"> on a “bottom-up” approach. </w:t>
      </w:r>
      <w:r w:rsidRPr="00797755">
        <w:rPr>
          <w:rFonts w:eastAsia="SimSun"/>
          <w:lang w:eastAsia="zh-CN"/>
        </w:rPr>
        <w:t xml:space="preserve">First, we </w:t>
      </w:r>
      <w:r w:rsidR="00D80001">
        <w:rPr>
          <w:rFonts w:eastAsia="SimSun"/>
          <w:lang w:eastAsia="zh-CN"/>
        </w:rPr>
        <w:t xml:space="preserve">will </w:t>
      </w:r>
      <w:r w:rsidRPr="00797755">
        <w:rPr>
          <w:rFonts w:eastAsia="SimSun"/>
          <w:lang w:eastAsia="zh-CN"/>
        </w:rPr>
        <w:t>calculate</w:t>
      </w:r>
      <w:r w:rsidR="00D80001">
        <w:rPr>
          <w:rFonts w:eastAsia="SimSun"/>
          <w:lang w:eastAsia="zh-CN"/>
        </w:rPr>
        <w:t xml:space="preserve"> </w:t>
      </w:r>
      <w:r w:rsidRPr="00797755">
        <w:rPr>
          <w:rFonts w:eastAsia="SimSun"/>
          <w:lang w:eastAsia="zh-CN"/>
        </w:rPr>
        <w:t xml:space="preserve">the sample sizes needed to meet the RSE requirements for </w:t>
      </w:r>
      <w:r w:rsidR="00802187">
        <w:rPr>
          <w:rFonts w:eastAsia="SimSun"/>
          <w:lang w:eastAsia="zh-CN"/>
        </w:rPr>
        <w:t xml:space="preserve">the average </w:t>
      </w:r>
      <w:r w:rsidRPr="00797755">
        <w:rPr>
          <w:rFonts w:eastAsia="SimSun"/>
          <w:lang w:eastAsia="zh-CN"/>
        </w:rPr>
        <w:t xml:space="preserve">total </w:t>
      </w:r>
      <w:r w:rsidR="00802187">
        <w:rPr>
          <w:rFonts w:eastAsia="SimSun"/>
          <w:lang w:eastAsia="zh-CN"/>
        </w:rPr>
        <w:t>energy consumption</w:t>
      </w:r>
      <w:r w:rsidR="00AA273B">
        <w:rPr>
          <w:rFonts w:eastAsia="SimSun"/>
          <w:lang w:eastAsia="zh-CN"/>
        </w:rPr>
        <w:t xml:space="preserve"> </w:t>
      </w:r>
      <w:r w:rsidR="00903D1E">
        <w:rPr>
          <w:rFonts w:eastAsia="SimSun"/>
          <w:lang w:eastAsia="zh-CN"/>
        </w:rPr>
        <w:t>at the strata level</w:t>
      </w:r>
      <w:r w:rsidR="00CC02FB">
        <w:rPr>
          <w:rFonts w:eastAsia="SimSun"/>
          <w:lang w:eastAsia="zh-CN"/>
        </w:rPr>
        <w:t xml:space="preserve"> </w:t>
      </w:r>
      <w:r w:rsidR="00903D1E">
        <w:rPr>
          <w:rFonts w:eastAsia="SimSun"/>
          <w:lang w:eastAsia="zh-CN"/>
        </w:rPr>
        <w:t>(</w:t>
      </w:r>
      <w:r w:rsidR="000433A0">
        <w:rPr>
          <w:rFonts w:eastAsia="SimSun"/>
          <w:lang w:eastAsia="zh-CN"/>
        </w:rPr>
        <w:t>e.g.,</w:t>
      </w:r>
      <w:r w:rsidR="00903D1E">
        <w:rPr>
          <w:rFonts w:eastAsia="SimSun"/>
          <w:lang w:eastAsia="zh-CN"/>
        </w:rPr>
        <w:t xml:space="preserve"> 4% for </w:t>
      </w:r>
      <w:r w:rsidR="0050692C">
        <w:rPr>
          <w:rFonts w:eastAsia="SimSun"/>
          <w:lang w:eastAsia="zh-CN"/>
        </w:rPr>
        <w:t xml:space="preserve">Idaho, </w:t>
      </w:r>
      <w:r w:rsidR="00903D1E">
        <w:rPr>
          <w:rFonts w:eastAsia="SimSun"/>
          <w:lang w:eastAsia="zh-CN"/>
        </w:rPr>
        <w:t xml:space="preserve">5% for the </w:t>
      </w:r>
      <w:r w:rsidR="0050692C">
        <w:rPr>
          <w:rFonts w:eastAsia="SimSun"/>
          <w:lang w:eastAsia="zh-CN"/>
        </w:rPr>
        <w:t xml:space="preserve">Atlanta </w:t>
      </w:r>
      <w:r w:rsidR="00903D1E">
        <w:rPr>
          <w:rFonts w:eastAsia="SimSun"/>
          <w:lang w:eastAsia="zh-CN"/>
        </w:rPr>
        <w:t>MSAs</w:t>
      </w:r>
      <w:r w:rsidR="0050692C">
        <w:rPr>
          <w:rFonts w:eastAsia="SimSun"/>
          <w:lang w:eastAsia="zh-CN"/>
        </w:rPr>
        <w:t>, 5% for the remainder of GA outside the Atlanta MSA</w:t>
      </w:r>
      <w:r w:rsidR="00903D1E">
        <w:rPr>
          <w:rFonts w:eastAsia="SimSun"/>
          <w:lang w:eastAsia="zh-CN"/>
        </w:rPr>
        <w:t>)</w:t>
      </w:r>
      <w:r w:rsidR="00DC193C">
        <w:rPr>
          <w:rFonts w:eastAsia="SimSun"/>
          <w:lang w:eastAsia="zh-CN"/>
        </w:rPr>
        <w:t xml:space="preserve"> </w:t>
      </w:r>
      <w:r w:rsidR="00D80001">
        <w:rPr>
          <w:rFonts w:eastAsia="SimSun"/>
          <w:lang w:eastAsia="zh-CN"/>
        </w:rPr>
        <w:t>based on</w:t>
      </w:r>
      <w:r w:rsidR="000F0E99">
        <w:rPr>
          <w:rFonts w:eastAsia="SimSun"/>
          <w:lang w:eastAsia="zh-CN"/>
        </w:rPr>
        <w:t xml:space="preserve"> the weighted means and standard deviations calculated from the 2020 REC</w:t>
      </w:r>
      <w:r w:rsidR="00D80001">
        <w:rPr>
          <w:rFonts w:eastAsia="SimSun"/>
          <w:lang w:eastAsia="zh-CN"/>
        </w:rPr>
        <w:t>S</w:t>
      </w:r>
      <w:r w:rsidRPr="00797755">
        <w:rPr>
          <w:rFonts w:eastAsia="SimSun"/>
          <w:lang w:eastAsia="zh-CN"/>
        </w:rPr>
        <w:t>.</w:t>
      </w:r>
      <w:r w:rsidR="00903D1E">
        <w:rPr>
          <w:rFonts w:eastAsia="SimSun"/>
          <w:lang w:eastAsia="zh-CN"/>
        </w:rPr>
        <w:t xml:space="preserve"> </w:t>
      </w:r>
      <w:r w:rsidRPr="00797755">
        <w:rPr>
          <w:rFonts w:eastAsia="SimSun"/>
          <w:lang w:eastAsia="zh-CN"/>
        </w:rPr>
        <w:t xml:space="preserve">These stratum sample sizes </w:t>
      </w:r>
      <w:r w:rsidR="00D80001">
        <w:rPr>
          <w:rFonts w:eastAsia="SimSun"/>
          <w:lang w:eastAsia="zh-CN"/>
        </w:rPr>
        <w:t>will</w:t>
      </w:r>
      <w:r w:rsidRPr="00797755">
        <w:rPr>
          <w:rFonts w:eastAsia="SimSun"/>
          <w:lang w:eastAsia="zh-CN"/>
        </w:rPr>
        <w:t xml:space="preserve"> then</w:t>
      </w:r>
      <w:r w:rsidR="00D80001">
        <w:rPr>
          <w:rFonts w:eastAsia="SimSun"/>
          <w:lang w:eastAsia="zh-CN"/>
        </w:rPr>
        <w:t xml:space="preserve"> be</w:t>
      </w:r>
      <w:r w:rsidRPr="00797755">
        <w:rPr>
          <w:rFonts w:eastAsia="SimSun"/>
          <w:lang w:eastAsia="zh-CN"/>
        </w:rPr>
        <w:t xml:space="preserve"> used to compute </w:t>
      </w:r>
      <w:r w:rsidR="00AC5412">
        <w:rPr>
          <w:rFonts w:eastAsia="SimSun"/>
          <w:lang w:eastAsia="zh-CN"/>
        </w:rPr>
        <w:t xml:space="preserve">the </w:t>
      </w:r>
      <w:r w:rsidRPr="00797755">
        <w:rPr>
          <w:rFonts w:eastAsia="SimSun"/>
          <w:lang w:eastAsia="zh-CN"/>
        </w:rPr>
        <w:t>expected RSEs</w:t>
      </w:r>
      <w:r w:rsidR="00CB4D92">
        <w:rPr>
          <w:rFonts w:eastAsia="SimSun"/>
          <w:lang w:eastAsia="zh-CN"/>
        </w:rPr>
        <w:t xml:space="preserve"> (standard error/mean)</w:t>
      </w:r>
      <w:r w:rsidRPr="00797755">
        <w:rPr>
          <w:rFonts w:eastAsia="SimSun"/>
          <w:lang w:eastAsia="zh-CN"/>
        </w:rPr>
        <w:t xml:space="preserve"> </w:t>
      </w:r>
      <w:r w:rsidR="00CB4D92">
        <w:rPr>
          <w:rFonts w:eastAsia="SimSun"/>
          <w:lang w:eastAsia="zh-CN"/>
        </w:rPr>
        <w:t>at the</w:t>
      </w:r>
      <w:r w:rsidRPr="00797755" w:rsidR="00CB4D92">
        <w:rPr>
          <w:rFonts w:eastAsia="SimSun"/>
          <w:lang w:eastAsia="zh-CN"/>
        </w:rPr>
        <w:t xml:space="preserve"> </w:t>
      </w:r>
      <w:r w:rsidRPr="00797755">
        <w:rPr>
          <w:rFonts w:eastAsia="SimSun"/>
          <w:lang w:eastAsia="zh-CN"/>
        </w:rPr>
        <w:t>division</w:t>
      </w:r>
      <w:r w:rsidR="00CB4D92">
        <w:rPr>
          <w:rFonts w:eastAsia="SimSun"/>
          <w:lang w:eastAsia="zh-CN"/>
        </w:rPr>
        <w:t xml:space="preserve"> level</w:t>
      </w:r>
      <w:r w:rsidRPr="00797755">
        <w:rPr>
          <w:rFonts w:eastAsia="SimSun"/>
          <w:lang w:eastAsia="zh-CN"/>
        </w:rPr>
        <w:t xml:space="preserve">. </w:t>
      </w:r>
      <w:r w:rsidR="00B53FD7">
        <w:rPr>
          <w:rFonts w:eastAsia="SimSun"/>
          <w:lang w:eastAsia="zh-CN"/>
        </w:rPr>
        <w:t>I</w:t>
      </w:r>
      <w:r w:rsidR="0057613A">
        <w:rPr>
          <w:rFonts w:eastAsia="SimSun"/>
          <w:lang w:eastAsia="zh-CN"/>
        </w:rPr>
        <w:t xml:space="preserve">f </w:t>
      </w:r>
      <w:r w:rsidR="008C5217">
        <w:rPr>
          <w:rFonts w:eastAsia="SimSun"/>
          <w:lang w:eastAsia="zh-CN"/>
        </w:rPr>
        <w:t>an</w:t>
      </w:r>
      <w:r w:rsidR="00B74F78">
        <w:rPr>
          <w:rFonts w:eastAsia="SimSun"/>
          <w:lang w:eastAsia="zh-CN"/>
        </w:rPr>
        <w:t xml:space="preserve"> </w:t>
      </w:r>
      <w:r w:rsidR="00AE0009">
        <w:rPr>
          <w:rFonts w:eastAsia="SimSun"/>
          <w:lang w:eastAsia="zh-CN"/>
        </w:rPr>
        <w:t xml:space="preserve">expected RSE </w:t>
      </w:r>
      <w:r w:rsidR="000A3CD9">
        <w:rPr>
          <w:rFonts w:eastAsia="SimSun"/>
          <w:lang w:eastAsia="zh-CN"/>
        </w:rPr>
        <w:t>do</w:t>
      </w:r>
      <w:r w:rsidR="00B74F78">
        <w:rPr>
          <w:rFonts w:eastAsia="SimSun"/>
          <w:lang w:eastAsia="zh-CN"/>
        </w:rPr>
        <w:t>es</w:t>
      </w:r>
      <w:r w:rsidR="000A3CD9">
        <w:rPr>
          <w:rFonts w:eastAsia="SimSun"/>
          <w:lang w:eastAsia="zh-CN"/>
        </w:rPr>
        <w:t xml:space="preserve"> not</w:t>
      </w:r>
      <w:r w:rsidR="00AE0009">
        <w:rPr>
          <w:rFonts w:eastAsia="SimSun"/>
          <w:lang w:eastAsia="zh-CN"/>
        </w:rPr>
        <w:t xml:space="preserve"> meet </w:t>
      </w:r>
      <w:r w:rsidR="00B74F78">
        <w:rPr>
          <w:rFonts w:eastAsia="SimSun"/>
          <w:lang w:eastAsia="zh-CN"/>
        </w:rPr>
        <w:t xml:space="preserve">the </w:t>
      </w:r>
      <w:r w:rsidR="00AE0009">
        <w:rPr>
          <w:rFonts w:eastAsia="SimSun"/>
          <w:lang w:eastAsia="zh-CN"/>
        </w:rPr>
        <w:t xml:space="preserve">required RSE </w:t>
      </w:r>
      <w:r w:rsidR="007B2CDE">
        <w:rPr>
          <w:rFonts w:eastAsia="SimSun"/>
          <w:lang w:eastAsia="zh-CN"/>
        </w:rPr>
        <w:t>(</w:t>
      </w:r>
      <w:r w:rsidR="00AA5F3A">
        <w:rPr>
          <w:rFonts w:eastAsia="SimSun"/>
          <w:lang w:eastAsia="zh-CN"/>
        </w:rPr>
        <w:t>e.g</w:t>
      </w:r>
      <w:r w:rsidR="007B2CDE">
        <w:rPr>
          <w:rFonts w:eastAsia="SimSun"/>
          <w:lang w:eastAsia="zh-CN"/>
        </w:rPr>
        <w:t xml:space="preserve">., </w:t>
      </w:r>
      <w:r w:rsidR="00AA273B">
        <w:rPr>
          <w:rFonts w:eastAsia="SimSun"/>
          <w:lang w:eastAsia="zh-CN"/>
        </w:rPr>
        <w:t xml:space="preserve">3% in the </w:t>
      </w:r>
      <w:r w:rsidR="007B2CDE">
        <w:rPr>
          <w:rFonts w:eastAsia="SimSun"/>
          <w:lang w:eastAsia="zh-CN"/>
        </w:rPr>
        <w:t>Pacific division)</w:t>
      </w:r>
      <w:r w:rsidR="002D5526">
        <w:rPr>
          <w:rFonts w:eastAsia="SimSun"/>
          <w:lang w:eastAsia="zh-CN"/>
        </w:rPr>
        <w:t>, then</w:t>
      </w:r>
      <w:r w:rsidR="0057613A">
        <w:rPr>
          <w:rFonts w:eastAsia="SimSun"/>
          <w:lang w:eastAsia="zh-CN"/>
        </w:rPr>
        <w:t xml:space="preserve"> </w:t>
      </w:r>
      <w:r w:rsidRPr="00797755">
        <w:rPr>
          <w:rFonts w:eastAsia="SimSun"/>
          <w:lang w:eastAsia="zh-CN"/>
        </w:rPr>
        <w:t xml:space="preserve">we </w:t>
      </w:r>
      <w:r w:rsidR="002B638D">
        <w:rPr>
          <w:rFonts w:eastAsia="SimSun"/>
          <w:lang w:eastAsia="zh-CN"/>
        </w:rPr>
        <w:t xml:space="preserve">will </w:t>
      </w:r>
      <w:r w:rsidRPr="00797755">
        <w:rPr>
          <w:rFonts w:eastAsia="SimSun"/>
          <w:lang w:eastAsia="zh-CN"/>
        </w:rPr>
        <w:t>determine the minimum sample</w:t>
      </w:r>
      <w:r w:rsidR="00EC2B09">
        <w:rPr>
          <w:rFonts w:eastAsia="SimSun"/>
          <w:lang w:eastAsia="zh-CN"/>
        </w:rPr>
        <w:t xml:space="preserve"> size</w:t>
      </w:r>
      <w:r w:rsidRPr="00797755">
        <w:rPr>
          <w:rFonts w:eastAsia="SimSun"/>
          <w:lang w:eastAsia="zh-CN"/>
        </w:rPr>
        <w:t xml:space="preserve"> needed</w:t>
      </w:r>
      <w:r w:rsidR="00485F90">
        <w:rPr>
          <w:rFonts w:eastAsia="SimSun"/>
          <w:lang w:eastAsia="zh-CN"/>
        </w:rPr>
        <w:t xml:space="preserve"> to mee</w:t>
      </w:r>
      <w:r w:rsidRPr="00797755">
        <w:rPr>
          <w:rFonts w:eastAsia="SimSun"/>
          <w:lang w:eastAsia="zh-CN"/>
        </w:rPr>
        <w:t>t the division requirement</w:t>
      </w:r>
      <w:r w:rsidR="00631428">
        <w:rPr>
          <w:rFonts w:eastAsia="SimSun"/>
          <w:lang w:eastAsia="zh-CN"/>
        </w:rPr>
        <w:t xml:space="preserve"> using the division-level means and standard deviations calculated from the 2020 RECS</w:t>
      </w:r>
      <w:r w:rsidR="00B74F78">
        <w:rPr>
          <w:rFonts w:eastAsia="SimSun"/>
          <w:lang w:eastAsia="zh-CN"/>
        </w:rPr>
        <w:t>.</w:t>
      </w:r>
      <w:r w:rsidR="000542F0">
        <w:rPr>
          <w:rFonts w:eastAsia="SimSun"/>
          <w:lang w:eastAsia="zh-CN"/>
        </w:rPr>
        <w:t xml:space="preserve"> </w:t>
      </w:r>
      <w:r w:rsidR="00B74F78">
        <w:rPr>
          <w:rFonts w:eastAsia="SimSun"/>
          <w:lang w:eastAsia="zh-CN"/>
        </w:rPr>
        <w:t>T</w:t>
      </w:r>
      <w:r w:rsidR="00AA273B">
        <w:rPr>
          <w:rFonts w:eastAsia="SimSun"/>
          <w:lang w:eastAsia="zh-CN"/>
        </w:rPr>
        <w:t xml:space="preserve">his minimum sample size </w:t>
      </w:r>
      <w:r w:rsidR="000A3CD9">
        <w:rPr>
          <w:rFonts w:eastAsia="SimSun"/>
          <w:lang w:eastAsia="zh-CN"/>
        </w:rPr>
        <w:t xml:space="preserve">will be </w:t>
      </w:r>
      <w:r w:rsidRPr="00797755">
        <w:rPr>
          <w:rFonts w:eastAsia="SimSun"/>
          <w:lang w:eastAsia="zh-CN"/>
        </w:rPr>
        <w:t xml:space="preserve">allocated </w:t>
      </w:r>
      <w:r w:rsidR="00224CC1">
        <w:rPr>
          <w:rFonts w:eastAsia="SimSun"/>
          <w:lang w:eastAsia="zh-CN"/>
        </w:rPr>
        <w:t>using the Neyman allocation method</w:t>
      </w:r>
      <w:r w:rsidRPr="00797755">
        <w:rPr>
          <w:rFonts w:eastAsia="SimSun"/>
          <w:lang w:eastAsia="zh-CN"/>
        </w:rPr>
        <w:t xml:space="preserve"> to the </w:t>
      </w:r>
      <w:r w:rsidR="000542F0">
        <w:rPr>
          <w:rFonts w:eastAsia="SimSun"/>
          <w:lang w:eastAsia="zh-CN"/>
        </w:rPr>
        <w:t xml:space="preserve">corresponding </w:t>
      </w:r>
      <w:r w:rsidRPr="00797755">
        <w:rPr>
          <w:rFonts w:eastAsia="SimSun"/>
          <w:lang w:eastAsia="zh-CN"/>
        </w:rPr>
        <w:t xml:space="preserve">strata in </w:t>
      </w:r>
      <w:r w:rsidR="000542F0">
        <w:rPr>
          <w:rFonts w:eastAsia="SimSun"/>
          <w:lang w:eastAsia="zh-CN"/>
        </w:rPr>
        <w:t>the</w:t>
      </w:r>
      <w:r w:rsidR="00EC2B09">
        <w:rPr>
          <w:rFonts w:eastAsia="SimSun"/>
          <w:lang w:eastAsia="zh-CN"/>
        </w:rPr>
        <w:t xml:space="preserve"> </w:t>
      </w:r>
      <w:r w:rsidRPr="00485F90">
        <w:rPr>
          <w:rFonts w:eastAsia="SimSun"/>
          <w:lang w:eastAsia="zh-CN"/>
        </w:rPr>
        <w:t xml:space="preserve">division. </w:t>
      </w:r>
      <w:r w:rsidRPr="00C57A98">
        <w:rPr>
          <w:rFonts w:eastAsia="SimSun"/>
          <w:lang w:eastAsia="zh-CN"/>
        </w:rPr>
        <w:t xml:space="preserve">The updated stratum sample size </w:t>
      </w:r>
      <w:r w:rsidR="000A3CD9">
        <w:rPr>
          <w:rFonts w:eastAsia="SimSun"/>
          <w:lang w:eastAsia="zh-CN"/>
        </w:rPr>
        <w:t>will</w:t>
      </w:r>
      <w:r w:rsidRPr="00C57A98">
        <w:rPr>
          <w:rFonts w:eastAsia="SimSun"/>
          <w:lang w:eastAsia="zh-CN"/>
        </w:rPr>
        <w:t xml:space="preserve"> then </w:t>
      </w:r>
      <w:r w:rsidR="000A3CD9">
        <w:rPr>
          <w:rFonts w:eastAsia="SimSun"/>
          <w:lang w:eastAsia="zh-CN"/>
        </w:rPr>
        <w:t xml:space="preserve">be </w:t>
      </w:r>
      <w:r w:rsidRPr="00C57A98">
        <w:rPr>
          <w:rFonts w:eastAsia="SimSun"/>
          <w:lang w:eastAsia="zh-CN"/>
        </w:rPr>
        <w:t xml:space="preserve">the </w:t>
      </w:r>
      <w:r w:rsidR="00320C6E">
        <w:rPr>
          <w:rFonts w:eastAsia="SimSun"/>
          <w:lang w:eastAsia="zh-CN"/>
        </w:rPr>
        <w:t xml:space="preserve">larger of the sample sizes needed to meet </w:t>
      </w:r>
      <w:r w:rsidR="00535E61">
        <w:rPr>
          <w:rFonts w:eastAsia="SimSun"/>
          <w:lang w:eastAsia="zh-CN"/>
        </w:rPr>
        <w:t>both</w:t>
      </w:r>
      <w:r w:rsidR="00320C6E">
        <w:rPr>
          <w:rFonts w:eastAsia="SimSun"/>
          <w:lang w:eastAsia="zh-CN"/>
        </w:rPr>
        <w:t xml:space="preserve"> the </w:t>
      </w:r>
      <w:r w:rsidRPr="00C57A98">
        <w:rPr>
          <w:rFonts w:eastAsia="SimSun"/>
          <w:lang w:eastAsia="zh-CN"/>
        </w:rPr>
        <w:t>stratum</w:t>
      </w:r>
      <w:r w:rsidR="00320C6E">
        <w:rPr>
          <w:rFonts w:eastAsia="SimSun"/>
          <w:lang w:eastAsia="zh-CN"/>
        </w:rPr>
        <w:t xml:space="preserve"> requirements </w:t>
      </w:r>
      <w:r w:rsidR="00535E61">
        <w:rPr>
          <w:rFonts w:eastAsia="SimSun"/>
          <w:lang w:eastAsia="zh-CN"/>
        </w:rPr>
        <w:t>and</w:t>
      </w:r>
      <w:r w:rsidR="00320C6E">
        <w:rPr>
          <w:rFonts w:eastAsia="SimSun"/>
          <w:lang w:eastAsia="zh-CN"/>
        </w:rPr>
        <w:t xml:space="preserve"> the </w:t>
      </w:r>
      <w:r w:rsidRPr="00C57A98">
        <w:rPr>
          <w:rFonts w:eastAsia="SimSun"/>
          <w:lang w:eastAsia="zh-CN"/>
        </w:rPr>
        <w:t>division requirements.</w:t>
      </w:r>
      <w:r w:rsidRPr="00485F90">
        <w:rPr>
          <w:rFonts w:eastAsia="SimSun"/>
          <w:lang w:eastAsia="zh-CN"/>
        </w:rPr>
        <w:t xml:space="preserve"> </w:t>
      </w:r>
      <w:r w:rsidR="000A3CD9">
        <w:rPr>
          <w:rFonts w:eastAsia="SimSun"/>
          <w:lang w:eastAsia="zh-CN"/>
        </w:rPr>
        <w:t>T</w:t>
      </w:r>
      <w:r w:rsidRPr="00485F90" w:rsidR="00485F90">
        <w:rPr>
          <w:rFonts w:eastAsia="SimSun"/>
          <w:lang w:eastAsia="zh-CN"/>
        </w:rPr>
        <w:t xml:space="preserve">he same allocation process </w:t>
      </w:r>
      <w:r w:rsidR="000A3CD9">
        <w:rPr>
          <w:rFonts w:eastAsia="SimSun"/>
          <w:lang w:eastAsia="zh-CN"/>
        </w:rPr>
        <w:t>will be</w:t>
      </w:r>
      <w:r w:rsidRPr="00485F90" w:rsidR="00485F90">
        <w:rPr>
          <w:rFonts w:eastAsia="SimSun"/>
          <w:lang w:eastAsia="zh-CN"/>
        </w:rPr>
        <w:t xml:space="preserve"> used to verify that </w:t>
      </w:r>
      <w:r w:rsidRPr="00485F90">
        <w:rPr>
          <w:rFonts w:eastAsia="SimSun"/>
          <w:lang w:eastAsia="zh-CN"/>
        </w:rPr>
        <w:t>the resulting stratum sample sizes satisf</w:t>
      </w:r>
      <w:r w:rsidR="00B53FD7">
        <w:rPr>
          <w:rFonts w:eastAsia="SimSun"/>
          <w:lang w:eastAsia="zh-CN"/>
        </w:rPr>
        <w:t>y</w:t>
      </w:r>
      <w:r w:rsidRPr="00485F90">
        <w:rPr>
          <w:rFonts w:eastAsia="SimSun"/>
          <w:lang w:eastAsia="zh-CN"/>
        </w:rPr>
        <w:t xml:space="preserve"> the regional </w:t>
      </w:r>
      <w:r w:rsidR="00AA273B">
        <w:rPr>
          <w:rFonts w:eastAsia="SimSun"/>
          <w:lang w:eastAsia="zh-CN"/>
        </w:rPr>
        <w:t xml:space="preserve">(2%) </w:t>
      </w:r>
      <w:r w:rsidRPr="00485F90">
        <w:rPr>
          <w:rFonts w:eastAsia="SimSun"/>
          <w:lang w:eastAsia="zh-CN"/>
        </w:rPr>
        <w:t>and national</w:t>
      </w:r>
      <w:r w:rsidR="00AA273B">
        <w:rPr>
          <w:rFonts w:eastAsia="SimSun"/>
          <w:lang w:eastAsia="zh-CN"/>
        </w:rPr>
        <w:t xml:space="preserve"> (1%)</w:t>
      </w:r>
      <w:r w:rsidRPr="00485F90">
        <w:rPr>
          <w:rFonts w:eastAsia="SimSun"/>
          <w:lang w:eastAsia="zh-CN"/>
        </w:rPr>
        <w:t xml:space="preserve"> requirements</w:t>
      </w:r>
      <w:r w:rsidR="00B74F78">
        <w:rPr>
          <w:rFonts w:eastAsia="SimSun"/>
          <w:lang w:eastAsia="zh-CN"/>
        </w:rPr>
        <w:t xml:space="preserve">. We will </w:t>
      </w:r>
      <w:r w:rsidR="000A3CD9">
        <w:rPr>
          <w:rFonts w:eastAsia="SimSun"/>
          <w:lang w:eastAsia="zh-CN"/>
        </w:rPr>
        <w:t>perform the optimal allocation</w:t>
      </w:r>
      <w:r w:rsidR="00B53FD7">
        <w:rPr>
          <w:rFonts w:eastAsia="SimSun"/>
          <w:lang w:eastAsia="zh-CN"/>
        </w:rPr>
        <w:t>,</w:t>
      </w:r>
      <w:r w:rsidR="000A3CD9">
        <w:rPr>
          <w:rFonts w:eastAsia="SimSun"/>
          <w:lang w:eastAsia="zh-CN"/>
        </w:rPr>
        <w:t xml:space="preserve"> as needed</w:t>
      </w:r>
      <w:r w:rsidR="00B53FD7">
        <w:rPr>
          <w:rFonts w:eastAsia="SimSun"/>
          <w:lang w:eastAsia="zh-CN"/>
        </w:rPr>
        <w:t>,</w:t>
      </w:r>
      <w:r w:rsidR="000A3CD9">
        <w:rPr>
          <w:rFonts w:eastAsia="SimSun"/>
          <w:lang w:eastAsia="zh-CN"/>
        </w:rPr>
        <w:t xml:space="preserve"> to arrive </w:t>
      </w:r>
      <w:r w:rsidR="00975122">
        <w:rPr>
          <w:rFonts w:eastAsia="SimSun"/>
          <w:lang w:eastAsia="zh-CN"/>
        </w:rPr>
        <w:t xml:space="preserve">at </w:t>
      </w:r>
      <w:r w:rsidRPr="00485F90" w:rsidR="00975122">
        <w:rPr>
          <w:rFonts w:eastAsia="SimSun"/>
          <w:lang w:eastAsia="zh-CN"/>
        </w:rPr>
        <w:t>the</w:t>
      </w:r>
      <w:r w:rsidRPr="00485F90">
        <w:rPr>
          <w:rFonts w:eastAsia="SimSun"/>
          <w:lang w:eastAsia="zh-CN"/>
        </w:rPr>
        <w:t xml:space="preserve"> minimum needed to meet all the requirements for </w:t>
      </w:r>
      <w:r w:rsidR="00AE0009">
        <w:rPr>
          <w:rFonts w:eastAsia="SimSun"/>
          <w:lang w:eastAsia="zh-CN"/>
        </w:rPr>
        <w:t xml:space="preserve">average </w:t>
      </w:r>
      <w:r w:rsidR="00C43422">
        <w:rPr>
          <w:rFonts w:eastAsia="SimSun"/>
          <w:lang w:eastAsia="zh-CN"/>
        </w:rPr>
        <w:t>total energy consumption</w:t>
      </w:r>
      <w:r w:rsidRPr="00485F90">
        <w:rPr>
          <w:rFonts w:eastAsia="SimSun"/>
          <w:lang w:eastAsia="zh-CN"/>
        </w:rPr>
        <w:t>.</w:t>
      </w:r>
    </w:p>
    <w:p w:rsidR="00906EE8" w:rsidRPr="00797755" w:rsidP="00906EE8" w14:paraId="324D4A0B" w14:textId="77777777">
      <w:pPr>
        <w:pStyle w:val="BodyText"/>
        <w:rPr>
          <w:rFonts w:eastAsia="SimSun"/>
          <w:lang w:eastAsia="zh-CN"/>
        </w:rPr>
      </w:pPr>
      <w:r w:rsidRPr="00797755">
        <w:rPr>
          <w:rFonts w:eastAsia="SimSun"/>
          <w:lang w:eastAsia="zh-CN"/>
        </w:rPr>
        <w:t>Sample sizes sufficient f</w:t>
      </w:r>
      <w:r w:rsidR="005A0CB4">
        <w:rPr>
          <w:rFonts w:eastAsia="SimSun"/>
          <w:lang w:eastAsia="zh-CN"/>
        </w:rPr>
        <w:t xml:space="preserve">or </w:t>
      </w:r>
      <w:r w:rsidR="00AE0009">
        <w:rPr>
          <w:rFonts w:eastAsia="SimSun"/>
          <w:lang w:eastAsia="zh-CN"/>
        </w:rPr>
        <w:t xml:space="preserve">average </w:t>
      </w:r>
      <w:r w:rsidR="005A0CB4">
        <w:rPr>
          <w:rFonts w:eastAsia="SimSun"/>
          <w:lang w:eastAsia="zh-CN"/>
        </w:rPr>
        <w:t>total energy</w:t>
      </w:r>
      <w:r w:rsidRPr="00797755">
        <w:rPr>
          <w:rFonts w:eastAsia="SimSun"/>
          <w:lang w:eastAsia="zh-CN"/>
        </w:rPr>
        <w:t xml:space="preserve"> consumption requirements are not necessarily sufficient to meet RSE requirements for </w:t>
      </w:r>
      <w:r w:rsidR="00AA5F3A">
        <w:rPr>
          <w:rFonts w:eastAsia="SimSun"/>
          <w:lang w:eastAsia="zh-CN"/>
        </w:rPr>
        <w:t>average</w:t>
      </w:r>
      <w:r w:rsidRPr="00797755" w:rsidR="00AA5F3A">
        <w:rPr>
          <w:rFonts w:eastAsia="SimSun"/>
          <w:lang w:eastAsia="zh-CN"/>
        </w:rPr>
        <w:t xml:space="preserve"> </w:t>
      </w:r>
      <w:r w:rsidRPr="00797755">
        <w:rPr>
          <w:rFonts w:eastAsia="SimSun"/>
          <w:lang w:eastAsia="zh-CN"/>
        </w:rPr>
        <w:t xml:space="preserve">electricity and </w:t>
      </w:r>
      <w:r w:rsidR="00AA5F3A">
        <w:rPr>
          <w:rFonts w:eastAsia="SimSun"/>
          <w:lang w:eastAsia="zh-CN"/>
        </w:rPr>
        <w:t>average</w:t>
      </w:r>
      <w:r w:rsidRPr="00797755" w:rsidR="00AA5F3A">
        <w:rPr>
          <w:rFonts w:eastAsia="SimSun"/>
          <w:lang w:eastAsia="zh-CN"/>
        </w:rPr>
        <w:t xml:space="preserve"> </w:t>
      </w:r>
      <w:r w:rsidRPr="00797755">
        <w:rPr>
          <w:rFonts w:eastAsia="SimSun"/>
          <w:lang w:eastAsia="zh-CN"/>
        </w:rPr>
        <w:t>natural gas consumption. Of these, natural gas generally requires</w:t>
      </w:r>
      <w:r w:rsidR="004A4BF1">
        <w:rPr>
          <w:rFonts w:eastAsia="SimSun"/>
          <w:lang w:eastAsia="zh-CN"/>
        </w:rPr>
        <w:t xml:space="preserve"> larger</w:t>
      </w:r>
      <w:r w:rsidR="00B74F78">
        <w:rPr>
          <w:rFonts w:eastAsia="SimSun"/>
          <w:lang w:eastAsia="zh-CN"/>
        </w:rPr>
        <w:t xml:space="preserve"> sample sizes in some strat</w:t>
      </w:r>
      <w:r w:rsidR="00DA50D9">
        <w:rPr>
          <w:rFonts w:eastAsia="SimSun"/>
          <w:lang w:eastAsia="zh-CN"/>
        </w:rPr>
        <w:t>a</w:t>
      </w:r>
      <w:r w:rsidR="00AA5F3A">
        <w:rPr>
          <w:rFonts w:eastAsia="SimSun"/>
          <w:lang w:eastAsia="zh-CN"/>
        </w:rPr>
        <w:t>,</w:t>
      </w:r>
      <w:r w:rsidRPr="00797755">
        <w:rPr>
          <w:rFonts w:eastAsia="SimSun"/>
          <w:lang w:eastAsia="zh-CN"/>
        </w:rPr>
        <w:t xml:space="preserve"> because not all homes use natural gas, and its use </w:t>
      </w:r>
      <w:r w:rsidR="00AA5F3A">
        <w:rPr>
          <w:rFonts w:eastAsia="SimSun"/>
          <w:lang w:eastAsia="zh-CN"/>
        </w:rPr>
        <w:t>can vary</w:t>
      </w:r>
      <w:r w:rsidRPr="00797755" w:rsidR="00AA5F3A">
        <w:rPr>
          <w:rFonts w:eastAsia="SimSun"/>
          <w:lang w:eastAsia="zh-CN"/>
        </w:rPr>
        <w:t xml:space="preserve"> </w:t>
      </w:r>
      <w:r w:rsidRPr="00797755">
        <w:rPr>
          <w:rFonts w:eastAsia="SimSun"/>
          <w:lang w:eastAsia="zh-CN"/>
        </w:rPr>
        <w:t xml:space="preserve">greatly by </w:t>
      </w:r>
      <w:r w:rsidR="00AA5F3A">
        <w:rPr>
          <w:rFonts w:eastAsia="SimSun"/>
          <w:lang w:eastAsia="zh-CN"/>
        </w:rPr>
        <w:t>geography</w:t>
      </w:r>
      <w:r w:rsidRPr="00797755">
        <w:rPr>
          <w:rFonts w:eastAsia="SimSun"/>
          <w:lang w:eastAsia="zh-CN"/>
        </w:rPr>
        <w:t>.</w:t>
      </w:r>
      <w:r w:rsidR="008570A9">
        <w:rPr>
          <w:rFonts w:eastAsia="SimSun"/>
          <w:lang w:eastAsia="zh-CN"/>
        </w:rPr>
        <w:t xml:space="preserve"> </w:t>
      </w:r>
      <w:r w:rsidRPr="00797755">
        <w:rPr>
          <w:rFonts w:eastAsia="SimSun"/>
          <w:lang w:eastAsia="zh-CN"/>
        </w:rPr>
        <w:t xml:space="preserve">For natural gas, we </w:t>
      </w:r>
      <w:r w:rsidR="004A4BF1">
        <w:rPr>
          <w:rFonts w:eastAsia="SimSun"/>
          <w:lang w:eastAsia="zh-CN"/>
        </w:rPr>
        <w:t xml:space="preserve">will </w:t>
      </w:r>
      <w:r w:rsidRPr="00797755">
        <w:rPr>
          <w:rFonts w:eastAsia="SimSun"/>
          <w:lang w:eastAsia="zh-CN"/>
        </w:rPr>
        <w:t xml:space="preserve">first check to see </w:t>
      </w:r>
      <w:r>
        <w:rPr>
          <w:rFonts w:eastAsia="SimSun"/>
          <w:lang w:eastAsia="zh-CN"/>
        </w:rPr>
        <w:t>whether</w:t>
      </w:r>
      <w:r w:rsidRPr="00797755">
        <w:rPr>
          <w:rFonts w:eastAsia="SimSun"/>
          <w:lang w:eastAsia="zh-CN"/>
        </w:rPr>
        <w:t xml:space="preserve"> the division requirements </w:t>
      </w:r>
      <w:r w:rsidR="004A4BF1">
        <w:rPr>
          <w:rFonts w:eastAsia="SimSun"/>
          <w:lang w:eastAsia="zh-CN"/>
        </w:rPr>
        <w:t xml:space="preserve">are </w:t>
      </w:r>
      <w:r w:rsidRPr="00797755">
        <w:rPr>
          <w:rFonts w:eastAsia="SimSun"/>
          <w:lang w:eastAsia="zh-CN"/>
        </w:rPr>
        <w:t xml:space="preserve">met using the minimum sample size for meeting </w:t>
      </w:r>
      <w:r w:rsidR="005A0CB4">
        <w:rPr>
          <w:rFonts w:eastAsia="SimSun"/>
          <w:lang w:eastAsia="zh-CN"/>
        </w:rPr>
        <w:t>average total energy consumption</w:t>
      </w:r>
      <w:r w:rsidRPr="00797755">
        <w:rPr>
          <w:rFonts w:eastAsia="SimSun"/>
          <w:lang w:eastAsia="zh-CN"/>
        </w:rPr>
        <w:t xml:space="preserve"> </w:t>
      </w:r>
      <w:r w:rsidR="004A4BF1">
        <w:rPr>
          <w:rFonts w:eastAsia="SimSun"/>
          <w:lang w:eastAsia="zh-CN"/>
        </w:rPr>
        <w:t>precision requirements in the first step</w:t>
      </w:r>
      <w:r w:rsidR="00B74F78">
        <w:rPr>
          <w:rFonts w:eastAsia="SimSun"/>
          <w:lang w:eastAsia="zh-CN"/>
        </w:rPr>
        <w:t>. We will</w:t>
      </w:r>
      <w:r w:rsidRPr="00797755">
        <w:rPr>
          <w:rFonts w:eastAsia="SimSun"/>
          <w:lang w:eastAsia="zh-CN"/>
        </w:rPr>
        <w:t xml:space="preserve"> </w:t>
      </w:r>
      <w:r w:rsidRPr="00797755" w:rsidR="004A4BF1">
        <w:rPr>
          <w:rFonts w:eastAsia="SimSun"/>
          <w:lang w:eastAsia="zh-CN"/>
        </w:rPr>
        <w:t>consider</w:t>
      </w:r>
      <w:r w:rsidRPr="00797755">
        <w:rPr>
          <w:rFonts w:eastAsia="SimSun"/>
          <w:lang w:eastAsia="zh-CN"/>
        </w:rPr>
        <w:t xml:space="preserve"> the proportion of HUs in each stratum that use natural gas (from the 2020 RECS). If </w:t>
      </w:r>
      <w:r>
        <w:rPr>
          <w:rFonts w:eastAsia="SimSun"/>
          <w:lang w:eastAsia="zh-CN"/>
        </w:rPr>
        <w:t xml:space="preserve">division requirements </w:t>
      </w:r>
      <w:r w:rsidR="004A4BF1">
        <w:rPr>
          <w:rFonts w:eastAsia="SimSun"/>
          <w:lang w:eastAsia="zh-CN"/>
        </w:rPr>
        <w:t>are</w:t>
      </w:r>
      <w:r>
        <w:rPr>
          <w:rFonts w:eastAsia="SimSun"/>
          <w:lang w:eastAsia="zh-CN"/>
        </w:rPr>
        <w:t xml:space="preserve"> </w:t>
      </w:r>
      <w:r w:rsidRPr="00797755">
        <w:rPr>
          <w:rFonts w:eastAsia="SimSun"/>
          <w:lang w:eastAsia="zh-CN"/>
        </w:rPr>
        <w:t>not</w:t>
      </w:r>
      <w:r>
        <w:rPr>
          <w:rFonts w:eastAsia="SimSun"/>
          <w:lang w:eastAsia="zh-CN"/>
        </w:rPr>
        <w:t xml:space="preserve"> met</w:t>
      </w:r>
      <w:r w:rsidRPr="00797755">
        <w:rPr>
          <w:rFonts w:eastAsia="SimSun"/>
          <w:lang w:eastAsia="zh-CN"/>
        </w:rPr>
        <w:t>, we increase the stratum sample sizes to meet the division RSE requirements</w:t>
      </w:r>
      <w:r w:rsidR="00B74F78">
        <w:rPr>
          <w:rFonts w:eastAsia="SimSun"/>
          <w:lang w:eastAsia="zh-CN"/>
        </w:rPr>
        <w:t xml:space="preserve">. </w:t>
      </w:r>
      <w:r w:rsidRPr="00797755">
        <w:rPr>
          <w:rFonts w:eastAsia="SimSun"/>
          <w:lang w:eastAsia="zh-CN"/>
        </w:rPr>
        <w:t>Then</w:t>
      </w:r>
      <w:r>
        <w:rPr>
          <w:rFonts w:eastAsia="SimSun"/>
          <w:lang w:eastAsia="zh-CN"/>
        </w:rPr>
        <w:t>,</w:t>
      </w:r>
      <w:r w:rsidRPr="00797755">
        <w:rPr>
          <w:rFonts w:eastAsia="SimSun"/>
          <w:lang w:eastAsia="zh-CN"/>
        </w:rPr>
        <w:t xml:space="preserve"> we increase</w:t>
      </w:r>
      <w:r>
        <w:rPr>
          <w:rFonts w:eastAsia="SimSun"/>
          <w:lang w:eastAsia="zh-CN"/>
        </w:rPr>
        <w:t xml:space="preserve"> sample sizes</w:t>
      </w:r>
      <w:r w:rsidRPr="00797755">
        <w:rPr>
          <w:rFonts w:eastAsia="SimSun"/>
          <w:lang w:eastAsia="zh-CN"/>
        </w:rPr>
        <w:t xml:space="preserve"> for regional natural gas requirements</w:t>
      </w:r>
      <w:r w:rsidR="00B74F78">
        <w:rPr>
          <w:rFonts w:eastAsia="SimSun"/>
          <w:lang w:eastAsia="zh-CN"/>
        </w:rPr>
        <w:t>, if necessary,</w:t>
      </w:r>
      <w:r w:rsidR="00C50929">
        <w:rPr>
          <w:rFonts w:eastAsia="SimSun"/>
          <w:lang w:eastAsia="zh-CN"/>
        </w:rPr>
        <w:t xml:space="preserve"> using the same approach as </w:t>
      </w:r>
      <w:r w:rsidR="00987506">
        <w:rPr>
          <w:rFonts w:eastAsia="SimSun"/>
          <w:lang w:eastAsia="zh-CN"/>
        </w:rPr>
        <w:t xml:space="preserve">that </w:t>
      </w:r>
      <w:r w:rsidR="00C50929">
        <w:rPr>
          <w:rFonts w:eastAsia="SimSun"/>
          <w:lang w:eastAsia="zh-CN"/>
        </w:rPr>
        <w:t xml:space="preserve">for total </w:t>
      </w:r>
      <w:r w:rsidR="00AA5F3A">
        <w:rPr>
          <w:rFonts w:eastAsia="SimSun"/>
          <w:lang w:eastAsia="zh-CN"/>
        </w:rPr>
        <w:t xml:space="preserve">average </w:t>
      </w:r>
      <w:r w:rsidR="00C50929">
        <w:rPr>
          <w:rFonts w:eastAsia="SimSun"/>
          <w:lang w:eastAsia="zh-CN"/>
        </w:rPr>
        <w:t>energy consumption</w:t>
      </w:r>
      <w:r w:rsidRPr="00797755">
        <w:rPr>
          <w:rFonts w:eastAsia="SimSun"/>
          <w:lang w:eastAsia="zh-CN"/>
        </w:rPr>
        <w:t xml:space="preserve">. After adjusting for natural gas precision requirements, </w:t>
      </w:r>
      <w:r w:rsidR="004A4BF1">
        <w:rPr>
          <w:rFonts w:eastAsia="SimSun"/>
          <w:lang w:eastAsia="zh-CN"/>
        </w:rPr>
        <w:t xml:space="preserve">the RSE requirements including those for electricity, propane, and fuel oils will be checked and verified until </w:t>
      </w:r>
      <w:r w:rsidRPr="00797755">
        <w:rPr>
          <w:rFonts w:eastAsia="SimSun"/>
          <w:lang w:eastAsia="zh-CN"/>
        </w:rPr>
        <w:t xml:space="preserve">no further adjustments </w:t>
      </w:r>
      <w:r w:rsidR="004A4BF1">
        <w:rPr>
          <w:rFonts w:eastAsia="SimSun"/>
          <w:lang w:eastAsia="zh-CN"/>
        </w:rPr>
        <w:t>are required.</w:t>
      </w:r>
    </w:p>
    <w:p w:rsidR="00906EE8" w:rsidP="00891B35" w14:paraId="5A1E6069" w14:textId="77777777">
      <w:pPr>
        <w:pStyle w:val="BodyText"/>
        <w:rPr>
          <w:rFonts w:eastAsia="SimSun"/>
          <w:sz w:val="20"/>
          <w:szCs w:val="18"/>
          <w:lang w:eastAsia="zh-CN"/>
        </w:rPr>
      </w:pPr>
      <w:r w:rsidRPr="00797755">
        <w:rPr>
          <w:rFonts w:eastAsia="SimSun"/>
          <w:lang w:eastAsia="zh-CN"/>
        </w:rPr>
        <w:t xml:space="preserve">As a result of this process, the minimum sample </w:t>
      </w:r>
      <w:r w:rsidR="00006002">
        <w:rPr>
          <w:rFonts w:eastAsia="SimSun"/>
          <w:lang w:eastAsia="zh-CN"/>
        </w:rPr>
        <w:t>size needed</w:t>
      </w:r>
      <w:r w:rsidRPr="00797755">
        <w:rPr>
          <w:rFonts w:eastAsia="SimSun"/>
          <w:lang w:eastAsia="zh-CN"/>
        </w:rPr>
        <w:t xml:space="preserve"> to meet </w:t>
      </w:r>
      <w:r w:rsidR="00AA5F3A">
        <w:rPr>
          <w:rFonts w:eastAsia="SimSun"/>
          <w:lang w:eastAsia="zh-CN"/>
        </w:rPr>
        <w:t>all RSE</w:t>
      </w:r>
      <w:r w:rsidRPr="00797755" w:rsidR="00AA5F3A">
        <w:rPr>
          <w:rFonts w:eastAsia="SimSun"/>
          <w:lang w:eastAsia="zh-CN"/>
        </w:rPr>
        <w:t xml:space="preserve"> </w:t>
      </w:r>
      <w:r w:rsidRPr="00797755">
        <w:rPr>
          <w:rFonts w:eastAsia="SimSun"/>
          <w:lang w:eastAsia="zh-CN"/>
        </w:rPr>
        <w:t xml:space="preserve">precision requirements </w:t>
      </w:r>
      <w:r w:rsidR="00006002">
        <w:rPr>
          <w:rFonts w:eastAsia="SimSun"/>
          <w:lang w:eastAsia="zh-CN"/>
        </w:rPr>
        <w:t>is</w:t>
      </w:r>
      <w:r w:rsidRPr="00797755">
        <w:rPr>
          <w:rFonts w:eastAsia="SimSun"/>
          <w:lang w:eastAsia="zh-CN"/>
        </w:rPr>
        <w:t xml:space="preserve"> 14,379, as shown in Table </w:t>
      </w:r>
      <w:r w:rsidR="00006002">
        <w:rPr>
          <w:rFonts w:eastAsia="SimSun"/>
          <w:lang w:eastAsia="zh-CN"/>
        </w:rPr>
        <w:t>2</w:t>
      </w:r>
      <w:r w:rsidRPr="00797755">
        <w:rPr>
          <w:rFonts w:eastAsia="SimSun"/>
          <w:lang w:eastAsia="zh-CN"/>
        </w:rPr>
        <w:t xml:space="preserve">. However, </w:t>
      </w:r>
      <w:r w:rsidR="00AA5F3A">
        <w:rPr>
          <w:rFonts w:eastAsia="SimSun"/>
          <w:lang w:eastAsia="zh-CN"/>
        </w:rPr>
        <w:t xml:space="preserve">EIA </w:t>
      </w:r>
      <w:r w:rsidR="000C17D0">
        <w:rPr>
          <w:rFonts w:eastAsia="SimSun"/>
          <w:lang w:eastAsia="zh-CN"/>
        </w:rPr>
        <w:t>resource</w:t>
      </w:r>
      <w:r w:rsidR="00BF6B94">
        <w:rPr>
          <w:rFonts w:eastAsia="SimSun"/>
          <w:lang w:eastAsia="zh-CN"/>
        </w:rPr>
        <w:t xml:space="preserve">s </w:t>
      </w:r>
      <w:r w:rsidR="00CD1373">
        <w:rPr>
          <w:rFonts w:eastAsia="SimSun"/>
          <w:lang w:eastAsia="zh-CN"/>
        </w:rPr>
        <w:t>allow</w:t>
      </w:r>
      <w:r w:rsidR="000C17D0">
        <w:rPr>
          <w:rFonts w:eastAsia="SimSun"/>
          <w:lang w:eastAsia="zh-CN"/>
        </w:rPr>
        <w:t xml:space="preserve"> for </w:t>
      </w:r>
      <w:r w:rsidRPr="00797755">
        <w:rPr>
          <w:rFonts w:eastAsia="SimSun"/>
          <w:lang w:eastAsia="zh-CN"/>
        </w:rPr>
        <w:t xml:space="preserve">a sample of </w:t>
      </w:r>
      <w:r w:rsidR="00CD1373">
        <w:rPr>
          <w:rFonts w:eastAsia="SimSun"/>
          <w:lang w:eastAsia="zh-CN"/>
        </w:rPr>
        <w:t xml:space="preserve">up to </w:t>
      </w:r>
      <w:r w:rsidRPr="00797755">
        <w:rPr>
          <w:rFonts w:eastAsia="SimSun"/>
          <w:lang w:eastAsia="zh-CN"/>
        </w:rPr>
        <w:t xml:space="preserve">20,000 </w:t>
      </w:r>
      <w:r w:rsidR="000C17D0">
        <w:rPr>
          <w:rFonts w:eastAsia="SimSun"/>
          <w:lang w:eastAsia="zh-CN"/>
        </w:rPr>
        <w:t>complete</w:t>
      </w:r>
      <w:r w:rsidR="00C93AA7">
        <w:rPr>
          <w:rFonts w:eastAsia="SimSun"/>
          <w:lang w:eastAsia="zh-CN"/>
        </w:rPr>
        <w:t>d cases</w:t>
      </w:r>
      <w:r w:rsidR="000C17D0">
        <w:rPr>
          <w:rFonts w:eastAsia="SimSun"/>
          <w:lang w:eastAsia="zh-CN"/>
        </w:rPr>
        <w:t xml:space="preserve">, </w:t>
      </w:r>
      <w:r w:rsidR="00AA5F3A">
        <w:rPr>
          <w:rFonts w:eastAsia="SimSun"/>
          <w:lang w:eastAsia="zh-CN"/>
        </w:rPr>
        <w:t xml:space="preserve">which </w:t>
      </w:r>
      <w:r w:rsidRPr="00797755">
        <w:rPr>
          <w:rFonts w:eastAsia="SimSun"/>
          <w:lang w:eastAsia="zh-CN"/>
        </w:rPr>
        <w:t xml:space="preserve">would better meet the needs of data users at state and federal levels across a broader array of outcome variables. The difference between 20,000 and the minimum sample of 14,379 </w:t>
      </w:r>
      <w:r w:rsidR="00B74F78">
        <w:rPr>
          <w:rFonts w:eastAsia="SimSun"/>
          <w:lang w:eastAsia="zh-CN"/>
        </w:rPr>
        <w:t>will be</w:t>
      </w:r>
      <w:r w:rsidRPr="00797755">
        <w:rPr>
          <w:rFonts w:eastAsia="SimSun"/>
          <w:lang w:eastAsia="zh-CN"/>
        </w:rPr>
        <w:t xml:space="preserve"> allocated to strata in proportion to the number of occupied H</w:t>
      </w:r>
      <w:r>
        <w:rPr>
          <w:rFonts w:eastAsia="SimSun"/>
          <w:lang w:eastAsia="zh-CN"/>
        </w:rPr>
        <w:t>U</w:t>
      </w:r>
      <w:r w:rsidRPr="00797755">
        <w:rPr>
          <w:rFonts w:eastAsia="SimSun"/>
          <w:lang w:eastAsia="zh-CN"/>
        </w:rPr>
        <w:t>s in each stratum per the 2022 American Community Survey (ACS) 5-year estimates of occupied HU counts.</w:t>
      </w:r>
      <w:r>
        <w:rPr>
          <w:rFonts w:eastAsia="SimSun"/>
          <w:vertAlign w:val="superscript"/>
          <w:lang w:eastAsia="zh-CN"/>
        </w:rPr>
        <w:footnoteReference w:id="7"/>
      </w:r>
      <w:r w:rsidRPr="00797755">
        <w:rPr>
          <w:rFonts w:eastAsia="SimSun"/>
          <w:lang w:eastAsia="zh-CN"/>
        </w:rPr>
        <w:t xml:space="preserve"> Table </w:t>
      </w:r>
      <w:r w:rsidR="00C93AA7">
        <w:rPr>
          <w:rFonts w:eastAsia="SimSun"/>
          <w:lang w:eastAsia="zh-CN"/>
        </w:rPr>
        <w:t>2</w:t>
      </w:r>
      <w:r w:rsidRPr="00797755">
        <w:rPr>
          <w:rFonts w:eastAsia="SimSun"/>
          <w:lang w:eastAsia="zh-CN"/>
        </w:rPr>
        <w:t xml:space="preserve"> shows the allocation with the sample expanded proportionately to </w:t>
      </w:r>
      <w:r w:rsidR="00AA5F3A">
        <w:rPr>
          <w:rFonts w:eastAsia="SimSun"/>
          <w:lang w:eastAsia="zh-CN"/>
        </w:rPr>
        <w:t>19,998</w:t>
      </w:r>
      <w:r w:rsidR="000C17D0">
        <w:rPr>
          <w:rFonts w:eastAsia="SimSun"/>
          <w:lang w:eastAsia="zh-CN"/>
        </w:rPr>
        <w:t xml:space="preserve"> </w:t>
      </w:r>
      <w:r w:rsidRPr="00797755">
        <w:rPr>
          <w:rFonts w:eastAsia="SimSun"/>
          <w:lang w:eastAsia="zh-CN"/>
        </w:rPr>
        <w:t>respondents</w:t>
      </w:r>
      <w:r w:rsidR="00AA5F3A">
        <w:rPr>
          <w:rFonts w:eastAsia="SimSun"/>
          <w:lang w:eastAsia="zh-CN"/>
        </w:rPr>
        <w:t>.</w:t>
      </w:r>
      <w:r w:rsidRPr="0074512B">
        <w:rPr>
          <w:rFonts w:eastAsia="SimSun"/>
          <w:sz w:val="20"/>
          <w:szCs w:val="18"/>
          <w:lang w:eastAsia="zh-CN"/>
        </w:rPr>
        <w:t xml:space="preserve"> </w:t>
      </w:r>
    </w:p>
    <w:p w:rsidR="00B74F78" w:rsidP="00C93AA7" w14:paraId="5A6582DF" w14:textId="77777777">
      <w:pPr>
        <w:jc w:val="both"/>
        <w:rPr>
          <w:b/>
          <w:color w:val="0070C0"/>
          <w:sz w:val="24"/>
        </w:rPr>
      </w:pPr>
      <w:bookmarkStart w:id="4" w:name="_Toc70593018"/>
      <w:bookmarkStart w:id="5" w:name="_Toc159480185"/>
    </w:p>
    <w:p w:rsidR="00B74F78" w:rsidP="00C93AA7" w14:paraId="035A7FFB" w14:textId="77777777">
      <w:pPr>
        <w:jc w:val="both"/>
        <w:rPr>
          <w:b/>
          <w:color w:val="0070C0"/>
          <w:sz w:val="24"/>
        </w:rPr>
      </w:pPr>
    </w:p>
    <w:p w:rsidR="00B74F78" w:rsidP="00C93AA7" w14:paraId="41EC60ED" w14:textId="77777777">
      <w:pPr>
        <w:jc w:val="both"/>
        <w:rPr>
          <w:b/>
          <w:color w:val="0070C0"/>
          <w:sz w:val="24"/>
        </w:rPr>
      </w:pPr>
    </w:p>
    <w:p w:rsidR="00C95D4B" w:rsidP="00C93AA7" w14:paraId="244F4C66" w14:textId="77777777">
      <w:pPr>
        <w:jc w:val="both"/>
        <w:rPr>
          <w:b/>
          <w:color w:val="0070C0"/>
          <w:sz w:val="24"/>
        </w:rPr>
      </w:pPr>
      <w:r w:rsidRPr="00C93AA7">
        <w:rPr>
          <w:b/>
          <w:color w:val="0070C0"/>
          <w:sz w:val="24"/>
        </w:rPr>
        <w:t xml:space="preserve">Table </w:t>
      </w:r>
      <w:r w:rsidRPr="00C93AA7" w:rsidR="00C93AA7">
        <w:rPr>
          <w:b/>
          <w:color w:val="0070C0"/>
          <w:sz w:val="24"/>
        </w:rPr>
        <w:t>2</w:t>
      </w:r>
      <w:r w:rsidRPr="00C93AA7">
        <w:rPr>
          <w:b/>
          <w:color w:val="0070C0"/>
          <w:sz w:val="24"/>
        </w:rPr>
        <w:t xml:space="preserve">. Allocation of </w:t>
      </w:r>
      <w:r w:rsidRPr="00C93AA7" w:rsidR="002307E5">
        <w:rPr>
          <w:b/>
          <w:color w:val="0070C0"/>
          <w:sz w:val="24"/>
        </w:rPr>
        <w:t xml:space="preserve">Targeted </w:t>
      </w:r>
      <w:r w:rsidRPr="00C93AA7" w:rsidR="006A4FB3">
        <w:rPr>
          <w:b/>
          <w:color w:val="0070C0"/>
          <w:sz w:val="24"/>
        </w:rPr>
        <w:t>Completed</w:t>
      </w:r>
      <w:r w:rsidRPr="00C93AA7">
        <w:rPr>
          <w:b/>
          <w:color w:val="0070C0"/>
          <w:sz w:val="24"/>
        </w:rPr>
        <w:t xml:space="preserve"> Cases, by </w:t>
      </w:r>
      <w:bookmarkEnd w:id="4"/>
      <w:r w:rsidRPr="00C93AA7">
        <w:rPr>
          <w:b/>
          <w:color w:val="0070C0"/>
          <w:sz w:val="24"/>
        </w:rPr>
        <w:t>Stratum</w:t>
      </w:r>
      <w:bookmarkEnd w:id="5"/>
    </w:p>
    <w:tbl>
      <w:tblPr>
        <w:tblW w:w="8480" w:type="dxa"/>
        <w:tblLook w:val="04A0"/>
      </w:tblPr>
      <w:tblGrid>
        <w:gridCol w:w="1340"/>
        <w:gridCol w:w="1340"/>
        <w:gridCol w:w="1402"/>
        <w:gridCol w:w="440"/>
        <w:gridCol w:w="1340"/>
        <w:gridCol w:w="1340"/>
        <w:gridCol w:w="1402"/>
      </w:tblGrid>
      <w:tr w14:paraId="169C7758" w14:textId="77777777" w:rsidTr="004C3806">
        <w:tblPrEx>
          <w:tblW w:w="8480" w:type="dxa"/>
          <w:tblLook w:val="04A0"/>
        </w:tblPrEx>
        <w:trPr>
          <w:trHeight w:val="300"/>
        </w:trPr>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1132B8E7" w14:textId="77777777">
            <w:pPr>
              <w:spacing w:after="0" w:line="240" w:lineRule="auto"/>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Stratum</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61EC3335"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Min. Sample for Precision Requirements</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3D75686C"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 xml:space="preserve">Sample Inflated </w:t>
            </w:r>
            <w:r w:rsidRPr="004C3806" w:rsidR="007A5A55">
              <w:rPr>
                <w:rFonts w:ascii="Calibri" w:eastAsia="Times New Roman" w:hAnsi="Calibri" w:cs="Calibri"/>
                <w:b/>
                <w:bCs/>
                <w:color w:val="000000"/>
                <w:sz w:val="18"/>
                <w:szCs w:val="18"/>
              </w:rPr>
              <w:t>Proportionately</w:t>
            </w:r>
            <w:r w:rsidRPr="004C3806">
              <w:rPr>
                <w:rFonts w:ascii="Calibri" w:eastAsia="Times New Roman" w:hAnsi="Calibri" w:cs="Calibri"/>
                <w:b/>
                <w:bCs/>
                <w:color w:val="000000"/>
                <w:sz w:val="18"/>
                <w:szCs w:val="18"/>
              </w:rPr>
              <w:t xml:space="preserve"> to 20,000</w:t>
            </w:r>
          </w:p>
        </w:tc>
        <w:tc>
          <w:tcPr>
            <w:tcW w:w="440" w:type="dxa"/>
            <w:tcBorders>
              <w:top w:val="nil"/>
              <w:left w:val="nil"/>
              <w:bottom w:val="nil"/>
              <w:right w:val="nil"/>
            </w:tcBorders>
            <w:shd w:val="clear" w:color="auto" w:fill="auto"/>
            <w:vAlign w:val="center"/>
            <w:hideMark/>
          </w:tcPr>
          <w:p w:rsidR="004C3806" w:rsidRPr="004C3806" w:rsidP="004C3806" w14:paraId="5C33CDDA" w14:textId="77777777">
            <w:pPr>
              <w:spacing w:after="0" w:line="240" w:lineRule="auto"/>
              <w:jc w:val="right"/>
              <w:rPr>
                <w:rFonts w:ascii="Calibri" w:eastAsia="Times New Roman" w:hAnsi="Calibri" w:cs="Calibri"/>
                <w:b/>
                <w:bCs/>
                <w:color w:val="000000"/>
                <w:sz w:val="18"/>
                <w:szCs w:val="18"/>
              </w:rPr>
            </w:pP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4A6CFD23" w14:textId="77777777">
            <w:pPr>
              <w:spacing w:after="0" w:line="240" w:lineRule="auto"/>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Stratum</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5237F27E"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Min. Sample for Precision Requirements</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475EB041"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 xml:space="preserve">Sample Inflated </w:t>
            </w:r>
            <w:r w:rsidRPr="004C3806" w:rsidR="007A5A55">
              <w:rPr>
                <w:rFonts w:ascii="Calibri" w:eastAsia="Times New Roman" w:hAnsi="Calibri" w:cs="Calibri"/>
                <w:b/>
                <w:bCs/>
                <w:color w:val="000000"/>
                <w:sz w:val="18"/>
                <w:szCs w:val="18"/>
              </w:rPr>
              <w:t>Proportionately</w:t>
            </w:r>
            <w:r w:rsidRPr="004C3806">
              <w:rPr>
                <w:rFonts w:ascii="Calibri" w:eastAsia="Times New Roman" w:hAnsi="Calibri" w:cs="Calibri"/>
                <w:b/>
                <w:bCs/>
                <w:color w:val="000000"/>
                <w:sz w:val="18"/>
                <w:szCs w:val="18"/>
              </w:rPr>
              <w:t xml:space="preserve"> to 20,000</w:t>
            </w:r>
          </w:p>
        </w:tc>
      </w:tr>
      <w:tr w14:paraId="661A9596" w14:textId="77777777" w:rsidTr="004C3806">
        <w:tblPrEx>
          <w:tblW w:w="8480" w:type="dxa"/>
          <w:tblLook w:val="04A0"/>
        </w:tblPrEx>
        <w:trPr>
          <w:trHeight w:val="300"/>
        </w:trPr>
        <w:tc>
          <w:tcPr>
            <w:tcW w:w="1340" w:type="dxa"/>
            <w:vMerge/>
            <w:tcBorders>
              <w:top w:val="nil"/>
              <w:left w:val="nil"/>
              <w:bottom w:val="single" w:sz="12" w:space="0" w:color="0096D7"/>
              <w:right w:val="nil"/>
            </w:tcBorders>
            <w:vAlign w:val="center"/>
            <w:hideMark/>
          </w:tcPr>
          <w:p w:rsidR="004C3806" w:rsidRPr="004C3806" w:rsidP="004C3806" w14:paraId="0B9B3A9F"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5D249C75"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60932545" w14:textId="77777777">
            <w:pPr>
              <w:spacing w:after="0" w:line="240" w:lineRule="auto"/>
              <w:rPr>
                <w:rFonts w:ascii="Calibri" w:eastAsia="Times New Roman" w:hAnsi="Calibri" w:cs="Calibri"/>
                <w:b/>
                <w:bCs/>
                <w:color w:val="000000"/>
                <w:sz w:val="18"/>
                <w:szCs w:val="18"/>
              </w:rPr>
            </w:pPr>
          </w:p>
        </w:tc>
        <w:tc>
          <w:tcPr>
            <w:tcW w:w="440" w:type="dxa"/>
            <w:tcBorders>
              <w:top w:val="nil"/>
              <w:left w:val="nil"/>
              <w:bottom w:val="nil"/>
              <w:right w:val="nil"/>
            </w:tcBorders>
            <w:shd w:val="clear" w:color="auto" w:fill="auto"/>
            <w:vAlign w:val="center"/>
            <w:hideMark/>
          </w:tcPr>
          <w:p w:rsidR="004C3806" w:rsidRPr="004C3806" w:rsidP="004C3806" w14:paraId="0809B012" w14:textId="77777777">
            <w:pPr>
              <w:spacing w:after="0" w:line="240" w:lineRule="auto"/>
              <w:jc w:val="right"/>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76B45A82"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0001215F"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4669DB9B" w14:textId="77777777">
            <w:pPr>
              <w:spacing w:after="0" w:line="240" w:lineRule="auto"/>
              <w:rPr>
                <w:rFonts w:ascii="Calibri" w:eastAsia="Times New Roman" w:hAnsi="Calibri" w:cs="Calibri"/>
                <w:b/>
                <w:bCs/>
                <w:color w:val="000000"/>
                <w:sz w:val="18"/>
                <w:szCs w:val="18"/>
              </w:rPr>
            </w:pPr>
          </w:p>
        </w:tc>
      </w:tr>
      <w:tr w14:paraId="51DBC078" w14:textId="77777777" w:rsidTr="004C3806">
        <w:tblPrEx>
          <w:tblW w:w="8480" w:type="dxa"/>
          <w:tblLook w:val="04A0"/>
        </w:tblPrEx>
        <w:trPr>
          <w:trHeight w:val="315"/>
        </w:trPr>
        <w:tc>
          <w:tcPr>
            <w:tcW w:w="1340" w:type="dxa"/>
            <w:vMerge/>
            <w:tcBorders>
              <w:top w:val="nil"/>
              <w:left w:val="nil"/>
              <w:bottom w:val="single" w:sz="12" w:space="0" w:color="0096D7"/>
              <w:right w:val="nil"/>
            </w:tcBorders>
            <w:vAlign w:val="center"/>
            <w:hideMark/>
          </w:tcPr>
          <w:p w:rsidR="004C3806" w:rsidRPr="004C3806" w:rsidP="004C3806" w14:paraId="24E97FC0"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2CD69D93"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4067EC6A" w14:textId="77777777">
            <w:pPr>
              <w:spacing w:after="0" w:line="240" w:lineRule="auto"/>
              <w:rPr>
                <w:rFonts w:ascii="Calibri" w:eastAsia="Times New Roman" w:hAnsi="Calibri" w:cs="Calibri"/>
                <w:b/>
                <w:bCs/>
                <w:color w:val="000000"/>
                <w:sz w:val="18"/>
                <w:szCs w:val="18"/>
              </w:rPr>
            </w:pPr>
          </w:p>
        </w:tc>
        <w:tc>
          <w:tcPr>
            <w:tcW w:w="440" w:type="dxa"/>
            <w:tcBorders>
              <w:top w:val="nil"/>
              <w:left w:val="nil"/>
              <w:bottom w:val="nil"/>
              <w:right w:val="nil"/>
            </w:tcBorders>
            <w:shd w:val="clear" w:color="auto" w:fill="auto"/>
            <w:vAlign w:val="center"/>
            <w:hideMark/>
          </w:tcPr>
          <w:p w:rsidR="004C3806" w:rsidRPr="004C3806" w:rsidP="004C3806" w14:paraId="6DE57A71" w14:textId="77777777">
            <w:pPr>
              <w:spacing w:after="0" w:line="240" w:lineRule="auto"/>
              <w:jc w:val="right"/>
              <w:rPr>
                <w:rFonts w:ascii="Times New Roman" w:eastAsia="Times New Roman" w:hAnsi="Times New Roman" w:cs="Times New Roman"/>
                <w:sz w:val="20"/>
                <w:szCs w:val="20"/>
              </w:rPr>
            </w:pPr>
          </w:p>
        </w:tc>
        <w:tc>
          <w:tcPr>
            <w:tcW w:w="1340" w:type="dxa"/>
            <w:vMerge/>
            <w:tcBorders>
              <w:top w:val="nil"/>
              <w:left w:val="nil"/>
              <w:bottom w:val="single" w:sz="12" w:space="0" w:color="0096D7"/>
              <w:right w:val="nil"/>
            </w:tcBorders>
            <w:vAlign w:val="center"/>
            <w:hideMark/>
          </w:tcPr>
          <w:p w:rsidR="004C3806" w:rsidRPr="004C3806" w:rsidP="004C3806" w14:paraId="17973C63"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1FF454D8"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7B67A2C1" w14:textId="77777777">
            <w:pPr>
              <w:spacing w:after="0" w:line="240" w:lineRule="auto"/>
              <w:rPr>
                <w:rFonts w:ascii="Calibri" w:eastAsia="Times New Roman" w:hAnsi="Calibri" w:cs="Calibri"/>
                <w:b/>
                <w:bCs/>
                <w:color w:val="000000"/>
                <w:sz w:val="18"/>
                <w:szCs w:val="18"/>
              </w:rPr>
            </w:pPr>
          </w:p>
        </w:tc>
      </w:tr>
      <w:tr w14:paraId="78817E0E" w14:textId="77777777" w:rsidTr="004C3806">
        <w:tblPrEx>
          <w:tblW w:w="8480" w:type="dxa"/>
          <w:tblLook w:val="04A0"/>
        </w:tblPrEx>
        <w:trPr>
          <w:trHeight w:val="330"/>
        </w:trPr>
        <w:tc>
          <w:tcPr>
            <w:tcW w:w="1340" w:type="dxa"/>
            <w:tcBorders>
              <w:top w:val="nil"/>
              <w:left w:val="nil"/>
              <w:bottom w:val="dashed" w:sz="8" w:space="0" w:color="BFBFBF"/>
              <w:right w:val="nil"/>
            </w:tcBorders>
            <w:shd w:val="clear" w:color="auto" w:fill="auto"/>
            <w:vAlign w:val="center"/>
            <w:hideMark/>
          </w:tcPr>
          <w:p w:rsidR="004C3806" w:rsidRPr="004C3806" w:rsidP="004C3806" w14:paraId="7673AD4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AK</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ECAABD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0305D4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258</w:t>
            </w:r>
          </w:p>
        </w:tc>
        <w:tc>
          <w:tcPr>
            <w:tcW w:w="440" w:type="dxa"/>
            <w:tcBorders>
              <w:top w:val="nil"/>
              <w:left w:val="nil"/>
              <w:bottom w:val="nil"/>
              <w:right w:val="nil"/>
            </w:tcBorders>
            <w:shd w:val="clear" w:color="000000" w:fill="F2F2F2"/>
            <w:vAlign w:val="center"/>
            <w:hideMark/>
          </w:tcPr>
          <w:p w:rsidR="004C3806" w:rsidRPr="004C3806" w:rsidP="004C3806" w14:paraId="6A767F3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EFC7EA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MO</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793ED0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0F8813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317</w:t>
            </w:r>
          </w:p>
        </w:tc>
      </w:tr>
      <w:tr w14:paraId="108F374C"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ACDDAF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AL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655332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111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D97622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131</w:t>
            </w:r>
          </w:p>
        </w:tc>
        <w:tc>
          <w:tcPr>
            <w:tcW w:w="440" w:type="dxa"/>
            <w:tcBorders>
              <w:top w:val="nil"/>
              <w:left w:val="nil"/>
              <w:bottom w:val="nil"/>
              <w:right w:val="nil"/>
            </w:tcBorders>
            <w:shd w:val="clear" w:color="000000" w:fill="F2F2F2"/>
            <w:vAlign w:val="center"/>
            <w:hideMark/>
          </w:tcPr>
          <w:p w:rsidR="004C3806" w:rsidRPr="004C3806" w:rsidP="004C3806" w14:paraId="639EA62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859E4F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MS</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BB2932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CC51A4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256</w:t>
            </w:r>
          </w:p>
        </w:tc>
      </w:tr>
      <w:tr w14:paraId="1FF8FD1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14915FB"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AL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BDD20F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D45807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251</w:t>
            </w:r>
          </w:p>
        </w:tc>
        <w:tc>
          <w:tcPr>
            <w:tcW w:w="440" w:type="dxa"/>
            <w:tcBorders>
              <w:top w:val="nil"/>
              <w:left w:val="nil"/>
              <w:bottom w:val="nil"/>
              <w:right w:val="nil"/>
            </w:tcBorders>
            <w:shd w:val="clear" w:color="000000" w:fill="F2F2F2"/>
            <w:vAlign w:val="center"/>
            <w:hideMark/>
          </w:tcPr>
          <w:p w:rsidR="004C3806" w:rsidRPr="004C3806" w:rsidP="004C3806" w14:paraId="6E5E109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9AEABD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D03729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297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84F944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317</w:t>
            </w:r>
          </w:p>
        </w:tc>
      </w:tr>
      <w:tr w14:paraId="56DC5266"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2E12B207"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AR</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E44796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3F158F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260</w:t>
            </w:r>
          </w:p>
        </w:tc>
        <w:tc>
          <w:tcPr>
            <w:tcW w:w="440" w:type="dxa"/>
            <w:tcBorders>
              <w:top w:val="nil"/>
              <w:left w:val="nil"/>
              <w:bottom w:val="nil"/>
              <w:right w:val="nil"/>
            </w:tcBorders>
            <w:shd w:val="clear" w:color="000000" w:fill="F2F2F2"/>
            <w:vAlign w:val="center"/>
            <w:hideMark/>
          </w:tcPr>
          <w:p w:rsidR="004C3806" w:rsidRPr="004C3806" w:rsidP="004C3806" w14:paraId="1CEF476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2926F4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NC</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6C3566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211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ED75B7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395</w:t>
            </w:r>
          </w:p>
        </w:tc>
      </w:tr>
      <w:tr w14:paraId="6628EC1C" w14:textId="77777777" w:rsidTr="004C3806">
        <w:tblPrEx>
          <w:tblW w:w="8480" w:type="dxa"/>
          <w:tblLook w:val="04A0"/>
        </w:tblPrEx>
        <w:trPr>
          <w:trHeight w:val="255"/>
        </w:trPr>
        <w:tc>
          <w:tcPr>
            <w:tcW w:w="1340" w:type="dxa"/>
            <w:tcBorders>
              <w:top w:val="nil"/>
              <w:left w:val="nil"/>
              <w:bottom w:val="dashed" w:sz="8" w:space="0" w:color="BFBFBF"/>
              <w:right w:val="nil"/>
            </w:tcBorders>
            <w:shd w:val="clear" w:color="auto" w:fill="auto"/>
            <w:vAlign w:val="center"/>
            <w:hideMark/>
          </w:tcPr>
          <w:p w:rsidR="004C3806" w:rsidRPr="004C3806" w:rsidP="004C3806" w14:paraId="5D51E43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AZ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9AC6DD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6FFA25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345</w:t>
            </w:r>
          </w:p>
        </w:tc>
        <w:tc>
          <w:tcPr>
            <w:tcW w:w="440" w:type="dxa"/>
            <w:tcBorders>
              <w:top w:val="nil"/>
              <w:left w:val="nil"/>
              <w:bottom w:val="nil"/>
              <w:right w:val="nil"/>
            </w:tcBorders>
            <w:shd w:val="clear" w:color="000000" w:fill="F2F2F2"/>
            <w:vAlign w:val="center"/>
            <w:hideMark/>
          </w:tcPr>
          <w:p w:rsidR="004C3806" w:rsidRPr="004C3806" w:rsidP="004C3806" w14:paraId="28046C8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CC541D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ND</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67C1FD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2DF28B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297</w:t>
            </w:r>
          </w:p>
        </w:tc>
      </w:tr>
      <w:tr w14:paraId="574FDDEC" w14:textId="77777777" w:rsidTr="004C3806">
        <w:tblPrEx>
          <w:tblW w:w="8480" w:type="dxa"/>
          <w:tblLook w:val="04A0"/>
        </w:tblPrEx>
        <w:trPr>
          <w:trHeight w:val="510"/>
        </w:trPr>
        <w:tc>
          <w:tcPr>
            <w:tcW w:w="1340" w:type="dxa"/>
            <w:tcBorders>
              <w:top w:val="nil"/>
              <w:left w:val="nil"/>
              <w:bottom w:val="dashed" w:sz="8" w:space="0" w:color="BFBFBF"/>
              <w:right w:val="nil"/>
            </w:tcBorders>
            <w:shd w:val="clear" w:color="auto" w:fill="auto"/>
            <w:vAlign w:val="center"/>
            <w:hideMark/>
          </w:tcPr>
          <w:p w:rsidR="004C3806" w:rsidRPr="004C3806" w:rsidP="004C3806" w14:paraId="4AF6D7E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AZ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AC5515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126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ECE7F0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167</w:t>
            </w:r>
          </w:p>
        </w:tc>
        <w:tc>
          <w:tcPr>
            <w:tcW w:w="440" w:type="dxa"/>
            <w:tcBorders>
              <w:top w:val="nil"/>
              <w:left w:val="nil"/>
              <w:bottom w:val="nil"/>
              <w:right w:val="nil"/>
            </w:tcBorders>
            <w:shd w:val="clear" w:color="000000" w:fill="F2F2F2"/>
            <w:vAlign w:val="center"/>
            <w:hideMark/>
          </w:tcPr>
          <w:p w:rsidR="004C3806" w:rsidRPr="004C3806" w:rsidP="004C3806" w14:paraId="52ECE6B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55C0851"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NE</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6B805B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CBFDB6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255</w:t>
            </w:r>
          </w:p>
        </w:tc>
      </w:tr>
      <w:tr w14:paraId="4D87CB88"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2E017DB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CA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A411DF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96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F284F7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159</w:t>
            </w:r>
          </w:p>
        </w:tc>
        <w:tc>
          <w:tcPr>
            <w:tcW w:w="440" w:type="dxa"/>
            <w:tcBorders>
              <w:top w:val="nil"/>
              <w:left w:val="nil"/>
              <w:bottom w:val="nil"/>
              <w:right w:val="nil"/>
            </w:tcBorders>
            <w:shd w:val="clear" w:color="000000" w:fill="F2F2F2"/>
            <w:vAlign w:val="center"/>
            <w:hideMark/>
          </w:tcPr>
          <w:p w:rsidR="004C3806" w:rsidRPr="004C3806" w:rsidP="004C3806" w14:paraId="487CAEC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24973D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NH</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EDC26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A4754A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277</w:t>
            </w:r>
          </w:p>
        </w:tc>
      </w:tr>
      <w:tr w14:paraId="7F7F91C6"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D980F1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CA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D87309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487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66088F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1019</w:t>
            </w:r>
          </w:p>
        </w:tc>
        <w:tc>
          <w:tcPr>
            <w:tcW w:w="440" w:type="dxa"/>
            <w:tcBorders>
              <w:top w:val="nil"/>
              <w:left w:val="nil"/>
              <w:bottom w:val="nil"/>
              <w:right w:val="nil"/>
            </w:tcBorders>
            <w:shd w:val="clear" w:color="000000" w:fill="F2F2F2"/>
            <w:vAlign w:val="center"/>
            <w:hideMark/>
          </w:tcPr>
          <w:p w:rsidR="004C3806" w:rsidRPr="004C3806" w:rsidP="004C3806" w14:paraId="00726F4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123B59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NJ</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1F9F73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386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D8DAF0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540</w:t>
            </w:r>
          </w:p>
        </w:tc>
      </w:tr>
      <w:tr w14:paraId="66C0C9FE"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C08660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CO</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93EA8D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3E0A7A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329</w:t>
            </w:r>
          </w:p>
        </w:tc>
        <w:tc>
          <w:tcPr>
            <w:tcW w:w="440" w:type="dxa"/>
            <w:tcBorders>
              <w:top w:val="nil"/>
              <w:left w:val="nil"/>
              <w:bottom w:val="nil"/>
              <w:right w:val="nil"/>
            </w:tcBorders>
            <w:shd w:val="clear" w:color="000000" w:fill="F2F2F2"/>
            <w:vAlign w:val="center"/>
            <w:hideMark/>
          </w:tcPr>
          <w:p w:rsidR="004C3806" w:rsidRPr="004C3806" w:rsidP="004C3806" w14:paraId="5C8BD60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B9EC51F"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NM</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4FD3CC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210BA1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240</w:t>
            </w:r>
          </w:p>
        </w:tc>
      </w:tr>
      <w:tr w14:paraId="3B8E97A3"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0D11FED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6AA20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3D790A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347</w:t>
            </w:r>
          </w:p>
        </w:tc>
        <w:tc>
          <w:tcPr>
            <w:tcW w:w="440" w:type="dxa"/>
            <w:tcBorders>
              <w:top w:val="nil"/>
              <w:left w:val="nil"/>
              <w:bottom w:val="nil"/>
              <w:right w:val="nil"/>
            </w:tcBorders>
            <w:shd w:val="clear" w:color="000000" w:fill="F2F2F2"/>
            <w:vAlign w:val="center"/>
            <w:hideMark/>
          </w:tcPr>
          <w:p w:rsidR="004C3806" w:rsidRPr="004C3806" w:rsidP="004C3806" w14:paraId="3FD659B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D3DDBD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NV</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928813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1F1928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289</w:t>
            </w:r>
          </w:p>
        </w:tc>
      </w:tr>
      <w:tr w14:paraId="78ADB67A"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85C1F3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DC</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12609A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461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B4DE80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475</w:t>
            </w:r>
          </w:p>
        </w:tc>
        <w:tc>
          <w:tcPr>
            <w:tcW w:w="440" w:type="dxa"/>
            <w:tcBorders>
              <w:top w:val="nil"/>
              <w:left w:val="nil"/>
              <w:bottom w:val="nil"/>
              <w:right w:val="nil"/>
            </w:tcBorders>
            <w:shd w:val="clear" w:color="000000" w:fill="F2F2F2"/>
            <w:vAlign w:val="center"/>
            <w:hideMark/>
          </w:tcPr>
          <w:p w:rsidR="004C3806" w:rsidRPr="004C3806" w:rsidP="004C3806" w14:paraId="16CAEE2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21FC61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NY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7FFD58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CAF35B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165</w:t>
            </w:r>
          </w:p>
        </w:tc>
      </w:tr>
      <w:tr w14:paraId="6DBF4136"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B3E5B3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DE</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23DE7E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164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BF5849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181</w:t>
            </w:r>
          </w:p>
        </w:tc>
        <w:tc>
          <w:tcPr>
            <w:tcW w:w="440" w:type="dxa"/>
            <w:tcBorders>
              <w:top w:val="nil"/>
              <w:left w:val="nil"/>
              <w:bottom w:val="nil"/>
              <w:right w:val="nil"/>
            </w:tcBorders>
            <w:shd w:val="clear" w:color="000000" w:fill="F2F2F2"/>
            <w:vAlign w:val="center"/>
            <w:hideMark/>
          </w:tcPr>
          <w:p w:rsidR="004C3806" w:rsidRPr="004C3806" w:rsidP="004C3806" w14:paraId="14EC9D9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466E37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NY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A30B01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726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8DEFDE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1046</w:t>
            </w:r>
          </w:p>
        </w:tc>
      </w:tr>
      <w:tr w14:paraId="78CE0591"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D359A9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FL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C789B4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9EAA9E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247</w:t>
            </w:r>
          </w:p>
        </w:tc>
        <w:tc>
          <w:tcPr>
            <w:tcW w:w="440" w:type="dxa"/>
            <w:tcBorders>
              <w:top w:val="nil"/>
              <w:left w:val="nil"/>
              <w:bottom w:val="nil"/>
              <w:right w:val="nil"/>
            </w:tcBorders>
            <w:shd w:val="clear" w:color="000000" w:fill="F2F2F2"/>
            <w:vAlign w:val="center"/>
            <w:hideMark/>
          </w:tcPr>
          <w:p w:rsidR="004C3806" w:rsidRPr="004C3806" w:rsidP="004C3806" w14:paraId="6A84969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B93493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OH</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C6BF18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41DDDA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405</w:t>
            </w:r>
          </w:p>
        </w:tc>
      </w:tr>
      <w:tr w14:paraId="2B26B390"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2B8961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FL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E61F6E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139</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F499E8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410</w:t>
            </w:r>
          </w:p>
        </w:tc>
        <w:tc>
          <w:tcPr>
            <w:tcW w:w="440" w:type="dxa"/>
            <w:tcBorders>
              <w:top w:val="nil"/>
              <w:left w:val="nil"/>
              <w:bottom w:val="nil"/>
              <w:right w:val="nil"/>
            </w:tcBorders>
            <w:shd w:val="clear" w:color="000000" w:fill="F2F2F2"/>
            <w:vAlign w:val="center"/>
            <w:hideMark/>
          </w:tcPr>
          <w:p w:rsidR="004C3806" w:rsidRPr="004C3806" w:rsidP="004C3806" w14:paraId="6653C47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6A4C2C7"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OK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9D112F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119</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4D0D92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144</w:t>
            </w:r>
          </w:p>
        </w:tc>
      </w:tr>
      <w:tr w14:paraId="0975335D"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06C3565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GA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ED4BFF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155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2D6526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256</w:t>
            </w:r>
          </w:p>
        </w:tc>
        <w:tc>
          <w:tcPr>
            <w:tcW w:w="440" w:type="dxa"/>
            <w:tcBorders>
              <w:top w:val="nil"/>
              <w:left w:val="nil"/>
              <w:bottom w:val="nil"/>
              <w:right w:val="nil"/>
            </w:tcBorders>
            <w:shd w:val="clear" w:color="000000" w:fill="F2F2F2"/>
            <w:vAlign w:val="center"/>
            <w:hideMark/>
          </w:tcPr>
          <w:p w:rsidR="004C3806" w:rsidRPr="004C3806" w:rsidP="004C3806" w14:paraId="43253A0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2FDFE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OK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5ACA38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B0BA99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188</w:t>
            </w:r>
          </w:p>
        </w:tc>
      </w:tr>
      <w:tr w14:paraId="22083F2D"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70402AD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GA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8B91CF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102</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09981C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178</w:t>
            </w:r>
          </w:p>
        </w:tc>
        <w:tc>
          <w:tcPr>
            <w:tcW w:w="440" w:type="dxa"/>
            <w:tcBorders>
              <w:top w:val="nil"/>
              <w:left w:val="nil"/>
              <w:bottom w:val="nil"/>
              <w:right w:val="nil"/>
            </w:tcBorders>
            <w:shd w:val="clear" w:color="000000" w:fill="F2F2F2"/>
            <w:vAlign w:val="center"/>
            <w:hideMark/>
          </w:tcPr>
          <w:p w:rsidR="004C3806" w:rsidRPr="004C3806" w:rsidP="004C3806" w14:paraId="3C13A84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92B5321"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OR</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E2100B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32448C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341</w:t>
            </w:r>
          </w:p>
        </w:tc>
      </w:tr>
      <w:tr w14:paraId="1098935C"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16C6F2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HI</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7EFFDF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252</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CED957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274</w:t>
            </w:r>
          </w:p>
        </w:tc>
        <w:tc>
          <w:tcPr>
            <w:tcW w:w="440" w:type="dxa"/>
            <w:tcBorders>
              <w:top w:val="nil"/>
              <w:left w:val="nil"/>
              <w:bottom w:val="nil"/>
              <w:right w:val="nil"/>
            </w:tcBorders>
            <w:shd w:val="clear" w:color="000000" w:fill="F2F2F2"/>
            <w:vAlign w:val="center"/>
            <w:hideMark/>
          </w:tcPr>
          <w:p w:rsidR="004C3806" w:rsidRPr="004C3806" w:rsidP="004C3806" w14:paraId="018BAF5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6D1ECB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PA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E7372C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491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E077EC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723</w:t>
            </w:r>
          </w:p>
        </w:tc>
      </w:tr>
      <w:tr w14:paraId="4A21276D"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859E0D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B12E58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EFC54F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198</w:t>
            </w:r>
          </w:p>
        </w:tc>
        <w:tc>
          <w:tcPr>
            <w:tcW w:w="440" w:type="dxa"/>
            <w:tcBorders>
              <w:top w:val="nil"/>
              <w:left w:val="nil"/>
              <w:bottom w:val="nil"/>
              <w:right w:val="nil"/>
            </w:tcBorders>
            <w:shd w:val="clear" w:color="000000" w:fill="F2F2F2"/>
            <w:vAlign w:val="center"/>
            <w:hideMark/>
          </w:tcPr>
          <w:p w:rsidR="004C3806" w:rsidRPr="004C3806" w:rsidP="004C3806" w14:paraId="115386C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C66695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RI</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FE421C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218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DF0636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237</w:t>
            </w:r>
          </w:p>
        </w:tc>
      </w:tr>
      <w:tr w14:paraId="6110BE93"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74F25A5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ID</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0816C7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02BD4F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237</w:t>
            </w:r>
          </w:p>
        </w:tc>
        <w:tc>
          <w:tcPr>
            <w:tcW w:w="440" w:type="dxa"/>
            <w:tcBorders>
              <w:top w:val="nil"/>
              <w:left w:val="nil"/>
              <w:bottom w:val="nil"/>
              <w:right w:val="nil"/>
            </w:tcBorders>
            <w:shd w:val="clear" w:color="000000" w:fill="F2F2F2"/>
            <w:vAlign w:val="center"/>
            <w:hideMark/>
          </w:tcPr>
          <w:p w:rsidR="004C3806" w:rsidRPr="004C3806" w:rsidP="004C3806" w14:paraId="3C970F7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A38C6A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SC</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F29FBF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8B4F46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291</w:t>
            </w:r>
          </w:p>
        </w:tc>
      </w:tr>
      <w:tr w14:paraId="7862261F"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A6BFF3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IL</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C2ADDC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38C3F9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448</w:t>
            </w:r>
          </w:p>
        </w:tc>
        <w:tc>
          <w:tcPr>
            <w:tcW w:w="440" w:type="dxa"/>
            <w:tcBorders>
              <w:top w:val="nil"/>
              <w:left w:val="nil"/>
              <w:bottom w:val="nil"/>
              <w:right w:val="nil"/>
            </w:tcBorders>
            <w:shd w:val="clear" w:color="000000" w:fill="F2F2F2"/>
            <w:vAlign w:val="center"/>
            <w:hideMark/>
          </w:tcPr>
          <w:p w:rsidR="004C3806" w:rsidRPr="004C3806" w:rsidP="004C3806" w14:paraId="066F70C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C46204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SD</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9509D5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4B17F0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203</w:t>
            </w:r>
          </w:p>
        </w:tc>
      </w:tr>
      <w:tr w14:paraId="2BC68A66"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85D6E8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IN</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365B68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017A36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312</w:t>
            </w:r>
          </w:p>
        </w:tc>
        <w:tc>
          <w:tcPr>
            <w:tcW w:w="440" w:type="dxa"/>
            <w:tcBorders>
              <w:top w:val="nil"/>
              <w:left w:val="nil"/>
              <w:bottom w:val="nil"/>
              <w:right w:val="nil"/>
            </w:tcBorders>
            <w:shd w:val="clear" w:color="000000" w:fill="F2F2F2"/>
            <w:vAlign w:val="center"/>
            <w:hideMark/>
          </w:tcPr>
          <w:p w:rsidR="004C3806" w:rsidRPr="004C3806" w:rsidP="004C3806" w14:paraId="35E4316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E493DB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TN</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AD0D5B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486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8A3B79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607</w:t>
            </w:r>
          </w:p>
        </w:tc>
      </w:tr>
      <w:tr w14:paraId="4F1C4DC9"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7AB83887"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KS</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85D8C3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150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7D875C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201</w:t>
            </w:r>
          </w:p>
        </w:tc>
        <w:tc>
          <w:tcPr>
            <w:tcW w:w="440" w:type="dxa"/>
            <w:tcBorders>
              <w:top w:val="nil"/>
              <w:left w:val="nil"/>
              <w:bottom w:val="nil"/>
              <w:right w:val="nil"/>
            </w:tcBorders>
            <w:shd w:val="clear" w:color="000000" w:fill="F2F2F2"/>
            <w:vAlign w:val="center"/>
            <w:hideMark/>
          </w:tcPr>
          <w:p w:rsidR="004C3806" w:rsidRPr="004C3806" w:rsidP="004C3806" w14:paraId="162BAA7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4384AA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TX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E9519A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905D07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254</w:t>
            </w:r>
          </w:p>
        </w:tc>
      </w:tr>
      <w:tr w14:paraId="1DBDD24D"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0BE0F3F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KY</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FFBD2F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308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AD9738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387</w:t>
            </w:r>
          </w:p>
        </w:tc>
        <w:tc>
          <w:tcPr>
            <w:tcW w:w="440" w:type="dxa"/>
            <w:tcBorders>
              <w:top w:val="nil"/>
              <w:left w:val="nil"/>
              <w:bottom w:val="nil"/>
              <w:right w:val="nil"/>
            </w:tcBorders>
            <w:shd w:val="clear" w:color="000000" w:fill="F2F2F2"/>
            <w:vAlign w:val="center"/>
            <w:hideMark/>
          </w:tcPr>
          <w:p w:rsidR="004C3806" w:rsidRPr="004C3806" w:rsidP="004C3806" w14:paraId="53329A9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760D5A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TX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8F0BF0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557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DE6B0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913</w:t>
            </w:r>
          </w:p>
        </w:tc>
      </w:tr>
      <w:tr w14:paraId="73C13F76"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639A22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LA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C0D6A6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9B80E3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323</w:t>
            </w:r>
          </w:p>
        </w:tc>
        <w:tc>
          <w:tcPr>
            <w:tcW w:w="440" w:type="dxa"/>
            <w:tcBorders>
              <w:top w:val="nil"/>
              <w:left w:val="nil"/>
              <w:bottom w:val="nil"/>
              <w:right w:val="nil"/>
            </w:tcBorders>
            <w:shd w:val="clear" w:color="000000" w:fill="F2F2F2"/>
            <w:vAlign w:val="center"/>
            <w:hideMark/>
          </w:tcPr>
          <w:p w:rsidR="004C3806" w:rsidRPr="004C3806" w:rsidP="004C3806" w14:paraId="5507410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256A7F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UT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175D92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118E97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232</w:t>
            </w:r>
          </w:p>
        </w:tc>
      </w:tr>
      <w:tr w14:paraId="111E995F"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7AC8BC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17B192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430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A80A81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553</w:t>
            </w:r>
          </w:p>
        </w:tc>
        <w:tc>
          <w:tcPr>
            <w:tcW w:w="440" w:type="dxa"/>
            <w:tcBorders>
              <w:top w:val="nil"/>
              <w:left w:val="nil"/>
              <w:bottom w:val="nil"/>
              <w:right w:val="nil"/>
            </w:tcBorders>
            <w:shd w:val="clear" w:color="000000" w:fill="F2F2F2"/>
            <w:vAlign w:val="center"/>
            <w:hideMark/>
          </w:tcPr>
          <w:p w:rsidR="004C3806" w:rsidRPr="004C3806" w:rsidP="004C3806" w14:paraId="74BC3EC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4C2729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VA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2B34AE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34D220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401</w:t>
            </w:r>
          </w:p>
        </w:tc>
      </w:tr>
      <w:tr w14:paraId="303A16B3"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DEE818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MD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1EC758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765B98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196</w:t>
            </w:r>
          </w:p>
        </w:tc>
        <w:tc>
          <w:tcPr>
            <w:tcW w:w="440" w:type="dxa"/>
            <w:tcBorders>
              <w:top w:val="nil"/>
              <w:left w:val="nil"/>
              <w:bottom w:val="nil"/>
              <w:right w:val="nil"/>
            </w:tcBorders>
            <w:shd w:val="clear" w:color="000000" w:fill="F2F2F2"/>
            <w:vAlign w:val="center"/>
            <w:hideMark/>
          </w:tcPr>
          <w:p w:rsidR="004C3806" w:rsidRPr="004C3806" w:rsidP="004C3806" w14:paraId="648C133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CC9F94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VT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B6CD98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9E20DD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200</w:t>
            </w:r>
          </w:p>
        </w:tc>
      </w:tr>
      <w:tr w14:paraId="0D254A7A"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F8594D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MD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2ABBE5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189</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1B1FF5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244</w:t>
            </w:r>
          </w:p>
        </w:tc>
        <w:tc>
          <w:tcPr>
            <w:tcW w:w="440" w:type="dxa"/>
            <w:tcBorders>
              <w:top w:val="nil"/>
              <w:left w:val="nil"/>
              <w:bottom w:val="nil"/>
              <w:right w:val="nil"/>
            </w:tcBorders>
            <w:shd w:val="clear" w:color="000000" w:fill="F2F2F2"/>
            <w:vAlign w:val="center"/>
            <w:hideMark/>
          </w:tcPr>
          <w:p w:rsidR="004C3806" w:rsidRPr="004C3806" w:rsidP="004C3806" w14:paraId="749CE65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23CE07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47BCE5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CA766F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399</w:t>
            </w:r>
          </w:p>
        </w:tc>
      </w:tr>
      <w:tr w14:paraId="293729EA"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AA6E7C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ME</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015FB9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61518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229</w:t>
            </w:r>
          </w:p>
        </w:tc>
        <w:tc>
          <w:tcPr>
            <w:tcW w:w="440" w:type="dxa"/>
            <w:tcBorders>
              <w:top w:val="nil"/>
              <w:left w:val="nil"/>
              <w:bottom w:val="nil"/>
              <w:right w:val="nil"/>
            </w:tcBorders>
            <w:shd w:val="clear" w:color="000000" w:fill="F2F2F2"/>
            <w:vAlign w:val="center"/>
            <w:hideMark/>
          </w:tcPr>
          <w:p w:rsidR="004C3806" w:rsidRPr="004C3806" w:rsidP="004C3806" w14:paraId="5E809B8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DC5A5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WI</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E81DD6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71845B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302</w:t>
            </w:r>
          </w:p>
        </w:tc>
      </w:tr>
      <w:tr w14:paraId="2922C562"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44FC4D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MI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33EFC8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113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26A255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191</w:t>
            </w:r>
          </w:p>
        </w:tc>
        <w:tc>
          <w:tcPr>
            <w:tcW w:w="440" w:type="dxa"/>
            <w:tcBorders>
              <w:top w:val="nil"/>
              <w:left w:val="nil"/>
              <w:bottom w:val="nil"/>
              <w:right w:val="nil"/>
            </w:tcBorders>
            <w:shd w:val="clear" w:color="000000" w:fill="F2F2F2"/>
            <w:vAlign w:val="center"/>
            <w:hideMark/>
          </w:tcPr>
          <w:p w:rsidR="004C3806" w:rsidRPr="004C3806" w:rsidP="004C3806" w14:paraId="1D26C50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361A29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WV</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3A851A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B514DC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219</w:t>
            </w:r>
          </w:p>
        </w:tc>
      </w:tr>
      <w:tr w14:paraId="6F1BC06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5FB09A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MI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AAE4FB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96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C34151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197</w:t>
            </w:r>
          </w:p>
        </w:tc>
        <w:tc>
          <w:tcPr>
            <w:tcW w:w="440" w:type="dxa"/>
            <w:tcBorders>
              <w:top w:val="nil"/>
              <w:left w:val="nil"/>
              <w:bottom w:val="nil"/>
              <w:right w:val="nil"/>
            </w:tcBorders>
            <w:shd w:val="clear" w:color="000000" w:fill="F2F2F2"/>
            <w:vAlign w:val="center"/>
            <w:hideMark/>
          </w:tcPr>
          <w:p w:rsidR="004C3806" w:rsidRPr="004C3806" w:rsidP="004C3806" w14:paraId="4519DA7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BDEC92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WY</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CD84A7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0AD9AE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256</w:t>
            </w:r>
          </w:p>
        </w:tc>
      </w:tr>
      <w:tr w14:paraId="6CA3C8A5"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6B1AD6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MN</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956FF7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99291E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286</w:t>
            </w:r>
          </w:p>
        </w:tc>
        <w:tc>
          <w:tcPr>
            <w:tcW w:w="440" w:type="dxa"/>
            <w:tcBorders>
              <w:top w:val="nil"/>
              <w:left w:val="nil"/>
              <w:bottom w:val="nil"/>
              <w:right w:val="nil"/>
            </w:tcBorders>
            <w:shd w:val="clear" w:color="000000" w:fill="F2F2F2"/>
            <w:vAlign w:val="center"/>
            <w:hideMark/>
          </w:tcPr>
          <w:p w:rsidR="004C3806" w:rsidRPr="004C3806" w:rsidP="004C3806" w14:paraId="66F339E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C024D7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F624DD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951A7E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r>
      <w:tr w14:paraId="2610DBE8"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noWrap/>
            <w:vAlign w:val="center"/>
            <w:hideMark/>
          </w:tcPr>
          <w:p w:rsidR="004C3806" w:rsidRPr="004C3806" w:rsidP="004C3806" w14:paraId="62555FD2" w14:textId="77777777">
            <w:pPr>
              <w:spacing w:after="0" w:line="240" w:lineRule="auto"/>
              <w:rPr>
                <w:rFonts w:ascii="Calibri" w:eastAsia="Times New Roman" w:hAnsi="Calibri" w:cs="Calibri"/>
                <w:b/>
                <w:bCs/>
                <w:color w:val="000000"/>
                <w:sz w:val="18"/>
                <w:szCs w:val="18"/>
              </w:rPr>
            </w:pPr>
          </w:p>
        </w:tc>
        <w:tc>
          <w:tcPr>
            <w:tcW w:w="1340" w:type="dxa"/>
            <w:tcBorders>
              <w:top w:val="nil"/>
              <w:left w:val="nil"/>
              <w:bottom w:val="dashed" w:sz="8" w:space="0" w:color="BFBFBF"/>
              <w:right w:val="nil"/>
            </w:tcBorders>
            <w:shd w:val="clear" w:color="auto" w:fill="auto"/>
            <w:noWrap/>
            <w:vAlign w:val="center"/>
            <w:hideMark/>
          </w:tcPr>
          <w:p w:rsidR="004C3806" w:rsidRPr="004C3806" w:rsidP="004C3806" w14:paraId="0049DB20"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 </w:t>
            </w:r>
          </w:p>
        </w:tc>
        <w:tc>
          <w:tcPr>
            <w:tcW w:w="1340" w:type="dxa"/>
            <w:tcBorders>
              <w:top w:val="nil"/>
              <w:left w:val="nil"/>
              <w:bottom w:val="dashed" w:sz="8" w:space="0" w:color="BFBFBF"/>
              <w:right w:val="nil"/>
            </w:tcBorders>
            <w:shd w:val="clear" w:color="auto" w:fill="auto"/>
            <w:noWrap/>
            <w:hideMark/>
          </w:tcPr>
          <w:p w:rsidR="004C3806" w:rsidRPr="004C3806" w:rsidP="004C3806" w14:paraId="2C681A51"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440" w:type="dxa"/>
            <w:tcBorders>
              <w:top w:val="nil"/>
              <w:left w:val="nil"/>
              <w:bottom w:val="nil"/>
              <w:right w:val="nil"/>
            </w:tcBorders>
            <w:shd w:val="clear" w:color="000000" w:fill="F2F2F2"/>
            <w:noWrap/>
            <w:hideMark/>
          </w:tcPr>
          <w:p w:rsidR="004C3806" w:rsidRPr="004C3806" w:rsidP="004C3806" w14:paraId="30C6580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noWrap/>
            <w:hideMark/>
          </w:tcPr>
          <w:p w:rsidR="004C3806" w:rsidRPr="004C3806" w:rsidP="004C3806" w14:paraId="442C4BD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r w:rsidRPr="004C3806">
              <w:rPr>
                <w:rFonts w:ascii="Calibri" w:eastAsia="Times New Roman" w:hAnsi="Calibri" w:cs="Calibri"/>
                <w:b/>
                <w:bCs/>
                <w:color w:val="000000"/>
                <w:sz w:val="18"/>
                <w:szCs w:val="18"/>
              </w:rPr>
              <w:t>Total</w:t>
            </w:r>
          </w:p>
        </w:tc>
        <w:tc>
          <w:tcPr>
            <w:tcW w:w="1340" w:type="dxa"/>
            <w:tcBorders>
              <w:top w:val="nil"/>
              <w:left w:val="nil"/>
              <w:bottom w:val="dashed" w:sz="8" w:space="0" w:color="BFBFBF"/>
              <w:right w:val="nil"/>
            </w:tcBorders>
            <w:shd w:val="clear" w:color="auto" w:fill="auto"/>
            <w:noWrap/>
            <w:vAlign w:val="center"/>
            <w:hideMark/>
          </w:tcPr>
          <w:p w:rsidR="004C3806" w:rsidRPr="004C3806" w:rsidP="004C3806" w14:paraId="7266CA53"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14,379</w:t>
            </w:r>
          </w:p>
        </w:tc>
        <w:tc>
          <w:tcPr>
            <w:tcW w:w="1340" w:type="dxa"/>
            <w:tcBorders>
              <w:top w:val="nil"/>
              <w:left w:val="nil"/>
              <w:bottom w:val="dashed" w:sz="8" w:space="0" w:color="BFBFBF"/>
              <w:right w:val="nil"/>
            </w:tcBorders>
            <w:shd w:val="clear" w:color="auto" w:fill="auto"/>
            <w:noWrap/>
            <w:vAlign w:val="center"/>
            <w:hideMark/>
          </w:tcPr>
          <w:p w:rsidR="004C3806" w:rsidRPr="004C3806" w:rsidP="004C3806" w14:paraId="6C6CD413"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19,998</w:t>
            </w:r>
          </w:p>
        </w:tc>
      </w:tr>
    </w:tbl>
    <w:p w:rsidR="007A70D0" w:rsidP="00C93AA7" w14:paraId="6FD1289F" w14:textId="77777777">
      <w:pPr>
        <w:jc w:val="both"/>
        <w:rPr>
          <w:b/>
          <w:color w:val="0070C0"/>
          <w:sz w:val="24"/>
        </w:rPr>
      </w:pPr>
    </w:p>
    <w:p w:rsidR="00910FC3" w:rsidP="00BE191B" w14:paraId="461057B1" w14:textId="77777777">
      <w:pPr>
        <w:pStyle w:val="BodyText"/>
        <w:rPr>
          <w:b/>
        </w:rPr>
      </w:pPr>
      <w:bookmarkStart w:id="6" w:name="_Toc33014058"/>
      <w:r>
        <w:rPr>
          <w:b/>
        </w:rPr>
        <w:t>Determining Starting Sample</w:t>
      </w:r>
      <w:r w:rsidR="00A60C5D">
        <w:rPr>
          <w:b/>
        </w:rPr>
        <w:t xml:space="preserve"> and </w:t>
      </w:r>
      <w:r>
        <w:rPr>
          <w:b/>
        </w:rPr>
        <w:t>S</w:t>
      </w:r>
      <w:r w:rsidR="00A60C5D">
        <w:rPr>
          <w:b/>
        </w:rPr>
        <w:t xml:space="preserve">ample </w:t>
      </w:r>
      <w:r>
        <w:rPr>
          <w:b/>
        </w:rPr>
        <w:t>S</w:t>
      </w:r>
      <w:r w:rsidR="00A60C5D">
        <w:rPr>
          <w:b/>
        </w:rPr>
        <w:t xml:space="preserve">election </w:t>
      </w:r>
      <w:bookmarkEnd w:id="6"/>
      <w:r>
        <w:rPr>
          <w:b/>
        </w:rPr>
        <w:t xml:space="preserve"> </w:t>
      </w:r>
    </w:p>
    <w:p w:rsidR="00BE191B" w:rsidP="00BE191B" w14:paraId="7C010BEC" w14:textId="77777777">
      <w:pPr>
        <w:pStyle w:val="BodyText"/>
        <w:rPr>
          <w:rFonts w:eastAsia="SimSun"/>
          <w:lang w:eastAsia="zh-CN"/>
        </w:rPr>
      </w:pPr>
      <w:r w:rsidRPr="00A00379">
        <w:rPr>
          <w:rFonts w:eastAsia="SimSun"/>
          <w:lang w:eastAsia="zh-CN"/>
        </w:rPr>
        <w:t xml:space="preserve">To achieve the </w:t>
      </w:r>
      <w:r>
        <w:rPr>
          <w:rFonts w:eastAsia="SimSun"/>
          <w:lang w:eastAsia="zh-CN"/>
        </w:rPr>
        <w:t>number</w:t>
      </w:r>
      <w:r w:rsidRPr="00A00379">
        <w:rPr>
          <w:rFonts w:eastAsia="SimSun"/>
          <w:lang w:eastAsia="zh-CN"/>
        </w:rPr>
        <w:t xml:space="preserve"> of completed </w:t>
      </w:r>
      <w:r w:rsidR="00B74F78">
        <w:rPr>
          <w:rFonts w:eastAsia="SimSun"/>
          <w:lang w:eastAsia="zh-CN"/>
        </w:rPr>
        <w:t>cases</w:t>
      </w:r>
      <w:r>
        <w:rPr>
          <w:rFonts w:eastAsia="SimSun"/>
          <w:lang w:eastAsia="zh-CN"/>
        </w:rPr>
        <w:t xml:space="preserve"> at the strata level</w:t>
      </w:r>
      <w:r w:rsidR="00AA273B">
        <w:rPr>
          <w:rFonts w:eastAsia="SimSun"/>
          <w:lang w:eastAsia="zh-CN"/>
        </w:rPr>
        <w:t>s</w:t>
      </w:r>
      <w:r w:rsidRPr="00A00379">
        <w:rPr>
          <w:rFonts w:eastAsia="SimSun"/>
          <w:lang w:eastAsia="zh-CN"/>
        </w:rPr>
        <w:t xml:space="preserve"> indicated in Table </w:t>
      </w:r>
      <w:r w:rsidR="009A7433">
        <w:rPr>
          <w:rFonts w:eastAsia="SimSun"/>
          <w:lang w:eastAsia="zh-CN"/>
        </w:rPr>
        <w:t>2</w:t>
      </w:r>
      <w:r w:rsidRPr="00A00379">
        <w:rPr>
          <w:rFonts w:eastAsia="SimSun"/>
          <w:lang w:eastAsia="zh-CN"/>
        </w:rPr>
        <w:t xml:space="preserve">, </w:t>
      </w:r>
      <w:r w:rsidR="00B74F78">
        <w:rPr>
          <w:rFonts w:eastAsia="SimSun"/>
          <w:lang w:eastAsia="zh-CN"/>
        </w:rPr>
        <w:t>frame addresses</w:t>
      </w:r>
      <w:r w:rsidRPr="00A00379">
        <w:rPr>
          <w:rFonts w:eastAsia="SimSun"/>
          <w:lang w:eastAsia="zh-CN"/>
        </w:rPr>
        <w:t xml:space="preserve"> must be selected to account for losses due to ineligibility and nonresponse.</w:t>
      </w:r>
      <w:r>
        <w:rPr>
          <w:rFonts w:eastAsia="SimSun"/>
          <w:lang w:eastAsia="zh-CN"/>
        </w:rPr>
        <w:t xml:space="preserve"> Using </w:t>
      </w:r>
      <w:r w:rsidR="00AA273B">
        <w:rPr>
          <w:rFonts w:eastAsia="SimSun"/>
          <w:lang w:eastAsia="zh-CN"/>
        </w:rPr>
        <w:t xml:space="preserve">yield rates </w:t>
      </w:r>
      <w:r>
        <w:rPr>
          <w:rFonts w:eastAsia="SimSun"/>
          <w:lang w:eastAsia="zh-CN"/>
        </w:rPr>
        <w:t xml:space="preserve">from the 2020 RECS, a starting sample of 56,776 </w:t>
      </w:r>
      <w:r w:rsidR="00F41334">
        <w:rPr>
          <w:rFonts w:eastAsia="SimSun"/>
          <w:lang w:eastAsia="zh-CN"/>
        </w:rPr>
        <w:t xml:space="preserve">HUs </w:t>
      </w:r>
      <w:r w:rsidR="00B74F78">
        <w:rPr>
          <w:rFonts w:eastAsia="SimSun"/>
          <w:lang w:eastAsia="zh-CN"/>
        </w:rPr>
        <w:t>will be</w:t>
      </w:r>
      <w:r>
        <w:rPr>
          <w:rFonts w:eastAsia="SimSun"/>
          <w:lang w:eastAsia="zh-CN"/>
        </w:rPr>
        <w:t xml:space="preserve"> expected to meet the targeted 19,998 responding </w:t>
      </w:r>
      <w:r w:rsidR="00F41334">
        <w:rPr>
          <w:rFonts w:eastAsia="SimSun"/>
          <w:lang w:eastAsia="zh-CN"/>
        </w:rPr>
        <w:t>HUs</w:t>
      </w:r>
      <w:r>
        <w:rPr>
          <w:rFonts w:eastAsia="SimSun"/>
          <w:lang w:eastAsia="zh-CN"/>
        </w:rPr>
        <w:t>.</w:t>
      </w:r>
    </w:p>
    <w:p w:rsidR="00DD10EE" w:rsidP="00BE191B" w14:paraId="4F3348C8" w14:textId="77777777">
      <w:pPr>
        <w:pStyle w:val="BodyText"/>
        <w:rPr>
          <w:rFonts w:eastAsia="SimSun"/>
          <w:lang w:eastAsia="zh-CN"/>
        </w:rPr>
      </w:pPr>
      <w:r>
        <w:rPr>
          <w:rFonts w:eastAsia="SimSun"/>
          <w:lang w:eastAsia="zh-CN"/>
        </w:rPr>
        <w:t>W</w:t>
      </w:r>
      <w:r w:rsidR="007A1F73">
        <w:rPr>
          <w:rFonts w:eastAsia="SimSun"/>
          <w:lang w:eastAsia="zh-CN"/>
        </w:rPr>
        <w:t xml:space="preserve">ithin each </w:t>
      </w:r>
      <w:r w:rsidR="007C1527">
        <w:rPr>
          <w:rFonts w:eastAsia="SimSun"/>
          <w:lang w:eastAsia="zh-CN"/>
        </w:rPr>
        <w:t>stratum</w:t>
      </w:r>
      <w:r w:rsidR="007A1F73">
        <w:rPr>
          <w:rFonts w:eastAsia="SimSun"/>
          <w:lang w:eastAsia="zh-CN"/>
        </w:rPr>
        <w:t xml:space="preserve">, the frame will be sorted </w:t>
      </w:r>
      <w:r w:rsidR="00B74F78">
        <w:rPr>
          <w:rFonts w:eastAsia="SimSun"/>
          <w:lang w:eastAsia="zh-CN"/>
        </w:rPr>
        <w:t xml:space="preserve">(i.e., implicit stratification) </w:t>
      </w:r>
      <w:r w:rsidR="007A1F73">
        <w:rPr>
          <w:rFonts w:eastAsia="SimSun"/>
          <w:lang w:eastAsia="zh-CN"/>
        </w:rPr>
        <w:t xml:space="preserve">before </w:t>
      </w:r>
      <w:r w:rsidR="00AC77B2">
        <w:rPr>
          <w:rFonts w:eastAsia="SimSun"/>
          <w:lang w:eastAsia="zh-CN"/>
        </w:rPr>
        <w:t xml:space="preserve">performing </w:t>
      </w:r>
      <w:r w:rsidR="007A1F73">
        <w:rPr>
          <w:rFonts w:eastAsia="SimSun"/>
          <w:lang w:eastAsia="zh-CN"/>
        </w:rPr>
        <w:t xml:space="preserve">systematic </w:t>
      </w:r>
      <w:r w:rsidR="00AC77B2">
        <w:rPr>
          <w:rFonts w:eastAsia="SimSun"/>
          <w:lang w:eastAsia="zh-CN"/>
        </w:rPr>
        <w:t xml:space="preserve">sample </w:t>
      </w:r>
      <w:r w:rsidR="007A1F73">
        <w:rPr>
          <w:rFonts w:eastAsia="SimSun"/>
          <w:lang w:eastAsia="zh-CN"/>
        </w:rPr>
        <w:t xml:space="preserve">selection. </w:t>
      </w:r>
      <w:r w:rsidRPr="00D21D42" w:rsidR="007A1F73">
        <w:rPr>
          <w:rFonts w:eastAsia="SimSun"/>
          <w:lang w:eastAsia="zh-CN"/>
        </w:rPr>
        <w:t>The implicit stratification helps to ensure against selecting a sample that is nonrepresentative or disproportionate to the frame distribution of the variables used for sorting</w:t>
      </w:r>
      <w:r w:rsidR="00AC77B2">
        <w:rPr>
          <w:rFonts w:eastAsia="SimSun"/>
          <w:lang w:eastAsia="zh-CN"/>
        </w:rPr>
        <w:t>, and it is</w:t>
      </w:r>
      <w:r w:rsidR="00EE5C24">
        <w:rPr>
          <w:rFonts w:eastAsia="SimSun"/>
          <w:lang w:eastAsia="zh-CN"/>
        </w:rPr>
        <w:t xml:space="preserve"> expected to improve the precision of the estimates that are correlated with the sorting variables. Below </w:t>
      </w:r>
      <w:r w:rsidR="007C1527">
        <w:rPr>
          <w:rFonts w:eastAsia="SimSun"/>
          <w:lang w:eastAsia="zh-CN"/>
        </w:rPr>
        <w:t>is</w:t>
      </w:r>
      <w:r w:rsidR="00EE5C24">
        <w:rPr>
          <w:rFonts w:eastAsia="SimSun"/>
          <w:lang w:eastAsia="zh-CN"/>
        </w:rPr>
        <w:t xml:space="preserve"> the list of sort variables, in order, for systematic sample selection: </w:t>
      </w:r>
    </w:p>
    <w:p w:rsidR="005A5D0C" w:rsidRPr="0016087B" w:rsidP="0016087B" w14:paraId="7D7BF7CB"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Multifamily dwelling unit indicator (address level, from CDS file)</w:t>
      </w:r>
    </w:p>
    <w:p w:rsidR="005A5D0C" w:rsidRPr="0016087B" w:rsidP="0016087B" w14:paraId="17DE3078"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Urban</w:t>
      </w:r>
      <w:r w:rsidRPr="0016087B" w:rsidR="008D600B">
        <w:rPr>
          <w:rFonts w:eastAsia="SimSun" w:asciiTheme="minorHAnsi" w:hAnsiTheme="minorHAnsi" w:cstheme="minorBidi"/>
          <w:szCs w:val="22"/>
          <w:lang w:eastAsia="zh-CN"/>
        </w:rPr>
        <w:t>-Rura</w:t>
      </w:r>
      <w:r w:rsidRPr="0016087B" w:rsidR="00D214C7">
        <w:rPr>
          <w:rFonts w:eastAsia="SimSun" w:asciiTheme="minorHAnsi" w:hAnsiTheme="minorHAnsi" w:cstheme="minorBidi"/>
          <w:szCs w:val="22"/>
          <w:lang w:eastAsia="zh-CN"/>
        </w:rPr>
        <w:t xml:space="preserve">l indicator </w:t>
      </w:r>
      <w:r w:rsidRPr="0016087B">
        <w:rPr>
          <w:rFonts w:eastAsia="SimSun" w:asciiTheme="minorHAnsi" w:hAnsiTheme="minorHAnsi" w:cstheme="minorBidi"/>
          <w:szCs w:val="22"/>
          <w:lang w:eastAsia="zh-CN"/>
        </w:rPr>
        <w:t>(county level</w:t>
      </w:r>
      <w:r w:rsidRPr="0016087B" w:rsidR="008D600B">
        <w:rPr>
          <w:rFonts w:eastAsia="SimSun" w:asciiTheme="minorHAnsi" w:hAnsiTheme="minorHAnsi" w:cstheme="minorBidi"/>
          <w:szCs w:val="22"/>
          <w:lang w:eastAsia="zh-CN"/>
        </w:rPr>
        <w:t>, from U</w:t>
      </w:r>
      <w:r w:rsidRPr="0016087B" w:rsidR="00D214C7">
        <w:rPr>
          <w:rFonts w:eastAsia="SimSun" w:asciiTheme="minorHAnsi" w:hAnsiTheme="minorHAnsi" w:cstheme="minorBidi"/>
          <w:szCs w:val="22"/>
          <w:lang w:eastAsia="zh-CN"/>
        </w:rPr>
        <w:t>.</w:t>
      </w:r>
      <w:r w:rsidRPr="0016087B" w:rsidR="008D600B">
        <w:rPr>
          <w:rFonts w:eastAsia="SimSun" w:asciiTheme="minorHAnsi" w:hAnsiTheme="minorHAnsi" w:cstheme="minorBidi"/>
          <w:szCs w:val="22"/>
          <w:lang w:eastAsia="zh-CN"/>
        </w:rPr>
        <w:t>S</w:t>
      </w:r>
      <w:r w:rsidRPr="0016087B" w:rsidR="00D214C7">
        <w:rPr>
          <w:rFonts w:eastAsia="SimSun" w:asciiTheme="minorHAnsi" w:hAnsiTheme="minorHAnsi" w:cstheme="minorBidi"/>
          <w:szCs w:val="22"/>
          <w:lang w:eastAsia="zh-CN"/>
        </w:rPr>
        <w:t>. Census</w:t>
      </w:r>
      <w:r w:rsidRPr="0016087B">
        <w:rPr>
          <w:rFonts w:eastAsia="SimSun" w:asciiTheme="minorHAnsi" w:hAnsiTheme="minorHAnsi" w:cstheme="minorBidi"/>
          <w:szCs w:val="22"/>
          <w:lang w:eastAsia="zh-CN"/>
        </w:rPr>
        <w:t>)</w:t>
      </w:r>
    </w:p>
    <w:p w:rsidR="005A5D0C" w:rsidRPr="0016087B" w:rsidP="0016087B" w14:paraId="41F619AD"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Median income (</w:t>
      </w:r>
      <w:r w:rsidRPr="0016087B" w:rsidR="00B47169">
        <w:rPr>
          <w:rFonts w:eastAsia="SimSun" w:asciiTheme="minorHAnsi" w:hAnsiTheme="minorHAnsi" w:cstheme="minorBidi"/>
          <w:szCs w:val="22"/>
          <w:lang w:eastAsia="zh-CN"/>
        </w:rPr>
        <w:t xml:space="preserve">census </w:t>
      </w:r>
      <w:r w:rsidRPr="0016087B">
        <w:rPr>
          <w:rFonts w:eastAsia="SimSun" w:asciiTheme="minorHAnsi" w:hAnsiTheme="minorHAnsi" w:cstheme="minorBidi"/>
          <w:szCs w:val="22"/>
          <w:lang w:eastAsia="zh-CN"/>
        </w:rPr>
        <w:t>block group level, grouped into quintiles within each stratum</w:t>
      </w:r>
      <w:r w:rsidRPr="0016087B" w:rsidR="00B47169">
        <w:rPr>
          <w:rFonts w:eastAsia="SimSun" w:asciiTheme="minorHAnsi" w:hAnsiTheme="minorHAnsi" w:cstheme="minorBidi"/>
          <w:szCs w:val="22"/>
          <w:lang w:eastAsia="zh-CN"/>
        </w:rPr>
        <w:t>)</w:t>
      </w:r>
    </w:p>
    <w:p w:rsidR="005A5D0C" w:rsidRPr="0016087B" w:rsidP="0016087B" w14:paraId="1943D086"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Heating degree days</w:t>
      </w:r>
      <w:r w:rsidRPr="0016087B" w:rsidR="00D214C7">
        <w:rPr>
          <w:rFonts w:eastAsia="SimSun" w:asciiTheme="minorHAnsi" w:hAnsiTheme="minorHAnsi" w:cstheme="minorBidi"/>
          <w:szCs w:val="22"/>
          <w:lang w:eastAsia="zh-CN"/>
        </w:rPr>
        <w:t>, base temperature 65F</w:t>
      </w:r>
      <w:r w:rsidRPr="0016087B">
        <w:rPr>
          <w:rFonts w:eastAsia="SimSun" w:asciiTheme="minorHAnsi" w:hAnsiTheme="minorHAnsi" w:cstheme="minorBidi"/>
          <w:szCs w:val="22"/>
          <w:lang w:eastAsia="zh-CN"/>
        </w:rPr>
        <w:t xml:space="preserve"> (</w:t>
      </w:r>
      <w:r w:rsidRPr="0016087B" w:rsidR="00B47169">
        <w:rPr>
          <w:rFonts w:eastAsia="SimSun" w:asciiTheme="minorHAnsi" w:hAnsiTheme="minorHAnsi" w:cstheme="minorBidi"/>
          <w:szCs w:val="22"/>
          <w:lang w:eastAsia="zh-CN"/>
        </w:rPr>
        <w:t xml:space="preserve">census </w:t>
      </w:r>
      <w:r w:rsidRPr="0016087B">
        <w:rPr>
          <w:rFonts w:eastAsia="SimSun" w:asciiTheme="minorHAnsi" w:hAnsiTheme="minorHAnsi" w:cstheme="minorBidi"/>
          <w:szCs w:val="22"/>
          <w:lang w:eastAsia="zh-CN"/>
        </w:rPr>
        <w:t>tract level, grouped into quintiles within each stratum</w:t>
      </w:r>
      <w:r w:rsidRPr="0016087B" w:rsidR="00D214C7">
        <w:rPr>
          <w:rFonts w:eastAsia="SimSun" w:asciiTheme="minorHAnsi" w:hAnsiTheme="minorHAnsi" w:cstheme="minorBidi"/>
          <w:szCs w:val="22"/>
          <w:lang w:eastAsia="zh-CN"/>
        </w:rPr>
        <w:t>)</w:t>
      </w:r>
    </w:p>
    <w:p w:rsidR="005A5D0C" w:rsidRPr="0016087B" w:rsidP="0016087B" w14:paraId="59A373E1"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ZIP Code</w:t>
      </w:r>
    </w:p>
    <w:p w:rsidR="005A5D0C" w:rsidRPr="0016087B" w:rsidP="0016087B" w14:paraId="6EA1585A"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Carrier route (for mail delivery)</w:t>
      </w:r>
    </w:p>
    <w:p w:rsidR="005A5D0C" w:rsidRPr="0016087B" w:rsidP="0016087B" w14:paraId="3EC757D3"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Walk sequence (mail delivery sort order within carrier route)</w:t>
      </w:r>
    </w:p>
    <w:p w:rsidR="00B33AEB" w:rsidRPr="0016087B" w:rsidP="0016087B" w14:paraId="00811F7C" w14:textId="77777777">
      <w:pPr>
        <w:pStyle w:val="bullets"/>
        <w:numPr>
          <w:ilvl w:val="0"/>
          <w:numId w:val="21"/>
        </w:numPr>
        <w:spacing w:after="240"/>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 xml:space="preserve">ZIP+4 (for addresses that do not have a walk sequence; otherwise, this does nothing) </w:t>
      </w:r>
    </w:p>
    <w:p w:rsidR="00CD710C" w:rsidP="00651BC0" w14:paraId="74A185C0" w14:textId="24B9243A">
      <w:r>
        <w:t xml:space="preserve">As discussed in </w:t>
      </w:r>
      <w:r w:rsidR="00E012BC">
        <w:t>Supporting Statemen</w:t>
      </w:r>
      <w:r w:rsidR="00B74235">
        <w:t>t</w:t>
      </w:r>
      <w:r w:rsidR="00E012BC">
        <w:t xml:space="preserve"> </w:t>
      </w:r>
      <w:r>
        <w:t>Part A</w:t>
      </w:r>
      <w:r w:rsidR="006E1A8F">
        <w:t xml:space="preserve">, there will </w:t>
      </w:r>
      <w:r w:rsidR="00746E03">
        <w:t xml:space="preserve">be </w:t>
      </w:r>
      <w:r w:rsidR="00BC4C4A">
        <w:t xml:space="preserve">two </w:t>
      </w:r>
      <w:r w:rsidR="006E1A8F">
        <w:t xml:space="preserve">phases of data collection </w:t>
      </w:r>
      <w:r w:rsidR="00746E03">
        <w:t xml:space="preserve">for the </w:t>
      </w:r>
      <w:r w:rsidR="00BC4C4A">
        <w:t xml:space="preserve">2024 </w:t>
      </w:r>
      <w:r w:rsidR="006E1A8F">
        <w:t>RECS</w:t>
      </w:r>
      <w:r w:rsidR="00E012BC">
        <w:t xml:space="preserve"> </w:t>
      </w:r>
      <w:r w:rsidRPr="0023484E" w:rsidR="00E012BC">
        <w:rPr>
          <w:i/>
          <w:iCs/>
        </w:rPr>
        <w:t>Household Survey</w:t>
      </w:r>
      <w:r w:rsidR="0090566D">
        <w:t xml:space="preserve">. Phase 1 will consist </w:t>
      </w:r>
      <w:r w:rsidR="00746E03">
        <w:t xml:space="preserve">of </w:t>
      </w:r>
      <w:r w:rsidR="0090566D">
        <w:t xml:space="preserve">20% of the </w:t>
      </w:r>
      <w:r w:rsidR="00FE36F2">
        <w:t xml:space="preserve">selected </w:t>
      </w:r>
      <w:r w:rsidR="00E97CFF">
        <w:t xml:space="preserve">addresses </w:t>
      </w:r>
      <w:r w:rsidR="0090566D">
        <w:t xml:space="preserve">and Phase 2 will consist </w:t>
      </w:r>
      <w:r w:rsidR="00A20481">
        <w:t xml:space="preserve">of the remaining </w:t>
      </w:r>
      <w:r w:rsidR="0090566D">
        <w:t xml:space="preserve">80% of the </w:t>
      </w:r>
      <w:r w:rsidR="00E97CFF">
        <w:t>addresses</w:t>
      </w:r>
      <w:r w:rsidR="0090566D">
        <w:t xml:space="preserve">. </w:t>
      </w:r>
      <w:r>
        <w:t xml:space="preserve">The Phase 1 and Phase 2 </w:t>
      </w:r>
      <w:r w:rsidR="00A322FF">
        <w:t>addresses</w:t>
      </w:r>
      <w:r>
        <w:t xml:space="preserve"> will be selected simultaneously prior to the start of Phase 1 data collection using Chromy’s minimum replacement technique</w:t>
      </w:r>
      <w:r w:rsidR="00F911AA">
        <w:t>.</w:t>
      </w:r>
      <w:r>
        <w:rPr>
          <w:rStyle w:val="FootnoteReference"/>
        </w:rPr>
        <w:footnoteReference w:id="8"/>
      </w:r>
      <w:r>
        <w:t xml:space="preserve"> This is a systematic selection technique that selects sample units from successively ordered zones created on a sorted sampling frame. </w:t>
      </w:r>
    </w:p>
    <w:p w:rsidR="00212F48" w:rsidP="0042353E" w14:paraId="73950F4F" w14:textId="77777777">
      <w:pPr>
        <w:spacing w:before="240" w:after="240"/>
      </w:pPr>
      <w:r>
        <w:t xml:space="preserve">A reserve sample of approximately 8,000 additional addresses will be selected for possible use in an additional data collection phase. A portion or all reserve sample cases may be released in select domains if sufficient surveys are not </w:t>
      </w:r>
      <w:r w:rsidR="0030609A">
        <w:t>completed,</w:t>
      </w:r>
      <w:r>
        <w:t xml:space="preserve"> or EIA determines that precision requirements will not be met.</w:t>
      </w:r>
      <w:r w:rsidR="005327B1">
        <w:t xml:space="preserve"> The reserve sample will be selected at the same time as</w:t>
      </w:r>
      <w:r w:rsidR="001D41C6">
        <w:t xml:space="preserve"> the samples for</w:t>
      </w:r>
      <w:r w:rsidR="005327B1">
        <w:t xml:space="preserve"> Phase 1 and Phase 2, but they will only be released as needed during </w:t>
      </w:r>
      <w:r w:rsidR="009D2587">
        <w:t xml:space="preserve">an additional </w:t>
      </w:r>
      <w:r w:rsidR="005327B1">
        <w:t>data collection</w:t>
      </w:r>
      <w:r w:rsidR="009D2587">
        <w:t xml:space="preserve"> phase as</w:t>
      </w:r>
      <w:r w:rsidR="00F31885">
        <w:t xml:space="preserve"> a</w:t>
      </w:r>
      <w:r w:rsidR="009D2587">
        <w:t xml:space="preserve"> </w:t>
      </w:r>
      <w:r w:rsidR="001D41C6">
        <w:t>risk mitigation</w:t>
      </w:r>
      <w:r w:rsidR="009D2587">
        <w:t xml:space="preserve"> strategy</w:t>
      </w:r>
      <w:r w:rsidR="005327B1">
        <w:t>.</w:t>
      </w:r>
      <w:r>
        <w:t xml:space="preserve">  </w:t>
      </w:r>
    </w:p>
    <w:p w:rsidR="00D55A9D" w:rsidRPr="007D0544" w:rsidP="00D55A9D" w14:paraId="3879391E" w14:textId="77777777">
      <w:pPr>
        <w:rPr>
          <w:b/>
        </w:rPr>
      </w:pPr>
      <w:r>
        <w:rPr>
          <w:b/>
        </w:rPr>
        <w:t xml:space="preserve">Weighting and </w:t>
      </w:r>
      <w:r w:rsidRPr="007D0544">
        <w:rPr>
          <w:b/>
        </w:rPr>
        <w:t>Estimation Procedures</w:t>
      </w:r>
    </w:p>
    <w:p w:rsidR="00B45168" w:rsidP="00D55A9D" w14:paraId="1D9111A3" w14:textId="77777777">
      <w:r>
        <w:t xml:space="preserve">The estimation of </w:t>
      </w:r>
      <w:r w:rsidR="00F31885">
        <w:t>household energy-use metrics from</w:t>
      </w:r>
      <w:r>
        <w:t xml:space="preserve"> RECS is based on the responding sample</w:t>
      </w:r>
      <w:r w:rsidR="009D2587">
        <w:t>.</w:t>
      </w:r>
      <w:r>
        <w:t xml:space="preserve"> </w:t>
      </w:r>
      <w:r w:rsidR="009D2587">
        <w:t>E</w:t>
      </w:r>
      <w:r>
        <w:t xml:space="preserve">ach completed case of the responding sample will have </w:t>
      </w:r>
      <w:r w:rsidR="009D2587">
        <w:t xml:space="preserve">a final </w:t>
      </w:r>
      <w:r>
        <w:t xml:space="preserve">weight associated with </w:t>
      </w:r>
      <w:r w:rsidR="009D2587">
        <w:t>it</w:t>
      </w:r>
      <w:r w:rsidR="001D41C6">
        <w:t>, which</w:t>
      </w:r>
      <w:r w:rsidR="00C8452A">
        <w:t xml:space="preserve"> reflect</w:t>
      </w:r>
      <w:r w:rsidR="009D2587">
        <w:t>s</w:t>
      </w:r>
      <w:r w:rsidR="00C8452A">
        <w:t xml:space="preserve"> the number of </w:t>
      </w:r>
      <w:r w:rsidR="007A6C11">
        <w:t>occupied</w:t>
      </w:r>
      <w:r w:rsidR="00F31885">
        <w:t>, primary</w:t>
      </w:r>
      <w:r w:rsidR="007A6C11">
        <w:t xml:space="preserve"> </w:t>
      </w:r>
      <w:r w:rsidR="00C8452A">
        <w:t xml:space="preserve">housing units </w:t>
      </w:r>
      <w:r w:rsidR="009D2587">
        <w:t>it represents</w:t>
      </w:r>
      <w:r w:rsidR="00C8452A">
        <w:t xml:space="preserve"> in the target population. </w:t>
      </w:r>
      <w:r w:rsidR="004B449A">
        <w:t xml:space="preserve">After sample </w:t>
      </w:r>
      <w:r w:rsidR="004B449A">
        <w:t xml:space="preserve">selection, the initial base weight will be calculated based on the addresses selected for Phase 1 and Phase 2, which is the reciprocal of the probability of selection within each </w:t>
      </w:r>
      <w:r w:rsidR="00F31885">
        <w:t>stratum</w:t>
      </w:r>
      <w:r w:rsidR="007A6C11">
        <w:t xml:space="preserve">. These base weights will then be adjusted for ineligibility, nonresponse, </w:t>
      </w:r>
      <w:r w:rsidR="009D2D93">
        <w:t>and benchmarking</w:t>
      </w:r>
      <w:r w:rsidR="00897721">
        <w:t xml:space="preserve"> to result in a final weight. The sum of the final weights for all completed cases will equal the number of occupied, primary housing units </w:t>
      </w:r>
      <w:r w:rsidR="0050692C">
        <w:t xml:space="preserve">at the U.S., state, and selected domains (e.g., by housing unit type) </w:t>
      </w:r>
      <w:r w:rsidR="00897721">
        <w:t xml:space="preserve">from the 2024 American Community Survey (ACS). The final weights will be used to produce a wide range of population estimates, such as </w:t>
      </w:r>
      <w:r w:rsidR="00F31885">
        <w:t>average</w:t>
      </w:r>
      <w:r w:rsidR="00897721">
        <w:t xml:space="preserve"> household energy consumption, average energy expenditure, percent of households </w:t>
      </w:r>
      <w:r w:rsidR="00657780">
        <w:t>using dishwasher</w:t>
      </w:r>
      <w:r w:rsidR="009D2587">
        <w:t>s</w:t>
      </w:r>
      <w:r w:rsidR="00897721">
        <w:t xml:space="preserve">, and so forth. </w:t>
      </w:r>
      <w:r>
        <w:t xml:space="preserve">In addition, a set of replicate weights will be created for variance estimation. </w:t>
      </w:r>
    </w:p>
    <w:p w:rsidR="007E53C4" w:rsidP="00071527" w14:paraId="615E569B" w14:textId="77777777">
      <w:pPr>
        <w:pStyle w:val="Heading2"/>
      </w:pPr>
      <w:bookmarkStart w:id="7" w:name="_Toc160546010"/>
      <w:r>
        <w:t>B.</w:t>
      </w:r>
      <w:r w:rsidRPr="00A41763" w:rsidR="00A41763">
        <w:t xml:space="preserve">3. </w:t>
      </w:r>
      <w:r>
        <w:t>Maximizing Response Rates</w:t>
      </w:r>
      <w:bookmarkEnd w:id="7"/>
    </w:p>
    <w:p w:rsidR="005541A4" w:rsidP="001D2C73" w14:paraId="7B2D6194" w14:textId="77777777">
      <w:pPr>
        <w:spacing w:after="0"/>
      </w:pPr>
    </w:p>
    <w:p w:rsidR="00941524" w:rsidP="0092316B" w14:paraId="170572D7" w14:textId="77777777">
      <w:pPr>
        <w:spacing w:after="0"/>
      </w:pPr>
      <w:r>
        <w:t xml:space="preserve">The </w:t>
      </w:r>
      <w:r w:rsidR="00BC4C4A">
        <w:t xml:space="preserve">2024 </w:t>
      </w:r>
      <w:r>
        <w:t xml:space="preserve">RECS will utilize robust contact, data collection, </w:t>
      </w:r>
      <w:r w:rsidR="000A484C">
        <w:t>statistical analysis</w:t>
      </w:r>
      <w:r>
        <w:t>, and risk mitigation stra</w:t>
      </w:r>
      <w:r w:rsidR="000A484C">
        <w:t>tegies to maximiz</w:t>
      </w:r>
      <w:r w:rsidR="00A20481">
        <w:t>e</w:t>
      </w:r>
      <w:r w:rsidR="000A484C">
        <w:t xml:space="preserve"> the response rate and produc</w:t>
      </w:r>
      <w:r w:rsidR="00A20481">
        <w:t>e</w:t>
      </w:r>
      <w:r w:rsidR="000A484C">
        <w:t xml:space="preserve"> </w:t>
      </w:r>
      <w:r w:rsidR="00A20481">
        <w:t xml:space="preserve">representative samples of key household energy subpopulations. </w:t>
      </w:r>
    </w:p>
    <w:p w:rsidR="000A484C" w:rsidP="0092316B" w14:paraId="47135030" w14:textId="77777777">
      <w:pPr>
        <w:spacing w:after="0"/>
        <w:rPr>
          <w:b/>
        </w:rPr>
      </w:pPr>
    </w:p>
    <w:p w:rsidR="0015706F" w:rsidP="00503FC9" w14:paraId="4AF8101D" w14:textId="77777777">
      <w:pPr>
        <w:rPr>
          <w:b/>
        </w:rPr>
      </w:pPr>
      <w:r>
        <w:rPr>
          <w:b/>
        </w:rPr>
        <w:t>Maximizing Unit Response and Coverage in the Household Survey</w:t>
      </w:r>
    </w:p>
    <w:p w:rsidR="00722774" w:rsidRPr="0092316B" w:rsidP="0059027B" w14:paraId="298EF7BC" w14:textId="77777777">
      <w:pPr>
        <w:rPr>
          <w:i/>
        </w:rPr>
      </w:pPr>
      <w:r w:rsidRPr="0092316B">
        <w:rPr>
          <w:i/>
        </w:rPr>
        <w:t>Contact Strategy and Protocol</w:t>
      </w:r>
    </w:p>
    <w:p w:rsidR="009324AC" w:rsidP="0059027B" w14:paraId="6CC2C0E9" w14:textId="77777777">
      <w:r>
        <w:t>The</w:t>
      </w:r>
      <w:r w:rsidR="00552BB7">
        <w:t xml:space="preserve"> </w:t>
      </w:r>
      <w:r w:rsidR="00BC4C4A">
        <w:t xml:space="preserve">2024 </w:t>
      </w:r>
      <w:r w:rsidR="004A3186">
        <w:t xml:space="preserve">RECS </w:t>
      </w:r>
      <w:r w:rsidR="00E012BC">
        <w:t xml:space="preserve">Household Survey </w:t>
      </w:r>
      <w:r w:rsidR="001D7BD2">
        <w:t>data collection</w:t>
      </w:r>
      <w:r w:rsidR="006E4097">
        <w:t xml:space="preserve"> strategy </w:t>
      </w:r>
      <w:r w:rsidR="00680682">
        <w:t>will be</w:t>
      </w:r>
      <w:r w:rsidR="006E4097">
        <w:t xml:space="preserve"> </w:t>
      </w:r>
      <w:r w:rsidR="006E4097">
        <w:t>similar to</w:t>
      </w:r>
      <w:r w:rsidR="006E4097">
        <w:t xml:space="preserve"> the 2020 RECS strategy and</w:t>
      </w:r>
      <w:r w:rsidR="001D7BD2">
        <w:t xml:space="preserve"> </w:t>
      </w:r>
      <w:r w:rsidR="006E4097">
        <w:t xml:space="preserve">use </w:t>
      </w:r>
      <w:r w:rsidR="00FC4BA6">
        <w:t>self-administered</w:t>
      </w:r>
      <w:r w:rsidR="004A3186">
        <w:t xml:space="preserve"> </w:t>
      </w:r>
      <w:r w:rsidR="00E012BC">
        <w:t>W</w:t>
      </w:r>
      <w:r w:rsidR="00A478B0">
        <w:t xml:space="preserve">eb and paper </w:t>
      </w:r>
      <w:r w:rsidR="001D7BD2">
        <w:t>modes</w:t>
      </w:r>
      <w:r w:rsidR="006E4097">
        <w:t>.</w:t>
      </w:r>
      <w:r w:rsidR="00A478B0">
        <w:t xml:space="preserve"> </w:t>
      </w:r>
      <w:r w:rsidRPr="009C01C3" w:rsidR="001D7BD2">
        <w:t xml:space="preserve">The </w:t>
      </w:r>
      <w:r w:rsidRPr="00710BEC" w:rsidR="007B6CD2">
        <w:t>contact</w:t>
      </w:r>
      <w:r w:rsidRPr="007B6CD2" w:rsidR="001D7BD2">
        <w:t xml:space="preserve"> protocol calls for </w:t>
      </w:r>
      <w:r w:rsidRPr="00710BEC" w:rsidR="00C6332B">
        <w:t xml:space="preserve">up to </w:t>
      </w:r>
      <w:r w:rsidRPr="00710BEC" w:rsidR="007B6CD2">
        <w:t>six</w:t>
      </w:r>
      <w:r w:rsidRPr="007B6CD2" w:rsidR="001D7BD2">
        <w:t xml:space="preserve"> mailings to sampled households over approximately </w:t>
      </w:r>
      <w:r w:rsidRPr="00710BEC" w:rsidR="007B6CD2">
        <w:t>seven weeks, including postcards and invitation</w:t>
      </w:r>
      <w:r w:rsidRPr="00710BEC" w:rsidR="00C6332B">
        <w:t xml:space="preserve"> letters. </w:t>
      </w:r>
    </w:p>
    <w:p w:rsidR="0016087B" w:rsidP="0059027B" w14:paraId="066F8DC7" w14:textId="5D73A037">
      <w:r>
        <w:t>Selected households will first be invited to respond via the Web instrument only (i.e., a “push-to-Web”</w:t>
      </w:r>
      <w:r w:rsidR="008B58C9">
        <w:t xml:space="preserve"> </w:t>
      </w:r>
      <w:r>
        <w:t>strategy</w:t>
      </w:r>
      <w:r w:rsidR="008B58C9">
        <w:t>)</w:t>
      </w:r>
      <w:r w:rsidR="00F911AA">
        <w:t>.</w:t>
      </w:r>
      <w:r>
        <w:t xml:space="preserve"> All sampled household</w:t>
      </w:r>
      <w:r w:rsidR="009D2587">
        <w:t>s</w:t>
      </w:r>
      <w:r>
        <w:t xml:space="preserve"> will be provided $5 cash as a token of appreciation at the first invitation, and responding households will be provided a $10 cash promised incentive. </w:t>
      </w:r>
    </w:p>
    <w:p w:rsidR="005E0D5F" w:rsidP="0059027B" w14:paraId="009ECAC3" w14:textId="77777777">
      <w:r>
        <w:t>For the second and third invitation</w:t>
      </w:r>
      <w:r w:rsidR="008B58C9">
        <w:t>s</w:t>
      </w:r>
      <w:r>
        <w:t xml:space="preserve">, households will be offered the choice of responding via Web or a paper form. (The paper form will be mailed with the second and third invitations.) Web respondents to the second and third </w:t>
      </w:r>
      <w:r w:rsidR="008B58C9">
        <w:t>invitation</w:t>
      </w:r>
      <w:r w:rsidR="0016087B">
        <w:t>s</w:t>
      </w:r>
      <w:r w:rsidR="008B58C9">
        <w:t xml:space="preserve"> will be provided a bonus $10 incentive for a total of $20 promised incentive. Paper respondents will receive the $10 incentive. </w:t>
      </w:r>
      <w:r>
        <w:t xml:space="preserve">This “Choice+” protocol was tested during pilot studies and used exclusively for the 2020 </w:t>
      </w:r>
      <w:r w:rsidRPr="0016087B">
        <w:t>RECS Household Survey. As demonstrated for the RECS pilot tests, the Choice+ protocol results in higher response rates than Web</w:t>
      </w:r>
      <w:r>
        <w:t>-only or traditional Choice protocols</w:t>
      </w:r>
      <w:r w:rsidR="009D2587">
        <w:t xml:space="preserve"> where the same incentive amount is provided for all modes</w:t>
      </w:r>
      <w:r>
        <w:t>. The Choice+ protocol also incentivizes Web response and results in lower per-complete cost compared to the traditional Choice protocol.</w:t>
      </w:r>
    </w:p>
    <w:p w:rsidR="00552BB7" w:rsidP="0059027B" w14:paraId="66D5488B" w14:textId="4334130E">
      <w:r w:rsidRPr="00710BEC">
        <w:t>All contact materials</w:t>
      </w:r>
      <w:r w:rsidR="0016087B">
        <w:t xml:space="preserve"> will</w:t>
      </w:r>
      <w:r w:rsidRPr="00710BEC">
        <w:t xml:space="preserve"> </w:t>
      </w:r>
      <w:r w:rsidRPr="007B6CD2">
        <w:t xml:space="preserve">include </w:t>
      </w:r>
      <w:r w:rsidRPr="00D62087">
        <w:t xml:space="preserve">the same </w:t>
      </w:r>
      <w:r w:rsidRPr="005C76C7">
        <w:t xml:space="preserve">text in both English and Spanish. The </w:t>
      </w:r>
      <w:r w:rsidR="00F37F34">
        <w:t>W</w:t>
      </w:r>
      <w:r w:rsidRPr="005C76C7">
        <w:t xml:space="preserve">eb questionnaire will be available in both English and Spanish, with the URLs for </w:t>
      </w:r>
      <w:r w:rsidRPr="00882448">
        <w:t xml:space="preserve">both </w:t>
      </w:r>
      <w:r w:rsidRPr="0001729A">
        <w:t>version</w:t>
      </w:r>
      <w:r w:rsidRPr="002D0AEE">
        <w:t>s</w:t>
      </w:r>
      <w:r w:rsidRPr="0021177E">
        <w:t xml:space="preserve"> included in all mailings. T</w:t>
      </w:r>
      <w:r w:rsidRPr="009C01C3">
        <w:t>he paper questionnaire will</w:t>
      </w:r>
      <w:r>
        <w:t xml:space="preserve"> be available in both English and Spanish</w:t>
      </w:r>
      <w:r w:rsidR="00843B84">
        <w:t xml:space="preserve"> and a</w:t>
      </w:r>
      <w:r>
        <w:t xml:space="preserve"> RECS helpline </w:t>
      </w:r>
      <w:r w:rsidR="00F911AA">
        <w:t xml:space="preserve">(also in both English and Spanish) </w:t>
      </w:r>
      <w:r>
        <w:t>will be available throughout the data collection period for respondents to call with any questions or concerns.</w:t>
      </w:r>
    </w:p>
    <w:p w:rsidR="004E0695" w:rsidP="0059027B" w14:paraId="1F4CF50F" w14:textId="77777777">
      <w:pPr>
        <w:rPr>
          <w:i/>
        </w:rPr>
      </w:pPr>
    </w:p>
    <w:p w:rsidR="00722774" w:rsidRPr="0092316B" w:rsidP="0059027B" w14:paraId="6662095A" w14:textId="77777777">
      <w:pPr>
        <w:rPr>
          <w:i/>
        </w:rPr>
      </w:pPr>
      <w:r>
        <w:rPr>
          <w:i/>
        </w:rPr>
        <w:t xml:space="preserve">Risk Mitigation Strategy using </w:t>
      </w:r>
      <w:r w:rsidRPr="0092316B">
        <w:rPr>
          <w:i/>
        </w:rPr>
        <w:t>Responsive Design</w:t>
      </w:r>
    </w:p>
    <w:p w:rsidR="005E0D5F" w:rsidP="0059027B" w14:paraId="5A0DB7C8" w14:textId="77777777">
      <w:r>
        <w:t xml:space="preserve">The </w:t>
      </w:r>
      <w:r w:rsidR="00BC4C4A">
        <w:t xml:space="preserve">2024 </w:t>
      </w:r>
      <w:r>
        <w:t>RE</w:t>
      </w:r>
      <w:r w:rsidR="006E1A8F">
        <w:t>CS</w:t>
      </w:r>
      <w:r w:rsidR="00D13CF6">
        <w:t xml:space="preserve"> </w:t>
      </w:r>
      <w:r w:rsidR="00F37F34">
        <w:t xml:space="preserve">Household Survey </w:t>
      </w:r>
      <w:r w:rsidR="00A478B0">
        <w:t>will use a responsive design with</w:t>
      </w:r>
      <w:r w:rsidR="00D13CF6">
        <w:t xml:space="preserve"> </w:t>
      </w:r>
      <w:r>
        <w:t xml:space="preserve">two </w:t>
      </w:r>
      <w:r w:rsidR="00D13CF6">
        <w:t>phase</w:t>
      </w:r>
      <w:r w:rsidR="00A478B0">
        <w:t>s of</w:t>
      </w:r>
      <w:r w:rsidR="00D13CF6">
        <w:t xml:space="preserve"> data collection</w:t>
      </w:r>
      <w:r w:rsidR="00A478B0">
        <w:t>. Phase 1</w:t>
      </w:r>
      <w:r w:rsidR="00CD710C">
        <w:t>, which will consist of 20% of the starting sample,</w:t>
      </w:r>
      <w:r>
        <w:t xml:space="preserve"> will include two experiments to test whether alternative strategies can increase response rates and/or improve coverag</w:t>
      </w:r>
      <w:r w:rsidR="00843B84">
        <w:t>e</w:t>
      </w:r>
      <w:r>
        <w:t>:</w:t>
      </w:r>
    </w:p>
    <w:p w:rsidR="005E0D5F" w:rsidP="00842AD8" w14:paraId="5B5057AF" w14:textId="77777777">
      <w:pPr>
        <w:pStyle w:val="ListParagraph"/>
      </w:pPr>
      <w:r>
        <w:t>Experiment 1: Including QR codes on contact materials</w:t>
      </w:r>
      <w:r w:rsidR="00ED76B9">
        <w:t xml:space="preserve"> that link to the respondent </w:t>
      </w:r>
      <w:r w:rsidR="0030609A">
        <w:t>Website.</w:t>
      </w:r>
    </w:p>
    <w:p w:rsidR="005E0D5F" w:rsidP="00842AD8" w14:paraId="3440C139" w14:textId="77777777">
      <w:pPr>
        <w:pStyle w:val="ListParagraph"/>
      </w:pPr>
      <w:r>
        <w:t>Experiment 2: Eliminating the pre-notice postcard and adding a</w:t>
      </w:r>
      <w:r w:rsidR="002F1B57">
        <w:t>n</w:t>
      </w:r>
      <w:r w:rsidR="00843B84">
        <w:t xml:space="preserve"> </w:t>
      </w:r>
      <w:r w:rsidR="00FD4248">
        <w:t>additional</w:t>
      </w:r>
      <w:r w:rsidR="00843B84">
        <w:t xml:space="preserve"> </w:t>
      </w:r>
      <w:r w:rsidR="0030609A">
        <w:t>reminder.</w:t>
      </w:r>
    </w:p>
    <w:p w:rsidR="005E0D5F" w:rsidP="005E0D5F" w14:paraId="334169B8" w14:textId="77777777">
      <w:r>
        <w:t xml:space="preserve">After Phase 1 is completed, EIA will analyze the results of the experiments and apply the optimal strategy to </w:t>
      </w:r>
      <w:r>
        <w:t>all</w:t>
      </w:r>
      <w:r w:rsidR="004963A4">
        <w:t xml:space="preserve"> </w:t>
      </w:r>
      <w:r>
        <w:t>of</w:t>
      </w:r>
      <w:r>
        <w:t xml:space="preserve"> the </w:t>
      </w:r>
      <w:r w:rsidR="004963A4">
        <w:t>P</w:t>
      </w:r>
      <w:r w:rsidR="009F4E7A">
        <w:t>hase 2</w:t>
      </w:r>
      <w:r>
        <w:t xml:space="preserve"> sample</w:t>
      </w:r>
      <w:r w:rsidR="004963A4">
        <w:t xml:space="preserve">. </w:t>
      </w:r>
      <w:r>
        <w:t xml:space="preserve">Phase 1 will also allow for a full end-to-end test of the data collection, monitoring, and data management processes to ensure they are performing as expected prior to releasing </w:t>
      </w:r>
      <w:r>
        <w:t>the majority of</w:t>
      </w:r>
      <w:r>
        <w:t xml:space="preserve"> the sample in Phase 2. </w:t>
      </w:r>
    </w:p>
    <w:p w:rsidR="0059027B" w:rsidP="0059027B" w14:paraId="6F8192A7" w14:textId="77777777">
      <w:r>
        <w:t>All or portions of the r</w:t>
      </w:r>
      <w:r w:rsidR="006F39FF">
        <w:t xml:space="preserve">eserve sample </w:t>
      </w:r>
      <w:r>
        <w:t xml:space="preserve">may </w:t>
      </w:r>
      <w:r w:rsidR="00EC095E">
        <w:t xml:space="preserve">be deployed as </w:t>
      </w:r>
      <w:r w:rsidR="004963A4">
        <w:t xml:space="preserve">a risk mitigation </w:t>
      </w:r>
      <w:r w:rsidR="00420E82">
        <w:t>strategy in</w:t>
      </w:r>
      <w:r w:rsidR="004963A4">
        <w:t xml:space="preserve"> case </w:t>
      </w:r>
      <w:r w:rsidR="00C6332B">
        <w:t>the</w:t>
      </w:r>
      <w:r w:rsidR="004963A4">
        <w:t xml:space="preserve"> </w:t>
      </w:r>
      <w:r w:rsidR="00442D48">
        <w:t xml:space="preserve">overall </w:t>
      </w:r>
      <w:r w:rsidR="004963A4">
        <w:t>target</w:t>
      </w:r>
      <w:r w:rsidR="00C6332B">
        <w:t xml:space="preserve"> of</w:t>
      </w:r>
      <w:r w:rsidR="004963A4">
        <w:t xml:space="preserve"> </w:t>
      </w:r>
      <w:r>
        <w:t>20</w:t>
      </w:r>
      <w:r w:rsidR="004963A4">
        <w:t>,000 complete</w:t>
      </w:r>
      <w:r w:rsidR="00C6332B">
        <w:t xml:space="preserve">d interviews </w:t>
      </w:r>
      <w:r w:rsidR="00EC095E">
        <w:t xml:space="preserve">or </w:t>
      </w:r>
      <w:r w:rsidR="00C6332B">
        <w:t xml:space="preserve">the </w:t>
      </w:r>
      <w:r w:rsidR="00EC095E">
        <w:t>precision targets</w:t>
      </w:r>
      <w:r w:rsidR="00C6332B">
        <w:t xml:space="preserve"> are not met </w:t>
      </w:r>
      <w:r w:rsidR="004963A4">
        <w:t>after Phase 1 and Phase 2</w:t>
      </w:r>
      <w:r w:rsidR="00BF7D00">
        <w:t xml:space="preserve"> data collection</w:t>
      </w:r>
      <w:r w:rsidR="004963A4">
        <w:t>. This phase can ad</w:t>
      </w:r>
      <w:r w:rsidR="007823E0">
        <w:t xml:space="preserve">dress any </w:t>
      </w:r>
      <w:r w:rsidR="004963A4">
        <w:t xml:space="preserve">shortfalls in </w:t>
      </w:r>
      <w:r w:rsidR="00A573CF">
        <w:t xml:space="preserve">the </w:t>
      </w:r>
      <w:r w:rsidR="004963A4">
        <w:t xml:space="preserve">areas that </w:t>
      </w:r>
      <w:r w:rsidR="00C6332B">
        <w:t>h</w:t>
      </w:r>
      <w:r w:rsidR="007B6CD2">
        <w:t>ave</w:t>
      </w:r>
      <w:r w:rsidR="00C6332B">
        <w:t xml:space="preserve"> lower-than-expected yield rates</w:t>
      </w:r>
      <w:r w:rsidR="004963A4">
        <w:t>.</w:t>
      </w:r>
      <w:r w:rsidR="00A573CF">
        <w:t xml:space="preserve"> </w:t>
      </w:r>
      <w:r w:rsidR="0001421B">
        <w:t xml:space="preserve"> </w:t>
      </w:r>
    </w:p>
    <w:p w:rsidR="000842C4" w:rsidP="0059027B" w14:paraId="58E41690" w14:textId="77777777">
      <w:r>
        <w:t xml:space="preserve">During </w:t>
      </w:r>
      <w:r w:rsidR="00F37F34">
        <w:t xml:space="preserve">Household Survey </w:t>
      </w:r>
      <w:r>
        <w:t xml:space="preserve">data collection, </w:t>
      </w:r>
      <w:r w:rsidR="00940271">
        <w:t>a robust dashboard of metrics will be used to</w:t>
      </w:r>
      <w:r>
        <w:t xml:space="preserve"> monitor </w:t>
      </w:r>
      <w:r w:rsidR="00940271">
        <w:t>the data collection</w:t>
      </w:r>
      <w:r w:rsidR="00EC095E">
        <w:t xml:space="preserve"> outcomes and</w:t>
      </w:r>
      <w:r w:rsidR="00940271">
        <w:t xml:space="preserve"> </w:t>
      </w:r>
      <w:r>
        <w:t xml:space="preserve">data quality </w:t>
      </w:r>
      <w:r w:rsidR="00EC095E">
        <w:t>in</w:t>
      </w:r>
      <w:r>
        <w:t xml:space="preserve"> real time. </w:t>
      </w:r>
      <w:r w:rsidR="007B6CD2">
        <w:t xml:space="preserve">A variety of </w:t>
      </w:r>
      <w:r w:rsidR="0035167C">
        <w:t>key metrics will be</w:t>
      </w:r>
      <w:r>
        <w:t xml:space="preserve"> tracked</w:t>
      </w:r>
      <w:r w:rsidR="00EC095E">
        <w:t xml:space="preserve">, including </w:t>
      </w:r>
      <w:r>
        <w:t>compar</w:t>
      </w:r>
      <w:r w:rsidR="00EC095E">
        <w:t>isons</w:t>
      </w:r>
      <w:r>
        <w:t xml:space="preserve"> </w:t>
      </w:r>
      <w:r w:rsidR="00EC095E">
        <w:t>with the</w:t>
      </w:r>
      <w:r>
        <w:t xml:space="preserve"> frame and/or other </w:t>
      </w:r>
      <w:r w:rsidR="00EC095E">
        <w:t xml:space="preserve">external </w:t>
      </w:r>
      <w:r>
        <w:t>benchmarks</w:t>
      </w:r>
      <w:r w:rsidR="00843B84">
        <w:t>,</w:t>
      </w:r>
      <w:r>
        <w:t xml:space="preserve"> such as those from the ACS</w:t>
      </w:r>
      <w:r w:rsidR="00843B84">
        <w:t>,</w:t>
      </w:r>
      <w:r w:rsidR="0067633A">
        <w:t xml:space="preserve"> to ensure data</w:t>
      </w:r>
      <w:r>
        <w:t xml:space="preserve"> adequacy and </w:t>
      </w:r>
      <w:r w:rsidR="00567CB2">
        <w:t xml:space="preserve">sample </w:t>
      </w:r>
      <w:r>
        <w:t xml:space="preserve">representativeness to the population. </w:t>
      </w:r>
    </w:p>
    <w:p w:rsidR="006F79D4" w:rsidP="0015706F" w14:paraId="414282EE" w14:textId="77777777">
      <w:pPr>
        <w:rPr>
          <w:b/>
        </w:rPr>
      </w:pPr>
      <w:r>
        <w:rPr>
          <w:b/>
        </w:rPr>
        <w:t xml:space="preserve">Item Nonresponse </w:t>
      </w:r>
    </w:p>
    <w:p w:rsidR="00022C96" w:rsidP="0023372C" w14:paraId="2CDDC6F0" w14:textId="77777777">
      <w:pPr>
        <w:rPr>
          <w:szCs w:val="24"/>
        </w:rPr>
      </w:pPr>
      <w:r w:rsidRPr="007E25B4">
        <w:rPr>
          <w:szCs w:val="24"/>
        </w:rPr>
        <w:t>Item non-response occurs when res</w:t>
      </w:r>
      <w:r>
        <w:rPr>
          <w:szCs w:val="24"/>
        </w:rPr>
        <w:t>pondents do not know the answer or</w:t>
      </w:r>
      <w:r w:rsidRPr="007E25B4">
        <w:rPr>
          <w:szCs w:val="24"/>
        </w:rPr>
        <w:t xml:space="preserve"> refuse to answer a question, </w:t>
      </w:r>
      <w:r>
        <w:rPr>
          <w:szCs w:val="24"/>
        </w:rPr>
        <w:t>therefore, no data is provided to a request.</w:t>
      </w:r>
      <w:r w:rsidRPr="007E25B4">
        <w:rPr>
          <w:szCs w:val="24"/>
        </w:rPr>
        <w:t xml:space="preserve">  </w:t>
      </w:r>
      <w:r>
        <w:rPr>
          <w:szCs w:val="24"/>
        </w:rPr>
        <w:t>Item nonresponse has been generally low for prior RECS Household Survey data collections.</w:t>
      </w:r>
      <w:r w:rsidRPr="007E25B4">
        <w:rPr>
          <w:szCs w:val="24"/>
        </w:rPr>
        <w:t xml:space="preserve"> </w:t>
      </w:r>
      <w:r>
        <w:rPr>
          <w:szCs w:val="24"/>
        </w:rPr>
        <w:t>For the 2024 RECS Household Survey, item non-response will be corrected using the hot-deck imputation method, which will preserve the distribution of the outcome variables and variance structure in the data.  Hot-deck imputation uses the non-missing values of a variable as donors to impute a missing item. This method requires first identifying a set of “core” variables (e.g., housing unit type) that are potentially related to all items with missingness. Additional “class” variables are then identified for each individual item. These core and class</w:t>
      </w:r>
      <w:r w:rsidRPr="00CA75CA">
        <w:rPr>
          <w:szCs w:val="24"/>
        </w:rPr>
        <w:t xml:space="preserve"> </w:t>
      </w:r>
      <w:r>
        <w:rPr>
          <w:szCs w:val="24"/>
        </w:rPr>
        <w:t>variables are put into decision trees to determine imputation pools for each item. A recipient case borrows a value from a random donor within each pool. The procedure will be done using the Cyclical Tree-Based Hot Deck (CTBHD) imputation system.</w:t>
      </w:r>
      <w:r>
        <w:rPr>
          <w:rStyle w:val="FootnoteReference"/>
          <w:szCs w:val="24"/>
        </w:rPr>
        <w:footnoteReference w:id="9"/>
      </w:r>
      <w:r>
        <w:rPr>
          <w:szCs w:val="24"/>
        </w:rPr>
        <w:t xml:space="preserve"> </w:t>
      </w:r>
    </w:p>
    <w:p w:rsidR="00F95CAC" w:rsidRPr="007E25B4" w:rsidP="0023372C" w14:paraId="048B0143" w14:textId="59DDCBBC">
      <w:pPr>
        <w:rPr>
          <w:szCs w:val="24"/>
        </w:rPr>
      </w:pPr>
      <w:r>
        <w:rPr>
          <w:szCs w:val="24"/>
        </w:rPr>
        <w:t xml:space="preserve">The CTBHD implements classification </w:t>
      </w:r>
      <w:r w:rsidR="00B7482D">
        <w:rPr>
          <w:szCs w:val="24"/>
        </w:rPr>
        <w:t xml:space="preserve">or </w:t>
      </w:r>
      <w:r>
        <w:rPr>
          <w:szCs w:val="24"/>
        </w:rPr>
        <w:t xml:space="preserve">regression tree analysis to select variables for construction of imputation classes and uses weighted sequential hot deck (Cox, 1980) to select donors within imputation class. Under CTBHD, </w:t>
      </w:r>
      <w:r w:rsidR="00F4583D">
        <w:rPr>
          <w:szCs w:val="24"/>
        </w:rPr>
        <w:t xml:space="preserve">variables with </w:t>
      </w:r>
      <w:r>
        <w:rPr>
          <w:szCs w:val="24"/>
        </w:rPr>
        <w:t>missing values are imputed sequentially</w:t>
      </w:r>
      <w:r w:rsidR="00F724AB">
        <w:rPr>
          <w:szCs w:val="24"/>
        </w:rPr>
        <w:t xml:space="preserve">, which </w:t>
      </w:r>
      <w:r>
        <w:rPr>
          <w:szCs w:val="24"/>
        </w:rPr>
        <w:t>account</w:t>
      </w:r>
      <w:r w:rsidR="00F4583D">
        <w:rPr>
          <w:szCs w:val="24"/>
        </w:rPr>
        <w:t>s</w:t>
      </w:r>
      <w:r>
        <w:rPr>
          <w:szCs w:val="24"/>
        </w:rPr>
        <w:t xml:space="preserve"> for </w:t>
      </w:r>
      <w:r w:rsidR="00F4583D">
        <w:rPr>
          <w:szCs w:val="24"/>
        </w:rPr>
        <w:t xml:space="preserve">questionnaire </w:t>
      </w:r>
      <w:r>
        <w:rPr>
          <w:szCs w:val="24"/>
        </w:rPr>
        <w:t xml:space="preserve">skip patterns caused by the relationship between a gate question and </w:t>
      </w:r>
      <w:r w:rsidR="00F4583D">
        <w:rPr>
          <w:szCs w:val="24"/>
        </w:rPr>
        <w:t>subsequent</w:t>
      </w:r>
      <w:r>
        <w:rPr>
          <w:szCs w:val="24"/>
        </w:rPr>
        <w:t xml:space="preserve"> </w:t>
      </w:r>
      <w:r>
        <w:rPr>
          <w:szCs w:val="24"/>
        </w:rPr>
        <w:t>follow-up questions. In addition, the CTBHD implements</w:t>
      </w:r>
      <w:r w:rsidR="003B5B4E">
        <w:rPr>
          <w:szCs w:val="24"/>
        </w:rPr>
        <w:t xml:space="preserve"> a cycling process which can help stabiliz</w:t>
      </w:r>
      <w:r w:rsidR="00D34FD7">
        <w:rPr>
          <w:szCs w:val="24"/>
        </w:rPr>
        <w:t>e</w:t>
      </w:r>
      <w:r w:rsidR="007648ED">
        <w:rPr>
          <w:szCs w:val="24"/>
        </w:rPr>
        <w:t xml:space="preserve"> </w:t>
      </w:r>
      <w:r>
        <w:rPr>
          <w:szCs w:val="24"/>
        </w:rPr>
        <w:t>imputed values</w:t>
      </w:r>
      <w:r w:rsidR="0057288B">
        <w:rPr>
          <w:szCs w:val="24"/>
        </w:rPr>
        <w:t>.</w:t>
      </w:r>
    </w:p>
    <w:p w:rsidR="007D4BC3" w:rsidP="007D4BC3" w14:paraId="63BC0E00" w14:textId="77777777">
      <w:pPr>
        <w:rPr>
          <w:b/>
        </w:rPr>
      </w:pPr>
      <w:r>
        <w:rPr>
          <w:b/>
        </w:rPr>
        <w:t>Nonresponse Bias Analysis</w:t>
      </w:r>
    </w:p>
    <w:p w:rsidR="002663FC" w:rsidP="002663FC" w14:paraId="40720BB6" w14:textId="77777777">
      <w:pPr>
        <w:rPr>
          <w:szCs w:val="24"/>
        </w:rPr>
      </w:pPr>
      <w:r>
        <w:rPr>
          <w:szCs w:val="24"/>
        </w:rPr>
        <w:t xml:space="preserve">At the end of data collection, EIA will </w:t>
      </w:r>
      <w:r w:rsidR="007D4BC3">
        <w:rPr>
          <w:szCs w:val="24"/>
        </w:rPr>
        <w:t>assess whether characteristics of survey non</w:t>
      </w:r>
      <w:r w:rsidR="007B6CD2">
        <w:rPr>
          <w:szCs w:val="24"/>
        </w:rPr>
        <w:t>-</w:t>
      </w:r>
      <w:r w:rsidR="007D4BC3">
        <w:rPr>
          <w:szCs w:val="24"/>
        </w:rPr>
        <w:t xml:space="preserve">respondents differ from respondents </w:t>
      </w:r>
      <w:r w:rsidR="007B6CD2">
        <w:rPr>
          <w:szCs w:val="24"/>
        </w:rPr>
        <w:t>to</w:t>
      </w:r>
      <w:r w:rsidR="007D4BC3">
        <w:rPr>
          <w:szCs w:val="24"/>
        </w:rPr>
        <w:t xml:space="preserve"> the </w:t>
      </w:r>
      <w:r w:rsidR="00BC4C4A">
        <w:rPr>
          <w:szCs w:val="24"/>
        </w:rPr>
        <w:t xml:space="preserve">2024 </w:t>
      </w:r>
      <w:r w:rsidR="007D4BC3">
        <w:rPr>
          <w:szCs w:val="24"/>
        </w:rPr>
        <w:t>RECS</w:t>
      </w:r>
      <w:r>
        <w:rPr>
          <w:szCs w:val="24"/>
        </w:rPr>
        <w:t>.</w:t>
      </w:r>
      <w:r w:rsidR="007D4BC3">
        <w:rPr>
          <w:szCs w:val="24"/>
        </w:rPr>
        <w:t xml:space="preserve"> EIA will </w:t>
      </w:r>
      <w:r w:rsidR="005C4378">
        <w:rPr>
          <w:szCs w:val="24"/>
        </w:rPr>
        <w:t>compare respondent data with</w:t>
      </w:r>
      <w:r>
        <w:rPr>
          <w:szCs w:val="24"/>
        </w:rPr>
        <w:t xml:space="preserve"> </w:t>
      </w:r>
      <w:r w:rsidR="007D4BC3">
        <w:rPr>
          <w:szCs w:val="24"/>
        </w:rPr>
        <w:t>external benchmark data of other federal surveys</w:t>
      </w:r>
      <w:r>
        <w:rPr>
          <w:szCs w:val="24"/>
        </w:rPr>
        <w:t xml:space="preserve"> and</w:t>
      </w:r>
      <w:r w:rsidR="007D4BC3">
        <w:rPr>
          <w:szCs w:val="24"/>
        </w:rPr>
        <w:t xml:space="preserve"> </w:t>
      </w:r>
      <w:r w:rsidR="00D62087">
        <w:rPr>
          <w:szCs w:val="24"/>
        </w:rPr>
        <w:t>data from</w:t>
      </w:r>
      <w:r w:rsidR="005C4378">
        <w:rPr>
          <w:szCs w:val="24"/>
        </w:rPr>
        <w:t xml:space="preserve"> prior RECS studies</w:t>
      </w:r>
      <w:r>
        <w:rPr>
          <w:szCs w:val="24"/>
        </w:rPr>
        <w:t>.</w:t>
      </w:r>
      <w:r w:rsidR="005C4378">
        <w:rPr>
          <w:szCs w:val="24"/>
        </w:rPr>
        <w:t xml:space="preserve"> </w:t>
      </w:r>
    </w:p>
    <w:p w:rsidR="007D4BC3" w:rsidP="007D4BC3" w14:paraId="72382CAA" w14:textId="77777777">
      <w:pPr>
        <w:rPr>
          <w:szCs w:val="24"/>
        </w:rPr>
      </w:pPr>
      <w:r>
        <w:rPr>
          <w:szCs w:val="24"/>
        </w:rPr>
        <w:t xml:space="preserve">EIA will compare the distributions of key </w:t>
      </w:r>
      <w:r w:rsidR="00BC4C4A">
        <w:rPr>
          <w:szCs w:val="24"/>
        </w:rPr>
        <w:t xml:space="preserve">2024 </w:t>
      </w:r>
      <w:r>
        <w:rPr>
          <w:szCs w:val="24"/>
        </w:rPr>
        <w:t>RECS estimate</w:t>
      </w:r>
      <w:r w:rsidR="00F4583D">
        <w:rPr>
          <w:szCs w:val="24"/>
        </w:rPr>
        <w:t>s</w:t>
      </w:r>
      <w:r>
        <w:rPr>
          <w:szCs w:val="24"/>
        </w:rPr>
        <w:t xml:space="preserve"> to those of the ACS</w:t>
      </w:r>
      <w:r w:rsidR="00F4583D">
        <w:rPr>
          <w:szCs w:val="24"/>
        </w:rPr>
        <w:t xml:space="preserve">, </w:t>
      </w:r>
      <w:r>
        <w:rPr>
          <w:szCs w:val="24"/>
        </w:rPr>
        <w:t>the American Housing Survey (AHS)</w:t>
      </w:r>
      <w:r w:rsidR="00F4583D">
        <w:rPr>
          <w:szCs w:val="24"/>
        </w:rPr>
        <w:t xml:space="preserve">, and the </w:t>
      </w:r>
      <w:r w:rsidR="00BC4C4A">
        <w:rPr>
          <w:szCs w:val="24"/>
        </w:rPr>
        <w:t xml:space="preserve">2020 </w:t>
      </w:r>
      <w:r w:rsidR="00F4583D">
        <w:rPr>
          <w:szCs w:val="24"/>
        </w:rPr>
        <w:t>RECS</w:t>
      </w:r>
      <w:r>
        <w:rPr>
          <w:szCs w:val="24"/>
        </w:rPr>
        <w:t xml:space="preserve">. Before unit non-response adjustments and final post-stratification adjustments are done, the estimates will be compared for a net estimate of bias at the lowest level of aggregation possible. Minimally, we will compare the type of occupied housing units, main space heating fuel, age of home, </w:t>
      </w:r>
      <w:r w:rsidR="00F4583D">
        <w:rPr>
          <w:szCs w:val="24"/>
        </w:rPr>
        <w:t xml:space="preserve">and </w:t>
      </w:r>
      <w:r>
        <w:rPr>
          <w:szCs w:val="24"/>
        </w:rPr>
        <w:t xml:space="preserve">household income </w:t>
      </w:r>
      <w:r w:rsidR="00F4583D">
        <w:rPr>
          <w:szCs w:val="24"/>
        </w:rPr>
        <w:t xml:space="preserve">data from </w:t>
      </w:r>
      <w:r w:rsidR="00BC4C4A">
        <w:rPr>
          <w:szCs w:val="24"/>
        </w:rPr>
        <w:t xml:space="preserve">2024 </w:t>
      </w:r>
      <w:r w:rsidR="00F4583D">
        <w:rPr>
          <w:szCs w:val="24"/>
        </w:rPr>
        <w:t xml:space="preserve">RECS respondents </w:t>
      </w:r>
      <w:r>
        <w:rPr>
          <w:szCs w:val="24"/>
        </w:rPr>
        <w:t>with ACS</w:t>
      </w:r>
      <w:r w:rsidR="00D07EB4">
        <w:rPr>
          <w:szCs w:val="24"/>
        </w:rPr>
        <w:t>,</w:t>
      </w:r>
      <w:r>
        <w:rPr>
          <w:szCs w:val="24"/>
        </w:rPr>
        <w:t xml:space="preserve"> AHS</w:t>
      </w:r>
      <w:r w:rsidR="00F4583D">
        <w:rPr>
          <w:szCs w:val="24"/>
        </w:rPr>
        <w:t xml:space="preserve">, </w:t>
      </w:r>
      <w:r w:rsidR="000433A0">
        <w:rPr>
          <w:szCs w:val="24"/>
        </w:rPr>
        <w:t>and a</w:t>
      </w:r>
      <w:r w:rsidR="00F4583D">
        <w:rPr>
          <w:szCs w:val="24"/>
        </w:rPr>
        <w:t xml:space="preserve"> more robust set of variables from </w:t>
      </w:r>
      <w:r w:rsidRPr="004143D0" w:rsidR="00F4583D">
        <w:rPr>
          <w:szCs w:val="24"/>
        </w:rPr>
        <w:t>the 2020 RECS</w:t>
      </w:r>
      <w:r w:rsidR="00F4583D">
        <w:rPr>
          <w:szCs w:val="24"/>
        </w:rPr>
        <w:t xml:space="preserve"> stud</w:t>
      </w:r>
      <w:r w:rsidR="00FB677C">
        <w:rPr>
          <w:szCs w:val="24"/>
        </w:rPr>
        <w:t>y</w:t>
      </w:r>
      <w:r w:rsidR="00F4583D">
        <w:rPr>
          <w:szCs w:val="24"/>
        </w:rPr>
        <w:t>.</w:t>
      </w:r>
    </w:p>
    <w:p w:rsidR="007D4BC3" w:rsidRPr="0023372C" w:rsidP="007D4BC3" w14:paraId="70167702" w14:textId="77777777">
      <w:pPr>
        <w:rPr>
          <w:szCs w:val="24"/>
        </w:rPr>
      </w:pPr>
      <w:r>
        <w:rPr>
          <w:szCs w:val="24"/>
        </w:rPr>
        <w:t xml:space="preserve">In addition, during data collection, </w:t>
      </w:r>
      <w:r w:rsidR="00F4583D">
        <w:rPr>
          <w:szCs w:val="24"/>
        </w:rPr>
        <w:t xml:space="preserve">a </w:t>
      </w:r>
      <w:r w:rsidR="007072D7">
        <w:rPr>
          <w:szCs w:val="24"/>
        </w:rPr>
        <w:t xml:space="preserve">real-time </w:t>
      </w:r>
      <w:r>
        <w:rPr>
          <w:szCs w:val="24"/>
        </w:rPr>
        <w:t xml:space="preserve">dashboard </w:t>
      </w:r>
      <w:r w:rsidR="00F4583D">
        <w:rPr>
          <w:szCs w:val="24"/>
        </w:rPr>
        <w:t xml:space="preserve">accessible by all project staff </w:t>
      </w:r>
      <w:r>
        <w:rPr>
          <w:szCs w:val="24"/>
        </w:rPr>
        <w:t xml:space="preserve">will be used </w:t>
      </w:r>
      <w:r w:rsidR="007072D7">
        <w:rPr>
          <w:szCs w:val="24"/>
        </w:rPr>
        <w:t xml:space="preserve">to </w:t>
      </w:r>
      <w:r>
        <w:rPr>
          <w:szCs w:val="24"/>
        </w:rPr>
        <w:t>continuously</w:t>
      </w:r>
      <w:r w:rsidR="007072D7">
        <w:rPr>
          <w:szCs w:val="24"/>
        </w:rPr>
        <w:t xml:space="preserve"> </w:t>
      </w:r>
      <w:r>
        <w:rPr>
          <w:szCs w:val="24"/>
        </w:rPr>
        <w:t xml:space="preserve">monitor nonresponse bias </w:t>
      </w:r>
      <w:r w:rsidR="00F4583D">
        <w:rPr>
          <w:szCs w:val="24"/>
        </w:rPr>
        <w:t xml:space="preserve">for </w:t>
      </w:r>
      <w:r>
        <w:rPr>
          <w:szCs w:val="24"/>
        </w:rPr>
        <w:t>key variable</w:t>
      </w:r>
      <w:r w:rsidR="00CE425E">
        <w:rPr>
          <w:szCs w:val="24"/>
        </w:rPr>
        <w:t>s</w:t>
      </w:r>
      <w:r>
        <w:rPr>
          <w:szCs w:val="24"/>
        </w:rPr>
        <w:t xml:space="preserve">. </w:t>
      </w:r>
    </w:p>
    <w:p w:rsidR="006F79D4" w:rsidP="0015706F" w14:paraId="28E06E4E" w14:textId="77777777">
      <w:pPr>
        <w:rPr>
          <w:b/>
        </w:rPr>
      </w:pPr>
      <w:r>
        <w:rPr>
          <w:b/>
        </w:rPr>
        <w:t>Energy Supplier Survey</w:t>
      </w:r>
    </w:p>
    <w:p w:rsidR="001D2C73" w:rsidP="00503FC9" w14:paraId="44F47370" w14:textId="77777777">
      <w:r>
        <w:t>Energy b</w:t>
      </w:r>
      <w:r w:rsidR="003B4BB0">
        <w:t xml:space="preserve">illing data </w:t>
      </w:r>
      <w:r>
        <w:t>for</w:t>
      </w:r>
      <w:r w:rsidR="001A3625">
        <w:t xml:space="preserve"> household respondents</w:t>
      </w:r>
      <w:r w:rsidR="008F1FE6">
        <w:t xml:space="preserve"> </w:t>
      </w:r>
      <w:r w:rsidR="003B4BB0">
        <w:t xml:space="preserve">will be requested </w:t>
      </w:r>
      <w:r w:rsidR="008F1FE6">
        <w:t xml:space="preserve">from </w:t>
      </w:r>
      <w:r w:rsidR="001A3625">
        <w:t xml:space="preserve">the </w:t>
      </w:r>
      <w:r w:rsidR="008F1FE6">
        <w:t>utilities and other energy suppliers</w:t>
      </w:r>
      <w:r w:rsidR="001A3625">
        <w:t xml:space="preserve"> identified o</w:t>
      </w:r>
      <w:r w:rsidR="00197355">
        <w:t xml:space="preserve">n Household Survey </w:t>
      </w:r>
      <w:r w:rsidR="001A3625">
        <w:t>questionnaire</w:t>
      </w:r>
      <w:r w:rsidR="00197355">
        <w:t>s</w:t>
      </w:r>
      <w:r w:rsidR="001A3625">
        <w:t>.</w:t>
      </w:r>
      <w:r w:rsidR="008F1FE6">
        <w:t xml:space="preserve"> EIA</w:t>
      </w:r>
      <w:r w:rsidR="001A3625">
        <w:t xml:space="preserve"> uses its</w:t>
      </w:r>
      <w:r w:rsidR="008F1FE6">
        <w:t xml:space="preserve"> </w:t>
      </w:r>
      <w:r w:rsidR="00ED3CC9">
        <w:t xml:space="preserve">mandatory </w:t>
      </w:r>
      <w:r w:rsidR="001A3625">
        <w:t xml:space="preserve">data collection </w:t>
      </w:r>
      <w:r w:rsidR="00ED3CC9">
        <w:t>authority</w:t>
      </w:r>
      <w:r w:rsidR="001A3625">
        <w:t xml:space="preserve"> to collect information from the energy suppliers on Forms EIA-457D,</w:t>
      </w:r>
      <w:r w:rsidR="00197355">
        <w:t xml:space="preserve"> </w:t>
      </w:r>
      <w:r w:rsidR="001A3625">
        <w:t>E,</w:t>
      </w:r>
      <w:r w:rsidR="00197355">
        <w:t xml:space="preserve"> </w:t>
      </w:r>
      <w:r w:rsidR="001A3625">
        <w:t>F, and G</w:t>
      </w:r>
      <w:r w:rsidR="003B4BB0">
        <w:t xml:space="preserve">.  </w:t>
      </w:r>
      <w:r w:rsidR="00882448">
        <w:t xml:space="preserve">The </w:t>
      </w:r>
      <w:r w:rsidR="00BC4C4A">
        <w:t xml:space="preserve">2024 </w:t>
      </w:r>
      <w:r w:rsidR="00882448">
        <w:t>RECS E</w:t>
      </w:r>
      <w:r w:rsidR="00FB677C">
        <w:t>nergy Supplier Surveys</w:t>
      </w:r>
      <w:r>
        <w:t xml:space="preserve"> will occur after all phases of the </w:t>
      </w:r>
      <w:r w:rsidR="0001729A">
        <w:t>h</w:t>
      </w:r>
      <w:r>
        <w:t xml:space="preserve">ousehold </w:t>
      </w:r>
      <w:r w:rsidR="00882448">
        <w:t xml:space="preserve">data collection </w:t>
      </w:r>
      <w:r>
        <w:t>are complete</w:t>
      </w:r>
      <w:r w:rsidR="008F1FE6">
        <w:t xml:space="preserve"> and</w:t>
      </w:r>
      <w:r w:rsidR="003B4BB0">
        <w:t xml:space="preserve"> employ similar methods for contacting energy su</w:t>
      </w:r>
      <w:r w:rsidR="001867C6">
        <w:t xml:space="preserve">ppliers as were used in the </w:t>
      </w:r>
      <w:r w:rsidR="00BC4C4A">
        <w:t xml:space="preserve">2020 </w:t>
      </w:r>
      <w:r w:rsidR="003B4BB0">
        <w:t xml:space="preserve">RECS ESS. </w:t>
      </w:r>
      <w:r w:rsidR="008F1FE6">
        <w:t xml:space="preserve">These strategies </w:t>
      </w:r>
      <w:r w:rsidR="003B4BB0">
        <w:t>include utilizing existing EIA contact i</w:t>
      </w:r>
      <w:r w:rsidR="001867C6">
        <w:t xml:space="preserve">nformation (e.g., </w:t>
      </w:r>
      <w:r w:rsidR="00BC4C4A">
        <w:t xml:space="preserve">2020 </w:t>
      </w:r>
      <w:r w:rsidR="001867C6">
        <w:t>RECS ESS</w:t>
      </w:r>
      <w:r w:rsidR="003B4BB0">
        <w:t>, EIA electricity and natural gas supply surveys</w:t>
      </w:r>
      <w:r w:rsidR="007C1527">
        <w:t>, etc.</w:t>
      </w:r>
      <w:r w:rsidR="003B4BB0">
        <w:t xml:space="preserve">), </w:t>
      </w:r>
      <w:r w:rsidR="00C61A55">
        <w:t>sending</w:t>
      </w:r>
      <w:r w:rsidR="003B4BB0">
        <w:t xml:space="preserve"> </w:t>
      </w:r>
      <w:r w:rsidR="001A3625">
        <w:t>advanced notification to</w:t>
      </w:r>
      <w:r w:rsidR="003B4BB0">
        <w:t xml:space="preserve"> suppliers to alert them of the data collection, and identifying key respondents within their organizations.  All suppliers will then receive an official data request. This </w:t>
      </w:r>
      <w:r w:rsidR="008F1FE6">
        <w:t xml:space="preserve">request </w:t>
      </w:r>
      <w:r w:rsidR="003B4BB0">
        <w:t xml:space="preserve">will include instructions on accessing the survey </w:t>
      </w:r>
      <w:r w:rsidR="00FB677C">
        <w:t>W</w:t>
      </w:r>
      <w:r w:rsidR="003B4BB0">
        <w:t>ebsite</w:t>
      </w:r>
      <w:r w:rsidR="008F1FE6">
        <w:t xml:space="preserve"> and submitting data,</w:t>
      </w:r>
      <w:r w:rsidR="003B4BB0">
        <w:t xml:space="preserve"> and inform suppliers of the mandatory requirement for this phase of the RECS. Nonresponse follow-up procedures will include reminder phone calls and </w:t>
      </w:r>
      <w:r w:rsidR="00843B84">
        <w:t>emails</w:t>
      </w:r>
      <w:r w:rsidR="003B4BB0">
        <w:t>, as well as late notice</w:t>
      </w:r>
      <w:r w:rsidR="00843B84">
        <w:t>s</w:t>
      </w:r>
      <w:r w:rsidR="003B4BB0">
        <w:t xml:space="preserve"> from contractor staff and EIA.  </w:t>
      </w:r>
      <w:r w:rsidR="0026037F">
        <w:t xml:space="preserve">The estimated number of respondents for the ESS is shown in Supporting Statement Part A. </w:t>
      </w:r>
      <w:r w:rsidR="003B4BB0">
        <w:t xml:space="preserve">  </w:t>
      </w:r>
    </w:p>
    <w:p w:rsidR="002D0AEE" w:rsidP="00071527" w14:paraId="443F17CB" w14:textId="77777777">
      <w:pPr>
        <w:pStyle w:val="Heading2"/>
      </w:pPr>
      <w:bookmarkStart w:id="8" w:name="_Toc160546011"/>
      <w:r>
        <w:t>B.</w:t>
      </w:r>
      <w:r w:rsidRPr="00A41763" w:rsidR="00A41763">
        <w:t xml:space="preserve">4. </w:t>
      </w:r>
      <w:r w:rsidR="007E53C4">
        <w:t>Test Procedures and Form Consultations</w:t>
      </w:r>
      <w:bookmarkEnd w:id="8"/>
    </w:p>
    <w:p w:rsidR="0021177E" w:rsidP="00121E17" w14:paraId="4380A215" w14:textId="77777777">
      <w:pPr>
        <w:spacing w:after="0"/>
        <w:rPr>
          <w:b/>
          <w:highlight w:val="yellow"/>
        </w:rPr>
      </w:pPr>
    </w:p>
    <w:p w:rsidR="009C01C3" w:rsidP="00882448" w14:paraId="38D6E994" w14:textId="77777777">
      <w:r>
        <w:t>As part of determining the 202</w:t>
      </w:r>
      <w:r w:rsidR="00BC4C4A">
        <w:t>4</w:t>
      </w:r>
      <w:r>
        <w:t xml:space="preserve"> RECS questionnaire</w:t>
      </w:r>
      <w:r w:rsidR="00590BF5">
        <w:t xml:space="preserve"> content</w:t>
      </w:r>
      <w:r>
        <w:t>,</w:t>
      </w:r>
      <w:r w:rsidRPr="00121E17" w:rsidR="0001729A">
        <w:t xml:space="preserve"> EIA </w:t>
      </w:r>
      <w:r>
        <w:t>consulted with stakeholders, reviewed lessons learned from prior rounds, and conducted pretesting activities. In general, changes to</w:t>
      </w:r>
      <w:r w:rsidRPr="00121E17" w:rsidR="00882448">
        <w:t xml:space="preserve"> the questionnaire</w:t>
      </w:r>
      <w:r w:rsidRPr="009C01C3">
        <w:t xml:space="preserve"> </w:t>
      </w:r>
      <w:r w:rsidR="00590BF5">
        <w:t xml:space="preserve">content from the </w:t>
      </w:r>
      <w:r w:rsidR="00E81687">
        <w:t>202</w:t>
      </w:r>
      <w:r w:rsidR="004143D0">
        <w:t>4</w:t>
      </w:r>
      <w:r w:rsidR="00E81687">
        <w:t xml:space="preserve"> </w:t>
      </w:r>
      <w:r w:rsidR="00590BF5">
        <w:t xml:space="preserve">RECS </w:t>
      </w:r>
      <w:r>
        <w:t xml:space="preserve">focused on: </w:t>
      </w:r>
    </w:p>
    <w:p w:rsidR="009C01C3" w:rsidP="00842AD8" w14:paraId="27CBA676" w14:textId="77777777">
      <w:pPr>
        <w:pStyle w:val="ListParagraph"/>
      </w:pPr>
      <w:r>
        <w:t>adding questions to reflect</w:t>
      </w:r>
      <w:r w:rsidR="0021177E">
        <w:t xml:space="preserve"> current household </w:t>
      </w:r>
      <w:r>
        <w:t>energy-related technologies,</w:t>
      </w:r>
      <w:r w:rsidR="0021177E">
        <w:t xml:space="preserve"> behaviors</w:t>
      </w:r>
      <w:r>
        <w:t>, and emerging topics,</w:t>
      </w:r>
    </w:p>
    <w:p w:rsidR="00121E17" w:rsidP="00842AD8" w14:paraId="4ABDD296" w14:textId="77777777">
      <w:pPr>
        <w:pStyle w:val="ListParagraph"/>
      </w:pPr>
      <w:r>
        <w:t>revising questions to improve</w:t>
      </w:r>
      <w:r w:rsidR="009C01C3">
        <w:t xml:space="preserve"> </w:t>
      </w:r>
      <w:r>
        <w:t>response quality</w:t>
      </w:r>
    </w:p>
    <w:p w:rsidR="00121E17" w:rsidP="00842AD8" w14:paraId="6F449689" w14:textId="77777777">
      <w:pPr>
        <w:pStyle w:val="ListParagraph"/>
      </w:pPr>
      <w:r w:rsidRPr="00590BF5">
        <w:t>removing questions that were outdated or had not performed well in prior rounds</w:t>
      </w:r>
    </w:p>
    <w:p w:rsidR="00121E17" w:rsidP="002D0AEE" w14:paraId="35500200" w14:textId="77777777">
      <w:r w:rsidRPr="00675346">
        <w:rPr>
          <w:iCs/>
        </w:rPr>
        <w:t xml:space="preserve">Under </w:t>
      </w:r>
      <w:r w:rsidRPr="00675346">
        <w:rPr>
          <w:rFonts w:cs="ArialMT"/>
          <w:i/>
        </w:rPr>
        <w:t xml:space="preserve">EIA-882T: Generic Clearance of Questionnaire Testing, Evaluating, and Research, OMB 1905-0186 (Expiration </w:t>
      </w:r>
      <w:r w:rsidRPr="00675346" w:rsidR="003C1D40">
        <w:rPr>
          <w:rFonts w:cs="ArialMT"/>
          <w:i/>
        </w:rPr>
        <w:t>9</w:t>
      </w:r>
      <w:r w:rsidRPr="00675346">
        <w:rPr>
          <w:rFonts w:cs="ArialMT"/>
          <w:i/>
        </w:rPr>
        <w:t>/30/202</w:t>
      </w:r>
      <w:r w:rsidRPr="00675346" w:rsidR="003C1D40">
        <w:rPr>
          <w:rFonts w:cs="ArialMT"/>
          <w:i/>
        </w:rPr>
        <w:t>5</w:t>
      </w:r>
      <w:r w:rsidRPr="00675346">
        <w:rPr>
          <w:rFonts w:cs="ArialMT"/>
          <w:i/>
        </w:rPr>
        <w:t>)</w:t>
      </w:r>
      <w:r w:rsidRPr="00675346">
        <w:rPr>
          <w:rFonts w:cs="ArialMT"/>
        </w:rPr>
        <w:t>, EIA</w:t>
      </w:r>
      <w:r w:rsidRPr="00675346" w:rsidR="00FB677C">
        <w:rPr>
          <w:rFonts w:cs="ArialMT"/>
        </w:rPr>
        <w:t xml:space="preserve"> </w:t>
      </w:r>
      <w:r w:rsidRPr="00675346">
        <w:rPr>
          <w:rFonts w:cs="ArialMT"/>
        </w:rPr>
        <w:t>conducted</w:t>
      </w:r>
      <w:r w:rsidRPr="00590BF5">
        <w:rPr>
          <w:rFonts w:cs="ArialMT"/>
        </w:rPr>
        <w:t xml:space="preserve"> </w:t>
      </w:r>
      <w:r w:rsidR="00FB677C">
        <w:rPr>
          <w:rFonts w:cs="ArialMT"/>
        </w:rPr>
        <w:t xml:space="preserve">online </w:t>
      </w:r>
      <w:r w:rsidRPr="00590BF5">
        <w:rPr>
          <w:rFonts w:cs="ArialMT"/>
        </w:rPr>
        <w:t xml:space="preserve">cognitive interviews </w:t>
      </w:r>
      <w:r w:rsidRPr="00590BF5">
        <w:t xml:space="preserve">for the </w:t>
      </w:r>
      <w:r w:rsidR="00441682">
        <w:t>2024</w:t>
      </w:r>
      <w:r w:rsidRPr="00590BF5" w:rsidR="00441682">
        <w:t xml:space="preserve"> </w:t>
      </w:r>
      <w:r w:rsidRPr="00590BF5">
        <w:t>RECS</w:t>
      </w:r>
      <w:r w:rsidR="00B74C0E">
        <w:t xml:space="preserve"> Household Survey</w:t>
      </w:r>
      <w:r w:rsidRPr="00590BF5" w:rsidR="0021177E">
        <w:t xml:space="preserve">. </w:t>
      </w:r>
      <w:r w:rsidR="003C2254">
        <w:t>EIA conducted</w:t>
      </w:r>
      <w:r w:rsidR="00843B84">
        <w:t xml:space="preserve"> </w:t>
      </w:r>
      <w:r w:rsidR="00F13F3E">
        <w:t>39</w:t>
      </w:r>
      <w:r w:rsidR="003C2254">
        <w:t xml:space="preserve"> unmoderated cognitive interviews in December 2023 and January 2024 on select RECS topics. These topics included new or revised question</w:t>
      </w:r>
      <w:r w:rsidR="00BF12E1">
        <w:t>s</w:t>
      </w:r>
      <w:r w:rsidR="003C2254">
        <w:t xml:space="preserve"> on space heating, appliance usage, electric vehicles, solar panels, and swimming pools</w:t>
      </w:r>
      <w:r w:rsidRPr="00590BF5" w:rsidR="009C01C3">
        <w:t xml:space="preserve">. </w:t>
      </w:r>
      <w:r w:rsidRPr="00590BF5">
        <w:t xml:space="preserve">After the pretesting was completed, </w:t>
      </w:r>
      <w:r w:rsidR="003C2254">
        <w:t>EIA</w:t>
      </w:r>
      <w:r w:rsidRPr="00590BF5">
        <w:t xml:space="preserve"> </w:t>
      </w:r>
      <w:r w:rsidR="003C2254">
        <w:t>drafted</w:t>
      </w:r>
      <w:r w:rsidRPr="00590BF5" w:rsidR="003C2254">
        <w:t xml:space="preserve"> </w:t>
      </w:r>
      <w:r w:rsidRPr="00590BF5">
        <w:t xml:space="preserve">a comprehensive report of the results, including recommendations about specific questions. EIA finalized the </w:t>
      </w:r>
      <w:r w:rsidRPr="00590BF5" w:rsidR="002F69B7">
        <w:t>202</w:t>
      </w:r>
      <w:r w:rsidR="002F69B7">
        <w:t>4</w:t>
      </w:r>
      <w:r w:rsidRPr="00590BF5" w:rsidR="002F69B7">
        <w:t xml:space="preserve"> </w:t>
      </w:r>
      <w:r w:rsidRPr="00590BF5">
        <w:t>RECS household questionnaire content based on these recommendations.</w:t>
      </w:r>
      <w:r w:rsidR="000122B7">
        <w:t xml:space="preserve"> The final questionnaire content reflects some updates from the changes proposed in the 60-day Federal Register Notice.  </w:t>
      </w:r>
    </w:p>
    <w:p w:rsidR="00843B84" w:rsidRPr="00590BF5" w:rsidP="002D0AEE" w14:paraId="59699A22" w14:textId="77777777">
      <w:r>
        <w:t xml:space="preserve">Also, under EIA-882T, EIA and its contractor are conducting usability testing </w:t>
      </w:r>
      <w:r w:rsidR="007C2DB1">
        <w:t xml:space="preserve">on the general navigation, formats, and functionality of edits in the Web instrument. </w:t>
      </w:r>
    </w:p>
    <w:p w:rsidR="007E53C4" w:rsidP="00071527" w14:paraId="434AE5EA" w14:textId="77777777">
      <w:pPr>
        <w:pStyle w:val="Heading2"/>
      </w:pPr>
      <w:bookmarkStart w:id="9" w:name="_Toc160546012"/>
      <w:r>
        <w:t>B.</w:t>
      </w:r>
      <w:r w:rsidRPr="00A41763" w:rsidR="00A41763">
        <w:t xml:space="preserve">5. </w:t>
      </w:r>
      <w:r>
        <w:t>Statistical Consultations</w:t>
      </w:r>
      <w:bookmarkEnd w:id="9"/>
    </w:p>
    <w:p w:rsidR="00980B6A" w:rsidP="001D41C6" w14:paraId="2B631A80" w14:textId="77777777">
      <w:r w:rsidRPr="007E25B4">
        <w:rPr>
          <w:szCs w:val="24"/>
        </w:rPr>
        <w:t xml:space="preserve">The principal EIA </w:t>
      </w:r>
      <w:r w:rsidRPr="00F728A9">
        <w:rPr>
          <w:szCs w:val="24"/>
        </w:rPr>
        <w:t xml:space="preserve">official directing the </w:t>
      </w:r>
      <w:r w:rsidR="004A0943">
        <w:rPr>
          <w:szCs w:val="24"/>
        </w:rPr>
        <w:t xml:space="preserve">2024 </w:t>
      </w:r>
      <w:r w:rsidRPr="00F728A9">
        <w:rPr>
          <w:szCs w:val="24"/>
        </w:rPr>
        <w:t xml:space="preserve">RECS sample design is </w:t>
      </w:r>
      <w:r w:rsidR="00A920E6">
        <w:rPr>
          <w:szCs w:val="24"/>
        </w:rPr>
        <w:t>Grace Deng</w:t>
      </w:r>
      <w:r w:rsidRPr="00F728A9">
        <w:rPr>
          <w:szCs w:val="24"/>
        </w:rPr>
        <w:t xml:space="preserve">, who can be reached </w:t>
      </w:r>
      <w:r w:rsidRPr="00910FC3">
        <w:rPr>
          <w:szCs w:val="24"/>
        </w:rPr>
        <w:t>at (202) 586-</w:t>
      </w:r>
      <w:r w:rsidRPr="00910FC3" w:rsidR="00A920E6">
        <w:rPr>
          <w:szCs w:val="24"/>
        </w:rPr>
        <w:t>5329</w:t>
      </w:r>
      <w:r w:rsidRPr="00910FC3">
        <w:rPr>
          <w:szCs w:val="24"/>
        </w:rPr>
        <w:t xml:space="preserve"> or by email at </w:t>
      </w:r>
      <w:r w:rsidRPr="00910FC3" w:rsidR="00A920E6">
        <w:rPr>
          <w:szCs w:val="24"/>
        </w:rPr>
        <w:t>shaofen.deng</w:t>
      </w:r>
      <w:r w:rsidRPr="00910FC3">
        <w:rPr>
          <w:szCs w:val="24"/>
        </w:rPr>
        <w:t xml:space="preserve">@eia.gov. The principal EIA official directing the </w:t>
      </w:r>
      <w:r w:rsidRPr="00910FC3" w:rsidR="0065674C">
        <w:rPr>
          <w:szCs w:val="24"/>
        </w:rPr>
        <w:t xml:space="preserve">2024 </w:t>
      </w:r>
      <w:r w:rsidRPr="00910FC3">
        <w:rPr>
          <w:szCs w:val="24"/>
        </w:rPr>
        <w:t xml:space="preserve">RECS </w:t>
      </w:r>
      <w:r w:rsidR="004A0943">
        <w:rPr>
          <w:szCs w:val="24"/>
        </w:rPr>
        <w:t xml:space="preserve">data collection, processing, and dissemination </w:t>
      </w:r>
      <w:r w:rsidRPr="00910FC3">
        <w:rPr>
          <w:szCs w:val="24"/>
        </w:rPr>
        <w:t>is James (Chip) Berry, who can be reached at (202) 586-5543 or by e-mail at james.berry@eia.gov</w:t>
      </w:r>
      <w:r w:rsidRPr="00910FC3">
        <w:rPr>
          <w:iCs/>
          <w:szCs w:val="24"/>
        </w:rPr>
        <w:t>.</w:t>
      </w:r>
    </w:p>
    <w:sectPr w:rsidSect="001E6784">
      <w:headerReference w:type="even" r:id="rId16"/>
      <w:headerReference w:type="default" r:id="rId17"/>
      <w:footerReference w:type="even"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RPr="001F3A8F" w:rsidP="00616E46" w14:paraId="7167B3F2" w14:textId="77777777">
    <w:pPr>
      <w:pStyle w:val="Footer"/>
      <w:tabs>
        <w:tab w:val="left" w:pos="8655"/>
        <w:tab w:val="clear" w:pos="9720"/>
      </w:tabs>
    </w:pPr>
    <w:r w:rsidRPr="00CB180D">
      <w:t>U.S. Energy Information Administration   |</w:t>
    </w:r>
    <w:r>
      <w:t xml:space="preserve">   </w:t>
    </w:r>
    <w:sdt>
      <w:sdtPr>
        <w:alias w:val="Title"/>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1E2233">
          <w:t>Supporting Statement B for Residential Energy Consumption Survey</w:t>
        </w:r>
      </w:sdtContent>
    </w:sdt>
    <w:r>
      <w:t xml:space="preserve"> </w:t>
    </w:r>
    <w:r>
      <w:tab/>
      <w:t xml:space="preserve"> </w:t>
    </w:r>
    <w:r>
      <w:fldChar w:fldCharType="begin"/>
    </w:r>
    <w:r>
      <w:instrText xml:space="preserve"> PAGE   \* MERGEFORMAT </w:instrText>
    </w:r>
    <w:r>
      <w:fldChar w:fldCharType="separate"/>
    </w:r>
    <w:r w:rsidR="00A60E35">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60677" w14:paraId="7076C8AD" w14:textId="77777777">
    <w:pPr>
      <w:pStyle w:val="Footer"/>
    </w:pPr>
    <w:sdt>
      <w:sdtPr>
        <w:id w:val="502323127"/>
        <w:docPartObj>
          <w:docPartGallery w:val="Page Numbers (Bottom of Page)"/>
          <w:docPartUnique/>
        </w:docPartObj>
      </w:sdtPr>
      <w:sdtContent>
        <w:r w:rsidRPr="00CB180D" w:rsidR="00372575">
          <w:t xml:space="preserve">U.S. Energy Information Administration   |   </w:t>
        </w:r>
        <w:sdt>
          <w:sdtPr>
            <w:alias w:val="Subject"/>
            <w:id w:val="-358197756"/>
            <w:dataBinding w:prefixMappings="xmlns:ns0='http://purl.org/dc/elements/1.1/' xmlns:ns1='http://schemas.openxmlformats.org/package/2006/metadata/core-properties' " w:xpath="/ns1:coreProperties[1]/ns0:subject[1]" w:storeItemID="{6C3C8BC8-F283-45AE-878A-BAB7291924A1}"/>
            <w:text/>
          </w:sdtPr>
          <w:sdtContent>
            <w:r w:rsidR="00372575">
              <w:t>Improving the Quality and Scope of EIA Data</w:t>
            </w:r>
          </w:sdtContent>
        </w:sdt>
        <w:r w:rsidRPr="00CB180D" w:rsidR="00372575">
          <w:tab/>
        </w:r>
      </w:sdtContent>
    </w:sdt>
    <w:r w:rsidRPr="00760677" w:rsidR="00372575">
      <w:t xml:space="preserve"> </w:t>
    </w:r>
    <w:r w:rsidR="00372575">
      <w:fldChar w:fldCharType="begin"/>
    </w:r>
    <w:r w:rsidR="00372575">
      <w:instrText xml:space="preserve"> PAGE   \* MERGEFORMAT </w:instrText>
    </w:r>
    <w:r w:rsidR="00372575">
      <w:fldChar w:fldCharType="separate"/>
    </w:r>
    <w:r w:rsidR="00372575">
      <w:rPr>
        <w:noProof/>
      </w:rPr>
      <w:t>i</w:t>
    </w:r>
    <w:r w:rsidR="00372575">
      <w:rPr>
        <w:noProof/>
      </w:rPr>
      <w:fldChar w:fldCharType="end"/>
    </w:r>
  </w:p>
  <w:p w:rsidR="00646F8C" w14:paraId="17FD98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60677" w14:paraId="5E85B61F" w14:textId="77777777">
    <w:pPr>
      <w:pStyle w:val="Footer"/>
    </w:pPr>
    <w:sdt>
      <w:sdtPr>
        <w:id w:val="-1333518368"/>
        <w:docPartObj>
          <w:docPartGallery w:val="Page Numbers (Bottom of Page)"/>
          <w:docPartUnique/>
        </w:docPartObj>
      </w:sdtPr>
      <w:sdtContent>
        <w:r w:rsidRPr="00CB180D" w:rsidR="00372575">
          <w:t xml:space="preserve">U.S. Energy Information Administration   |   </w:t>
        </w:r>
        <w:sdt>
          <w:sdtPr>
            <w:alias w:val="Subject"/>
            <w:id w:val="632136598"/>
            <w:dataBinding w:prefixMappings="xmlns:ns0='http://purl.org/dc/elements/1.1/' xmlns:ns1='http://schemas.openxmlformats.org/package/2006/metadata/core-properties' " w:xpath="/ns1:coreProperties[1]/ns0:subject[1]" w:storeItemID="{6C3C8BC8-F283-45AE-878A-BAB7291924A1}"/>
            <w:text/>
          </w:sdtPr>
          <w:sdtContent>
            <w:r w:rsidR="00372575">
              <w:t>Improving the Quality and Scope of EIA Data</w:t>
            </w:r>
          </w:sdtContent>
        </w:sdt>
        <w:r w:rsidRPr="00CB180D" w:rsidR="00372575">
          <w:tab/>
        </w:r>
      </w:sdtContent>
    </w:sdt>
    <w:r w:rsidRPr="00760677" w:rsidR="00372575">
      <w:t xml:space="preserve"> </w:t>
    </w:r>
    <w:r w:rsidR="00372575">
      <w:fldChar w:fldCharType="begin"/>
    </w:r>
    <w:r w:rsidR="00372575">
      <w:instrText xml:space="preserve"> PAGE   \* MERGEFORMAT </w:instrText>
    </w:r>
    <w:r w:rsidR="00372575">
      <w:fldChar w:fldCharType="separate"/>
    </w:r>
    <w:r w:rsidR="00372575">
      <w:rPr>
        <w:noProof/>
      </w:rPr>
      <w:t>ii</w:t>
    </w:r>
    <w:r w:rsidR="00372575">
      <w:rPr>
        <w:noProof/>
      </w:rPr>
      <w:fldChar w:fldCharType="end"/>
    </w:r>
  </w:p>
  <w:p w:rsidR="00646F8C" w:rsidP="00760677" w14:paraId="4AA8998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646F8C" w:rsidP="00760677" w14:paraId="388D785F"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60677" w14:paraId="0CBAB836" w14:textId="77777777">
    <w:pPr>
      <w:pStyle w:val="Footer"/>
    </w:pPr>
    <w:sdt>
      <w:sdtPr>
        <w:id w:val="1705557553"/>
        <w:docPartObj>
          <w:docPartGallery w:val="Page Numbers (Bottom of Page)"/>
          <w:docPartUnique/>
        </w:docPartObj>
      </w:sdtPr>
      <w:sdtContent>
        <w:r w:rsidRPr="00CB180D" w:rsidR="00372575">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rsidR="00372575">
              <w:t>Improving the Quality and Scope of EIA Data</w:t>
            </w:r>
          </w:sdtContent>
        </w:sdt>
        <w:r w:rsidRPr="00CB180D" w:rsidR="00372575">
          <w:tab/>
        </w:r>
      </w:sdtContent>
    </w:sdt>
    <w:r w:rsidRPr="00760677" w:rsidR="00372575">
      <w:t xml:space="preserve"> </w:t>
    </w:r>
    <w:r w:rsidR="00372575">
      <w:fldChar w:fldCharType="begin"/>
    </w:r>
    <w:r w:rsidR="00372575">
      <w:instrText xml:space="preserve"> PAGE   \* MERGEFORMAT </w:instrText>
    </w:r>
    <w:r w:rsidR="00372575">
      <w:fldChar w:fldCharType="separate"/>
    </w:r>
    <w:r w:rsidR="00372575">
      <w:rPr>
        <w:noProof/>
      </w:rPr>
      <w:t>1</w:t>
    </w:r>
    <w:r w:rsidR="00372575">
      <w:rPr>
        <w:noProof/>
      </w:rPr>
      <w:fldChar w:fldCharType="end"/>
    </w:r>
  </w:p>
  <w:p w:rsidR="00646F8C" w:rsidP="00760677" w14:paraId="723996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2575" w:rsidP="00536CE1" w14:paraId="35CCBE60" w14:textId="77777777">
      <w:pPr>
        <w:spacing w:after="0" w:line="240" w:lineRule="auto"/>
      </w:pPr>
      <w:r>
        <w:separator/>
      </w:r>
    </w:p>
  </w:footnote>
  <w:footnote w:type="continuationSeparator" w:id="1">
    <w:p w:rsidR="00372575" w:rsidP="00536CE1" w14:paraId="25F983CB" w14:textId="77777777">
      <w:pPr>
        <w:spacing w:after="0" w:line="240" w:lineRule="auto"/>
      </w:pPr>
      <w:r>
        <w:continuationSeparator/>
      </w:r>
    </w:p>
  </w:footnote>
  <w:footnote w:type="continuationNotice" w:id="2">
    <w:p w:rsidR="00372575" w14:paraId="27BE4EED" w14:textId="77777777">
      <w:pPr>
        <w:spacing w:after="0" w:line="240" w:lineRule="auto"/>
      </w:pPr>
    </w:p>
  </w:footnote>
  <w:footnote w:id="3">
    <w:p w:rsidR="00646F8C" w:rsidP="00022C96" w14:paraId="0BEBF9E4" w14:textId="77777777">
      <w:pPr>
        <w:pStyle w:val="FootnoteText"/>
      </w:pPr>
      <w:r>
        <w:rPr>
          <w:rStyle w:val="FootnoteReference"/>
        </w:rPr>
        <w:footnoteRef/>
      </w:r>
      <w:r>
        <w:t xml:space="preserve"> A precision requirement for fuel oil consumption is only imposed for the Northeast as it is a highly regional fuel and used less frequently in other parts of the country.</w:t>
      </w:r>
    </w:p>
  </w:footnote>
  <w:footnote w:id="4">
    <w:p w:rsidR="00646F8C" w:rsidP="00022C96" w14:paraId="76DE6609" w14:textId="77777777">
      <w:pPr>
        <w:pStyle w:val="FootnoteText"/>
      </w:pPr>
      <w:r>
        <w:rPr>
          <w:rStyle w:val="FootnoteReference"/>
        </w:rPr>
        <w:footnoteRef/>
      </w:r>
      <w:r>
        <w:t xml:space="preserve"> The divisions are the same as the standard Census divisions except that the Mountain division is split into Mountain South (AZ, NM, and NV) and Mountain North (CO, ID, MT, WY, and UT). </w:t>
      </w:r>
    </w:p>
  </w:footnote>
  <w:footnote w:id="5">
    <w:p w:rsidR="00404850" w:rsidP="00022C96" w14:paraId="4CFD5FAB" w14:textId="029008F9">
      <w:pPr>
        <w:pStyle w:val="FootnoteText"/>
      </w:pPr>
      <w:r>
        <w:rPr>
          <w:rStyle w:val="FootnoteReference"/>
        </w:rPr>
        <w:footnoteRef/>
      </w:r>
      <w:r>
        <w:t xml:space="preserve"> Lewis, T., McMichael, J., &amp; Looby, C. (2023). “Evaluating substitution as a strategy for handling U.S. Postal Service drop points in self-administered address-based sampling frame surveys</w:t>
      </w:r>
      <w:r w:rsidR="00F911AA">
        <w:t>.</w:t>
      </w:r>
      <w:r>
        <w:t xml:space="preserve">” Sociological Methodology, 53(1), 158-175. </w:t>
      </w:r>
      <w:hyperlink r:id="rId1" w:history="1">
        <w:r w:rsidRPr="00102A06">
          <w:rPr>
            <w:rStyle w:val="Hyperlink"/>
          </w:rPr>
          <w:t>https://doi.org/10.1177/00811750221147525</w:t>
        </w:r>
      </w:hyperlink>
    </w:p>
  </w:footnote>
  <w:footnote w:id="6">
    <w:p w:rsidR="00404850" w:rsidP="00022C96" w14:paraId="2F4C1025" w14:textId="0CC48452">
      <w:pPr>
        <w:pStyle w:val="FootnoteText"/>
      </w:pPr>
      <w:r>
        <w:rPr>
          <w:rStyle w:val="FootnoteReference"/>
        </w:rPr>
        <w:footnoteRef/>
      </w:r>
      <w:r w:rsidRPr="00616FD8">
        <w:t xml:space="preserve"> Amaya, A., LeClere, F., Fiorio, L., &amp; English, N. 2014. </w:t>
      </w:r>
      <w:r>
        <w:t>“</w:t>
      </w:r>
      <w:r w:rsidRPr="00485637">
        <w:t>Improving the utility of the DSF address-based frame through ancillary information</w:t>
      </w:r>
      <w:r w:rsidR="00F911AA">
        <w:t>.</w:t>
      </w:r>
      <w:r>
        <w:t>"</w:t>
      </w:r>
      <w:r w:rsidRPr="00485637">
        <w:t xml:space="preserve"> Field Methods, 26(1), 70–86.</w:t>
      </w:r>
    </w:p>
  </w:footnote>
  <w:footnote w:id="7">
    <w:p w:rsidR="00906EE8" w:rsidP="00022C96" w14:paraId="141419EF" w14:textId="77777777">
      <w:pPr>
        <w:pStyle w:val="FootnoteText"/>
      </w:pPr>
      <w:r>
        <w:rPr>
          <w:rStyle w:val="FootnoteReference"/>
        </w:rPr>
        <w:footnoteRef/>
      </w:r>
      <w:r>
        <w:t xml:space="preserve"> The 2022 ACS 1-year estimates could not be used because occupied HU counts were not published for all counties in the 10 MSAs of interest.</w:t>
      </w:r>
    </w:p>
  </w:footnote>
  <w:footnote w:id="8">
    <w:p w:rsidR="00646F8C" w:rsidP="00022C96" w14:paraId="6233AC08" w14:textId="7DB64A37">
      <w:pPr>
        <w:pStyle w:val="FootnoteText"/>
      </w:pPr>
      <w:r>
        <w:rPr>
          <w:rStyle w:val="FootnoteReference"/>
        </w:rPr>
        <w:footnoteRef/>
      </w:r>
      <w:r>
        <w:t xml:space="preserve"> Chromy, J.R. 1979. “Sequential sample selection methods</w:t>
      </w:r>
      <w:r w:rsidR="008D377D">
        <w:t>.</w:t>
      </w:r>
      <w:r>
        <w:t xml:space="preserve">” In </w:t>
      </w:r>
      <w:r w:rsidR="00C208C2">
        <w:t>Proceedings</w:t>
      </w:r>
      <w:r>
        <w:t xml:space="preserve"> of the American Statistical Association, Section on Survey Research Methods, pp. 401-406.</w:t>
      </w:r>
    </w:p>
  </w:footnote>
  <w:footnote w:id="9">
    <w:p w:rsidR="00022C96" w:rsidP="00022C96" w14:paraId="30F11820" w14:textId="77777777">
      <w:pPr>
        <w:pStyle w:val="FootnoteText"/>
      </w:pPr>
      <w:r>
        <w:rPr>
          <w:rStyle w:val="FootnoteReference"/>
        </w:rPr>
        <w:footnoteRef/>
      </w:r>
      <w:r>
        <w:t xml:space="preserve"> Martin, P., Wang, J., Frechtel, P., </w:t>
      </w:r>
      <w:r>
        <w:t>Sukasih</w:t>
      </w:r>
      <w:r>
        <w:t xml:space="preserve">, A., Lewis, K., Deng, G., &amp; Kinyon, D. 2017. “Three-based hot deck imputation cycling—does cycling help?” Proceedings of the 2017 Joint Statistical Meeting, Baltimore, Maryland.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25453" w14:paraId="4EB9FC6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RPr="00373208" w:rsidP="00041909" w14:paraId="7B663D88"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RPr="00F8298C" w:rsidP="00041909" w14:paraId="4D49A536" w14:textId="6E21B8D7">
    <w:pPr>
      <w:pStyle w:val="Header"/>
    </w:pPr>
    <w:r>
      <w:t xml:space="preserve">July </w:t>
    </w:r>
    <w:r w:rsidR="00372575">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041909" w14:paraId="59426B7B"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1EE7E93"/>
    <w:multiLevelType w:val="hybridMultilevel"/>
    <w:tmpl w:val="427CF0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4006B0"/>
    <w:multiLevelType w:val="hybridMultilevel"/>
    <w:tmpl w:val="5666FD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4B2319"/>
    <w:multiLevelType w:val="hybridMultilevel"/>
    <w:tmpl w:val="2758BC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AD5034E"/>
    <w:multiLevelType w:val="hybridMultilevel"/>
    <w:tmpl w:val="23B64E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FA668E"/>
    <w:multiLevelType w:val="hybridMultilevel"/>
    <w:tmpl w:val="2EBE8E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C062F9"/>
    <w:multiLevelType w:val="hybridMultilevel"/>
    <w:tmpl w:val="78F82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6D7866"/>
    <w:multiLevelType w:val="hybridMultilevel"/>
    <w:tmpl w:val="5F584A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6F7154"/>
    <w:multiLevelType w:val="hybridMultilevel"/>
    <w:tmpl w:val="A000A954"/>
    <w:lvl w:ilvl="0">
      <w:start w:val="1"/>
      <w:numFmt w:val="bullet"/>
      <w:pStyle w:val="bullets"/>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56DB6213"/>
    <w:multiLevelType w:val="hybridMultilevel"/>
    <w:tmpl w:val="D2301D8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840903"/>
    <w:multiLevelType w:val="hybridMultilevel"/>
    <w:tmpl w:val="6354EC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ECF7B47"/>
    <w:multiLevelType w:val="hybridMultilevel"/>
    <w:tmpl w:val="31ACD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FE76DFF"/>
    <w:multiLevelType w:val="hybridMultilevel"/>
    <w:tmpl w:val="7A52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18604A"/>
    <w:multiLevelType w:val="hybridMultilevel"/>
    <w:tmpl w:val="69E62EFA"/>
    <w:lvl w:ilvl="0">
      <w:start w:val="1"/>
      <w:numFmt w:val="bullet"/>
      <w:pStyle w:val="Heading4BulletTex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1">
    <w:nsid w:val="72BA07D2"/>
    <w:multiLevelType w:val="hybridMultilevel"/>
    <w:tmpl w:val="9D66BC2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210192">
    <w:abstractNumId w:val="3"/>
  </w:num>
  <w:num w:numId="2" w16cid:durableId="2111049615">
    <w:abstractNumId w:val="5"/>
  </w:num>
  <w:num w:numId="3" w16cid:durableId="424810341">
    <w:abstractNumId w:val="4"/>
  </w:num>
  <w:num w:numId="4" w16cid:durableId="1285890050">
    <w:abstractNumId w:val="2"/>
  </w:num>
  <w:num w:numId="5" w16cid:durableId="2102793732">
    <w:abstractNumId w:val="1"/>
  </w:num>
  <w:num w:numId="6" w16cid:durableId="1661958817">
    <w:abstractNumId w:val="0"/>
  </w:num>
  <w:num w:numId="7" w16cid:durableId="1469083523">
    <w:abstractNumId w:val="20"/>
  </w:num>
  <w:num w:numId="8" w16cid:durableId="1702634506">
    <w:abstractNumId w:val="18"/>
  </w:num>
  <w:num w:numId="9" w16cid:durableId="1079595040">
    <w:abstractNumId w:val="13"/>
  </w:num>
  <w:num w:numId="10" w16cid:durableId="30375917">
    <w:abstractNumId w:val="19"/>
  </w:num>
  <w:num w:numId="11" w16cid:durableId="824708376">
    <w:abstractNumId w:val="7"/>
  </w:num>
  <w:num w:numId="12" w16cid:durableId="1297760425">
    <w:abstractNumId w:val="9"/>
  </w:num>
  <w:num w:numId="13" w16cid:durableId="1249580722">
    <w:abstractNumId w:val="6"/>
  </w:num>
  <w:num w:numId="14" w16cid:durableId="627509600">
    <w:abstractNumId w:val="17"/>
  </w:num>
  <w:num w:numId="15" w16cid:durableId="1050036951">
    <w:abstractNumId w:val="10"/>
  </w:num>
  <w:num w:numId="16" w16cid:durableId="897324971">
    <w:abstractNumId w:val="11"/>
  </w:num>
  <w:num w:numId="17" w16cid:durableId="1477452609">
    <w:abstractNumId w:val="15"/>
  </w:num>
  <w:num w:numId="18" w16cid:durableId="1965774140">
    <w:abstractNumId w:val="16"/>
  </w:num>
  <w:num w:numId="19" w16cid:durableId="1663389785">
    <w:abstractNumId w:val="14"/>
  </w:num>
  <w:num w:numId="20" w16cid:durableId="1324550820">
    <w:abstractNumId w:val="21"/>
  </w:num>
  <w:num w:numId="21" w16cid:durableId="1984307809">
    <w:abstractNumId w:val="8"/>
  </w:num>
  <w:num w:numId="22" w16cid:durableId="148146396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4E7F"/>
    <w:rsid w:val="000053BB"/>
    <w:rsid w:val="00006002"/>
    <w:rsid w:val="00007621"/>
    <w:rsid w:val="00011B3F"/>
    <w:rsid w:val="000122B7"/>
    <w:rsid w:val="000123B8"/>
    <w:rsid w:val="00013373"/>
    <w:rsid w:val="0001421B"/>
    <w:rsid w:val="000142E5"/>
    <w:rsid w:val="000151F4"/>
    <w:rsid w:val="00015DA7"/>
    <w:rsid w:val="0001729A"/>
    <w:rsid w:val="00017B14"/>
    <w:rsid w:val="00021014"/>
    <w:rsid w:val="00022C96"/>
    <w:rsid w:val="000239D1"/>
    <w:rsid w:val="000248CE"/>
    <w:rsid w:val="00024E1E"/>
    <w:rsid w:val="00026C89"/>
    <w:rsid w:val="0003092C"/>
    <w:rsid w:val="000319A0"/>
    <w:rsid w:val="00032729"/>
    <w:rsid w:val="00034A4B"/>
    <w:rsid w:val="000362DF"/>
    <w:rsid w:val="00036C82"/>
    <w:rsid w:val="00041909"/>
    <w:rsid w:val="00042DB0"/>
    <w:rsid w:val="000433A0"/>
    <w:rsid w:val="0004500F"/>
    <w:rsid w:val="000451EE"/>
    <w:rsid w:val="0004621E"/>
    <w:rsid w:val="00046593"/>
    <w:rsid w:val="000469BB"/>
    <w:rsid w:val="00047C08"/>
    <w:rsid w:val="0005401F"/>
    <w:rsid w:val="000542F0"/>
    <w:rsid w:val="00055769"/>
    <w:rsid w:val="00055882"/>
    <w:rsid w:val="00056EC3"/>
    <w:rsid w:val="000625FA"/>
    <w:rsid w:val="00062CFE"/>
    <w:rsid w:val="00067D8B"/>
    <w:rsid w:val="00070445"/>
    <w:rsid w:val="0007129A"/>
    <w:rsid w:val="00071527"/>
    <w:rsid w:val="00072033"/>
    <w:rsid w:val="00072EB4"/>
    <w:rsid w:val="000730FB"/>
    <w:rsid w:val="00073DB2"/>
    <w:rsid w:val="00076111"/>
    <w:rsid w:val="0007772C"/>
    <w:rsid w:val="000831C4"/>
    <w:rsid w:val="000842C4"/>
    <w:rsid w:val="000844CA"/>
    <w:rsid w:val="00084DA3"/>
    <w:rsid w:val="0009190B"/>
    <w:rsid w:val="000948A0"/>
    <w:rsid w:val="00095F17"/>
    <w:rsid w:val="000A0A3C"/>
    <w:rsid w:val="000A1EFC"/>
    <w:rsid w:val="000A3CD9"/>
    <w:rsid w:val="000A484C"/>
    <w:rsid w:val="000B09BC"/>
    <w:rsid w:val="000B2CA4"/>
    <w:rsid w:val="000B2CCB"/>
    <w:rsid w:val="000B3FBE"/>
    <w:rsid w:val="000B4213"/>
    <w:rsid w:val="000B688F"/>
    <w:rsid w:val="000C17D0"/>
    <w:rsid w:val="000C1E6E"/>
    <w:rsid w:val="000C25CC"/>
    <w:rsid w:val="000C28E1"/>
    <w:rsid w:val="000C2944"/>
    <w:rsid w:val="000C5019"/>
    <w:rsid w:val="000C50D3"/>
    <w:rsid w:val="000C52FC"/>
    <w:rsid w:val="000C5311"/>
    <w:rsid w:val="000C5848"/>
    <w:rsid w:val="000C6788"/>
    <w:rsid w:val="000C76A7"/>
    <w:rsid w:val="000D09C6"/>
    <w:rsid w:val="000D2163"/>
    <w:rsid w:val="000D5E2D"/>
    <w:rsid w:val="000E29DA"/>
    <w:rsid w:val="000E3D0E"/>
    <w:rsid w:val="000E42D2"/>
    <w:rsid w:val="000E5EB2"/>
    <w:rsid w:val="000F03D9"/>
    <w:rsid w:val="000F040A"/>
    <w:rsid w:val="000F0E99"/>
    <w:rsid w:val="000F36D9"/>
    <w:rsid w:val="00102A06"/>
    <w:rsid w:val="00102C16"/>
    <w:rsid w:val="001034E8"/>
    <w:rsid w:val="00104A6C"/>
    <w:rsid w:val="0011193D"/>
    <w:rsid w:val="00112A69"/>
    <w:rsid w:val="001139E5"/>
    <w:rsid w:val="00113A34"/>
    <w:rsid w:val="00114861"/>
    <w:rsid w:val="0011541D"/>
    <w:rsid w:val="00120762"/>
    <w:rsid w:val="00120957"/>
    <w:rsid w:val="00121E17"/>
    <w:rsid w:val="00125C32"/>
    <w:rsid w:val="00126F69"/>
    <w:rsid w:val="0012745F"/>
    <w:rsid w:val="00130188"/>
    <w:rsid w:val="00132F4A"/>
    <w:rsid w:val="001409BB"/>
    <w:rsid w:val="00142548"/>
    <w:rsid w:val="00144BEB"/>
    <w:rsid w:val="001466F7"/>
    <w:rsid w:val="00146803"/>
    <w:rsid w:val="00147D64"/>
    <w:rsid w:val="00154192"/>
    <w:rsid w:val="00155EBF"/>
    <w:rsid w:val="0015706F"/>
    <w:rsid w:val="0016087B"/>
    <w:rsid w:val="00160BC8"/>
    <w:rsid w:val="00162438"/>
    <w:rsid w:val="001625CA"/>
    <w:rsid w:val="00166561"/>
    <w:rsid w:val="00167425"/>
    <w:rsid w:val="0016787B"/>
    <w:rsid w:val="0017058C"/>
    <w:rsid w:val="00170BA5"/>
    <w:rsid w:val="00177293"/>
    <w:rsid w:val="001807A3"/>
    <w:rsid w:val="00180E6E"/>
    <w:rsid w:val="00180E89"/>
    <w:rsid w:val="00186428"/>
    <w:rsid w:val="001867C6"/>
    <w:rsid w:val="001947D5"/>
    <w:rsid w:val="00197355"/>
    <w:rsid w:val="001A3625"/>
    <w:rsid w:val="001A6E1E"/>
    <w:rsid w:val="001A7C19"/>
    <w:rsid w:val="001B066E"/>
    <w:rsid w:val="001B0E69"/>
    <w:rsid w:val="001B2B97"/>
    <w:rsid w:val="001B3415"/>
    <w:rsid w:val="001B6026"/>
    <w:rsid w:val="001B6585"/>
    <w:rsid w:val="001B723F"/>
    <w:rsid w:val="001B7FD1"/>
    <w:rsid w:val="001C2C2C"/>
    <w:rsid w:val="001C5589"/>
    <w:rsid w:val="001D0185"/>
    <w:rsid w:val="001D03A8"/>
    <w:rsid w:val="001D0E1A"/>
    <w:rsid w:val="001D2C73"/>
    <w:rsid w:val="001D327D"/>
    <w:rsid w:val="001D3EB9"/>
    <w:rsid w:val="001D41C6"/>
    <w:rsid w:val="001D503E"/>
    <w:rsid w:val="001D580E"/>
    <w:rsid w:val="001D7BD2"/>
    <w:rsid w:val="001E00DB"/>
    <w:rsid w:val="001E2233"/>
    <w:rsid w:val="001E2CBE"/>
    <w:rsid w:val="001E2DEA"/>
    <w:rsid w:val="001E6784"/>
    <w:rsid w:val="001E7980"/>
    <w:rsid w:val="001F085C"/>
    <w:rsid w:val="001F3A8F"/>
    <w:rsid w:val="001F3E9D"/>
    <w:rsid w:val="001F4C02"/>
    <w:rsid w:val="002008B4"/>
    <w:rsid w:val="00201F24"/>
    <w:rsid w:val="002024B1"/>
    <w:rsid w:val="0020275B"/>
    <w:rsid w:val="002042E4"/>
    <w:rsid w:val="00206524"/>
    <w:rsid w:val="00207673"/>
    <w:rsid w:val="00207EE0"/>
    <w:rsid w:val="00210443"/>
    <w:rsid w:val="002113C0"/>
    <w:rsid w:val="0021177E"/>
    <w:rsid w:val="002127CE"/>
    <w:rsid w:val="00212F48"/>
    <w:rsid w:val="00215842"/>
    <w:rsid w:val="002207DF"/>
    <w:rsid w:val="00221AC2"/>
    <w:rsid w:val="00224CC1"/>
    <w:rsid w:val="0022524C"/>
    <w:rsid w:val="002254E5"/>
    <w:rsid w:val="00225D89"/>
    <w:rsid w:val="00226724"/>
    <w:rsid w:val="00227E4B"/>
    <w:rsid w:val="0023015A"/>
    <w:rsid w:val="002307E5"/>
    <w:rsid w:val="00231301"/>
    <w:rsid w:val="0023330A"/>
    <w:rsid w:val="0023372C"/>
    <w:rsid w:val="0023484E"/>
    <w:rsid w:val="00235E8D"/>
    <w:rsid w:val="0023708A"/>
    <w:rsid w:val="00241EF6"/>
    <w:rsid w:val="00242462"/>
    <w:rsid w:val="00244557"/>
    <w:rsid w:val="00246335"/>
    <w:rsid w:val="002500E7"/>
    <w:rsid w:val="0025022D"/>
    <w:rsid w:val="00251626"/>
    <w:rsid w:val="00252E53"/>
    <w:rsid w:val="002530BB"/>
    <w:rsid w:val="00253516"/>
    <w:rsid w:val="002556F3"/>
    <w:rsid w:val="0026037F"/>
    <w:rsid w:val="00260EDF"/>
    <w:rsid w:val="0026398D"/>
    <w:rsid w:val="00263CB4"/>
    <w:rsid w:val="00264148"/>
    <w:rsid w:val="00265B53"/>
    <w:rsid w:val="002663FC"/>
    <w:rsid w:val="00271AF6"/>
    <w:rsid w:val="00273BB3"/>
    <w:rsid w:val="00274179"/>
    <w:rsid w:val="00274B08"/>
    <w:rsid w:val="0027503B"/>
    <w:rsid w:val="00281523"/>
    <w:rsid w:val="00283396"/>
    <w:rsid w:val="00283D33"/>
    <w:rsid w:val="00285F03"/>
    <w:rsid w:val="00287678"/>
    <w:rsid w:val="00292EE4"/>
    <w:rsid w:val="00295E65"/>
    <w:rsid w:val="002A2168"/>
    <w:rsid w:val="002A295B"/>
    <w:rsid w:val="002A2F3A"/>
    <w:rsid w:val="002B0FD2"/>
    <w:rsid w:val="002B1A67"/>
    <w:rsid w:val="002B5042"/>
    <w:rsid w:val="002B58D8"/>
    <w:rsid w:val="002B638D"/>
    <w:rsid w:val="002B7CF5"/>
    <w:rsid w:val="002C03C9"/>
    <w:rsid w:val="002C0572"/>
    <w:rsid w:val="002C1319"/>
    <w:rsid w:val="002C34EC"/>
    <w:rsid w:val="002C378C"/>
    <w:rsid w:val="002C6060"/>
    <w:rsid w:val="002D0AEE"/>
    <w:rsid w:val="002D0DF0"/>
    <w:rsid w:val="002D1F4C"/>
    <w:rsid w:val="002D5526"/>
    <w:rsid w:val="002D6248"/>
    <w:rsid w:val="002D676F"/>
    <w:rsid w:val="002D7334"/>
    <w:rsid w:val="002E0CB9"/>
    <w:rsid w:val="002E0F32"/>
    <w:rsid w:val="002E3099"/>
    <w:rsid w:val="002E3A3E"/>
    <w:rsid w:val="002E3FD5"/>
    <w:rsid w:val="002E7A38"/>
    <w:rsid w:val="002F01BD"/>
    <w:rsid w:val="002F0D67"/>
    <w:rsid w:val="002F1061"/>
    <w:rsid w:val="002F155A"/>
    <w:rsid w:val="002F1B57"/>
    <w:rsid w:val="002F69B7"/>
    <w:rsid w:val="002F7BDB"/>
    <w:rsid w:val="00302D30"/>
    <w:rsid w:val="00304FCA"/>
    <w:rsid w:val="0030609A"/>
    <w:rsid w:val="00306516"/>
    <w:rsid w:val="003146E6"/>
    <w:rsid w:val="003160B5"/>
    <w:rsid w:val="00317848"/>
    <w:rsid w:val="00320C6E"/>
    <w:rsid w:val="00331791"/>
    <w:rsid w:val="003333B6"/>
    <w:rsid w:val="00337941"/>
    <w:rsid w:val="00342221"/>
    <w:rsid w:val="00344FA1"/>
    <w:rsid w:val="0034509A"/>
    <w:rsid w:val="003469CB"/>
    <w:rsid w:val="00346C5C"/>
    <w:rsid w:val="00347FBB"/>
    <w:rsid w:val="00350C8B"/>
    <w:rsid w:val="0035167C"/>
    <w:rsid w:val="00351A73"/>
    <w:rsid w:val="00352C19"/>
    <w:rsid w:val="00353E06"/>
    <w:rsid w:val="0035580B"/>
    <w:rsid w:val="0036102B"/>
    <w:rsid w:val="00363331"/>
    <w:rsid w:val="00363546"/>
    <w:rsid w:val="00371E14"/>
    <w:rsid w:val="00372575"/>
    <w:rsid w:val="00373208"/>
    <w:rsid w:val="003824DA"/>
    <w:rsid w:val="00382EA6"/>
    <w:rsid w:val="00383DB3"/>
    <w:rsid w:val="003854B2"/>
    <w:rsid w:val="00385AE6"/>
    <w:rsid w:val="00387C8D"/>
    <w:rsid w:val="00391165"/>
    <w:rsid w:val="00392DD0"/>
    <w:rsid w:val="00393767"/>
    <w:rsid w:val="0039674F"/>
    <w:rsid w:val="00396BCB"/>
    <w:rsid w:val="00397825"/>
    <w:rsid w:val="003A1073"/>
    <w:rsid w:val="003A10F3"/>
    <w:rsid w:val="003A3906"/>
    <w:rsid w:val="003A4F53"/>
    <w:rsid w:val="003B03A4"/>
    <w:rsid w:val="003B1BF8"/>
    <w:rsid w:val="003B2921"/>
    <w:rsid w:val="003B4360"/>
    <w:rsid w:val="003B4BB0"/>
    <w:rsid w:val="003B5B4E"/>
    <w:rsid w:val="003C03EA"/>
    <w:rsid w:val="003C1D40"/>
    <w:rsid w:val="003C2254"/>
    <w:rsid w:val="003C400C"/>
    <w:rsid w:val="003C4629"/>
    <w:rsid w:val="003C690C"/>
    <w:rsid w:val="003D1F05"/>
    <w:rsid w:val="003D1F12"/>
    <w:rsid w:val="003D2437"/>
    <w:rsid w:val="003D313F"/>
    <w:rsid w:val="003D4F34"/>
    <w:rsid w:val="003D6A4F"/>
    <w:rsid w:val="003E008E"/>
    <w:rsid w:val="003E1187"/>
    <w:rsid w:val="003E40FA"/>
    <w:rsid w:val="003F1F20"/>
    <w:rsid w:val="003F24ED"/>
    <w:rsid w:val="003F529E"/>
    <w:rsid w:val="003F5FEC"/>
    <w:rsid w:val="00400593"/>
    <w:rsid w:val="00400E7E"/>
    <w:rsid w:val="004018B3"/>
    <w:rsid w:val="00403B9D"/>
    <w:rsid w:val="00404850"/>
    <w:rsid w:val="00412662"/>
    <w:rsid w:val="00413B65"/>
    <w:rsid w:val="004143D0"/>
    <w:rsid w:val="004146FF"/>
    <w:rsid w:val="0041551E"/>
    <w:rsid w:val="00417B1B"/>
    <w:rsid w:val="00420E82"/>
    <w:rsid w:val="00421181"/>
    <w:rsid w:val="00421CDD"/>
    <w:rsid w:val="0042353E"/>
    <w:rsid w:val="00426481"/>
    <w:rsid w:val="00432966"/>
    <w:rsid w:val="00433872"/>
    <w:rsid w:val="00434C22"/>
    <w:rsid w:val="00434E85"/>
    <w:rsid w:val="00441682"/>
    <w:rsid w:val="00442D48"/>
    <w:rsid w:val="00445561"/>
    <w:rsid w:val="00446353"/>
    <w:rsid w:val="00447750"/>
    <w:rsid w:val="00452E80"/>
    <w:rsid w:val="0045608E"/>
    <w:rsid w:val="0045662F"/>
    <w:rsid w:val="00457AC6"/>
    <w:rsid w:val="00460666"/>
    <w:rsid w:val="0046279E"/>
    <w:rsid w:val="0046418C"/>
    <w:rsid w:val="00466959"/>
    <w:rsid w:val="004704B0"/>
    <w:rsid w:val="00470B72"/>
    <w:rsid w:val="004712EB"/>
    <w:rsid w:val="00472AF7"/>
    <w:rsid w:val="00473926"/>
    <w:rsid w:val="0047784B"/>
    <w:rsid w:val="00477E34"/>
    <w:rsid w:val="004838A2"/>
    <w:rsid w:val="00483959"/>
    <w:rsid w:val="00484417"/>
    <w:rsid w:val="00485637"/>
    <w:rsid w:val="00485F90"/>
    <w:rsid w:val="00486163"/>
    <w:rsid w:val="00487AB4"/>
    <w:rsid w:val="00490006"/>
    <w:rsid w:val="00491486"/>
    <w:rsid w:val="004932D1"/>
    <w:rsid w:val="00493BFC"/>
    <w:rsid w:val="004946F0"/>
    <w:rsid w:val="004963A4"/>
    <w:rsid w:val="00497C2A"/>
    <w:rsid w:val="004A0943"/>
    <w:rsid w:val="004A14D2"/>
    <w:rsid w:val="004A3186"/>
    <w:rsid w:val="004A418C"/>
    <w:rsid w:val="004A4BF1"/>
    <w:rsid w:val="004B1075"/>
    <w:rsid w:val="004B3E6C"/>
    <w:rsid w:val="004B449A"/>
    <w:rsid w:val="004C277B"/>
    <w:rsid w:val="004C330F"/>
    <w:rsid w:val="004C3806"/>
    <w:rsid w:val="004C7C33"/>
    <w:rsid w:val="004D05FB"/>
    <w:rsid w:val="004D0F38"/>
    <w:rsid w:val="004D29C7"/>
    <w:rsid w:val="004D4E78"/>
    <w:rsid w:val="004D79C1"/>
    <w:rsid w:val="004E0695"/>
    <w:rsid w:val="004E39F1"/>
    <w:rsid w:val="004E3BC0"/>
    <w:rsid w:val="004E68FB"/>
    <w:rsid w:val="004E6FA3"/>
    <w:rsid w:val="004F1067"/>
    <w:rsid w:val="004F3D7A"/>
    <w:rsid w:val="004F56E6"/>
    <w:rsid w:val="005004FA"/>
    <w:rsid w:val="0050122F"/>
    <w:rsid w:val="005037ED"/>
    <w:rsid w:val="00503FC9"/>
    <w:rsid w:val="00504119"/>
    <w:rsid w:val="00504854"/>
    <w:rsid w:val="005065CF"/>
    <w:rsid w:val="0050692C"/>
    <w:rsid w:val="00506BB4"/>
    <w:rsid w:val="0050705F"/>
    <w:rsid w:val="00510221"/>
    <w:rsid w:val="00510E9D"/>
    <w:rsid w:val="005125AE"/>
    <w:rsid w:val="00512691"/>
    <w:rsid w:val="005158EA"/>
    <w:rsid w:val="005170D3"/>
    <w:rsid w:val="00517B01"/>
    <w:rsid w:val="00521EC2"/>
    <w:rsid w:val="00522178"/>
    <w:rsid w:val="0052493A"/>
    <w:rsid w:val="005259BF"/>
    <w:rsid w:val="005274F1"/>
    <w:rsid w:val="00531772"/>
    <w:rsid w:val="005327B1"/>
    <w:rsid w:val="00535CAF"/>
    <w:rsid w:val="00535E61"/>
    <w:rsid w:val="00535E78"/>
    <w:rsid w:val="00536054"/>
    <w:rsid w:val="0053654B"/>
    <w:rsid w:val="00536CE1"/>
    <w:rsid w:val="00537334"/>
    <w:rsid w:val="0053750E"/>
    <w:rsid w:val="00537BA6"/>
    <w:rsid w:val="00540645"/>
    <w:rsid w:val="0054180D"/>
    <w:rsid w:val="0054410F"/>
    <w:rsid w:val="00545D85"/>
    <w:rsid w:val="0054771C"/>
    <w:rsid w:val="00547B53"/>
    <w:rsid w:val="00547C92"/>
    <w:rsid w:val="00551B45"/>
    <w:rsid w:val="00552376"/>
    <w:rsid w:val="005525F1"/>
    <w:rsid w:val="00552BB7"/>
    <w:rsid w:val="00553CB0"/>
    <w:rsid w:val="005541A4"/>
    <w:rsid w:val="005610E1"/>
    <w:rsid w:val="005630CF"/>
    <w:rsid w:val="00563580"/>
    <w:rsid w:val="00564C90"/>
    <w:rsid w:val="00565575"/>
    <w:rsid w:val="00565AF2"/>
    <w:rsid w:val="005663A9"/>
    <w:rsid w:val="00567CB2"/>
    <w:rsid w:val="0057032A"/>
    <w:rsid w:val="00571D8F"/>
    <w:rsid w:val="0057288B"/>
    <w:rsid w:val="0057367D"/>
    <w:rsid w:val="0057613A"/>
    <w:rsid w:val="005767F1"/>
    <w:rsid w:val="00576C32"/>
    <w:rsid w:val="005779D3"/>
    <w:rsid w:val="00580338"/>
    <w:rsid w:val="0058072C"/>
    <w:rsid w:val="00585BE3"/>
    <w:rsid w:val="0059027B"/>
    <w:rsid w:val="00590BF5"/>
    <w:rsid w:val="00590DC1"/>
    <w:rsid w:val="00591149"/>
    <w:rsid w:val="005912E3"/>
    <w:rsid w:val="0059212D"/>
    <w:rsid w:val="00592F36"/>
    <w:rsid w:val="0059580A"/>
    <w:rsid w:val="005A0CB4"/>
    <w:rsid w:val="005A43E5"/>
    <w:rsid w:val="005A5D0C"/>
    <w:rsid w:val="005B1754"/>
    <w:rsid w:val="005B2639"/>
    <w:rsid w:val="005B2B58"/>
    <w:rsid w:val="005B36ED"/>
    <w:rsid w:val="005C00FA"/>
    <w:rsid w:val="005C16C7"/>
    <w:rsid w:val="005C2CB1"/>
    <w:rsid w:val="005C2D89"/>
    <w:rsid w:val="005C4378"/>
    <w:rsid w:val="005C485B"/>
    <w:rsid w:val="005C56FE"/>
    <w:rsid w:val="005C76C7"/>
    <w:rsid w:val="005D0215"/>
    <w:rsid w:val="005D0372"/>
    <w:rsid w:val="005D0AF7"/>
    <w:rsid w:val="005D39D7"/>
    <w:rsid w:val="005D5956"/>
    <w:rsid w:val="005D621D"/>
    <w:rsid w:val="005D6F63"/>
    <w:rsid w:val="005E0D5F"/>
    <w:rsid w:val="005E16AE"/>
    <w:rsid w:val="005E4F46"/>
    <w:rsid w:val="005F1931"/>
    <w:rsid w:val="005F27A7"/>
    <w:rsid w:val="005F2D72"/>
    <w:rsid w:val="005F2ECE"/>
    <w:rsid w:val="005F4848"/>
    <w:rsid w:val="00605357"/>
    <w:rsid w:val="00611954"/>
    <w:rsid w:val="00612335"/>
    <w:rsid w:val="006142BE"/>
    <w:rsid w:val="00615EBE"/>
    <w:rsid w:val="00616E46"/>
    <w:rsid w:val="00616FD8"/>
    <w:rsid w:val="0062008C"/>
    <w:rsid w:val="00620797"/>
    <w:rsid w:val="006224D2"/>
    <w:rsid w:val="00626494"/>
    <w:rsid w:val="00631428"/>
    <w:rsid w:val="006350DA"/>
    <w:rsid w:val="00637E98"/>
    <w:rsid w:val="00641DE2"/>
    <w:rsid w:val="00643384"/>
    <w:rsid w:val="00643B98"/>
    <w:rsid w:val="006444F0"/>
    <w:rsid w:val="006445FD"/>
    <w:rsid w:val="00646F8C"/>
    <w:rsid w:val="0064700C"/>
    <w:rsid w:val="00651BC0"/>
    <w:rsid w:val="006524D1"/>
    <w:rsid w:val="0065406F"/>
    <w:rsid w:val="0065674C"/>
    <w:rsid w:val="00657780"/>
    <w:rsid w:val="00663EC4"/>
    <w:rsid w:val="00675346"/>
    <w:rsid w:val="0067633A"/>
    <w:rsid w:val="00677C5F"/>
    <w:rsid w:val="00680682"/>
    <w:rsid w:val="00681160"/>
    <w:rsid w:val="00681F87"/>
    <w:rsid w:val="00696EFE"/>
    <w:rsid w:val="006A0BC7"/>
    <w:rsid w:val="006A4FB3"/>
    <w:rsid w:val="006A736D"/>
    <w:rsid w:val="006A7689"/>
    <w:rsid w:val="006B12DC"/>
    <w:rsid w:val="006B1FCD"/>
    <w:rsid w:val="006B2FA3"/>
    <w:rsid w:val="006B317C"/>
    <w:rsid w:val="006B70B8"/>
    <w:rsid w:val="006B7C92"/>
    <w:rsid w:val="006C0062"/>
    <w:rsid w:val="006C097E"/>
    <w:rsid w:val="006C0F5A"/>
    <w:rsid w:val="006C2DC3"/>
    <w:rsid w:val="006C4174"/>
    <w:rsid w:val="006C6068"/>
    <w:rsid w:val="006D0439"/>
    <w:rsid w:val="006D40CD"/>
    <w:rsid w:val="006D42EC"/>
    <w:rsid w:val="006D6180"/>
    <w:rsid w:val="006E1720"/>
    <w:rsid w:val="006E18E4"/>
    <w:rsid w:val="006E1A8F"/>
    <w:rsid w:val="006E2D45"/>
    <w:rsid w:val="006E386B"/>
    <w:rsid w:val="006E4097"/>
    <w:rsid w:val="006E5720"/>
    <w:rsid w:val="006F05AC"/>
    <w:rsid w:val="006F25CD"/>
    <w:rsid w:val="006F3032"/>
    <w:rsid w:val="006F39FF"/>
    <w:rsid w:val="006F79D4"/>
    <w:rsid w:val="00702858"/>
    <w:rsid w:val="00703AF4"/>
    <w:rsid w:val="0070603C"/>
    <w:rsid w:val="00706469"/>
    <w:rsid w:val="007072D7"/>
    <w:rsid w:val="00707430"/>
    <w:rsid w:val="00707DD8"/>
    <w:rsid w:val="0071082D"/>
    <w:rsid w:val="00710BEC"/>
    <w:rsid w:val="00711414"/>
    <w:rsid w:val="00711856"/>
    <w:rsid w:val="0071188E"/>
    <w:rsid w:val="00712E9A"/>
    <w:rsid w:val="0071329F"/>
    <w:rsid w:val="00713B37"/>
    <w:rsid w:val="00714250"/>
    <w:rsid w:val="00716FF8"/>
    <w:rsid w:val="00717191"/>
    <w:rsid w:val="00720A3A"/>
    <w:rsid w:val="00721F67"/>
    <w:rsid w:val="00722774"/>
    <w:rsid w:val="00725453"/>
    <w:rsid w:val="007258C8"/>
    <w:rsid w:val="00725E87"/>
    <w:rsid w:val="00730DA0"/>
    <w:rsid w:val="00732270"/>
    <w:rsid w:val="0073572D"/>
    <w:rsid w:val="00735F76"/>
    <w:rsid w:val="00737591"/>
    <w:rsid w:val="00741E14"/>
    <w:rsid w:val="007438F2"/>
    <w:rsid w:val="00743ECF"/>
    <w:rsid w:val="007443D8"/>
    <w:rsid w:val="0074512B"/>
    <w:rsid w:val="00746DE2"/>
    <w:rsid w:val="00746E03"/>
    <w:rsid w:val="0074716D"/>
    <w:rsid w:val="007517F1"/>
    <w:rsid w:val="007525F5"/>
    <w:rsid w:val="00752A64"/>
    <w:rsid w:val="00755C3D"/>
    <w:rsid w:val="00756DC4"/>
    <w:rsid w:val="007576EF"/>
    <w:rsid w:val="007601D9"/>
    <w:rsid w:val="00760677"/>
    <w:rsid w:val="00761C12"/>
    <w:rsid w:val="007648ED"/>
    <w:rsid w:val="007658BA"/>
    <w:rsid w:val="00775DD8"/>
    <w:rsid w:val="0077631B"/>
    <w:rsid w:val="00776CF4"/>
    <w:rsid w:val="00780B6F"/>
    <w:rsid w:val="0078111F"/>
    <w:rsid w:val="00781E5C"/>
    <w:rsid w:val="007823E0"/>
    <w:rsid w:val="00784ED6"/>
    <w:rsid w:val="00784F89"/>
    <w:rsid w:val="00786336"/>
    <w:rsid w:val="00791331"/>
    <w:rsid w:val="00792DC9"/>
    <w:rsid w:val="00797755"/>
    <w:rsid w:val="007A027E"/>
    <w:rsid w:val="007A0E7F"/>
    <w:rsid w:val="007A1BB2"/>
    <w:rsid w:val="007A1F73"/>
    <w:rsid w:val="007A4378"/>
    <w:rsid w:val="007A5A55"/>
    <w:rsid w:val="007A6C11"/>
    <w:rsid w:val="007A70D0"/>
    <w:rsid w:val="007B2CDE"/>
    <w:rsid w:val="007B336F"/>
    <w:rsid w:val="007B622B"/>
    <w:rsid w:val="007B6CD2"/>
    <w:rsid w:val="007B75D7"/>
    <w:rsid w:val="007C1527"/>
    <w:rsid w:val="007C2DB1"/>
    <w:rsid w:val="007C47C4"/>
    <w:rsid w:val="007C5CE9"/>
    <w:rsid w:val="007D0544"/>
    <w:rsid w:val="007D2284"/>
    <w:rsid w:val="007D257F"/>
    <w:rsid w:val="007D39CC"/>
    <w:rsid w:val="007D4BC3"/>
    <w:rsid w:val="007D6AAF"/>
    <w:rsid w:val="007E1028"/>
    <w:rsid w:val="007E1C4E"/>
    <w:rsid w:val="007E1D75"/>
    <w:rsid w:val="007E25B4"/>
    <w:rsid w:val="007E53C4"/>
    <w:rsid w:val="007E5A11"/>
    <w:rsid w:val="007E5A21"/>
    <w:rsid w:val="007E6B0F"/>
    <w:rsid w:val="007E71DB"/>
    <w:rsid w:val="007E73E6"/>
    <w:rsid w:val="007E78C5"/>
    <w:rsid w:val="007F0888"/>
    <w:rsid w:val="007F1954"/>
    <w:rsid w:val="007F21D7"/>
    <w:rsid w:val="007F69F0"/>
    <w:rsid w:val="008001B3"/>
    <w:rsid w:val="0080201B"/>
    <w:rsid w:val="0080214D"/>
    <w:rsid w:val="00802187"/>
    <w:rsid w:val="008057F8"/>
    <w:rsid w:val="00806A46"/>
    <w:rsid w:val="00806EED"/>
    <w:rsid w:val="008072F3"/>
    <w:rsid w:val="00811A46"/>
    <w:rsid w:val="00811E59"/>
    <w:rsid w:val="00812945"/>
    <w:rsid w:val="00812A2E"/>
    <w:rsid w:val="0081378D"/>
    <w:rsid w:val="0081495A"/>
    <w:rsid w:val="008213F9"/>
    <w:rsid w:val="00822A66"/>
    <w:rsid w:val="00822EA4"/>
    <w:rsid w:val="00822FDE"/>
    <w:rsid w:val="00826D6E"/>
    <w:rsid w:val="008306D1"/>
    <w:rsid w:val="008307E1"/>
    <w:rsid w:val="00836D62"/>
    <w:rsid w:val="00837A7C"/>
    <w:rsid w:val="0084090C"/>
    <w:rsid w:val="00842AD8"/>
    <w:rsid w:val="00842C44"/>
    <w:rsid w:val="00843B84"/>
    <w:rsid w:val="00844524"/>
    <w:rsid w:val="0084503B"/>
    <w:rsid w:val="0084597A"/>
    <w:rsid w:val="008463FB"/>
    <w:rsid w:val="008465FD"/>
    <w:rsid w:val="0084780A"/>
    <w:rsid w:val="00853770"/>
    <w:rsid w:val="008570A9"/>
    <w:rsid w:val="00860B0E"/>
    <w:rsid w:val="00861474"/>
    <w:rsid w:val="00862B0E"/>
    <w:rsid w:val="00863348"/>
    <w:rsid w:val="008655CB"/>
    <w:rsid w:val="00867160"/>
    <w:rsid w:val="00867879"/>
    <w:rsid w:val="0087205B"/>
    <w:rsid w:val="0087216B"/>
    <w:rsid w:val="0087363A"/>
    <w:rsid w:val="00874C78"/>
    <w:rsid w:val="00874FB8"/>
    <w:rsid w:val="008763FE"/>
    <w:rsid w:val="0088024C"/>
    <w:rsid w:val="008804C8"/>
    <w:rsid w:val="008810F5"/>
    <w:rsid w:val="00881FB7"/>
    <w:rsid w:val="00882448"/>
    <w:rsid w:val="00882AB9"/>
    <w:rsid w:val="00882D38"/>
    <w:rsid w:val="0088571E"/>
    <w:rsid w:val="0088697B"/>
    <w:rsid w:val="00891B35"/>
    <w:rsid w:val="008929ED"/>
    <w:rsid w:val="00895669"/>
    <w:rsid w:val="00897721"/>
    <w:rsid w:val="00897946"/>
    <w:rsid w:val="008A0543"/>
    <w:rsid w:val="008A2147"/>
    <w:rsid w:val="008A3276"/>
    <w:rsid w:val="008A3447"/>
    <w:rsid w:val="008A7E89"/>
    <w:rsid w:val="008B58C9"/>
    <w:rsid w:val="008B63EE"/>
    <w:rsid w:val="008C05E8"/>
    <w:rsid w:val="008C1816"/>
    <w:rsid w:val="008C5217"/>
    <w:rsid w:val="008C734C"/>
    <w:rsid w:val="008D377D"/>
    <w:rsid w:val="008D600B"/>
    <w:rsid w:val="008D7D48"/>
    <w:rsid w:val="008E024D"/>
    <w:rsid w:val="008E25B5"/>
    <w:rsid w:val="008E26D4"/>
    <w:rsid w:val="008E2D5A"/>
    <w:rsid w:val="008E33A5"/>
    <w:rsid w:val="008E407C"/>
    <w:rsid w:val="008E4BF2"/>
    <w:rsid w:val="008E4C79"/>
    <w:rsid w:val="008E6199"/>
    <w:rsid w:val="008F1FE6"/>
    <w:rsid w:val="008F4CBD"/>
    <w:rsid w:val="008F78D8"/>
    <w:rsid w:val="009017AD"/>
    <w:rsid w:val="00901BED"/>
    <w:rsid w:val="00903B8C"/>
    <w:rsid w:val="00903D1E"/>
    <w:rsid w:val="009045A2"/>
    <w:rsid w:val="0090566D"/>
    <w:rsid w:val="00905735"/>
    <w:rsid w:val="00906EE8"/>
    <w:rsid w:val="00907E51"/>
    <w:rsid w:val="00910FC3"/>
    <w:rsid w:val="00912637"/>
    <w:rsid w:val="009131B9"/>
    <w:rsid w:val="0091516E"/>
    <w:rsid w:val="0091744E"/>
    <w:rsid w:val="00922FAB"/>
    <w:rsid w:val="0092316B"/>
    <w:rsid w:val="00923FDC"/>
    <w:rsid w:val="00926FFC"/>
    <w:rsid w:val="00927715"/>
    <w:rsid w:val="009324AC"/>
    <w:rsid w:val="00933497"/>
    <w:rsid w:val="009357E2"/>
    <w:rsid w:val="00935805"/>
    <w:rsid w:val="00935DA7"/>
    <w:rsid w:val="009368F3"/>
    <w:rsid w:val="00937163"/>
    <w:rsid w:val="00940271"/>
    <w:rsid w:val="00941524"/>
    <w:rsid w:val="00943718"/>
    <w:rsid w:val="00945692"/>
    <w:rsid w:val="00946BA1"/>
    <w:rsid w:val="00947C42"/>
    <w:rsid w:val="00950489"/>
    <w:rsid w:val="00954A7F"/>
    <w:rsid w:val="0095728D"/>
    <w:rsid w:val="00957DE9"/>
    <w:rsid w:val="00960CF1"/>
    <w:rsid w:val="0096157B"/>
    <w:rsid w:val="00961A24"/>
    <w:rsid w:val="0096204A"/>
    <w:rsid w:val="00962F1B"/>
    <w:rsid w:val="009657B9"/>
    <w:rsid w:val="00965A44"/>
    <w:rsid w:val="00966CA7"/>
    <w:rsid w:val="009674C1"/>
    <w:rsid w:val="00967C81"/>
    <w:rsid w:val="00967D7C"/>
    <w:rsid w:val="0097228F"/>
    <w:rsid w:val="00975122"/>
    <w:rsid w:val="0097548D"/>
    <w:rsid w:val="009757AD"/>
    <w:rsid w:val="00976548"/>
    <w:rsid w:val="009777B5"/>
    <w:rsid w:val="00980B6A"/>
    <w:rsid w:val="00980E05"/>
    <w:rsid w:val="009818F9"/>
    <w:rsid w:val="0098618F"/>
    <w:rsid w:val="00986520"/>
    <w:rsid w:val="00987506"/>
    <w:rsid w:val="00987C32"/>
    <w:rsid w:val="00991646"/>
    <w:rsid w:val="0099448B"/>
    <w:rsid w:val="0099498C"/>
    <w:rsid w:val="009954DD"/>
    <w:rsid w:val="00997347"/>
    <w:rsid w:val="009A089C"/>
    <w:rsid w:val="009A0952"/>
    <w:rsid w:val="009A3271"/>
    <w:rsid w:val="009A741E"/>
    <w:rsid w:val="009A7433"/>
    <w:rsid w:val="009B19CE"/>
    <w:rsid w:val="009B4B47"/>
    <w:rsid w:val="009B6CF9"/>
    <w:rsid w:val="009B7C79"/>
    <w:rsid w:val="009C01C3"/>
    <w:rsid w:val="009C0519"/>
    <w:rsid w:val="009C202F"/>
    <w:rsid w:val="009C2069"/>
    <w:rsid w:val="009C22AC"/>
    <w:rsid w:val="009C4767"/>
    <w:rsid w:val="009C77F7"/>
    <w:rsid w:val="009C79AB"/>
    <w:rsid w:val="009D2587"/>
    <w:rsid w:val="009D2D93"/>
    <w:rsid w:val="009D4A77"/>
    <w:rsid w:val="009D7323"/>
    <w:rsid w:val="009D786D"/>
    <w:rsid w:val="009E02E2"/>
    <w:rsid w:val="009E0DEC"/>
    <w:rsid w:val="009E17E6"/>
    <w:rsid w:val="009E5ABC"/>
    <w:rsid w:val="009E5B9C"/>
    <w:rsid w:val="009E75B6"/>
    <w:rsid w:val="009F4E7A"/>
    <w:rsid w:val="009F4ED1"/>
    <w:rsid w:val="009F5159"/>
    <w:rsid w:val="00A00379"/>
    <w:rsid w:val="00A00D71"/>
    <w:rsid w:val="00A00EDF"/>
    <w:rsid w:val="00A1179E"/>
    <w:rsid w:val="00A13205"/>
    <w:rsid w:val="00A14293"/>
    <w:rsid w:val="00A20481"/>
    <w:rsid w:val="00A23F34"/>
    <w:rsid w:val="00A24594"/>
    <w:rsid w:val="00A26A17"/>
    <w:rsid w:val="00A26BAE"/>
    <w:rsid w:val="00A30169"/>
    <w:rsid w:val="00A312A3"/>
    <w:rsid w:val="00A322FF"/>
    <w:rsid w:val="00A32ABD"/>
    <w:rsid w:val="00A33D9F"/>
    <w:rsid w:val="00A37229"/>
    <w:rsid w:val="00A405B4"/>
    <w:rsid w:val="00A41763"/>
    <w:rsid w:val="00A418C9"/>
    <w:rsid w:val="00A41D58"/>
    <w:rsid w:val="00A452E0"/>
    <w:rsid w:val="00A45BFC"/>
    <w:rsid w:val="00A478B0"/>
    <w:rsid w:val="00A53E6F"/>
    <w:rsid w:val="00A54BF1"/>
    <w:rsid w:val="00A57058"/>
    <w:rsid w:val="00A573CF"/>
    <w:rsid w:val="00A60AC0"/>
    <w:rsid w:val="00A60C5D"/>
    <w:rsid w:val="00A60E35"/>
    <w:rsid w:val="00A62555"/>
    <w:rsid w:val="00A649A7"/>
    <w:rsid w:val="00A72BCD"/>
    <w:rsid w:val="00A74C9B"/>
    <w:rsid w:val="00A759D9"/>
    <w:rsid w:val="00A82667"/>
    <w:rsid w:val="00A83154"/>
    <w:rsid w:val="00A83427"/>
    <w:rsid w:val="00A8643B"/>
    <w:rsid w:val="00A920E6"/>
    <w:rsid w:val="00A920EE"/>
    <w:rsid w:val="00A92784"/>
    <w:rsid w:val="00A93478"/>
    <w:rsid w:val="00A97FE7"/>
    <w:rsid w:val="00AA023F"/>
    <w:rsid w:val="00AA273B"/>
    <w:rsid w:val="00AA3308"/>
    <w:rsid w:val="00AA46CA"/>
    <w:rsid w:val="00AA5F3A"/>
    <w:rsid w:val="00AA7237"/>
    <w:rsid w:val="00AA7E25"/>
    <w:rsid w:val="00AA7EFA"/>
    <w:rsid w:val="00AB019E"/>
    <w:rsid w:val="00AB4D8E"/>
    <w:rsid w:val="00AB5FFF"/>
    <w:rsid w:val="00AB61B3"/>
    <w:rsid w:val="00AB7B4E"/>
    <w:rsid w:val="00AC323A"/>
    <w:rsid w:val="00AC5119"/>
    <w:rsid w:val="00AC5412"/>
    <w:rsid w:val="00AC77B2"/>
    <w:rsid w:val="00AD430F"/>
    <w:rsid w:val="00AD6357"/>
    <w:rsid w:val="00AD7F81"/>
    <w:rsid w:val="00AE0009"/>
    <w:rsid w:val="00AE2630"/>
    <w:rsid w:val="00AE4CA9"/>
    <w:rsid w:val="00AF0964"/>
    <w:rsid w:val="00AF367D"/>
    <w:rsid w:val="00AF45FD"/>
    <w:rsid w:val="00AF775F"/>
    <w:rsid w:val="00B01688"/>
    <w:rsid w:val="00B07B7C"/>
    <w:rsid w:val="00B14B5F"/>
    <w:rsid w:val="00B1605C"/>
    <w:rsid w:val="00B2471E"/>
    <w:rsid w:val="00B27C26"/>
    <w:rsid w:val="00B3233F"/>
    <w:rsid w:val="00B335D1"/>
    <w:rsid w:val="00B33AEB"/>
    <w:rsid w:val="00B359E8"/>
    <w:rsid w:val="00B35E2A"/>
    <w:rsid w:val="00B41F9F"/>
    <w:rsid w:val="00B4263D"/>
    <w:rsid w:val="00B445C2"/>
    <w:rsid w:val="00B45168"/>
    <w:rsid w:val="00B47169"/>
    <w:rsid w:val="00B51800"/>
    <w:rsid w:val="00B53FD7"/>
    <w:rsid w:val="00B56F49"/>
    <w:rsid w:val="00B61CA7"/>
    <w:rsid w:val="00B62247"/>
    <w:rsid w:val="00B63506"/>
    <w:rsid w:val="00B64DE2"/>
    <w:rsid w:val="00B673C8"/>
    <w:rsid w:val="00B67FA8"/>
    <w:rsid w:val="00B74235"/>
    <w:rsid w:val="00B7442A"/>
    <w:rsid w:val="00B7472C"/>
    <w:rsid w:val="00B7482D"/>
    <w:rsid w:val="00B74C0E"/>
    <w:rsid w:val="00B74F78"/>
    <w:rsid w:val="00B77391"/>
    <w:rsid w:val="00B80B75"/>
    <w:rsid w:val="00B83C6D"/>
    <w:rsid w:val="00B8663D"/>
    <w:rsid w:val="00B90EF3"/>
    <w:rsid w:val="00B97002"/>
    <w:rsid w:val="00BA0769"/>
    <w:rsid w:val="00BA72E3"/>
    <w:rsid w:val="00BB2F70"/>
    <w:rsid w:val="00BB38A3"/>
    <w:rsid w:val="00BB4803"/>
    <w:rsid w:val="00BB6CF4"/>
    <w:rsid w:val="00BC007A"/>
    <w:rsid w:val="00BC14C3"/>
    <w:rsid w:val="00BC1ABE"/>
    <w:rsid w:val="00BC2115"/>
    <w:rsid w:val="00BC3862"/>
    <w:rsid w:val="00BC4C4A"/>
    <w:rsid w:val="00BC6F67"/>
    <w:rsid w:val="00BC76F2"/>
    <w:rsid w:val="00BC788C"/>
    <w:rsid w:val="00BD0DD0"/>
    <w:rsid w:val="00BD0EC9"/>
    <w:rsid w:val="00BD19FA"/>
    <w:rsid w:val="00BD2F20"/>
    <w:rsid w:val="00BD3E2F"/>
    <w:rsid w:val="00BD49DD"/>
    <w:rsid w:val="00BD4F62"/>
    <w:rsid w:val="00BE191B"/>
    <w:rsid w:val="00BE2166"/>
    <w:rsid w:val="00BE35EB"/>
    <w:rsid w:val="00BE371B"/>
    <w:rsid w:val="00BE386B"/>
    <w:rsid w:val="00BE4AFD"/>
    <w:rsid w:val="00BE77AD"/>
    <w:rsid w:val="00BF018B"/>
    <w:rsid w:val="00BF023A"/>
    <w:rsid w:val="00BF12E1"/>
    <w:rsid w:val="00BF1A94"/>
    <w:rsid w:val="00BF1AAE"/>
    <w:rsid w:val="00BF40EE"/>
    <w:rsid w:val="00BF4B05"/>
    <w:rsid w:val="00BF4FF5"/>
    <w:rsid w:val="00BF5BBD"/>
    <w:rsid w:val="00BF6B94"/>
    <w:rsid w:val="00BF7C39"/>
    <w:rsid w:val="00BF7D00"/>
    <w:rsid w:val="00C00590"/>
    <w:rsid w:val="00C02366"/>
    <w:rsid w:val="00C028F9"/>
    <w:rsid w:val="00C045B8"/>
    <w:rsid w:val="00C04647"/>
    <w:rsid w:val="00C058CF"/>
    <w:rsid w:val="00C12551"/>
    <w:rsid w:val="00C14593"/>
    <w:rsid w:val="00C208C2"/>
    <w:rsid w:val="00C211CD"/>
    <w:rsid w:val="00C2145F"/>
    <w:rsid w:val="00C2333F"/>
    <w:rsid w:val="00C245DD"/>
    <w:rsid w:val="00C25328"/>
    <w:rsid w:val="00C26FD9"/>
    <w:rsid w:val="00C302BF"/>
    <w:rsid w:val="00C30467"/>
    <w:rsid w:val="00C30BAD"/>
    <w:rsid w:val="00C343A5"/>
    <w:rsid w:val="00C35BBB"/>
    <w:rsid w:val="00C3744D"/>
    <w:rsid w:val="00C4180B"/>
    <w:rsid w:val="00C42017"/>
    <w:rsid w:val="00C4206A"/>
    <w:rsid w:val="00C43422"/>
    <w:rsid w:val="00C43A84"/>
    <w:rsid w:val="00C44265"/>
    <w:rsid w:val="00C4443B"/>
    <w:rsid w:val="00C4469D"/>
    <w:rsid w:val="00C47FF5"/>
    <w:rsid w:val="00C50929"/>
    <w:rsid w:val="00C57A98"/>
    <w:rsid w:val="00C61A55"/>
    <w:rsid w:val="00C6332B"/>
    <w:rsid w:val="00C64137"/>
    <w:rsid w:val="00C658E4"/>
    <w:rsid w:val="00C71810"/>
    <w:rsid w:val="00C7266E"/>
    <w:rsid w:val="00C73F4F"/>
    <w:rsid w:val="00C76C66"/>
    <w:rsid w:val="00C82DF9"/>
    <w:rsid w:val="00C8383E"/>
    <w:rsid w:val="00C8452A"/>
    <w:rsid w:val="00C8471F"/>
    <w:rsid w:val="00C84E8B"/>
    <w:rsid w:val="00C87190"/>
    <w:rsid w:val="00C87E13"/>
    <w:rsid w:val="00C9207F"/>
    <w:rsid w:val="00C932CA"/>
    <w:rsid w:val="00C93AA7"/>
    <w:rsid w:val="00C95D4B"/>
    <w:rsid w:val="00C974CC"/>
    <w:rsid w:val="00CA1237"/>
    <w:rsid w:val="00CA1564"/>
    <w:rsid w:val="00CA1942"/>
    <w:rsid w:val="00CA749D"/>
    <w:rsid w:val="00CA75CA"/>
    <w:rsid w:val="00CA7C8A"/>
    <w:rsid w:val="00CB180D"/>
    <w:rsid w:val="00CB187E"/>
    <w:rsid w:val="00CB2529"/>
    <w:rsid w:val="00CB44E8"/>
    <w:rsid w:val="00CB4D92"/>
    <w:rsid w:val="00CB7978"/>
    <w:rsid w:val="00CB7D4F"/>
    <w:rsid w:val="00CC02FB"/>
    <w:rsid w:val="00CC1D12"/>
    <w:rsid w:val="00CC5B5C"/>
    <w:rsid w:val="00CC6876"/>
    <w:rsid w:val="00CD1373"/>
    <w:rsid w:val="00CD1B50"/>
    <w:rsid w:val="00CD2246"/>
    <w:rsid w:val="00CD47D4"/>
    <w:rsid w:val="00CD4E78"/>
    <w:rsid w:val="00CD710C"/>
    <w:rsid w:val="00CE1167"/>
    <w:rsid w:val="00CE425E"/>
    <w:rsid w:val="00CE42E9"/>
    <w:rsid w:val="00CE434C"/>
    <w:rsid w:val="00CE6CAC"/>
    <w:rsid w:val="00CF3B51"/>
    <w:rsid w:val="00D001E4"/>
    <w:rsid w:val="00D00AA8"/>
    <w:rsid w:val="00D02778"/>
    <w:rsid w:val="00D04021"/>
    <w:rsid w:val="00D04F83"/>
    <w:rsid w:val="00D04FD8"/>
    <w:rsid w:val="00D0580E"/>
    <w:rsid w:val="00D06E2B"/>
    <w:rsid w:val="00D07EB4"/>
    <w:rsid w:val="00D10A85"/>
    <w:rsid w:val="00D1357B"/>
    <w:rsid w:val="00D13CF6"/>
    <w:rsid w:val="00D13E84"/>
    <w:rsid w:val="00D14E23"/>
    <w:rsid w:val="00D2130E"/>
    <w:rsid w:val="00D214C7"/>
    <w:rsid w:val="00D21D42"/>
    <w:rsid w:val="00D22F2E"/>
    <w:rsid w:val="00D233A0"/>
    <w:rsid w:val="00D2377B"/>
    <w:rsid w:val="00D25C8D"/>
    <w:rsid w:val="00D27FFD"/>
    <w:rsid w:val="00D300F4"/>
    <w:rsid w:val="00D30459"/>
    <w:rsid w:val="00D3272B"/>
    <w:rsid w:val="00D3344B"/>
    <w:rsid w:val="00D33558"/>
    <w:rsid w:val="00D335DD"/>
    <w:rsid w:val="00D34FD7"/>
    <w:rsid w:val="00D366A6"/>
    <w:rsid w:val="00D36801"/>
    <w:rsid w:val="00D36D80"/>
    <w:rsid w:val="00D40175"/>
    <w:rsid w:val="00D41E94"/>
    <w:rsid w:val="00D43C55"/>
    <w:rsid w:val="00D43D8B"/>
    <w:rsid w:val="00D55243"/>
    <w:rsid w:val="00D55A9D"/>
    <w:rsid w:val="00D62087"/>
    <w:rsid w:val="00D62F90"/>
    <w:rsid w:val="00D630C1"/>
    <w:rsid w:val="00D63E74"/>
    <w:rsid w:val="00D647AD"/>
    <w:rsid w:val="00D715C4"/>
    <w:rsid w:val="00D73A7A"/>
    <w:rsid w:val="00D74BB7"/>
    <w:rsid w:val="00D77E58"/>
    <w:rsid w:val="00D77EEE"/>
    <w:rsid w:val="00D80001"/>
    <w:rsid w:val="00D842A8"/>
    <w:rsid w:val="00D85794"/>
    <w:rsid w:val="00D85C62"/>
    <w:rsid w:val="00D868AE"/>
    <w:rsid w:val="00D87C88"/>
    <w:rsid w:val="00D928FD"/>
    <w:rsid w:val="00D930C9"/>
    <w:rsid w:val="00D93B50"/>
    <w:rsid w:val="00D94A60"/>
    <w:rsid w:val="00D94E0C"/>
    <w:rsid w:val="00DA1032"/>
    <w:rsid w:val="00DA13F2"/>
    <w:rsid w:val="00DA15C7"/>
    <w:rsid w:val="00DA175D"/>
    <w:rsid w:val="00DA50D9"/>
    <w:rsid w:val="00DB2E02"/>
    <w:rsid w:val="00DC1736"/>
    <w:rsid w:val="00DC193C"/>
    <w:rsid w:val="00DC79E3"/>
    <w:rsid w:val="00DD10EE"/>
    <w:rsid w:val="00DD12A9"/>
    <w:rsid w:val="00DD157B"/>
    <w:rsid w:val="00DD3473"/>
    <w:rsid w:val="00DD3711"/>
    <w:rsid w:val="00DD51E1"/>
    <w:rsid w:val="00DD5BBA"/>
    <w:rsid w:val="00DE05FC"/>
    <w:rsid w:val="00DE193F"/>
    <w:rsid w:val="00DE1FF5"/>
    <w:rsid w:val="00DE2D54"/>
    <w:rsid w:val="00DE399D"/>
    <w:rsid w:val="00DF2423"/>
    <w:rsid w:val="00DF3AB8"/>
    <w:rsid w:val="00E009C2"/>
    <w:rsid w:val="00E012BC"/>
    <w:rsid w:val="00E02BB0"/>
    <w:rsid w:val="00E03CE6"/>
    <w:rsid w:val="00E05A4F"/>
    <w:rsid w:val="00E07D37"/>
    <w:rsid w:val="00E11A65"/>
    <w:rsid w:val="00E12C58"/>
    <w:rsid w:val="00E13716"/>
    <w:rsid w:val="00E162D0"/>
    <w:rsid w:val="00E23250"/>
    <w:rsid w:val="00E266FF"/>
    <w:rsid w:val="00E27661"/>
    <w:rsid w:val="00E27685"/>
    <w:rsid w:val="00E27ED1"/>
    <w:rsid w:val="00E30280"/>
    <w:rsid w:val="00E3171F"/>
    <w:rsid w:val="00E31ADD"/>
    <w:rsid w:val="00E31E75"/>
    <w:rsid w:val="00E3737E"/>
    <w:rsid w:val="00E378E8"/>
    <w:rsid w:val="00E37A42"/>
    <w:rsid w:val="00E46DF0"/>
    <w:rsid w:val="00E47DB3"/>
    <w:rsid w:val="00E509A9"/>
    <w:rsid w:val="00E5111C"/>
    <w:rsid w:val="00E51F8B"/>
    <w:rsid w:val="00E5242A"/>
    <w:rsid w:val="00E52831"/>
    <w:rsid w:val="00E52D1A"/>
    <w:rsid w:val="00E53398"/>
    <w:rsid w:val="00E57437"/>
    <w:rsid w:val="00E57DC0"/>
    <w:rsid w:val="00E6320D"/>
    <w:rsid w:val="00E64892"/>
    <w:rsid w:val="00E6592C"/>
    <w:rsid w:val="00E66AE2"/>
    <w:rsid w:val="00E7017B"/>
    <w:rsid w:val="00E705E1"/>
    <w:rsid w:val="00E7101E"/>
    <w:rsid w:val="00E74DA4"/>
    <w:rsid w:val="00E77062"/>
    <w:rsid w:val="00E81687"/>
    <w:rsid w:val="00E81B89"/>
    <w:rsid w:val="00E84409"/>
    <w:rsid w:val="00E9068B"/>
    <w:rsid w:val="00E91432"/>
    <w:rsid w:val="00E91B5A"/>
    <w:rsid w:val="00E933FB"/>
    <w:rsid w:val="00E941E5"/>
    <w:rsid w:val="00E94C20"/>
    <w:rsid w:val="00E97019"/>
    <w:rsid w:val="00E97CFF"/>
    <w:rsid w:val="00EA0C0E"/>
    <w:rsid w:val="00EA2C63"/>
    <w:rsid w:val="00EA2F9C"/>
    <w:rsid w:val="00EA4F0F"/>
    <w:rsid w:val="00EB7A21"/>
    <w:rsid w:val="00EC095E"/>
    <w:rsid w:val="00EC2465"/>
    <w:rsid w:val="00EC274F"/>
    <w:rsid w:val="00EC2B09"/>
    <w:rsid w:val="00EC429B"/>
    <w:rsid w:val="00EC45A9"/>
    <w:rsid w:val="00ED3CC9"/>
    <w:rsid w:val="00ED60FF"/>
    <w:rsid w:val="00ED6E45"/>
    <w:rsid w:val="00ED76B9"/>
    <w:rsid w:val="00EE2BE1"/>
    <w:rsid w:val="00EE2CAF"/>
    <w:rsid w:val="00EE43E4"/>
    <w:rsid w:val="00EE470D"/>
    <w:rsid w:val="00EE529D"/>
    <w:rsid w:val="00EE5C24"/>
    <w:rsid w:val="00EE7A42"/>
    <w:rsid w:val="00EF075D"/>
    <w:rsid w:val="00EF0979"/>
    <w:rsid w:val="00EF6E24"/>
    <w:rsid w:val="00F001EA"/>
    <w:rsid w:val="00F04654"/>
    <w:rsid w:val="00F056C3"/>
    <w:rsid w:val="00F05742"/>
    <w:rsid w:val="00F1257A"/>
    <w:rsid w:val="00F13F3E"/>
    <w:rsid w:val="00F143A9"/>
    <w:rsid w:val="00F158AF"/>
    <w:rsid w:val="00F16B90"/>
    <w:rsid w:val="00F20DF1"/>
    <w:rsid w:val="00F212D9"/>
    <w:rsid w:val="00F2327C"/>
    <w:rsid w:val="00F24275"/>
    <w:rsid w:val="00F24A0A"/>
    <w:rsid w:val="00F31885"/>
    <w:rsid w:val="00F321FC"/>
    <w:rsid w:val="00F3318D"/>
    <w:rsid w:val="00F34F19"/>
    <w:rsid w:val="00F376A9"/>
    <w:rsid w:val="00F37F34"/>
    <w:rsid w:val="00F41334"/>
    <w:rsid w:val="00F44A21"/>
    <w:rsid w:val="00F450B2"/>
    <w:rsid w:val="00F4583D"/>
    <w:rsid w:val="00F45F8E"/>
    <w:rsid w:val="00F51CBF"/>
    <w:rsid w:val="00F54746"/>
    <w:rsid w:val="00F551FE"/>
    <w:rsid w:val="00F575F0"/>
    <w:rsid w:val="00F61CCA"/>
    <w:rsid w:val="00F6664C"/>
    <w:rsid w:val="00F673B7"/>
    <w:rsid w:val="00F724AB"/>
    <w:rsid w:val="00F728A9"/>
    <w:rsid w:val="00F76637"/>
    <w:rsid w:val="00F80602"/>
    <w:rsid w:val="00F80AF1"/>
    <w:rsid w:val="00F8298C"/>
    <w:rsid w:val="00F835A3"/>
    <w:rsid w:val="00F87D5C"/>
    <w:rsid w:val="00F90245"/>
    <w:rsid w:val="00F911AA"/>
    <w:rsid w:val="00F920D9"/>
    <w:rsid w:val="00F923DA"/>
    <w:rsid w:val="00F94626"/>
    <w:rsid w:val="00F94781"/>
    <w:rsid w:val="00F94C51"/>
    <w:rsid w:val="00F95CAC"/>
    <w:rsid w:val="00F96463"/>
    <w:rsid w:val="00F96A5E"/>
    <w:rsid w:val="00FA0668"/>
    <w:rsid w:val="00FA0867"/>
    <w:rsid w:val="00FA5151"/>
    <w:rsid w:val="00FA5388"/>
    <w:rsid w:val="00FB08E3"/>
    <w:rsid w:val="00FB21FE"/>
    <w:rsid w:val="00FB6026"/>
    <w:rsid w:val="00FB677C"/>
    <w:rsid w:val="00FB6BF3"/>
    <w:rsid w:val="00FC0005"/>
    <w:rsid w:val="00FC11FF"/>
    <w:rsid w:val="00FC1E3B"/>
    <w:rsid w:val="00FC2F67"/>
    <w:rsid w:val="00FC4BA6"/>
    <w:rsid w:val="00FD397B"/>
    <w:rsid w:val="00FD4248"/>
    <w:rsid w:val="00FD4B01"/>
    <w:rsid w:val="00FD52F2"/>
    <w:rsid w:val="00FD6DD2"/>
    <w:rsid w:val="00FD76E8"/>
    <w:rsid w:val="00FD7CDC"/>
    <w:rsid w:val="00FE31AF"/>
    <w:rsid w:val="00FE36F2"/>
    <w:rsid w:val="00FE3A1E"/>
    <w:rsid w:val="00FE3D1B"/>
    <w:rsid w:val="00FE58E0"/>
    <w:rsid w:val="00FE65F5"/>
    <w:rsid w:val="00FE74D0"/>
    <w:rsid w:val="00FF3898"/>
    <w:rsid w:val="00FF400B"/>
    <w:rsid w:val="00FF403D"/>
    <w:rsid w:val="0143AF45"/>
    <w:rsid w:val="0752F31A"/>
    <w:rsid w:val="09673754"/>
    <w:rsid w:val="0C24913B"/>
    <w:rsid w:val="0D92569B"/>
    <w:rsid w:val="0E3F4CD4"/>
    <w:rsid w:val="0F63C479"/>
    <w:rsid w:val="12C747B4"/>
    <w:rsid w:val="15143ED4"/>
    <w:rsid w:val="180829F6"/>
    <w:rsid w:val="19FE8001"/>
    <w:rsid w:val="1E9651FF"/>
    <w:rsid w:val="2208F50C"/>
    <w:rsid w:val="24193CB0"/>
    <w:rsid w:val="26BB69B3"/>
    <w:rsid w:val="26D1AD63"/>
    <w:rsid w:val="278D3EC0"/>
    <w:rsid w:val="2875F959"/>
    <w:rsid w:val="291E47FD"/>
    <w:rsid w:val="2B0194D6"/>
    <w:rsid w:val="2BE8F407"/>
    <w:rsid w:val="2C82E156"/>
    <w:rsid w:val="2F0E4144"/>
    <w:rsid w:val="30B9CF8D"/>
    <w:rsid w:val="3267D0AC"/>
    <w:rsid w:val="3414E2FE"/>
    <w:rsid w:val="369116A4"/>
    <w:rsid w:val="3755F1ED"/>
    <w:rsid w:val="3A66AA10"/>
    <w:rsid w:val="3AB4750F"/>
    <w:rsid w:val="3AE099C5"/>
    <w:rsid w:val="3B2FE3A0"/>
    <w:rsid w:val="41620590"/>
    <w:rsid w:val="45DE67F9"/>
    <w:rsid w:val="46DD6C93"/>
    <w:rsid w:val="47804761"/>
    <w:rsid w:val="47CC3D77"/>
    <w:rsid w:val="47FEAC62"/>
    <w:rsid w:val="48043DAB"/>
    <w:rsid w:val="4A4BD558"/>
    <w:rsid w:val="4DEEF191"/>
    <w:rsid w:val="4ED74921"/>
    <w:rsid w:val="4FC4B1A3"/>
    <w:rsid w:val="50AF1966"/>
    <w:rsid w:val="51B629FA"/>
    <w:rsid w:val="527390D8"/>
    <w:rsid w:val="52FFB814"/>
    <w:rsid w:val="530222F3"/>
    <w:rsid w:val="58C5A976"/>
    <w:rsid w:val="595037A5"/>
    <w:rsid w:val="59FAA1A1"/>
    <w:rsid w:val="5A0146A2"/>
    <w:rsid w:val="5E092D61"/>
    <w:rsid w:val="610FE53B"/>
    <w:rsid w:val="625B2CF2"/>
    <w:rsid w:val="64E6BE32"/>
    <w:rsid w:val="65CD81E1"/>
    <w:rsid w:val="6B6EFADB"/>
    <w:rsid w:val="6D79785B"/>
    <w:rsid w:val="6D867BB8"/>
    <w:rsid w:val="6F79440F"/>
    <w:rsid w:val="70143983"/>
    <w:rsid w:val="7210C945"/>
    <w:rsid w:val="7320A5FC"/>
    <w:rsid w:val="73363D26"/>
    <w:rsid w:val="75759503"/>
    <w:rsid w:val="7744ED59"/>
    <w:rsid w:val="77CEDBEA"/>
    <w:rsid w:val="7B43F63B"/>
    <w:rsid w:val="7C21F52F"/>
    <w:rsid w:val="7CAD53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85BE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7152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7152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842AD8"/>
    <w:pPr>
      <w:numPr>
        <w:numId w:val="20"/>
      </w:numPr>
      <w:contextualSpacing/>
    </w:pPr>
  </w:style>
  <w:style w:type="paragraph" w:styleId="TOCHeading">
    <w:name w:val="TOC Heading"/>
    <w:basedOn w:val="Heading1"/>
    <w:next w:val="Normal"/>
    <w:autoRedefine/>
    <w:uiPriority w:val="39"/>
    <w:qFormat/>
    <w:rsid w:val="00675346"/>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B61CA7"/>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022C96"/>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022C96"/>
    <w:pPr>
      <w:spacing w:after="0" w:line="240" w:lineRule="atLeast"/>
      <w:contextualSpacing/>
    </w:pPr>
    <w:rPr>
      <w:sz w:val="18"/>
    </w:rPr>
  </w:style>
  <w:style w:type="character" w:customStyle="1" w:styleId="FootnoteTextChar">
    <w:name w:val="Footnote Text Char"/>
    <w:basedOn w:val="DefaultParagraphFont"/>
    <w:link w:val="FootnoteText"/>
    <w:uiPriority w:val="99"/>
    <w:rsid w:val="00022C96"/>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uiPriority w:val="99"/>
    <w:locked/>
    <w:rsid w:val="00F24A0A"/>
    <w:rPr>
      <w:sz w:val="16"/>
      <w:szCs w:val="16"/>
    </w:rPr>
  </w:style>
  <w:style w:type="paragraph" w:styleId="CommentText">
    <w:name w:val="annotation text"/>
    <w:basedOn w:val="Normal"/>
    <w:link w:val="CommentTextChar"/>
    <w:uiPriority w:val="99"/>
    <w:locked/>
    <w:rsid w:val="00F24A0A"/>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4A0A"/>
    <w:rPr>
      <w:rFonts w:ascii="Times New Roman" w:eastAsia="Times New Roman" w:hAnsi="Times New Roman" w:cs="Times New Roman"/>
      <w:sz w:val="20"/>
      <w:szCs w:val="20"/>
    </w:rPr>
  </w:style>
  <w:style w:type="paragraph" w:customStyle="1" w:styleId="ExhibitTitle">
    <w:name w:val="Exhibit Title"/>
    <w:basedOn w:val="Caption"/>
    <w:link w:val="ExhibitTitleChar"/>
    <w:rsid w:val="00F24A0A"/>
    <w:pPr>
      <w:keepLines/>
      <w:pageBreakBefore/>
      <w:spacing w:before="0" w:after="120"/>
      <w:ind w:left="1080" w:hanging="1080"/>
    </w:pPr>
    <w:rPr>
      <w:rFonts w:ascii="Times New Roman" w:eastAsia="Times New Roman" w:hAnsi="Times New Roman" w:cs="Times New Roman"/>
      <w:snapToGrid w:val="0"/>
      <w:color w:val="auto"/>
      <w:szCs w:val="22"/>
    </w:rPr>
  </w:style>
  <w:style w:type="character" w:customStyle="1" w:styleId="ExhibitTitleChar">
    <w:name w:val="Exhibit Title Char"/>
    <w:link w:val="ExhibitTitle"/>
    <w:rsid w:val="00F24A0A"/>
    <w:rPr>
      <w:rFonts w:ascii="Times New Roman" w:eastAsia="Times New Roman" w:hAnsi="Times New Roman" w:cs="Times New Roman"/>
      <w:b/>
      <w:bCs/>
      <w:snapToGrid w:val="0"/>
    </w:rPr>
  </w:style>
  <w:style w:type="paragraph" w:customStyle="1" w:styleId="MTDisplayEquation">
    <w:name w:val="MTDisplayEquation"/>
    <w:basedOn w:val="Normal"/>
    <w:next w:val="Normal"/>
    <w:link w:val="MTDisplayEquationChar"/>
    <w:rsid w:val="00EE2BE1"/>
    <w:pPr>
      <w:tabs>
        <w:tab w:val="center" w:pos="4680"/>
        <w:tab w:val="right" w:pos="9360"/>
      </w:tabs>
      <w:spacing w:after="160" w:line="259"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EE2BE1"/>
    <w:rPr>
      <w:rFonts w:ascii="Times New Roman" w:hAnsi="Times New Roman" w:cs="Times New Roman"/>
      <w:sz w:val="24"/>
      <w:szCs w:val="24"/>
    </w:rPr>
  </w:style>
  <w:style w:type="paragraph" w:customStyle="1" w:styleId="Heading4BulletText">
    <w:name w:val="Heading 4 Bullet Text"/>
    <w:basedOn w:val="Normal"/>
    <w:rsid w:val="00D77EEE"/>
    <w:pPr>
      <w:numPr>
        <w:numId w:val="10"/>
      </w:numPr>
      <w:spacing w:after="0" w:line="240" w:lineRule="auto"/>
    </w:pPr>
    <w:rPr>
      <w:rFonts w:ascii="Times New Roman" w:eastAsia="Times New Roman" w:hAnsi="Times New Roman" w:cs="Times New Roman"/>
      <w:szCs w:val="20"/>
    </w:rPr>
  </w:style>
  <w:style w:type="paragraph" w:styleId="BodyText2">
    <w:name w:val="Body Text 2"/>
    <w:basedOn w:val="Normal"/>
    <w:link w:val="BodyText2Char"/>
    <w:locked/>
    <w:rsid w:val="00A24594"/>
    <w:pPr>
      <w:widowControl w:val="0"/>
      <w:spacing w:before="100" w:beforeAutospacing="1" w:after="100" w:afterAutospacing="1" w:line="240" w:lineRule="auto"/>
      <w:jc w:val="both"/>
    </w:pPr>
    <w:rPr>
      <w:rFonts w:ascii="Times New Roman" w:eastAsia="Times New Roman" w:hAnsi="Times New Roman" w:cs="Times New Roman"/>
      <w:snapToGrid w:val="0"/>
      <w:color w:val="0000FF"/>
      <w:sz w:val="24"/>
      <w:szCs w:val="20"/>
    </w:rPr>
  </w:style>
  <w:style w:type="character" w:customStyle="1" w:styleId="BodyText2Char">
    <w:name w:val="Body Text 2 Char"/>
    <w:basedOn w:val="DefaultParagraphFont"/>
    <w:link w:val="BodyText2"/>
    <w:rsid w:val="00A24594"/>
    <w:rPr>
      <w:rFonts w:ascii="Times New Roman" w:eastAsia="Times New Roman" w:hAnsi="Times New Roman" w:cs="Times New Roman"/>
      <w:snapToGrid w:val="0"/>
      <w:color w:val="0000FF"/>
      <w:sz w:val="24"/>
      <w:szCs w:val="20"/>
    </w:rPr>
  </w:style>
  <w:style w:type="paragraph" w:styleId="CommentSubject">
    <w:name w:val="annotation subject"/>
    <w:basedOn w:val="CommentText"/>
    <w:next w:val="CommentText"/>
    <w:link w:val="CommentSubjectChar"/>
    <w:uiPriority w:val="99"/>
    <w:semiHidden/>
    <w:unhideWhenUsed/>
    <w:locked/>
    <w:rsid w:val="006F2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F25CD"/>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842AD8"/>
  </w:style>
  <w:style w:type="paragraph" w:styleId="Revision">
    <w:name w:val="Revision"/>
    <w:hidden/>
    <w:uiPriority w:val="99"/>
    <w:semiHidden/>
    <w:rsid w:val="00806A46"/>
    <w:pPr>
      <w:spacing w:after="0"/>
    </w:pPr>
  </w:style>
  <w:style w:type="character" w:customStyle="1" w:styleId="normaltextrun">
    <w:name w:val="normaltextrun"/>
    <w:basedOn w:val="DefaultParagraphFont"/>
    <w:rsid w:val="004838A2"/>
  </w:style>
  <w:style w:type="table" w:customStyle="1" w:styleId="TableGrid1">
    <w:name w:val="Table Grid1"/>
    <w:basedOn w:val="TableNormal"/>
    <w:next w:val="TableGrid"/>
    <w:uiPriority w:val="39"/>
    <w:rsid w:val="00285F03"/>
    <w:pPr>
      <w:spacing w:after="0"/>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locked/>
    <w:rsid w:val="002113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3C0"/>
    <w:rPr>
      <w:sz w:val="20"/>
      <w:szCs w:val="20"/>
    </w:rPr>
  </w:style>
  <w:style w:type="character" w:styleId="EndnoteReference">
    <w:name w:val="endnote reference"/>
    <w:basedOn w:val="DefaultParagraphFont"/>
    <w:uiPriority w:val="99"/>
    <w:semiHidden/>
    <w:unhideWhenUsed/>
    <w:locked/>
    <w:rsid w:val="002113C0"/>
    <w:rPr>
      <w:vertAlign w:val="superscript"/>
    </w:rPr>
  </w:style>
  <w:style w:type="character" w:styleId="UnresolvedMention">
    <w:name w:val="Unresolved Mention"/>
    <w:basedOn w:val="DefaultParagraphFont"/>
    <w:uiPriority w:val="99"/>
    <w:semiHidden/>
    <w:unhideWhenUsed/>
    <w:rsid w:val="00102A06"/>
    <w:rPr>
      <w:color w:val="605E5C"/>
      <w:shd w:val="clear" w:color="auto" w:fill="E1DFDD"/>
    </w:rPr>
  </w:style>
  <w:style w:type="paragraph" w:customStyle="1" w:styleId="Tabletitle">
    <w:name w:val="Tabletitle"/>
    <w:basedOn w:val="Caption"/>
    <w:qFormat/>
    <w:rsid w:val="00C95D4B"/>
    <w:pPr>
      <w:keepNext w:val="0"/>
      <w:spacing w:before="120" w:after="120"/>
    </w:pPr>
    <w:rPr>
      <w:rFonts w:ascii="Times New Roman" w:eastAsia="SimSun" w:hAnsi="Times New Roman" w:cs="Times New Roman"/>
      <w:color w:val="auto"/>
      <w:szCs w:val="20"/>
      <w:lang w:eastAsia="zh-CN"/>
    </w:rPr>
  </w:style>
  <w:style w:type="paragraph" w:customStyle="1" w:styleId="Tablesource">
    <w:name w:val="Tablesource"/>
    <w:basedOn w:val="Normal"/>
    <w:qFormat/>
    <w:rsid w:val="00C95D4B"/>
    <w:pPr>
      <w:spacing w:before="40" w:after="240" w:line="240" w:lineRule="auto"/>
    </w:pPr>
    <w:rPr>
      <w:rFonts w:ascii="Times New Roman" w:eastAsia="SimSun" w:hAnsi="Times New Roman" w:cs="Times New Roman"/>
      <w:sz w:val="20"/>
      <w:szCs w:val="20"/>
      <w:lang w:eastAsia="zh-CN"/>
    </w:rPr>
  </w:style>
  <w:style w:type="paragraph" w:customStyle="1" w:styleId="bullets">
    <w:name w:val="bullets"/>
    <w:aliases w:val="bu"/>
    <w:basedOn w:val="Normal"/>
    <w:link w:val="bulletsChar"/>
    <w:rsid w:val="005C16C7"/>
    <w:pPr>
      <w:numPr>
        <w:numId w:val="19"/>
      </w:numPr>
      <w:autoSpaceDE w:val="0"/>
      <w:autoSpaceDN w:val="0"/>
      <w:spacing w:after="120" w:line="240" w:lineRule="auto"/>
    </w:pPr>
    <w:rPr>
      <w:rFonts w:ascii="Times New Roman" w:eastAsia="Times New Roman" w:hAnsi="Times New Roman" w:cs="Arial"/>
      <w:szCs w:val="24"/>
    </w:rPr>
  </w:style>
  <w:style w:type="character" w:customStyle="1" w:styleId="bulletsChar">
    <w:name w:val="bullets Char"/>
    <w:aliases w:val="bu Char"/>
    <w:link w:val="bullets"/>
    <w:locked/>
    <w:rsid w:val="005C16C7"/>
    <w:rPr>
      <w:rFonts w:ascii="Times New Roman" w:eastAsia="Times New Roman" w:hAnsi="Times New Roman" w:cs="Arial"/>
      <w:szCs w:val="24"/>
    </w:rPr>
  </w:style>
  <w:style w:type="character" w:styleId="Mention">
    <w:name w:val="Mention"/>
    <w:basedOn w:val="DefaultParagraphFont"/>
    <w:uiPriority w:val="99"/>
    <w:unhideWhenUsed/>
    <w:rsid w:val="002D676F"/>
    <w:rPr>
      <w:color w:val="2B579A"/>
      <w:shd w:val="clear" w:color="auto" w:fill="E1DFDD"/>
    </w:rPr>
  </w:style>
  <w:style w:type="character" w:customStyle="1" w:styleId="cf01">
    <w:name w:val="cf01"/>
    <w:basedOn w:val="DefaultParagraphFont"/>
    <w:rsid w:val="00B80B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7/00811750221147525"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BB9">
      <w:pPr>
        <w:spacing w:after="0" w:line="240" w:lineRule="auto"/>
      </w:pPr>
      <w:r>
        <w:separator/>
      </w:r>
    </w:p>
  </w:footnote>
  <w:footnote w:type="continuationSeparator" w:id="1">
    <w:p w:rsidR="00D65BB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2167"/>
    <w:rsid w:val="000817E5"/>
    <w:rsid w:val="000B1046"/>
    <w:rsid w:val="000E09F3"/>
    <w:rsid w:val="000E5430"/>
    <w:rsid w:val="00162701"/>
    <w:rsid w:val="001B4ECC"/>
    <w:rsid w:val="001C63C4"/>
    <w:rsid w:val="002A03E2"/>
    <w:rsid w:val="002A6975"/>
    <w:rsid w:val="003048FB"/>
    <w:rsid w:val="00313EE9"/>
    <w:rsid w:val="00346B42"/>
    <w:rsid w:val="00363546"/>
    <w:rsid w:val="003717D2"/>
    <w:rsid w:val="003C6B24"/>
    <w:rsid w:val="003D3714"/>
    <w:rsid w:val="00404D09"/>
    <w:rsid w:val="004162A7"/>
    <w:rsid w:val="00434BFF"/>
    <w:rsid w:val="004B1595"/>
    <w:rsid w:val="005720F1"/>
    <w:rsid w:val="00596989"/>
    <w:rsid w:val="005D0E4D"/>
    <w:rsid w:val="00651D0C"/>
    <w:rsid w:val="00657BF8"/>
    <w:rsid w:val="0067767B"/>
    <w:rsid w:val="006B70B8"/>
    <w:rsid w:val="00781E2D"/>
    <w:rsid w:val="007B3831"/>
    <w:rsid w:val="007C59E7"/>
    <w:rsid w:val="007D46C7"/>
    <w:rsid w:val="007F33E4"/>
    <w:rsid w:val="00810715"/>
    <w:rsid w:val="008F3D86"/>
    <w:rsid w:val="0097548D"/>
    <w:rsid w:val="009767F9"/>
    <w:rsid w:val="009A70A0"/>
    <w:rsid w:val="009D39DC"/>
    <w:rsid w:val="009E75B6"/>
    <w:rsid w:val="00A03D08"/>
    <w:rsid w:val="00A41358"/>
    <w:rsid w:val="00AF3B2E"/>
    <w:rsid w:val="00B333E4"/>
    <w:rsid w:val="00B33B6E"/>
    <w:rsid w:val="00B62247"/>
    <w:rsid w:val="00B7206C"/>
    <w:rsid w:val="00BF1252"/>
    <w:rsid w:val="00C06DD0"/>
    <w:rsid w:val="00C56D59"/>
    <w:rsid w:val="00C7467E"/>
    <w:rsid w:val="00CA2A79"/>
    <w:rsid w:val="00CC2997"/>
    <w:rsid w:val="00CC3E27"/>
    <w:rsid w:val="00D27970"/>
    <w:rsid w:val="00D65BB9"/>
    <w:rsid w:val="00DD3890"/>
    <w:rsid w:val="00E12609"/>
    <w:rsid w:val="00E20421"/>
    <w:rsid w:val="00E852D9"/>
    <w:rsid w:val="00ED41FF"/>
    <w:rsid w:val="00EE14C5"/>
    <w:rsid w:val="00F414D1"/>
    <w:rsid w:val="00F556D3"/>
    <w:rsid w:val="00FA2CD3"/>
    <w:rsid w:val="00FD03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1A6BE9-239B-4ED1-BB49-DE84202783AA}">
  <ds:schemaRefs>
    <ds:schemaRef ds:uri="http://schemas.openxmlformats.org/officeDocument/2006/bibliography"/>
  </ds:schemaRefs>
</ds:datastoreItem>
</file>

<file path=customXml/itemProps3.xml><?xml version="1.0" encoding="utf-8"?>
<ds:datastoreItem xmlns:ds="http://schemas.openxmlformats.org/officeDocument/2006/customXml" ds:itemID="{8DFA7D9D-1CEB-4FAA-A864-4DB5C0A4819C}">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50EBF222-7F34-4788-9352-335750A438AE}">
  <ds:schemaRefs>
    <ds:schemaRef ds:uri="http://schemas.microsoft.com/sharepoint/v3/contenttype/forms"/>
  </ds:schemaRefs>
</ds:datastoreItem>
</file>

<file path=customXml/itemProps5.xml><?xml version="1.0" encoding="utf-8"?>
<ds:datastoreItem xmlns:ds="http://schemas.openxmlformats.org/officeDocument/2006/customXml" ds:itemID="{2EB1B8DF-02C2-4E99-8323-B2AE8519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B for Residential Energy Consumption Survey</vt:lpstr>
    </vt:vector>
  </TitlesOfParts>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Residential Energy Consumption Survey</dc:title>
  <dc:subject>Improving the Quality and Scope of EIA Data</dc:subject>
  <dc:creator>Stroud, Lawrence</dc:creator>
  <cp:lastModifiedBy>Morales, Gerson</cp:lastModifiedBy>
  <cp:revision>7</cp:revision>
  <cp:lastPrinted>2011-12-12T20:42:00Z</cp:lastPrinted>
  <dcterms:created xsi:type="dcterms:W3CDTF">2024-07-23T16:32:00Z</dcterms:created>
  <dcterms:modified xsi:type="dcterms:W3CDTF">2024-07-25T19:40:00Z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