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76985" w:rsidRPr="002A6A47" w14:paraId="3BE9FE28" w14:textId="70C98D89">
      <w:pPr>
        <w:rPr>
          <w:b/>
          <w:bCs/>
        </w:rPr>
      </w:pPr>
      <w:r w:rsidRPr="002A6A47">
        <w:rPr>
          <w:b/>
          <w:bCs/>
        </w:rPr>
        <w:t>§ 6</w:t>
      </w:r>
      <w:r w:rsidR="0062057C">
        <w:rPr>
          <w:b/>
          <w:bCs/>
        </w:rPr>
        <w:t xml:space="preserve">0.7 </w:t>
      </w:r>
      <w:r w:rsidRPr="0062057C" w:rsidR="0062057C">
        <w:rPr>
          <w:b/>
          <w:bCs/>
        </w:rPr>
        <w:t>Notification and record keeping</w:t>
      </w:r>
      <w:r w:rsidRPr="002A6A47">
        <w:rPr>
          <w:b/>
          <w:bCs/>
        </w:rPr>
        <w:t>.</w:t>
      </w:r>
    </w:p>
    <w:p w:rsidR="0062057C" w14:paraId="18F9ED9B" w14:textId="77777777"/>
    <w:p w:rsidR="0062057C" w:rsidP="0062057C" w14:paraId="4B2A1D47" w14:textId="5F0DE5EE">
      <w:r>
        <w:t>(a)</w:t>
      </w:r>
      <w:r>
        <w:t xml:space="preserve"> </w:t>
      </w:r>
      <w:r>
        <w:t xml:space="preserve">Any owner or operator subject to the provisions of this part shall furnish the Administrator written notification or, if acceptable to both the Administrator and the owner or operator of a source, electronic notification, as follows: </w:t>
      </w:r>
    </w:p>
    <w:p w:rsidR="0062057C" w:rsidP="0062057C" w14:paraId="29B1FDCB" w14:textId="77777777"/>
    <w:p w:rsidR="0062057C" w:rsidP="0062057C" w14:paraId="43718941" w14:textId="2C6215C9">
      <w:pPr>
        <w:ind w:left="360"/>
      </w:pPr>
      <w:r>
        <w:t>(1) A notification of the date construction (or reconstruction as defined under § 60.15) of an affected facility is commenced postmarked no later than 30 days after such date. This requirement shall not apply in the case of mass-produced facilities which are purchased in completed form.</w:t>
      </w:r>
    </w:p>
    <w:p w:rsidR="0062057C" w:rsidP="0062057C" w14:paraId="6502F950" w14:textId="77777777">
      <w:pPr>
        <w:pStyle w:val="indent-2"/>
        <w:ind w:left="360"/>
      </w:pPr>
      <w:r>
        <w:rPr>
          <w:rStyle w:val="paren"/>
        </w:rPr>
        <w:t>(</w:t>
      </w:r>
      <w:r>
        <w:rPr>
          <w:rStyle w:val="paragraph-hierarchy"/>
        </w:rPr>
        <w:t>3</w:t>
      </w:r>
      <w:r>
        <w:rPr>
          <w:rStyle w:val="paren"/>
        </w:rPr>
        <w:t>)</w:t>
      </w:r>
      <w:r>
        <w:t xml:space="preserve"> A notification of the actual date of initial startup of an affected facility postmarked within 15 days after such date. </w:t>
      </w:r>
    </w:p>
    <w:p w:rsidR="0062057C" w:rsidP="0062057C" w14:paraId="3E237197" w14:textId="77777777">
      <w:pPr>
        <w:pStyle w:val="indent-2"/>
        <w:ind w:left="360"/>
      </w:pPr>
      <w:r>
        <w:rPr>
          <w:rStyle w:val="paren"/>
        </w:rPr>
        <w:t>(</w:t>
      </w:r>
      <w:r>
        <w:rPr>
          <w:rStyle w:val="paragraph-hierarchy"/>
        </w:rPr>
        <w:t>4</w:t>
      </w:r>
      <w:r>
        <w:rPr>
          <w:rStyle w:val="paren"/>
        </w:rPr>
        <w:t>)</w:t>
      </w:r>
      <w:r>
        <w:t xml:space="preserve"> A notification of any physical or operational change to an existing facility which may increase the emission rate of any air pollutant to which a standard applies, unless that change is specifically exempted under an applicable subpart or i</w:t>
      </w:r>
      <w:r w:rsidRPr="0062057C">
        <w:t xml:space="preserve">n </w:t>
      </w:r>
      <w:hyperlink r:id="rId8" w:anchor="p-60.14(e)" w:history="1">
        <w:r w:rsidRPr="0062057C">
          <w:rPr>
            <w:rStyle w:val="Hyperlink"/>
            <w:color w:val="auto"/>
            <w:u w:val="none"/>
          </w:rPr>
          <w:t>§ 60.14(e)</w:t>
        </w:r>
      </w:hyperlink>
      <w:r w:rsidRPr="0062057C">
        <w:t>. Thi</w:t>
      </w:r>
      <w:r>
        <w:t xml:space="preserve">s notice shall be postmarked 60 days or as soon as practicable before the change is commenced and shall include information describing the precise nature of the change, present and proposed emission control systems, productive capacity of the facility before and after the change, and the expected completion date of the change. The Administrator may request additional relevant information </w:t>
      </w:r>
      <w:r>
        <w:t>subsequent to</w:t>
      </w:r>
      <w:r>
        <w:t xml:space="preserve"> this notice.</w:t>
      </w:r>
    </w:p>
    <w:p w:rsidR="0062057C" w:rsidP="0062057C" w14:paraId="7E80C51A" w14:textId="093F2206">
      <w:r>
        <w:t>(b) Any owner or operator subject to the provisions of this part shall maintain records of the occurrence and duration of any startup, shutdown, or malfunction in the operation of an affected facility; any malfunction of the air pollution control equipment; or any periods during which a continuous monitoring system or monitoring device is inoperative.</w:t>
      </w:r>
    </w:p>
    <w:p w:rsidR="0062057C" w:rsidP="0062057C" w14:paraId="72C07A87" w14:textId="2349ADC0"/>
    <w:p w:rsidR="0062057C" w:rsidRPr="0062057C" w:rsidP="0062057C" w14:paraId="7DC2A8E6" w14:textId="18FBA5B7">
      <w:pPr>
        <w:rPr>
          <w:b/>
          <w:bCs/>
        </w:rPr>
      </w:pPr>
      <w:r w:rsidRPr="0062057C">
        <w:rPr>
          <w:b/>
          <w:bCs/>
        </w:rPr>
        <w:t>§60.8</w:t>
      </w:r>
      <w:r w:rsidRPr="0062057C">
        <w:rPr>
          <w:b/>
          <w:bCs/>
        </w:rPr>
        <w:t xml:space="preserve"> </w:t>
      </w:r>
      <w:r w:rsidRPr="0062057C">
        <w:rPr>
          <w:b/>
          <w:bCs/>
        </w:rPr>
        <w:t>Performance tests.</w:t>
      </w:r>
    </w:p>
    <w:p w:rsidR="0062057C" w:rsidP="0062057C" w14:paraId="5DCF353E" w14:textId="77777777"/>
    <w:p w:rsidR="0062057C" w:rsidP="0062057C" w14:paraId="713A6B81" w14:textId="77777777">
      <w:r>
        <w:t xml:space="preserve">(a) Except as specified in paragraphs (a)(1),(a)(2), (a)(3), and (a)(4) of this section, within 60 days after achieving the maximum production rate at which the affected facility will be operated, but not later than 180 days after initial startup of such facility, or at such other times specified by this part, and at such other times as may be required by the Administrator under section 114 of the Act, the owner or operator of such facility shall conduct performance test(s) and furnish the Administrator a written report of the results of such performance test(s). </w:t>
      </w:r>
    </w:p>
    <w:p w:rsidR="0062057C" w:rsidP="0062057C" w14:paraId="693B27DA" w14:textId="77777777"/>
    <w:p w:rsidR="0062057C" w:rsidP="0062057C" w14:paraId="1D74B6EE" w14:textId="77777777">
      <w:pPr>
        <w:ind w:left="180"/>
      </w:pPr>
      <w:r>
        <w:t xml:space="preserve">(1) If a force majeure is about to occur, occurs, or has occurred for which the affected owner or operator intends to assert a claim of force majeure, the owner or operator shall notify the Administrator, in writing as soon as practicable following the date the owner or operator first knew, or through due diligence should have known that the event may cause or caused a delay in testing beyond the regulatory deadline, but the notification must occur before the performance test deadline unless the initial force majeure or a subsequent force majeure event delays the notice, and in such cases, the notification shall occur as soon as practicable. </w:t>
      </w:r>
    </w:p>
    <w:p w:rsidR="0062057C" w:rsidP="0062057C" w14:paraId="219A8F0C" w14:textId="77777777">
      <w:pPr>
        <w:ind w:left="180"/>
      </w:pPr>
    </w:p>
    <w:p w:rsidR="0062057C" w:rsidP="0062057C" w14:paraId="416E76E2" w14:textId="77777777">
      <w:pPr>
        <w:ind w:left="180"/>
      </w:pPr>
      <w:r>
        <w:t xml:space="preserve">(2) The owner or operator shall provide to the Administrator a written description of the force majeure event and a rationale for attributing the delay in testing beyond the regulatory deadline to the force majeure; describe the measures taken or to be taken to minimize the delay; and identify a date by which the owner or operator proposes to conduct the performance test. The performance test shall be conducted as soon as practicable after the force majeure occurs. </w:t>
      </w:r>
    </w:p>
    <w:p w:rsidR="0062057C" w:rsidP="0062057C" w14:paraId="45D3866E" w14:textId="77777777">
      <w:pPr>
        <w:ind w:left="180"/>
      </w:pPr>
    </w:p>
    <w:p w:rsidR="0062057C" w:rsidP="0062057C" w14:paraId="5ED90AFE" w14:textId="77777777">
      <w:pPr>
        <w:ind w:left="180"/>
      </w:pPr>
      <w:r>
        <w:t xml:space="preserve">(3) The decision as to </w:t>
      </w:r>
      <w:r>
        <w:t>whether or not</w:t>
      </w:r>
      <w:r>
        <w:t xml:space="preserve"> to grant an extension to the performance test deadline is solely within the discretion of the Administrator. The Administrator will notify the owner or operator in writing of approval or disapproval of the request for an extension as soon as practicable. </w:t>
      </w:r>
    </w:p>
    <w:p w:rsidR="0062057C" w:rsidP="0062057C" w14:paraId="478794BB" w14:textId="77777777">
      <w:pPr>
        <w:ind w:left="180"/>
      </w:pPr>
    </w:p>
    <w:p w:rsidR="0062057C" w:rsidP="0062057C" w14:paraId="51F8D258" w14:textId="37619756">
      <w:pPr>
        <w:ind w:left="180"/>
      </w:pPr>
      <w:r>
        <w:t>(4) Until an extension of the performance test deadline has been approved by the Administrator under paragraphs (a)(1), (2), and (3) of this section, the owner or operator of the affected facility remains strictly subject to the requirements of this part.</w:t>
      </w:r>
    </w:p>
    <w:p w:rsidR="0062057C" w:rsidP="0062057C" w14:paraId="3F50CAA3" w14:textId="77777777"/>
    <w:p w:rsidR="0062057C" w:rsidP="0062057C" w14:paraId="56BC5DA1" w14:textId="3ECFD6FC">
      <w:r>
        <w:t xml:space="preserve">(d) The owner or operator of an affected facility shall provide the Administrator at least 30 days prior notice of any performance test, except as specified under other subparts, to afford the Administrator the opportunity to have an observer present. If after 30 </w:t>
      </w:r>
      <w:r>
        <w:t>days notice</w:t>
      </w:r>
      <w:r>
        <w:t xml:space="preserve"> for an initially scheduled performance test, there is a delay (due to operational problems, etc.) in conducting the scheduled performance test, the owner or operator of an affected facility shall notify the Administrator (or delegated State or local agency) as soon as possible of any delay in the original test date, either by providing at least 7 days prior notice of the rescheduled date of the performance test, or by arranging a rescheduled date with the Administrator (or delegated State or local agency) by mutual agreement</w:t>
      </w:r>
      <w:r>
        <w:t>.</w:t>
      </w:r>
    </w:p>
    <w:p w:rsidR="0062057C" w:rsidP="0062057C" w14:paraId="1360C667" w14:textId="77777777"/>
    <w:p w:rsidR="0062057C" w:rsidP="0062057C" w14:paraId="02A819E4" w14:textId="77777777">
      <w:r>
        <w:t xml:space="preserve">(g) The performance testing shall include a test method performance audit (PA) during the performance test. The PAs consist of blind audit samples supplied by an accredited audit sample provider and analyzed during the performance test </w:t>
      </w:r>
      <w:r>
        <w:t>in order to</w:t>
      </w:r>
      <w:r>
        <w:t xml:space="preserve"> provide a measure of test data bias. Gaseous audit samples are designed to audit the performance of the sampling system as well as the analytical system and must be collected by the sampling system during the compliance test just as the compliance samples are collected. If a liquid or solid audit sample is designed to audit the sampling system, it must also be collected by the sampling system during the compliance test. If multiple sampling systems or sampling trains are used during the compliance test for any of the test methods, the tester is only required to use one of the sampling systems per method to collect the audit sample. The audit sample must be analyzed by the same analyst using the same analytical reagents and analytical system and at the same time as the compliance samples. Retests are required when there is a failure to produce acceptable results for an audit sample. However, if the audit results do not affect the compliance or noncompliance status of the affected facility, the compliance authority may waive the reanalysis requirement, further audits, or retests and accept the results of the compliance test. Acceptance of the test results shall constitute a waiver of the reanalysis requirement, further audits, or retests. The compliance authority may also use the audit sample failure and the compliance test results as evidence to determine the compliance or noncompliance status of the affected facility. A blind audit sample is a sample whose value is known only to the sample provider and is not revealed to the tested facility until after they report the measured value of the audit sample. For pollutants that exist in the gas phase at ambient temperature, the audit sample shall consist of an appropriate concentration of the pollutant in air or nitrogen that can be introduced into the sampling system of the test method at or near the same entry point as a sample from the emission source. If no gas phase audit samples are available, an acceptable alternative is a sample of the pollutant in the same matrix that would be produced when the sample is recovered from the sampling system as required by the test method. For samples that exist only in a liquid or solid form at ambient temperature, the audit sample shall consist of an appropriate concentration of the pollutant in the same matrix that would be produced when the sample is recovered from the sampling system as required by the test method. An accredited audit sample provider (AASP) is an organization that has been accredited to prepare audit samples by an independent, </w:t>
      </w:r>
      <w:r>
        <w:t>third party</w:t>
      </w:r>
      <w:r>
        <w:t xml:space="preserve"> accrediting body. </w:t>
      </w:r>
    </w:p>
    <w:p w:rsidR="0062057C" w:rsidP="0062057C" w14:paraId="05F5E359" w14:textId="77777777"/>
    <w:p w:rsidR="0062057C" w:rsidP="0062057C" w14:paraId="451F848E" w14:textId="77777777">
      <w:pPr>
        <w:ind w:left="180"/>
      </w:pPr>
      <w:r>
        <w:t xml:space="preserve">(1) The source owner, operator, or representative of the tested facility shall obtain an audit sample, if commercially available, from an AASP for each test method used for regulatory compliance purposes. No audit samples are required for the following test methods: Methods 3A and 3C of appendix A-3 of part 60, Methods 6C, 7E, 9, and 10 of appendix A-4 of part 60, Methods 18 and 19 of appendix A-6 of part 60, Methods 20, 22, and 25A of appendix A-7 of part 60, Methods 30A and 30B of appendix A-8 of part 60, and Methods 303, 318, 320, and 321 of appendix A of part 63 of this chapter. If multiple sources at a single facility are tested during a compliance test event, only one audit sample is required for each method used during a compliance test. The compliance authority responsible for the compliance test may waive the requirement to include an audit sample if they believe that an audit sample is not necessary. “Commercially available” means that two or more independent AASPs have blind audit samples available for purchase. If the source owner, operator, or representative cannot find an audit sample for a specific method, the owner, operator, or representative shall consult the EPA Web site at the following URL, www.epa.gov/ttn/emc, to confirm whether there is a source that can supply an audit sample for that method. If the EPA Web site does not list an available audit sample at least 60 days prior to the beginning of the compliance test, the source owner, operator, or representative shall not be required to include an audit sample as part of the quality assurance program for the compliance test. When ordering an audit sample, the source owner, operator, or representative shall give the sample provider an estimate for the concentration of each pollutant that is emitted by the </w:t>
      </w:r>
      <w:r>
        <w:t>source</w:t>
      </w:r>
      <w:r>
        <w:t xml:space="preserve"> or the estimated concentration of each pollutant based on the permitted level and the name, address, and phone number of the compliance authority. The source owner, operator, or representative shall report the results for the audit sample along with a summary of the emission test results for the audited pollutant to the compliance authority and shall report the results of the audit sample to the AASP. The source owner, operator, or representative shall make both reports at the same time and in the same manner or shall report to the compliance authority first and then report to the AASP. If the method being audited is a method that allows the samples to be analyzed in the field and the tester plans to analyze the samples in the field, the tester may analyze the audit samples prior to collecting the emission samples provided a representative of the compliance authority is present at the testing site. The tester may </w:t>
      </w:r>
      <w:r>
        <w:t>request</w:t>
      </w:r>
      <w:r>
        <w:t xml:space="preserve"> and the compliance authority may grant a waiver to the requirement that a representative of the compliance authority must be present at the testing site during the field analysis of an audit sample. The source owner, operator, or representative may report the results of the audit sample to the compliance authority and report the results of the audit sample to the AASP prior to collecting any emission samples. The test protocol and final test report shall document whether an audit sample was ordered and utilized and the pass/fail results as applicable. </w:t>
      </w:r>
    </w:p>
    <w:p w:rsidR="0062057C" w:rsidP="0062057C" w14:paraId="652D2765" w14:textId="77777777">
      <w:pPr>
        <w:ind w:left="180"/>
      </w:pPr>
    </w:p>
    <w:p w:rsidR="0062057C" w:rsidP="0062057C" w14:paraId="104D4D39" w14:textId="77777777">
      <w:pPr>
        <w:ind w:left="180"/>
      </w:pPr>
      <w:r>
        <w:t xml:space="preserve">(2) An AASP shall have and shall prepare, analyze, and report the true value of audit samples in accordance with a written technical criteria document that describes how audit samples will be prepared and distributed in a manner that will ensure the integrity of the audit sample program. An acceptable technical criteria document shall contain standard operating procedures for </w:t>
      </w:r>
      <w:r>
        <w:t>all of</w:t>
      </w:r>
      <w:r>
        <w:t xml:space="preserve"> the following operations: </w:t>
      </w:r>
    </w:p>
    <w:p w:rsidR="0062057C" w:rsidP="0062057C" w14:paraId="00983D08" w14:textId="77777777">
      <w:pPr>
        <w:ind w:left="180"/>
      </w:pPr>
    </w:p>
    <w:p w:rsidR="0062057C" w:rsidP="0062057C" w14:paraId="6B6A0DA8" w14:textId="77777777">
      <w:pPr>
        <w:ind w:left="180"/>
      </w:pPr>
      <w:r>
        <w:t>(</w:t>
      </w:r>
      <w:r>
        <w:t>i</w:t>
      </w:r>
      <w:r>
        <w:t xml:space="preserve">) Preparing the sample; </w:t>
      </w:r>
    </w:p>
    <w:p w:rsidR="0062057C" w:rsidP="0062057C" w14:paraId="5E9AD73F" w14:textId="77777777">
      <w:pPr>
        <w:ind w:left="180"/>
      </w:pPr>
    </w:p>
    <w:p w:rsidR="0062057C" w:rsidP="0062057C" w14:paraId="754082F2" w14:textId="77777777">
      <w:pPr>
        <w:ind w:left="180"/>
      </w:pPr>
      <w:r>
        <w:t xml:space="preserve">(ii) Confirming the true concentration of the sample; </w:t>
      </w:r>
    </w:p>
    <w:p w:rsidR="0062057C" w:rsidP="0062057C" w14:paraId="46EC6FCE" w14:textId="77777777">
      <w:pPr>
        <w:ind w:left="180"/>
      </w:pPr>
    </w:p>
    <w:p w:rsidR="0062057C" w:rsidP="0062057C" w14:paraId="778A0F45" w14:textId="77777777">
      <w:pPr>
        <w:ind w:left="180"/>
      </w:pPr>
      <w:r>
        <w:t xml:space="preserve">(iii) Defining the acceptance limits for the results from a </w:t>
      </w:r>
      <w:r>
        <w:t>well qualified</w:t>
      </w:r>
      <w:r>
        <w:t xml:space="preserve"> tester. This procedure must use well established statistical methods to analyze historical results from well qualified testers. The acceptance limits shall be set so that there is 95 percent confidence that 90 percent of well qualified labs will produce future results that are within the acceptance limit range. </w:t>
      </w:r>
    </w:p>
    <w:p w:rsidR="0062057C" w:rsidP="0062057C" w14:paraId="0678B751" w14:textId="77777777">
      <w:pPr>
        <w:ind w:left="180"/>
      </w:pPr>
    </w:p>
    <w:p w:rsidR="0062057C" w:rsidP="0062057C" w14:paraId="601D4B9B" w14:textId="77777777">
      <w:pPr>
        <w:ind w:left="180"/>
      </w:pPr>
      <w:r>
        <w:t xml:space="preserve">(iv) Providing the opportunity for the compliance authority to comment on the selected concentration level for an audit sample; </w:t>
      </w:r>
    </w:p>
    <w:p w:rsidR="0062057C" w:rsidP="0062057C" w14:paraId="5EEA6774" w14:textId="77777777">
      <w:pPr>
        <w:ind w:left="180"/>
      </w:pPr>
    </w:p>
    <w:p w:rsidR="0062057C" w:rsidP="0062057C" w14:paraId="618FA76D" w14:textId="77777777">
      <w:pPr>
        <w:ind w:left="180"/>
      </w:pPr>
      <w:r>
        <w:t xml:space="preserve">(v) Distributing the sample to the user in a manner that guarantees that the true value of the sample is unknown to the user; </w:t>
      </w:r>
    </w:p>
    <w:p w:rsidR="0062057C" w:rsidP="0062057C" w14:paraId="5F16FC14" w14:textId="77777777">
      <w:pPr>
        <w:ind w:left="180"/>
      </w:pPr>
    </w:p>
    <w:p w:rsidR="0062057C" w:rsidP="0062057C" w14:paraId="0FD1724C" w14:textId="77777777">
      <w:pPr>
        <w:ind w:left="180"/>
      </w:pPr>
      <w:r>
        <w:t xml:space="preserve">(vi) Recording the measured concentration reported by the user and determining if the measured value is within acceptable limits; </w:t>
      </w:r>
    </w:p>
    <w:p w:rsidR="0062057C" w:rsidP="0062057C" w14:paraId="711A77B7" w14:textId="77777777">
      <w:pPr>
        <w:ind w:left="180"/>
      </w:pPr>
    </w:p>
    <w:p w:rsidR="0062057C" w:rsidP="0062057C" w14:paraId="1F6FAAD5" w14:textId="77777777">
      <w:pPr>
        <w:ind w:left="180"/>
      </w:pPr>
      <w:r>
        <w:t xml:space="preserve">(vii) The AASP shall report the results from each audit sample in a timely manner to the compliance authority and then to the source owner, operator, or representative. The AASP shall make both reports at the same time and in the same manner or shall report to the compliance authority first and then report to the source owner, operator, or representative. The results shall include the name of the facility tested, the date on which the compliance test was conducted, the name of the company performing the sample collection, the name of the company that analyzed the compliance samples including the audit sample, the measured result for the audit sample, and whether the testing company passed or failed the audit. The AASP shall report the true value of the audit sample to the compliance authority. The AASP may report the true value to the source owner, operator, or representative if the AASP's operating plan ensures that no laboratory will receive the same audit sample twice. </w:t>
      </w:r>
    </w:p>
    <w:p w:rsidR="0062057C" w:rsidP="0062057C" w14:paraId="19F970E4" w14:textId="77777777">
      <w:pPr>
        <w:ind w:left="180"/>
      </w:pPr>
    </w:p>
    <w:p w:rsidR="0062057C" w:rsidP="0062057C" w14:paraId="116CA78F" w14:textId="77777777">
      <w:pPr>
        <w:ind w:left="180"/>
      </w:pPr>
      <w:r>
        <w:t xml:space="preserve">(viii) Evaluating the acceptance limits of samples at least once every two years to determine in cooperation with the voluntary consensus standard body if they should be changed; </w:t>
      </w:r>
    </w:p>
    <w:p w:rsidR="0062057C" w:rsidP="0062057C" w14:paraId="1064CC6E" w14:textId="77777777">
      <w:pPr>
        <w:ind w:left="180"/>
      </w:pPr>
    </w:p>
    <w:p w:rsidR="0062057C" w:rsidP="0062057C" w14:paraId="06034346" w14:textId="77777777">
      <w:pPr>
        <w:ind w:left="180"/>
      </w:pPr>
      <w:r>
        <w:t xml:space="preserve">(ix) Maintaining a database, accessible to the compliance authorities, of results from the audit that shall include the name of the facility tested, the date on which the compliance test was conducted, the name of the company performing the sample collection, the name of the company that analyzed the compliance samples including the audit sample, the measured result for the audit sample, the true value of the audit sample, the acceptance range for the measured value, and whether the testing company passed or failed the audit. </w:t>
      </w:r>
    </w:p>
    <w:p w:rsidR="0062057C" w:rsidP="0062057C" w14:paraId="46388775" w14:textId="77777777">
      <w:pPr>
        <w:ind w:left="180"/>
      </w:pPr>
    </w:p>
    <w:p w:rsidR="0062057C" w:rsidP="0062057C" w14:paraId="01B161BC" w14:textId="77777777">
      <w:pPr>
        <w:ind w:left="180"/>
      </w:pPr>
      <w:r>
        <w:t xml:space="preserve">(3) The accrediting body shall have a written technical criteria document that describes how it will ensure that the AASP is operating in accordance with the AASP technical criteria document that describes how audit samples are to be prepared and distributed. This document shall contain standard operating procedures for </w:t>
      </w:r>
      <w:r>
        <w:t>all of</w:t>
      </w:r>
      <w:r>
        <w:t xml:space="preserve"> the following operations: </w:t>
      </w:r>
    </w:p>
    <w:p w:rsidR="0062057C" w:rsidP="0062057C" w14:paraId="0CFF0EB1" w14:textId="77777777">
      <w:pPr>
        <w:ind w:left="180"/>
      </w:pPr>
    </w:p>
    <w:p w:rsidR="0062057C" w:rsidP="0062057C" w14:paraId="2FE341EB" w14:textId="77777777">
      <w:pPr>
        <w:ind w:left="180"/>
      </w:pPr>
      <w:r>
        <w:t>(</w:t>
      </w:r>
      <w:r>
        <w:t>i</w:t>
      </w:r>
      <w:r>
        <w:t xml:space="preserve">) Checking audit samples to confirm their true value as reported by the AASP; </w:t>
      </w:r>
    </w:p>
    <w:p w:rsidR="0062057C" w:rsidP="0062057C" w14:paraId="3C64A5E2" w14:textId="77777777">
      <w:pPr>
        <w:ind w:left="180"/>
      </w:pPr>
    </w:p>
    <w:p w:rsidR="0062057C" w:rsidP="0062057C" w14:paraId="7C3CB1AB" w14:textId="77777777">
      <w:pPr>
        <w:ind w:left="180"/>
      </w:pPr>
      <w:r>
        <w:t xml:space="preserve">(ii) Performing technical systems audits of the AASP's facilities and operating procedures at least once every two years; </w:t>
      </w:r>
    </w:p>
    <w:p w:rsidR="0062057C" w:rsidP="0062057C" w14:paraId="3F78D81E" w14:textId="77777777">
      <w:pPr>
        <w:ind w:left="180"/>
      </w:pPr>
    </w:p>
    <w:p w:rsidR="0062057C" w:rsidP="0062057C" w14:paraId="1A07DF6D" w14:textId="77777777">
      <w:pPr>
        <w:ind w:left="180"/>
      </w:pPr>
      <w:r>
        <w:t xml:space="preserve">(iii) Providing standards for use by the voluntary consensus standard body to approve the accrediting body that will accredit the audit sample providers. </w:t>
      </w:r>
    </w:p>
    <w:p w:rsidR="0062057C" w:rsidP="0062057C" w14:paraId="3B131AFC" w14:textId="77777777">
      <w:pPr>
        <w:ind w:left="180"/>
      </w:pPr>
    </w:p>
    <w:p w:rsidR="0062057C" w:rsidP="009B2309" w14:paraId="07E614EE" w14:textId="560902F1">
      <w:pPr>
        <w:ind w:left="180"/>
      </w:pPr>
      <w:r>
        <w:t>(4) The technical criteria documents for the accredited sample providers and the accrediting body shall be developed through a public process guided by a voluntary consensus standards body (VCSB). The VCSB shall operate in accordance with the procedures and requirements in the Office of Management and Budget Circular A-119. A copy of Circular A-119 is available upon request by writing the Office of Information and Regulatory Affairs, Office of Management and Budget, 725 17th Street, NW., Washington, DC 20503, by calling (202) 395-6880 or downloading online at http://standards.gov/standards__gov/a119.cfm. The VCSB shall approve all accrediting bodies. The Administrator will review all technical criteria documents. If the technical criteria documents do not meet the minimum technical requirements in paragraphs (g)(2) through (</w:t>
      </w:r>
      <w:r>
        <w:t>4)of</w:t>
      </w:r>
      <w:r>
        <w:t xml:space="preserve"> this section, the technical criteria documents are not acceptable and the proposed audit sample program is not capable of producing audit samples of sufficient quality to be used in a compliance test. All acceptable technical criteria documents shall be posted on the EPA Web site at the following URL, http://www.epa.gov/ttn/emc.</w:t>
      </w:r>
    </w:p>
    <w:p w:rsidR="0062057C" w:rsidP="0062057C" w14:paraId="6F01E37F" w14:textId="77777777"/>
    <w:p w:rsidR="009B2309" w:rsidRPr="009B2309" w:rsidP="0062057C" w14:paraId="0C741B65" w14:textId="0A6ACD79">
      <w:pPr>
        <w:rPr>
          <w:b/>
          <w:bCs/>
        </w:rPr>
      </w:pPr>
      <w:r w:rsidRPr="009B2309">
        <w:rPr>
          <w:b/>
          <w:bCs/>
        </w:rPr>
        <w:t>§60.502</w:t>
      </w:r>
      <w:r w:rsidRPr="009B2309">
        <w:rPr>
          <w:b/>
          <w:bCs/>
        </w:rPr>
        <w:t xml:space="preserve"> </w:t>
      </w:r>
      <w:r w:rsidRPr="009B2309">
        <w:rPr>
          <w:b/>
          <w:bCs/>
        </w:rPr>
        <w:t>Standard for Volatile Organic Compound (VOC) emissions from bulk gasoline terminals.</w:t>
      </w:r>
    </w:p>
    <w:p w:rsidR="009B2309" w:rsidP="009B2309" w14:paraId="0BC92225" w14:textId="77777777"/>
    <w:p w:rsidR="009B2309" w:rsidP="009B2309" w14:paraId="3E2F9FD0" w14:textId="77777777">
      <w:r>
        <w:t xml:space="preserve">(e) Loadings of liquid product into gasoline tank trucks shall be limited to vapor-tight gasoline tank trucks using the following procedures: </w:t>
      </w:r>
    </w:p>
    <w:p w:rsidR="009B2309" w:rsidP="009B2309" w14:paraId="4412B525" w14:textId="77777777"/>
    <w:p w:rsidR="009B2309" w:rsidP="009B2309" w14:paraId="21493134" w14:textId="77777777">
      <w:pPr>
        <w:ind w:left="180"/>
      </w:pPr>
      <w:r>
        <w:t>(1) The owner or operator shall obtain the vapor tightness documentation described in §60.505(b) for each gasoline tank truck which is to be loaded at the affected facility.</w:t>
      </w:r>
    </w:p>
    <w:p w:rsidR="009B2309" w:rsidP="009B2309" w14:paraId="74407793" w14:textId="77777777">
      <w:pPr>
        <w:pStyle w:val="indent-2"/>
        <w:ind w:left="180"/>
        <w:rPr>
          <w:rStyle w:val="paren"/>
        </w:rPr>
      </w:pPr>
      <w:r>
        <w:t>(2) The owner or operator shall require the tank identification number to be recorded as each gasoline tank truck is loaded at the affected facility.</w:t>
      </w:r>
    </w:p>
    <w:p w:rsidR="009B2309" w:rsidP="009B2309" w14:paraId="2FE0F021" w14:textId="61898858">
      <w:pPr>
        <w:pStyle w:val="indent-2"/>
        <w:ind w:left="180"/>
      </w:pPr>
      <w:r>
        <w:rPr>
          <w:rStyle w:val="paren"/>
        </w:rPr>
        <w:t>(</w:t>
      </w:r>
      <w:r>
        <w:rPr>
          <w:rStyle w:val="paragraph-hierarchy"/>
        </w:rPr>
        <w:t>4</w:t>
      </w:r>
      <w:r>
        <w:rPr>
          <w:rStyle w:val="paren"/>
        </w:rPr>
        <w:t>)</w:t>
      </w:r>
      <w:r>
        <w:t xml:space="preserve"> The terminal owner or operator shall notify the owner or operator of each non-vapor-tight gasoline tank truck loaded at the affected facility within 1 week of the documentation cross-check in</w:t>
      </w:r>
      <w:r w:rsidRPr="009B2309">
        <w:t xml:space="preserve"> </w:t>
      </w:r>
      <w:hyperlink r:id="rId9" w:anchor="p-60.502(e)(3)" w:history="1">
        <w:r w:rsidRPr="009B2309">
          <w:rPr>
            <w:rStyle w:val="Hyperlink"/>
            <w:color w:val="auto"/>
            <w:u w:val="none"/>
          </w:rPr>
          <w:t>paragraph (e)(3)</w:t>
        </w:r>
      </w:hyperlink>
      <w:r w:rsidRPr="009B2309">
        <w:t xml:space="preserve"> o</w:t>
      </w:r>
      <w:r>
        <w:t>f this section.</w:t>
      </w:r>
    </w:p>
    <w:p w:rsidR="0062057C" w:rsidP="009B2309" w14:paraId="58992892" w14:textId="7E7C1329">
      <w:r>
        <w:t>(</w:t>
      </w:r>
      <w:r>
        <w:t xml:space="preserve">j) Each calendar month, the vapor collection system, the vapor processing system, and each loading rack handling gasoline shall be inspected during the loading of gasoline tank trucks for total organic compounds liquid or vapor leaks. For purposes of this paragraph, detection methods incorporating sight, sound, or smell are acceptable. Each detection of a leak shall be </w:t>
      </w:r>
      <w:r>
        <w:t>recorded</w:t>
      </w:r>
      <w:r>
        <w:t xml:space="preserve"> and the source of the leak repaired within 15 calendar days after it is detected.</w:t>
      </w:r>
    </w:p>
    <w:p w:rsidR="009B2309" w:rsidP="0062057C" w14:paraId="2F69740B" w14:textId="77777777"/>
    <w:p w:rsidR="009B2309" w:rsidRPr="009B2309" w:rsidP="009B2309" w14:paraId="2CD2C698" w14:textId="77777777">
      <w:pPr>
        <w:rPr>
          <w:b/>
          <w:bCs/>
        </w:rPr>
      </w:pPr>
      <w:r w:rsidRPr="009B2309">
        <w:rPr>
          <w:b/>
          <w:bCs/>
        </w:rPr>
        <w:t>§ 60.505 Reporting and recordkeeping.</w:t>
      </w:r>
    </w:p>
    <w:p w:rsidR="009B2309" w:rsidP="009B2309" w14:paraId="2D19731C" w14:textId="77777777"/>
    <w:p w:rsidR="009B2309" w:rsidP="009B2309" w14:paraId="4461D45C" w14:textId="77777777">
      <w:r>
        <w:t xml:space="preserve">(a) The tank truck vapor tightness documentation required under § 60.502(e)(1) shall be kept on file at the terminal in a permanent form available for inspection. </w:t>
      </w:r>
    </w:p>
    <w:p w:rsidR="009B2309" w:rsidP="009B2309" w14:paraId="781CA96E" w14:textId="77777777"/>
    <w:p w:rsidR="009B2309" w:rsidP="009B2309" w14:paraId="7E9CE342" w14:textId="77777777">
      <w:r>
        <w:t xml:space="preserve">(b) The documentation file for each gasoline tank truck shall be updated at least once per year to reflect current test results as determined by Method 27. This documentation shall include, as a minimum, the following information: </w:t>
      </w:r>
    </w:p>
    <w:p w:rsidR="009B2309" w:rsidP="009B2309" w14:paraId="63C75662" w14:textId="77777777"/>
    <w:p w:rsidR="009B2309" w:rsidP="009B2309" w14:paraId="7149CDBB" w14:textId="77777777">
      <w:pPr>
        <w:ind w:left="180"/>
      </w:pPr>
      <w:r>
        <w:t xml:space="preserve">(1) Test title: Gasoline Delivery Tank Pressure Test—EPA Reference Method 27. </w:t>
      </w:r>
    </w:p>
    <w:p w:rsidR="009B2309" w:rsidP="009B2309" w14:paraId="376680DC" w14:textId="77777777">
      <w:pPr>
        <w:ind w:left="180"/>
      </w:pPr>
    </w:p>
    <w:p w:rsidR="009B2309" w:rsidP="009B2309" w14:paraId="726A508F" w14:textId="77777777">
      <w:pPr>
        <w:ind w:left="180"/>
      </w:pPr>
      <w:r>
        <w:t xml:space="preserve">(2) Tank owner and address. </w:t>
      </w:r>
    </w:p>
    <w:p w:rsidR="009B2309" w:rsidP="009B2309" w14:paraId="73A17994" w14:textId="77777777">
      <w:pPr>
        <w:ind w:left="180"/>
      </w:pPr>
    </w:p>
    <w:p w:rsidR="009B2309" w:rsidP="009B2309" w14:paraId="14C217E2" w14:textId="77777777">
      <w:pPr>
        <w:ind w:left="180"/>
      </w:pPr>
      <w:r>
        <w:t xml:space="preserve">(3) Tank identification number. </w:t>
      </w:r>
    </w:p>
    <w:p w:rsidR="009B2309" w:rsidP="009B2309" w14:paraId="751AE8FA" w14:textId="77777777">
      <w:pPr>
        <w:ind w:left="180"/>
      </w:pPr>
    </w:p>
    <w:p w:rsidR="009B2309" w:rsidP="009B2309" w14:paraId="2468C1A6" w14:textId="77777777">
      <w:pPr>
        <w:ind w:left="180"/>
      </w:pPr>
      <w:r>
        <w:t xml:space="preserve">(4) Testing location. </w:t>
      </w:r>
    </w:p>
    <w:p w:rsidR="009B2309" w:rsidP="009B2309" w14:paraId="61D9B679" w14:textId="77777777">
      <w:pPr>
        <w:ind w:left="180"/>
      </w:pPr>
    </w:p>
    <w:p w:rsidR="009B2309" w:rsidP="009B2309" w14:paraId="783A307F" w14:textId="77777777">
      <w:pPr>
        <w:ind w:left="180"/>
      </w:pPr>
      <w:r>
        <w:t xml:space="preserve">(5) Date of test. </w:t>
      </w:r>
    </w:p>
    <w:p w:rsidR="009B2309" w:rsidP="009B2309" w14:paraId="6B637198" w14:textId="77777777">
      <w:pPr>
        <w:ind w:left="180"/>
      </w:pPr>
    </w:p>
    <w:p w:rsidR="009B2309" w:rsidP="009B2309" w14:paraId="6109BEFD" w14:textId="77777777">
      <w:pPr>
        <w:ind w:left="180"/>
      </w:pPr>
      <w:r>
        <w:t xml:space="preserve">(6) Tester name and signature. </w:t>
      </w:r>
    </w:p>
    <w:p w:rsidR="009B2309" w:rsidP="009B2309" w14:paraId="4DF0E9F8" w14:textId="77777777">
      <w:pPr>
        <w:ind w:left="180"/>
      </w:pPr>
    </w:p>
    <w:p w:rsidR="009B2309" w:rsidP="009B2309" w14:paraId="2E4CA4D0" w14:textId="77777777">
      <w:pPr>
        <w:ind w:left="180"/>
      </w:pPr>
      <w:r>
        <w:t xml:space="preserve">(7) Witnessing inspector, if any: Name, signature, and affiliation. </w:t>
      </w:r>
    </w:p>
    <w:p w:rsidR="009B2309" w:rsidP="009B2309" w14:paraId="4D5B919C" w14:textId="77777777">
      <w:pPr>
        <w:ind w:left="180"/>
      </w:pPr>
    </w:p>
    <w:p w:rsidR="009B2309" w:rsidP="009B2309" w14:paraId="4CEDE38A" w14:textId="77777777">
      <w:pPr>
        <w:ind w:left="180"/>
      </w:pPr>
      <w:r>
        <w:t xml:space="preserve">(8) Test results: Actual pressure change in 5 minutes, mm of water (average for 2 runs). </w:t>
      </w:r>
    </w:p>
    <w:p w:rsidR="009B2309" w:rsidP="009B2309" w14:paraId="5D3F051D" w14:textId="77777777"/>
    <w:p w:rsidR="009B2309" w:rsidP="009B2309" w14:paraId="55B41D86" w14:textId="77777777">
      <w:r>
        <w:t xml:space="preserve">(c) A record of each monthly leak inspection required under § 60.502(j) shall be kept on file at the terminal for at least 2 years. Inspection records shall include, as a minimum, the following information: </w:t>
      </w:r>
    </w:p>
    <w:p w:rsidR="009B2309" w:rsidP="009B2309" w14:paraId="79DD7E69" w14:textId="77777777">
      <w:pPr>
        <w:ind w:left="270"/>
      </w:pPr>
    </w:p>
    <w:p w:rsidR="009B2309" w:rsidP="009B2309" w14:paraId="41476F17" w14:textId="77777777">
      <w:pPr>
        <w:ind w:left="270"/>
      </w:pPr>
      <w:r>
        <w:t xml:space="preserve">(1) Date of inspection. </w:t>
      </w:r>
    </w:p>
    <w:p w:rsidR="009B2309" w:rsidP="009B2309" w14:paraId="6C7DA363" w14:textId="77777777">
      <w:pPr>
        <w:ind w:left="270"/>
      </w:pPr>
    </w:p>
    <w:p w:rsidR="009B2309" w:rsidP="009B2309" w14:paraId="2AF20B98" w14:textId="77777777">
      <w:pPr>
        <w:ind w:left="270"/>
      </w:pPr>
      <w:r>
        <w:t xml:space="preserve">(2) Findings (may indicate no leaks discovered; or location, nature, and severity of each leak). </w:t>
      </w:r>
    </w:p>
    <w:p w:rsidR="009B2309" w:rsidP="009B2309" w14:paraId="22B39F29" w14:textId="77777777">
      <w:pPr>
        <w:ind w:left="270"/>
      </w:pPr>
    </w:p>
    <w:p w:rsidR="009B2309" w:rsidP="009B2309" w14:paraId="5FEDB2AC" w14:textId="77777777">
      <w:pPr>
        <w:ind w:left="270"/>
      </w:pPr>
      <w:r>
        <w:t xml:space="preserve">(3) Leak determination method. </w:t>
      </w:r>
    </w:p>
    <w:p w:rsidR="009B2309" w:rsidP="009B2309" w14:paraId="3CEC54F7" w14:textId="77777777">
      <w:pPr>
        <w:ind w:left="270"/>
      </w:pPr>
    </w:p>
    <w:p w:rsidR="009B2309" w:rsidP="009B2309" w14:paraId="51845176" w14:textId="77777777">
      <w:pPr>
        <w:ind w:left="270"/>
      </w:pPr>
      <w:r>
        <w:t xml:space="preserve">(4) Corrective action (date each leak repaired; reasons for any repair interval </w:t>
      </w:r>
      <w:r>
        <w:t>in excess of</w:t>
      </w:r>
      <w:r>
        <w:t xml:space="preserve"> 15 days). </w:t>
      </w:r>
    </w:p>
    <w:p w:rsidR="009B2309" w:rsidP="009B2309" w14:paraId="5C35EB84" w14:textId="77777777">
      <w:pPr>
        <w:ind w:left="270"/>
      </w:pPr>
    </w:p>
    <w:p w:rsidR="009B2309" w:rsidP="009B2309" w14:paraId="1B990404" w14:textId="77777777">
      <w:pPr>
        <w:ind w:left="270"/>
      </w:pPr>
      <w:r>
        <w:t xml:space="preserve">(5) Inspector name and signature. </w:t>
      </w:r>
    </w:p>
    <w:p w:rsidR="009B2309" w:rsidP="009B2309" w14:paraId="583BD7DB" w14:textId="77777777"/>
    <w:p w:rsidR="009B2309" w:rsidP="009B2309" w14:paraId="4CF9F6D0" w14:textId="37245E36">
      <w:r>
        <w:t>(d) The terminal owner or operator shall keep documentation of all notifications required under §60.502(e)(4) on file at the terminal for at least 2 years.</w:t>
      </w:r>
    </w:p>
    <w:p w:rsidR="009B2309" w:rsidP="009B2309" w14:paraId="0D0A69E2" w14:textId="77777777"/>
    <w:p w:rsidR="009B2309" w:rsidP="009B2309" w14:paraId="4EC05EE6" w14:textId="638CCA5B">
      <w:r>
        <w:t>(f) The owner or operator of an affected facility shall keep records of all replacements or additions of components performed on an existing vapor processing system for at least 3 years.</w:t>
      </w:r>
    </w:p>
    <w:p w:rsidR="0062057C" w:rsidRPr="006B4795" w:rsidP="0062057C" w14:paraId="099FD318" w14:textId="2B3BFB4C"/>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85"/>
    <w:rsid w:val="00097EC3"/>
    <w:rsid w:val="001D5224"/>
    <w:rsid w:val="002A6A47"/>
    <w:rsid w:val="00316B95"/>
    <w:rsid w:val="0062057C"/>
    <w:rsid w:val="00677770"/>
    <w:rsid w:val="006B4795"/>
    <w:rsid w:val="00876985"/>
    <w:rsid w:val="009B2309"/>
    <w:rsid w:val="00B43579"/>
    <w:rsid w:val="00DF28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A3D2D4"/>
  <w15:chartTrackingRefBased/>
  <w15:docId w15:val="{3BEDF3E8-EE0E-4B0B-87D5-B9B9C9E5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6985"/>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1"/>
    <w:basedOn w:val="Normal"/>
    <w:rsid w:val="00876985"/>
    <w:pPr>
      <w:widowControl/>
      <w:autoSpaceDE/>
      <w:autoSpaceDN/>
      <w:adjustRightInd/>
      <w:spacing w:before="100" w:beforeAutospacing="1" w:after="100" w:afterAutospacing="1"/>
    </w:pPr>
  </w:style>
  <w:style w:type="character" w:customStyle="1" w:styleId="paragraph-hierarchy">
    <w:name w:val="paragraph-hierarchy"/>
    <w:basedOn w:val="DefaultParagraphFont"/>
    <w:rsid w:val="00876985"/>
  </w:style>
  <w:style w:type="character" w:customStyle="1" w:styleId="paren">
    <w:name w:val="paren"/>
    <w:basedOn w:val="DefaultParagraphFont"/>
    <w:rsid w:val="00876985"/>
  </w:style>
  <w:style w:type="character" w:styleId="Emphasis">
    <w:name w:val="Emphasis"/>
    <w:basedOn w:val="DefaultParagraphFont"/>
    <w:uiPriority w:val="20"/>
    <w:qFormat/>
    <w:rsid w:val="00876985"/>
    <w:rPr>
      <w:i/>
      <w:iCs/>
    </w:rPr>
  </w:style>
  <w:style w:type="paragraph" w:customStyle="1" w:styleId="indent-2">
    <w:name w:val="indent-2"/>
    <w:basedOn w:val="Normal"/>
    <w:rsid w:val="00876985"/>
    <w:pPr>
      <w:widowControl/>
      <w:autoSpaceDE/>
      <w:autoSpaceDN/>
      <w:adjustRightInd/>
      <w:spacing w:before="100" w:beforeAutospacing="1" w:after="100" w:afterAutospacing="1"/>
    </w:pPr>
  </w:style>
  <w:style w:type="character" w:styleId="Hyperlink">
    <w:name w:val="Hyperlink"/>
    <w:basedOn w:val="DefaultParagraphFont"/>
    <w:uiPriority w:val="99"/>
    <w:semiHidden/>
    <w:unhideWhenUsed/>
    <w:rsid w:val="00876985"/>
    <w:rPr>
      <w:color w:val="0000FF"/>
      <w:u w:val="single"/>
    </w:rPr>
  </w:style>
  <w:style w:type="paragraph" w:customStyle="1" w:styleId="indent-3">
    <w:name w:val="indent-3"/>
    <w:basedOn w:val="Normal"/>
    <w:rsid w:val="00876985"/>
    <w:pPr>
      <w:widowControl/>
      <w:autoSpaceDE/>
      <w:autoSpaceDN/>
      <w:adjustRightInd/>
      <w:spacing w:before="100" w:beforeAutospacing="1" w:after="100" w:afterAutospacing="1"/>
    </w:pPr>
  </w:style>
  <w:style w:type="paragraph" w:customStyle="1" w:styleId="indent-4">
    <w:name w:val="indent-4"/>
    <w:basedOn w:val="Normal"/>
    <w:rsid w:val="00876985"/>
    <w:pPr>
      <w:widowControl/>
      <w:autoSpaceDE/>
      <w:autoSpaceDN/>
      <w:adjustRightInd/>
      <w:spacing w:before="100" w:beforeAutospacing="1" w:after="100" w:afterAutospacing="1"/>
    </w:pPr>
  </w:style>
  <w:style w:type="paragraph" w:customStyle="1" w:styleId="indent-5">
    <w:name w:val="indent-5"/>
    <w:basedOn w:val="Normal"/>
    <w:rsid w:val="00876985"/>
    <w:pPr>
      <w:widowControl/>
      <w:autoSpaceDE/>
      <w:autoSpaceDN/>
      <w:adjustRightInd/>
      <w:spacing w:before="100" w:beforeAutospacing="1" w:after="100" w:afterAutospacing="1"/>
    </w:pPr>
  </w:style>
  <w:style w:type="paragraph" w:customStyle="1" w:styleId="flush-paragraph">
    <w:name w:val="flush-paragraph"/>
    <w:basedOn w:val="Normal"/>
    <w:rsid w:val="006B4795"/>
    <w:pPr>
      <w:widowControl/>
      <w:autoSpaceDE/>
      <w:autoSpaceDN/>
      <w:adjustRightInd/>
      <w:spacing w:before="100" w:beforeAutospacing="1" w:after="100" w:afterAutospacing="1"/>
    </w:pPr>
  </w:style>
  <w:style w:type="paragraph" w:customStyle="1" w:styleId="flush-paragraph-2">
    <w:name w:val="flush-paragraph-2"/>
    <w:basedOn w:val="Normal"/>
    <w:rsid w:val="006B4795"/>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40/section-60.14" TargetMode="External" /><Relationship Id="rId9" Type="http://schemas.openxmlformats.org/officeDocument/2006/relationships/hyperlink" Target="https://www.ecfr.gov/current/title-40/section-60.50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2024-10-23T21:16:16+00:00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1D58BA5F-BCC1-45FD-8797-4A280C8CE7AA}">
  <ds:schemaRefs/>
</ds:datastoreItem>
</file>

<file path=customXml/itemProps2.xml><?xml version="1.0" encoding="utf-8"?>
<ds:datastoreItem xmlns:ds="http://schemas.openxmlformats.org/officeDocument/2006/customXml" ds:itemID="{86AF20C7-6E3A-4BAA-ABE4-E478C3EC0C4C}">
  <ds:schemaRefs/>
</ds:datastoreItem>
</file>

<file path=customXml/itemProps3.xml><?xml version="1.0" encoding="utf-8"?>
<ds:datastoreItem xmlns:ds="http://schemas.openxmlformats.org/officeDocument/2006/customXml" ds:itemID="{797286BB-F9FE-489D-88A9-1B4BE79B7CE1}">
  <ds:schemaRefs/>
</ds:datastoreItem>
</file>

<file path=customXml/itemProps4.xml><?xml version="1.0" encoding="utf-8"?>
<ds:datastoreItem xmlns:ds="http://schemas.openxmlformats.org/officeDocument/2006/customXml" ds:itemID="{3BE91FB7-0C86-4C37-A671-C1A6AE988F0C}">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2828</Words>
  <Characters>16124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Eastern Research Group, Inc.</Company>
  <LinksUpToDate>false</LinksUpToDate>
  <CharactersWithSpaces>18915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Smith</dc:creator>
  <cp:lastModifiedBy>Jennifer Canady</cp:lastModifiedBy>
  <cp:revision>6</cp:revision>
  <dcterms:created xsi:type="dcterms:W3CDTF">2023-11-29T16:55:00Z</dcterms:created>
  <dcterms:modified xsi:type="dcterms:W3CDTF">2024-04-26T16:09:00Z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ies>
</file>